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AE2ED" w14:textId="77777777" w:rsidR="00451347" w:rsidRDefault="00AC1D3F">
      <w:pPr>
        <w:spacing w:after="64"/>
        <w:ind w:left="-5" w:hanging="10"/>
      </w:pPr>
      <w:r>
        <w:rPr>
          <w:sz w:val="14"/>
        </w:rPr>
        <w:t>АГЕНЦИЈА ЗА КВАЛИТЕТ ВО ВИСОКОТО ОБРАЗОВАНИ?</w:t>
      </w:r>
    </w:p>
    <w:p w14:paraId="517066B4" w14:textId="77777777" w:rsidR="00451347" w:rsidRPr="004D6ED2" w:rsidRDefault="00AC1D3F">
      <w:pPr>
        <w:spacing w:after="17"/>
        <w:ind w:left="363" w:hanging="10"/>
        <w:rPr>
          <w:lang w:val="sq-MK"/>
        </w:rPr>
      </w:pPr>
      <w:r>
        <w:rPr>
          <w:sz w:val="14"/>
        </w:rPr>
        <w:t xml:space="preserve">AGJENClA </w:t>
      </w:r>
      <w:r>
        <w:rPr>
          <w:noProof/>
        </w:rPr>
        <w:drawing>
          <wp:inline distT="0" distB="0" distL="0" distR="0" wp14:anchorId="7DA9A730" wp14:editId="707FD12C">
            <wp:extent cx="576072" cy="105156"/>
            <wp:effectExtent l="0" t="0" r="0" b="0"/>
            <wp:docPr id="3139" name="Picture 3139"/>
            <wp:cNvGraphicFramePr/>
            <a:graphic xmlns:a="http://schemas.openxmlformats.org/drawingml/2006/main">
              <a:graphicData uri="http://schemas.openxmlformats.org/drawingml/2006/picture">
                <pic:pic xmlns:pic="http://schemas.openxmlformats.org/drawingml/2006/picture">
                  <pic:nvPicPr>
                    <pic:cNvPr id="3139" name="Picture 3139"/>
                    <pic:cNvPicPr/>
                  </pic:nvPicPr>
                  <pic:blipFill>
                    <a:blip r:embed="rId7"/>
                    <a:stretch>
                      <a:fillRect/>
                    </a:stretch>
                  </pic:blipFill>
                  <pic:spPr>
                    <a:xfrm>
                      <a:off x="0" y="0"/>
                      <a:ext cx="576072" cy="105156"/>
                    </a:xfrm>
                    <a:prstGeom prst="rect">
                      <a:avLst/>
                    </a:prstGeom>
                  </pic:spPr>
                </pic:pic>
              </a:graphicData>
            </a:graphic>
          </wp:inline>
        </w:drawing>
      </w:r>
      <w:r>
        <w:rPr>
          <w:sz w:val="14"/>
        </w:rPr>
        <w:t xml:space="preserve"> ARSIMlN Е lART</w:t>
      </w:r>
      <w:r w:rsidR="004D6ED2">
        <w:rPr>
          <w:sz w:val="14"/>
          <w:lang w:val="sq-MK"/>
        </w:rPr>
        <w:t>Ë</w:t>
      </w:r>
    </w:p>
    <w:p w14:paraId="6020E19A" w14:textId="77777777" w:rsidR="00451347" w:rsidRDefault="00AC1D3F">
      <w:pPr>
        <w:spacing w:after="0"/>
        <w:ind w:left="1145"/>
      </w:pPr>
      <w:r>
        <w:t>СКопје- Shkup</w:t>
      </w:r>
    </w:p>
    <w:tbl>
      <w:tblPr>
        <w:tblStyle w:val="TableGrid"/>
        <w:tblW w:w="9532" w:type="dxa"/>
        <w:tblInd w:w="-13" w:type="dxa"/>
        <w:tblCellMar>
          <w:top w:w="17" w:type="dxa"/>
          <w:left w:w="35" w:type="dxa"/>
          <w:right w:w="15" w:type="dxa"/>
        </w:tblCellMar>
        <w:tblLook w:val="04A0" w:firstRow="1" w:lastRow="0" w:firstColumn="1" w:lastColumn="0" w:noHBand="0" w:noVBand="1"/>
      </w:tblPr>
      <w:tblGrid>
        <w:gridCol w:w="943"/>
        <w:gridCol w:w="906"/>
        <w:gridCol w:w="962"/>
        <w:gridCol w:w="818"/>
        <w:gridCol w:w="5903"/>
      </w:tblGrid>
      <w:tr w:rsidR="00451347" w14:paraId="43CF21C9" w14:textId="77777777">
        <w:trPr>
          <w:trHeight w:val="327"/>
        </w:trPr>
        <w:tc>
          <w:tcPr>
            <w:tcW w:w="943" w:type="dxa"/>
            <w:tcBorders>
              <w:top w:val="single" w:sz="2" w:space="0" w:color="000000"/>
              <w:left w:val="nil"/>
              <w:bottom w:val="single" w:sz="2" w:space="0" w:color="000000"/>
              <w:right w:val="nil"/>
            </w:tcBorders>
          </w:tcPr>
          <w:p w14:paraId="687BC575" w14:textId="77777777" w:rsidR="00451347" w:rsidRDefault="00AC1D3F">
            <w:pPr>
              <w:ind w:left="22" w:firstLine="7"/>
            </w:pPr>
            <w:r>
              <w:rPr>
                <w:sz w:val="14"/>
              </w:rPr>
              <w:t>Примено</w:t>
            </w:r>
            <w:r w:rsidR="004D6ED2">
              <w:rPr>
                <w:sz w:val="14"/>
                <w:lang w:val="sq-MK"/>
              </w:rPr>
              <w:t>/E pranuar</w:t>
            </w:r>
            <w:r>
              <w:rPr>
                <w:sz w:val="14"/>
              </w:rPr>
              <w:t>: Ргагиаг те:</w:t>
            </w:r>
          </w:p>
        </w:tc>
        <w:tc>
          <w:tcPr>
            <w:tcW w:w="2686" w:type="dxa"/>
            <w:gridSpan w:val="3"/>
            <w:tcBorders>
              <w:top w:val="single" w:sz="2" w:space="0" w:color="000000"/>
              <w:left w:val="nil"/>
              <w:bottom w:val="single" w:sz="2" w:space="0" w:color="000000"/>
              <w:right w:val="single" w:sz="2" w:space="0" w:color="000000"/>
            </w:tcBorders>
          </w:tcPr>
          <w:p w14:paraId="6F5304A6" w14:textId="77777777" w:rsidR="00451347" w:rsidRDefault="00AC1D3F">
            <w:pPr>
              <w:ind w:left="958"/>
            </w:pPr>
            <w:r>
              <w:rPr>
                <w:noProof/>
              </w:rPr>
              <w:drawing>
                <wp:inline distT="0" distB="0" distL="0" distR="0" wp14:anchorId="7288852F" wp14:editId="7A6A542E">
                  <wp:extent cx="1065276" cy="214884"/>
                  <wp:effectExtent l="0" t="0" r="0" b="0"/>
                  <wp:docPr id="43099" name="Picture 43099"/>
                  <wp:cNvGraphicFramePr/>
                  <a:graphic xmlns:a="http://schemas.openxmlformats.org/drawingml/2006/main">
                    <a:graphicData uri="http://schemas.openxmlformats.org/drawingml/2006/picture">
                      <pic:pic xmlns:pic="http://schemas.openxmlformats.org/drawingml/2006/picture">
                        <pic:nvPicPr>
                          <pic:cNvPr id="43099" name="Picture 43099"/>
                          <pic:cNvPicPr/>
                        </pic:nvPicPr>
                        <pic:blipFill>
                          <a:blip r:embed="rId8"/>
                          <a:stretch>
                            <a:fillRect/>
                          </a:stretch>
                        </pic:blipFill>
                        <pic:spPr>
                          <a:xfrm>
                            <a:off x="0" y="0"/>
                            <a:ext cx="1065276" cy="214884"/>
                          </a:xfrm>
                          <a:prstGeom prst="rect">
                            <a:avLst/>
                          </a:prstGeom>
                        </pic:spPr>
                      </pic:pic>
                    </a:graphicData>
                  </a:graphic>
                </wp:inline>
              </w:drawing>
            </w:r>
          </w:p>
        </w:tc>
        <w:tc>
          <w:tcPr>
            <w:tcW w:w="5903" w:type="dxa"/>
            <w:vMerge w:val="restart"/>
            <w:tcBorders>
              <w:top w:val="nil"/>
              <w:left w:val="single" w:sz="2" w:space="0" w:color="000000"/>
              <w:bottom w:val="single" w:sz="2" w:space="0" w:color="000000"/>
              <w:right w:val="nil"/>
            </w:tcBorders>
          </w:tcPr>
          <w:p w14:paraId="5EE64AC4" w14:textId="77777777" w:rsidR="00451347" w:rsidRDefault="004D6ED2">
            <w:pPr>
              <w:ind w:right="1432" w:firstLine="122"/>
              <w:jc w:val="both"/>
            </w:pPr>
            <w:r w:rsidRPr="004D6ED2">
              <w:rPr>
                <w:sz w:val="26"/>
              </w:rPr>
              <w:t xml:space="preserve">të Bordit të Lartë të Vlerësimit </w:t>
            </w:r>
            <w:r>
              <w:rPr>
                <w:sz w:val="26"/>
                <w:lang w:val="sq-MK"/>
              </w:rPr>
              <w:t>për</w:t>
            </w:r>
            <w:r w:rsidR="00AC1D3F">
              <w:rPr>
                <w:sz w:val="26"/>
              </w:rPr>
              <w:t xml:space="preserve"> </w:t>
            </w:r>
            <w:r w:rsidRPr="004D6ED2">
              <w:rPr>
                <w:sz w:val="26"/>
              </w:rPr>
              <w:t>periudh</w:t>
            </w:r>
            <w:r>
              <w:rPr>
                <w:sz w:val="26"/>
                <w:lang w:val="sq-MK"/>
              </w:rPr>
              <w:t>ën</w:t>
            </w:r>
            <w:r w:rsidR="00AC1D3F">
              <w:rPr>
                <w:sz w:val="26"/>
              </w:rPr>
              <w:t xml:space="preserve"> 01.01.2025 — 30.06.2025</w:t>
            </w:r>
          </w:p>
        </w:tc>
      </w:tr>
      <w:tr w:rsidR="00451347" w14:paraId="2A5A3A2B" w14:textId="77777777">
        <w:trPr>
          <w:trHeight w:val="367"/>
        </w:trPr>
        <w:tc>
          <w:tcPr>
            <w:tcW w:w="943" w:type="dxa"/>
            <w:tcBorders>
              <w:top w:val="single" w:sz="2" w:space="0" w:color="000000"/>
              <w:left w:val="single" w:sz="2" w:space="0" w:color="000000"/>
              <w:bottom w:val="single" w:sz="2" w:space="0" w:color="000000"/>
              <w:right w:val="single" w:sz="2" w:space="0" w:color="000000"/>
            </w:tcBorders>
          </w:tcPr>
          <w:p w14:paraId="7C4FFB06" w14:textId="77777777" w:rsidR="00451347" w:rsidRDefault="00AC1D3F">
            <w:pPr>
              <w:ind w:left="93" w:hanging="14"/>
              <w:jc w:val="both"/>
            </w:pPr>
            <w:r>
              <w:rPr>
                <w:sz w:val="14"/>
              </w:rPr>
              <w:t>Орг. един. Njbsia огд.</w:t>
            </w:r>
          </w:p>
        </w:tc>
        <w:tc>
          <w:tcPr>
            <w:tcW w:w="906" w:type="dxa"/>
            <w:tcBorders>
              <w:top w:val="single" w:sz="2" w:space="0" w:color="000000"/>
              <w:left w:val="single" w:sz="2" w:space="0" w:color="000000"/>
              <w:bottom w:val="single" w:sz="2" w:space="0" w:color="000000"/>
              <w:right w:val="single" w:sz="2" w:space="0" w:color="000000"/>
            </w:tcBorders>
            <w:vAlign w:val="bottom"/>
          </w:tcPr>
          <w:p w14:paraId="235E21AC" w14:textId="77777777" w:rsidR="00451347" w:rsidRDefault="00AC1D3F">
            <w:pPr>
              <w:ind w:right="6"/>
              <w:jc w:val="center"/>
            </w:pPr>
            <w:proofErr w:type="gramStart"/>
            <w:r>
              <w:rPr>
                <w:sz w:val="12"/>
              </w:rPr>
              <w:t>Нигг,з</w:t>
            </w:r>
            <w:proofErr w:type="gramEnd"/>
            <w:r>
              <w:rPr>
                <w:sz w:val="12"/>
              </w:rPr>
              <w:t>-</w:t>
            </w:r>
          </w:p>
        </w:tc>
        <w:tc>
          <w:tcPr>
            <w:tcW w:w="962" w:type="dxa"/>
            <w:tcBorders>
              <w:top w:val="single" w:sz="2" w:space="0" w:color="000000"/>
              <w:left w:val="single" w:sz="2" w:space="0" w:color="000000"/>
              <w:bottom w:val="single" w:sz="2" w:space="0" w:color="000000"/>
              <w:right w:val="single" w:sz="2" w:space="0" w:color="000000"/>
            </w:tcBorders>
          </w:tcPr>
          <w:p w14:paraId="6D3E8D23" w14:textId="77777777" w:rsidR="00451347" w:rsidRDefault="00451347"/>
        </w:tc>
        <w:tc>
          <w:tcPr>
            <w:tcW w:w="817" w:type="dxa"/>
            <w:tcBorders>
              <w:top w:val="nil"/>
              <w:left w:val="single" w:sz="2" w:space="0" w:color="000000"/>
              <w:bottom w:val="single" w:sz="2" w:space="0" w:color="000000"/>
              <w:right w:val="single" w:sz="2" w:space="0" w:color="000000"/>
            </w:tcBorders>
          </w:tcPr>
          <w:p w14:paraId="13B966C3" w14:textId="77777777" w:rsidR="00451347" w:rsidRDefault="00AC1D3F">
            <w:pPr>
              <w:ind w:left="11"/>
              <w:jc w:val="both"/>
            </w:pPr>
            <w:r>
              <w:rPr>
                <w:sz w:val="14"/>
              </w:rPr>
              <w:t>вААие В а ност</w:t>
            </w:r>
          </w:p>
        </w:tc>
        <w:tc>
          <w:tcPr>
            <w:tcW w:w="0" w:type="auto"/>
            <w:vMerge/>
            <w:tcBorders>
              <w:top w:val="nil"/>
              <w:left w:val="single" w:sz="2" w:space="0" w:color="000000"/>
              <w:bottom w:val="nil"/>
              <w:right w:val="nil"/>
            </w:tcBorders>
          </w:tcPr>
          <w:p w14:paraId="4AA801CF" w14:textId="77777777" w:rsidR="00451347" w:rsidRDefault="00451347"/>
        </w:tc>
      </w:tr>
      <w:tr w:rsidR="00451347" w14:paraId="31DCAB41" w14:textId="77777777">
        <w:trPr>
          <w:trHeight w:val="554"/>
        </w:trPr>
        <w:tc>
          <w:tcPr>
            <w:tcW w:w="943" w:type="dxa"/>
            <w:tcBorders>
              <w:top w:val="single" w:sz="2" w:space="0" w:color="000000"/>
              <w:left w:val="single" w:sz="2" w:space="0" w:color="000000"/>
              <w:bottom w:val="single" w:sz="2" w:space="0" w:color="000000"/>
              <w:right w:val="single" w:sz="2" w:space="0" w:color="000000"/>
            </w:tcBorders>
            <w:vAlign w:val="center"/>
          </w:tcPr>
          <w:p w14:paraId="62764089" w14:textId="77777777" w:rsidR="00451347" w:rsidRDefault="00AC1D3F">
            <w:pPr>
              <w:ind w:left="281"/>
            </w:pPr>
            <w:r>
              <w:rPr>
                <w:sz w:val="38"/>
              </w:rPr>
              <w:t>03</w:t>
            </w:r>
          </w:p>
        </w:tc>
        <w:tc>
          <w:tcPr>
            <w:tcW w:w="906" w:type="dxa"/>
            <w:tcBorders>
              <w:top w:val="single" w:sz="2" w:space="0" w:color="000000"/>
              <w:left w:val="single" w:sz="2" w:space="0" w:color="000000"/>
              <w:bottom w:val="single" w:sz="2" w:space="0" w:color="000000"/>
              <w:right w:val="single" w:sz="2" w:space="0" w:color="000000"/>
            </w:tcBorders>
          </w:tcPr>
          <w:p w14:paraId="6D96BB75" w14:textId="77777777" w:rsidR="00451347" w:rsidRDefault="00451347"/>
        </w:tc>
        <w:tc>
          <w:tcPr>
            <w:tcW w:w="962" w:type="dxa"/>
            <w:tcBorders>
              <w:top w:val="single" w:sz="2" w:space="0" w:color="000000"/>
              <w:left w:val="single" w:sz="2" w:space="0" w:color="000000"/>
              <w:bottom w:val="single" w:sz="2" w:space="0" w:color="000000"/>
              <w:right w:val="single" w:sz="2" w:space="0" w:color="000000"/>
            </w:tcBorders>
          </w:tcPr>
          <w:p w14:paraId="4AA262BA" w14:textId="77777777" w:rsidR="00451347" w:rsidRDefault="00451347"/>
        </w:tc>
        <w:tc>
          <w:tcPr>
            <w:tcW w:w="817" w:type="dxa"/>
            <w:tcBorders>
              <w:top w:val="single" w:sz="2" w:space="0" w:color="000000"/>
              <w:left w:val="single" w:sz="2" w:space="0" w:color="000000"/>
              <w:bottom w:val="single" w:sz="2" w:space="0" w:color="000000"/>
              <w:right w:val="single" w:sz="2" w:space="0" w:color="000000"/>
            </w:tcBorders>
          </w:tcPr>
          <w:p w14:paraId="52B250B6" w14:textId="77777777" w:rsidR="00451347" w:rsidRDefault="00451347"/>
        </w:tc>
        <w:tc>
          <w:tcPr>
            <w:tcW w:w="0" w:type="auto"/>
            <w:vMerge/>
            <w:tcBorders>
              <w:top w:val="nil"/>
              <w:left w:val="single" w:sz="2" w:space="0" w:color="000000"/>
              <w:bottom w:val="single" w:sz="2" w:space="0" w:color="000000"/>
              <w:right w:val="nil"/>
            </w:tcBorders>
          </w:tcPr>
          <w:p w14:paraId="1DCF3979" w14:textId="77777777" w:rsidR="00451347" w:rsidRDefault="00451347"/>
        </w:tc>
      </w:tr>
      <w:tr w:rsidR="00451347" w14:paraId="6E7B5D22" w14:textId="77777777">
        <w:trPr>
          <w:trHeight w:val="324"/>
        </w:trPr>
        <w:tc>
          <w:tcPr>
            <w:tcW w:w="9532" w:type="dxa"/>
            <w:gridSpan w:val="5"/>
            <w:tcBorders>
              <w:top w:val="single" w:sz="2" w:space="0" w:color="000000"/>
              <w:left w:val="single" w:sz="2" w:space="0" w:color="000000"/>
              <w:bottom w:val="single" w:sz="2" w:space="0" w:color="000000"/>
              <w:right w:val="single" w:sz="2" w:space="0" w:color="000000"/>
            </w:tcBorders>
          </w:tcPr>
          <w:p w14:paraId="79A29D59" w14:textId="77777777" w:rsidR="00451347" w:rsidRDefault="00AC1D3F">
            <w:pPr>
              <w:ind w:left="122"/>
            </w:pPr>
            <w:r>
              <w:rPr>
                <w:sz w:val="24"/>
              </w:rPr>
              <w:t xml:space="preserve">1. </w:t>
            </w:r>
            <w:r w:rsidR="004D6ED2" w:rsidRPr="004D6ED2">
              <w:rPr>
                <w:sz w:val="24"/>
              </w:rPr>
              <w:t>Korniza ligjore</w:t>
            </w:r>
          </w:p>
        </w:tc>
      </w:tr>
      <w:tr w:rsidR="00451347" w14:paraId="0A690515" w14:textId="77777777">
        <w:trPr>
          <w:trHeight w:val="6998"/>
        </w:trPr>
        <w:tc>
          <w:tcPr>
            <w:tcW w:w="9532" w:type="dxa"/>
            <w:gridSpan w:val="5"/>
            <w:tcBorders>
              <w:top w:val="single" w:sz="2" w:space="0" w:color="000000"/>
              <w:left w:val="single" w:sz="2" w:space="0" w:color="000000"/>
              <w:bottom w:val="single" w:sz="2" w:space="0" w:color="000000"/>
              <w:right w:val="single" w:sz="2" w:space="0" w:color="000000"/>
            </w:tcBorders>
            <w:vAlign w:val="bottom"/>
          </w:tcPr>
          <w:p w14:paraId="1C9BAE25" w14:textId="77777777" w:rsidR="006C33DD" w:rsidRDefault="00BC0AD4" w:rsidP="006C33DD">
            <w:pPr>
              <w:spacing w:after="125" w:line="216" w:lineRule="auto"/>
              <w:ind w:left="806" w:right="114" w:firstLine="29"/>
              <w:jc w:val="both"/>
              <w:rPr>
                <w:sz w:val="24"/>
              </w:rPr>
            </w:pPr>
            <w:r w:rsidRPr="00BC0AD4">
              <w:rPr>
                <w:sz w:val="52"/>
                <w:szCs w:val="52"/>
                <w:lang w:val="sq-MK"/>
              </w:rPr>
              <w:t>.</w:t>
            </w:r>
            <w:r w:rsidR="004D6ED2" w:rsidRPr="004D6ED2">
              <w:rPr>
                <w:sz w:val="24"/>
              </w:rPr>
              <w:t>Bordi i Vlerësimit (BV), bazuar në Ligjin për Arsimin e Lartë (Gazeta Zyrtare Nr. 82, datë 08.05.2018), Rregulloren e Punës së Bordit të Vlerësimit dhe Raportin e Komisioneve të Vlerësimit të Institucioneve të Arsimit të Lartë,</w:t>
            </w:r>
            <w:r w:rsidR="00AC1D3F">
              <w:rPr>
                <w:sz w:val="24"/>
              </w:rPr>
              <w:t xml:space="preserve"> </w:t>
            </w:r>
            <w:r w:rsidR="004D6ED2" w:rsidRPr="004D6ED2">
              <w:rPr>
                <w:sz w:val="24"/>
              </w:rPr>
              <w:t>monitoron veprimtarinë e institucioneve të arsimit të lartë</w:t>
            </w:r>
            <w:r w:rsidR="004D6ED2">
              <w:rPr>
                <w:sz w:val="24"/>
                <w:lang w:val="sq-MK"/>
              </w:rPr>
              <w:t xml:space="preserve"> </w:t>
            </w:r>
            <w:r w:rsidR="004D6ED2" w:rsidRPr="004D6ED2">
              <w:rPr>
                <w:sz w:val="24"/>
              </w:rPr>
              <w:t xml:space="preserve">të cilave u është dhënë akreditimi dhe </w:t>
            </w:r>
            <w:r w:rsidR="004D6ED2">
              <w:rPr>
                <w:sz w:val="24"/>
                <w:lang w:val="sq-MK"/>
              </w:rPr>
              <w:t>Akt</w:t>
            </w:r>
            <w:r w:rsidR="004D6ED2" w:rsidRPr="004D6ED2">
              <w:rPr>
                <w:sz w:val="24"/>
              </w:rPr>
              <w:t>vendim për fillimin e punës.</w:t>
            </w:r>
          </w:p>
          <w:p w14:paraId="55A757E2" w14:textId="71531D65" w:rsidR="00451347" w:rsidRPr="006C33DD" w:rsidRDefault="006C33DD" w:rsidP="006C33DD">
            <w:pPr>
              <w:spacing w:after="125" w:line="216" w:lineRule="auto"/>
              <w:ind w:left="806" w:right="114" w:firstLine="29"/>
              <w:jc w:val="both"/>
              <w:rPr>
                <w:sz w:val="24"/>
              </w:rPr>
            </w:pPr>
            <w:proofErr w:type="gramStart"/>
            <w:r w:rsidRPr="006C33DD">
              <w:rPr>
                <w:sz w:val="48"/>
                <w:szCs w:val="48"/>
              </w:rPr>
              <w:t>.</w:t>
            </w:r>
            <w:r w:rsidR="004D6ED2" w:rsidRPr="004D6ED2">
              <w:rPr>
                <w:sz w:val="24"/>
              </w:rPr>
              <w:t>Monitoron</w:t>
            </w:r>
            <w:proofErr w:type="gramEnd"/>
            <w:r w:rsidR="004D6ED2" w:rsidRPr="004D6ED2">
              <w:rPr>
                <w:sz w:val="24"/>
              </w:rPr>
              <w:t xml:space="preserve"> dhe vlerëson cilësinë e veprimtarisë së arsimit të lartë, kërkimin shkencor, punën artistike dhe profesionale të kuadrit akademik të institucioneve të arsimit të lartë dhe veçanërisht programet e tyre të studimit të paktën çdo pesë vjet dhe në bazë të kësaj i propozon Bordit të Akreditimit </w:t>
            </w:r>
            <w:r w:rsidR="00137AE0">
              <w:rPr>
                <w:sz w:val="24"/>
                <w:lang w:val="sq-MK"/>
              </w:rPr>
              <w:t xml:space="preserve">vazhdimin </w:t>
            </w:r>
            <w:r w:rsidR="004D6ED2" w:rsidRPr="004D6ED2">
              <w:rPr>
                <w:sz w:val="24"/>
              </w:rPr>
              <w:t xml:space="preserve"> ose </w:t>
            </w:r>
            <w:r w:rsidR="00137AE0">
              <w:rPr>
                <w:sz w:val="24"/>
                <w:lang w:val="sq-MK"/>
              </w:rPr>
              <w:t xml:space="preserve">tërheqjen </w:t>
            </w:r>
            <w:r w:rsidR="004D6ED2" w:rsidRPr="004D6ED2">
              <w:rPr>
                <w:sz w:val="24"/>
              </w:rPr>
              <w:t xml:space="preserve"> e akreditimit</w:t>
            </w:r>
            <w:r w:rsidR="00AC1D3F">
              <w:rPr>
                <w:sz w:val="24"/>
              </w:rPr>
              <w:t>.</w:t>
            </w:r>
          </w:p>
          <w:p w14:paraId="0FE3648D" w14:textId="2DE6190C" w:rsidR="00451347" w:rsidRDefault="006C33DD">
            <w:pPr>
              <w:spacing w:after="130" w:line="216" w:lineRule="auto"/>
              <w:ind w:left="828" w:firstLine="7"/>
              <w:jc w:val="both"/>
            </w:pPr>
            <w:proofErr w:type="gramStart"/>
            <w:r w:rsidRPr="006C33DD">
              <w:rPr>
                <w:sz w:val="52"/>
                <w:szCs w:val="52"/>
              </w:rPr>
              <w:t>.</w:t>
            </w:r>
            <w:r w:rsidR="00137AE0" w:rsidRPr="00137AE0">
              <w:rPr>
                <w:sz w:val="24"/>
              </w:rPr>
              <w:t>Propozon</w:t>
            </w:r>
            <w:proofErr w:type="gramEnd"/>
            <w:r w:rsidR="00137AE0" w:rsidRPr="00137AE0">
              <w:rPr>
                <w:sz w:val="24"/>
              </w:rPr>
              <w:t xml:space="preserve"> Rregullore </w:t>
            </w:r>
            <w:r w:rsidR="00137AE0">
              <w:rPr>
                <w:sz w:val="24"/>
                <w:lang w:val="sq-MK"/>
              </w:rPr>
              <w:t>për</w:t>
            </w:r>
            <w:r w:rsidR="00137AE0" w:rsidRPr="00137AE0">
              <w:rPr>
                <w:sz w:val="24"/>
              </w:rPr>
              <w:t xml:space="preserve"> standardet dhe procedurën për vlerësimin e jashtëm dhe vetëvlerësimin në Këshillin Kombëtar të Arsimit të Lartë</w:t>
            </w:r>
            <w:r w:rsidR="00AC1D3F">
              <w:rPr>
                <w:sz w:val="24"/>
              </w:rPr>
              <w:t>.</w:t>
            </w:r>
          </w:p>
          <w:p w14:paraId="21953AD5" w14:textId="518B8631" w:rsidR="00451347" w:rsidRDefault="006C33DD">
            <w:pPr>
              <w:spacing w:after="135" w:line="229" w:lineRule="auto"/>
              <w:ind w:left="828" w:hanging="14"/>
              <w:jc w:val="both"/>
            </w:pPr>
            <w:proofErr w:type="gramStart"/>
            <w:r w:rsidRPr="006C33DD">
              <w:rPr>
                <w:sz w:val="56"/>
                <w:szCs w:val="56"/>
              </w:rPr>
              <w:t>.</w:t>
            </w:r>
            <w:r w:rsidR="00137AE0" w:rsidRPr="00137AE0">
              <w:rPr>
                <w:sz w:val="24"/>
              </w:rPr>
              <w:t>Jep</w:t>
            </w:r>
            <w:proofErr w:type="gramEnd"/>
            <w:r w:rsidR="00137AE0" w:rsidRPr="00137AE0">
              <w:rPr>
                <w:sz w:val="24"/>
              </w:rPr>
              <w:t xml:space="preserve"> rekomandimet e nevojshme për përmirësimin e normave dhe standardeve për kryerjen e </w:t>
            </w:r>
            <w:r w:rsidR="00137AE0">
              <w:rPr>
                <w:sz w:val="24"/>
                <w:lang w:val="sq-MK"/>
              </w:rPr>
              <w:t>veprimtarive</w:t>
            </w:r>
            <w:r w:rsidR="00137AE0" w:rsidRPr="00137AE0">
              <w:rPr>
                <w:sz w:val="24"/>
              </w:rPr>
              <w:t xml:space="preserve"> të arsimit të lartë.</w:t>
            </w:r>
          </w:p>
          <w:p w14:paraId="74FECD66" w14:textId="0B04AB56" w:rsidR="00451347" w:rsidRDefault="006C33DD">
            <w:pPr>
              <w:spacing w:after="122" w:line="234" w:lineRule="auto"/>
              <w:ind w:left="828"/>
              <w:jc w:val="both"/>
            </w:pPr>
            <w:proofErr w:type="gramStart"/>
            <w:r w:rsidRPr="006C33DD">
              <w:rPr>
                <w:sz w:val="48"/>
                <w:szCs w:val="48"/>
              </w:rPr>
              <w:t>.</w:t>
            </w:r>
            <w:r w:rsidR="00137AE0" w:rsidRPr="00137AE0">
              <w:rPr>
                <w:sz w:val="24"/>
              </w:rPr>
              <w:t>Kryen</w:t>
            </w:r>
            <w:proofErr w:type="gramEnd"/>
            <w:r w:rsidR="00137AE0" w:rsidRPr="00137AE0">
              <w:rPr>
                <w:sz w:val="24"/>
              </w:rPr>
              <w:t xml:space="preserve"> edhe detyra të tjera në përputhje me Rregulloren </w:t>
            </w:r>
            <w:r w:rsidR="00137AE0">
              <w:rPr>
                <w:sz w:val="24"/>
                <w:lang w:val="sq-MK"/>
              </w:rPr>
              <w:t>për</w:t>
            </w:r>
            <w:r w:rsidR="00137AE0" w:rsidRPr="00137AE0">
              <w:rPr>
                <w:sz w:val="24"/>
              </w:rPr>
              <w:t xml:space="preserve"> standardet dhe procedurat për vlerësimin e jashtëm dhe vetëvlerësimin</w:t>
            </w:r>
            <w:r w:rsidR="00AC1D3F">
              <w:rPr>
                <w:sz w:val="24"/>
              </w:rPr>
              <w:t>.</w:t>
            </w:r>
          </w:p>
          <w:p w14:paraId="28F8F293" w14:textId="77777777" w:rsidR="006C33DD" w:rsidRDefault="006C33DD" w:rsidP="006C33DD">
            <w:pPr>
              <w:spacing w:after="115"/>
              <w:ind w:left="828"/>
              <w:rPr>
                <w:sz w:val="24"/>
              </w:rPr>
            </w:pPr>
            <w:proofErr w:type="gramStart"/>
            <w:r w:rsidRPr="006C33DD">
              <w:rPr>
                <w:sz w:val="52"/>
                <w:szCs w:val="52"/>
              </w:rPr>
              <w:t>.</w:t>
            </w:r>
            <w:r w:rsidR="00F172C4" w:rsidRPr="00F172C4">
              <w:rPr>
                <w:sz w:val="24"/>
              </w:rPr>
              <w:t>Kryen</w:t>
            </w:r>
            <w:proofErr w:type="gramEnd"/>
            <w:r w:rsidR="00F172C4" w:rsidRPr="00F172C4">
              <w:rPr>
                <w:sz w:val="24"/>
              </w:rPr>
              <w:t xml:space="preserve"> edhe detyra të tjera të përcaktuara me ligj</w:t>
            </w:r>
            <w:r w:rsidR="00AC1D3F">
              <w:rPr>
                <w:sz w:val="24"/>
              </w:rPr>
              <w:t>.</w:t>
            </w:r>
          </w:p>
          <w:p w14:paraId="138FB03E" w14:textId="4EDA54ED" w:rsidR="00451347" w:rsidRDefault="006C33DD" w:rsidP="006C33DD">
            <w:pPr>
              <w:spacing w:after="115"/>
              <w:ind w:left="828"/>
            </w:pPr>
            <w:proofErr w:type="gramStart"/>
            <w:r w:rsidRPr="006C33DD">
              <w:rPr>
                <w:sz w:val="44"/>
                <w:szCs w:val="44"/>
              </w:rPr>
              <w:t>.</w:t>
            </w:r>
            <w:r w:rsidR="00F172C4" w:rsidRPr="00F172C4">
              <w:rPr>
                <w:sz w:val="24"/>
              </w:rPr>
              <w:t>Çdo</w:t>
            </w:r>
            <w:proofErr w:type="gramEnd"/>
            <w:r w:rsidR="00F172C4" w:rsidRPr="00F172C4">
              <w:rPr>
                <w:sz w:val="24"/>
              </w:rPr>
              <w:t xml:space="preserve"> gjashtë muaj, bordi vlerësues i </w:t>
            </w:r>
            <w:r w:rsidR="00F172C4">
              <w:rPr>
                <w:sz w:val="24"/>
                <w:lang w:val="sq-MK"/>
              </w:rPr>
              <w:t>dorëzon</w:t>
            </w:r>
            <w:r w:rsidR="00F172C4" w:rsidRPr="00F172C4">
              <w:rPr>
                <w:sz w:val="24"/>
              </w:rPr>
              <w:t xml:space="preserve"> raport për punën e tij ministrisë përgjegjëse për çështjet e arsimit të lartë dhe Këshillit Kombëtar. Formulari për raportin përshkruhet nga ministri përgjegjës për çështjet e arsimit të lartë</w:t>
            </w:r>
            <w:r w:rsidR="00AC1D3F">
              <w:rPr>
                <w:sz w:val="24"/>
              </w:rPr>
              <w:t xml:space="preserve">. </w:t>
            </w:r>
            <w:r w:rsidR="00F172C4" w:rsidRPr="00F172C4">
              <w:rPr>
                <w:sz w:val="24"/>
              </w:rPr>
              <w:t xml:space="preserve">Raporti publikohet detyrimisht në </w:t>
            </w:r>
            <w:r w:rsidR="00F172C4">
              <w:rPr>
                <w:sz w:val="24"/>
                <w:lang w:val="sq-MK"/>
              </w:rPr>
              <w:t>ueb-</w:t>
            </w:r>
            <w:r w:rsidR="00F172C4" w:rsidRPr="00F172C4">
              <w:rPr>
                <w:sz w:val="24"/>
              </w:rPr>
              <w:t>faqen e Agjencisë së Cilësisë dhe ueb-faqen e internetit të ministrisë përgjegjëse për arsimin e lartë.</w:t>
            </w:r>
          </w:p>
        </w:tc>
      </w:tr>
      <w:tr w:rsidR="00451347" w14:paraId="38A4D133" w14:textId="77777777">
        <w:trPr>
          <w:trHeight w:val="372"/>
        </w:trPr>
        <w:tc>
          <w:tcPr>
            <w:tcW w:w="9532" w:type="dxa"/>
            <w:gridSpan w:val="5"/>
            <w:tcBorders>
              <w:top w:val="single" w:sz="2" w:space="0" w:color="000000"/>
              <w:left w:val="single" w:sz="2" w:space="0" w:color="000000"/>
              <w:bottom w:val="single" w:sz="2" w:space="0" w:color="000000"/>
              <w:right w:val="single" w:sz="2" w:space="0" w:color="000000"/>
            </w:tcBorders>
          </w:tcPr>
          <w:p w14:paraId="79F49FD6" w14:textId="0956C9F1" w:rsidR="00451347" w:rsidRDefault="00AC1D3F">
            <w:pPr>
              <w:ind w:left="101"/>
            </w:pPr>
            <w:r>
              <w:rPr>
                <w:sz w:val="24"/>
              </w:rPr>
              <w:t xml:space="preserve">2. </w:t>
            </w:r>
            <w:r w:rsidR="000B2241" w:rsidRPr="000B2241">
              <w:rPr>
                <w:sz w:val="24"/>
              </w:rPr>
              <w:t xml:space="preserve">Përbërja e Bordit </w:t>
            </w:r>
            <w:r w:rsidR="000B2241">
              <w:rPr>
                <w:sz w:val="24"/>
                <w:lang w:val="sq-MK"/>
              </w:rPr>
              <w:t xml:space="preserve">për </w:t>
            </w:r>
            <w:r w:rsidR="000B2241" w:rsidRPr="000B2241">
              <w:rPr>
                <w:sz w:val="24"/>
              </w:rPr>
              <w:t>Vlerësim</w:t>
            </w:r>
          </w:p>
        </w:tc>
      </w:tr>
      <w:tr w:rsidR="00451347" w14:paraId="0A5EF4DF" w14:textId="77777777">
        <w:trPr>
          <w:trHeight w:val="5518"/>
        </w:trPr>
        <w:tc>
          <w:tcPr>
            <w:tcW w:w="9532" w:type="dxa"/>
            <w:gridSpan w:val="5"/>
            <w:tcBorders>
              <w:top w:val="single" w:sz="2" w:space="0" w:color="000000"/>
              <w:left w:val="single" w:sz="2" w:space="0" w:color="000000"/>
              <w:bottom w:val="single" w:sz="2" w:space="0" w:color="000000"/>
              <w:right w:val="single" w:sz="2" w:space="0" w:color="000000"/>
            </w:tcBorders>
            <w:vAlign w:val="bottom"/>
          </w:tcPr>
          <w:p w14:paraId="25FA6021" w14:textId="77732B79" w:rsidR="00451347" w:rsidRPr="006C33DD" w:rsidRDefault="00327E7C" w:rsidP="006C33DD">
            <w:pPr>
              <w:spacing w:after="107" w:line="228" w:lineRule="auto"/>
              <w:jc w:val="both"/>
              <w:rPr>
                <w:b/>
              </w:rPr>
            </w:pPr>
            <w:r w:rsidRPr="006C33DD">
              <w:rPr>
                <w:b/>
                <w:sz w:val="26"/>
              </w:rPr>
              <w:lastRenderedPageBreak/>
              <w:t>Gjashtë anëtarë nga radhët e profesorëve të punësuar në universitetet në Republikën e Maqedonisë së Veriut të zgjedhur me votim të fshehtë nga Konferenca Ndëruniversitare</w:t>
            </w:r>
            <w:r w:rsidR="00AC1D3F" w:rsidRPr="006C33DD">
              <w:rPr>
                <w:b/>
                <w:sz w:val="26"/>
              </w:rPr>
              <w:t>:</w:t>
            </w:r>
          </w:p>
          <w:p w14:paraId="21147D01" w14:textId="77777777" w:rsidR="003636F8" w:rsidRDefault="003636F8">
            <w:pPr>
              <w:spacing w:after="147" w:line="216" w:lineRule="auto"/>
              <w:ind w:left="108" w:right="93" w:firstLine="7"/>
              <w:jc w:val="both"/>
              <w:rPr>
                <w:sz w:val="24"/>
              </w:rPr>
            </w:pPr>
            <w:r w:rsidRPr="003636F8">
              <w:rPr>
                <w:sz w:val="24"/>
              </w:rPr>
              <w:t>Prof. Dr. Dimitar Tashkovski, prof. Milla Arapçevska, Prof. Dr. Ebrar Ibraimi, Prof. Dr. Srean MiKiK, Prof. Dr. Klime Belevski, Prof. Dr. Darinka Gorgieva Ackova</w:t>
            </w:r>
          </w:p>
          <w:p w14:paraId="5C973414" w14:textId="2B53DF3D" w:rsidR="00451347" w:rsidRPr="00442F79" w:rsidRDefault="003636F8">
            <w:pPr>
              <w:spacing w:after="147" w:line="216" w:lineRule="auto"/>
              <w:ind w:left="108" w:right="93" w:firstLine="7"/>
              <w:jc w:val="both"/>
              <w:rPr>
                <w:b/>
              </w:rPr>
            </w:pPr>
            <w:r w:rsidRPr="00442F79">
              <w:rPr>
                <w:b/>
                <w:sz w:val="26"/>
              </w:rPr>
              <w:t>Gjashtë anëtarë të emëruar nga Qeveria e Republikës së Maqedonisë së Veriut, nga radhët e profesorëve të punësuar në universitetet publike në Republikën e Maqedonisë së Veriut</w:t>
            </w:r>
            <w:r w:rsidR="00AC1D3F" w:rsidRPr="00442F79">
              <w:rPr>
                <w:b/>
                <w:sz w:val="26"/>
              </w:rPr>
              <w:t>:</w:t>
            </w:r>
          </w:p>
          <w:p w14:paraId="2FB5C606" w14:textId="73112423" w:rsidR="00451347" w:rsidRDefault="003636F8">
            <w:pPr>
              <w:spacing w:after="156" w:line="223" w:lineRule="auto"/>
              <w:ind w:left="94" w:right="93" w:firstLine="14"/>
              <w:jc w:val="both"/>
            </w:pPr>
            <w:r w:rsidRPr="003636F8">
              <w:rPr>
                <w:sz w:val="24"/>
              </w:rPr>
              <w:t xml:space="preserve">Prof. Dr. Boro </w:t>
            </w:r>
            <w:r>
              <w:rPr>
                <w:sz w:val="24"/>
                <w:lang w:val="sq-MK"/>
              </w:rPr>
              <w:t>X</w:t>
            </w:r>
            <w:r w:rsidRPr="003636F8">
              <w:rPr>
                <w:sz w:val="24"/>
              </w:rPr>
              <w:t>honov, Prof. Dr. Tatjana Stojanovska Ivanova, Prof. Dr. Irina Joldeska, Prof. Dr. Hristina Spasevska, Prof. Dr. Vedije Ratkoceri, Prof. Dr. Suzana Aliu</w:t>
            </w:r>
          </w:p>
          <w:p w14:paraId="59032F10" w14:textId="7DBC20F1" w:rsidR="00451347" w:rsidRDefault="003636F8" w:rsidP="003636F8">
            <w:pPr>
              <w:spacing w:line="224" w:lineRule="auto"/>
              <w:ind w:left="94" w:right="93" w:firstLine="22"/>
              <w:jc w:val="both"/>
              <w:rPr>
                <w:sz w:val="24"/>
              </w:rPr>
            </w:pPr>
            <w:r w:rsidRPr="003636F8">
              <w:rPr>
                <w:sz w:val="24"/>
              </w:rPr>
              <w:t xml:space="preserve">Gjatë periudhës </w:t>
            </w:r>
            <w:r>
              <w:rPr>
                <w:sz w:val="24"/>
                <w:lang w:val="sq-MK"/>
              </w:rPr>
              <w:t xml:space="preserve">së </w:t>
            </w:r>
            <w:proofErr w:type="gramStart"/>
            <w:r w:rsidRPr="003636F8">
              <w:rPr>
                <w:sz w:val="24"/>
              </w:rPr>
              <w:t>raport</w:t>
            </w:r>
            <w:r>
              <w:rPr>
                <w:sz w:val="24"/>
                <w:lang w:val="sq-MK"/>
              </w:rPr>
              <w:t xml:space="preserve">imit  </w:t>
            </w:r>
            <w:r w:rsidRPr="003636F8">
              <w:rPr>
                <w:sz w:val="24"/>
              </w:rPr>
              <w:t>Qeveria</w:t>
            </w:r>
            <w:proofErr w:type="gramEnd"/>
            <w:r w:rsidRPr="003636F8">
              <w:rPr>
                <w:sz w:val="24"/>
              </w:rPr>
              <w:t xml:space="preserve"> e Republikës së Maqedonisë së Veriut propozoi anëtarë të rinj në vendin e Prof. Dr. Vedije Ratkoceri, Prof. Dr. Suzana Aliu dhe Prof. Dr. Boro Xhonov: Prof. Dr. Sahmedin Sali, Prof. Dr. Arianit Rekad dhe Prof. Dr. Toni</w:t>
            </w:r>
            <w:r>
              <w:rPr>
                <w:sz w:val="24"/>
                <w:lang w:val="sq-MK"/>
              </w:rPr>
              <w:t xml:space="preserve"> </w:t>
            </w:r>
            <w:r w:rsidRPr="003636F8">
              <w:rPr>
                <w:sz w:val="24"/>
              </w:rPr>
              <w:t>Risteski,</w:t>
            </w:r>
          </w:p>
          <w:p w14:paraId="3548ADB8" w14:textId="77777777" w:rsidR="003636F8" w:rsidRPr="003636F8" w:rsidRDefault="003636F8" w:rsidP="003636F8">
            <w:pPr>
              <w:spacing w:line="224" w:lineRule="auto"/>
              <w:ind w:left="94" w:right="93" w:firstLine="22"/>
              <w:jc w:val="both"/>
              <w:rPr>
                <w:sz w:val="24"/>
              </w:rPr>
            </w:pPr>
          </w:p>
          <w:p w14:paraId="47C246F8" w14:textId="77777777" w:rsidR="00CE02D5" w:rsidRPr="00CE02D5" w:rsidRDefault="003636F8" w:rsidP="00CE02D5">
            <w:pPr>
              <w:spacing w:after="11" w:line="337" w:lineRule="auto"/>
              <w:ind w:left="108" w:right="409" w:firstLine="7"/>
              <w:jc w:val="both"/>
              <w:rPr>
                <w:sz w:val="24"/>
              </w:rPr>
            </w:pPr>
            <w:r w:rsidRPr="003636F8">
              <w:rPr>
                <w:sz w:val="24"/>
              </w:rPr>
              <w:t>Një anëtar i emëruar nga organizata më përfaqësuese e punëdhënësve</w:t>
            </w:r>
            <w:r w:rsidR="00AC1D3F">
              <w:rPr>
                <w:sz w:val="24"/>
              </w:rPr>
              <w:t xml:space="preserve">: </w:t>
            </w:r>
            <w:r w:rsidR="00CE02D5" w:rsidRPr="00CE02D5">
              <w:rPr>
                <w:sz w:val="24"/>
              </w:rPr>
              <w:t>Svetllana Ristovska AntiK (Organizata e Punëdhënësve në Maqedoni).</w:t>
            </w:r>
          </w:p>
          <w:p w14:paraId="6A314D41" w14:textId="03296426" w:rsidR="00451347" w:rsidRPr="00442F79" w:rsidRDefault="00CE02D5" w:rsidP="00CE02D5">
            <w:pPr>
              <w:spacing w:after="11" w:line="337" w:lineRule="auto"/>
              <w:ind w:left="108" w:right="409" w:firstLine="7"/>
              <w:jc w:val="both"/>
              <w:rPr>
                <w:b/>
              </w:rPr>
            </w:pPr>
            <w:r w:rsidRPr="00442F79">
              <w:rPr>
                <w:b/>
                <w:sz w:val="24"/>
              </w:rPr>
              <w:t>Një anëtar i emëruar nga Akademia Maqedonase e Arteve dhe Shkencave:</w:t>
            </w:r>
          </w:p>
          <w:p w14:paraId="006DABA8" w14:textId="65F3C74A" w:rsidR="00451347" w:rsidRDefault="00451347">
            <w:pPr>
              <w:ind w:left="115"/>
            </w:pPr>
          </w:p>
        </w:tc>
      </w:tr>
    </w:tbl>
    <w:p w14:paraId="77E4C243" w14:textId="77777777" w:rsidR="00451347" w:rsidRDefault="00AC1D3F">
      <w:pPr>
        <w:spacing w:after="0"/>
        <w:jc w:val="right"/>
      </w:pPr>
      <w:r>
        <w:rPr>
          <w:sz w:val="34"/>
        </w:rPr>
        <w:t>1 /8</w:t>
      </w:r>
    </w:p>
    <w:p w14:paraId="1DFD72F9" w14:textId="77777777" w:rsidR="00451347" w:rsidRDefault="00451347">
      <w:pPr>
        <w:spacing w:after="0"/>
        <w:ind w:left="-1174" w:right="10008"/>
      </w:pPr>
    </w:p>
    <w:tbl>
      <w:tblPr>
        <w:tblStyle w:val="TableGrid"/>
        <w:tblW w:w="9509" w:type="dxa"/>
        <w:tblInd w:w="14" w:type="dxa"/>
        <w:tblCellMar>
          <w:top w:w="104" w:type="dxa"/>
          <w:left w:w="108" w:type="dxa"/>
          <w:right w:w="91" w:type="dxa"/>
        </w:tblCellMar>
        <w:tblLook w:val="04A0" w:firstRow="1" w:lastRow="0" w:firstColumn="1" w:lastColumn="0" w:noHBand="0" w:noVBand="1"/>
      </w:tblPr>
      <w:tblGrid>
        <w:gridCol w:w="9509"/>
      </w:tblGrid>
      <w:tr w:rsidR="00451347" w14:paraId="1E40919B" w14:textId="77777777">
        <w:trPr>
          <w:trHeight w:val="1375"/>
        </w:trPr>
        <w:tc>
          <w:tcPr>
            <w:tcW w:w="9509" w:type="dxa"/>
            <w:tcBorders>
              <w:top w:val="single" w:sz="2" w:space="0" w:color="000000"/>
              <w:left w:val="single" w:sz="2" w:space="0" w:color="000000"/>
              <w:bottom w:val="single" w:sz="2" w:space="0" w:color="000000"/>
              <w:right w:val="single" w:sz="2" w:space="0" w:color="000000"/>
            </w:tcBorders>
          </w:tcPr>
          <w:p w14:paraId="1F30889C" w14:textId="7E5A726D" w:rsidR="00451347" w:rsidRDefault="00CE02D5">
            <w:pPr>
              <w:spacing w:after="75"/>
            </w:pPr>
            <w:r w:rsidRPr="00CE02D5">
              <w:rPr>
                <w:sz w:val="24"/>
              </w:rPr>
              <w:t>Akademiku V</w:t>
            </w:r>
            <w:r w:rsidR="00442F79">
              <w:rPr>
                <w:sz w:val="24"/>
                <w:lang w:val="sq-MK"/>
              </w:rPr>
              <w:t>l</w:t>
            </w:r>
            <w:r w:rsidRPr="00CE02D5">
              <w:rPr>
                <w:sz w:val="24"/>
              </w:rPr>
              <w:t>lado Kambovski</w:t>
            </w:r>
            <w:r w:rsidR="00AC1D3F">
              <w:rPr>
                <w:sz w:val="24"/>
              </w:rPr>
              <w:t>.</w:t>
            </w:r>
          </w:p>
          <w:p w14:paraId="23F58D75" w14:textId="2AE7C49E" w:rsidR="00451347" w:rsidRPr="003F39AE" w:rsidRDefault="00CE02D5">
            <w:pPr>
              <w:ind w:left="14"/>
              <w:rPr>
                <w:b/>
              </w:rPr>
            </w:pPr>
            <w:r w:rsidRPr="003F39AE">
              <w:rPr>
                <w:b/>
                <w:sz w:val="26"/>
              </w:rPr>
              <w:t>Një anëtar i zgjedhur nga radhët e studentëve të zgjedhur nga Konferenca Ndëruniversitare:</w:t>
            </w:r>
          </w:p>
        </w:tc>
      </w:tr>
      <w:tr w:rsidR="00451347" w14:paraId="6824B72E" w14:textId="77777777">
        <w:trPr>
          <w:trHeight w:val="372"/>
        </w:trPr>
        <w:tc>
          <w:tcPr>
            <w:tcW w:w="9509" w:type="dxa"/>
            <w:tcBorders>
              <w:top w:val="single" w:sz="2" w:space="0" w:color="000000"/>
              <w:left w:val="single" w:sz="2" w:space="0" w:color="000000"/>
              <w:bottom w:val="single" w:sz="2" w:space="0" w:color="000000"/>
              <w:right w:val="single" w:sz="2" w:space="0" w:color="000000"/>
            </w:tcBorders>
          </w:tcPr>
          <w:p w14:paraId="2E1EA174" w14:textId="4264AA58" w:rsidR="00451347" w:rsidRDefault="00AC1D3F">
            <w:pPr>
              <w:ind w:left="7"/>
            </w:pPr>
            <w:proofErr w:type="gramStart"/>
            <w:r>
              <w:rPr>
                <w:sz w:val="24"/>
              </w:rPr>
              <w:t>З</w:t>
            </w:r>
            <w:r w:rsidR="00CE02D5">
              <w:rPr>
                <w:sz w:val="24"/>
                <w:lang w:val="sq-MK"/>
              </w:rPr>
              <w:t>.</w:t>
            </w:r>
            <w:r w:rsidR="00CE02D5" w:rsidRPr="00CE02D5">
              <w:rPr>
                <w:sz w:val="24"/>
              </w:rPr>
              <w:t>Ekspertë</w:t>
            </w:r>
            <w:proofErr w:type="gramEnd"/>
            <w:r w:rsidR="00CE02D5" w:rsidRPr="00CE02D5">
              <w:rPr>
                <w:sz w:val="24"/>
              </w:rPr>
              <w:t xml:space="preserve"> të jashtëm të përfshirë në procedurat e vlerësimit</w:t>
            </w:r>
          </w:p>
        </w:tc>
      </w:tr>
      <w:tr w:rsidR="00451347" w14:paraId="4AE62B92" w14:textId="77777777">
        <w:trPr>
          <w:trHeight w:val="497"/>
        </w:trPr>
        <w:tc>
          <w:tcPr>
            <w:tcW w:w="9509" w:type="dxa"/>
            <w:tcBorders>
              <w:top w:val="single" w:sz="2" w:space="0" w:color="000000"/>
              <w:left w:val="single" w:sz="2" w:space="0" w:color="000000"/>
              <w:bottom w:val="single" w:sz="2" w:space="0" w:color="000000"/>
              <w:right w:val="single" w:sz="2" w:space="0" w:color="000000"/>
            </w:tcBorders>
          </w:tcPr>
          <w:p w14:paraId="639449F5" w14:textId="77777777" w:rsidR="00451347" w:rsidRDefault="00451347"/>
        </w:tc>
      </w:tr>
      <w:tr w:rsidR="00451347" w14:paraId="72881FC2" w14:textId="77777777">
        <w:trPr>
          <w:trHeight w:val="367"/>
        </w:trPr>
        <w:tc>
          <w:tcPr>
            <w:tcW w:w="9509" w:type="dxa"/>
            <w:tcBorders>
              <w:top w:val="single" w:sz="2" w:space="0" w:color="000000"/>
              <w:left w:val="single" w:sz="2" w:space="0" w:color="000000"/>
              <w:bottom w:val="single" w:sz="2" w:space="0" w:color="000000"/>
              <w:right w:val="single" w:sz="2" w:space="0" w:color="000000"/>
            </w:tcBorders>
          </w:tcPr>
          <w:p w14:paraId="7B226BA2" w14:textId="68A55762" w:rsidR="00451347" w:rsidRDefault="00AC1D3F">
            <w:r>
              <w:rPr>
                <w:sz w:val="24"/>
              </w:rPr>
              <w:t>4.</w:t>
            </w:r>
            <w:r w:rsidR="00CE02D5" w:rsidRPr="00CE02D5">
              <w:rPr>
                <w:sz w:val="24"/>
              </w:rPr>
              <w:t>. Përmbledhje e shkurtër e vlerësimit të përgjithshëm për periudhën 01/01/2025-30/06/2025</w:t>
            </w:r>
          </w:p>
        </w:tc>
      </w:tr>
      <w:tr w:rsidR="00451347" w14:paraId="52B3CC32" w14:textId="77777777">
        <w:trPr>
          <w:trHeight w:val="11837"/>
        </w:trPr>
        <w:tc>
          <w:tcPr>
            <w:tcW w:w="9509" w:type="dxa"/>
            <w:tcBorders>
              <w:top w:val="single" w:sz="2" w:space="0" w:color="000000"/>
              <w:left w:val="single" w:sz="2" w:space="0" w:color="000000"/>
              <w:bottom w:val="single" w:sz="2" w:space="0" w:color="000000"/>
              <w:right w:val="single" w:sz="2" w:space="0" w:color="000000"/>
            </w:tcBorders>
            <w:vAlign w:val="bottom"/>
          </w:tcPr>
          <w:p w14:paraId="6578A0AC" w14:textId="77777777" w:rsidR="001E6101" w:rsidRDefault="001E6101">
            <w:pPr>
              <w:spacing w:after="110" w:line="216" w:lineRule="auto"/>
              <w:ind w:left="7"/>
              <w:jc w:val="both"/>
              <w:rPr>
                <w:sz w:val="24"/>
              </w:rPr>
            </w:pPr>
            <w:r w:rsidRPr="001E6101">
              <w:rPr>
                <w:sz w:val="24"/>
              </w:rPr>
              <w:lastRenderedPageBreak/>
              <w:t>Bordi vlerësues gjatë periudhës raportuese ka filluar procedurën për vlerësimin e jashtëm të institucioneve të arsimit të lartë (IAL) në Republikën e Maqedonisë së Veriut</w:t>
            </w:r>
            <w:r w:rsidR="00AC1D3F">
              <w:rPr>
                <w:sz w:val="24"/>
              </w:rPr>
              <w:t xml:space="preserve">. </w:t>
            </w:r>
            <w:r w:rsidRPr="001E6101">
              <w:rPr>
                <w:sz w:val="24"/>
              </w:rPr>
              <w:t>Në përputhje me Planin Vjetor të sjellur dhe në përputhje me ekspertët e huaj në dispozicion, në muajt Janar dhe Shkurt të vitit 2025, janë përzgjedhur gjashtë institucione të arsimit të lartë për zbatimin e procesit të vlerësimit të jashtëm. (Fakulteti i Ekonomisë - Universiteti Goce Dellçev, Akademia e Biznesit Smilevski - BAS, Fakulteti i Ekonomisë së Biznesit - Shkup, Fakulteti i Ekonomisë - AUE FON, Fakulteti i Turizmit - Universiteti i Shkupit dhe Fakulteti i Ekonomisë - Universiteti Ndërkombëtar i Strugës)</w:t>
            </w:r>
          </w:p>
          <w:p w14:paraId="422CE4FF" w14:textId="32EA9D4F" w:rsidR="00451347" w:rsidRDefault="001E6101">
            <w:pPr>
              <w:spacing w:after="110" w:line="216" w:lineRule="auto"/>
              <w:ind w:left="7"/>
              <w:jc w:val="both"/>
            </w:pPr>
            <w:r w:rsidRPr="001E6101">
              <w:rPr>
                <w:sz w:val="24"/>
              </w:rPr>
              <w:t>Për nevojat e procesit u kontaktuan ekspertë të huaj dhe u formuan komisionet e ekspertëve për IAL-të e përzgjedhura</w:t>
            </w:r>
            <w:r w:rsidR="00AC1D3F">
              <w:rPr>
                <w:sz w:val="24"/>
              </w:rPr>
              <w:t>.</w:t>
            </w:r>
          </w:p>
          <w:p w14:paraId="4659F119" w14:textId="5C193467" w:rsidR="00451347" w:rsidRDefault="0022515A">
            <w:pPr>
              <w:spacing w:after="122" w:line="216" w:lineRule="auto"/>
              <w:ind w:right="14" w:firstLine="14"/>
              <w:jc w:val="both"/>
            </w:pPr>
            <w:proofErr w:type="gramStart"/>
            <w:r w:rsidRPr="0022515A">
              <w:rPr>
                <w:sz w:val="24"/>
              </w:rPr>
              <w:t>N</w:t>
            </w:r>
            <w:r>
              <w:rPr>
                <w:sz w:val="24"/>
                <w:lang w:val="sq-MK"/>
              </w:rPr>
              <w:t xml:space="preserve">jëkohësishtë </w:t>
            </w:r>
            <w:r w:rsidRPr="0022515A">
              <w:rPr>
                <w:sz w:val="24"/>
              </w:rPr>
              <w:t>,</w:t>
            </w:r>
            <w:proofErr w:type="gramEnd"/>
            <w:r w:rsidRPr="0022515A">
              <w:rPr>
                <w:sz w:val="24"/>
              </w:rPr>
              <w:t xml:space="preserve"> u vendos kontakti me institucionet e arsimit të lartë (IAL) të përzgjedhura, të cilave iu prezantua procesi i vlerësimit të jashtëm</w:t>
            </w:r>
            <w:r w:rsidR="00AC1D3F">
              <w:rPr>
                <w:sz w:val="24"/>
              </w:rPr>
              <w:t xml:space="preserve">. </w:t>
            </w:r>
            <w:r w:rsidR="00095F67">
              <w:rPr>
                <w:sz w:val="24"/>
                <w:lang w:val="sq-MK"/>
              </w:rPr>
              <w:t>I</w:t>
            </w:r>
            <w:r w:rsidR="00095F67" w:rsidRPr="00095F67">
              <w:rPr>
                <w:sz w:val="24"/>
              </w:rPr>
              <w:t xml:space="preserve"> dorëzuan Bordit raportet e tyre të vetëvlerësimit.</w:t>
            </w:r>
            <w:r w:rsidR="00AC1D3F">
              <w:rPr>
                <w:sz w:val="24"/>
              </w:rPr>
              <w:t xml:space="preserve"> </w:t>
            </w:r>
            <w:r w:rsidR="00095F67" w:rsidRPr="00095F67">
              <w:rPr>
                <w:sz w:val="24"/>
              </w:rPr>
              <w:t>Megjithatë, për shkak të ndryshimit të pozicionit të drejtorit në Agjencinë për Cilësi në Arsimin e Lartë (</w:t>
            </w:r>
            <w:r w:rsidR="00AD5C1D" w:rsidRPr="00AD5C1D">
              <w:rPr>
                <w:sz w:val="24"/>
              </w:rPr>
              <w:t>ACAL</w:t>
            </w:r>
            <w:r w:rsidR="00095F67" w:rsidRPr="00095F67">
              <w:rPr>
                <w:sz w:val="24"/>
              </w:rPr>
              <w:t>), procesi u ndërpre përkohësisht për disa muaj</w:t>
            </w:r>
            <w:r w:rsidR="00095F67">
              <w:t xml:space="preserve"> </w:t>
            </w:r>
            <w:r w:rsidR="00095F67" w:rsidRPr="00095F67">
              <w:rPr>
                <w:sz w:val="24"/>
              </w:rPr>
              <w:t xml:space="preserve">Arsyeja e ndërprerjes ishte pamundësia për të ofruar MBËSHTETJE logjistike në kohë nga </w:t>
            </w:r>
            <w:r w:rsidR="00AD5C1D" w:rsidRPr="00AD5C1D">
              <w:rPr>
                <w:sz w:val="24"/>
              </w:rPr>
              <w:t xml:space="preserve">ACAL </w:t>
            </w:r>
            <w:r w:rsidR="00095F67" w:rsidRPr="00095F67">
              <w:rPr>
                <w:sz w:val="24"/>
              </w:rPr>
              <w:t>(sigurimi i biletave të avionit, akomodimi dhe aktiviteteve të tjera organizative)</w:t>
            </w:r>
            <w:r w:rsidR="00AC1D3F">
              <w:rPr>
                <w:sz w:val="24"/>
              </w:rPr>
              <w:t xml:space="preserve">. </w:t>
            </w:r>
            <w:r w:rsidR="00095F67" w:rsidRPr="00095F67">
              <w:rPr>
                <w:sz w:val="24"/>
              </w:rPr>
              <w:t xml:space="preserve">Kjo mbështetje pritet të bëhet e </w:t>
            </w:r>
            <w:proofErr w:type="gramStart"/>
            <w:r w:rsidR="00095F67" w:rsidRPr="00095F67">
              <w:rPr>
                <w:sz w:val="24"/>
              </w:rPr>
              <w:t>siguruar  deri</w:t>
            </w:r>
            <w:proofErr w:type="gramEnd"/>
            <w:r w:rsidR="00095F67" w:rsidRPr="00095F67">
              <w:rPr>
                <w:sz w:val="24"/>
              </w:rPr>
              <w:t xml:space="preserve"> në fund të muajve të verës, në mënyrë që procesi </w:t>
            </w:r>
            <w:r w:rsidR="00095F67">
              <w:rPr>
                <w:sz w:val="24"/>
                <w:lang w:val="sq-MK"/>
              </w:rPr>
              <w:t>Të</w:t>
            </w:r>
            <w:r w:rsidR="00095F67" w:rsidRPr="00095F67">
              <w:rPr>
                <w:sz w:val="24"/>
              </w:rPr>
              <w:t xml:space="preserve"> mund të vazhdojë në fillim të shtatorit.</w:t>
            </w:r>
          </w:p>
          <w:p w14:paraId="0383154A" w14:textId="21012C48" w:rsidR="00451347" w:rsidRPr="00711EA9" w:rsidRDefault="00095F67">
            <w:pPr>
              <w:spacing w:after="132" w:line="218" w:lineRule="auto"/>
              <w:ind w:right="7" w:firstLine="22"/>
              <w:jc w:val="both"/>
              <w:rPr>
                <w:lang w:val="sq-MK"/>
              </w:rPr>
            </w:pPr>
            <w:r w:rsidRPr="00095F67">
              <w:rPr>
                <w:sz w:val="24"/>
              </w:rPr>
              <w:t xml:space="preserve">Përveç gjashtë </w:t>
            </w:r>
            <w:r>
              <w:rPr>
                <w:sz w:val="24"/>
                <w:lang w:val="sq-MK"/>
              </w:rPr>
              <w:t>IAL</w:t>
            </w:r>
            <w:r w:rsidRPr="00095F67">
              <w:rPr>
                <w:sz w:val="24"/>
              </w:rPr>
              <w:t xml:space="preserve"> që kanë dorëzuar tashmë raportet, Bordi planifikon të kryejë edhe dy vlerësime të jashtme deri në fund të vitit.</w:t>
            </w:r>
            <w:r w:rsidR="00AC1D3F">
              <w:rPr>
                <w:sz w:val="24"/>
              </w:rPr>
              <w:t xml:space="preserve"> </w:t>
            </w:r>
            <w:r w:rsidR="00711EA9" w:rsidRPr="00711EA9">
              <w:rPr>
                <w:sz w:val="24"/>
              </w:rPr>
              <w:t>Gjegjësisht, në qershor, me kërkesë të Ministrisë së Arsimit dhe Shkencës, u formuan komisione ekspertësh për vlerësimin e dy institucioneve të tjera: Fakultetit Juridik në Universitetin Ndërkombëtar “Vizion” Gostivar dhe Fakultetit të Shkencave Juridike, Marrëdhënieve dhe Diplomacisë në Universitetin MIT. Të dy institucionet janë në proces të përgatitjes së raporteve të vetëvlerësimit, të cilat duhet t'i dorëzojnë deri në fund të shtatorit, e cila do të vijojë me vizitën e tyre nga komisionet e ekspertëve dhe përgatitjen e raporteve përfundimtare</w:t>
            </w:r>
            <w:r w:rsidR="00711EA9">
              <w:rPr>
                <w:sz w:val="24"/>
                <w:lang w:val="sq-MK"/>
              </w:rPr>
              <w:t>.</w:t>
            </w:r>
          </w:p>
          <w:p w14:paraId="489990E5" w14:textId="77777777" w:rsidR="00843E15" w:rsidRDefault="00711EA9">
            <w:pPr>
              <w:ind w:left="21" w:hanging="7"/>
              <w:jc w:val="both"/>
              <w:rPr>
                <w:sz w:val="24"/>
              </w:rPr>
            </w:pPr>
            <w:r w:rsidRPr="00711EA9">
              <w:rPr>
                <w:sz w:val="24"/>
              </w:rPr>
              <w:t>Në periudhën raportuese, Bordi përfundoi procedurën pas thirrjes publike për angazhimin e ekspertëve dhe studentëve të huaj për vitin 2024</w:t>
            </w:r>
            <w:r w:rsidR="00AC1D3F">
              <w:rPr>
                <w:sz w:val="24"/>
              </w:rPr>
              <w:t xml:space="preserve">. </w:t>
            </w:r>
            <w:r w:rsidRPr="00711EA9">
              <w:rPr>
                <w:sz w:val="24"/>
              </w:rPr>
              <w:t>Edhe pse në thirrje u pranuan 40 aplikime, vetëm pesë ekspertë të huaj plotësuan kriteret e përcaktuara</w:t>
            </w:r>
            <w:r w:rsidR="00AC1D3F">
              <w:rPr>
                <w:sz w:val="24"/>
              </w:rPr>
              <w:t xml:space="preserve">. </w:t>
            </w:r>
            <w:r w:rsidRPr="00711EA9">
              <w:rPr>
                <w:sz w:val="24"/>
              </w:rPr>
              <w:t xml:space="preserve">Anëtarët e Bordit vlerësuan se kriteret ishin shumë </w:t>
            </w:r>
            <w:r w:rsidR="0018257F" w:rsidRPr="0018257F">
              <w:rPr>
                <w:sz w:val="24"/>
              </w:rPr>
              <w:t>restriktiv</w:t>
            </w:r>
            <w:r w:rsidRPr="00711EA9">
              <w:rPr>
                <w:sz w:val="24"/>
              </w:rPr>
              <w:t xml:space="preserve">e dhe iniciuan procedurë për ndryshimin dhe plotësimin e Rregullores </w:t>
            </w:r>
            <w:proofErr w:type="gramStart"/>
            <w:r w:rsidR="00B84F4C">
              <w:rPr>
                <w:sz w:val="24"/>
                <w:lang w:val="sq-MK"/>
              </w:rPr>
              <w:t xml:space="preserve">për </w:t>
            </w:r>
            <w:r w:rsidRPr="00711EA9">
              <w:rPr>
                <w:sz w:val="24"/>
              </w:rPr>
              <w:t xml:space="preserve"> standardet</w:t>
            </w:r>
            <w:proofErr w:type="gramEnd"/>
            <w:r w:rsidRPr="00711EA9">
              <w:rPr>
                <w:sz w:val="24"/>
              </w:rPr>
              <w:t xml:space="preserve"> dhe procedurën për vlerësimin e jashtëm dhe vetëvlerësimin</w:t>
            </w:r>
            <w:r w:rsidR="00AC1D3F">
              <w:rPr>
                <w:sz w:val="24"/>
              </w:rPr>
              <w:t xml:space="preserve">. </w:t>
            </w:r>
            <w:r w:rsidR="000778EF">
              <w:rPr>
                <w:sz w:val="24"/>
                <w:lang w:val="sq-MK"/>
              </w:rPr>
              <w:t xml:space="preserve">Ndryshimi </w:t>
            </w:r>
            <w:r w:rsidR="000778EF" w:rsidRPr="000778EF">
              <w:rPr>
                <w:sz w:val="24"/>
              </w:rPr>
              <w:t>ka të bëjë me Nenin 10, paragrafi</w:t>
            </w:r>
            <w:r w:rsidR="000778EF">
              <w:rPr>
                <w:sz w:val="24"/>
                <w:lang w:val="sq-MK"/>
              </w:rPr>
              <w:t>n</w:t>
            </w:r>
            <w:r w:rsidR="000778EF" w:rsidRPr="000778EF">
              <w:rPr>
                <w:sz w:val="24"/>
              </w:rPr>
              <w:t xml:space="preserve"> 3, i cili propozon që kriteri</w:t>
            </w:r>
            <w:r w:rsidR="000778EF">
              <w:rPr>
                <w:sz w:val="24"/>
                <w:lang w:val="sq-MK"/>
              </w:rPr>
              <w:t xml:space="preserve"> </w:t>
            </w:r>
            <w:r w:rsidR="000778EF" w:rsidRPr="000778EF">
              <w:rPr>
                <w:sz w:val="24"/>
              </w:rPr>
              <w:t>për përzgjedhjen e vlerësuesve duhet të parashikojë përvojë</w:t>
            </w:r>
            <w:r w:rsidR="000778EF">
              <w:rPr>
                <w:sz w:val="24"/>
                <w:lang w:val="sq-MK"/>
              </w:rPr>
              <w:t>n</w:t>
            </w:r>
            <w:r w:rsidR="000778EF" w:rsidRPr="000778EF">
              <w:rPr>
                <w:sz w:val="24"/>
              </w:rPr>
              <w:t xml:space="preserve"> </w:t>
            </w:r>
            <w:r w:rsidR="000778EF">
              <w:rPr>
                <w:sz w:val="24"/>
                <w:lang w:val="sq-MK"/>
              </w:rPr>
              <w:t xml:space="preserve">e </w:t>
            </w:r>
            <w:r w:rsidR="000778EF" w:rsidRPr="000778EF">
              <w:rPr>
                <w:sz w:val="24"/>
              </w:rPr>
              <w:t xml:space="preserve"> mëparshme </w:t>
            </w:r>
            <w:r w:rsidR="00843E15" w:rsidRPr="00843E15">
              <w:rPr>
                <w:sz w:val="24"/>
              </w:rPr>
              <w:t xml:space="preserve">të detyrueshme në vlerësimin ose akreditimin e të paktën dy institucioneve të arsimit të lartë në vend ose </w:t>
            </w:r>
            <w:r w:rsidR="00843E15">
              <w:rPr>
                <w:sz w:val="24"/>
                <w:lang w:val="sq-MK"/>
              </w:rPr>
              <w:t xml:space="preserve">në </w:t>
            </w:r>
            <w:r w:rsidR="00843E15" w:rsidRPr="00843E15">
              <w:rPr>
                <w:sz w:val="24"/>
              </w:rPr>
              <w:t xml:space="preserve">shtete anëtare të Bashkimit Evropian. Iniciativa u pranua nga Këshilli Kombëtar, si autoriteti kompetent për </w:t>
            </w:r>
            <w:proofErr w:type="gramStart"/>
            <w:r w:rsidR="00843E15">
              <w:rPr>
                <w:sz w:val="24"/>
                <w:lang w:val="sq-MK"/>
              </w:rPr>
              <w:t xml:space="preserve">sjelljen </w:t>
            </w:r>
            <w:r w:rsidR="00843E15" w:rsidRPr="00843E15">
              <w:rPr>
                <w:sz w:val="24"/>
              </w:rPr>
              <w:t xml:space="preserve"> e</w:t>
            </w:r>
            <w:proofErr w:type="gramEnd"/>
            <w:r w:rsidR="00843E15" w:rsidRPr="00843E15">
              <w:rPr>
                <w:sz w:val="24"/>
              </w:rPr>
              <w:t xml:space="preserve"> Rregullores, dhe ndryshimet u </w:t>
            </w:r>
            <w:r w:rsidR="00843E15">
              <w:rPr>
                <w:sz w:val="24"/>
                <w:lang w:val="sq-MK"/>
              </w:rPr>
              <w:t xml:space="preserve">shpallën </w:t>
            </w:r>
            <w:r w:rsidR="00843E15" w:rsidRPr="00843E15">
              <w:rPr>
                <w:sz w:val="24"/>
              </w:rPr>
              <w:t xml:space="preserve"> në Gazetën Zyrtare.</w:t>
            </w:r>
          </w:p>
          <w:p w14:paraId="4E23B4AB" w14:textId="77777777" w:rsidR="00843E15" w:rsidRDefault="00843E15">
            <w:pPr>
              <w:ind w:left="21" w:hanging="7"/>
              <w:jc w:val="both"/>
              <w:rPr>
                <w:sz w:val="24"/>
              </w:rPr>
            </w:pPr>
          </w:p>
          <w:p w14:paraId="30D0BB72" w14:textId="06301069" w:rsidR="00451347" w:rsidRDefault="00843E15">
            <w:pPr>
              <w:ind w:left="21" w:hanging="7"/>
              <w:jc w:val="both"/>
            </w:pPr>
            <w:r w:rsidRPr="00843E15">
              <w:rPr>
                <w:sz w:val="24"/>
              </w:rPr>
              <w:t xml:space="preserve">Thirrja publike për vitin 2025 u publikua në përputhje me kriteret e reja në maj, në </w:t>
            </w:r>
            <w:r>
              <w:rPr>
                <w:sz w:val="24"/>
                <w:lang w:val="sq-MK"/>
              </w:rPr>
              <w:t>ueb -</w:t>
            </w:r>
            <w:r w:rsidRPr="00843E15">
              <w:rPr>
                <w:sz w:val="24"/>
              </w:rPr>
              <w:t>faqen e A</w:t>
            </w:r>
            <w:r>
              <w:rPr>
                <w:sz w:val="24"/>
                <w:lang w:val="sq-MK"/>
              </w:rPr>
              <w:t>CAL</w:t>
            </w:r>
            <w:r w:rsidRPr="00843E15">
              <w:rPr>
                <w:sz w:val="24"/>
              </w:rPr>
              <w:t xml:space="preserve">-së dhe </w:t>
            </w:r>
            <w:r>
              <w:rPr>
                <w:sz w:val="24"/>
                <w:lang w:val="sq-MK"/>
              </w:rPr>
              <w:t xml:space="preserve">në </w:t>
            </w:r>
            <w:r w:rsidRPr="00843E15">
              <w:rPr>
                <w:sz w:val="24"/>
              </w:rPr>
              <w:t>ueb -faqen e ENQA-së, dhe u shpërnda në një numër të madh universitetesh, kryesisht përmes ekspertëve të lidhur me HaofaaT në listën e ekspertëve të huaj.</w:t>
            </w:r>
            <w:r w:rsidR="00AC1D3F">
              <w:rPr>
                <w:sz w:val="24"/>
              </w:rPr>
              <w:t xml:space="preserve"> </w:t>
            </w:r>
            <w:r w:rsidR="00AD5C1D" w:rsidRPr="00AD5C1D">
              <w:rPr>
                <w:sz w:val="24"/>
              </w:rPr>
              <w:t>Në thirrje aplikuan 36 kandidatë</w:t>
            </w:r>
            <w:r w:rsidR="00AC1D3F">
              <w:rPr>
                <w:sz w:val="24"/>
              </w:rPr>
              <w:t xml:space="preserve">, </w:t>
            </w:r>
            <w:r w:rsidR="00AD5C1D" w:rsidRPr="00AD5C1D">
              <w:rPr>
                <w:sz w:val="24"/>
              </w:rPr>
              <w:t>prej të cilëve 9 i plotësojnë kushtet e parapara me thirrjen publike. Me përfshirjen e tyre, lista e ekspertëve është rritur në rreth 40. Shumica e ekspertëve janë nga fusha e shkencave shoqërore dhe humane.</w:t>
            </w:r>
          </w:p>
        </w:tc>
      </w:tr>
    </w:tbl>
    <w:p w14:paraId="56AD7474" w14:textId="77777777" w:rsidR="00451347" w:rsidRDefault="00451347">
      <w:pPr>
        <w:spacing w:after="0"/>
        <w:ind w:left="-1174" w:right="10008"/>
      </w:pPr>
    </w:p>
    <w:tbl>
      <w:tblPr>
        <w:tblStyle w:val="TableGrid"/>
        <w:tblW w:w="9511" w:type="dxa"/>
        <w:tblInd w:w="7" w:type="dxa"/>
        <w:tblCellMar>
          <w:top w:w="52" w:type="dxa"/>
          <w:left w:w="108" w:type="dxa"/>
          <w:right w:w="101" w:type="dxa"/>
        </w:tblCellMar>
        <w:tblLook w:val="04A0" w:firstRow="1" w:lastRow="0" w:firstColumn="1" w:lastColumn="0" w:noHBand="0" w:noVBand="1"/>
      </w:tblPr>
      <w:tblGrid>
        <w:gridCol w:w="9511"/>
      </w:tblGrid>
      <w:tr w:rsidR="00451347" w14:paraId="1A0EDA01" w14:textId="77777777">
        <w:trPr>
          <w:trHeight w:val="626"/>
        </w:trPr>
        <w:tc>
          <w:tcPr>
            <w:tcW w:w="9511" w:type="dxa"/>
            <w:tcBorders>
              <w:top w:val="single" w:sz="2" w:space="0" w:color="000000"/>
              <w:left w:val="single" w:sz="2" w:space="0" w:color="000000"/>
              <w:bottom w:val="single" w:sz="2" w:space="0" w:color="000000"/>
              <w:right w:val="single" w:sz="2" w:space="0" w:color="000000"/>
            </w:tcBorders>
          </w:tcPr>
          <w:p w14:paraId="57595B42" w14:textId="7CF23281" w:rsidR="00451347" w:rsidRDefault="00451347">
            <w:pPr>
              <w:ind w:left="7"/>
              <w:jc w:val="both"/>
            </w:pPr>
          </w:p>
        </w:tc>
      </w:tr>
      <w:tr w:rsidR="00451347" w14:paraId="6E0176BA" w14:textId="77777777">
        <w:trPr>
          <w:trHeight w:val="374"/>
        </w:trPr>
        <w:tc>
          <w:tcPr>
            <w:tcW w:w="9511" w:type="dxa"/>
            <w:tcBorders>
              <w:top w:val="single" w:sz="2" w:space="0" w:color="000000"/>
              <w:left w:val="single" w:sz="2" w:space="0" w:color="000000"/>
              <w:bottom w:val="single" w:sz="2" w:space="0" w:color="000000"/>
              <w:right w:val="single" w:sz="2" w:space="0" w:color="000000"/>
            </w:tcBorders>
          </w:tcPr>
          <w:p w14:paraId="46CE28D6" w14:textId="02CC573A" w:rsidR="00451347" w:rsidRDefault="00AC1D3F">
            <w:pPr>
              <w:ind w:left="14"/>
            </w:pPr>
            <w:r>
              <w:rPr>
                <w:sz w:val="24"/>
              </w:rPr>
              <w:t xml:space="preserve">5. </w:t>
            </w:r>
            <w:r w:rsidR="00AD5C1D" w:rsidRPr="00AD5C1D">
              <w:rPr>
                <w:sz w:val="24"/>
              </w:rPr>
              <w:t>Përmbledhje e shkurtër për periudhën e ardhshme 01/07/2025 — 31/12/2025</w:t>
            </w:r>
          </w:p>
        </w:tc>
      </w:tr>
      <w:tr w:rsidR="00451347" w14:paraId="6DD6BC35" w14:textId="77777777">
        <w:trPr>
          <w:trHeight w:val="7255"/>
        </w:trPr>
        <w:tc>
          <w:tcPr>
            <w:tcW w:w="9511" w:type="dxa"/>
            <w:tcBorders>
              <w:top w:val="single" w:sz="2" w:space="0" w:color="000000"/>
              <w:left w:val="single" w:sz="2" w:space="0" w:color="000000"/>
              <w:bottom w:val="single" w:sz="2" w:space="0" w:color="000000"/>
              <w:right w:val="single" w:sz="2" w:space="0" w:color="000000"/>
            </w:tcBorders>
          </w:tcPr>
          <w:p w14:paraId="43F06067" w14:textId="292DC06A" w:rsidR="00823905" w:rsidRDefault="00AD5C1D">
            <w:pPr>
              <w:spacing w:after="141" w:line="219" w:lineRule="auto"/>
              <w:ind w:left="742"/>
              <w:jc w:val="both"/>
              <w:rPr>
                <w:sz w:val="24"/>
              </w:rPr>
            </w:pPr>
            <w:r w:rsidRPr="00AD5C1D">
              <w:rPr>
                <w:sz w:val="24"/>
              </w:rPr>
              <w:lastRenderedPageBreak/>
              <w:t xml:space="preserve">Aktivitetet kryesore në periudhën e ardhshme do të synojnë zbatimin e vlerësimit të institucioneve të arsimit të lartë (IAL) tashmë të </w:t>
            </w:r>
            <w:r>
              <w:rPr>
                <w:sz w:val="24"/>
                <w:lang w:val="sq-MK"/>
              </w:rPr>
              <w:t>selektuara</w:t>
            </w:r>
            <w:r w:rsidRPr="00AD5C1D">
              <w:rPr>
                <w:sz w:val="24"/>
              </w:rPr>
              <w:t>, të cilat kanë dorëzuar raporte vetëvlerësimi, si dhe përzgjedhjen dhe vlerësimin e IAL-ve të reja</w:t>
            </w:r>
            <w:r w:rsidR="00AC1D3F">
              <w:rPr>
                <w:sz w:val="24"/>
              </w:rPr>
              <w:t xml:space="preserve">. </w:t>
            </w:r>
            <w:r w:rsidR="00823905" w:rsidRPr="00823905">
              <w:rPr>
                <w:sz w:val="24"/>
              </w:rPr>
              <w:t>Në këtë drejtim, janë planifikuar aktivitetet e mëposhtme:</w:t>
            </w:r>
          </w:p>
          <w:p w14:paraId="0405AD46" w14:textId="70789279" w:rsidR="00451347" w:rsidRDefault="00D31F60">
            <w:pPr>
              <w:spacing w:after="141" w:line="219" w:lineRule="auto"/>
              <w:ind w:left="742"/>
              <w:jc w:val="both"/>
            </w:pPr>
            <w:proofErr w:type="gramStart"/>
            <w:r w:rsidRPr="00D31F60">
              <w:rPr>
                <w:sz w:val="40"/>
                <w:szCs w:val="40"/>
              </w:rPr>
              <w:t>.</w:t>
            </w:r>
            <w:r w:rsidR="00823905" w:rsidRPr="00823905">
              <w:rPr>
                <w:sz w:val="24"/>
              </w:rPr>
              <w:t>Vizitë</w:t>
            </w:r>
            <w:proofErr w:type="gramEnd"/>
            <w:r w:rsidR="00823905" w:rsidRPr="00823905">
              <w:rPr>
                <w:sz w:val="24"/>
              </w:rPr>
              <w:t xml:space="preserve"> në 8 institucione të arsimit të lartë nga komisionet e ekspertëve deri në fund të </w:t>
            </w:r>
            <w:r w:rsidR="00536FE9">
              <w:rPr>
                <w:sz w:val="24"/>
                <w:lang w:val="sq-MK"/>
              </w:rPr>
              <w:t xml:space="preserve">muajit </w:t>
            </w:r>
            <w:r w:rsidR="00823905" w:rsidRPr="00823905">
              <w:rPr>
                <w:sz w:val="24"/>
              </w:rPr>
              <w:t>nëntor</w:t>
            </w:r>
            <w:r w:rsidR="00536FE9">
              <w:rPr>
                <w:sz w:val="24"/>
                <w:lang w:val="sq-MK"/>
              </w:rPr>
              <w:t>ë</w:t>
            </w:r>
            <w:r w:rsidR="00823905" w:rsidRPr="00823905">
              <w:rPr>
                <w:sz w:val="24"/>
              </w:rPr>
              <w:t xml:space="preserve"> </w:t>
            </w:r>
            <w:r w:rsidR="00536FE9">
              <w:rPr>
                <w:sz w:val="24"/>
                <w:lang w:val="sq-MK"/>
              </w:rPr>
              <w:t xml:space="preserve">të vitit </w:t>
            </w:r>
            <w:r w:rsidR="00823905" w:rsidRPr="00823905">
              <w:rPr>
                <w:sz w:val="24"/>
              </w:rPr>
              <w:t>2025</w:t>
            </w:r>
          </w:p>
          <w:p w14:paraId="68D50E06" w14:textId="71AB8D3E" w:rsidR="00451347" w:rsidRDefault="00D31F60">
            <w:pPr>
              <w:spacing w:after="116" w:line="219" w:lineRule="auto"/>
              <w:ind w:left="734" w:right="22" w:firstLine="7"/>
              <w:jc w:val="both"/>
            </w:pPr>
            <w:proofErr w:type="gramStart"/>
            <w:r w:rsidRPr="00D31F60">
              <w:rPr>
                <w:sz w:val="40"/>
                <w:szCs w:val="40"/>
              </w:rPr>
              <w:t>.</w:t>
            </w:r>
            <w:r w:rsidR="009D759D" w:rsidRPr="009D759D">
              <w:rPr>
                <w:sz w:val="24"/>
              </w:rPr>
              <w:t>Shkrimi</w:t>
            </w:r>
            <w:proofErr w:type="gramEnd"/>
            <w:r w:rsidR="009D759D" w:rsidRPr="009D759D">
              <w:rPr>
                <w:sz w:val="24"/>
              </w:rPr>
              <w:t xml:space="preserve"> i raporteve dhe dhënia </w:t>
            </w:r>
            <w:r w:rsidR="009D759D">
              <w:rPr>
                <w:sz w:val="24"/>
                <w:lang w:val="sq-MK"/>
              </w:rPr>
              <w:t>notës</w:t>
            </w:r>
            <w:r w:rsidR="009D759D" w:rsidRPr="009D759D">
              <w:rPr>
                <w:sz w:val="24"/>
              </w:rPr>
              <w:t xml:space="preserve"> për vlerësimin e jashtëm të kryer nga komisionet e ekspertëve, si dhe paraqitja e raporteve </w:t>
            </w:r>
            <w:r w:rsidR="003227F4" w:rsidRPr="003227F4">
              <w:rPr>
                <w:sz w:val="24"/>
              </w:rPr>
              <w:t xml:space="preserve">për miratim </w:t>
            </w:r>
            <w:r w:rsidR="009D759D" w:rsidRPr="009D759D">
              <w:rPr>
                <w:sz w:val="24"/>
              </w:rPr>
              <w:t>nga Bordi për Vlerësimin e Arsimit të Lartë (dhjetor 2025)</w:t>
            </w:r>
            <w:r w:rsidR="00AC1D3F">
              <w:rPr>
                <w:sz w:val="24"/>
              </w:rPr>
              <w:t>.</w:t>
            </w:r>
          </w:p>
          <w:p w14:paraId="776D4827" w14:textId="30CDCFA7" w:rsidR="003227F4" w:rsidRDefault="00D31F60">
            <w:pPr>
              <w:spacing w:after="126" w:line="228" w:lineRule="auto"/>
              <w:ind w:left="734"/>
              <w:jc w:val="both"/>
              <w:rPr>
                <w:sz w:val="24"/>
              </w:rPr>
            </w:pPr>
            <w:r w:rsidRPr="00D31F60">
              <w:rPr>
                <w:sz w:val="40"/>
                <w:szCs w:val="40"/>
                <w:lang w:val="sq-MK"/>
              </w:rPr>
              <w:t>.</w:t>
            </w:r>
            <w:r w:rsidR="003227F4">
              <w:rPr>
                <w:sz w:val="24"/>
                <w:lang w:val="sq-MK"/>
              </w:rPr>
              <w:t xml:space="preserve">Sjellja e </w:t>
            </w:r>
            <w:r w:rsidR="003227F4" w:rsidRPr="003227F4">
              <w:rPr>
                <w:sz w:val="24"/>
              </w:rPr>
              <w:t xml:space="preserve"> Plani</w:t>
            </w:r>
            <w:r w:rsidR="003227F4">
              <w:rPr>
                <w:sz w:val="24"/>
                <w:lang w:val="sq-MK"/>
              </w:rPr>
              <w:t>t</w:t>
            </w:r>
            <w:r w:rsidR="003227F4" w:rsidRPr="003227F4">
              <w:rPr>
                <w:sz w:val="24"/>
              </w:rPr>
              <w:t xml:space="preserve"> Vjetor për zbatimin e vlerësimit të jashtëm të institucioneve të arsimit të lartë në Republikën e Maqedonisë </w:t>
            </w:r>
            <w:r w:rsidR="003227F4">
              <w:rPr>
                <w:sz w:val="24"/>
                <w:lang w:val="sq-MK"/>
              </w:rPr>
              <w:t xml:space="preserve">së Veriut </w:t>
            </w:r>
            <w:r w:rsidR="003227F4" w:rsidRPr="003227F4">
              <w:rPr>
                <w:sz w:val="24"/>
              </w:rPr>
              <w:t xml:space="preserve">për periudhën shtator </w:t>
            </w:r>
            <w:r w:rsidR="003227F4">
              <w:rPr>
                <w:sz w:val="24"/>
                <w:lang w:val="sq-MK"/>
              </w:rPr>
              <w:t xml:space="preserve">të vitit </w:t>
            </w:r>
            <w:r w:rsidR="003227F4" w:rsidRPr="003227F4">
              <w:rPr>
                <w:sz w:val="24"/>
              </w:rPr>
              <w:t>2025 - gusht 2026 (shtator 2025).</w:t>
            </w:r>
          </w:p>
          <w:p w14:paraId="5D68ABF4" w14:textId="779098D7" w:rsidR="003227F4" w:rsidRDefault="00D31F60">
            <w:pPr>
              <w:spacing w:after="133" w:line="223" w:lineRule="auto"/>
              <w:ind w:left="727" w:right="22" w:firstLine="7"/>
              <w:jc w:val="both"/>
              <w:rPr>
                <w:sz w:val="24"/>
              </w:rPr>
            </w:pPr>
            <w:proofErr w:type="gramStart"/>
            <w:r w:rsidRPr="00D31F60">
              <w:rPr>
                <w:sz w:val="40"/>
                <w:szCs w:val="40"/>
              </w:rPr>
              <w:t>.</w:t>
            </w:r>
            <w:r w:rsidR="003227F4" w:rsidRPr="003227F4">
              <w:rPr>
                <w:sz w:val="24"/>
              </w:rPr>
              <w:t>Formimi</w:t>
            </w:r>
            <w:proofErr w:type="gramEnd"/>
            <w:r w:rsidR="003227F4" w:rsidRPr="003227F4">
              <w:rPr>
                <w:sz w:val="24"/>
              </w:rPr>
              <w:t xml:space="preserve"> i komisioneve të ekspertëve për zbatimin e vlerësimit të jashtëm të gjashtë institucioneve të arsimit të lartë në Republikën e Maqedonisë së Veriut (tetor 2025).</w:t>
            </w:r>
          </w:p>
          <w:p w14:paraId="11B0E849" w14:textId="1FC5855F" w:rsidR="00451347" w:rsidRDefault="00D31F60">
            <w:pPr>
              <w:spacing w:after="133" w:line="223" w:lineRule="auto"/>
              <w:ind w:left="727" w:right="22" w:firstLine="7"/>
              <w:jc w:val="both"/>
            </w:pPr>
            <w:proofErr w:type="gramStart"/>
            <w:r w:rsidRPr="00D31F60">
              <w:rPr>
                <w:sz w:val="40"/>
                <w:szCs w:val="40"/>
              </w:rPr>
              <w:t>.</w:t>
            </w:r>
            <w:r w:rsidR="003227F4" w:rsidRPr="003227F4">
              <w:rPr>
                <w:sz w:val="24"/>
              </w:rPr>
              <w:t>Zbatimi</w:t>
            </w:r>
            <w:proofErr w:type="gramEnd"/>
            <w:r w:rsidR="003227F4" w:rsidRPr="003227F4">
              <w:rPr>
                <w:sz w:val="24"/>
              </w:rPr>
              <w:t xml:space="preserve"> i trajnimit për anëtarët e </w:t>
            </w:r>
            <w:r w:rsidR="00584FBE" w:rsidRPr="00584FBE">
              <w:rPr>
                <w:sz w:val="24"/>
                <w:lang w:val="sq-MK"/>
              </w:rPr>
              <w:t>BV</w:t>
            </w:r>
            <w:r w:rsidR="00584FBE" w:rsidRPr="003227F4">
              <w:rPr>
                <w:sz w:val="24"/>
              </w:rPr>
              <w:t xml:space="preserve"> </w:t>
            </w:r>
            <w:r w:rsidR="003227F4" w:rsidRPr="003227F4">
              <w:rPr>
                <w:sz w:val="24"/>
              </w:rPr>
              <w:t>dhe ekspertë të huaj për procesin e vlerësimit të jashtëm të arsimit të lartë në Republikën e Maqedonisë së Veriut (tetor 2025).</w:t>
            </w:r>
          </w:p>
          <w:p w14:paraId="4ACC0266" w14:textId="118281F1" w:rsidR="00451347" w:rsidRDefault="00D31F60">
            <w:pPr>
              <w:spacing w:after="120" w:line="216" w:lineRule="auto"/>
              <w:ind w:left="734" w:firstLine="7"/>
              <w:jc w:val="both"/>
            </w:pPr>
            <w:proofErr w:type="gramStart"/>
            <w:r w:rsidRPr="00D31F60">
              <w:rPr>
                <w:sz w:val="40"/>
                <w:szCs w:val="40"/>
              </w:rPr>
              <w:t>.</w:t>
            </w:r>
            <w:r w:rsidR="00184D28" w:rsidRPr="00184D28">
              <w:rPr>
                <w:sz w:val="24"/>
              </w:rPr>
              <w:t>Njoftim</w:t>
            </w:r>
            <w:proofErr w:type="gramEnd"/>
            <w:r w:rsidR="00184D28" w:rsidRPr="00184D28">
              <w:rPr>
                <w:sz w:val="24"/>
              </w:rPr>
              <w:t xml:space="preserve"> dhe vizita në njësitë që do t'i nënshtrohen vlerësimit të jashtëm, me qëllim </w:t>
            </w:r>
            <w:r w:rsidR="00184D28">
              <w:rPr>
                <w:sz w:val="24"/>
                <w:lang w:val="sq-MK"/>
              </w:rPr>
              <w:t xml:space="preserve">për </w:t>
            </w:r>
            <w:r w:rsidR="00184D28" w:rsidRPr="00184D28">
              <w:rPr>
                <w:sz w:val="24"/>
              </w:rPr>
              <w:t>përgatitjen për procesin e ardhshëm (dhjetor 2025).</w:t>
            </w:r>
          </w:p>
          <w:p w14:paraId="0F84E0A5" w14:textId="2367FCF3" w:rsidR="00451347" w:rsidRDefault="00D31F60">
            <w:pPr>
              <w:spacing w:after="146" w:line="216" w:lineRule="auto"/>
              <w:ind w:left="727" w:hanging="7"/>
            </w:pPr>
            <w:proofErr w:type="gramStart"/>
            <w:r w:rsidRPr="00D31F60">
              <w:rPr>
                <w:sz w:val="40"/>
                <w:szCs w:val="40"/>
              </w:rPr>
              <w:t>.</w:t>
            </w:r>
            <w:r w:rsidR="00184D28" w:rsidRPr="00184D28">
              <w:rPr>
                <w:sz w:val="24"/>
              </w:rPr>
              <w:t>Analizimi</w:t>
            </w:r>
            <w:proofErr w:type="gramEnd"/>
            <w:r w:rsidR="00184D28" w:rsidRPr="00184D28">
              <w:rPr>
                <w:sz w:val="24"/>
              </w:rPr>
              <w:t xml:space="preserve"> i procesit dhe </w:t>
            </w:r>
            <w:r w:rsidR="00184D28">
              <w:rPr>
                <w:sz w:val="24"/>
                <w:lang w:val="sq-MK"/>
              </w:rPr>
              <w:t xml:space="preserve">sjellja </w:t>
            </w:r>
            <w:r w:rsidR="00184D28" w:rsidRPr="00184D28">
              <w:rPr>
                <w:sz w:val="24"/>
              </w:rPr>
              <w:t xml:space="preserve"> e rekomandimeve për përmirësimin e tij, nëse është e nevojshme</w:t>
            </w:r>
            <w:r w:rsidR="00AC1D3F">
              <w:rPr>
                <w:sz w:val="24"/>
              </w:rPr>
              <w:t>.</w:t>
            </w:r>
          </w:p>
          <w:p w14:paraId="77AAC865" w14:textId="57E2F742" w:rsidR="00451347" w:rsidRDefault="00D31F60">
            <w:pPr>
              <w:ind w:left="734"/>
              <w:jc w:val="both"/>
            </w:pPr>
            <w:proofErr w:type="gramStart"/>
            <w:r w:rsidRPr="00D31F60">
              <w:rPr>
                <w:sz w:val="40"/>
                <w:szCs w:val="40"/>
              </w:rPr>
              <w:t>.</w:t>
            </w:r>
            <w:r w:rsidR="00184D28" w:rsidRPr="00184D28">
              <w:rPr>
                <w:sz w:val="24"/>
              </w:rPr>
              <w:t>Bashkëpunim</w:t>
            </w:r>
            <w:proofErr w:type="gramEnd"/>
            <w:r w:rsidR="00184D28" w:rsidRPr="00184D28">
              <w:rPr>
                <w:sz w:val="24"/>
              </w:rPr>
              <w:t xml:space="preserve"> i vazhdueshëm me palët e interesuara përkatëse që kontribuojnë në përmirësimin e cilësisë së arsimit të lartë.</w:t>
            </w:r>
            <w:r w:rsidR="00AC1D3F">
              <w:rPr>
                <w:sz w:val="24"/>
              </w:rPr>
              <w:t>.</w:t>
            </w:r>
          </w:p>
        </w:tc>
      </w:tr>
      <w:tr w:rsidR="00451347" w14:paraId="1339B90E" w14:textId="77777777">
        <w:trPr>
          <w:trHeight w:val="370"/>
        </w:trPr>
        <w:tc>
          <w:tcPr>
            <w:tcW w:w="9511" w:type="dxa"/>
            <w:tcBorders>
              <w:top w:val="single" w:sz="2" w:space="0" w:color="000000"/>
              <w:left w:val="single" w:sz="2" w:space="0" w:color="000000"/>
              <w:bottom w:val="single" w:sz="2" w:space="0" w:color="000000"/>
              <w:right w:val="single" w:sz="2" w:space="0" w:color="000000"/>
            </w:tcBorders>
          </w:tcPr>
          <w:p w14:paraId="61FF1E49" w14:textId="5E4E4A67" w:rsidR="00451347" w:rsidRDefault="00AC1D3F">
            <w:pPr>
              <w:ind w:left="7"/>
            </w:pPr>
            <w:r>
              <w:rPr>
                <w:sz w:val="24"/>
              </w:rPr>
              <w:t xml:space="preserve">6. </w:t>
            </w:r>
            <w:r w:rsidR="00184D28" w:rsidRPr="00184D28">
              <w:rPr>
                <w:sz w:val="24"/>
              </w:rPr>
              <w:t>Organizimi i punës</w:t>
            </w:r>
          </w:p>
        </w:tc>
      </w:tr>
      <w:tr w:rsidR="00451347" w14:paraId="10261B67" w14:textId="77777777">
        <w:trPr>
          <w:trHeight w:val="5923"/>
        </w:trPr>
        <w:tc>
          <w:tcPr>
            <w:tcW w:w="9511" w:type="dxa"/>
            <w:tcBorders>
              <w:top w:val="single" w:sz="2" w:space="0" w:color="000000"/>
              <w:left w:val="single" w:sz="2" w:space="0" w:color="000000"/>
              <w:bottom w:val="single" w:sz="2" w:space="0" w:color="000000"/>
              <w:right w:val="single" w:sz="2" w:space="0" w:color="000000"/>
            </w:tcBorders>
            <w:vAlign w:val="center"/>
          </w:tcPr>
          <w:p w14:paraId="287CFC18" w14:textId="3FF21AF9" w:rsidR="00451347" w:rsidRDefault="007A2B7E">
            <w:pPr>
              <w:spacing w:after="124" w:line="216" w:lineRule="auto"/>
              <w:ind w:right="14" w:firstLine="14"/>
              <w:jc w:val="both"/>
            </w:pPr>
            <w:r w:rsidRPr="007A2B7E">
              <w:rPr>
                <w:sz w:val="24"/>
              </w:rPr>
              <w:t>Organizimi i punës së Bordit vlerësues rregullohet më hollësisht me Rregulloren e Punës</w:t>
            </w:r>
            <w:r w:rsidR="00AC1D3F">
              <w:rPr>
                <w:sz w:val="24"/>
              </w:rPr>
              <w:t xml:space="preserve">. </w:t>
            </w:r>
            <w:r w:rsidRPr="007A2B7E">
              <w:rPr>
                <w:sz w:val="24"/>
              </w:rPr>
              <w:t xml:space="preserve">Në periudhën gjashtëmujore të kaluar, Bordi i Vlerësimit mbajti gjithsej 12 seanca të rregullta, si dhe disa seanca shtesë të </w:t>
            </w:r>
            <w:proofErr w:type="gramStart"/>
            <w:r w:rsidRPr="007A2B7E">
              <w:rPr>
                <w:sz w:val="24"/>
              </w:rPr>
              <w:t>komi</w:t>
            </w:r>
            <w:r>
              <w:rPr>
                <w:sz w:val="24"/>
                <w:lang w:val="sq-MK"/>
              </w:rPr>
              <w:t xml:space="preserve">sioneve </w:t>
            </w:r>
            <w:r w:rsidRPr="007A2B7E">
              <w:rPr>
                <w:sz w:val="24"/>
              </w:rPr>
              <w:t xml:space="preserve"> dhe</w:t>
            </w:r>
            <w:proofErr w:type="gramEnd"/>
            <w:r w:rsidRPr="007A2B7E">
              <w:rPr>
                <w:sz w:val="24"/>
              </w:rPr>
              <w:t xml:space="preserve"> grupeve të punës, të formuara sipas nevojave. Aktivitetet aktuale të Bordit të Vlerësimit paraqiten kronologjikisht </w:t>
            </w:r>
            <w:r>
              <w:rPr>
                <w:sz w:val="24"/>
                <w:lang w:val="sq-MK"/>
              </w:rPr>
              <w:t xml:space="preserve">në </w:t>
            </w:r>
            <w:proofErr w:type="gramStart"/>
            <w:r>
              <w:rPr>
                <w:sz w:val="24"/>
                <w:lang w:val="sq-MK"/>
              </w:rPr>
              <w:t xml:space="preserve">vazhdim </w:t>
            </w:r>
            <w:r w:rsidRPr="007A2B7E">
              <w:rPr>
                <w:sz w:val="24"/>
              </w:rPr>
              <w:t>,</w:t>
            </w:r>
            <w:proofErr w:type="gramEnd"/>
            <w:r w:rsidRPr="007A2B7E">
              <w:rPr>
                <w:sz w:val="24"/>
              </w:rPr>
              <w:t xml:space="preserve"> sipas rendit të ditës të seancave të mbajtura në periudhën nga 1 janari deri më 30 qershor 2025.</w:t>
            </w:r>
          </w:p>
          <w:p w14:paraId="5DDFEC6C" w14:textId="07A42346" w:rsidR="00451347" w:rsidRDefault="001E3B24">
            <w:pPr>
              <w:numPr>
                <w:ilvl w:val="0"/>
                <w:numId w:val="1"/>
              </w:numPr>
              <w:spacing w:after="131" w:line="223" w:lineRule="auto"/>
              <w:ind w:right="7" w:firstLine="18"/>
              <w:jc w:val="both"/>
            </w:pPr>
            <w:r w:rsidRPr="00D31F60">
              <w:rPr>
                <w:b/>
                <w:sz w:val="24"/>
                <w:lang w:val="sq-MK"/>
              </w:rPr>
              <w:t>-S</w:t>
            </w:r>
            <w:r w:rsidRPr="00D31F60">
              <w:rPr>
                <w:b/>
                <w:sz w:val="24"/>
              </w:rPr>
              <w:t>eancë</w:t>
            </w:r>
            <w:r w:rsidR="00AC1D3F">
              <w:rPr>
                <w:sz w:val="24"/>
              </w:rPr>
              <w:t xml:space="preserve"> </w:t>
            </w:r>
            <w:r w:rsidR="007A2B7E" w:rsidRPr="007A2B7E">
              <w:rPr>
                <w:sz w:val="24"/>
              </w:rPr>
              <w:t>Në seancë u shqyrtuan aplikimet e paraqitura në konkursin për përzgjedhjen e ekspertëve të huaj për vitin 2024. Gjatë diskutimit, vëmendje e veçantë iu kushtua përputhshmërisë së aplikimeve të paraqitura me kushtet e përcaktuara të përzgjedhjes, si dhe rëndësisë së përvojave profesionale dhe titujve akademikë të kandidatëve.</w:t>
            </w:r>
            <w:r w:rsidR="00AC1D3F">
              <w:rPr>
                <w:sz w:val="24"/>
              </w:rPr>
              <w:t xml:space="preserve"> </w:t>
            </w:r>
            <w:r>
              <w:rPr>
                <w:sz w:val="24"/>
                <w:lang w:val="sq-MK"/>
              </w:rPr>
              <w:t xml:space="preserve">Gjithashtu </w:t>
            </w:r>
            <w:r w:rsidRPr="001E3B24">
              <w:rPr>
                <w:sz w:val="24"/>
              </w:rPr>
              <w:t>, Bordi hapi diskutim mbi kushtet e vetë konkursit, duke theksuar pengesat e mundshme që mund të ndikojnë te ekspertët e huaj. Në këtë drejtim, u ndanë propozime për</w:t>
            </w:r>
            <w:r>
              <w:rPr>
                <w:sz w:val="24"/>
                <w:lang w:val="sq-MK"/>
              </w:rPr>
              <w:t xml:space="preserve"> </w:t>
            </w:r>
            <w:proofErr w:type="gramStart"/>
            <w:r>
              <w:rPr>
                <w:sz w:val="24"/>
                <w:lang w:val="sq-MK"/>
              </w:rPr>
              <w:t xml:space="preserve">avansime </w:t>
            </w:r>
            <w:r w:rsidRPr="001E3B24">
              <w:rPr>
                <w:sz w:val="24"/>
              </w:rPr>
              <w:t xml:space="preserve"> të</w:t>
            </w:r>
            <w:proofErr w:type="gramEnd"/>
            <w:r w:rsidRPr="001E3B24">
              <w:rPr>
                <w:sz w:val="24"/>
              </w:rPr>
              <w:t xml:space="preserve"> mundshme të procesit dhe për lehtësimin e aksesit dhe pjesëmarrjes së kandidatëve të interesuar në thirrjet e ardhshme.</w:t>
            </w:r>
          </w:p>
          <w:p w14:paraId="609F686B" w14:textId="77777777" w:rsidR="00D31F60" w:rsidRPr="00D31F60" w:rsidRDefault="001E3B24" w:rsidP="001E3B24">
            <w:pPr>
              <w:pStyle w:val="ListParagraph"/>
              <w:numPr>
                <w:ilvl w:val="0"/>
                <w:numId w:val="1"/>
              </w:numPr>
              <w:jc w:val="both"/>
            </w:pPr>
            <w:r w:rsidRPr="00D31F60">
              <w:rPr>
                <w:b/>
                <w:sz w:val="24"/>
              </w:rPr>
              <w:t>-Seancë</w:t>
            </w:r>
            <w:r w:rsidR="00AC1D3F" w:rsidRPr="001E3B24">
              <w:rPr>
                <w:sz w:val="24"/>
              </w:rPr>
              <w:t xml:space="preserve"> </w:t>
            </w:r>
            <w:r w:rsidRPr="001E3B24">
              <w:rPr>
                <w:sz w:val="24"/>
              </w:rPr>
              <w:t>Për shkak të ndryshimi</w:t>
            </w:r>
            <w:r w:rsidRPr="001E3B24">
              <w:rPr>
                <w:sz w:val="24"/>
                <w:lang w:val="sq-MK"/>
              </w:rPr>
              <w:t>t</w:t>
            </w:r>
            <w:r w:rsidRPr="001E3B24">
              <w:rPr>
                <w:sz w:val="24"/>
              </w:rPr>
              <w:t xml:space="preserve"> në përbërjen e anëtarëve të propozuar nga Qeveria e Republikës së Maqedonisë</w:t>
            </w:r>
            <w:r w:rsidR="00AC1D3F" w:rsidRPr="001E3B24">
              <w:rPr>
                <w:sz w:val="24"/>
              </w:rPr>
              <w:t xml:space="preserve">, </w:t>
            </w:r>
            <w:r w:rsidRPr="001E3B24">
              <w:rPr>
                <w:sz w:val="24"/>
                <w:lang w:val="sq-MK"/>
              </w:rPr>
              <w:t>z</w:t>
            </w:r>
            <w:r w:rsidRPr="001E3B24">
              <w:rPr>
                <w:sz w:val="24"/>
              </w:rPr>
              <w:t>ëvendës</w:t>
            </w:r>
            <w:r w:rsidRPr="001E3B24">
              <w:rPr>
                <w:sz w:val="24"/>
                <w:lang w:val="sq-MK"/>
              </w:rPr>
              <w:t>-</w:t>
            </w:r>
            <w:r w:rsidRPr="001E3B24">
              <w:rPr>
                <w:sz w:val="24"/>
              </w:rPr>
              <w:t>kryetarja aktuale është shkarkuar nga Bordi.</w:t>
            </w:r>
            <w:r w:rsidR="00AC1D3F" w:rsidRPr="001E3B24">
              <w:rPr>
                <w:sz w:val="24"/>
              </w:rPr>
              <w:t xml:space="preserve"> </w:t>
            </w:r>
            <w:r w:rsidRPr="001E3B24">
              <w:rPr>
                <w:sz w:val="24"/>
              </w:rPr>
              <w:t xml:space="preserve">si nënkryetar i ri u propozua. </w:t>
            </w:r>
            <w:r>
              <w:rPr>
                <w:sz w:val="24"/>
                <w:lang w:val="sq-MK"/>
              </w:rPr>
              <w:t xml:space="preserve">Prof. </w:t>
            </w:r>
            <w:r w:rsidRPr="001E3B24">
              <w:rPr>
                <w:sz w:val="24"/>
              </w:rPr>
              <w:t xml:space="preserve">Dr. Ebrar Ibrahimi, dhe vendimi për zgjedhjen e tij u miratua njëzëri. </w:t>
            </w:r>
          </w:p>
          <w:p w14:paraId="66253721" w14:textId="77777777" w:rsidR="00D31F60" w:rsidRDefault="00D31F60" w:rsidP="00D31F60">
            <w:pPr>
              <w:pStyle w:val="ListParagraph"/>
              <w:ind w:left="0"/>
              <w:jc w:val="both"/>
              <w:rPr>
                <w:b/>
                <w:sz w:val="24"/>
              </w:rPr>
            </w:pPr>
          </w:p>
          <w:p w14:paraId="62C3E49C" w14:textId="5E75BECA" w:rsidR="00451347" w:rsidRDefault="00C925CF" w:rsidP="00D31F60">
            <w:pPr>
              <w:pStyle w:val="ListParagraph"/>
              <w:ind w:left="0"/>
              <w:jc w:val="both"/>
            </w:pPr>
            <w:r w:rsidRPr="00C925CF">
              <w:rPr>
                <w:sz w:val="24"/>
              </w:rPr>
              <w:t>Në seancë u hap debat për formimin e komisionit për përgatitjen e raportit gjashtëmujor të punës së Bordit vlerësues.</w:t>
            </w:r>
          </w:p>
        </w:tc>
      </w:tr>
    </w:tbl>
    <w:p w14:paraId="20F5F305" w14:textId="77777777" w:rsidR="00451347" w:rsidRDefault="00451347">
      <w:pPr>
        <w:spacing w:after="0"/>
        <w:ind w:left="-1174" w:right="10008"/>
      </w:pPr>
    </w:p>
    <w:tbl>
      <w:tblPr>
        <w:tblStyle w:val="TableGrid"/>
        <w:tblW w:w="9508" w:type="dxa"/>
        <w:tblInd w:w="7" w:type="dxa"/>
        <w:tblCellMar>
          <w:top w:w="54" w:type="dxa"/>
          <w:left w:w="108" w:type="dxa"/>
          <w:right w:w="98" w:type="dxa"/>
        </w:tblCellMar>
        <w:tblLook w:val="04A0" w:firstRow="1" w:lastRow="0" w:firstColumn="1" w:lastColumn="0" w:noHBand="0" w:noVBand="1"/>
      </w:tblPr>
      <w:tblGrid>
        <w:gridCol w:w="9508"/>
      </w:tblGrid>
      <w:tr w:rsidR="00451347" w14:paraId="1C2BE357" w14:textId="77777777">
        <w:trPr>
          <w:trHeight w:val="14566"/>
        </w:trPr>
        <w:tc>
          <w:tcPr>
            <w:tcW w:w="9508" w:type="dxa"/>
            <w:tcBorders>
              <w:top w:val="single" w:sz="2" w:space="0" w:color="000000"/>
              <w:left w:val="single" w:sz="2" w:space="0" w:color="000000"/>
              <w:bottom w:val="single" w:sz="2" w:space="0" w:color="000000"/>
              <w:right w:val="single" w:sz="2" w:space="0" w:color="000000"/>
            </w:tcBorders>
          </w:tcPr>
          <w:p w14:paraId="1678CDED" w14:textId="51F62E65" w:rsidR="00451347" w:rsidRDefault="00E63163">
            <w:pPr>
              <w:spacing w:after="128" w:line="216" w:lineRule="auto"/>
              <w:ind w:left="7" w:right="36" w:firstLine="7"/>
              <w:jc w:val="both"/>
            </w:pPr>
            <w:r>
              <w:rPr>
                <w:sz w:val="24"/>
                <w:lang w:val="sq-MK"/>
              </w:rPr>
              <w:lastRenderedPageBreak/>
              <w:t>Poashtu,ë</w:t>
            </w:r>
            <w:r w:rsidRPr="00E63163">
              <w:rPr>
                <w:sz w:val="24"/>
              </w:rPr>
              <w:t xml:space="preserve">shtë diskutuar edhe çështja e formimit të komisioneve të ekspertëve për vlerësimin e jashtëm. Në seancë u </w:t>
            </w:r>
            <w:r>
              <w:rPr>
                <w:sz w:val="24"/>
                <w:lang w:val="sq-MK"/>
              </w:rPr>
              <w:t>formuan</w:t>
            </w:r>
            <w:r w:rsidRPr="00E63163">
              <w:rPr>
                <w:sz w:val="24"/>
              </w:rPr>
              <w:t xml:space="preserve"> komisione të ekspertëve për vlerësimin e jashtëm të institucioneve </w:t>
            </w:r>
            <w:r w:rsidR="001121DE">
              <w:rPr>
                <w:sz w:val="24"/>
                <w:lang w:val="sq-MK"/>
              </w:rPr>
              <w:t xml:space="preserve">në </w:t>
            </w:r>
            <w:proofErr w:type="gramStart"/>
            <w:r w:rsidR="001121DE">
              <w:rPr>
                <w:sz w:val="24"/>
                <w:lang w:val="sq-MK"/>
              </w:rPr>
              <w:t xml:space="preserve">vijim </w:t>
            </w:r>
            <w:r w:rsidRPr="00E63163">
              <w:rPr>
                <w:sz w:val="24"/>
              </w:rPr>
              <w:t xml:space="preserve"> të</w:t>
            </w:r>
            <w:proofErr w:type="gramEnd"/>
            <w:r w:rsidRPr="00E63163">
              <w:rPr>
                <w:sz w:val="24"/>
              </w:rPr>
              <w:t xml:space="preserve"> arsimit të lartë</w:t>
            </w:r>
            <w:r w:rsidR="00AC1D3F">
              <w:rPr>
                <w:sz w:val="24"/>
              </w:rPr>
              <w:t>:</w:t>
            </w:r>
          </w:p>
          <w:p w14:paraId="7E6E6123" w14:textId="195ACF08" w:rsidR="001121DE" w:rsidRPr="001121DE" w:rsidRDefault="00D31F60" w:rsidP="001121DE">
            <w:pPr>
              <w:ind w:left="720"/>
              <w:rPr>
                <w:sz w:val="24"/>
              </w:rPr>
            </w:pPr>
            <w:proofErr w:type="gramStart"/>
            <w:r w:rsidRPr="00D31F60">
              <w:rPr>
                <w:sz w:val="40"/>
                <w:szCs w:val="40"/>
              </w:rPr>
              <w:t>.</w:t>
            </w:r>
            <w:r w:rsidR="001121DE" w:rsidRPr="001121DE">
              <w:rPr>
                <w:sz w:val="24"/>
              </w:rPr>
              <w:t>Universiteti</w:t>
            </w:r>
            <w:proofErr w:type="gramEnd"/>
            <w:r w:rsidR="001121DE" w:rsidRPr="001121DE">
              <w:rPr>
                <w:sz w:val="24"/>
              </w:rPr>
              <w:t xml:space="preserve"> "Goce Delçev" — Shtip, Fakulteti i Ekonomisë</w:t>
            </w:r>
          </w:p>
          <w:p w14:paraId="6B918458" w14:textId="5E6A9918" w:rsidR="001121DE" w:rsidRPr="001121DE" w:rsidRDefault="00D31F60" w:rsidP="001121DE">
            <w:pPr>
              <w:ind w:left="720"/>
              <w:rPr>
                <w:sz w:val="24"/>
                <w:lang w:val="sq-MK"/>
              </w:rPr>
            </w:pPr>
            <w:proofErr w:type="gramStart"/>
            <w:r w:rsidRPr="00D31F60">
              <w:rPr>
                <w:sz w:val="40"/>
                <w:szCs w:val="40"/>
              </w:rPr>
              <w:t>.</w:t>
            </w:r>
            <w:r w:rsidR="001121DE" w:rsidRPr="001121DE">
              <w:rPr>
                <w:sz w:val="24"/>
              </w:rPr>
              <w:t>Akademia</w:t>
            </w:r>
            <w:proofErr w:type="gramEnd"/>
            <w:r w:rsidR="001121DE" w:rsidRPr="001121DE">
              <w:rPr>
                <w:sz w:val="24"/>
              </w:rPr>
              <w:t xml:space="preserve"> e Biznesit Smilevski — </w:t>
            </w:r>
            <w:r w:rsidR="001121DE">
              <w:rPr>
                <w:sz w:val="24"/>
                <w:lang w:val="sq-MK"/>
              </w:rPr>
              <w:t>ABS</w:t>
            </w:r>
          </w:p>
          <w:p w14:paraId="29B492D2" w14:textId="5F07D0D6" w:rsidR="001121DE" w:rsidRDefault="001121DE" w:rsidP="001121DE">
            <w:pPr>
              <w:spacing w:after="118" w:line="216" w:lineRule="auto"/>
              <w:ind w:left="7" w:right="7"/>
              <w:jc w:val="both"/>
              <w:rPr>
                <w:sz w:val="24"/>
              </w:rPr>
            </w:pPr>
            <w:r>
              <w:rPr>
                <w:sz w:val="24"/>
                <w:lang w:val="sq-MK"/>
              </w:rPr>
              <w:t xml:space="preserve">            </w:t>
            </w:r>
            <w:r w:rsidR="00D31F60" w:rsidRPr="00D31F60">
              <w:rPr>
                <w:sz w:val="40"/>
                <w:szCs w:val="40"/>
                <w:lang w:val="sq-MK"/>
              </w:rPr>
              <w:t>.</w:t>
            </w:r>
            <w:r w:rsidRPr="00D31F60">
              <w:rPr>
                <w:sz w:val="40"/>
                <w:szCs w:val="40"/>
                <w:lang w:val="sq-MK"/>
              </w:rPr>
              <w:t xml:space="preserve"> </w:t>
            </w:r>
            <w:r w:rsidRPr="001121DE">
              <w:rPr>
                <w:sz w:val="24"/>
              </w:rPr>
              <w:t>Fakulteti i Ekonomisë së Biznesit — Shkup</w:t>
            </w:r>
          </w:p>
          <w:p w14:paraId="710E5998" w14:textId="77777777" w:rsidR="001121DE" w:rsidRPr="001121DE" w:rsidRDefault="001121DE" w:rsidP="001121DE">
            <w:pPr>
              <w:spacing w:after="118" w:line="216" w:lineRule="auto"/>
              <w:ind w:right="7"/>
              <w:jc w:val="both"/>
            </w:pPr>
          </w:p>
          <w:p w14:paraId="4B54FDC1" w14:textId="1A341505" w:rsidR="00451347" w:rsidRDefault="001121DE" w:rsidP="001121DE">
            <w:pPr>
              <w:numPr>
                <w:ilvl w:val="0"/>
                <w:numId w:val="2"/>
              </w:numPr>
              <w:spacing w:after="118" w:line="216" w:lineRule="auto"/>
              <w:ind w:right="7"/>
              <w:jc w:val="both"/>
            </w:pPr>
            <w:r w:rsidRPr="00D31F60">
              <w:rPr>
                <w:b/>
                <w:sz w:val="24"/>
                <w:lang w:val="sq-MK"/>
              </w:rPr>
              <w:t>-Seanca</w:t>
            </w:r>
            <w:r w:rsidR="00AC1D3F">
              <w:rPr>
                <w:sz w:val="24"/>
              </w:rPr>
              <w:t xml:space="preserve"> </w:t>
            </w:r>
            <w:r w:rsidRPr="001121DE">
              <w:rPr>
                <w:sz w:val="24"/>
              </w:rPr>
              <w:t>Në seancën e 17-të të Bordit vlerësues, njëzëri u miratua Raporti për punën e Bordit për periudhën 01.07-31.12.2024.</w:t>
            </w:r>
            <w:r w:rsidR="00AC1D3F">
              <w:rPr>
                <w:sz w:val="24"/>
              </w:rPr>
              <w:t>.</w:t>
            </w:r>
          </w:p>
          <w:p w14:paraId="56162590" w14:textId="77777777" w:rsidR="001121DE" w:rsidRDefault="001121DE">
            <w:pPr>
              <w:spacing w:after="57"/>
              <w:ind w:left="14"/>
              <w:rPr>
                <w:sz w:val="24"/>
              </w:rPr>
            </w:pPr>
            <w:r w:rsidRPr="001121DE">
              <w:rPr>
                <w:sz w:val="24"/>
              </w:rPr>
              <w:t>Raporti i Komisionit për Përzgjedhjen e Ekspertëve dhe Studentëve të Huaj u shqyrtua dhe u konkludua se nga 40 aplikime, vetëm 5 i plotësonin kriteret. Anëtarët vlerësuan se kriteret ishin shumë restriktiv</w:t>
            </w:r>
            <w:r>
              <w:rPr>
                <w:sz w:val="24"/>
                <w:lang w:val="sq-MK"/>
              </w:rPr>
              <w:t>e</w:t>
            </w:r>
            <w:r w:rsidRPr="001121DE">
              <w:rPr>
                <w:sz w:val="24"/>
              </w:rPr>
              <w:t xml:space="preserve"> dhe Komisionit iu dha udhëzimi të përgatiste propozim për ndryshimin e tyre.</w:t>
            </w:r>
          </w:p>
          <w:p w14:paraId="28BEED61" w14:textId="77777777" w:rsidR="001121DE" w:rsidRDefault="001121DE">
            <w:pPr>
              <w:ind w:left="734"/>
              <w:rPr>
                <w:sz w:val="24"/>
              </w:rPr>
            </w:pPr>
            <w:r w:rsidRPr="001121DE">
              <w:rPr>
                <w:sz w:val="24"/>
              </w:rPr>
              <w:t xml:space="preserve">Gjithashtu, u formuan komisione ekspertësh për vlerësim të jashtëm në </w:t>
            </w:r>
          </w:p>
          <w:p w14:paraId="5A9D7762" w14:textId="3D71C752" w:rsidR="00C91A9D" w:rsidRPr="00C91A9D" w:rsidRDefault="00C91A9D" w:rsidP="00C91A9D">
            <w:pPr>
              <w:rPr>
                <w:lang w:val="sq-MK"/>
              </w:rPr>
            </w:pPr>
            <w:r>
              <w:rPr>
                <w:lang w:val="sq-MK"/>
              </w:rPr>
              <w:t xml:space="preserve">             </w:t>
            </w:r>
            <w:r w:rsidRPr="00D31F60">
              <w:rPr>
                <w:sz w:val="40"/>
                <w:szCs w:val="40"/>
                <w:lang w:val="sq-MK"/>
              </w:rPr>
              <w:t xml:space="preserve"> </w:t>
            </w:r>
            <w:r w:rsidR="00D31F60" w:rsidRPr="00D31F60">
              <w:rPr>
                <w:sz w:val="40"/>
                <w:szCs w:val="40"/>
                <w:lang w:val="sq-MK"/>
              </w:rPr>
              <w:t>.</w:t>
            </w:r>
            <w:r>
              <w:rPr>
                <w:lang w:val="sq-MK"/>
              </w:rPr>
              <w:t xml:space="preserve"> </w:t>
            </w:r>
            <w:r w:rsidRPr="00C91A9D">
              <w:rPr>
                <w:lang w:val="sq-MK"/>
              </w:rPr>
              <w:t xml:space="preserve">Fakulteti i Ekonomisë — </w:t>
            </w:r>
            <w:r w:rsidRPr="00313342">
              <w:rPr>
                <w:lang w:val="sq-MK"/>
              </w:rPr>
              <w:t>AUE FON,</w:t>
            </w:r>
          </w:p>
          <w:p w14:paraId="65F9D7EC" w14:textId="076D583C" w:rsidR="00C91A9D" w:rsidRPr="00C91A9D" w:rsidRDefault="00C91A9D" w:rsidP="00C91A9D">
            <w:pPr>
              <w:rPr>
                <w:lang w:val="sq-MK"/>
              </w:rPr>
            </w:pPr>
            <w:r>
              <w:rPr>
                <w:lang w:val="sq-MK"/>
              </w:rPr>
              <w:t xml:space="preserve">              </w:t>
            </w:r>
            <w:r w:rsidR="00D31F60" w:rsidRPr="00D31F60">
              <w:rPr>
                <w:sz w:val="40"/>
                <w:szCs w:val="40"/>
                <w:lang w:val="sq-MK"/>
              </w:rPr>
              <w:t>.</w:t>
            </w:r>
            <w:r>
              <w:rPr>
                <w:lang w:val="sq-MK"/>
              </w:rPr>
              <w:t xml:space="preserve"> </w:t>
            </w:r>
            <w:r w:rsidRPr="00C91A9D">
              <w:rPr>
                <w:lang w:val="sq-MK"/>
              </w:rPr>
              <w:t>Fakulteti i Turizmit — Universiteti i Shkupit dhe</w:t>
            </w:r>
          </w:p>
          <w:p w14:paraId="05E69DBF" w14:textId="16B54B5F" w:rsidR="00451347" w:rsidRDefault="00C91A9D" w:rsidP="00C91A9D">
            <w:pPr>
              <w:spacing w:after="98"/>
              <w:ind w:left="734"/>
            </w:pPr>
            <w:r>
              <w:rPr>
                <w:lang w:val="sq-MK"/>
              </w:rPr>
              <w:t xml:space="preserve"> </w:t>
            </w:r>
            <w:r w:rsidR="00D31F60" w:rsidRPr="00D31F60">
              <w:rPr>
                <w:sz w:val="40"/>
                <w:szCs w:val="40"/>
                <w:lang w:val="sq-MK"/>
              </w:rPr>
              <w:t>.</w:t>
            </w:r>
            <w:r w:rsidRPr="00C91A9D">
              <w:rPr>
                <w:lang w:val="sq-MK"/>
              </w:rPr>
              <w:t>Fakulteti i Ekonomisë — Universiteti Ndërkombëtar i Strugës</w:t>
            </w:r>
            <w:r w:rsidR="00AC1D3F">
              <w:rPr>
                <w:sz w:val="24"/>
              </w:rPr>
              <w:t>.</w:t>
            </w:r>
          </w:p>
          <w:p w14:paraId="7B3E5C62" w14:textId="584FB722" w:rsidR="00451347" w:rsidRDefault="00C109A9">
            <w:pPr>
              <w:numPr>
                <w:ilvl w:val="0"/>
                <w:numId w:val="2"/>
              </w:numPr>
              <w:spacing w:after="126" w:line="216" w:lineRule="auto"/>
              <w:ind w:right="7"/>
              <w:jc w:val="both"/>
            </w:pPr>
            <w:r w:rsidRPr="00D31F60">
              <w:rPr>
                <w:b/>
                <w:sz w:val="24"/>
              </w:rPr>
              <w:t>-Seanca</w:t>
            </w:r>
            <w:r w:rsidR="00AC1D3F">
              <w:rPr>
                <w:sz w:val="24"/>
              </w:rPr>
              <w:t xml:space="preserve"> </w:t>
            </w:r>
            <w:r w:rsidRPr="00C109A9">
              <w:rPr>
                <w:sz w:val="24"/>
              </w:rPr>
              <w:t>Në seancë u shqyrtua propozimi për ndryshimin dhe plotësimin e Rregullores për standarde dhe procedurën për vlerësimin dhe vetëvlerësimin e jashtëm</w:t>
            </w:r>
            <w:r w:rsidR="00AC1D3F">
              <w:rPr>
                <w:sz w:val="24"/>
              </w:rPr>
              <w:t xml:space="preserve">. </w:t>
            </w:r>
            <w:r>
              <w:rPr>
                <w:sz w:val="24"/>
                <w:lang w:val="sq-MK"/>
              </w:rPr>
              <w:t xml:space="preserve">Ndryshimi </w:t>
            </w:r>
            <w:r w:rsidRPr="00C109A9">
              <w:rPr>
                <w:sz w:val="24"/>
              </w:rPr>
              <w:t xml:space="preserve"> ka të bëjë me Nenin 10, paragrafi</w:t>
            </w:r>
            <w:r>
              <w:rPr>
                <w:sz w:val="24"/>
                <w:lang w:val="sq-MK"/>
              </w:rPr>
              <w:t>n</w:t>
            </w:r>
            <w:r w:rsidRPr="00C109A9">
              <w:rPr>
                <w:sz w:val="24"/>
              </w:rPr>
              <w:t xml:space="preserve"> </w:t>
            </w:r>
            <w:r>
              <w:rPr>
                <w:sz w:val="24"/>
                <w:lang w:val="sq-MK"/>
              </w:rPr>
              <w:t>3</w:t>
            </w:r>
            <w:r w:rsidRPr="00C109A9">
              <w:rPr>
                <w:sz w:val="24"/>
              </w:rPr>
              <w:t xml:space="preserve">, i cili propozon që kriteri i përzgjedhjes së vlerësuesve të parashikojë përvojën e mëparshme të detyrueshme në vlerësimin ose akreditimin e të paktën dy institucioneve të arsimit të lartë në vend ose </w:t>
            </w:r>
            <w:r>
              <w:rPr>
                <w:sz w:val="24"/>
                <w:lang w:val="sq-MK"/>
              </w:rPr>
              <w:t xml:space="preserve">në </w:t>
            </w:r>
            <w:r w:rsidRPr="00C109A9">
              <w:rPr>
                <w:sz w:val="24"/>
              </w:rPr>
              <w:t>vende anëtare të Bashkimit Evropian.</w:t>
            </w:r>
            <w:r w:rsidR="00AC1D3F">
              <w:rPr>
                <w:sz w:val="24"/>
              </w:rPr>
              <w:t xml:space="preserve"> </w:t>
            </w:r>
            <w:r w:rsidRPr="00C109A9">
              <w:rPr>
                <w:sz w:val="24"/>
              </w:rPr>
              <w:t xml:space="preserve">Pas shqyrtimit, Bordi miratoi propozimin dhe arriti në përfundimin se e njëjta kërkesë duhet t'i </w:t>
            </w:r>
            <w:r>
              <w:rPr>
                <w:sz w:val="24"/>
                <w:lang w:val="sq-MK"/>
              </w:rPr>
              <w:t>dorëzohet</w:t>
            </w:r>
            <w:r w:rsidRPr="00C109A9">
              <w:rPr>
                <w:sz w:val="24"/>
              </w:rPr>
              <w:t xml:space="preserve"> Këshillit Kombëtar, si </w:t>
            </w:r>
            <w:r w:rsidR="00313342">
              <w:rPr>
                <w:sz w:val="24"/>
                <w:lang w:val="sq-MK"/>
              </w:rPr>
              <w:t>organ</w:t>
            </w:r>
            <w:r w:rsidRPr="00C109A9">
              <w:rPr>
                <w:sz w:val="24"/>
              </w:rPr>
              <w:t xml:space="preserve"> kompetent për </w:t>
            </w:r>
            <w:r w:rsidR="00313342">
              <w:rPr>
                <w:sz w:val="24"/>
                <w:lang w:val="sq-MK"/>
              </w:rPr>
              <w:t>sjelljen</w:t>
            </w:r>
            <w:r w:rsidRPr="00C109A9">
              <w:rPr>
                <w:sz w:val="24"/>
              </w:rPr>
              <w:t xml:space="preserve"> e Rregullores</w:t>
            </w:r>
            <w:r w:rsidR="00AC1D3F">
              <w:rPr>
                <w:sz w:val="24"/>
              </w:rPr>
              <w:t>.</w:t>
            </w:r>
          </w:p>
          <w:p w14:paraId="226B1E0E" w14:textId="38FFD18A" w:rsidR="00451347" w:rsidRDefault="00313342">
            <w:pPr>
              <w:numPr>
                <w:ilvl w:val="0"/>
                <w:numId w:val="2"/>
              </w:numPr>
              <w:spacing w:after="118" w:line="217" w:lineRule="auto"/>
              <w:ind w:right="7"/>
              <w:jc w:val="both"/>
            </w:pPr>
            <w:r w:rsidRPr="00D31F60">
              <w:rPr>
                <w:b/>
                <w:sz w:val="24"/>
              </w:rPr>
              <w:t>-Seanca</w:t>
            </w:r>
            <w:r w:rsidRPr="00313342">
              <w:rPr>
                <w:sz w:val="24"/>
              </w:rPr>
              <w:t xml:space="preserve"> Në seancë u diskutua për aktivitetet aktuale në lidhje me procesin e vlerësimit të jashtëm</w:t>
            </w:r>
            <w:r w:rsidR="00AC1D3F">
              <w:rPr>
                <w:sz w:val="24"/>
              </w:rPr>
              <w:t xml:space="preserve">. </w:t>
            </w:r>
            <w:r w:rsidRPr="00313342">
              <w:rPr>
                <w:sz w:val="24"/>
              </w:rPr>
              <w:t xml:space="preserve">Në diskutim, kryetarët e komisioneve të ekspertëve theksuan si sfidën kryesore mungesën e koordinatorëve nga ana e </w:t>
            </w:r>
            <w:r w:rsidR="00B566A3" w:rsidRPr="00B566A3">
              <w:rPr>
                <w:sz w:val="24"/>
                <w:lang w:val="sq-MK"/>
              </w:rPr>
              <w:t>ACAL</w:t>
            </w:r>
            <w:r w:rsidRPr="00B566A3">
              <w:rPr>
                <w:sz w:val="24"/>
              </w:rPr>
              <w:t>-së</w:t>
            </w:r>
            <w:r w:rsidRPr="00313342">
              <w:rPr>
                <w:sz w:val="24"/>
              </w:rPr>
              <w:t>, të cilët duhet të mbështesin procesin e vlerësimit</w:t>
            </w:r>
            <w:r w:rsidR="00AC1D3F">
              <w:rPr>
                <w:sz w:val="24"/>
              </w:rPr>
              <w:t xml:space="preserve">. </w:t>
            </w:r>
            <w:r w:rsidR="00CB0A9E" w:rsidRPr="00CB0A9E">
              <w:rPr>
                <w:sz w:val="24"/>
              </w:rPr>
              <w:t>Roli i tyre është të organizojnë komunikimin e përgjithshëm me njësitë që i nënshtrohen vlerësimit, duke siguruar kështu informimin në kohë, transparencën dhe zbatimin pa probleme të procesit</w:t>
            </w:r>
            <w:r w:rsidR="00AC1D3F">
              <w:rPr>
                <w:sz w:val="24"/>
              </w:rPr>
              <w:t>.</w:t>
            </w:r>
          </w:p>
          <w:p w14:paraId="026CBBB5" w14:textId="577A27FC" w:rsidR="00451347" w:rsidRDefault="00CB0A9E">
            <w:pPr>
              <w:numPr>
                <w:ilvl w:val="0"/>
                <w:numId w:val="2"/>
              </w:numPr>
              <w:spacing w:after="140" w:line="217" w:lineRule="auto"/>
              <w:ind w:right="7"/>
              <w:jc w:val="both"/>
            </w:pPr>
            <w:r w:rsidRPr="00D31F60">
              <w:rPr>
                <w:b/>
                <w:sz w:val="24"/>
              </w:rPr>
              <w:t>-Seanca</w:t>
            </w:r>
            <w:r w:rsidR="00AC1D3F">
              <w:rPr>
                <w:sz w:val="24"/>
              </w:rPr>
              <w:t xml:space="preserve"> </w:t>
            </w:r>
            <w:r w:rsidRPr="00CB0A9E">
              <w:rPr>
                <w:sz w:val="24"/>
              </w:rPr>
              <w:t xml:space="preserve">Në seancë u diskutua për </w:t>
            </w:r>
            <w:r w:rsidR="00B566A3">
              <w:rPr>
                <w:sz w:val="24"/>
                <w:lang w:val="sq-MK"/>
              </w:rPr>
              <w:t>shkres</w:t>
            </w:r>
            <w:r w:rsidRPr="00CB0A9E">
              <w:rPr>
                <w:sz w:val="24"/>
              </w:rPr>
              <w:t xml:space="preserve">ën e </w:t>
            </w:r>
            <w:r w:rsidR="00B566A3">
              <w:rPr>
                <w:sz w:val="24"/>
                <w:lang w:val="sq-MK"/>
              </w:rPr>
              <w:t>B</w:t>
            </w:r>
            <w:r w:rsidRPr="00CB0A9E">
              <w:rPr>
                <w:sz w:val="24"/>
              </w:rPr>
              <w:t>A-së për vlerësimin e jashtëzakonshëm të institucionit të arsimit të lartë “Brainster Next” Shkup.</w:t>
            </w:r>
            <w:r w:rsidR="00AC1D3F">
              <w:rPr>
                <w:sz w:val="24"/>
              </w:rPr>
              <w:t xml:space="preserve"> </w:t>
            </w:r>
            <w:r w:rsidR="00B566A3">
              <w:rPr>
                <w:sz w:val="24"/>
                <w:lang w:val="sq-MK"/>
              </w:rPr>
              <w:t>Kë</w:t>
            </w:r>
            <w:r w:rsidR="00B566A3" w:rsidRPr="00B566A3">
              <w:rPr>
                <w:sz w:val="24"/>
              </w:rPr>
              <w:t>shtu</w:t>
            </w:r>
            <w:r w:rsidR="006C750C">
              <w:rPr>
                <w:sz w:val="24"/>
                <w:lang w:val="sq-MK"/>
              </w:rPr>
              <w:t>që</w:t>
            </w:r>
            <w:r w:rsidR="00B566A3" w:rsidRPr="00B566A3">
              <w:rPr>
                <w:sz w:val="24"/>
              </w:rPr>
              <w:t xml:space="preserve"> si me kërkesat e mëparshme të tilla, Bordi arriti në përfundimin se, në përputhje me nenin 52, paragrafin 5 të  Ligjit për Arsimin e Lartë dhe nenin 6 të Rregullores për Standardet dhe Procedurat e Vlerësimit të Jashtëm dhe Vetëvlerësimit,  vlerësim i jashtëzakonshëm mund të kërkohet vetëm nga Këshilli Kombëtar, vetë institucioni i arsimit të lartë ose ministri përgjegjës për arsimin e lartë.</w:t>
            </w:r>
          </w:p>
          <w:p w14:paraId="2069C035" w14:textId="6CCA5B6F" w:rsidR="00451347" w:rsidRDefault="006C750C">
            <w:pPr>
              <w:spacing w:after="125" w:line="216" w:lineRule="auto"/>
              <w:ind w:left="14" w:hanging="14"/>
              <w:jc w:val="both"/>
            </w:pPr>
            <w:r w:rsidRPr="006C750C">
              <w:rPr>
                <w:sz w:val="24"/>
              </w:rPr>
              <w:t xml:space="preserve">Gjithashtu u theksua se, në rast </w:t>
            </w:r>
            <w:proofErr w:type="gramStart"/>
            <w:r w:rsidRPr="006C750C">
              <w:rPr>
                <w:sz w:val="24"/>
              </w:rPr>
              <w:t>të  tërheqjejes</w:t>
            </w:r>
            <w:proofErr w:type="gramEnd"/>
            <w:r w:rsidRPr="006C750C">
              <w:rPr>
                <w:sz w:val="24"/>
              </w:rPr>
              <w:t xml:space="preserve"> së mundshme të akreditimit, kompetenca për të  udhëhequr  procedurën i takon Bordit të Akreditimit</w:t>
            </w:r>
            <w:r w:rsidR="00AC1D3F">
              <w:rPr>
                <w:sz w:val="24"/>
              </w:rPr>
              <w:t>.</w:t>
            </w:r>
          </w:p>
          <w:p w14:paraId="13FF869A" w14:textId="20EF42C9" w:rsidR="00451347" w:rsidRPr="00F20BF9" w:rsidRDefault="006C750C" w:rsidP="00F20BF9">
            <w:pPr>
              <w:pStyle w:val="ListParagraph"/>
              <w:numPr>
                <w:ilvl w:val="0"/>
                <w:numId w:val="5"/>
              </w:numPr>
              <w:spacing w:after="146" w:line="216" w:lineRule="auto"/>
              <w:ind w:right="7"/>
              <w:jc w:val="both"/>
              <w:rPr>
                <w:sz w:val="24"/>
              </w:rPr>
            </w:pPr>
            <w:r w:rsidRPr="00D31F60">
              <w:rPr>
                <w:b/>
                <w:sz w:val="24"/>
              </w:rPr>
              <w:t>Seanca</w:t>
            </w:r>
            <w:r w:rsidR="00AC1D3F" w:rsidRPr="00F20BF9">
              <w:rPr>
                <w:sz w:val="24"/>
              </w:rPr>
              <w:t xml:space="preserve"> </w:t>
            </w:r>
            <w:r w:rsidRPr="00F20BF9">
              <w:rPr>
                <w:sz w:val="24"/>
              </w:rPr>
              <w:t>Bordi ka shqyrtuar gjendjen aktuale me procesin e vlerësimit të jashtëm dhe ka konstatuar se nuk do</w:t>
            </w:r>
            <w:r w:rsidRPr="00F20BF9">
              <w:rPr>
                <w:sz w:val="24"/>
                <w:lang w:val="sq-MK"/>
              </w:rPr>
              <w:t xml:space="preserve"> të </w:t>
            </w:r>
            <w:proofErr w:type="gramStart"/>
            <w:r w:rsidRPr="00F20BF9">
              <w:rPr>
                <w:sz w:val="24"/>
                <w:lang w:val="sq-MK"/>
              </w:rPr>
              <w:t xml:space="preserve">mundet </w:t>
            </w:r>
            <w:r w:rsidRPr="00F20BF9">
              <w:rPr>
                <w:sz w:val="24"/>
              </w:rPr>
              <w:t xml:space="preserve"> të</w:t>
            </w:r>
            <w:proofErr w:type="gramEnd"/>
            <w:r w:rsidRPr="00F20BF9">
              <w:rPr>
                <w:sz w:val="24"/>
              </w:rPr>
              <w:t xml:space="preserve"> respektohen afatet e p</w:t>
            </w:r>
            <w:r w:rsidRPr="00F20BF9">
              <w:rPr>
                <w:sz w:val="24"/>
                <w:lang w:val="sq-MK"/>
              </w:rPr>
              <w:t>ararapara</w:t>
            </w:r>
            <w:r w:rsidRPr="00F20BF9">
              <w:rPr>
                <w:sz w:val="24"/>
              </w:rPr>
              <w:t xml:space="preserve"> </w:t>
            </w:r>
            <w:r w:rsidRPr="00F20BF9">
              <w:rPr>
                <w:sz w:val="24"/>
                <w:lang w:val="sq-MK"/>
              </w:rPr>
              <w:t>në</w:t>
            </w:r>
            <w:r w:rsidRPr="00F20BF9">
              <w:rPr>
                <w:sz w:val="24"/>
              </w:rPr>
              <w:t xml:space="preserve"> Rregullore</w:t>
            </w:r>
            <w:r w:rsidR="00AC1D3F" w:rsidRPr="00F20BF9">
              <w:rPr>
                <w:sz w:val="24"/>
              </w:rPr>
              <w:t xml:space="preserve">. </w:t>
            </w:r>
            <w:r w:rsidRPr="00F20BF9">
              <w:rPr>
                <w:sz w:val="24"/>
              </w:rPr>
              <w:t>Arsyeja për këtë është mungesa e drejtori</w:t>
            </w:r>
            <w:r w:rsidRPr="00F20BF9">
              <w:rPr>
                <w:sz w:val="24"/>
                <w:lang w:val="sq-MK"/>
              </w:rPr>
              <w:t>t</w:t>
            </w:r>
            <w:r w:rsidRPr="00F20BF9">
              <w:rPr>
                <w:sz w:val="24"/>
              </w:rPr>
              <w:t xml:space="preserve"> të emëruar në A</w:t>
            </w:r>
            <w:r w:rsidRPr="00F20BF9">
              <w:rPr>
                <w:sz w:val="24"/>
                <w:lang w:val="sq-MK"/>
              </w:rPr>
              <w:t>CAL</w:t>
            </w:r>
            <w:r w:rsidRPr="00F20BF9">
              <w:rPr>
                <w:sz w:val="24"/>
              </w:rPr>
              <w:t>, për shkak të së cilës një pjesë e madhe e aktiviteteve të nevojshme nuk mund të zbatohen pa mbështetjen adekuate administrative nga Agjencia</w:t>
            </w:r>
            <w:r w:rsidR="00AC1D3F" w:rsidRPr="00F20BF9">
              <w:rPr>
                <w:sz w:val="24"/>
              </w:rPr>
              <w:t xml:space="preserve">. </w:t>
            </w:r>
            <w:r w:rsidR="004F4070" w:rsidRPr="00F20BF9">
              <w:rPr>
                <w:sz w:val="24"/>
              </w:rPr>
              <w:t xml:space="preserve">Si </w:t>
            </w:r>
            <w:proofErr w:type="gramStart"/>
            <w:r w:rsidR="004F4070" w:rsidRPr="00F20BF9">
              <w:rPr>
                <w:sz w:val="24"/>
              </w:rPr>
              <w:t>përfundim,Bordi</w:t>
            </w:r>
            <w:proofErr w:type="gramEnd"/>
            <w:r w:rsidR="004F4070" w:rsidRPr="00F20BF9">
              <w:rPr>
                <w:sz w:val="24"/>
              </w:rPr>
              <w:t xml:space="preserve"> vendosi ta pezullojë procesin e vlerësimit të jashtëm derisa të krijohen kushtet për zbatimin e tij të mëtejshëm.</w:t>
            </w:r>
          </w:p>
          <w:p w14:paraId="1625376D" w14:textId="7D7AB4B5" w:rsidR="00FF2F14" w:rsidRPr="00FF2F14" w:rsidRDefault="004F4070" w:rsidP="00F20BF9">
            <w:pPr>
              <w:pStyle w:val="ListParagraph"/>
              <w:numPr>
                <w:ilvl w:val="0"/>
                <w:numId w:val="5"/>
              </w:numPr>
            </w:pPr>
            <w:r w:rsidRPr="00D31F60">
              <w:rPr>
                <w:b/>
                <w:sz w:val="24"/>
              </w:rPr>
              <w:t>Seanca</w:t>
            </w:r>
            <w:r w:rsidR="00AC1D3F" w:rsidRPr="00D31F60">
              <w:rPr>
                <w:b/>
                <w:sz w:val="24"/>
              </w:rPr>
              <w:t>.</w:t>
            </w:r>
            <w:r w:rsidR="00AC1D3F" w:rsidRPr="00F20BF9">
              <w:rPr>
                <w:sz w:val="24"/>
              </w:rPr>
              <w:t xml:space="preserve"> </w:t>
            </w:r>
            <w:r w:rsidRPr="00F20BF9">
              <w:rPr>
                <w:sz w:val="24"/>
              </w:rPr>
              <w:t>Meqenëse ndryshimi i nenit të Rregullores për Vlerësimin e Jashtëm, në përputhje me kërkesën e Bordit, është publikuar në “Gazetën Zyrtare”, në seancë është diskutuar për konkursin e ri për përzgjedhjen e ekspertëve të huaj.</w:t>
            </w:r>
            <w:r w:rsidR="00AC1D3F" w:rsidRPr="00F20BF9">
              <w:rPr>
                <w:sz w:val="24"/>
              </w:rPr>
              <w:t xml:space="preserve"> </w:t>
            </w:r>
            <w:r w:rsidRPr="00F20BF9">
              <w:rPr>
                <w:sz w:val="24"/>
              </w:rPr>
              <w:t xml:space="preserve">Me hyrjen në fuqi të </w:t>
            </w:r>
            <w:proofErr w:type="gramStart"/>
            <w:r w:rsidRPr="00F20BF9">
              <w:rPr>
                <w:sz w:val="24"/>
                <w:lang w:val="sq-MK"/>
              </w:rPr>
              <w:t xml:space="preserve">ndryshimit </w:t>
            </w:r>
            <w:r w:rsidRPr="00F20BF9">
              <w:rPr>
                <w:sz w:val="24"/>
              </w:rPr>
              <w:t>,</w:t>
            </w:r>
            <w:proofErr w:type="gramEnd"/>
            <w:r w:rsidRPr="00F20BF9">
              <w:rPr>
                <w:sz w:val="24"/>
              </w:rPr>
              <w:t xml:space="preserve"> u krijuan kushtet për shpalljen e konkursi</w:t>
            </w:r>
            <w:r w:rsidRPr="00F20BF9">
              <w:rPr>
                <w:sz w:val="24"/>
                <w:lang w:val="sq-MK"/>
              </w:rPr>
              <w:t>t</w:t>
            </w:r>
            <w:r w:rsidRPr="00F20BF9">
              <w:rPr>
                <w:sz w:val="24"/>
              </w:rPr>
              <w:t xml:space="preserve"> të ri, </w:t>
            </w:r>
            <w:r w:rsidR="00FF2F14" w:rsidRPr="00F20BF9">
              <w:rPr>
                <w:sz w:val="24"/>
              </w:rPr>
              <w:t>dhe anëtarët njëzëri e mbështetën iniciativën për përzgjedhjen e ekspertëve të huaj për vitin 2025.</w:t>
            </w:r>
          </w:p>
          <w:p w14:paraId="329624C6" w14:textId="77777777" w:rsidR="00FF2F14" w:rsidRPr="00FF2F14" w:rsidRDefault="00FF2F14" w:rsidP="00FF2F14">
            <w:pPr>
              <w:pStyle w:val="ListParagraph"/>
              <w:ind w:left="7"/>
            </w:pPr>
          </w:p>
          <w:p w14:paraId="1D032194" w14:textId="262CD3E4" w:rsidR="00451347" w:rsidRDefault="00FF2F14" w:rsidP="00D31F60">
            <w:pPr>
              <w:pStyle w:val="ListParagraph"/>
              <w:ind w:left="367"/>
            </w:pPr>
            <w:r w:rsidRPr="00FF2F14">
              <w:rPr>
                <w:sz w:val="24"/>
              </w:rPr>
              <w:t>Në vazhdim, u shqyrtuan aktivitetet që lidhen me procesin e vlerësimit të jashtëm.</w:t>
            </w:r>
          </w:p>
        </w:tc>
      </w:tr>
    </w:tbl>
    <w:p w14:paraId="5ABD3966" w14:textId="77777777" w:rsidR="00451347" w:rsidRDefault="00451347">
      <w:pPr>
        <w:sectPr w:rsidR="00451347">
          <w:footerReference w:type="even" r:id="rId9"/>
          <w:footerReference w:type="default" r:id="rId10"/>
          <w:footerReference w:type="first" r:id="rId11"/>
          <w:pgSz w:w="11909" w:h="16848"/>
          <w:pgMar w:top="215" w:right="1901" w:bottom="936" w:left="1174" w:header="720" w:footer="720" w:gutter="0"/>
          <w:cols w:space="720"/>
        </w:sectPr>
      </w:pPr>
    </w:p>
    <w:p w14:paraId="284FF21F" w14:textId="77777777" w:rsidR="00451347" w:rsidRDefault="00451347">
      <w:pPr>
        <w:spacing w:after="0"/>
        <w:ind w:left="-1440" w:right="10469"/>
      </w:pPr>
    </w:p>
    <w:tbl>
      <w:tblPr>
        <w:tblStyle w:val="TableGrid"/>
        <w:tblW w:w="9507" w:type="dxa"/>
        <w:tblInd w:w="-255" w:type="dxa"/>
        <w:tblCellMar>
          <w:top w:w="67" w:type="dxa"/>
          <w:left w:w="104" w:type="dxa"/>
          <w:bottom w:w="3" w:type="dxa"/>
          <w:right w:w="94" w:type="dxa"/>
        </w:tblCellMar>
        <w:tblLook w:val="04A0" w:firstRow="1" w:lastRow="0" w:firstColumn="1" w:lastColumn="0" w:noHBand="0" w:noVBand="1"/>
      </w:tblPr>
      <w:tblGrid>
        <w:gridCol w:w="9507"/>
      </w:tblGrid>
      <w:tr w:rsidR="00451347" w14:paraId="27C02B4E" w14:textId="77777777">
        <w:trPr>
          <w:trHeight w:val="11544"/>
        </w:trPr>
        <w:tc>
          <w:tcPr>
            <w:tcW w:w="9507" w:type="dxa"/>
            <w:tcBorders>
              <w:top w:val="single" w:sz="2" w:space="0" w:color="000000"/>
              <w:left w:val="single" w:sz="2" w:space="0" w:color="000000"/>
              <w:bottom w:val="single" w:sz="2" w:space="0" w:color="000000"/>
              <w:right w:val="single" w:sz="2" w:space="0" w:color="000000"/>
            </w:tcBorders>
          </w:tcPr>
          <w:p w14:paraId="1E08509A" w14:textId="79ACB00B" w:rsidR="00451347" w:rsidRDefault="006B1E4C">
            <w:pPr>
              <w:spacing w:after="107" w:line="225" w:lineRule="auto"/>
              <w:ind w:left="14" w:right="36"/>
              <w:jc w:val="both"/>
            </w:pPr>
            <w:r w:rsidRPr="006B1E4C">
              <w:rPr>
                <w:sz w:val="24"/>
              </w:rPr>
              <w:t xml:space="preserve">Edhe pse tre universitetet e para të selektuara për vlerësim të jashtëm i kanë dorëzuar tashmë raportet e tyre të vetëvlerësimit, aktivitetet e Bordit në këtë fushë janë </w:t>
            </w:r>
            <w:r>
              <w:rPr>
                <w:sz w:val="24"/>
                <w:lang w:val="sq-MK"/>
              </w:rPr>
              <w:t>ndaluar</w:t>
            </w:r>
            <w:r w:rsidRPr="006B1E4C">
              <w:rPr>
                <w:sz w:val="24"/>
              </w:rPr>
              <w:t xml:space="preserve"> përkohësisht</w:t>
            </w:r>
            <w:r w:rsidR="00AC1D3F">
              <w:rPr>
                <w:sz w:val="24"/>
              </w:rPr>
              <w:t xml:space="preserve">. </w:t>
            </w:r>
            <w:r w:rsidR="008864D7" w:rsidRPr="008864D7">
              <w:rPr>
                <w:sz w:val="24"/>
              </w:rPr>
              <w:t>Arsyeja e ngecjes vjen nga procesi i zgjedhjes së drejtorit të ri të A</w:t>
            </w:r>
            <w:r w:rsidR="008864D7">
              <w:rPr>
                <w:sz w:val="24"/>
                <w:lang w:val="sq-MK"/>
              </w:rPr>
              <w:t>CAL</w:t>
            </w:r>
            <w:r w:rsidR="008864D7" w:rsidRPr="008864D7">
              <w:rPr>
                <w:sz w:val="24"/>
              </w:rPr>
              <w:t>-së, si dhe nga nevoja për zbatimin e prokurimit publik për akomodimin dhe transportin e ekspertëve të hua</w:t>
            </w:r>
            <w:r w:rsidR="008864D7">
              <w:rPr>
                <w:sz w:val="24"/>
                <w:lang w:val="sq-MK"/>
              </w:rPr>
              <w:t>j</w:t>
            </w:r>
            <w:r w:rsidR="00AC1D3F">
              <w:rPr>
                <w:sz w:val="24"/>
              </w:rPr>
              <w:t>.</w:t>
            </w:r>
          </w:p>
          <w:p w14:paraId="4008E668" w14:textId="42A2F519" w:rsidR="00451347" w:rsidRDefault="00F20BF9" w:rsidP="00F20BF9">
            <w:pPr>
              <w:spacing w:after="208" w:line="217" w:lineRule="auto"/>
              <w:ind w:left="14" w:right="18"/>
              <w:jc w:val="both"/>
            </w:pPr>
            <w:r>
              <w:rPr>
                <w:sz w:val="24"/>
                <w:lang w:val="sq-MK"/>
              </w:rPr>
              <w:t>2</w:t>
            </w:r>
            <w:r w:rsidR="00D31F60">
              <w:rPr>
                <w:sz w:val="24"/>
                <w:lang w:val="sq-MK"/>
              </w:rPr>
              <w:t>3</w:t>
            </w:r>
            <w:r>
              <w:rPr>
                <w:sz w:val="24"/>
                <w:lang w:val="sq-MK"/>
              </w:rPr>
              <w:t>.</w:t>
            </w:r>
            <w:r w:rsidR="008864D7" w:rsidRPr="00523374">
              <w:rPr>
                <w:b/>
                <w:sz w:val="24"/>
              </w:rPr>
              <w:t>Seanca</w:t>
            </w:r>
            <w:r w:rsidR="002C4E8B" w:rsidRPr="00523374">
              <w:rPr>
                <w:b/>
                <w:sz w:val="24"/>
                <w:lang w:val="sq-MK"/>
              </w:rPr>
              <w:t>-</w:t>
            </w:r>
            <w:r w:rsidR="00AC1D3F">
              <w:rPr>
                <w:sz w:val="24"/>
              </w:rPr>
              <w:t xml:space="preserve"> </w:t>
            </w:r>
            <w:r w:rsidR="008864D7" w:rsidRPr="008864D7">
              <w:rPr>
                <w:sz w:val="24"/>
              </w:rPr>
              <w:t>Në seancë, anëtarët e Bordit e njohën drejtorin e sapozgjedhur me aktivitetet që kanë të bëjnë me realizimin e vlerësimit të jashtëm të gjashtë institucioneve të para të arsimit të lartë</w:t>
            </w:r>
            <w:r w:rsidR="00AC1D3F">
              <w:rPr>
                <w:sz w:val="24"/>
              </w:rPr>
              <w:t xml:space="preserve">. </w:t>
            </w:r>
            <w:r w:rsidR="008864D7">
              <w:rPr>
                <w:sz w:val="24"/>
                <w:lang w:val="sq-MK"/>
              </w:rPr>
              <w:t>Njëkohësishtë</w:t>
            </w:r>
            <w:r w:rsidR="008864D7" w:rsidRPr="008864D7">
              <w:rPr>
                <w:sz w:val="24"/>
              </w:rPr>
              <w:t xml:space="preserve"> u theksuan sfidat, para së gjithash të natyrës logjistike, të cilat duhet të tejkalohen në mënyrë që procesi të vazhdojë pa probleme</w:t>
            </w:r>
            <w:r w:rsidR="00AC1D3F">
              <w:rPr>
                <w:sz w:val="24"/>
              </w:rPr>
              <w:t>.</w:t>
            </w:r>
          </w:p>
          <w:p w14:paraId="307C020B" w14:textId="7BAB5273" w:rsidR="00451347" w:rsidRDefault="008864D7">
            <w:pPr>
              <w:spacing w:after="120" w:line="228" w:lineRule="auto"/>
              <w:ind w:right="29" w:firstLine="14"/>
              <w:jc w:val="both"/>
            </w:pPr>
            <w:r w:rsidRPr="008864D7">
              <w:rPr>
                <w:sz w:val="24"/>
              </w:rPr>
              <w:t>Anëtarët e Bordit përsëritën problemin e mungesës së kuadrit në Agjenci, veçanërisht koordinatorëve që duhet të udhëheqin të gjithë procedurën administrative që lidhet me vlerësimin e jashtëm</w:t>
            </w:r>
            <w:r w:rsidR="00AC1D3F">
              <w:rPr>
                <w:sz w:val="24"/>
              </w:rPr>
              <w:t xml:space="preserve">. </w:t>
            </w:r>
            <w:r w:rsidRPr="008864D7">
              <w:rPr>
                <w:sz w:val="24"/>
              </w:rPr>
              <w:t>Ata gjithashtu shprehën shqetësim në lidhje me konflikt të mundshëm interesi NËSE anëtarët e Bordit do të ishin të përfshirë si në pjesën administrative ashtu edhe në vetë procesin e vlerësimit.</w:t>
            </w:r>
          </w:p>
          <w:p w14:paraId="4ABAC1AF" w14:textId="322DE3F7" w:rsidR="002C4E8B" w:rsidRPr="002C4E8B" w:rsidRDefault="00523374" w:rsidP="00523374">
            <w:pPr>
              <w:pStyle w:val="ListParagraph"/>
              <w:spacing w:after="9" w:line="227" w:lineRule="auto"/>
              <w:ind w:left="367" w:right="18"/>
              <w:jc w:val="both"/>
            </w:pPr>
            <w:r>
              <w:rPr>
                <w:sz w:val="24"/>
                <w:lang w:val="sq-MK"/>
              </w:rPr>
              <w:t>24.</w:t>
            </w:r>
            <w:r w:rsidR="008864D7" w:rsidRPr="00F20BF9">
              <w:rPr>
                <w:sz w:val="24"/>
              </w:rPr>
              <w:t>Seanca</w:t>
            </w:r>
            <w:r w:rsidR="008864D7" w:rsidRPr="00F20BF9">
              <w:rPr>
                <w:sz w:val="24"/>
                <w:lang w:val="sq-MK"/>
              </w:rPr>
              <w:t>-</w:t>
            </w:r>
            <w:r w:rsidR="00AC1D3F" w:rsidRPr="00F20BF9">
              <w:rPr>
                <w:sz w:val="24"/>
              </w:rPr>
              <w:t xml:space="preserve"> </w:t>
            </w:r>
            <w:r w:rsidR="008864D7" w:rsidRPr="00F20BF9">
              <w:rPr>
                <w:sz w:val="24"/>
              </w:rPr>
              <w:t xml:space="preserve">Anëtarët e Bordit u informuan për problemet teknike me </w:t>
            </w:r>
            <w:r w:rsidR="002C4E8B" w:rsidRPr="00F20BF9">
              <w:rPr>
                <w:sz w:val="24"/>
                <w:lang w:val="sq-MK"/>
              </w:rPr>
              <w:t>ueb-</w:t>
            </w:r>
            <w:r w:rsidR="008864D7" w:rsidRPr="00F20BF9">
              <w:rPr>
                <w:sz w:val="24"/>
              </w:rPr>
              <w:t xml:space="preserve">faqen </w:t>
            </w:r>
            <w:r w:rsidR="002C4E8B" w:rsidRPr="00F20BF9">
              <w:rPr>
                <w:sz w:val="24"/>
                <w:lang w:val="sq-MK"/>
              </w:rPr>
              <w:t xml:space="preserve">e </w:t>
            </w:r>
            <w:r w:rsidR="008864D7" w:rsidRPr="00F20BF9">
              <w:rPr>
                <w:sz w:val="24"/>
              </w:rPr>
              <w:t>A</w:t>
            </w:r>
            <w:r w:rsidR="002C4E8B" w:rsidRPr="00F20BF9">
              <w:rPr>
                <w:sz w:val="24"/>
                <w:lang w:val="sq-MK"/>
              </w:rPr>
              <w:t>CAL</w:t>
            </w:r>
            <w:r w:rsidR="008864D7" w:rsidRPr="00F20BF9">
              <w:rPr>
                <w:sz w:val="24"/>
              </w:rPr>
              <w:t>-së,</w:t>
            </w:r>
            <w:r w:rsidR="00AC1D3F" w:rsidRPr="00F20BF9">
              <w:rPr>
                <w:sz w:val="24"/>
              </w:rPr>
              <w:t xml:space="preserve"> </w:t>
            </w:r>
            <w:r w:rsidR="002C4E8B" w:rsidRPr="00F20BF9">
              <w:rPr>
                <w:sz w:val="24"/>
              </w:rPr>
              <w:t xml:space="preserve">për këtë arsye u konstatua se është e nevojshme </w:t>
            </w:r>
            <w:r w:rsidR="002C4E8B" w:rsidRPr="00F20BF9">
              <w:rPr>
                <w:sz w:val="24"/>
                <w:lang w:val="sq-MK"/>
              </w:rPr>
              <w:t xml:space="preserve"> vazhdimi</w:t>
            </w:r>
            <w:r w:rsidR="002C4E8B" w:rsidRPr="00F20BF9">
              <w:rPr>
                <w:sz w:val="24"/>
              </w:rPr>
              <w:t xml:space="preserve"> </w:t>
            </w:r>
            <w:r w:rsidR="002C4E8B" w:rsidRPr="00F20BF9">
              <w:rPr>
                <w:sz w:val="24"/>
                <w:lang w:val="sq-MK"/>
              </w:rPr>
              <w:t>i</w:t>
            </w:r>
            <w:r w:rsidR="002C4E8B" w:rsidRPr="00F20BF9">
              <w:rPr>
                <w:sz w:val="24"/>
              </w:rPr>
              <w:t xml:space="preserve"> afatit për </w:t>
            </w:r>
            <w:r w:rsidR="002C4E8B" w:rsidRPr="00F20BF9">
              <w:rPr>
                <w:sz w:val="24"/>
                <w:lang w:val="sq-MK"/>
              </w:rPr>
              <w:t xml:space="preserve">aplikimin </w:t>
            </w:r>
            <w:r w:rsidR="002C4E8B" w:rsidRPr="00F20BF9">
              <w:rPr>
                <w:sz w:val="24"/>
              </w:rPr>
              <w:t xml:space="preserve"> e ekspertëve dhe studentëve të huaj.</w:t>
            </w:r>
            <w:r w:rsidR="00AC1D3F" w:rsidRPr="00F20BF9">
              <w:rPr>
                <w:sz w:val="24"/>
              </w:rPr>
              <w:t xml:space="preserve"> </w:t>
            </w:r>
            <w:r w:rsidR="002C4E8B" w:rsidRPr="00F20BF9">
              <w:rPr>
                <w:sz w:val="24"/>
              </w:rPr>
              <w:t xml:space="preserve">Në vend të afatit të caktuar </w:t>
            </w:r>
            <w:r w:rsidR="002C4E8B" w:rsidRPr="00F20BF9">
              <w:rPr>
                <w:sz w:val="24"/>
                <w:lang w:val="sq-MK"/>
              </w:rPr>
              <w:t xml:space="preserve">në </w:t>
            </w:r>
            <w:r w:rsidR="002C4E8B" w:rsidRPr="00F20BF9">
              <w:rPr>
                <w:sz w:val="24"/>
              </w:rPr>
              <w:t xml:space="preserve">fillim </w:t>
            </w:r>
            <w:r w:rsidR="002C4E8B" w:rsidRPr="00F20BF9">
              <w:rPr>
                <w:sz w:val="24"/>
                <w:lang w:val="sq-MK"/>
              </w:rPr>
              <w:t xml:space="preserve">deri më datën </w:t>
            </w:r>
            <w:r w:rsidR="002C4E8B" w:rsidRPr="00F20BF9">
              <w:rPr>
                <w:sz w:val="24"/>
              </w:rPr>
              <w:t xml:space="preserve">20.06.2025, Bordi vendosi ta </w:t>
            </w:r>
            <w:r w:rsidR="002C4E8B" w:rsidRPr="00F20BF9">
              <w:rPr>
                <w:sz w:val="24"/>
                <w:lang w:val="sq-MK"/>
              </w:rPr>
              <w:t>vazhdojë</w:t>
            </w:r>
            <w:r w:rsidR="002C4E8B" w:rsidRPr="00F20BF9">
              <w:rPr>
                <w:sz w:val="24"/>
              </w:rPr>
              <w:t xml:space="preserve"> afatin deri më 27.06.2025.</w:t>
            </w:r>
          </w:p>
          <w:p w14:paraId="6760E3AB" w14:textId="25AC2FCB" w:rsidR="00451347" w:rsidRDefault="00F20BF9" w:rsidP="00F20BF9">
            <w:pPr>
              <w:pStyle w:val="ListParagraph"/>
              <w:spacing w:after="135" w:line="223" w:lineRule="auto"/>
              <w:ind w:left="367" w:right="22"/>
              <w:jc w:val="both"/>
            </w:pPr>
            <w:r>
              <w:rPr>
                <w:sz w:val="24"/>
                <w:lang w:val="sq-MK"/>
              </w:rPr>
              <w:t xml:space="preserve">25.   </w:t>
            </w:r>
            <w:r w:rsidR="002C4E8B" w:rsidRPr="00523374">
              <w:rPr>
                <w:b/>
                <w:sz w:val="24"/>
              </w:rPr>
              <w:t>Seanca</w:t>
            </w:r>
            <w:proofErr w:type="gramStart"/>
            <w:r w:rsidR="002C4E8B" w:rsidRPr="00523374">
              <w:rPr>
                <w:b/>
                <w:sz w:val="24"/>
              </w:rPr>
              <w:t>-</w:t>
            </w:r>
            <w:r w:rsidR="002C4E8B" w:rsidRPr="00F20BF9">
              <w:rPr>
                <w:sz w:val="24"/>
              </w:rPr>
              <w:t xml:space="preserve"> </w:t>
            </w:r>
            <w:r w:rsidR="00AC1D3F" w:rsidRPr="00F20BF9">
              <w:rPr>
                <w:sz w:val="24"/>
              </w:rPr>
              <w:t xml:space="preserve"> </w:t>
            </w:r>
            <w:r w:rsidR="009D2DE0" w:rsidRPr="00F20BF9">
              <w:rPr>
                <w:sz w:val="24"/>
              </w:rPr>
              <w:t>Në</w:t>
            </w:r>
            <w:proofErr w:type="gramEnd"/>
            <w:r w:rsidR="009D2DE0" w:rsidRPr="00F20BF9">
              <w:rPr>
                <w:sz w:val="24"/>
              </w:rPr>
              <w:t xml:space="preserve"> seancë u shqyrtua </w:t>
            </w:r>
            <w:r w:rsidR="003D76AC" w:rsidRPr="00F20BF9">
              <w:rPr>
                <w:sz w:val="24"/>
                <w:lang w:val="sq-MK"/>
              </w:rPr>
              <w:t>shkresa</w:t>
            </w:r>
            <w:r w:rsidR="009D2DE0" w:rsidRPr="00F20BF9">
              <w:rPr>
                <w:sz w:val="24"/>
              </w:rPr>
              <w:t xml:space="preserve"> nga </w:t>
            </w:r>
            <w:r w:rsidR="003D76AC" w:rsidRPr="00F20BF9">
              <w:rPr>
                <w:sz w:val="24"/>
                <w:lang w:val="sq-MK"/>
              </w:rPr>
              <w:t>MASH-i</w:t>
            </w:r>
            <w:r w:rsidR="009D2DE0" w:rsidRPr="00F20BF9">
              <w:rPr>
                <w:sz w:val="24"/>
              </w:rPr>
              <w:t xml:space="preserve"> për të kryer vlerësim të jashtëzakonshëm të jashtëm të Universitetit MIT dhe Universitetit Ndërkombëtar "Vision Gostivar",</w:t>
            </w:r>
            <w:r w:rsidR="00AC1D3F" w:rsidRPr="00F20BF9">
              <w:rPr>
                <w:sz w:val="24"/>
              </w:rPr>
              <w:t xml:space="preserve"> </w:t>
            </w:r>
            <w:r w:rsidR="00680716" w:rsidRPr="00F20BF9">
              <w:rPr>
                <w:sz w:val="24"/>
              </w:rPr>
              <w:t xml:space="preserve">si dhe </w:t>
            </w:r>
            <w:r w:rsidR="003A5260" w:rsidRPr="00F20BF9">
              <w:rPr>
                <w:color w:val="auto"/>
                <w:sz w:val="24"/>
              </w:rPr>
              <w:t>ri</w:t>
            </w:r>
            <w:r w:rsidR="00680716" w:rsidRPr="00F20BF9">
              <w:rPr>
                <w:color w:val="auto"/>
                <w:sz w:val="24"/>
              </w:rPr>
              <w:t>kujtimin</w:t>
            </w:r>
            <w:r w:rsidR="00680716" w:rsidRPr="00F20BF9">
              <w:rPr>
                <w:sz w:val="24"/>
              </w:rPr>
              <w:t xml:space="preserve"> për vlerësimin e Universitetit "Shën Apostulli Pal", Universiteti i Strugës dhe Shkollës së Lartë Profesionale Fakulteti Ekonomik i Biznesit - Shkup</w:t>
            </w:r>
            <w:r w:rsidR="00AC1D3F" w:rsidRPr="00F20BF9">
              <w:rPr>
                <w:sz w:val="24"/>
              </w:rPr>
              <w:t xml:space="preserve">. </w:t>
            </w:r>
            <w:r w:rsidR="003A5260" w:rsidRPr="00F20BF9">
              <w:rPr>
                <w:sz w:val="24"/>
              </w:rPr>
              <w:t>Për Universitetin e Strugës dhe Fakultetin e Ekonomisë së Biznesit - Shkup, janë formuar komisione dhe tashmë kanë dorëzuar raporte, dhe vlerësimi do të zbatohet pasi të sigurohen kushtet nga ACAL.</w:t>
            </w:r>
            <w:r w:rsidR="00AC1D3F" w:rsidRPr="00F20BF9">
              <w:rPr>
                <w:sz w:val="24"/>
              </w:rPr>
              <w:t xml:space="preserve"> </w:t>
            </w:r>
            <w:r w:rsidR="003A5260" w:rsidRPr="00F20BF9">
              <w:rPr>
                <w:sz w:val="24"/>
              </w:rPr>
              <w:t>Për Universitetin "Shën Apostulli Pal" nuk mund të formohet komision për shkak të mungesës së kuadrit adekuat dhe kufizimeve të parapara në rregullore</w:t>
            </w:r>
            <w:r w:rsidR="00AC1D3F" w:rsidRPr="00F20BF9">
              <w:rPr>
                <w:sz w:val="24"/>
              </w:rPr>
              <w:t>.</w:t>
            </w:r>
          </w:p>
          <w:p w14:paraId="0B0AF948" w14:textId="25FBA0F0" w:rsidR="00451347" w:rsidRDefault="00BE59A3">
            <w:pPr>
              <w:spacing w:after="131" w:line="227" w:lineRule="auto"/>
              <w:ind w:left="7" w:right="22" w:firstLine="14"/>
              <w:jc w:val="both"/>
            </w:pPr>
            <w:r>
              <w:rPr>
                <w:sz w:val="24"/>
              </w:rPr>
              <w:t>N</w:t>
            </w:r>
            <w:r>
              <w:rPr>
                <w:sz w:val="24"/>
                <w:lang w:val="sq-MK"/>
              </w:rPr>
              <w:t>ë</w:t>
            </w:r>
            <w:r>
              <w:rPr>
                <w:sz w:val="24"/>
              </w:rPr>
              <w:t xml:space="preserve"> </w:t>
            </w:r>
            <w:r>
              <w:rPr>
                <w:sz w:val="24"/>
                <w:lang w:val="sq-MK"/>
              </w:rPr>
              <w:t>l</w:t>
            </w:r>
            <w:r w:rsidRPr="00BE59A3">
              <w:rPr>
                <w:sz w:val="24"/>
              </w:rPr>
              <w:t>idh</w:t>
            </w:r>
            <w:r>
              <w:rPr>
                <w:sz w:val="24"/>
                <w:lang w:val="sq-MK"/>
              </w:rPr>
              <w:t xml:space="preserve">je </w:t>
            </w:r>
            <w:r w:rsidRPr="00BE59A3">
              <w:rPr>
                <w:sz w:val="24"/>
              </w:rPr>
              <w:t>me Universitetin MIT dhe Universitetin Vision - Gostivar, u theksua se në përputhje me listën e disponueshme të ekspertëve të huaj, mund të formohen komisione për fakultetet në fushën e shkencave shoqërore dhe shkencave të drejtësisë</w:t>
            </w:r>
            <w:r w:rsidR="00AC1D3F">
              <w:rPr>
                <w:sz w:val="24"/>
              </w:rPr>
              <w:t>.</w:t>
            </w:r>
          </w:p>
          <w:p w14:paraId="1C4748D0" w14:textId="7CB207AB" w:rsidR="00BE59A3" w:rsidRPr="00BE59A3" w:rsidRDefault="00F20BF9" w:rsidP="00F20BF9">
            <w:pPr>
              <w:spacing w:after="110" w:line="216" w:lineRule="auto"/>
              <w:ind w:left="7"/>
              <w:jc w:val="both"/>
            </w:pPr>
            <w:r>
              <w:rPr>
                <w:sz w:val="24"/>
                <w:lang w:val="sq-MK"/>
              </w:rPr>
              <w:t>26.</w:t>
            </w:r>
            <w:r w:rsidR="00BE59A3" w:rsidRPr="00523374">
              <w:rPr>
                <w:b/>
                <w:sz w:val="24"/>
              </w:rPr>
              <w:t>Seanca-</w:t>
            </w:r>
            <w:r w:rsidR="00BE59A3" w:rsidRPr="00F20BF9">
              <w:rPr>
                <w:sz w:val="24"/>
              </w:rPr>
              <w:t xml:space="preserve">  </w:t>
            </w:r>
            <w:r w:rsidR="00AC1D3F" w:rsidRPr="00F20BF9">
              <w:rPr>
                <w:sz w:val="24"/>
              </w:rPr>
              <w:t xml:space="preserve"> </w:t>
            </w:r>
            <w:r w:rsidR="00BE59A3" w:rsidRPr="00F20BF9">
              <w:rPr>
                <w:sz w:val="24"/>
              </w:rPr>
              <w:t>Në lidhje me thirrjen publike për përzgjedhjen e ekspertëve të huaj për të kryer një vlerësim të jashtëm, u formua një komision për të shqyrtuar të gjitha aplikimet e paraqitura.</w:t>
            </w:r>
          </w:p>
          <w:p w14:paraId="0C7F368C" w14:textId="77777777" w:rsidR="00BE59A3" w:rsidRDefault="00BE59A3" w:rsidP="00BE59A3">
            <w:pPr>
              <w:pStyle w:val="ListParagraph"/>
              <w:spacing w:after="110" w:line="216" w:lineRule="auto"/>
              <w:ind w:left="14"/>
              <w:jc w:val="both"/>
              <w:rPr>
                <w:sz w:val="24"/>
              </w:rPr>
            </w:pPr>
          </w:p>
          <w:p w14:paraId="1D9190C8" w14:textId="77777777" w:rsidR="00BE59A3" w:rsidRDefault="00BE59A3" w:rsidP="00BE59A3">
            <w:pPr>
              <w:rPr>
                <w:sz w:val="24"/>
              </w:rPr>
            </w:pPr>
            <w:r>
              <w:rPr>
                <w:sz w:val="24"/>
                <w:lang w:val="sq-MK"/>
              </w:rPr>
              <w:t xml:space="preserve">Poashtu </w:t>
            </w:r>
            <w:r w:rsidR="00AC1D3F" w:rsidRPr="00BE59A3">
              <w:rPr>
                <w:sz w:val="24"/>
              </w:rPr>
              <w:t xml:space="preserve">, </w:t>
            </w:r>
            <w:r w:rsidRPr="00BE59A3">
              <w:rPr>
                <w:sz w:val="24"/>
              </w:rPr>
              <w:t xml:space="preserve">në përputhje me kërkesën e Ministrisë së Arsimit, Shkencës dhe Teknologjisë, u formuan komisione </w:t>
            </w:r>
            <w:r>
              <w:rPr>
                <w:sz w:val="24"/>
                <w:lang w:val="sq-MK"/>
              </w:rPr>
              <w:t xml:space="preserve">të </w:t>
            </w:r>
            <w:r w:rsidRPr="00BE59A3">
              <w:rPr>
                <w:sz w:val="24"/>
              </w:rPr>
              <w:t>ekspertë</w:t>
            </w:r>
            <w:r>
              <w:rPr>
                <w:sz w:val="24"/>
                <w:lang w:val="sq-MK"/>
              </w:rPr>
              <w:t>ve</w:t>
            </w:r>
            <w:r w:rsidRPr="00BE59A3">
              <w:rPr>
                <w:sz w:val="24"/>
              </w:rPr>
              <w:t xml:space="preserve"> për vlerësim të jashtëm për:</w:t>
            </w:r>
          </w:p>
          <w:p w14:paraId="6D8F17B4" w14:textId="77777777" w:rsidR="00BE59A3" w:rsidRDefault="00BE59A3" w:rsidP="00BE59A3">
            <w:pPr>
              <w:rPr>
                <w:sz w:val="24"/>
              </w:rPr>
            </w:pPr>
          </w:p>
          <w:p w14:paraId="67B5F569" w14:textId="02CD8CDC" w:rsidR="00BE59A3" w:rsidRPr="00BE59A3" w:rsidRDefault="00BE59A3" w:rsidP="00BE59A3">
            <w:pPr>
              <w:rPr>
                <w:sz w:val="24"/>
              </w:rPr>
            </w:pPr>
            <w:r>
              <w:rPr>
                <w:sz w:val="24"/>
                <w:lang w:val="sq-MK"/>
              </w:rPr>
              <w:t xml:space="preserve">            </w:t>
            </w:r>
            <w:r w:rsidR="00523374" w:rsidRPr="00523374">
              <w:rPr>
                <w:sz w:val="40"/>
                <w:szCs w:val="40"/>
                <w:lang w:val="sq-MK"/>
              </w:rPr>
              <w:t>.</w:t>
            </w:r>
            <w:r w:rsidRPr="00BE59A3">
              <w:rPr>
                <w:sz w:val="24"/>
              </w:rPr>
              <w:t>Fakultetin e Drejtësisë, Universiteti Ndërkombëtar "Vizioni" - Gostivar</w:t>
            </w:r>
          </w:p>
          <w:p w14:paraId="5961B8D8" w14:textId="5C93A336" w:rsidR="00F021E2" w:rsidRDefault="00F021E2" w:rsidP="00BE59A3">
            <w:pPr>
              <w:ind w:left="14" w:right="14" w:firstLine="7"/>
              <w:jc w:val="both"/>
              <w:rPr>
                <w:sz w:val="24"/>
              </w:rPr>
            </w:pPr>
            <w:r>
              <w:rPr>
                <w:sz w:val="24"/>
                <w:lang w:val="sq-MK"/>
              </w:rPr>
              <w:t xml:space="preserve">            </w:t>
            </w:r>
            <w:r w:rsidR="00523374" w:rsidRPr="00523374">
              <w:rPr>
                <w:sz w:val="36"/>
                <w:szCs w:val="36"/>
                <w:lang w:val="sq-MK"/>
              </w:rPr>
              <w:t>.</w:t>
            </w:r>
            <w:r w:rsidR="00BE59A3" w:rsidRPr="00BE59A3">
              <w:rPr>
                <w:sz w:val="24"/>
              </w:rPr>
              <w:t>Fakultetin e Shkencave Juridike, Marrëdhënieve dhe Diplomacisë, Universiteti MIT</w:t>
            </w:r>
          </w:p>
          <w:p w14:paraId="4FAEA719" w14:textId="77777777" w:rsidR="00F021E2" w:rsidRDefault="00F021E2" w:rsidP="00BE59A3">
            <w:pPr>
              <w:ind w:left="14" w:right="14" w:firstLine="7"/>
              <w:jc w:val="both"/>
              <w:rPr>
                <w:sz w:val="24"/>
              </w:rPr>
            </w:pPr>
          </w:p>
          <w:p w14:paraId="40FF933C" w14:textId="4ACA52C1" w:rsidR="00451347" w:rsidRDefault="00F021E2" w:rsidP="00BE59A3">
            <w:pPr>
              <w:ind w:left="14" w:right="14" w:firstLine="7"/>
              <w:jc w:val="both"/>
            </w:pPr>
            <w:r w:rsidRPr="00F021E2">
              <w:rPr>
                <w:sz w:val="24"/>
              </w:rPr>
              <w:t>Gjithashtu, në bazë të kërkesës së ACAL -së për planifikimin e buxhetit për vitin në vijim, Bordi vlerësoi se është reale të parashikohen rreth 15-20 vlerësime të jashtme, mbi të cilat duhet të bazohet planifikimi buxhetor</w:t>
            </w:r>
            <w:r w:rsidR="00AC1D3F">
              <w:rPr>
                <w:sz w:val="24"/>
              </w:rPr>
              <w:t>.</w:t>
            </w:r>
          </w:p>
        </w:tc>
      </w:tr>
      <w:tr w:rsidR="00451347" w14:paraId="41AA5A10" w14:textId="77777777">
        <w:trPr>
          <w:trHeight w:val="372"/>
        </w:trPr>
        <w:tc>
          <w:tcPr>
            <w:tcW w:w="9507" w:type="dxa"/>
            <w:tcBorders>
              <w:top w:val="single" w:sz="2" w:space="0" w:color="000000"/>
              <w:left w:val="single" w:sz="2" w:space="0" w:color="000000"/>
              <w:bottom w:val="single" w:sz="2" w:space="0" w:color="000000"/>
              <w:right w:val="single" w:sz="2" w:space="0" w:color="000000"/>
            </w:tcBorders>
          </w:tcPr>
          <w:p w14:paraId="124A2642" w14:textId="5FB5B965" w:rsidR="00451347" w:rsidRDefault="00AC1D3F">
            <w:pPr>
              <w:ind w:left="14"/>
            </w:pPr>
            <w:r>
              <w:rPr>
                <w:sz w:val="24"/>
              </w:rPr>
              <w:t xml:space="preserve">7. </w:t>
            </w:r>
            <w:r w:rsidR="00F021E2" w:rsidRPr="00F021E2">
              <w:rPr>
                <w:sz w:val="24"/>
              </w:rPr>
              <w:t xml:space="preserve">Rishikimi i </w:t>
            </w:r>
            <w:r w:rsidR="00F021E2">
              <w:rPr>
                <w:sz w:val="24"/>
                <w:lang w:val="sq-MK"/>
              </w:rPr>
              <w:t>f</w:t>
            </w:r>
            <w:r w:rsidR="00F021E2" w:rsidRPr="00F021E2">
              <w:rPr>
                <w:sz w:val="24"/>
              </w:rPr>
              <w:t>unksionimi</w:t>
            </w:r>
            <w:r w:rsidR="00F021E2">
              <w:rPr>
                <w:sz w:val="24"/>
                <w:lang w:val="sq-MK"/>
              </w:rPr>
              <w:t>t</w:t>
            </w:r>
            <w:r w:rsidR="00F021E2" w:rsidRPr="00F021E2">
              <w:rPr>
                <w:sz w:val="24"/>
              </w:rPr>
              <w:t xml:space="preserve"> financiar</w:t>
            </w:r>
          </w:p>
        </w:tc>
      </w:tr>
      <w:tr w:rsidR="00451347" w14:paraId="5710380B" w14:textId="77777777">
        <w:trPr>
          <w:trHeight w:val="2527"/>
        </w:trPr>
        <w:tc>
          <w:tcPr>
            <w:tcW w:w="9507" w:type="dxa"/>
            <w:tcBorders>
              <w:top w:val="single" w:sz="2" w:space="0" w:color="000000"/>
              <w:left w:val="single" w:sz="2" w:space="0" w:color="000000"/>
              <w:bottom w:val="single" w:sz="2" w:space="0" w:color="000000"/>
              <w:right w:val="single" w:sz="2" w:space="0" w:color="000000"/>
            </w:tcBorders>
            <w:vAlign w:val="bottom"/>
          </w:tcPr>
          <w:p w14:paraId="534635E4" w14:textId="725C967F" w:rsidR="00584FBE" w:rsidRDefault="006476E6">
            <w:pPr>
              <w:ind w:left="14" w:firstLine="7"/>
              <w:jc w:val="both"/>
              <w:rPr>
                <w:sz w:val="24"/>
              </w:rPr>
            </w:pPr>
            <w:r w:rsidRPr="006476E6">
              <w:rPr>
                <w:sz w:val="24"/>
              </w:rPr>
              <w:lastRenderedPageBreak/>
              <w:t>Funksionimi financiar i institucionit të arsimit të lartë rregullohet me vendimin p</w:t>
            </w:r>
            <w:r w:rsidR="002D03A7">
              <w:rPr>
                <w:sz w:val="24"/>
                <w:lang w:val="sq-MK"/>
              </w:rPr>
              <w:t xml:space="preserve">ër </w:t>
            </w:r>
            <w:r w:rsidR="002D03A7" w:rsidRPr="002D03A7">
              <w:rPr>
                <w:sz w:val="24"/>
              </w:rPr>
              <w:t>llojin dhe shumën e kompensimit</w:t>
            </w:r>
            <w:r w:rsidR="002D03A7">
              <w:rPr>
                <w:sz w:val="24"/>
                <w:lang w:val="sq-MK"/>
              </w:rPr>
              <w:t xml:space="preserve"> </w:t>
            </w:r>
            <w:r w:rsidR="002D03A7" w:rsidRPr="002D03A7">
              <w:rPr>
                <w:sz w:val="24"/>
              </w:rPr>
              <w:t>për shpenzimet në procedurën e vlerësimit në bazë të shpenzime</w:t>
            </w:r>
            <w:r w:rsidR="002D03A7">
              <w:rPr>
                <w:sz w:val="24"/>
                <w:lang w:val="sq-MK"/>
              </w:rPr>
              <w:t>v</w:t>
            </w:r>
            <w:r w:rsidR="002D03A7" w:rsidRPr="002D03A7">
              <w:rPr>
                <w:sz w:val="24"/>
              </w:rPr>
              <w:t xml:space="preserve">e të bëra </w:t>
            </w:r>
            <w:proofErr w:type="gramStart"/>
            <w:r w:rsidR="002D03A7" w:rsidRPr="002D03A7">
              <w:rPr>
                <w:sz w:val="24"/>
              </w:rPr>
              <w:t>real</w:t>
            </w:r>
            <w:r w:rsidR="002D03A7">
              <w:rPr>
                <w:sz w:val="24"/>
                <w:lang w:val="sq-MK"/>
              </w:rPr>
              <w:t>e</w:t>
            </w:r>
            <w:r w:rsidR="002D03A7" w:rsidRPr="002D03A7">
              <w:rPr>
                <w:sz w:val="24"/>
              </w:rPr>
              <w:t>,si</w:t>
            </w:r>
            <w:proofErr w:type="gramEnd"/>
            <w:r w:rsidR="002D03A7" w:rsidRPr="002D03A7">
              <w:rPr>
                <w:sz w:val="24"/>
              </w:rPr>
              <w:t xml:space="preserve"> dhe </w:t>
            </w:r>
            <w:r w:rsidR="002D03A7">
              <w:rPr>
                <w:sz w:val="24"/>
                <w:lang w:val="sq-MK"/>
              </w:rPr>
              <w:t>kompensimin</w:t>
            </w:r>
            <w:r w:rsidR="002D03A7" w:rsidRPr="002D03A7">
              <w:rPr>
                <w:sz w:val="24"/>
              </w:rPr>
              <w:t xml:space="preserve"> e anëtarëve të bordit të vlerësimit të arsimit të lartë në bazë të p</w:t>
            </w:r>
            <w:r w:rsidR="002D03A7">
              <w:rPr>
                <w:sz w:val="24"/>
                <w:lang w:val="sq-MK"/>
              </w:rPr>
              <w:t>rezencës</w:t>
            </w:r>
            <w:r w:rsidR="002D03A7" w:rsidRPr="002D03A7">
              <w:rPr>
                <w:sz w:val="24"/>
              </w:rPr>
              <w:t xml:space="preserve"> në seancë dhe vëllimit të punës së krye</w:t>
            </w:r>
            <w:r w:rsidR="002D03A7">
              <w:rPr>
                <w:sz w:val="24"/>
                <w:lang w:val="sq-MK"/>
              </w:rPr>
              <w:t>r</w:t>
            </w:r>
            <w:r w:rsidR="00AC1D3F">
              <w:rPr>
                <w:sz w:val="24"/>
              </w:rPr>
              <w:t xml:space="preserve">. </w:t>
            </w:r>
            <w:r w:rsidR="00584FBE" w:rsidRPr="00584FBE">
              <w:rPr>
                <w:sz w:val="24"/>
              </w:rPr>
              <w:t xml:space="preserve">Ky vendim është </w:t>
            </w:r>
            <w:r w:rsidR="00584FBE">
              <w:rPr>
                <w:sz w:val="24"/>
                <w:lang w:val="sq-MK"/>
              </w:rPr>
              <w:t>sjellë</w:t>
            </w:r>
            <w:r w:rsidR="00584FBE" w:rsidRPr="00584FBE">
              <w:rPr>
                <w:sz w:val="24"/>
              </w:rPr>
              <w:t xml:space="preserve"> nga Qeveria e Republikës së Maqedonisë së Veriut dhe është publikuar në Gazetën Zyrtare të RSM-së, nr. 269/21 të datës 03.12.2021.</w:t>
            </w:r>
          </w:p>
          <w:p w14:paraId="386F7EA8" w14:textId="77777777" w:rsidR="00584FBE" w:rsidRDefault="00584FBE">
            <w:pPr>
              <w:ind w:left="14" w:firstLine="7"/>
              <w:jc w:val="both"/>
              <w:rPr>
                <w:sz w:val="24"/>
              </w:rPr>
            </w:pPr>
          </w:p>
          <w:p w14:paraId="2D41F993" w14:textId="54E38670" w:rsidR="00451347" w:rsidRDefault="00584FBE">
            <w:pPr>
              <w:ind w:left="14" w:firstLine="7"/>
              <w:jc w:val="both"/>
            </w:pPr>
            <w:r w:rsidRPr="00584FBE">
              <w:rPr>
                <w:sz w:val="24"/>
              </w:rPr>
              <w:t xml:space="preserve">Në këtë periudhë raportuese, funksionimi financiar i Bordit i referohet ekskluzivisht pagesës së </w:t>
            </w:r>
            <w:r>
              <w:rPr>
                <w:sz w:val="24"/>
                <w:lang w:val="sq-MK"/>
              </w:rPr>
              <w:t>kompensimeve</w:t>
            </w:r>
            <w:r w:rsidRPr="00584FBE">
              <w:rPr>
                <w:sz w:val="24"/>
              </w:rPr>
              <w:t xml:space="preserve"> të rregullta mujore për anëtarët. Për 12 seancat e mbajtura në periudhën raportuese, shuma </w:t>
            </w:r>
            <w:r>
              <w:rPr>
                <w:sz w:val="24"/>
                <w:lang w:val="sq-MK"/>
              </w:rPr>
              <w:t xml:space="preserve">e përgjithshme </w:t>
            </w:r>
            <w:r w:rsidRPr="00584FBE">
              <w:rPr>
                <w:sz w:val="24"/>
              </w:rPr>
              <w:t xml:space="preserve">që duhet t'u paguhet anëtarëve të </w:t>
            </w:r>
            <w:r>
              <w:rPr>
                <w:sz w:val="24"/>
                <w:lang w:val="sq-MK"/>
              </w:rPr>
              <w:t>BV</w:t>
            </w:r>
            <w:r w:rsidRPr="00584FBE">
              <w:rPr>
                <w:sz w:val="24"/>
              </w:rPr>
              <w:t xml:space="preserve"> është 450.000 denarë.</w:t>
            </w:r>
          </w:p>
        </w:tc>
      </w:tr>
    </w:tbl>
    <w:tbl>
      <w:tblPr>
        <w:tblStyle w:val="TableGrid"/>
        <w:tblpPr w:vertAnchor="text" w:tblpX="-245"/>
        <w:tblOverlap w:val="never"/>
        <w:tblW w:w="9509" w:type="dxa"/>
        <w:tblInd w:w="0" w:type="dxa"/>
        <w:tblCellMar>
          <w:top w:w="51" w:type="dxa"/>
          <w:left w:w="115" w:type="dxa"/>
          <w:right w:w="105" w:type="dxa"/>
        </w:tblCellMar>
        <w:tblLook w:val="04A0" w:firstRow="1" w:lastRow="0" w:firstColumn="1" w:lastColumn="0" w:noHBand="0" w:noVBand="1"/>
      </w:tblPr>
      <w:tblGrid>
        <w:gridCol w:w="9509"/>
      </w:tblGrid>
      <w:tr w:rsidR="00451347" w14:paraId="36BD579E" w14:textId="77777777">
        <w:trPr>
          <w:trHeight w:val="382"/>
        </w:trPr>
        <w:tc>
          <w:tcPr>
            <w:tcW w:w="9509" w:type="dxa"/>
            <w:tcBorders>
              <w:top w:val="single" w:sz="2" w:space="0" w:color="000000"/>
              <w:left w:val="single" w:sz="2" w:space="0" w:color="000000"/>
              <w:bottom w:val="single" w:sz="2" w:space="0" w:color="000000"/>
              <w:right w:val="single" w:sz="2" w:space="0" w:color="000000"/>
            </w:tcBorders>
          </w:tcPr>
          <w:p w14:paraId="2442EE51" w14:textId="4D89A16B" w:rsidR="00451347" w:rsidRDefault="00451347">
            <w:pPr>
              <w:ind w:left="14"/>
            </w:pPr>
          </w:p>
        </w:tc>
      </w:tr>
      <w:tr w:rsidR="00451347" w14:paraId="0EEA9F9D" w14:textId="77777777">
        <w:trPr>
          <w:trHeight w:val="367"/>
        </w:trPr>
        <w:tc>
          <w:tcPr>
            <w:tcW w:w="9509" w:type="dxa"/>
            <w:tcBorders>
              <w:top w:val="single" w:sz="2" w:space="0" w:color="000000"/>
              <w:left w:val="single" w:sz="2" w:space="0" w:color="000000"/>
              <w:bottom w:val="single" w:sz="2" w:space="0" w:color="000000"/>
              <w:right w:val="single" w:sz="2" w:space="0" w:color="000000"/>
            </w:tcBorders>
          </w:tcPr>
          <w:p w14:paraId="1B05D12C" w14:textId="77777777" w:rsidR="00451347" w:rsidRDefault="00AC1D3F">
            <w:pPr>
              <w:ind w:left="14"/>
              <w:rPr>
                <w:sz w:val="24"/>
              </w:rPr>
            </w:pPr>
            <w:r>
              <w:rPr>
                <w:sz w:val="24"/>
              </w:rPr>
              <w:t xml:space="preserve">8. </w:t>
            </w:r>
            <w:r w:rsidR="00990E52">
              <w:t xml:space="preserve"> </w:t>
            </w:r>
            <w:r w:rsidR="00990E52" w:rsidRPr="00990E52">
              <w:rPr>
                <w:sz w:val="24"/>
              </w:rPr>
              <w:t>Rregulloret e shqyrtuara dhe të miratuara</w:t>
            </w:r>
          </w:p>
          <w:p w14:paraId="18D71919" w14:textId="08F0DAC8" w:rsidR="00523374" w:rsidRDefault="00523374">
            <w:pPr>
              <w:ind w:left="14"/>
            </w:pPr>
          </w:p>
        </w:tc>
      </w:tr>
      <w:tr w:rsidR="00451347" w14:paraId="6709560D" w14:textId="77777777">
        <w:trPr>
          <w:trHeight w:val="2268"/>
        </w:trPr>
        <w:tc>
          <w:tcPr>
            <w:tcW w:w="9509" w:type="dxa"/>
            <w:tcBorders>
              <w:top w:val="single" w:sz="2" w:space="0" w:color="000000"/>
              <w:left w:val="single" w:sz="2" w:space="0" w:color="000000"/>
              <w:bottom w:val="single" w:sz="2" w:space="0" w:color="000000"/>
              <w:right w:val="single" w:sz="2" w:space="0" w:color="000000"/>
            </w:tcBorders>
            <w:vAlign w:val="center"/>
          </w:tcPr>
          <w:p w14:paraId="386286B8" w14:textId="77777777" w:rsidR="00523374" w:rsidRDefault="00523374">
            <w:pPr>
              <w:ind w:left="7" w:right="7" w:firstLine="14"/>
              <w:jc w:val="both"/>
              <w:rPr>
                <w:sz w:val="24"/>
              </w:rPr>
            </w:pPr>
            <w:r w:rsidRPr="00523374">
              <w:rPr>
                <w:sz w:val="24"/>
              </w:rPr>
              <w:t>Në kuadër të seancës së 18-të, Bordi shqyrtoi propozimin për ndryshime në Rregulloren për Standardet dhe Procedurën për Vlerësimin e Jashtëm dhe Vetëvlerësimin.</w:t>
            </w:r>
          </w:p>
          <w:p w14:paraId="59FA011B" w14:textId="574CCD08" w:rsidR="00451347" w:rsidRDefault="005C4E3B">
            <w:pPr>
              <w:ind w:left="7" w:right="7" w:firstLine="14"/>
              <w:jc w:val="both"/>
            </w:pPr>
            <w:r w:rsidRPr="005C4E3B">
              <w:rPr>
                <w:sz w:val="24"/>
              </w:rPr>
              <w:t xml:space="preserve">Ndryshimi ka të bëjë me Nenin 10, paragrafin 3, me anë të të cilit kriteri për përzgjedhjen e vlerësuesve bëhet më fleksibël. Sipas propozimit, parashikohet përvoja e mëparshme në vlerësimin ose akreditimin e të paktën dy institucioneve të arsimit të lartë në vend ose në shtetet anëtare të Bashkimit Evropian. Pas shqyrtimit, Bordi e miratoi propozimin dhe arriti në përfundimin se ai duhet t'i </w:t>
            </w:r>
            <w:r>
              <w:rPr>
                <w:sz w:val="24"/>
                <w:lang w:val="sq-MK"/>
              </w:rPr>
              <w:t xml:space="preserve">dorëzohet </w:t>
            </w:r>
            <w:r w:rsidRPr="005C4E3B">
              <w:rPr>
                <w:sz w:val="24"/>
              </w:rPr>
              <w:t>Këshillit Kombëtar, si organi kompetent për miratimin e tij.</w:t>
            </w:r>
          </w:p>
        </w:tc>
      </w:tr>
      <w:tr w:rsidR="00451347" w14:paraId="1B6590E5" w14:textId="77777777">
        <w:trPr>
          <w:trHeight w:val="259"/>
        </w:trPr>
        <w:tc>
          <w:tcPr>
            <w:tcW w:w="9509" w:type="dxa"/>
            <w:tcBorders>
              <w:top w:val="single" w:sz="2" w:space="0" w:color="000000"/>
              <w:left w:val="single" w:sz="2" w:space="0" w:color="000000"/>
              <w:bottom w:val="single" w:sz="2" w:space="0" w:color="000000"/>
              <w:right w:val="single" w:sz="2" w:space="0" w:color="000000"/>
            </w:tcBorders>
          </w:tcPr>
          <w:p w14:paraId="6C372A7B" w14:textId="79276500" w:rsidR="00451347" w:rsidRDefault="00AC1D3F">
            <w:pPr>
              <w:ind w:left="7"/>
            </w:pPr>
            <w:r>
              <w:rPr>
                <w:sz w:val="24"/>
              </w:rPr>
              <w:t xml:space="preserve">9. </w:t>
            </w:r>
            <w:r w:rsidR="005C4E3B">
              <w:t xml:space="preserve"> </w:t>
            </w:r>
            <w:r w:rsidR="005C4E3B" w:rsidRPr="005C4E3B">
              <w:rPr>
                <w:sz w:val="24"/>
              </w:rPr>
              <w:t>Gjendja aktuale e përputhshmërisë së procedurave me ESG2015</w:t>
            </w:r>
          </w:p>
        </w:tc>
      </w:tr>
      <w:tr w:rsidR="00451347" w14:paraId="652E66CA" w14:textId="77777777">
        <w:trPr>
          <w:trHeight w:val="2009"/>
        </w:trPr>
        <w:tc>
          <w:tcPr>
            <w:tcW w:w="9509" w:type="dxa"/>
            <w:tcBorders>
              <w:top w:val="single" w:sz="2" w:space="0" w:color="000000"/>
              <w:left w:val="single" w:sz="2" w:space="0" w:color="000000"/>
              <w:bottom w:val="single" w:sz="2" w:space="0" w:color="000000"/>
              <w:right w:val="single" w:sz="2" w:space="0" w:color="000000"/>
            </w:tcBorders>
            <w:vAlign w:val="center"/>
          </w:tcPr>
          <w:p w14:paraId="22745D5C" w14:textId="7B1F4C33" w:rsidR="00451347" w:rsidRPr="00982684" w:rsidRDefault="006E771A">
            <w:pPr>
              <w:ind w:right="7" w:firstLine="14"/>
              <w:jc w:val="both"/>
              <w:rPr>
                <w:lang w:val="sq-MK"/>
              </w:rPr>
            </w:pPr>
            <w:r w:rsidRPr="006E771A">
              <w:rPr>
                <w:sz w:val="24"/>
              </w:rPr>
              <w:t xml:space="preserve">Rregullorja mbi Standardet dhe Procedurën për Vlerësimin Mbikëqyrës dhe Vetëvlerësimin, e cila u </w:t>
            </w:r>
            <w:r>
              <w:rPr>
                <w:sz w:val="24"/>
                <w:lang w:val="sq-MK"/>
              </w:rPr>
              <w:t>soll</w:t>
            </w:r>
            <w:r w:rsidRPr="006E771A">
              <w:rPr>
                <w:sz w:val="24"/>
              </w:rPr>
              <w:t xml:space="preserve"> nga Këshilli Kombëtar me propozim të Bordit të Vlerësimit, është plotësisht në përputhje me Standardet dhe Udhëzimet për Sigurimin e Cilësisë në Hapësirën Evropiane të Arsimit të Lartë</w:t>
            </w:r>
            <w:r>
              <w:rPr>
                <w:sz w:val="24"/>
                <w:lang w:val="sq-MK"/>
              </w:rPr>
              <w:t xml:space="preserve"> </w:t>
            </w:r>
            <w:r w:rsidR="00AC1D3F">
              <w:rPr>
                <w:sz w:val="24"/>
              </w:rPr>
              <w:t xml:space="preserve">(Standards and Guidelines for Quality Assurance in the European Higher Education Area или ESG, 2015). </w:t>
            </w:r>
            <w:r>
              <w:t xml:space="preserve"> </w:t>
            </w:r>
            <w:r w:rsidRPr="006E771A">
              <w:rPr>
                <w:sz w:val="24"/>
              </w:rPr>
              <w:t xml:space="preserve">Ky aplikacion ligjor është bazë për kryerjen e vlerësimit mbikëqyrës dhe të brendshëm të institucioneve të arsimit të lartë në Republikën e </w:t>
            </w:r>
            <w:proofErr w:type="gramStart"/>
            <w:r w:rsidRPr="006E771A">
              <w:rPr>
                <w:sz w:val="24"/>
              </w:rPr>
              <w:t xml:space="preserve">Maqedonisë, </w:t>
            </w:r>
            <w:r w:rsidR="00982684">
              <w:t xml:space="preserve"> </w:t>
            </w:r>
            <w:r w:rsidR="00982684" w:rsidRPr="00982684">
              <w:rPr>
                <w:sz w:val="24"/>
              </w:rPr>
              <w:t>në</w:t>
            </w:r>
            <w:proofErr w:type="gramEnd"/>
            <w:r w:rsidR="00982684" w:rsidRPr="00982684">
              <w:rPr>
                <w:sz w:val="24"/>
              </w:rPr>
              <w:t xml:space="preserve"> të cilat janë përshkruar më hollësisht standardet dhe udhëzimet për kryerjen e vlerësimit</w:t>
            </w:r>
          </w:p>
        </w:tc>
      </w:tr>
      <w:tr w:rsidR="00451347" w14:paraId="301DD276" w14:textId="77777777">
        <w:trPr>
          <w:trHeight w:val="367"/>
        </w:trPr>
        <w:tc>
          <w:tcPr>
            <w:tcW w:w="9509" w:type="dxa"/>
            <w:tcBorders>
              <w:top w:val="single" w:sz="2" w:space="0" w:color="000000"/>
              <w:left w:val="single" w:sz="2" w:space="0" w:color="000000"/>
              <w:bottom w:val="single" w:sz="2" w:space="0" w:color="000000"/>
              <w:right w:val="single" w:sz="2" w:space="0" w:color="000000"/>
            </w:tcBorders>
          </w:tcPr>
          <w:p w14:paraId="402A4174" w14:textId="041FFF79" w:rsidR="00451347" w:rsidRDefault="00AC1D3F">
            <w:pPr>
              <w:ind w:left="14"/>
            </w:pPr>
            <w:r>
              <w:rPr>
                <w:sz w:val="26"/>
              </w:rPr>
              <w:t>10</w:t>
            </w:r>
            <w:r w:rsidR="00982684" w:rsidRPr="00982684">
              <w:rPr>
                <w:sz w:val="26"/>
              </w:rPr>
              <w:t>. Sistemi i Sigurimit të Cilësisë</w:t>
            </w:r>
          </w:p>
        </w:tc>
      </w:tr>
      <w:tr w:rsidR="00451347" w14:paraId="76CC3C75" w14:textId="77777777">
        <w:trPr>
          <w:trHeight w:val="374"/>
        </w:trPr>
        <w:tc>
          <w:tcPr>
            <w:tcW w:w="9509" w:type="dxa"/>
            <w:tcBorders>
              <w:top w:val="single" w:sz="2" w:space="0" w:color="000000"/>
              <w:left w:val="single" w:sz="2" w:space="0" w:color="000000"/>
              <w:bottom w:val="single" w:sz="2" w:space="0" w:color="000000"/>
              <w:right w:val="single" w:sz="2" w:space="0" w:color="000000"/>
            </w:tcBorders>
          </w:tcPr>
          <w:p w14:paraId="031FD21C" w14:textId="35C319E5" w:rsidR="00451347" w:rsidRDefault="00AC1D3F">
            <w:pPr>
              <w:ind w:left="14"/>
            </w:pPr>
            <w:r>
              <w:rPr>
                <w:sz w:val="24"/>
              </w:rPr>
              <w:t xml:space="preserve">10.1 </w:t>
            </w:r>
            <w:r w:rsidR="00982684" w:rsidRPr="00982684">
              <w:rPr>
                <w:sz w:val="24"/>
              </w:rPr>
              <w:t>Sistemi i Brendshëm i Sigurimit të Cilësisë dhe Integritetit</w:t>
            </w:r>
          </w:p>
        </w:tc>
      </w:tr>
      <w:tr w:rsidR="00451347" w14:paraId="4F365684" w14:textId="77777777">
        <w:trPr>
          <w:trHeight w:val="1008"/>
        </w:trPr>
        <w:tc>
          <w:tcPr>
            <w:tcW w:w="9509" w:type="dxa"/>
            <w:tcBorders>
              <w:top w:val="single" w:sz="2" w:space="0" w:color="000000"/>
              <w:left w:val="single" w:sz="2" w:space="0" w:color="000000"/>
              <w:bottom w:val="single" w:sz="2" w:space="0" w:color="000000"/>
              <w:right w:val="single" w:sz="2" w:space="0" w:color="000000"/>
            </w:tcBorders>
            <w:vAlign w:val="center"/>
          </w:tcPr>
          <w:p w14:paraId="4E7E5409" w14:textId="04DF2175" w:rsidR="00982684" w:rsidRPr="00982684" w:rsidRDefault="00982684" w:rsidP="00982684">
            <w:pPr>
              <w:ind w:right="7" w:firstLine="7"/>
              <w:jc w:val="both"/>
              <w:rPr>
                <w:sz w:val="24"/>
              </w:rPr>
            </w:pPr>
            <w:r w:rsidRPr="00982684">
              <w:rPr>
                <w:sz w:val="24"/>
              </w:rPr>
              <w:t xml:space="preserve">Sipas Nenit 21 të Rregullores së Punës, Bordi i Vlerësimit të Arsimit të Lartë kryen një vetëvlerësim të punës së tij çdo dy vjet. Si pasojë, vetëvlerësimi i punës së </w:t>
            </w:r>
            <w:r>
              <w:rPr>
                <w:sz w:val="24"/>
                <w:lang w:val="sq-MK"/>
              </w:rPr>
              <w:t>BV</w:t>
            </w:r>
            <w:r w:rsidRPr="00982684">
              <w:rPr>
                <w:sz w:val="24"/>
              </w:rPr>
              <w:t xml:space="preserve"> do të kryhet në fillim të vitit 2026.</w:t>
            </w:r>
          </w:p>
          <w:p w14:paraId="14384EDE" w14:textId="1D478056" w:rsidR="00451347" w:rsidRDefault="00451347" w:rsidP="00982684">
            <w:pPr>
              <w:ind w:right="7" w:firstLine="7"/>
              <w:jc w:val="both"/>
            </w:pPr>
          </w:p>
        </w:tc>
      </w:tr>
      <w:tr w:rsidR="00451347" w14:paraId="47D3D7C1" w14:textId="77777777">
        <w:trPr>
          <w:trHeight w:val="367"/>
        </w:trPr>
        <w:tc>
          <w:tcPr>
            <w:tcW w:w="9509" w:type="dxa"/>
            <w:tcBorders>
              <w:top w:val="single" w:sz="2" w:space="0" w:color="000000"/>
              <w:left w:val="single" w:sz="2" w:space="0" w:color="000000"/>
              <w:bottom w:val="single" w:sz="2" w:space="0" w:color="000000"/>
              <w:right w:val="single" w:sz="2" w:space="0" w:color="000000"/>
            </w:tcBorders>
          </w:tcPr>
          <w:p w14:paraId="72A1E4CF" w14:textId="41F75765" w:rsidR="00451347" w:rsidRDefault="00982684">
            <w:pPr>
              <w:ind w:left="14"/>
            </w:pPr>
            <w:r w:rsidRPr="00982684">
              <w:rPr>
                <w:sz w:val="24"/>
              </w:rPr>
              <w:t>10.2 Kontrolli</w:t>
            </w:r>
            <w:r w:rsidR="00CE1694">
              <w:rPr>
                <w:sz w:val="24"/>
                <w:lang w:val="sq-MK"/>
              </w:rPr>
              <w:t>mi</w:t>
            </w:r>
            <w:r w:rsidRPr="00982684">
              <w:rPr>
                <w:sz w:val="24"/>
              </w:rPr>
              <w:t xml:space="preserve"> i jashtëm i punës</w:t>
            </w:r>
          </w:p>
        </w:tc>
      </w:tr>
      <w:tr w:rsidR="00451347" w14:paraId="5F7A1005" w14:textId="77777777">
        <w:trPr>
          <w:trHeight w:val="2012"/>
        </w:trPr>
        <w:tc>
          <w:tcPr>
            <w:tcW w:w="9509" w:type="dxa"/>
            <w:tcBorders>
              <w:top w:val="single" w:sz="2" w:space="0" w:color="000000"/>
              <w:left w:val="single" w:sz="2" w:space="0" w:color="000000"/>
              <w:bottom w:val="single" w:sz="2" w:space="0" w:color="000000"/>
              <w:right w:val="single" w:sz="2" w:space="0" w:color="000000"/>
            </w:tcBorders>
            <w:vAlign w:val="center"/>
          </w:tcPr>
          <w:p w14:paraId="2508D903" w14:textId="278916DB" w:rsidR="00451347" w:rsidRPr="00CE1694" w:rsidRDefault="00CE1694">
            <w:pPr>
              <w:ind w:right="7" w:firstLine="7"/>
              <w:jc w:val="both"/>
              <w:rPr>
                <w:lang w:val="sq-MK"/>
              </w:rPr>
            </w:pPr>
            <w:r w:rsidRPr="00CE1694">
              <w:rPr>
                <w:sz w:val="24"/>
              </w:rPr>
              <w:t xml:space="preserve">Procesi i </w:t>
            </w:r>
            <w:r>
              <w:rPr>
                <w:sz w:val="24"/>
                <w:lang w:val="sq-MK"/>
              </w:rPr>
              <w:t>kontrollimit</w:t>
            </w:r>
            <w:r w:rsidRPr="00CE1694">
              <w:rPr>
                <w:sz w:val="24"/>
              </w:rPr>
              <w:t xml:space="preserve"> të jashtëm të punës së Bordit të Vlerësimit, përveç rasteve kur parashikohet ndryshe, kryhet në këtë mënyrë duke përgatitur raporte gjashtëmujore për punën e Bordit, të cilat i dorëzohen ministrisë përgjegjëse për çështjet e arsimit të lartë dhe Këshillit Kombëtar. RM</w:t>
            </w:r>
            <w:r>
              <w:rPr>
                <w:sz w:val="24"/>
                <w:lang w:val="sq-MK"/>
              </w:rPr>
              <w:t>V</w:t>
            </w:r>
            <w:r w:rsidRPr="00CE1694">
              <w:rPr>
                <w:sz w:val="24"/>
              </w:rPr>
              <w:t xml:space="preserve"> është ende anëtar</w:t>
            </w:r>
            <w:r>
              <w:rPr>
                <w:sz w:val="24"/>
                <w:lang w:val="sq-MK"/>
              </w:rPr>
              <w:t>e</w:t>
            </w:r>
            <w:r w:rsidRPr="00CE1694">
              <w:rPr>
                <w:sz w:val="24"/>
              </w:rPr>
              <w:t xml:space="preserve"> </w:t>
            </w:r>
            <w:r>
              <w:rPr>
                <w:sz w:val="24"/>
                <w:lang w:val="sq-MK"/>
              </w:rPr>
              <w:t>e</w:t>
            </w:r>
            <w:r w:rsidRPr="00CE1694">
              <w:rPr>
                <w:sz w:val="24"/>
              </w:rPr>
              <w:t xml:space="preserve"> asociuar </w:t>
            </w:r>
            <w:r>
              <w:rPr>
                <w:sz w:val="24"/>
                <w:lang w:val="sq-MK"/>
              </w:rPr>
              <w:t>e</w:t>
            </w:r>
            <w:r w:rsidRPr="00CE1694">
              <w:rPr>
                <w:sz w:val="24"/>
              </w:rPr>
              <w:t xml:space="preserve"> ENQA-s, dhe me pjesëmarrjen e plotë të vendit tonë në këtë shoqatë evropiane, detyrimi për rishikim të jashtëm të punës së Bordit do të zbatohet në përputhje me standardet dhe rregulloret evropiane</w:t>
            </w:r>
            <w:r>
              <w:rPr>
                <w:sz w:val="24"/>
                <w:lang w:val="sq-MK"/>
              </w:rPr>
              <w:t>.</w:t>
            </w:r>
          </w:p>
        </w:tc>
      </w:tr>
      <w:tr w:rsidR="00451347" w14:paraId="7A9B0ADF" w14:textId="77777777">
        <w:trPr>
          <w:trHeight w:val="511"/>
        </w:trPr>
        <w:tc>
          <w:tcPr>
            <w:tcW w:w="9509" w:type="dxa"/>
            <w:tcBorders>
              <w:top w:val="single" w:sz="2" w:space="0" w:color="000000"/>
              <w:left w:val="single" w:sz="2" w:space="0" w:color="000000"/>
              <w:bottom w:val="single" w:sz="2" w:space="0" w:color="000000"/>
              <w:right w:val="single" w:sz="2" w:space="0" w:color="000000"/>
            </w:tcBorders>
          </w:tcPr>
          <w:p w14:paraId="68C5780A" w14:textId="57BC0DD2" w:rsidR="00451347" w:rsidRDefault="00AC1D3F">
            <w:pPr>
              <w:ind w:firstLine="14"/>
              <w:jc w:val="both"/>
            </w:pPr>
            <w:proofErr w:type="gramStart"/>
            <w:r>
              <w:rPr>
                <w:sz w:val="24"/>
              </w:rPr>
              <w:t>11 .</w:t>
            </w:r>
            <w:proofErr w:type="gramEnd"/>
            <w:r>
              <w:rPr>
                <w:sz w:val="24"/>
              </w:rPr>
              <w:t xml:space="preserve"> </w:t>
            </w:r>
            <w:r w:rsidR="00CE1694">
              <w:t xml:space="preserve"> </w:t>
            </w:r>
            <w:r w:rsidR="00CE1694" w:rsidRPr="00CE1694">
              <w:rPr>
                <w:sz w:val="24"/>
              </w:rPr>
              <w:t>Propozime Bordit të Akreditimit të Arsimit të Lartë për vazhdimin e akreditimit të programeve të studimit</w:t>
            </w:r>
          </w:p>
        </w:tc>
      </w:tr>
      <w:tr w:rsidR="00451347" w14:paraId="0B47B2E4" w14:textId="77777777">
        <w:trPr>
          <w:trHeight w:val="1267"/>
        </w:trPr>
        <w:tc>
          <w:tcPr>
            <w:tcW w:w="9509" w:type="dxa"/>
            <w:tcBorders>
              <w:top w:val="single" w:sz="2" w:space="0" w:color="000000"/>
              <w:left w:val="single" w:sz="2" w:space="0" w:color="000000"/>
              <w:bottom w:val="single" w:sz="2" w:space="0" w:color="000000"/>
              <w:right w:val="single" w:sz="2" w:space="0" w:color="000000"/>
            </w:tcBorders>
            <w:vAlign w:val="center"/>
          </w:tcPr>
          <w:p w14:paraId="28FCF4CA" w14:textId="5A96F57B" w:rsidR="00451347" w:rsidRDefault="0090418A">
            <w:pPr>
              <w:ind w:right="7"/>
              <w:jc w:val="both"/>
            </w:pPr>
            <w:r w:rsidRPr="0090418A">
              <w:rPr>
                <w:sz w:val="24"/>
              </w:rPr>
              <w:lastRenderedPageBreak/>
              <w:t xml:space="preserve">Gjatë periudhës raportuese, bordi vlerësues nuk ka kryer një vlerësim të jashtëm të </w:t>
            </w:r>
            <w:r w:rsidR="00241D8D" w:rsidRPr="00241D8D">
              <w:rPr>
                <w:color w:val="000000" w:themeColor="text1"/>
                <w:sz w:val="24"/>
                <w:lang w:val="sq-MK"/>
              </w:rPr>
              <w:t>IAL</w:t>
            </w:r>
            <w:r w:rsidRPr="0090418A">
              <w:rPr>
                <w:sz w:val="24"/>
              </w:rPr>
              <w:t xml:space="preserve"> dhe programeve të studimit</w:t>
            </w:r>
            <w:r w:rsidR="00AC1D3F">
              <w:rPr>
                <w:sz w:val="24"/>
              </w:rPr>
              <w:t xml:space="preserve">. </w:t>
            </w:r>
            <w:r>
              <w:t xml:space="preserve"> </w:t>
            </w:r>
            <w:r w:rsidRPr="0090418A">
              <w:rPr>
                <w:sz w:val="24"/>
              </w:rPr>
              <w:t>Prandaj, Bordi Vlerësues nuk ka dorëzuar propozime për vazhdimin e akreditimit të programeve të studimit në Bordin e Akreditimit në këtë periudhë raportuese.</w:t>
            </w:r>
          </w:p>
        </w:tc>
      </w:tr>
      <w:tr w:rsidR="00451347" w14:paraId="08DEBD78" w14:textId="77777777">
        <w:trPr>
          <w:trHeight w:val="518"/>
        </w:trPr>
        <w:tc>
          <w:tcPr>
            <w:tcW w:w="9509" w:type="dxa"/>
            <w:tcBorders>
              <w:top w:val="single" w:sz="2" w:space="0" w:color="000000"/>
              <w:left w:val="single" w:sz="2" w:space="0" w:color="000000"/>
              <w:bottom w:val="single" w:sz="2" w:space="0" w:color="000000"/>
              <w:right w:val="single" w:sz="2" w:space="0" w:color="000000"/>
            </w:tcBorders>
          </w:tcPr>
          <w:p w14:paraId="58A68F92" w14:textId="57C418A4" w:rsidR="00451347" w:rsidRDefault="00AC1D3F">
            <w:pPr>
              <w:ind w:right="418" w:firstLine="14"/>
              <w:jc w:val="both"/>
            </w:pPr>
            <w:r>
              <w:rPr>
                <w:sz w:val="24"/>
              </w:rPr>
              <w:t xml:space="preserve">12. </w:t>
            </w:r>
            <w:r w:rsidR="0090418A" w:rsidRPr="0090418A">
              <w:rPr>
                <w:sz w:val="24"/>
              </w:rPr>
              <w:t xml:space="preserve">Propozime drejtuar Bordit të Akreditimit të Arsimit të Lartë për </w:t>
            </w:r>
            <w:proofErr w:type="gramStart"/>
            <w:r w:rsidR="0090418A">
              <w:rPr>
                <w:sz w:val="24"/>
                <w:lang w:val="sq-MK"/>
              </w:rPr>
              <w:t xml:space="preserve">tërheqjen </w:t>
            </w:r>
            <w:r w:rsidR="0090418A" w:rsidRPr="0090418A">
              <w:rPr>
                <w:sz w:val="24"/>
              </w:rPr>
              <w:t xml:space="preserve"> e</w:t>
            </w:r>
            <w:proofErr w:type="gramEnd"/>
            <w:r w:rsidR="0090418A" w:rsidRPr="0090418A">
              <w:rPr>
                <w:sz w:val="24"/>
              </w:rPr>
              <w:t xml:space="preserve"> akreditimeve të programeve studimore</w:t>
            </w:r>
          </w:p>
        </w:tc>
      </w:tr>
      <w:tr w:rsidR="00451347" w14:paraId="6C1F38CA" w14:textId="77777777">
        <w:trPr>
          <w:trHeight w:val="1005"/>
        </w:trPr>
        <w:tc>
          <w:tcPr>
            <w:tcW w:w="9509" w:type="dxa"/>
            <w:tcBorders>
              <w:top w:val="single" w:sz="2" w:space="0" w:color="000000"/>
              <w:left w:val="single" w:sz="2" w:space="0" w:color="000000"/>
              <w:bottom w:val="single" w:sz="2" w:space="0" w:color="000000"/>
              <w:right w:val="single" w:sz="2" w:space="0" w:color="000000"/>
            </w:tcBorders>
            <w:vAlign w:val="center"/>
          </w:tcPr>
          <w:p w14:paraId="64174782" w14:textId="6EBBAF36" w:rsidR="00451347" w:rsidRDefault="00140636">
            <w:pPr>
              <w:ind w:right="7"/>
              <w:jc w:val="both"/>
            </w:pPr>
            <w:r>
              <w:rPr>
                <w:sz w:val="24"/>
                <w:lang w:val="sq-MK"/>
              </w:rPr>
              <w:t>Bordi</w:t>
            </w:r>
            <w:r w:rsidR="009533E1" w:rsidRPr="009533E1">
              <w:rPr>
                <w:sz w:val="24"/>
              </w:rPr>
              <w:t xml:space="preserve"> i Vlerësimit në këtë periudhë raportimi nuk ka </w:t>
            </w:r>
            <w:r w:rsidR="009533E1">
              <w:rPr>
                <w:sz w:val="24"/>
                <w:lang w:val="sq-MK"/>
              </w:rPr>
              <w:t xml:space="preserve">dorëzuar </w:t>
            </w:r>
            <w:r w:rsidR="009533E1" w:rsidRPr="009533E1">
              <w:rPr>
                <w:sz w:val="24"/>
              </w:rPr>
              <w:t>propozime për revokimin e akreditimeve të programeve të studimit në Komisionin e Akreditimit, për arsyen e përmendur në pikën 1</w:t>
            </w:r>
            <w:r w:rsidR="009533E1">
              <w:rPr>
                <w:sz w:val="24"/>
                <w:lang w:val="sq-MK"/>
              </w:rPr>
              <w:t>1</w:t>
            </w:r>
            <w:r w:rsidR="00AC1D3F">
              <w:rPr>
                <w:sz w:val="24"/>
              </w:rPr>
              <w:t>.</w:t>
            </w:r>
          </w:p>
        </w:tc>
      </w:tr>
      <w:tr w:rsidR="00451347" w14:paraId="1D64C725" w14:textId="77777777">
        <w:trPr>
          <w:trHeight w:val="370"/>
        </w:trPr>
        <w:tc>
          <w:tcPr>
            <w:tcW w:w="9509" w:type="dxa"/>
            <w:tcBorders>
              <w:top w:val="single" w:sz="2" w:space="0" w:color="000000"/>
              <w:left w:val="single" w:sz="2" w:space="0" w:color="000000"/>
              <w:bottom w:val="single" w:sz="2" w:space="0" w:color="000000"/>
              <w:right w:val="single" w:sz="2" w:space="0" w:color="000000"/>
            </w:tcBorders>
          </w:tcPr>
          <w:p w14:paraId="04D2932D" w14:textId="0A233531" w:rsidR="00451347" w:rsidRDefault="00AC1D3F">
            <w:pPr>
              <w:ind w:left="7"/>
            </w:pPr>
            <w:r>
              <w:rPr>
                <w:sz w:val="24"/>
              </w:rPr>
              <w:t xml:space="preserve">13. </w:t>
            </w:r>
            <w:r w:rsidR="009533E1" w:rsidRPr="009533E1">
              <w:rPr>
                <w:sz w:val="24"/>
              </w:rPr>
              <w:t xml:space="preserve"> </w:t>
            </w:r>
            <w:r w:rsidR="009533E1">
              <w:rPr>
                <w:sz w:val="24"/>
                <w:lang w:val="sq-MK"/>
              </w:rPr>
              <w:t>Notimi</w:t>
            </w:r>
            <w:r w:rsidR="009533E1" w:rsidRPr="009533E1">
              <w:rPr>
                <w:sz w:val="24"/>
              </w:rPr>
              <w:t xml:space="preserve"> i cilësisë së kryerjes së </w:t>
            </w:r>
            <w:r w:rsidR="009533E1">
              <w:rPr>
                <w:sz w:val="24"/>
                <w:lang w:val="sq-MK"/>
              </w:rPr>
              <w:t>veprimtari</w:t>
            </w:r>
            <w:r w:rsidR="00140636">
              <w:rPr>
                <w:sz w:val="24"/>
                <w:lang w:val="sq-MK"/>
              </w:rPr>
              <w:t>së</w:t>
            </w:r>
            <w:r w:rsidR="009533E1" w:rsidRPr="009533E1">
              <w:rPr>
                <w:sz w:val="24"/>
              </w:rPr>
              <w:t xml:space="preserve"> </w:t>
            </w:r>
            <w:r w:rsidR="00140636">
              <w:rPr>
                <w:sz w:val="24"/>
                <w:lang w:val="sq-MK"/>
              </w:rPr>
              <w:t>s</w:t>
            </w:r>
            <w:r w:rsidR="009533E1" w:rsidRPr="009533E1">
              <w:rPr>
                <w:sz w:val="24"/>
              </w:rPr>
              <w:t>ë arsimit të lartë</w:t>
            </w:r>
          </w:p>
        </w:tc>
      </w:tr>
      <w:tr w:rsidR="00451347" w14:paraId="1999F359" w14:textId="77777777">
        <w:trPr>
          <w:trHeight w:val="1005"/>
        </w:trPr>
        <w:tc>
          <w:tcPr>
            <w:tcW w:w="9509" w:type="dxa"/>
            <w:tcBorders>
              <w:top w:val="single" w:sz="2" w:space="0" w:color="000000"/>
              <w:left w:val="single" w:sz="2" w:space="0" w:color="000000"/>
              <w:bottom w:val="single" w:sz="2" w:space="0" w:color="000000"/>
              <w:right w:val="single" w:sz="2" w:space="0" w:color="000000"/>
            </w:tcBorders>
            <w:vAlign w:val="center"/>
          </w:tcPr>
          <w:p w14:paraId="3E3886D8" w14:textId="18CEE0D6" w:rsidR="00451347" w:rsidRDefault="009533E1">
            <w:pPr>
              <w:jc w:val="both"/>
            </w:pPr>
            <w:r w:rsidRPr="009533E1">
              <w:rPr>
                <w:sz w:val="24"/>
              </w:rPr>
              <w:t xml:space="preserve">Në këtë periudhë raportuese, </w:t>
            </w:r>
            <w:r>
              <w:rPr>
                <w:sz w:val="24"/>
                <w:lang w:val="sq-MK"/>
              </w:rPr>
              <w:t>B</w:t>
            </w:r>
            <w:r w:rsidRPr="009533E1">
              <w:rPr>
                <w:sz w:val="24"/>
              </w:rPr>
              <w:t xml:space="preserve">ordi vlerësues nuk ka dhënë vlerësim për cilësinë e veprimtarisë së arsimit të lartë të </w:t>
            </w:r>
            <w:r w:rsidR="00C43032" w:rsidRPr="00C43032">
              <w:rPr>
                <w:color w:val="000000" w:themeColor="text1"/>
                <w:sz w:val="24"/>
                <w:lang w:val="sq-MK"/>
              </w:rPr>
              <w:t>IAL</w:t>
            </w:r>
            <w:r w:rsidRPr="009533E1">
              <w:rPr>
                <w:sz w:val="24"/>
              </w:rPr>
              <w:t xml:space="preserve"> në Republikën e Maqedonisë së Veriut, për arsyen e cekur në pikën 11.</w:t>
            </w:r>
          </w:p>
        </w:tc>
      </w:tr>
      <w:tr w:rsidR="00451347" w14:paraId="627FACE0" w14:textId="77777777">
        <w:trPr>
          <w:trHeight w:val="497"/>
        </w:trPr>
        <w:tc>
          <w:tcPr>
            <w:tcW w:w="9509" w:type="dxa"/>
            <w:tcBorders>
              <w:top w:val="single" w:sz="2" w:space="0" w:color="000000"/>
              <w:left w:val="single" w:sz="2" w:space="0" w:color="000000"/>
              <w:bottom w:val="single" w:sz="2" w:space="0" w:color="000000"/>
              <w:right w:val="single" w:sz="2" w:space="0" w:color="000000"/>
            </w:tcBorders>
            <w:vAlign w:val="center"/>
          </w:tcPr>
          <w:p w14:paraId="42195FDE" w14:textId="77A8EAA8" w:rsidR="00451347" w:rsidRDefault="00AC1D3F">
            <w:pPr>
              <w:ind w:left="7"/>
            </w:pPr>
            <w:r>
              <w:rPr>
                <w:sz w:val="24"/>
              </w:rPr>
              <w:t>14</w:t>
            </w:r>
            <w:r w:rsidRPr="00D36A97">
              <w:rPr>
                <w:color w:val="auto"/>
                <w:sz w:val="24"/>
              </w:rPr>
              <w:t xml:space="preserve">. </w:t>
            </w:r>
            <w:r w:rsidR="009533E1" w:rsidRPr="00D36A97">
              <w:rPr>
                <w:color w:val="auto"/>
              </w:rPr>
              <w:t xml:space="preserve"> </w:t>
            </w:r>
            <w:r w:rsidR="009533E1" w:rsidRPr="00D36A97">
              <w:rPr>
                <w:color w:val="auto"/>
                <w:lang w:val="sq-MK"/>
              </w:rPr>
              <w:t>Notimi</w:t>
            </w:r>
            <w:r w:rsidR="009533E1" w:rsidRPr="00D36A97">
              <w:rPr>
                <w:color w:val="auto"/>
                <w:sz w:val="24"/>
              </w:rPr>
              <w:t xml:space="preserve"> i </w:t>
            </w:r>
            <w:r w:rsidR="009533E1" w:rsidRPr="009533E1">
              <w:rPr>
                <w:sz w:val="24"/>
              </w:rPr>
              <w:t>cilësisë së punës artistike dhe profesionale</w:t>
            </w:r>
          </w:p>
        </w:tc>
      </w:tr>
    </w:tbl>
    <w:p w14:paraId="5717F66C" w14:textId="7603DBB6" w:rsidR="00451347" w:rsidRDefault="00AC1D3F" w:rsidP="006E6F42">
      <w:pPr>
        <w:spacing w:after="0"/>
        <w:ind w:right="10469"/>
      </w:pPr>
      <w:r>
        <w:rPr>
          <w:noProof/>
        </w:rPr>
        <w:drawing>
          <wp:anchor distT="0" distB="0" distL="114300" distR="114300" simplePos="0" relativeHeight="251658240" behindDoc="0" locked="0" layoutInCell="1" allowOverlap="0" wp14:anchorId="0A752308" wp14:editId="4ACDA3AD">
            <wp:simplePos x="0" y="0"/>
            <wp:positionH relativeFrom="page">
              <wp:posOffset>6830569</wp:posOffset>
            </wp:positionH>
            <wp:positionV relativeFrom="page">
              <wp:posOffset>5408677</wp:posOffset>
            </wp:positionV>
            <wp:extent cx="4572" cy="4572"/>
            <wp:effectExtent l="0" t="0" r="0" b="0"/>
            <wp:wrapTopAndBottom/>
            <wp:docPr id="21189" name="Picture 21189"/>
            <wp:cNvGraphicFramePr/>
            <a:graphic xmlns:a="http://schemas.openxmlformats.org/drawingml/2006/main">
              <a:graphicData uri="http://schemas.openxmlformats.org/drawingml/2006/picture">
                <pic:pic xmlns:pic="http://schemas.openxmlformats.org/drawingml/2006/picture">
                  <pic:nvPicPr>
                    <pic:cNvPr id="21189" name="Picture 21189"/>
                    <pic:cNvPicPr/>
                  </pic:nvPicPr>
                  <pic:blipFill>
                    <a:blip r:embed="rId12"/>
                    <a:stretch>
                      <a:fillRect/>
                    </a:stretch>
                  </pic:blipFill>
                  <pic:spPr>
                    <a:xfrm>
                      <a:off x="0" y="0"/>
                      <a:ext cx="4572" cy="4572"/>
                    </a:xfrm>
                    <a:prstGeom prst="rect">
                      <a:avLst/>
                    </a:prstGeom>
                  </pic:spPr>
                </pic:pic>
              </a:graphicData>
            </a:graphic>
          </wp:anchor>
        </w:drawing>
      </w:r>
    </w:p>
    <w:tbl>
      <w:tblPr>
        <w:tblStyle w:val="TableGrid"/>
        <w:tblpPr w:vertAnchor="text" w:tblpX="-180"/>
        <w:tblOverlap w:val="never"/>
        <w:tblW w:w="9444" w:type="dxa"/>
        <w:tblInd w:w="0" w:type="dxa"/>
        <w:tblCellMar>
          <w:top w:w="55" w:type="dxa"/>
          <w:left w:w="43" w:type="dxa"/>
          <w:right w:w="113" w:type="dxa"/>
        </w:tblCellMar>
        <w:tblLook w:val="04A0" w:firstRow="1" w:lastRow="0" w:firstColumn="1" w:lastColumn="0" w:noHBand="0" w:noVBand="1"/>
      </w:tblPr>
      <w:tblGrid>
        <w:gridCol w:w="9444"/>
      </w:tblGrid>
      <w:tr w:rsidR="00451347" w14:paraId="642BA9DC" w14:textId="77777777">
        <w:trPr>
          <w:trHeight w:val="1004"/>
        </w:trPr>
        <w:tc>
          <w:tcPr>
            <w:tcW w:w="9444" w:type="dxa"/>
            <w:tcBorders>
              <w:top w:val="single" w:sz="2" w:space="0" w:color="000000"/>
              <w:left w:val="single" w:sz="2" w:space="0" w:color="000000"/>
              <w:bottom w:val="single" w:sz="2" w:space="0" w:color="000000"/>
              <w:right w:val="single" w:sz="2" w:space="0" w:color="000000"/>
            </w:tcBorders>
            <w:vAlign w:val="center"/>
          </w:tcPr>
          <w:p w14:paraId="4D558066" w14:textId="0A1B671C" w:rsidR="00451347" w:rsidRDefault="00173056">
            <w:pPr>
              <w:ind w:left="7" w:right="7" w:firstLine="7"/>
              <w:jc w:val="both"/>
            </w:pPr>
            <w:r w:rsidRPr="00173056">
              <w:rPr>
                <w:sz w:val="24"/>
              </w:rPr>
              <w:t xml:space="preserve">Bordi i Vlerësimit nuk ka </w:t>
            </w:r>
            <w:proofErr w:type="gramStart"/>
            <w:r w:rsidRPr="00173056">
              <w:rPr>
                <w:sz w:val="24"/>
              </w:rPr>
              <w:t>dhënë  vlerësim</w:t>
            </w:r>
            <w:proofErr w:type="gramEnd"/>
            <w:r w:rsidRPr="00173056">
              <w:rPr>
                <w:sz w:val="24"/>
              </w:rPr>
              <w:t xml:space="preserve"> për cilësinë e punës artistike dhe profesionale të kuadrit  të </w:t>
            </w:r>
            <w:r w:rsidR="000B7F45">
              <w:rPr>
                <w:sz w:val="24"/>
                <w:lang w:val="sq-MK"/>
              </w:rPr>
              <w:t>IAL</w:t>
            </w:r>
            <w:r w:rsidRPr="00173056">
              <w:rPr>
                <w:sz w:val="24"/>
              </w:rPr>
              <w:t xml:space="preserve"> në këtë periudhë raportimi, për arsyen e deklaruar në pikën 11.</w:t>
            </w:r>
          </w:p>
        </w:tc>
      </w:tr>
      <w:tr w:rsidR="00451347" w14:paraId="44C9FB82" w14:textId="77777777">
        <w:trPr>
          <w:trHeight w:val="367"/>
        </w:trPr>
        <w:tc>
          <w:tcPr>
            <w:tcW w:w="9444" w:type="dxa"/>
            <w:tcBorders>
              <w:top w:val="single" w:sz="2" w:space="0" w:color="000000"/>
              <w:left w:val="single" w:sz="2" w:space="0" w:color="000000"/>
              <w:bottom w:val="single" w:sz="2" w:space="0" w:color="000000"/>
              <w:right w:val="single" w:sz="2" w:space="0" w:color="000000"/>
            </w:tcBorders>
          </w:tcPr>
          <w:p w14:paraId="7A2050D5" w14:textId="2FE6D710" w:rsidR="00451347" w:rsidRPr="00110DC0" w:rsidRDefault="00AC1D3F">
            <w:pPr>
              <w:ind w:left="22"/>
              <w:rPr>
                <w:lang w:val="sq-MK"/>
              </w:rPr>
            </w:pPr>
            <w:r>
              <w:rPr>
                <w:sz w:val="24"/>
              </w:rPr>
              <w:t xml:space="preserve">15. </w:t>
            </w:r>
            <w:r w:rsidR="00110DC0" w:rsidRPr="00110DC0">
              <w:rPr>
                <w:sz w:val="24"/>
              </w:rPr>
              <w:t>Vlerësimi i rëndësisë dhe cilësisë së kërkim</w:t>
            </w:r>
            <w:r w:rsidR="00110DC0">
              <w:rPr>
                <w:sz w:val="24"/>
                <w:lang w:val="sq-MK"/>
              </w:rPr>
              <w:t>eve</w:t>
            </w:r>
            <w:r w:rsidR="00110DC0" w:rsidRPr="00110DC0">
              <w:rPr>
                <w:sz w:val="24"/>
              </w:rPr>
              <w:t xml:space="preserve"> shkencor</w:t>
            </w:r>
            <w:r w:rsidR="00110DC0">
              <w:rPr>
                <w:sz w:val="24"/>
                <w:lang w:val="sq-MK"/>
              </w:rPr>
              <w:t>e</w:t>
            </w:r>
          </w:p>
        </w:tc>
      </w:tr>
      <w:tr w:rsidR="00451347" w14:paraId="26126BB7" w14:textId="77777777">
        <w:trPr>
          <w:trHeight w:val="756"/>
        </w:trPr>
        <w:tc>
          <w:tcPr>
            <w:tcW w:w="9444" w:type="dxa"/>
            <w:tcBorders>
              <w:top w:val="single" w:sz="2" w:space="0" w:color="000000"/>
              <w:left w:val="single" w:sz="2" w:space="0" w:color="000000"/>
              <w:bottom w:val="single" w:sz="2" w:space="0" w:color="000000"/>
              <w:right w:val="single" w:sz="2" w:space="0" w:color="000000"/>
            </w:tcBorders>
            <w:vAlign w:val="center"/>
          </w:tcPr>
          <w:p w14:paraId="13C27515" w14:textId="506904A6" w:rsidR="00451347" w:rsidRDefault="00110DC0">
            <w:pPr>
              <w:ind w:left="14"/>
              <w:jc w:val="both"/>
            </w:pPr>
            <w:r w:rsidRPr="00110DC0">
              <w:rPr>
                <w:sz w:val="24"/>
              </w:rPr>
              <w:t>Bordi vlerësues nuk ka dhënë vlerësim për rëndësinë dhe cilësinë e kërkim</w:t>
            </w:r>
            <w:r>
              <w:rPr>
                <w:sz w:val="24"/>
                <w:lang w:val="sq-MK"/>
              </w:rPr>
              <w:t>eve</w:t>
            </w:r>
            <w:r w:rsidRPr="00110DC0">
              <w:rPr>
                <w:sz w:val="24"/>
              </w:rPr>
              <w:t xml:space="preserve"> shkencor</w:t>
            </w:r>
            <w:r>
              <w:rPr>
                <w:sz w:val="24"/>
                <w:lang w:val="sq-MK"/>
              </w:rPr>
              <w:t>e</w:t>
            </w:r>
            <w:r w:rsidRPr="00110DC0">
              <w:rPr>
                <w:sz w:val="24"/>
              </w:rPr>
              <w:t xml:space="preserve"> në këtë periudhë raportuese, për arsyen e përmendur në pikën 11.</w:t>
            </w:r>
          </w:p>
        </w:tc>
      </w:tr>
      <w:tr w:rsidR="00451347" w14:paraId="428B6F61" w14:textId="77777777">
        <w:trPr>
          <w:trHeight w:val="511"/>
        </w:trPr>
        <w:tc>
          <w:tcPr>
            <w:tcW w:w="9444" w:type="dxa"/>
            <w:tcBorders>
              <w:top w:val="single" w:sz="2" w:space="0" w:color="000000"/>
              <w:left w:val="single" w:sz="2" w:space="0" w:color="000000"/>
              <w:bottom w:val="single" w:sz="2" w:space="0" w:color="000000"/>
              <w:right w:val="single" w:sz="2" w:space="0" w:color="000000"/>
            </w:tcBorders>
          </w:tcPr>
          <w:p w14:paraId="2BBB1117" w14:textId="5C203CC8" w:rsidR="00451347" w:rsidRPr="00110DC0" w:rsidRDefault="00AC1D3F">
            <w:pPr>
              <w:ind w:left="14" w:firstLine="7"/>
              <w:rPr>
                <w:lang w:val="sq-MK"/>
              </w:rPr>
            </w:pPr>
            <w:r>
              <w:rPr>
                <w:sz w:val="24"/>
              </w:rPr>
              <w:t xml:space="preserve">16. </w:t>
            </w:r>
            <w:r w:rsidR="00110DC0">
              <w:t xml:space="preserve"> </w:t>
            </w:r>
            <w:r w:rsidR="00110DC0" w:rsidRPr="00110DC0">
              <w:rPr>
                <w:sz w:val="24"/>
              </w:rPr>
              <w:t>Vlerësimi i cilësisë dhe rëndësisë së punimeve të doktoratës, ma</w:t>
            </w:r>
            <w:r w:rsidR="00110DC0">
              <w:rPr>
                <w:sz w:val="24"/>
                <w:lang w:val="sq-MK"/>
              </w:rPr>
              <w:t xml:space="preserve">gjistraturës </w:t>
            </w:r>
            <w:r w:rsidR="00110DC0" w:rsidRPr="00110DC0">
              <w:rPr>
                <w:sz w:val="24"/>
              </w:rPr>
              <w:t xml:space="preserve"> </w:t>
            </w:r>
            <w:r w:rsidR="00110DC0">
              <w:t xml:space="preserve"> </w:t>
            </w:r>
            <w:r w:rsidR="00110DC0">
              <w:rPr>
                <w:lang w:val="sq-MK"/>
              </w:rPr>
              <w:t xml:space="preserve">dhe </w:t>
            </w:r>
            <w:r w:rsidR="00110DC0" w:rsidRPr="00110DC0">
              <w:rPr>
                <w:sz w:val="24"/>
              </w:rPr>
              <w:t>të specializ</w:t>
            </w:r>
            <w:r w:rsidR="00110DC0">
              <w:rPr>
                <w:sz w:val="24"/>
                <w:lang w:val="sq-MK"/>
              </w:rPr>
              <w:t>imit</w:t>
            </w:r>
          </w:p>
        </w:tc>
      </w:tr>
      <w:tr w:rsidR="00451347" w14:paraId="06166F75" w14:textId="77777777">
        <w:trPr>
          <w:trHeight w:val="1001"/>
        </w:trPr>
        <w:tc>
          <w:tcPr>
            <w:tcW w:w="9444" w:type="dxa"/>
            <w:tcBorders>
              <w:top w:val="single" w:sz="2" w:space="0" w:color="000000"/>
              <w:left w:val="single" w:sz="2" w:space="0" w:color="000000"/>
              <w:bottom w:val="single" w:sz="2" w:space="0" w:color="000000"/>
              <w:right w:val="single" w:sz="2" w:space="0" w:color="000000"/>
            </w:tcBorders>
            <w:vAlign w:val="center"/>
          </w:tcPr>
          <w:p w14:paraId="7A3CB5C6" w14:textId="54433CA5" w:rsidR="00451347" w:rsidRDefault="00110DC0">
            <w:pPr>
              <w:ind w:right="7" w:firstLine="14"/>
              <w:jc w:val="both"/>
            </w:pPr>
            <w:r w:rsidRPr="00110DC0">
              <w:rPr>
                <w:sz w:val="24"/>
              </w:rPr>
              <w:t xml:space="preserve">Bordi vlerësues nuk ka dhënë vlerësim për cilësinë dhe rëndësinë e punimeve të </w:t>
            </w:r>
            <w:proofErr w:type="gramStart"/>
            <w:r w:rsidRPr="00110DC0">
              <w:rPr>
                <w:sz w:val="24"/>
              </w:rPr>
              <w:t xml:space="preserve">doktoratës, </w:t>
            </w:r>
            <w:r>
              <w:t xml:space="preserve"> </w:t>
            </w:r>
            <w:r w:rsidRPr="00110DC0">
              <w:rPr>
                <w:sz w:val="24"/>
              </w:rPr>
              <w:t>magjistraturës</w:t>
            </w:r>
            <w:proofErr w:type="gramEnd"/>
            <w:r w:rsidRPr="00110DC0">
              <w:rPr>
                <w:sz w:val="24"/>
              </w:rPr>
              <w:t xml:space="preserve">  dhe </w:t>
            </w:r>
            <w:r>
              <w:t xml:space="preserve"> </w:t>
            </w:r>
            <w:r>
              <w:rPr>
                <w:lang w:val="sq-MK"/>
              </w:rPr>
              <w:t xml:space="preserve">të </w:t>
            </w:r>
            <w:r w:rsidRPr="00110DC0">
              <w:rPr>
                <w:sz w:val="24"/>
              </w:rPr>
              <w:t>specializimit  të institucioneve të arsimit të lartë, për arsyen e përcaktuar në pikën 11.</w:t>
            </w:r>
          </w:p>
        </w:tc>
      </w:tr>
      <w:tr w:rsidR="00451347" w14:paraId="1CECE8EC" w14:textId="77777777">
        <w:trPr>
          <w:trHeight w:val="518"/>
        </w:trPr>
        <w:tc>
          <w:tcPr>
            <w:tcW w:w="9444" w:type="dxa"/>
            <w:tcBorders>
              <w:top w:val="single" w:sz="2" w:space="0" w:color="000000"/>
              <w:left w:val="single" w:sz="2" w:space="0" w:color="000000"/>
              <w:bottom w:val="single" w:sz="2" w:space="0" w:color="000000"/>
              <w:right w:val="single" w:sz="2" w:space="0" w:color="000000"/>
            </w:tcBorders>
          </w:tcPr>
          <w:p w14:paraId="25BE9F2B" w14:textId="16CA1FAD" w:rsidR="00451347" w:rsidRDefault="00AC1D3F">
            <w:pPr>
              <w:ind w:left="7" w:right="360" w:firstLine="14"/>
              <w:jc w:val="both"/>
            </w:pPr>
            <w:r>
              <w:rPr>
                <w:sz w:val="24"/>
              </w:rPr>
              <w:t xml:space="preserve">17. </w:t>
            </w:r>
            <w:r w:rsidR="003448DA">
              <w:t xml:space="preserve"> </w:t>
            </w:r>
            <w:r w:rsidR="003448DA" w:rsidRPr="003448DA">
              <w:rPr>
                <w:sz w:val="24"/>
              </w:rPr>
              <w:t xml:space="preserve">Vlerësimi i cilësisë së rezultateve </w:t>
            </w:r>
            <w:proofErr w:type="gramStart"/>
            <w:r w:rsidR="003D4638">
              <w:rPr>
                <w:sz w:val="24"/>
                <w:lang w:val="sq-MK"/>
              </w:rPr>
              <w:t xml:space="preserve">nga </w:t>
            </w:r>
            <w:r w:rsidR="003448DA" w:rsidRPr="003448DA">
              <w:rPr>
                <w:sz w:val="24"/>
              </w:rPr>
              <w:t xml:space="preserve"> mës</w:t>
            </w:r>
            <w:r w:rsidR="003D4638">
              <w:rPr>
                <w:sz w:val="24"/>
                <w:lang w:val="sq-MK"/>
              </w:rPr>
              <w:t>imi</w:t>
            </w:r>
            <w:proofErr w:type="gramEnd"/>
            <w:r w:rsidR="003448DA" w:rsidRPr="003448DA">
              <w:rPr>
                <w:sz w:val="24"/>
              </w:rPr>
              <w:t xml:space="preserve"> dhe plotësimi i tyre sipas strukturës dhe aktiviteteve të programit të studimit</w:t>
            </w:r>
          </w:p>
        </w:tc>
      </w:tr>
      <w:tr w:rsidR="00451347" w14:paraId="57DECA4D" w14:textId="77777777">
        <w:trPr>
          <w:trHeight w:val="1008"/>
        </w:trPr>
        <w:tc>
          <w:tcPr>
            <w:tcW w:w="9444" w:type="dxa"/>
            <w:tcBorders>
              <w:top w:val="single" w:sz="2" w:space="0" w:color="000000"/>
              <w:left w:val="single" w:sz="2" w:space="0" w:color="000000"/>
              <w:bottom w:val="single" w:sz="2" w:space="0" w:color="000000"/>
              <w:right w:val="single" w:sz="2" w:space="0" w:color="000000"/>
            </w:tcBorders>
            <w:vAlign w:val="center"/>
          </w:tcPr>
          <w:p w14:paraId="7565A704" w14:textId="77777777" w:rsidR="000B7F45" w:rsidRDefault="003D4638" w:rsidP="000B7F45">
            <w:pPr>
              <w:ind w:left="14" w:right="14"/>
              <w:rPr>
                <w:sz w:val="24"/>
              </w:rPr>
            </w:pPr>
            <w:r w:rsidRPr="003D4638">
              <w:rPr>
                <w:sz w:val="24"/>
              </w:rPr>
              <w:t xml:space="preserve">Bordi vlerësues nuk ka dhënë vlerësim për cilësinë e </w:t>
            </w:r>
            <w:proofErr w:type="gramStart"/>
            <w:r w:rsidRPr="003D4638">
              <w:rPr>
                <w:sz w:val="24"/>
              </w:rPr>
              <w:t xml:space="preserve">rezultateve </w:t>
            </w:r>
            <w:r>
              <w:t xml:space="preserve"> </w:t>
            </w:r>
            <w:r w:rsidRPr="003D4638">
              <w:rPr>
                <w:sz w:val="24"/>
              </w:rPr>
              <w:t>nga</w:t>
            </w:r>
            <w:proofErr w:type="gramEnd"/>
            <w:r w:rsidRPr="003D4638">
              <w:rPr>
                <w:sz w:val="24"/>
              </w:rPr>
              <w:t xml:space="preserve">  mësimi dhe plotësimi i tyre sipas strukturës dhe veprimtarive të programit të studimit. </w:t>
            </w:r>
          </w:p>
          <w:p w14:paraId="47B07755" w14:textId="584F4DB9" w:rsidR="00451347" w:rsidRDefault="003D4638" w:rsidP="000B7F45">
            <w:pPr>
              <w:ind w:left="14" w:right="14"/>
            </w:pPr>
            <w:r w:rsidRPr="003D4638">
              <w:rPr>
                <w:sz w:val="24"/>
              </w:rPr>
              <w:t xml:space="preserve">Arsyet janë </w:t>
            </w:r>
            <w:r>
              <w:rPr>
                <w:sz w:val="24"/>
                <w:lang w:val="sq-MK"/>
              </w:rPr>
              <w:t>theksuar</w:t>
            </w:r>
            <w:r w:rsidRPr="003D4638">
              <w:rPr>
                <w:sz w:val="24"/>
              </w:rPr>
              <w:t xml:space="preserve"> në vazhdimësi, në pikat e lartpërmendura. </w:t>
            </w:r>
          </w:p>
        </w:tc>
      </w:tr>
      <w:tr w:rsidR="00451347" w14:paraId="3FA91B2B" w14:textId="77777777">
        <w:trPr>
          <w:trHeight w:val="516"/>
        </w:trPr>
        <w:tc>
          <w:tcPr>
            <w:tcW w:w="9444" w:type="dxa"/>
            <w:tcBorders>
              <w:top w:val="single" w:sz="2" w:space="0" w:color="000000"/>
              <w:left w:val="single" w:sz="2" w:space="0" w:color="000000"/>
              <w:bottom w:val="single" w:sz="2" w:space="0" w:color="000000"/>
              <w:right w:val="single" w:sz="2" w:space="0" w:color="000000"/>
            </w:tcBorders>
          </w:tcPr>
          <w:p w14:paraId="1903BE52" w14:textId="1AB33504" w:rsidR="00451347" w:rsidRDefault="00AC1D3F">
            <w:pPr>
              <w:ind w:left="7" w:firstLine="14"/>
            </w:pPr>
            <w:r>
              <w:rPr>
                <w:sz w:val="24"/>
              </w:rPr>
              <w:t xml:space="preserve">18. </w:t>
            </w:r>
            <w:r w:rsidR="003D4638" w:rsidRPr="003D4638">
              <w:rPr>
                <w:sz w:val="24"/>
              </w:rPr>
              <w:t>Vlerësimi i sistemeve dhe procedurave për vetëvlerësim dhe rëndësia e anketave të studentëve</w:t>
            </w:r>
          </w:p>
        </w:tc>
      </w:tr>
      <w:tr w:rsidR="00451347" w14:paraId="466B4463" w14:textId="77777777">
        <w:trPr>
          <w:trHeight w:val="752"/>
        </w:trPr>
        <w:tc>
          <w:tcPr>
            <w:tcW w:w="9444" w:type="dxa"/>
            <w:tcBorders>
              <w:top w:val="single" w:sz="2" w:space="0" w:color="000000"/>
              <w:left w:val="single" w:sz="2" w:space="0" w:color="000000"/>
              <w:bottom w:val="single" w:sz="2" w:space="0" w:color="000000"/>
              <w:right w:val="single" w:sz="2" w:space="0" w:color="000000"/>
            </w:tcBorders>
            <w:vAlign w:val="center"/>
          </w:tcPr>
          <w:p w14:paraId="5584101E" w14:textId="5A52E8F4" w:rsidR="00451347" w:rsidRDefault="003D4638">
            <w:pPr>
              <w:ind w:left="7"/>
              <w:jc w:val="both"/>
            </w:pPr>
            <w:r w:rsidRPr="003D4638">
              <w:rPr>
                <w:sz w:val="24"/>
              </w:rPr>
              <w:t>Për shkak të pamundësisë së formimit të komisioneve të ekspertëve, procedurat e vetëvlerësimit dhe anketat e studentëve nuk janë shqyrtuar dhe analizuar</w:t>
            </w:r>
            <w:r w:rsidR="00AC1D3F">
              <w:rPr>
                <w:sz w:val="24"/>
              </w:rPr>
              <w:t>.</w:t>
            </w:r>
          </w:p>
        </w:tc>
      </w:tr>
      <w:tr w:rsidR="00451347" w14:paraId="468CB3EC" w14:textId="77777777">
        <w:trPr>
          <w:trHeight w:val="763"/>
        </w:trPr>
        <w:tc>
          <w:tcPr>
            <w:tcW w:w="9444" w:type="dxa"/>
            <w:tcBorders>
              <w:top w:val="single" w:sz="2" w:space="0" w:color="000000"/>
              <w:left w:val="single" w:sz="2" w:space="0" w:color="000000"/>
              <w:bottom w:val="single" w:sz="2" w:space="0" w:color="000000"/>
              <w:right w:val="single" w:sz="2" w:space="0" w:color="000000"/>
            </w:tcBorders>
          </w:tcPr>
          <w:p w14:paraId="1C2B5C9D" w14:textId="12F49DDF" w:rsidR="00451347" w:rsidRDefault="00AC1D3F">
            <w:pPr>
              <w:ind w:left="14" w:right="7" w:firstLine="7"/>
              <w:jc w:val="both"/>
            </w:pPr>
            <w:r>
              <w:rPr>
                <w:sz w:val="24"/>
              </w:rPr>
              <w:t xml:space="preserve">19. </w:t>
            </w:r>
            <w:r w:rsidR="003D4638" w:rsidRPr="003D4638">
              <w:rPr>
                <w:sz w:val="24"/>
              </w:rPr>
              <w:t xml:space="preserve">Rekomandime të dhëna për përmirësimin e normave dhe standardeve për kryerjen e </w:t>
            </w:r>
            <w:r w:rsidR="003D4638">
              <w:rPr>
                <w:sz w:val="24"/>
                <w:lang w:val="sq-MK"/>
              </w:rPr>
              <w:t>veprimtarive</w:t>
            </w:r>
            <w:r w:rsidR="003D4638" w:rsidRPr="003D4638">
              <w:rPr>
                <w:sz w:val="24"/>
              </w:rPr>
              <w:t xml:space="preserve"> të arsimit të lartë ose rekomandime të tjera të dhëna në lidhje me fushëveprimin e punës</w:t>
            </w:r>
          </w:p>
        </w:tc>
      </w:tr>
      <w:tr w:rsidR="00451347" w14:paraId="772B0B28" w14:textId="77777777">
        <w:trPr>
          <w:trHeight w:val="756"/>
        </w:trPr>
        <w:tc>
          <w:tcPr>
            <w:tcW w:w="9444" w:type="dxa"/>
            <w:tcBorders>
              <w:top w:val="single" w:sz="2" w:space="0" w:color="000000"/>
              <w:left w:val="single" w:sz="2" w:space="0" w:color="000000"/>
              <w:bottom w:val="single" w:sz="2" w:space="0" w:color="000000"/>
              <w:right w:val="single" w:sz="2" w:space="0" w:color="000000"/>
            </w:tcBorders>
            <w:vAlign w:val="center"/>
          </w:tcPr>
          <w:p w14:paraId="1EDF4A1D" w14:textId="4A520538" w:rsidR="00451347" w:rsidRDefault="003D4638">
            <w:pPr>
              <w:ind w:left="14" w:hanging="7"/>
              <w:jc w:val="both"/>
            </w:pPr>
            <w:r w:rsidRPr="003D4638">
              <w:rPr>
                <w:sz w:val="24"/>
              </w:rPr>
              <w:t>Nuk janë formuar ende komisionet e ekspertëve,</w:t>
            </w:r>
            <w:r w:rsidR="00AC1D3F">
              <w:rPr>
                <w:sz w:val="24"/>
              </w:rPr>
              <w:t xml:space="preserve"> </w:t>
            </w:r>
            <w:r w:rsidRPr="003D4638">
              <w:rPr>
                <w:sz w:val="24"/>
              </w:rPr>
              <w:t>kështu</w:t>
            </w:r>
            <w:r>
              <w:rPr>
                <w:sz w:val="24"/>
                <w:lang w:val="sq-MK"/>
              </w:rPr>
              <w:t>që</w:t>
            </w:r>
            <w:r w:rsidRPr="003D4638">
              <w:rPr>
                <w:sz w:val="24"/>
              </w:rPr>
              <w:t xml:space="preserve"> nuk janë krijuar kushtet për të dhënë rekomandime </w:t>
            </w:r>
            <w:proofErr w:type="gramStart"/>
            <w:r w:rsidR="00036F6F">
              <w:rPr>
                <w:sz w:val="24"/>
                <w:lang w:val="sq-MK"/>
              </w:rPr>
              <w:t xml:space="preserve">konkrete </w:t>
            </w:r>
            <w:r w:rsidRPr="003D4638">
              <w:rPr>
                <w:sz w:val="24"/>
              </w:rPr>
              <w:t xml:space="preserve"> pas</w:t>
            </w:r>
            <w:proofErr w:type="gramEnd"/>
            <w:r w:rsidRPr="003D4638">
              <w:rPr>
                <w:sz w:val="24"/>
              </w:rPr>
              <w:t xml:space="preserve"> </w:t>
            </w:r>
            <w:r w:rsidR="00036F6F">
              <w:rPr>
                <w:sz w:val="24"/>
                <w:lang w:val="sq-MK"/>
              </w:rPr>
              <w:t xml:space="preserve">kryerjes së </w:t>
            </w:r>
            <w:r w:rsidRPr="003D4638">
              <w:rPr>
                <w:sz w:val="24"/>
              </w:rPr>
              <w:t>vlerësimit.</w:t>
            </w:r>
          </w:p>
        </w:tc>
      </w:tr>
      <w:tr w:rsidR="00451347" w14:paraId="4C7D8BC6" w14:textId="77777777">
        <w:trPr>
          <w:trHeight w:val="768"/>
        </w:trPr>
        <w:tc>
          <w:tcPr>
            <w:tcW w:w="9444" w:type="dxa"/>
            <w:tcBorders>
              <w:top w:val="single" w:sz="2" w:space="0" w:color="000000"/>
              <w:left w:val="single" w:sz="2" w:space="0" w:color="000000"/>
              <w:bottom w:val="single" w:sz="2" w:space="0" w:color="000000"/>
              <w:right w:val="single" w:sz="2" w:space="0" w:color="000000"/>
            </w:tcBorders>
          </w:tcPr>
          <w:p w14:paraId="4957E874" w14:textId="2AAC3ADD" w:rsidR="00451347" w:rsidRPr="00BE58DC" w:rsidRDefault="00AC1D3F">
            <w:pPr>
              <w:ind w:left="7" w:right="1238"/>
              <w:jc w:val="both"/>
              <w:rPr>
                <w:lang w:val="sq-MK"/>
              </w:rPr>
            </w:pPr>
            <w:r>
              <w:rPr>
                <w:sz w:val="24"/>
              </w:rPr>
              <w:lastRenderedPageBreak/>
              <w:t xml:space="preserve">20. </w:t>
            </w:r>
            <w:r w:rsidR="00BE58DC" w:rsidRPr="00BE58DC">
              <w:rPr>
                <w:sz w:val="24"/>
              </w:rPr>
              <w:t xml:space="preserve">Vlerësimi i </w:t>
            </w:r>
            <w:proofErr w:type="gramStart"/>
            <w:r w:rsidR="00BE58DC">
              <w:rPr>
                <w:sz w:val="24"/>
                <w:lang w:val="sq-MK"/>
              </w:rPr>
              <w:t xml:space="preserve">konkluzioneve </w:t>
            </w:r>
            <w:r w:rsidR="00BE58DC" w:rsidRPr="00BE58DC">
              <w:rPr>
                <w:sz w:val="24"/>
              </w:rPr>
              <w:t xml:space="preserve"> </w:t>
            </w:r>
            <w:r w:rsidR="00BE58DC">
              <w:rPr>
                <w:sz w:val="24"/>
                <w:lang w:val="sq-MK"/>
              </w:rPr>
              <w:t>për</w:t>
            </w:r>
            <w:proofErr w:type="gramEnd"/>
            <w:r w:rsidR="00BE58DC" w:rsidRPr="00BE58DC">
              <w:rPr>
                <w:sz w:val="24"/>
              </w:rPr>
              <w:t xml:space="preserve"> </w:t>
            </w:r>
            <w:r w:rsidR="00BE58DC">
              <w:rPr>
                <w:sz w:val="24"/>
                <w:lang w:val="sq-MK"/>
              </w:rPr>
              <w:t xml:space="preserve">notim </w:t>
            </w:r>
            <w:r>
              <w:rPr>
                <w:sz w:val="24"/>
              </w:rPr>
              <w:t xml:space="preserve">, </w:t>
            </w:r>
            <w:r w:rsidR="00BE58DC" w:rsidRPr="00BE58DC">
              <w:rPr>
                <w:sz w:val="24"/>
              </w:rPr>
              <w:t xml:space="preserve">zbatimi dhe rëndësia e tyre, për arritjen e rezultateve </w:t>
            </w:r>
            <w:r w:rsidR="00BE58DC">
              <w:rPr>
                <w:sz w:val="24"/>
                <w:lang w:val="sq-MK"/>
              </w:rPr>
              <w:t>e</w:t>
            </w:r>
            <w:r w:rsidR="00BE58DC" w:rsidRPr="00BE58DC">
              <w:rPr>
                <w:sz w:val="24"/>
              </w:rPr>
              <w:t xml:space="preserve"> të </w:t>
            </w:r>
            <w:r w:rsidR="00BE58DC">
              <w:rPr>
                <w:sz w:val="24"/>
                <w:lang w:val="sq-MK"/>
              </w:rPr>
              <w:t xml:space="preserve">mësurit </w:t>
            </w:r>
            <w:r w:rsidR="00BE58DC" w:rsidRPr="00BE58DC">
              <w:rPr>
                <w:sz w:val="24"/>
              </w:rPr>
              <w:t>të studentëve që zbatohen nga institucionet e arsimit të lartë ose shkencore</w:t>
            </w:r>
          </w:p>
        </w:tc>
      </w:tr>
      <w:tr w:rsidR="00451347" w14:paraId="3AB18094" w14:textId="77777777">
        <w:trPr>
          <w:trHeight w:val="1008"/>
        </w:trPr>
        <w:tc>
          <w:tcPr>
            <w:tcW w:w="9444" w:type="dxa"/>
            <w:tcBorders>
              <w:top w:val="single" w:sz="2" w:space="0" w:color="000000"/>
              <w:left w:val="single" w:sz="2" w:space="0" w:color="000000"/>
              <w:bottom w:val="single" w:sz="2" w:space="0" w:color="000000"/>
              <w:right w:val="single" w:sz="2" w:space="0" w:color="000000"/>
            </w:tcBorders>
            <w:vAlign w:val="center"/>
          </w:tcPr>
          <w:p w14:paraId="0767F869" w14:textId="4ACAC74D" w:rsidR="00451347" w:rsidRDefault="00BE58DC">
            <w:pPr>
              <w:ind w:firstLine="7"/>
              <w:jc w:val="both"/>
            </w:pPr>
            <w:r w:rsidRPr="00BE58DC">
              <w:rPr>
                <w:sz w:val="24"/>
              </w:rPr>
              <w:t xml:space="preserve">Bordi vlerësues nuk i </w:t>
            </w:r>
            <w:r w:rsidR="00BB7225">
              <w:rPr>
                <w:sz w:val="24"/>
                <w:lang w:val="sq-MK"/>
              </w:rPr>
              <w:t xml:space="preserve">qaset </w:t>
            </w:r>
            <w:r w:rsidRPr="00BE58DC">
              <w:rPr>
                <w:sz w:val="24"/>
              </w:rPr>
              <w:t xml:space="preserve">vlerësimit të arritjeve të rezultateve mësimore të studentëve për shkak të pamundësisë së plotësimit të kushteve të parashikuara në Ligjin për Arsimin e </w:t>
            </w:r>
            <w:proofErr w:type="gramStart"/>
            <w:r w:rsidRPr="00BE58DC">
              <w:rPr>
                <w:sz w:val="24"/>
              </w:rPr>
              <w:t xml:space="preserve">Lartë </w:t>
            </w:r>
            <w:r w:rsidR="00AC1D3F">
              <w:rPr>
                <w:sz w:val="24"/>
              </w:rPr>
              <w:t>.</w:t>
            </w:r>
            <w:proofErr w:type="gramEnd"/>
          </w:p>
        </w:tc>
      </w:tr>
      <w:tr w:rsidR="00451347" w14:paraId="491E89FE" w14:textId="77777777">
        <w:trPr>
          <w:trHeight w:val="367"/>
        </w:trPr>
        <w:tc>
          <w:tcPr>
            <w:tcW w:w="9444" w:type="dxa"/>
            <w:tcBorders>
              <w:top w:val="single" w:sz="2" w:space="0" w:color="000000"/>
              <w:left w:val="single" w:sz="2" w:space="0" w:color="000000"/>
              <w:bottom w:val="single" w:sz="2" w:space="0" w:color="000000"/>
              <w:right w:val="single" w:sz="2" w:space="0" w:color="000000"/>
            </w:tcBorders>
          </w:tcPr>
          <w:p w14:paraId="469E7C97" w14:textId="375C0129" w:rsidR="00451347" w:rsidRDefault="00AC1D3F">
            <w:pPr>
              <w:ind w:left="7"/>
            </w:pPr>
            <w:proofErr w:type="gramStart"/>
            <w:r>
              <w:rPr>
                <w:sz w:val="24"/>
              </w:rPr>
              <w:t>21 .</w:t>
            </w:r>
            <w:proofErr w:type="gramEnd"/>
            <w:r>
              <w:rPr>
                <w:sz w:val="24"/>
              </w:rPr>
              <w:t xml:space="preserve"> </w:t>
            </w:r>
            <w:r w:rsidR="004B59C1" w:rsidRPr="004B59C1">
              <w:rPr>
                <w:sz w:val="24"/>
              </w:rPr>
              <w:t xml:space="preserve">Ankesat e shqyrtuara dhe procedurat </w:t>
            </w:r>
            <w:proofErr w:type="gramStart"/>
            <w:r w:rsidR="004B59C1">
              <w:rPr>
                <w:sz w:val="24"/>
                <w:lang w:val="sq-MK"/>
              </w:rPr>
              <w:t xml:space="preserve">sipas </w:t>
            </w:r>
            <w:r w:rsidR="004B59C1" w:rsidRPr="004B59C1">
              <w:rPr>
                <w:sz w:val="24"/>
              </w:rPr>
              <w:t xml:space="preserve"> </w:t>
            </w:r>
            <w:r w:rsidR="004B59C1">
              <w:rPr>
                <w:sz w:val="24"/>
                <w:lang w:val="sq-MK"/>
              </w:rPr>
              <w:t>a</w:t>
            </w:r>
            <w:r w:rsidR="004B59C1" w:rsidRPr="004B59C1">
              <w:rPr>
                <w:sz w:val="24"/>
              </w:rPr>
              <w:t>tyre</w:t>
            </w:r>
            <w:proofErr w:type="gramEnd"/>
          </w:p>
        </w:tc>
      </w:tr>
      <w:tr w:rsidR="00451347" w14:paraId="3525EBD2" w14:textId="77777777">
        <w:trPr>
          <w:trHeight w:val="504"/>
        </w:trPr>
        <w:tc>
          <w:tcPr>
            <w:tcW w:w="9444" w:type="dxa"/>
            <w:tcBorders>
              <w:top w:val="single" w:sz="2" w:space="0" w:color="000000"/>
              <w:left w:val="single" w:sz="2" w:space="0" w:color="000000"/>
              <w:bottom w:val="single" w:sz="2" w:space="0" w:color="000000"/>
              <w:right w:val="single" w:sz="2" w:space="0" w:color="000000"/>
            </w:tcBorders>
            <w:vAlign w:val="center"/>
          </w:tcPr>
          <w:p w14:paraId="33A0A6A6" w14:textId="43D1C2B8" w:rsidR="00451347" w:rsidRDefault="004B59C1">
            <w:pPr>
              <w:ind w:left="14"/>
            </w:pPr>
            <w:r w:rsidRPr="004B59C1">
              <w:rPr>
                <w:sz w:val="24"/>
              </w:rPr>
              <w:t>Në Bordin Vlerësues në periudhën e kaluar nuk është zhvilluar PROCEDURË për ankesa.</w:t>
            </w:r>
          </w:p>
        </w:tc>
      </w:tr>
    </w:tbl>
    <w:p w14:paraId="0AD4B601" w14:textId="77777777" w:rsidR="00451347" w:rsidRDefault="00AC1D3F" w:rsidP="006E6F42">
      <w:pPr>
        <w:spacing w:after="10364"/>
        <w:ind w:right="10469"/>
      </w:pPr>
      <w:r>
        <w:rPr>
          <w:noProof/>
        </w:rPr>
        <w:drawing>
          <wp:anchor distT="0" distB="0" distL="114300" distR="114300" simplePos="0" relativeHeight="251659264" behindDoc="0" locked="0" layoutInCell="1" allowOverlap="0" wp14:anchorId="4E0CFF69" wp14:editId="63AF37A2">
            <wp:simplePos x="0" y="0"/>
            <wp:positionH relativeFrom="page">
              <wp:posOffset>6830569</wp:posOffset>
            </wp:positionH>
            <wp:positionV relativeFrom="page">
              <wp:posOffset>4233672</wp:posOffset>
            </wp:positionV>
            <wp:extent cx="4572" cy="4572"/>
            <wp:effectExtent l="0" t="0" r="0" b="0"/>
            <wp:wrapTopAndBottom/>
            <wp:docPr id="24475" name="Picture 24475"/>
            <wp:cNvGraphicFramePr/>
            <a:graphic xmlns:a="http://schemas.openxmlformats.org/drawingml/2006/main">
              <a:graphicData uri="http://schemas.openxmlformats.org/drawingml/2006/picture">
                <pic:pic xmlns:pic="http://schemas.openxmlformats.org/drawingml/2006/picture">
                  <pic:nvPicPr>
                    <pic:cNvPr id="24475" name="Picture 24475"/>
                    <pic:cNvPicPr/>
                  </pic:nvPicPr>
                  <pic:blipFill>
                    <a:blip r:embed="rId12"/>
                    <a:stretch>
                      <a:fillRect/>
                    </a:stretch>
                  </pic:blipFill>
                  <pic:spPr>
                    <a:xfrm>
                      <a:off x="0" y="0"/>
                      <a:ext cx="4572" cy="4572"/>
                    </a:xfrm>
                    <a:prstGeom prst="rect">
                      <a:avLst/>
                    </a:prstGeom>
                  </pic:spPr>
                </pic:pic>
              </a:graphicData>
            </a:graphic>
          </wp:anchor>
        </w:drawing>
      </w:r>
    </w:p>
    <w:tbl>
      <w:tblPr>
        <w:tblStyle w:val="TableGrid"/>
        <w:tblW w:w="9526" w:type="dxa"/>
        <w:tblInd w:w="-252" w:type="dxa"/>
        <w:tblCellMar>
          <w:top w:w="93" w:type="dxa"/>
          <w:left w:w="115" w:type="dxa"/>
          <w:right w:w="115" w:type="dxa"/>
        </w:tblCellMar>
        <w:tblLook w:val="04A0" w:firstRow="1" w:lastRow="0" w:firstColumn="1" w:lastColumn="0" w:noHBand="0" w:noVBand="1"/>
      </w:tblPr>
      <w:tblGrid>
        <w:gridCol w:w="9526"/>
      </w:tblGrid>
      <w:tr w:rsidR="00451347" w14:paraId="2A18DFAE" w14:textId="77777777">
        <w:trPr>
          <w:trHeight w:val="367"/>
        </w:trPr>
        <w:tc>
          <w:tcPr>
            <w:tcW w:w="9526" w:type="dxa"/>
            <w:tcBorders>
              <w:top w:val="single" w:sz="2" w:space="0" w:color="000000"/>
              <w:left w:val="single" w:sz="2" w:space="0" w:color="000000"/>
              <w:bottom w:val="single" w:sz="2" w:space="0" w:color="000000"/>
              <w:right w:val="single" w:sz="2" w:space="0" w:color="000000"/>
            </w:tcBorders>
          </w:tcPr>
          <w:p w14:paraId="1D56E842" w14:textId="18C54324" w:rsidR="00451347" w:rsidRDefault="00AC1D3F">
            <w:pPr>
              <w:ind w:left="7"/>
            </w:pPr>
            <w:r>
              <w:rPr>
                <w:sz w:val="24"/>
              </w:rPr>
              <w:t xml:space="preserve">22. </w:t>
            </w:r>
            <w:r w:rsidR="004B59C1" w:rsidRPr="004B59C1">
              <w:rPr>
                <w:sz w:val="24"/>
              </w:rPr>
              <w:t>Trajnim për anëtarët e Bordit</w:t>
            </w:r>
          </w:p>
        </w:tc>
      </w:tr>
      <w:tr w:rsidR="00451347" w14:paraId="06B3E0A1" w14:textId="77777777">
        <w:trPr>
          <w:trHeight w:val="504"/>
        </w:trPr>
        <w:tc>
          <w:tcPr>
            <w:tcW w:w="9526" w:type="dxa"/>
            <w:tcBorders>
              <w:top w:val="single" w:sz="2" w:space="0" w:color="000000"/>
              <w:left w:val="single" w:sz="2" w:space="0" w:color="000000"/>
              <w:bottom w:val="single" w:sz="2" w:space="0" w:color="000000"/>
              <w:right w:val="single" w:sz="2" w:space="0" w:color="000000"/>
            </w:tcBorders>
            <w:vAlign w:val="center"/>
          </w:tcPr>
          <w:p w14:paraId="1749D66D" w14:textId="2EBF9149" w:rsidR="00451347" w:rsidRDefault="00D84F70">
            <w:pPr>
              <w:ind w:left="14"/>
            </w:pPr>
            <w:r w:rsidRPr="00D84F70">
              <w:rPr>
                <w:sz w:val="24"/>
              </w:rPr>
              <w:t>Në periudhën raportuese nuk është realizuar trajnim për anëtarët e Bordit</w:t>
            </w:r>
            <w:r w:rsidR="00AC1D3F">
              <w:rPr>
                <w:sz w:val="24"/>
              </w:rPr>
              <w:t>.</w:t>
            </w:r>
          </w:p>
        </w:tc>
      </w:tr>
      <w:tr w:rsidR="00451347" w14:paraId="1CECEE83" w14:textId="77777777">
        <w:trPr>
          <w:trHeight w:val="367"/>
        </w:trPr>
        <w:tc>
          <w:tcPr>
            <w:tcW w:w="9526" w:type="dxa"/>
            <w:tcBorders>
              <w:top w:val="single" w:sz="2" w:space="0" w:color="000000"/>
              <w:left w:val="single" w:sz="2" w:space="0" w:color="000000"/>
              <w:bottom w:val="single" w:sz="2" w:space="0" w:color="000000"/>
              <w:right w:val="single" w:sz="2" w:space="0" w:color="000000"/>
            </w:tcBorders>
          </w:tcPr>
          <w:p w14:paraId="3DBD2979" w14:textId="30C59372" w:rsidR="00451347" w:rsidRDefault="00AC1D3F">
            <w:pPr>
              <w:ind w:left="7"/>
            </w:pPr>
            <w:r>
              <w:rPr>
                <w:sz w:val="24"/>
              </w:rPr>
              <w:lastRenderedPageBreak/>
              <w:t xml:space="preserve">23. </w:t>
            </w:r>
            <w:r w:rsidR="00D84F70" w:rsidRPr="00D84F70">
              <w:rPr>
                <w:sz w:val="24"/>
              </w:rPr>
              <w:t>Trajnim për ekspertët e jashtëm të përfshirë në procedurat e vlerësimit</w:t>
            </w:r>
          </w:p>
        </w:tc>
      </w:tr>
      <w:tr w:rsidR="00451347" w14:paraId="76515B09" w14:textId="77777777">
        <w:trPr>
          <w:trHeight w:val="504"/>
        </w:trPr>
        <w:tc>
          <w:tcPr>
            <w:tcW w:w="9526" w:type="dxa"/>
            <w:tcBorders>
              <w:top w:val="single" w:sz="2" w:space="0" w:color="000000"/>
              <w:left w:val="single" w:sz="2" w:space="0" w:color="000000"/>
              <w:bottom w:val="single" w:sz="2" w:space="0" w:color="000000"/>
              <w:right w:val="single" w:sz="2" w:space="0" w:color="000000"/>
            </w:tcBorders>
            <w:vAlign w:val="center"/>
          </w:tcPr>
          <w:p w14:paraId="4886CC1D" w14:textId="7BABDA46" w:rsidR="00451347" w:rsidRDefault="00D84F70">
            <w:pPr>
              <w:ind w:left="14"/>
            </w:pPr>
            <w:r w:rsidRPr="00D84F70">
              <w:rPr>
                <w:sz w:val="24"/>
              </w:rPr>
              <w:t>Gjatë periudhës raportuese, nuk është realizuar trajnim për ekspertët.</w:t>
            </w:r>
          </w:p>
        </w:tc>
      </w:tr>
      <w:tr w:rsidR="00451347" w14:paraId="68A3DDD8" w14:textId="77777777">
        <w:trPr>
          <w:trHeight w:val="367"/>
        </w:trPr>
        <w:tc>
          <w:tcPr>
            <w:tcW w:w="9526" w:type="dxa"/>
            <w:tcBorders>
              <w:top w:val="single" w:sz="2" w:space="0" w:color="000000"/>
              <w:left w:val="single" w:sz="2" w:space="0" w:color="000000"/>
              <w:bottom w:val="single" w:sz="2" w:space="0" w:color="000000"/>
              <w:right w:val="single" w:sz="2" w:space="0" w:color="000000"/>
            </w:tcBorders>
          </w:tcPr>
          <w:p w14:paraId="2A1E54B1" w14:textId="63A98E02" w:rsidR="00451347" w:rsidRDefault="00AC1D3F">
            <w:r>
              <w:rPr>
                <w:sz w:val="24"/>
              </w:rPr>
              <w:t xml:space="preserve">24. </w:t>
            </w:r>
            <w:r w:rsidR="00D84F70" w:rsidRPr="00D84F70">
              <w:rPr>
                <w:sz w:val="24"/>
              </w:rPr>
              <w:t>Pjesëmarrja në konferenca/takime</w:t>
            </w:r>
          </w:p>
        </w:tc>
      </w:tr>
      <w:tr w:rsidR="00451347" w14:paraId="39B28253" w14:textId="77777777">
        <w:trPr>
          <w:trHeight w:val="374"/>
        </w:trPr>
        <w:tc>
          <w:tcPr>
            <w:tcW w:w="9526" w:type="dxa"/>
            <w:tcBorders>
              <w:top w:val="single" w:sz="2" w:space="0" w:color="000000"/>
              <w:left w:val="single" w:sz="2" w:space="0" w:color="000000"/>
              <w:bottom w:val="single" w:sz="2" w:space="0" w:color="000000"/>
              <w:right w:val="single" w:sz="2" w:space="0" w:color="000000"/>
            </w:tcBorders>
          </w:tcPr>
          <w:p w14:paraId="7182959C" w14:textId="77777777" w:rsidR="00451347" w:rsidRDefault="00451347"/>
        </w:tc>
      </w:tr>
      <w:tr w:rsidR="00451347" w14:paraId="48A840F7" w14:textId="77777777">
        <w:trPr>
          <w:trHeight w:val="367"/>
        </w:trPr>
        <w:tc>
          <w:tcPr>
            <w:tcW w:w="9526" w:type="dxa"/>
            <w:tcBorders>
              <w:top w:val="single" w:sz="2" w:space="0" w:color="000000"/>
              <w:left w:val="single" w:sz="2" w:space="0" w:color="000000"/>
              <w:bottom w:val="single" w:sz="2" w:space="0" w:color="000000"/>
              <w:right w:val="single" w:sz="2" w:space="0" w:color="000000"/>
            </w:tcBorders>
          </w:tcPr>
          <w:p w14:paraId="103E7F59" w14:textId="763B0561" w:rsidR="00451347" w:rsidRDefault="00AC1D3F">
            <w:pPr>
              <w:ind w:left="7"/>
            </w:pPr>
            <w:r>
              <w:rPr>
                <w:sz w:val="24"/>
              </w:rPr>
              <w:t xml:space="preserve">25. </w:t>
            </w:r>
            <w:r w:rsidR="00D84F70" w:rsidRPr="00D84F70">
              <w:rPr>
                <w:sz w:val="24"/>
              </w:rPr>
              <w:t>Vizitat nga delegacionet</w:t>
            </w:r>
          </w:p>
        </w:tc>
      </w:tr>
      <w:tr w:rsidR="00451347" w14:paraId="6462D2FD" w14:textId="77777777">
        <w:trPr>
          <w:trHeight w:val="370"/>
        </w:trPr>
        <w:tc>
          <w:tcPr>
            <w:tcW w:w="9526" w:type="dxa"/>
            <w:tcBorders>
              <w:top w:val="single" w:sz="2" w:space="0" w:color="000000"/>
              <w:left w:val="single" w:sz="2" w:space="0" w:color="000000"/>
              <w:bottom w:val="single" w:sz="2" w:space="0" w:color="000000"/>
              <w:right w:val="single" w:sz="2" w:space="0" w:color="000000"/>
            </w:tcBorders>
          </w:tcPr>
          <w:p w14:paraId="79D11014" w14:textId="77777777" w:rsidR="00451347" w:rsidRDefault="00451347"/>
        </w:tc>
      </w:tr>
      <w:tr w:rsidR="00451347" w14:paraId="7C103AB1" w14:textId="77777777">
        <w:trPr>
          <w:trHeight w:val="372"/>
        </w:trPr>
        <w:tc>
          <w:tcPr>
            <w:tcW w:w="9526" w:type="dxa"/>
            <w:tcBorders>
              <w:top w:val="single" w:sz="2" w:space="0" w:color="000000"/>
              <w:left w:val="single" w:sz="2" w:space="0" w:color="000000"/>
              <w:bottom w:val="single" w:sz="2" w:space="0" w:color="000000"/>
              <w:right w:val="single" w:sz="2" w:space="0" w:color="000000"/>
            </w:tcBorders>
          </w:tcPr>
          <w:p w14:paraId="3E451A56" w14:textId="26C5DC24" w:rsidR="00451347" w:rsidRDefault="00AC1D3F">
            <w:pPr>
              <w:ind w:left="7"/>
            </w:pPr>
            <w:r>
              <w:rPr>
                <w:sz w:val="24"/>
              </w:rPr>
              <w:t xml:space="preserve">26. </w:t>
            </w:r>
            <w:r w:rsidR="00D84F70" w:rsidRPr="00D84F70">
              <w:rPr>
                <w:sz w:val="24"/>
              </w:rPr>
              <w:t>Bashkëpunim i Arritur</w:t>
            </w:r>
          </w:p>
        </w:tc>
      </w:tr>
    </w:tbl>
    <w:tbl>
      <w:tblPr>
        <w:tblStyle w:val="TableGrid"/>
        <w:tblpPr w:vertAnchor="text" w:tblpX="-240" w:tblpY="98"/>
        <w:tblOverlap w:val="never"/>
        <w:tblW w:w="9492" w:type="dxa"/>
        <w:tblInd w:w="0" w:type="dxa"/>
        <w:tblCellMar>
          <w:right w:w="5" w:type="dxa"/>
        </w:tblCellMar>
        <w:tblLook w:val="04A0" w:firstRow="1" w:lastRow="0" w:firstColumn="1" w:lastColumn="0" w:noHBand="0" w:noVBand="1"/>
      </w:tblPr>
      <w:tblGrid>
        <w:gridCol w:w="6617"/>
        <w:gridCol w:w="524"/>
        <w:gridCol w:w="919"/>
        <w:gridCol w:w="1432"/>
      </w:tblGrid>
      <w:tr w:rsidR="00451347" w14:paraId="7F99227C" w14:textId="77777777">
        <w:trPr>
          <w:trHeight w:val="504"/>
        </w:trPr>
        <w:tc>
          <w:tcPr>
            <w:tcW w:w="9492" w:type="dxa"/>
            <w:gridSpan w:val="4"/>
            <w:tcBorders>
              <w:top w:val="single" w:sz="2" w:space="0" w:color="000000"/>
              <w:left w:val="single" w:sz="2" w:space="0" w:color="000000"/>
              <w:bottom w:val="single" w:sz="2" w:space="0" w:color="000000"/>
              <w:right w:val="single" w:sz="2" w:space="0" w:color="000000"/>
            </w:tcBorders>
          </w:tcPr>
          <w:p w14:paraId="15A89642" w14:textId="77777777" w:rsidR="00451347" w:rsidRDefault="00451347"/>
        </w:tc>
      </w:tr>
      <w:tr w:rsidR="00451347" w14:paraId="434501ED" w14:textId="77777777">
        <w:trPr>
          <w:trHeight w:val="367"/>
        </w:trPr>
        <w:tc>
          <w:tcPr>
            <w:tcW w:w="9492" w:type="dxa"/>
            <w:gridSpan w:val="4"/>
            <w:tcBorders>
              <w:top w:val="single" w:sz="2" w:space="0" w:color="000000"/>
              <w:left w:val="single" w:sz="2" w:space="0" w:color="000000"/>
              <w:bottom w:val="single" w:sz="2" w:space="0" w:color="000000"/>
              <w:right w:val="single" w:sz="2" w:space="0" w:color="000000"/>
            </w:tcBorders>
          </w:tcPr>
          <w:p w14:paraId="30CCFE50" w14:textId="3B16513A" w:rsidR="00451347" w:rsidRDefault="00AC1D3F">
            <w:pPr>
              <w:ind w:left="118"/>
            </w:pPr>
            <w:r>
              <w:rPr>
                <w:sz w:val="24"/>
              </w:rPr>
              <w:t xml:space="preserve">27. </w:t>
            </w:r>
            <w:r w:rsidR="00D84F70">
              <w:t xml:space="preserve"> </w:t>
            </w:r>
            <w:r w:rsidR="00D84F70" w:rsidRPr="00D84F70">
              <w:rPr>
                <w:sz w:val="24"/>
              </w:rPr>
              <w:t>Veprimtari botuese</w:t>
            </w:r>
          </w:p>
        </w:tc>
      </w:tr>
      <w:tr w:rsidR="00451347" w14:paraId="2DC2E09C" w14:textId="77777777">
        <w:trPr>
          <w:trHeight w:val="367"/>
        </w:trPr>
        <w:tc>
          <w:tcPr>
            <w:tcW w:w="9492" w:type="dxa"/>
            <w:gridSpan w:val="4"/>
            <w:tcBorders>
              <w:top w:val="single" w:sz="2" w:space="0" w:color="000000"/>
              <w:left w:val="single" w:sz="2" w:space="0" w:color="000000"/>
              <w:bottom w:val="single" w:sz="2" w:space="0" w:color="000000"/>
              <w:right w:val="single" w:sz="2" w:space="0" w:color="000000"/>
            </w:tcBorders>
          </w:tcPr>
          <w:p w14:paraId="4967CA26" w14:textId="77777777" w:rsidR="00451347" w:rsidRDefault="00451347"/>
        </w:tc>
      </w:tr>
      <w:tr w:rsidR="00451347" w14:paraId="4092FB73" w14:textId="77777777">
        <w:trPr>
          <w:trHeight w:val="367"/>
        </w:trPr>
        <w:tc>
          <w:tcPr>
            <w:tcW w:w="9492" w:type="dxa"/>
            <w:gridSpan w:val="4"/>
            <w:tcBorders>
              <w:top w:val="single" w:sz="2" w:space="0" w:color="000000"/>
              <w:left w:val="single" w:sz="2" w:space="0" w:color="000000"/>
              <w:bottom w:val="single" w:sz="2" w:space="0" w:color="000000"/>
              <w:right w:val="single" w:sz="2" w:space="0" w:color="000000"/>
            </w:tcBorders>
          </w:tcPr>
          <w:p w14:paraId="282F7B1E" w14:textId="5089504B" w:rsidR="00451347" w:rsidRDefault="00AC1D3F">
            <w:pPr>
              <w:ind w:left="118"/>
            </w:pPr>
            <w:r>
              <w:rPr>
                <w:sz w:val="24"/>
              </w:rPr>
              <w:t xml:space="preserve">28. </w:t>
            </w:r>
            <w:r w:rsidR="00C24461">
              <w:rPr>
                <w:sz w:val="24"/>
                <w:lang w:val="sq-MK"/>
              </w:rPr>
              <w:t xml:space="preserve">Gjendja </w:t>
            </w:r>
            <w:r w:rsidR="00BA5ADB">
              <w:rPr>
                <w:sz w:val="24"/>
                <w:lang w:val="sq-MK"/>
              </w:rPr>
              <w:t xml:space="preserve">e </w:t>
            </w:r>
            <w:r w:rsidR="00F0550F" w:rsidRPr="00F0550F">
              <w:rPr>
                <w:sz w:val="24"/>
              </w:rPr>
              <w:t xml:space="preserve">faqes së </w:t>
            </w:r>
            <w:r w:rsidR="00F0550F">
              <w:rPr>
                <w:sz w:val="24"/>
                <w:lang w:val="sq-MK"/>
              </w:rPr>
              <w:t>rrjetit</w:t>
            </w:r>
            <w:r w:rsidR="00F0550F" w:rsidRPr="00F0550F">
              <w:rPr>
                <w:sz w:val="24"/>
              </w:rPr>
              <w:t xml:space="preserve"> të Bordit</w:t>
            </w:r>
          </w:p>
        </w:tc>
      </w:tr>
      <w:tr w:rsidR="00451347" w14:paraId="67E35333" w14:textId="77777777">
        <w:trPr>
          <w:trHeight w:val="878"/>
        </w:trPr>
        <w:tc>
          <w:tcPr>
            <w:tcW w:w="9492" w:type="dxa"/>
            <w:gridSpan w:val="4"/>
            <w:tcBorders>
              <w:top w:val="single" w:sz="2" w:space="0" w:color="000000"/>
              <w:left w:val="single" w:sz="2" w:space="0" w:color="000000"/>
              <w:bottom w:val="single" w:sz="2" w:space="0" w:color="000000"/>
              <w:right w:val="single" w:sz="2" w:space="0" w:color="000000"/>
            </w:tcBorders>
            <w:vAlign w:val="bottom"/>
          </w:tcPr>
          <w:p w14:paraId="53EBF3B6" w14:textId="77777777" w:rsidR="00451347" w:rsidRDefault="00F0550F">
            <w:pPr>
              <w:ind w:left="125" w:right="103" w:hanging="7"/>
              <w:jc w:val="both"/>
              <w:rPr>
                <w:sz w:val="24"/>
              </w:rPr>
            </w:pPr>
            <w:r w:rsidRPr="00F0550F">
              <w:rPr>
                <w:sz w:val="24"/>
              </w:rPr>
              <w:t>Shërbimi A</w:t>
            </w:r>
            <w:r w:rsidR="003F41B5">
              <w:rPr>
                <w:sz w:val="24"/>
                <w:lang w:val="sq-MK"/>
              </w:rPr>
              <w:t>CAL</w:t>
            </w:r>
            <w:r w:rsidRPr="00F0550F">
              <w:rPr>
                <w:sz w:val="24"/>
              </w:rPr>
              <w:t xml:space="preserve"> është përgjegjës për mirëmbajtjen e </w:t>
            </w:r>
            <w:r>
              <w:rPr>
                <w:sz w:val="24"/>
                <w:lang w:val="sq-MK"/>
              </w:rPr>
              <w:t>ueb-</w:t>
            </w:r>
            <w:r w:rsidRPr="00F0550F">
              <w:rPr>
                <w:sz w:val="24"/>
              </w:rPr>
              <w:t xml:space="preserve">faqes http://www.akvo.mk. Pas një ndërprerjeje të </w:t>
            </w:r>
            <w:proofErr w:type="gramStart"/>
            <w:r w:rsidRPr="00F0550F">
              <w:rPr>
                <w:sz w:val="24"/>
              </w:rPr>
              <w:t xml:space="preserve">shkurtër, </w:t>
            </w:r>
            <w:r>
              <w:t xml:space="preserve"> </w:t>
            </w:r>
            <w:r w:rsidRPr="00F0550F">
              <w:rPr>
                <w:sz w:val="24"/>
              </w:rPr>
              <w:t>ueb</w:t>
            </w:r>
            <w:proofErr w:type="gramEnd"/>
            <w:r w:rsidRPr="00F0550F">
              <w:rPr>
                <w:sz w:val="24"/>
              </w:rPr>
              <w:t>- faqja është përsëri funksionale dhe në të janë publikuar të gjitha informacionet e nevojshme në lidhje me punën e Bordit.</w:t>
            </w:r>
          </w:p>
          <w:p w14:paraId="61C5448A" w14:textId="3EDA3339" w:rsidR="00BA5ADB" w:rsidRDefault="00BA5ADB">
            <w:pPr>
              <w:ind w:left="125" w:right="103" w:hanging="7"/>
              <w:jc w:val="both"/>
            </w:pPr>
          </w:p>
        </w:tc>
      </w:tr>
      <w:tr w:rsidR="00451347" w14:paraId="4F90B27C" w14:textId="77777777">
        <w:trPr>
          <w:trHeight w:val="370"/>
        </w:trPr>
        <w:tc>
          <w:tcPr>
            <w:tcW w:w="9492" w:type="dxa"/>
            <w:gridSpan w:val="4"/>
            <w:tcBorders>
              <w:top w:val="single" w:sz="2" w:space="0" w:color="000000"/>
              <w:left w:val="single" w:sz="2" w:space="0" w:color="000000"/>
              <w:bottom w:val="single" w:sz="2" w:space="0" w:color="000000"/>
              <w:right w:val="single" w:sz="2" w:space="0" w:color="000000"/>
            </w:tcBorders>
          </w:tcPr>
          <w:p w14:paraId="16FBA90A" w14:textId="5B5A7FCF" w:rsidR="00451347" w:rsidRDefault="00AC1D3F">
            <w:pPr>
              <w:ind w:left="118"/>
            </w:pPr>
            <w:r>
              <w:rPr>
                <w:sz w:val="24"/>
              </w:rPr>
              <w:t xml:space="preserve">29. </w:t>
            </w:r>
            <w:r w:rsidR="00F0550F" w:rsidRPr="00F0550F">
              <w:rPr>
                <w:sz w:val="24"/>
              </w:rPr>
              <w:t>Dokumentet e rishikuara dhe analizat tematike</w:t>
            </w:r>
          </w:p>
        </w:tc>
      </w:tr>
      <w:tr w:rsidR="00451347" w14:paraId="385E405F" w14:textId="77777777">
        <w:trPr>
          <w:trHeight w:val="367"/>
        </w:trPr>
        <w:tc>
          <w:tcPr>
            <w:tcW w:w="9492" w:type="dxa"/>
            <w:gridSpan w:val="4"/>
            <w:tcBorders>
              <w:top w:val="single" w:sz="2" w:space="0" w:color="000000"/>
              <w:left w:val="single" w:sz="2" w:space="0" w:color="000000"/>
              <w:bottom w:val="single" w:sz="2" w:space="0" w:color="000000"/>
              <w:right w:val="single" w:sz="2" w:space="0" w:color="000000"/>
            </w:tcBorders>
          </w:tcPr>
          <w:p w14:paraId="7D1C0E51" w14:textId="77777777" w:rsidR="00451347" w:rsidRDefault="00451347"/>
        </w:tc>
      </w:tr>
      <w:tr w:rsidR="00451347" w14:paraId="113EC351" w14:textId="77777777">
        <w:trPr>
          <w:trHeight w:val="372"/>
        </w:trPr>
        <w:tc>
          <w:tcPr>
            <w:tcW w:w="9492" w:type="dxa"/>
            <w:gridSpan w:val="4"/>
            <w:tcBorders>
              <w:top w:val="single" w:sz="2" w:space="0" w:color="000000"/>
              <w:left w:val="single" w:sz="2" w:space="0" w:color="000000"/>
              <w:bottom w:val="single" w:sz="2" w:space="0" w:color="000000"/>
              <w:right w:val="single" w:sz="2" w:space="0" w:color="000000"/>
            </w:tcBorders>
          </w:tcPr>
          <w:p w14:paraId="12D85B99" w14:textId="77777777" w:rsidR="00451347" w:rsidRDefault="00AC1D3F">
            <w:pPr>
              <w:ind w:left="6764"/>
            </w:pPr>
            <w:r>
              <w:rPr>
                <w:noProof/>
              </w:rPr>
              <w:drawing>
                <wp:inline distT="0" distB="0" distL="0" distR="0" wp14:anchorId="53F62F8C" wp14:editId="268AE4B4">
                  <wp:extent cx="717804" cy="169164"/>
                  <wp:effectExtent l="0" t="0" r="0" b="0"/>
                  <wp:docPr id="25847" name="Picture 25847"/>
                  <wp:cNvGraphicFramePr/>
                  <a:graphic xmlns:a="http://schemas.openxmlformats.org/drawingml/2006/main">
                    <a:graphicData uri="http://schemas.openxmlformats.org/drawingml/2006/picture">
                      <pic:pic xmlns:pic="http://schemas.openxmlformats.org/drawingml/2006/picture">
                        <pic:nvPicPr>
                          <pic:cNvPr id="25847" name="Picture 25847"/>
                          <pic:cNvPicPr/>
                        </pic:nvPicPr>
                        <pic:blipFill>
                          <a:blip r:embed="rId13"/>
                          <a:stretch>
                            <a:fillRect/>
                          </a:stretch>
                        </pic:blipFill>
                        <pic:spPr>
                          <a:xfrm>
                            <a:off x="0" y="0"/>
                            <a:ext cx="717804" cy="169164"/>
                          </a:xfrm>
                          <a:prstGeom prst="rect">
                            <a:avLst/>
                          </a:prstGeom>
                        </pic:spPr>
                      </pic:pic>
                    </a:graphicData>
                  </a:graphic>
                </wp:inline>
              </w:drawing>
            </w:r>
          </w:p>
        </w:tc>
      </w:tr>
      <w:tr w:rsidR="00451347" w14:paraId="45EBE801" w14:textId="77777777">
        <w:trPr>
          <w:trHeight w:val="374"/>
        </w:trPr>
        <w:tc>
          <w:tcPr>
            <w:tcW w:w="6617" w:type="dxa"/>
            <w:tcBorders>
              <w:top w:val="single" w:sz="2" w:space="0" w:color="000000"/>
              <w:left w:val="single" w:sz="2" w:space="0" w:color="000000"/>
              <w:bottom w:val="single" w:sz="2" w:space="0" w:color="000000"/>
              <w:right w:val="nil"/>
            </w:tcBorders>
          </w:tcPr>
          <w:p w14:paraId="2FD7BFE3" w14:textId="77777777" w:rsidR="00451347" w:rsidRDefault="00AC1D3F">
            <w:pPr>
              <w:ind w:right="209"/>
              <w:jc w:val="right"/>
            </w:pPr>
            <w:r>
              <w:rPr>
                <w:sz w:val="24"/>
              </w:rPr>
              <w:t>Претседател н</w:t>
            </w:r>
          </w:p>
        </w:tc>
        <w:tc>
          <w:tcPr>
            <w:tcW w:w="2875" w:type="dxa"/>
            <w:gridSpan w:val="3"/>
            <w:tcBorders>
              <w:top w:val="single" w:sz="2" w:space="0" w:color="000000"/>
              <w:left w:val="nil"/>
              <w:bottom w:val="single" w:sz="2" w:space="0" w:color="000000"/>
              <w:right w:val="single" w:sz="2" w:space="0" w:color="000000"/>
            </w:tcBorders>
          </w:tcPr>
          <w:p w14:paraId="02E9298E" w14:textId="77777777" w:rsidR="00451347" w:rsidRDefault="00AC1D3F">
            <w:pPr>
              <w:ind w:left="24"/>
            </w:pPr>
            <w:bookmarkStart w:id="0" w:name="_GoBack"/>
            <w:r>
              <w:rPr>
                <w:noProof/>
              </w:rPr>
              <w:drawing>
                <wp:inline distT="0" distB="0" distL="0" distR="0" wp14:anchorId="397494DF" wp14:editId="488013CA">
                  <wp:extent cx="900684" cy="210312"/>
                  <wp:effectExtent l="0" t="0" r="0" b="0"/>
                  <wp:docPr id="25803" name="Picture 25803"/>
                  <wp:cNvGraphicFramePr/>
                  <a:graphic xmlns:a="http://schemas.openxmlformats.org/drawingml/2006/main">
                    <a:graphicData uri="http://schemas.openxmlformats.org/drawingml/2006/picture">
                      <pic:pic xmlns:pic="http://schemas.openxmlformats.org/drawingml/2006/picture">
                        <pic:nvPicPr>
                          <pic:cNvPr id="25803" name="Picture 25803"/>
                          <pic:cNvPicPr/>
                        </pic:nvPicPr>
                        <pic:blipFill>
                          <a:blip r:embed="rId14"/>
                          <a:stretch>
                            <a:fillRect/>
                          </a:stretch>
                        </pic:blipFill>
                        <pic:spPr>
                          <a:xfrm>
                            <a:off x="0" y="0"/>
                            <a:ext cx="900684" cy="210312"/>
                          </a:xfrm>
                          <a:prstGeom prst="rect">
                            <a:avLst/>
                          </a:prstGeom>
                        </pic:spPr>
                      </pic:pic>
                    </a:graphicData>
                  </a:graphic>
                </wp:inline>
              </w:drawing>
            </w:r>
            <w:bookmarkEnd w:id="0"/>
            <w:r>
              <w:rPr>
                <w:sz w:val="24"/>
              </w:rPr>
              <w:t>&gt; алуација</w:t>
            </w:r>
          </w:p>
        </w:tc>
      </w:tr>
      <w:tr w:rsidR="00451347" w14:paraId="1B020627" w14:textId="77777777">
        <w:trPr>
          <w:trHeight w:val="299"/>
        </w:trPr>
        <w:tc>
          <w:tcPr>
            <w:tcW w:w="6617" w:type="dxa"/>
            <w:tcBorders>
              <w:top w:val="single" w:sz="2" w:space="0" w:color="000000"/>
              <w:left w:val="single" w:sz="2" w:space="0" w:color="000000"/>
              <w:bottom w:val="single" w:sz="2" w:space="0" w:color="000000"/>
              <w:right w:val="single" w:sz="2" w:space="0" w:color="000000"/>
            </w:tcBorders>
          </w:tcPr>
          <w:p w14:paraId="063049C8" w14:textId="77777777" w:rsidR="00451347" w:rsidRDefault="00AC1D3F">
            <w:pPr>
              <w:ind w:left="5799"/>
            </w:pPr>
            <w:r>
              <w:rPr>
                <w:noProof/>
              </w:rPr>
              <w:drawing>
                <wp:inline distT="0" distB="0" distL="0" distR="0" wp14:anchorId="748411FC" wp14:editId="09B2D614">
                  <wp:extent cx="516636" cy="173736"/>
                  <wp:effectExtent l="0" t="0" r="0" b="0"/>
                  <wp:docPr id="25812" name="Picture 25812"/>
                  <wp:cNvGraphicFramePr/>
                  <a:graphic xmlns:a="http://schemas.openxmlformats.org/drawingml/2006/main">
                    <a:graphicData uri="http://schemas.openxmlformats.org/drawingml/2006/picture">
                      <pic:pic xmlns:pic="http://schemas.openxmlformats.org/drawingml/2006/picture">
                        <pic:nvPicPr>
                          <pic:cNvPr id="25812" name="Picture 25812"/>
                          <pic:cNvPicPr/>
                        </pic:nvPicPr>
                        <pic:blipFill>
                          <a:blip r:embed="rId15"/>
                          <a:stretch>
                            <a:fillRect/>
                          </a:stretch>
                        </pic:blipFill>
                        <pic:spPr>
                          <a:xfrm>
                            <a:off x="0" y="0"/>
                            <a:ext cx="516636" cy="173736"/>
                          </a:xfrm>
                          <a:prstGeom prst="rect">
                            <a:avLst/>
                          </a:prstGeom>
                        </pic:spPr>
                      </pic:pic>
                    </a:graphicData>
                  </a:graphic>
                </wp:inline>
              </w:drawing>
            </w:r>
          </w:p>
        </w:tc>
        <w:tc>
          <w:tcPr>
            <w:tcW w:w="524" w:type="dxa"/>
            <w:tcBorders>
              <w:top w:val="single" w:sz="2" w:space="0" w:color="000000"/>
              <w:left w:val="single" w:sz="2" w:space="0" w:color="000000"/>
              <w:bottom w:val="single" w:sz="2" w:space="0" w:color="000000"/>
              <w:right w:val="nil"/>
            </w:tcBorders>
          </w:tcPr>
          <w:p w14:paraId="058B38DA" w14:textId="77777777" w:rsidR="00451347" w:rsidRDefault="00451347"/>
        </w:tc>
        <w:tc>
          <w:tcPr>
            <w:tcW w:w="919" w:type="dxa"/>
            <w:tcBorders>
              <w:top w:val="single" w:sz="2" w:space="0" w:color="000000"/>
              <w:left w:val="nil"/>
              <w:bottom w:val="single" w:sz="2" w:space="0" w:color="000000"/>
              <w:right w:val="nil"/>
            </w:tcBorders>
          </w:tcPr>
          <w:p w14:paraId="4910C9B4" w14:textId="77777777" w:rsidR="00451347" w:rsidRDefault="00AC1D3F">
            <w:pPr>
              <w:ind w:left="-3"/>
            </w:pPr>
            <w:r>
              <w:rPr>
                <w:noProof/>
              </w:rPr>
              <w:drawing>
                <wp:inline distT="0" distB="0" distL="0" distR="0" wp14:anchorId="2CCB758A" wp14:editId="1468F26C">
                  <wp:extent cx="580644" cy="173736"/>
                  <wp:effectExtent l="0" t="0" r="0" b="0"/>
                  <wp:docPr id="25792" name="Picture 25792"/>
                  <wp:cNvGraphicFramePr/>
                  <a:graphic xmlns:a="http://schemas.openxmlformats.org/drawingml/2006/main">
                    <a:graphicData uri="http://schemas.openxmlformats.org/drawingml/2006/picture">
                      <pic:pic xmlns:pic="http://schemas.openxmlformats.org/drawingml/2006/picture">
                        <pic:nvPicPr>
                          <pic:cNvPr id="25792" name="Picture 25792"/>
                          <pic:cNvPicPr/>
                        </pic:nvPicPr>
                        <pic:blipFill>
                          <a:blip r:embed="rId16"/>
                          <a:stretch>
                            <a:fillRect/>
                          </a:stretch>
                        </pic:blipFill>
                        <pic:spPr>
                          <a:xfrm>
                            <a:off x="0" y="0"/>
                            <a:ext cx="580644" cy="173736"/>
                          </a:xfrm>
                          <a:prstGeom prst="rect">
                            <a:avLst/>
                          </a:prstGeom>
                        </pic:spPr>
                      </pic:pic>
                    </a:graphicData>
                  </a:graphic>
                </wp:inline>
              </w:drawing>
            </w:r>
          </w:p>
        </w:tc>
        <w:tc>
          <w:tcPr>
            <w:tcW w:w="1433" w:type="dxa"/>
            <w:tcBorders>
              <w:top w:val="single" w:sz="2" w:space="0" w:color="000000"/>
              <w:left w:val="nil"/>
              <w:bottom w:val="single" w:sz="2" w:space="0" w:color="000000"/>
              <w:right w:val="single" w:sz="2" w:space="0" w:color="000000"/>
            </w:tcBorders>
          </w:tcPr>
          <w:p w14:paraId="2416D54F" w14:textId="77777777" w:rsidR="00451347" w:rsidRDefault="00451347"/>
        </w:tc>
      </w:tr>
      <w:tr w:rsidR="00451347" w14:paraId="5F8E54D8" w14:textId="77777777">
        <w:trPr>
          <w:trHeight w:val="464"/>
        </w:trPr>
        <w:tc>
          <w:tcPr>
            <w:tcW w:w="9492" w:type="dxa"/>
            <w:gridSpan w:val="4"/>
            <w:tcBorders>
              <w:top w:val="single" w:sz="2" w:space="0" w:color="000000"/>
              <w:left w:val="single" w:sz="2" w:space="0" w:color="000000"/>
              <w:bottom w:val="single" w:sz="2" w:space="0" w:color="000000"/>
              <w:right w:val="single" w:sz="2" w:space="0" w:color="000000"/>
            </w:tcBorders>
          </w:tcPr>
          <w:p w14:paraId="37B2C077" w14:textId="3B104DD5" w:rsidR="00451347" w:rsidRDefault="00AC1D3F">
            <w:pPr>
              <w:tabs>
                <w:tab w:val="center" w:pos="1018"/>
                <w:tab w:val="center" w:pos="6018"/>
                <w:tab w:val="center" w:pos="7606"/>
              </w:tabs>
            </w:pPr>
            <w:r>
              <w:rPr>
                <w:sz w:val="24"/>
              </w:rPr>
              <w:tab/>
            </w:r>
            <w:r w:rsidR="00F0550F">
              <w:rPr>
                <w:sz w:val="24"/>
                <w:lang w:val="sq-MK"/>
              </w:rPr>
              <w:t>Shkup</w:t>
            </w:r>
            <w:r>
              <w:rPr>
                <w:sz w:val="24"/>
              </w:rPr>
              <w:t xml:space="preserve"> 10.09.2025</w:t>
            </w:r>
            <w:r>
              <w:rPr>
                <w:sz w:val="24"/>
              </w:rPr>
              <w:tab/>
              <w:t>Проф. д-р</w:t>
            </w:r>
            <w:r>
              <w:rPr>
                <w:sz w:val="24"/>
              </w:rPr>
              <w:tab/>
            </w:r>
            <w:r>
              <w:rPr>
                <w:noProof/>
              </w:rPr>
              <w:drawing>
                <wp:inline distT="0" distB="0" distL="0" distR="0" wp14:anchorId="1928D10F" wp14:editId="4DE8EC4A">
                  <wp:extent cx="918972" cy="269748"/>
                  <wp:effectExtent l="0" t="0" r="0" b="0"/>
                  <wp:docPr id="25865" name="Picture 25865"/>
                  <wp:cNvGraphicFramePr/>
                  <a:graphic xmlns:a="http://schemas.openxmlformats.org/drawingml/2006/main">
                    <a:graphicData uri="http://schemas.openxmlformats.org/drawingml/2006/picture">
                      <pic:pic xmlns:pic="http://schemas.openxmlformats.org/drawingml/2006/picture">
                        <pic:nvPicPr>
                          <pic:cNvPr id="25865" name="Picture 25865"/>
                          <pic:cNvPicPr/>
                        </pic:nvPicPr>
                        <pic:blipFill>
                          <a:blip r:embed="rId17"/>
                          <a:stretch>
                            <a:fillRect/>
                          </a:stretch>
                        </pic:blipFill>
                        <pic:spPr>
                          <a:xfrm>
                            <a:off x="0" y="0"/>
                            <a:ext cx="918972" cy="269748"/>
                          </a:xfrm>
                          <a:prstGeom prst="rect">
                            <a:avLst/>
                          </a:prstGeom>
                        </pic:spPr>
                      </pic:pic>
                    </a:graphicData>
                  </a:graphic>
                </wp:inline>
              </w:drawing>
            </w:r>
            <w:r>
              <w:rPr>
                <w:sz w:val="24"/>
              </w:rPr>
              <w:t>ковски</w:t>
            </w:r>
          </w:p>
        </w:tc>
      </w:tr>
      <w:tr w:rsidR="00451347" w14:paraId="78D34645" w14:textId="77777777">
        <w:trPr>
          <w:trHeight w:val="341"/>
        </w:trPr>
        <w:tc>
          <w:tcPr>
            <w:tcW w:w="9492" w:type="dxa"/>
            <w:gridSpan w:val="4"/>
            <w:tcBorders>
              <w:top w:val="single" w:sz="2" w:space="0" w:color="000000"/>
              <w:left w:val="single" w:sz="2" w:space="0" w:color="000000"/>
              <w:bottom w:val="single" w:sz="2" w:space="0" w:color="000000"/>
              <w:right w:val="single" w:sz="2" w:space="0" w:color="000000"/>
            </w:tcBorders>
          </w:tcPr>
          <w:p w14:paraId="7259C479" w14:textId="77777777" w:rsidR="00451347" w:rsidRDefault="00451347"/>
        </w:tc>
      </w:tr>
    </w:tbl>
    <w:p w14:paraId="5C3BD00F" w14:textId="77777777" w:rsidR="00451347" w:rsidRDefault="00AC1D3F">
      <w:pPr>
        <w:spacing w:after="0"/>
        <w:ind w:left="-1440" w:right="10469"/>
      </w:pPr>
      <w:r>
        <w:rPr>
          <w:noProof/>
        </w:rPr>
        <w:drawing>
          <wp:anchor distT="0" distB="0" distL="114300" distR="114300" simplePos="0" relativeHeight="251660288" behindDoc="0" locked="0" layoutInCell="1" allowOverlap="0" wp14:anchorId="7BBDA36D" wp14:editId="353396EB">
            <wp:simplePos x="0" y="0"/>
            <wp:positionH relativeFrom="page">
              <wp:posOffset>6821424</wp:posOffset>
            </wp:positionH>
            <wp:positionV relativeFrom="page">
              <wp:posOffset>2240280</wp:posOffset>
            </wp:positionV>
            <wp:extent cx="9144" cy="1138428"/>
            <wp:effectExtent l="0" t="0" r="0" b="0"/>
            <wp:wrapTopAndBottom/>
            <wp:docPr id="43103" name="Picture 43103"/>
            <wp:cNvGraphicFramePr/>
            <a:graphic xmlns:a="http://schemas.openxmlformats.org/drawingml/2006/main">
              <a:graphicData uri="http://schemas.openxmlformats.org/drawingml/2006/picture">
                <pic:pic xmlns:pic="http://schemas.openxmlformats.org/drawingml/2006/picture">
                  <pic:nvPicPr>
                    <pic:cNvPr id="43103" name="Picture 43103"/>
                    <pic:cNvPicPr/>
                  </pic:nvPicPr>
                  <pic:blipFill>
                    <a:blip r:embed="rId18"/>
                    <a:stretch>
                      <a:fillRect/>
                    </a:stretch>
                  </pic:blipFill>
                  <pic:spPr>
                    <a:xfrm>
                      <a:off x="0" y="0"/>
                      <a:ext cx="9144" cy="1138428"/>
                    </a:xfrm>
                    <a:prstGeom prst="rect">
                      <a:avLst/>
                    </a:prstGeom>
                  </pic:spPr>
                </pic:pic>
              </a:graphicData>
            </a:graphic>
          </wp:anchor>
        </w:drawing>
      </w:r>
      <w:r>
        <w:rPr>
          <w:noProof/>
        </w:rPr>
        <w:drawing>
          <wp:anchor distT="0" distB="0" distL="114300" distR="114300" simplePos="0" relativeHeight="251661312" behindDoc="0" locked="0" layoutInCell="1" allowOverlap="0" wp14:anchorId="173174D7" wp14:editId="5F5C09CF">
            <wp:simplePos x="0" y="0"/>
            <wp:positionH relativeFrom="page">
              <wp:posOffset>6821424</wp:posOffset>
            </wp:positionH>
            <wp:positionV relativeFrom="page">
              <wp:posOffset>420624</wp:posOffset>
            </wp:positionV>
            <wp:extent cx="9144" cy="672084"/>
            <wp:effectExtent l="0" t="0" r="0" b="0"/>
            <wp:wrapSquare wrapText="bothSides"/>
            <wp:docPr id="25950" name="Picture 25950"/>
            <wp:cNvGraphicFramePr/>
            <a:graphic xmlns:a="http://schemas.openxmlformats.org/drawingml/2006/main">
              <a:graphicData uri="http://schemas.openxmlformats.org/drawingml/2006/picture">
                <pic:pic xmlns:pic="http://schemas.openxmlformats.org/drawingml/2006/picture">
                  <pic:nvPicPr>
                    <pic:cNvPr id="25950" name="Picture 25950"/>
                    <pic:cNvPicPr/>
                  </pic:nvPicPr>
                  <pic:blipFill>
                    <a:blip r:embed="rId19"/>
                    <a:stretch>
                      <a:fillRect/>
                    </a:stretch>
                  </pic:blipFill>
                  <pic:spPr>
                    <a:xfrm>
                      <a:off x="0" y="0"/>
                      <a:ext cx="9144" cy="672084"/>
                    </a:xfrm>
                    <a:prstGeom prst="rect">
                      <a:avLst/>
                    </a:prstGeom>
                  </pic:spPr>
                </pic:pic>
              </a:graphicData>
            </a:graphic>
          </wp:anchor>
        </w:drawing>
      </w:r>
    </w:p>
    <w:sectPr w:rsidR="00451347">
      <w:footerReference w:type="even" r:id="rId20"/>
      <w:footerReference w:type="default" r:id="rId21"/>
      <w:footerReference w:type="first" r:id="rId22"/>
      <w:pgSz w:w="11909" w:h="16848"/>
      <w:pgMar w:top="746" w:right="1440" w:bottom="1440" w:left="1440" w:header="720" w:footer="9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24056" w14:textId="77777777" w:rsidR="00AC1D3F" w:rsidRDefault="00AC1D3F">
      <w:pPr>
        <w:spacing w:after="0" w:line="240" w:lineRule="auto"/>
      </w:pPr>
      <w:r>
        <w:separator/>
      </w:r>
    </w:p>
  </w:endnote>
  <w:endnote w:type="continuationSeparator" w:id="0">
    <w:p w14:paraId="339E9690" w14:textId="77777777" w:rsidR="00AC1D3F" w:rsidRDefault="00AC1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69DC5" w14:textId="77777777" w:rsidR="00451347" w:rsidRDefault="00AC1D3F">
    <w:pPr>
      <w:spacing w:after="0"/>
      <w:ind w:right="-14"/>
      <w:jc w:val="right"/>
    </w:pPr>
    <w:r>
      <w:fldChar w:fldCharType="begin"/>
    </w:r>
    <w:r>
      <w:instrText xml:space="preserve"> PAGE   \* MERGEFORMAT </w:instrText>
    </w:r>
    <w:r>
      <w:fldChar w:fldCharType="separate"/>
    </w:r>
    <w:r>
      <w:rPr>
        <w:sz w:val="32"/>
      </w:rPr>
      <w:t>2</w:t>
    </w:r>
    <w:r>
      <w:rPr>
        <w:sz w:val="32"/>
      </w:rPr>
      <w:fldChar w:fldCharType="end"/>
    </w:r>
    <w:r>
      <w:rPr>
        <w:sz w:val="32"/>
      </w:rPr>
      <w:t>/</w:t>
    </w:r>
    <w:r w:rsidR="0069043B">
      <w:fldChar w:fldCharType="begin"/>
    </w:r>
    <w:r w:rsidR="0069043B">
      <w:instrText xml:space="preserve"> NUMPAGES   \* MERGEFORMAT </w:instrText>
    </w:r>
    <w:r w:rsidR="0069043B">
      <w:fldChar w:fldCharType="separate"/>
    </w:r>
    <w:r>
      <w:rPr>
        <w:sz w:val="32"/>
      </w:rPr>
      <w:t>8</w:t>
    </w:r>
    <w:r w:rsidR="0069043B">
      <w:rPr>
        <w:sz w:val="3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95ADA" w14:textId="77777777" w:rsidR="00451347" w:rsidRDefault="0045134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8DF6C" w14:textId="77777777" w:rsidR="00451347" w:rsidRDefault="0045134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99ED5" w14:textId="77777777" w:rsidR="00451347" w:rsidRDefault="00AC1D3F">
    <w:pPr>
      <w:spacing w:after="0"/>
      <w:ind w:right="446"/>
      <w:jc w:val="right"/>
    </w:pPr>
    <w:r>
      <w:fldChar w:fldCharType="begin"/>
    </w:r>
    <w:r>
      <w:instrText xml:space="preserve"> PAGE   \* MERGEFORMAT </w:instrText>
    </w:r>
    <w:r>
      <w:fldChar w:fldCharType="separate"/>
    </w:r>
    <w:r>
      <w:rPr>
        <w:sz w:val="32"/>
      </w:rPr>
      <w:t>2</w:t>
    </w:r>
    <w:r>
      <w:rPr>
        <w:sz w:val="32"/>
      </w:rPr>
      <w:fldChar w:fldCharType="end"/>
    </w:r>
    <w:r>
      <w:rPr>
        <w:sz w:val="32"/>
      </w:rPr>
      <w:t>/</w:t>
    </w:r>
    <w:r w:rsidR="0069043B">
      <w:fldChar w:fldCharType="begin"/>
    </w:r>
    <w:r w:rsidR="0069043B">
      <w:instrText xml:space="preserve"> NUMPAGES   \* MERGEFORMAT </w:instrText>
    </w:r>
    <w:r w:rsidR="0069043B">
      <w:fldChar w:fldCharType="separate"/>
    </w:r>
    <w:r>
      <w:rPr>
        <w:sz w:val="32"/>
      </w:rPr>
      <w:t>8</w:t>
    </w:r>
    <w:r w:rsidR="0069043B">
      <w:rPr>
        <w:sz w:val="3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907C5" w14:textId="77777777" w:rsidR="00451347" w:rsidRDefault="00AC1D3F">
    <w:pPr>
      <w:spacing w:after="0"/>
      <w:ind w:right="446"/>
      <w:jc w:val="right"/>
    </w:pPr>
    <w:r>
      <w:fldChar w:fldCharType="begin"/>
    </w:r>
    <w:r>
      <w:instrText xml:space="preserve"> PAGE   \* MERGEFORMAT </w:instrText>
    </w:r>
    <w:r>
      <w:fldChar w:fldCharType="separate"/>
    </w:r>
    <w:r>
      <w:rPr>
        <w:sz w:val="32"/>
      </w:rPr>
      <w:t>2</w:t>
    </w:r>
    <w:r>
      <w:rPr>
        <w:sz w:val="32"/>
      </w:rPr>
      <w:fldChar w:fldCharType="end"/>
    </w:r>
    <w:r>
      <w:rPr>
        <w:sz w:val="32"/>
      </w:rPr>
      <w:t>/</w:t>
    </w:r>
    <w:r w:rsidR="0069043B">
      <w:fldChar w:fldCharType="begin"/>
    </w:r>
    <w:r w:rsidR="0069043B">
      <w:instrText xml:space="preserve"> NUMPAGES   \* MERGEFORMAT </w:instrText>
    </w:r>
    <w:r w:rsidR="0069043B">
      <w:fldChar w:fldCharType="separate"/>
    </w:r>
    <w:r>
      <w:rPr>
        <w:sz w:val="32"/>
      </w:rPr>
      <w:t>8</w:t>
    </w:r>
    <w:r w:rsidR="0069043B">
      <w:rPr>
        <w:sz w:val="3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B664A" w14:textId="77777777" w:rsidR="00451347" w:rsidRDefault="00AC1D3F">
    <w:pPr>
      <w:spacing w:after="0"/>
      <w:ind w:right="446"/>
      <w:jc w:val="right"/>
    </w:pPr>
    <w:r>
      <w:fldChar w:fldCharType="begin"/>
    </w:r>
    <w:r>
      <w:instrText xml:space="preserve"> PAGE   \* MERGEFORMAT </w:instrText>
    </w:r>
    <w:r>
      <w:fldChar w:fldCharType="separate"/>
    </w:r>
    <w:r>
      <w:rPr>
        <w:sz w:val="32"/>
      </w:rPr>
      <w:t>2</w:t>
    </w:r>
    <w:r>
      <w:rPr>
        <w:sz w:val="32"/>
      </w:rPr>
      <w:fldChar w:fldCharType="end"/>
    </w:r>
    <w:r>
      <w:rPr>
        <w:sz w:val="32"/>
      </w:rPr>
      <w:t>/</w:t>
    </w:r>
    <w:r w:rsidR="0069043B">
      <w:fldChar w:fldCharType="begin"/>
    </w:r>
    <w:r w:rsidR="0069043B">
      <w:instrText xml:space="preserve"> NUMPAGES   \* MERGEFORMAT </w:instrText>
    </w:r>
    <w:r w:rsidR="0069043B">
      <w:fldChar w:fldCharType="separate"/>
    </w:r>
    <w:r>
      <w:rPr>
        <w:sz w:val="32"/>
      </w:rPr>
      <w:t>8</w:t>
    </w:r>
    <w:r w:rsidR="0069043B">
      <w:rPr>
        <w:sz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0D1E5" w14:textId="77777777" w:rsidR="00AC1D3F" w:rsidRDefault="00AC1D3F">
      <w:pPr>
        <w:spacing w:after="0" w:line="240" w:lineRule="auto"/>
      </w:pPr>
      <w:r>
        <w:separator/>
      </w:r>
    </w:p>
  </w:footnote>
  <w:footnote w:type="continuationSeparator" w:id="0">
    <w:p w14:paraId="668BAE4C" w14:textId="77777777" w:rsidR="00AC1D3F" w:rsidRDefault="00AC1D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552CE"/>
    <w:multiLevelType w:val="hybridMultilevel"/>
    <w:tmpl w:val="6E0C5228"/>
    <w:lvl w:ilvl="0" w:tplc="2AD44DB8">
      <w:start w:val="17"/>
      <w:numFmt w:val="decimal"/>
      <w:lvlText w:val="%1"/>
      <w:lvlJc w:val="left"/>
      <w:pPr>
        <w:ind w:left="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47CCDF4">
      <w:start w:val="1"/>
      <w:numFmt w:val="lowerLetter"/>
      <w:lvlText w:val="%2"/>
      <w:lvlJc w:val="left"/>
      <w:pPr>
        <w:ind w:left="11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74E0990">
      <w:start w:val="1"/>
      <w:numFmt w:val="lowerRoman"/>
      <w:lvlText w:val="%3"/>
      <w:lvlJc w:val="left"/>
      <w:pPr>
        <w:ind w:left="19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B9E81FC">
      <w:start w:val="1"/>
      <w:numFmt w:val="decimal"/>
      <w:lvlText w:val="%4"/>
      <w:lvlJc w:val="left"/>
      <w:pPr>
        <w:ind w:left="26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57E7F86">
      <w:start w:val="1"/>
      <w:numFmt w:val="lowerLetter"/>
      <w:lvlText w:val="%5"/>
      <w:lvlJc w:val="left"/>
      <w:pPr>
        <w:ind w:left="33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03E2596">
      <w:start w:val="1"/>
      <w:numFmt w:val="lowerRoman"/>
      <w:lvlText w:val="%6"/>
      <w:lvlJc w:val="left"/>
      <w:pPr>
        <w:ind w:left="40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844DC1C">
      <w:start w:val="1"/>
      <w:numFmt w:val="decimal"/>
      <w:lvlText w:val="%7"/>
      <w:lvlJc w:val="left"/>
      <w:pPr>
        <w:ind w:left="47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74A988">
      <w:start w:val="1"/>
      <w:numFmt w:val="lowerLetter"/>
      <w:lvlText w:val="%8"/>
      <w:lvlJc w:val="left"/>
      <w:pPr>
        <w:ind w:left="55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47A76FA">
      <w:start w:val="1"/>
      <w:numFmt w:val="lowerRoman"/>
      <w:lvlText w:val="%9"/>
      <w:lvlJc w:val="left"/>
      <w:pPr>
        <w:ind w:left="62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5E11629"/>
    <w:multiLevelType w:val="hybridMultilevel"/>
    <w:tmpl w:val="ABDA6156"/>
    <w:lvl w:ilvl="0" w:tplc="4DD42708">
      <w:start w:val="21"/>
      <w:numFmt w:val="decimal"/>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2" w15:restartNumberingAfterBreak="0">
    <w:nsid w:val="1F7214FF"/>
    <w:multiLevelType w:val="hybridMultilevel"/>
    <w:tmpl w:val="6E0C5228"/>
    <w:lvl w:ilvl="0" w:tplc="2AD44DB8">
      <w:start w:val="17"/>
      <w:numFmt w:val="decimal"/>
      <w:lvlText w:val="%1"/>
      <w:lvlJc w:val="left"/>
      <w:pPr>
        <w:ind w:left="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47CCDF4">
      <w:start w:val="1"/>
      <w:numFmt w:val="lowerLetter"/>
      <w:lvlText w:val="%2"/>
      <w:lvlJc w:val="left"/>
      <w:pPr>
        <w:ind w:left="11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74E0990">
      <w:start w:val="1"/>
      <w:numFmt w:val="lowerRoman"/>
      <w:lvlText w:val="%3"/>
      <w:lvlJc w:val="left"/>
      <w:pPr>
        <w:ind w:left="19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B9E81FC">
      <w:start w:val="1"/>
      <w:numFmt w:val="decimal"/>
      <w:lvlText w:val="%4"/>
      <w:lvlJc w:val="left"/>
      <w:pPr>
        <w:ind w:left="26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57E7F86">
      <w:start w:val="1"/>
      <w:numFmt w:val="lowerLetter"/>
      <w:lvlText w:val="%5"/>
      <w:lvlJc w:val="left"/>
      <w:pPr>
        <w:ind w:left="33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03E2596">
      <w:start w:val="1"/>
      <w:numFmt w:val="lowerRoman"/>
      <w:lvlText w:val="%6"/>
      <w:lvlJc w:val="left"/>
      <w:pPr>
        <w:ind w:left="40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844DC1C">
      <w:start w:val="1"/>
      <w:numFmt w:val="decimal"/>
      <w:lvlText w:val="%7"/>
      <w:lvlJc w:val="left"/>
      <w:pPr>
        <w:ind w:left="47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74A988">
      <w:start w:val="1"/>
      <w:numFmt w:val="lowerLetter"/>
      <w:lvlText w:val="%8"/>
      <w:lvlJc w:val="left"/>
      <w:pPr>
        <w:ind w:left="55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47A76FA">
      <w:start w:val="1"/>
      <w:numFmt w:val="lowerRoman"/>
      <w:lvlText w:val="%9"/>
      <w:lvlJc w:val="left"/>
      <w:pPr>
        <w:ind w:left="62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599C72BF"/>
    <w:multiLevelType w:val="hybridMultilevel"/>
    <w:tmpl w:val="7062ECA2"/>
    <w:lvl w:ilvl="0" w:tplc="1FA0AC82">
      <w:start w:val="25"/>
      <w:numFmt w:val="decimal"/>
      <w:lvlText w:val="%1."/>
      <w:lvlJc w:val="left"/>
      <w:pPr>
        <w:ind w:left="367" w:hanging="360"/>
      </w:pPr>
      <w:rPr>
        <w:rFonts w:hint="default"/>
        <w:sz w:val="24"/>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4" w15:restartNumberingAfterBreak="0">
    <w:nsid w:val="719E053B"/>
    <w:multiLevelType w:val="hybridMultilevel"/>
    <w:tmpl w:val="B2AAC3C6"/>
    <w:lvl w:ilvl="0" w:tplc="3E64FEF4">
      <w:start w:val="15"/>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3E1DB4">
      <w:start w:val="1"/>
      <w:numFmt w:val="lowerLetter"/>
      <w:lvlText w:val="%2"/>
      <w:lvlJc w:val="left"/>
      <w:pPr>
        <w:ind w:left="12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065FAA">
      <w:start w:val="1"/>
      <w:numFmt w:val="lowerRoman"/>
      <w:lvlText w:val="%3"/>
      <w:lvlJc w:val="left"/>
      <w:pPr>
        <w:ind w:left="19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84A3B4">
      <w:start w:val="1"/>
      <w:numFmt w:val="decimal"/>
      <w:lvlText w:val="%4"/>
      <w:lvlJc w:val="left"/>
      <w:pPr>
        <w:ind w:left="2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74C0E8">
      <w:start w:val="1"/>
      <w:numFmt w:val="lowerLetter"/>
      <w:lvlText w:val="%5"/>
      <w:lvlJc w:val="left"/>
      <w:pPr>
        <w:ind w:left="3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38B48A">
      <w:start w:val="1"/>
      <w:numFmt w:val="lowerRoman"/>
      <w:lvlText w:val="%6"/>
      <w:lvlJc w:val="left"/>
      <w:pPr>
        <w:ind w:left="4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A23936">
      <w:start w:val="1"/>
      <w:numFmt w:val="decimal"/>
      <w:lvlText w:val="%7"/>
      <w:lvlJc w:val="left"/>
      <w:pPr>
        <w:ind w:left="4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347148">
      <w:start w:val="1"/>
      <w:numFmt w:val="lowerLetter"/>
      <w:lvlText w:val="%8"/>
      <w:lvlJc w:val="left"/>
      <w:pPr>
        <w:ind w:left="5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863234">
      <w:start w:val="1"/>
      <w:numFmt w:val="lowerRoman"/>
      <w:lvlText w:val="%9"/>
      <w:lvlJc w:val="left"/>
      <w:pPr>
        <w:ind w:left="6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A026148"/>
    <w:multiLevelType w:val="hybridMultilevel"/>
    <w:tmpl w:val="CA64F314"/>
    <w:lvl w:ilvl="0" w:tplc="0D5ABBD0">
      <w:start w:val="23"/>
      <w:numFmt w:val="decimal"/>
      <w:lvlText w:val="%1"/>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09AB0AA">
      <w:start w:val="1"/>
      <w:numFmt w:val="lowerLetter"/>
      <w:lvlText w:val="%2"/>
      <w:lvlJc w:val="left"/>
      <w:pPr>
        <w:ind w:left="11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DBCCEF6">
      <w:start w:val="1"/>
      <w:numFmt w:val="lowerRoman"/>
      <w:lvlText w:val="%3"/>
      <w:lvlJc w:val="left"/>
      <w:pPr>
        <w:ind w:left="19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AC6EE0">
      <w:start w:val="1"/>
      <w:numFmt w:val="decimal"/>
      <w:lvlText w:val="%4"/>
      <w:lvlJc w:val="left"/>
      <w:pPr>
        <w:ind w:left="26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1028A52">
      <w:start w:val="1"/>
      <w:numFmt w:val="lowerLetter"/>
      <w:lvlText w:val="%5"/>
      <w:lvlJc w:val="left"/>
      <w:pPr>
        <w:ind w:left="33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6FC3742">
      <w:start w:val="1"/>
      <w:numFmt w:val="lowerRoman"/>
      <w:lvlText w:val="%6"/>
      <w:lvlJc w:val="left"/>
      <w:pPr>
        <w:ind w:left="40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86E0F00">
      <w:start w:val="1"/>
      <w:numFmt w:val="decimal"/>
      <w:lvlText w:val="%7"/>
      <w:lvlJc w:val="left"/>
      <w:pPr>
        <w:ind w:left="47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89E4F16">
      <w:start w:val="1"/>
      <w:numFmt w:val="lowerLetter"/>
      <w:lvlText w:val="%8"/>
      <w:lvlJc w:val="left"/>
      <w:pPr>
        <w:ind w:left="55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2A21B16">
      <w:start w:val="1"/>
      <w:numFmt w:val="lowerRoman"/>
      <w:lvlText w:val="%9"/>
      <w:lvlJc w:val="left"/>
      <w:pPr>
        <w:ind w:left="62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proofState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347"/>
    <w:rsid w:val="00036F6F"/>
    <w:rsid w:val="00072D0F"/>
    <w:rsid w:val="000778EF"/>
    <w:rsid w:val="00095F67"/>
    <w:rsid w:val="000B2241"/>
    <w:rsid w:val="000B7F45"/>
    <w:rsid w:val="00110DC0"/>
    <w:rsid w:val="001121DE"/>
    <w:rsid w:val="00137AE0"/>
    <w:rsid w:val="00140636"/>
    <w:rsid w:val="00173056"/>
    <w:rsid w:val="0018257F"/>
    <w:rsid w:val="00184D28"/>
    <w:rsid w:val="001C3FB1"/>
    <w:rsid w:val="001E3B24"/>
    <w:rsid w:val="001E6101"/>
    <w:rsid w:val="0022515A"/>
    <w:rsid w:val="002300B6"/>
    <w:rsid w:val="00241D8D"/>
    <w:rsid w:val="002C4E8B"/>
    <w:rsid w:val="002D03A7"/>
    <w:rsid w:val="00313342"/>
    <w:rsid w:val="003227F4"/>
    <w:rsid w:val="00327E7C"/>
    <w:rsid w:val="003448DA"/>
    <w:rsid w:val="003636F8"/>
    <w:rsid w:val="00367BCD"/>
    <w:rsid w:val="003A5260"/>
    <w:rsid w:val="003D3ACD"/>
    <w:rsid w:val="003D4638"/>
    <w:rsid w:val="003D76AC"/>
    <w:rsid w:val="003F1B40"/>
    <w:rsid w:val="003F39AE"/>
    <w:rsid w:val="003F41B5"/>
    <w:rsid w:val="00442F79"/>
    <w:rsid w:val="00451347"/>
    <w:rsid w:val="004B59C1"/>
    <w:rsid w:val="004D6ED2"/>
    <w:rsid w:val="004F4070"/>
    <w:rsid w:val="00523374"/>
    <w:rsid w:val="00527519"/>
    <w:rsid w:val="00532CAB"/>
    <w:rsid w:val="00536FE9"/>
    <w:rsid w:val="00584FBE"/>
    <w:rsid w:val="005C4E3B"/>
    <w:rsid w:val="006476E6"/>
    <w:rsid w:val="00680716"/>
    <w:rsid w:val="0069043B"/>
    <w:rsid w:val="006B1E4C"/>
    <w:rsid w:val="006C33DD"/>
    <w:rsid w:val="006C750C"/>
    <w:rsid w:val="006E6F42"/>
    <w:rsid w:val="006E771A"/>
    <w:rsid w:val="0071155D"/>
    <w:rsid w:val="00711EA9"/>
    <w:rsid w:val="007A2B7E"/>
    <w:rsid w:val="00823905"/>
    <w:rsid w:val="00843E15"/>
    <w:rsid w:val="008864D7"/>
    <w:rsid w:val="008C591D"/>
    <w:rsid w:val="008F7E46"/>
    <w:rsid w:val="0090418A"/>
    <w:rsid w:val="00920FA6"/>
    <w:rsid w:val="009533E1"/>
    <w:rsid w:val="00982684"/>
    <w:rsid w:val="00990E52"/>
    <w:rsid w:val="009D2DE0"/>
    <w:rsid w:val="009D759D"/>
    <w:rsid w:val="009F6673"/>
    <w:rsid w:val="00A20DD5"/>
    <w:rsid w:val="00A81047"/>
    <w:rsid w:val="00AC1D3F"/>
    <w:rsid w:val="00AD5C1D"/>
    <w:rsid w:val="00B37463"/>
    <w:rsid w:val="00B4537A"/>
    <w:rsid w:val="00B566A3"/>
    <w:rsid w:val="00B63F7A"/>
    <w:rsid w:val="00B84F4C"/>
    <w:rsid w:val="00BA5ADB"/>
    <w:rsid w:val="00BB7225"/>
    <w:rsid w:val="00BC0AD4"/>
    <w:rsid w:val="00BE58DC"/>
    <w:rsid w:val="00BE59A3"/>
    <w:rsid w:val="00C109A9"/>
    <w:rsid w:val="00C24461"/>
    <w:rsid w:val="00C43032"/>
    <w:rsid w:val="00C91A9D"/>
    <w:rsid w:val="00C925CF"/>
    <w:rsid w:val="00CB0A9E"/>
    <w:rsid w:val="00CD30ED"/>
    <w:rsid w:val="00CE02D5"/>
    <w:rsid w:val="00CE1694"/>
    <w:rsid w:val="00D31F60"/>
    <w:rsid w:val="00D34D35"/>
    <w:rsid w:val="00D36A97"/>
    <w:rsid w:val="00D84F70"/>
    <w:rsid w:val="00E0295C"/>
    <w:rsid w:val="00E63163"/>
    <w:rsid w:val="00E64AD6"/>
    <w:rsid w:val="00EC18E7"/>
    <w:rsid w:val="00F021E2"/>
    <w:rsid w:val="00F0550F"/>
    <w:rsid w:val="00F172C4"/>
    <w:rsid w:val="00F20BF9"/>
    <w:rsid w:val="00F84C4B"/>
    <w:rsid w:val="00FF2F14"/>
    <w:rsid w:val="00FF5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40F27"/>
  <w15:docId w15:val="{5076ED92-E9AB-4FDF-9846-66D3A8E37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E3B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4.jpg"/><Relationship Id="rId18" Type="http://schemas.openxmlformats.org/officeDocument/2006/relationships/image" Target="media/image9.jpg"/><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jpg"/><Relationship Id="rId12" Type="http://schemas.openxmlformats.org/officeDocument/2006/relationships/image" Target="media/image3.jpg"/><Relationship Id="rId17" Type="http://schemas.openxmlformats.org/officeDocument/2006/relationships/image" Target="media/image8.jpg"/><Relationship Id="rId2" Type="http://schemas.openxmlformats.org/officeDocument/2006/relationships/styles" Target="styles.xml"/><Relationship Id="rId16" Type="http://schemas.openxmlformats.org/officeDocument/2006/relationships/image" Target="media/image7.jp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10.jp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jpg"/><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1452</TotalTime>
  <Pages>10</Pages>
  <Words>3582</Words>
  <Characters>20418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Dehari</dc:creator>
  <cp:keywords/>
  <cp:lastModifiedBy>Florije</cp:lastModifiedBy>
  <cp:revision>40</cp:revision>
  <dcterms:created xsi:type="dcterms:W3CDTF">2025-09-22T12:46:00Z</dcterms:created>
  <dcterms:modified xsi:type="dcterms:W3CDTF">2025-09-24T08:48:00Z</dcterms:modified>
</cp:coreProperties>
</file>