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44" w:type="dxa"/>
        <w:jc w:val="center"/>
        <w:tblLayout w:type="fixed"/>
        <w:tblLook w:val="0000" w:firstRow="0" w:lastRow="0" w:firstColumn="0" w:lastColumn="0" w:noHBand="0" w:noVBand="0"/>
      </w:tblPr>
      <w:tblGrid>
        <w:gridCol w:w="5130"/>
        <w:gridCol w:w="1405"/>
        <w:gridCol w:w="4909"/>
      </w:tblGrid>
      <w:tr w:rsidR="00613A7C" w:rsidRPr="008D63A0" w:rsidTr="00730E97">
        <w:trPr>
          <w:trHeight w:val="1252"/>
          <w:jc w:val="center"/>
        </w:trPr>
        <w:tc>
          <w:tcPr>
            <w:tcW w:w="5130" w:type="dxa"/>
          </w:tcPr>
          <w:p w:rsidR="00613A7C" w:rsidRPr="008D63A0" w:rsidRDefault="00613A7C" w:rsidP="00276C25">
            <w:pPr>
              <w:pStyle w:val="Header"/>
              <w:tabs>
                <w:tab w:val="left" w:pos="661"/>
              </w:tabs>
              <w:jc w:val="center"/>
              <w:rPr>
                <w:rFonts w:ascii="StobiSerif Regular" w:hAnsi="StobiSerif Regular"/>
                <w:b/>
                <w:color w:val="FF0000"/>
                <w:sz w:val="10"/>
                <w:szCs w:val="10"/>
                <w:lang w:val="sq-AL"/>
              </w:rPr>
            </w:pPr>
            <w:r w:rsidRPr="008D63A0">
              <w:rPr>
                <w:rFonts w:ascii="StobiSerif Regular" w:hAnsi="StobiSerif Regular"/>
                <w:b/>
                <w:sz w:val="20"/>
                <w:szCs w:val="20"/>
                <w:lang w:val="sq-AL"/>
              </w:rPr>
              <w:t>РЕПУБЛИКА СЕВЕРНА МАКЕДОНИЈА</w:t>
            </w:r>
            <w:r w:rsidRPr="008D63A0">
              <w:rPr>
                <w:rFonts w:ascii="StobiSerif Regular" w:hAnsi="StobiSerif Regular"/>
                <w:b/>
                <w:color w:val="FF0000"/>
                <w:sz w:val="10"/>
                <w:szCs w:val="10"/>
                <w:lang w:val="sq-AL"/>
              </w:rPr>
              <w:t xml:space="preserve"> ___________________________________________________________________________________</w:t>
            </w:r>
          </w:p>
          <w:p w:rsidR="00613A7C" w:rsidRPr="008D63A0" w:rsidRDefault="00613A7C" w:rsidP="00276C25">
            <w:pPr>
              <w:pStyle w:val="Header"/>
              <w:jc w:val="right"/>
              <w:rPr>
                <w:rFonts w:ascii="StobiSerif Regular" w:hAnsi="StobiSerif Regular"/>
                <w:sz w:val="24"/>
                <w:szCs w:val="24"/>
                <w:lang w:val="sq-AL"/>
              </w:rPr>
            </w:pPr>
            <w:proofErr w:type="spellStart"/>
            <w:r w:rsidRPr="008D63A0">
              <w:rPr>
                <w:rFonts w:ascii="StobiSerif Regular" w:hAnsi="StobiSerif Regular"/>
                <w:b/>
                <w:sz w:val="24"/>
                <w:szCs w:val="24"/>
                <w:lang w:val="sq-AL"/>
              </w:rPr>
              <w:t>Министерствозанадворешниработи</w:t>
            </w:r>
            <w:proofErr w:type="spellEnd"/>
          </w:p>
          <w:p w:rsidR="00613A7C" w:rsidRPr="008D63A0" w:rsidRDefault="00613A7C" w:rsidP="00276C25">
            <w:pPr>
              <w:pStyle w:val="Header"/>
              <w:ind w:firstLine="214"/>
              <w:jc w:val="center"/>
              <w:rPr>
                <w:rFonts w:ascii="StobiSerif Regular" w:hAnsi="StobiSerif Regular"/>
                <w:lang w:val="sq-AL"/>
              </w:rPr>
            </w:pPr>
            <w:proofErr w:type="spellStart"/>
            <w:r w:rsidRPr="008D63A0">
              <w:rPr>
                <w:rFonts w:ascii="StobiSerif Regular" w:hAnsi="StobiSerif Regular"/>
                <w:lang w:val="sq-AL"/>
              </w:rPr>
              <w:t>Директорат</w:t>
            </w:r>
            <w:proofErr w:type="spellEnd"/>
            <w:r w:rsidR="00137CED" w:rsidRPr="008D63A0">
              <w:rPr>
                <w:rFonts w:ascii="StobiSerif Regular" w:hAnsi="StobiSerif Regular"/>
                <w:lang w:val="sq-AL"/>
              </w:rPr>
              <w:t xml:space="preserve"> </w:t>
            </w:r>
            <w:proofErr w:type="spellStart"/>
            <w:r w:rsidRPr="008D63A0">
              <w:rPr>
                <w:rFonts w:ascii="StobiSerif Regular" w:hAnsi="StobiSerif Regular"/>
                <w:lang w:val="sq-AL"/>
              </w:rPr>
              <w:t>за</w:t>
            </w:r>
            <w:proofErr w:type="spellEnd"/>
            <w:r w:rsidRPr="008D63A0">
              <w:rPr>
                <w:rFonts w:ascii="StobiSerif Regular" w:hAnsi="StobiSerif Regular"/>
                <w:lang w:val="sq-AL"/>
              </w:rPr>
              <w:t xml:space="preserve"> </w:t>
            </w:r>
            <w:proofErr w:type="spellStart"/>
            <w:r w:rsidRPr="008D63A0">
              <w:rPr>
                <w:rFonts w:ascii="StobiSerif Regular" w:hAnsi="StobiSerif Regular"/>
                <w:lang w:val="sq-AL"/>
              </w:rPr>
              <w:t>организациони</w:t>
            </w:r>
            <w:proofErr w:type="spellEnd"/>
            <w:r w:rsidRPr="008D63A0">
              <w:rPr>
                <w:rFonts w:ascii="StobiSerif Regular" w:hAnsi="StobiSerif Regular"/>
                <w:lang w:val="sq-AL"/>
              </w:rPr>
              <w:t xml:space="preserve"> </w:t>
            </w:r>
            <w:proofErr w:type="spellStart"/>
            <w:r w:rsidRPr="008D63A0">
              <w:rPr>
                <w:rFonts w:ascii="StobiSerif Regular" w:hAnsi="StobiSerif Regular"/>
                <w:lang w:val="sq-AL"/>
              </w:rPr>
              <w:t>работи</w:t>
            </w:r>
            <w:proofErr w:type="spellEnd"/>
          </w:p>
        </w:tc>
        <w:tc>
          <w:tcPr>
            <w:tcW w:w="1405" w:type="dxa"/>
          </w:tcPr>
          <w:p w:rsidR="00613A7C" w:rsidRPr="008D63A0" w:rsidRDefault="00613A7C" w:rsidP="00276C25">
            <w:pPr>
              <w:pStyle w:val="Header"/>
              <w:jc w:val="center"/>
              <w:rPr>
                <w:rFonts w:ascii="StobiSerif Regular" w:hAnsi="StobiSerif Regular"/>
                <w:color w:val="3314F0"/>
                <w:sz w:val="24"/>
                <w:szCs w:val="24"/>
                <w:lang w:val="sq-AL"/>
              </w:rPr>
            </w:pPr>
            <w:r w:rsidRPr="008D63A0">
              <w:rPr>
                <w:noProof/>
                <w:color w:val="3314F0"/>
                <w:sz w:val="40"/>
                <w:szCs w:val="40"/>
                <w:lang w:val="sq-AL"/>
              </w:rPr>
              <w:drawing>
                <wp:anchor distT="0" distB="0" distL="114300" distR="114300" simplePos="0" relativeHeight="251659264" behindDoc="0" locked="0" layoutInCell="1" allowOverlap="1">
                  <wp:simplePos x="0" y="0"/>
                  <wp:positionH relativeFrom="column">
                    <wp:posOffset>116674</wp:posOffset>
                  </wp:positionH>
                  <wp:positionV relativeFrom="paragraph">
                    <wp:posOffset>-37769</wp:posOffset>
                  </wp:positionV>
                  <wp:extent cx="585249" cy="683813"/>
                  <wp:effectExtent l="19050" t="0" r="0" b="0"/>
                  <wp:wrapNone/>
                  <wp:docPr id="7" name="Picture 1" descr="C:\Users\LIRIM\Downloads\agjencia per gjuhen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RIM\Downloads\agjencia per gjuhen copy.png"/>
                          <pic:cNvPicPr>
                            <a:picLocks noChangeAspect="1" noChangeArrowheads="1"/>
                          </pic:cNvPicPr>
                        </pic:nvPicPr>
                        <pic:blipFill>
                          <a:blip r:embed="rId8" cstate="print"/>
                          <a:srcRect l="42517" t="14682" r="41858" b="11907"/>
                          <a:stretch>
                            <a:fillRect/>
                          </a:stretch>
                        </pic:blipFill>
                        <pic:spPr bwMode="auto">
                          <a:xfrm>
                            <a:off x="0" y="0"/>
                            <a:ext cx="585249" cy="683813"/>
                          </a:xfrm>
                          <a:prstGeom prst="rect">
                            <a:avLst/>
                          </a:prstGeom>
                          <a:noFill/>
                          <a:ln w="9525">
                            <a:noFill/>
                            <a:miter lim="800000"/>
                            <a:headEnd/>
                            <a:tailEnd/>
                          </a:ln>
                        </pic:spPr>
                      </pic:pic>
                    </a:graphicData>
                  </a:graphic>
                </wp:anchor>
              </w:drawing>
            </w:r>
          </w:p>
          <w:p w:rsidR="00613A7C" w:rsidRPr="008D63A0" w:rsidRDefault="00613A7C" w:rsidP="00276C25">
            <w:pPr>
              <w:pStyle w:val="Header"/>
              <w:rPr>
                <w:rFonts w:ascii="StobiSerif Regular" w:hAnsi="StobiSerif Regular"/>
                <w:color w:val="3314F0"/>
                <w:sz w:val="24"/>
                <w:szCs w:val="24"/>
                <w:lang w:val="sq-AL"/>
              </w:rPr>
            </w:pPr>
          </w:p>
          <w:p w:rsidR="00613A7C" w:rsidRPr="008D63A0" w:rsidRDefault="00613A7C" w:rsidP="00276C25">
            <w:pPr>
              <w:pStyle w:val="Header"/>
              <w:jc w:val="center"/>
              <w:rPr>
                <w:rFonts w:ascii="StobiSerif Regular" w:hAnsi="StobiSerif Regular"/>
                <w:color w:val="3314F0"/>
                <w:sz w:val="10"/>
                <w:szCs w:val="10"/>
                <w:lang w:val="sq-AL"/>
              </w:rPr>
            </w:pPr>
          </w:p>
          <w:p w:rsidR="00613A7C" w:rsidRPr="008D63A0" w:rsidRDefault="00613A7C" w:rsidP="00276C25">
            <w:pPr>
              <w:pStyle w:val="Header"/>
              <w:rPr>
                <w:rFonts w:ascii="StobiSerif Regular" w:hAnsi="StobiSerif Regular"/>
                <w:color w:val="3314F0"/>
                <w:sz w:val="10"/>
                <w:szCs w:val="10"/>
                <w:lang w:val="sq-AL"/>
              </w:rPr>
            </w:pPr>
          </w:p>
          <w:p w:rsidR="00613A7C" w:rsidRPr="008D63A0" w:rsidRDefault="00613A7C" w:rsidP="00276C25">
            <w:pPr>
              <w:pStyle w:val="Header"/>
              <w:rPr>
                <w:rFonts w:ascii="StobiSerif Regular" w:hAnsi="StobiSerif Regular"/>
                <w:b/>
                <w:color w:val="3314F0"/>
                <w:sz w:val="20"/>
                <w:szCs w:val="20"/>
                <w:lang w:val="sq-AL"/>
              </w:rPr>
            </w:pPr>
          </w:p>
        </w:tc>
        <w:tc>
          <w:tcPr>
            <w:tcW w:w="4909" w:type="dxa"/>
          </w:tcPr>
          <w:p w:rsidR="00613A7C" w:rsidRPr="008D63A0" w:rsidRDefault="00613A7C" w:rsidP="00276C25">
            <w:pPr>
              <w:pStyle w:val="Header"/>
              <w:jc w:val="center"/>
              <w:rPr>
                <w:rFonts w:ascii="StobiSerif Regular" w:hAnsi="StobiSerif Regular"/>
                <w:b/>
                <w:sz w:val="20"/>
                <w:szCs w:val="20"/>
                <w:lang w:val="sq-AL"/>
              </w:rPr>
            </w:pPr>
            <w:r w:rsidRPr="008D63A0">
              <w:rPr>
                <w:rFonts w:ascii="StobiSerif Regular" w:hAnsi="StobiSerif Regular"/>
                <w:b/>
                <w:sz w:val="20"/>
                <w:szCs w:val="20"/>
                <w:lang w:val="sq-AL"/>
              </w:rPr>
              <w:t>REPUBLIKA E MAQEDONISË SË VERIUT</w:t>
            </w:r>
          </w:p>
          <w:p w:rsidR="00613A7C" w:rsidRPr="008D63A0" w:rsidRDefault="00613A7C" w:rsidP="00276C25">
            <w:pPr>
              <w:pStyle w:val="Header"/>
              <w:jc w:val="center"/>
              <w:rPr>
                <w:rFonts w:ascii="StobiSerif Regular" w:hAnsi="StobiSerif Regular"/>
                <w:b/>
                <w:lang w:val="sq-AL"/>
              </w:rPr>
            </w:pPr>
            <w:r w:rsidRPr="008D63A0">
              <w:rPr>
                <w:rFonts w:ascii="StobiSerif Regular" w:hAnsi="StobiSerif Regular"/>
                <w:b/>
                <w:color w:val="FF0000"/>
                <w:sz w:val="10"/>
                <w:szCs w:val="10"/>
                <w:lang w:val="sq-AL"/>
              </w:rPr>
              <w:t>___________________________________________________________________________________</w:t>
            </w:r>
          </w:p>
          <w:p w:rsidR="00613A7C" w:rsidRPr="008D63A0" w:rsidRDefault="00613A7C" w:rsidP="00276C25">
            <w:pPr>
              <w:pStyle w:val="Header"/>
              <w:jc w:val="center"/>
              <w:rPr>
                <w:rFonts w:ascii="StobiSerif Regular" w:hAnsi="StobiSerif Regular"/>
                <w:b/>
                <w:lang w:val="sq-AL"/>
              </w:rPr>
            </w:pPr>
            <w:r w:rsidRPr="008D63A0">
              <w:rPr>
                <w:rFonts w:ascii="StobiSerif Regular" w:hAnsi="StobiSerif Regular"/>
                <w:b/>
                <w:lang w:val="sq-AL"/>
              </w:rPr>
              <w:t>Ministria e Punëve të Jashtme</w:t>
            </w:r>
          </w:p>
          <w:p w:rsidR="00613A7C" w:rsidRPr="008D63A0" w:rsidRDefault="00613A7C" w:rsidP="00276C25">
            <w:pPr>
              <w:pStyle w:val="Header"/>
              <w:jc w:val="center"/>
              <w:rPr>
                <w:rFonts w:ascii="StobiSerif Regular" w:hAnsi="StobiSerif Regular"/>
                <w:lang w:val="sq-AL"/>
              </w:rPr>
            </w:pPr>
            <w:r w:rsidRPr="008D63A0">
              <w:rPr>
                <w:rFonts w:ascii="StobiSerif Regular" w:hAnsi="StobiSerif Regular"/>
                <w:lang w:val="sq-AL"/>
              </w:rPr>
              <w:t>Drejtoria e Çështjeve Organizative</w:t>
            </w:r>
          </w:p>
        </w:tc>
      </w:tr>
    </w:tbl>
    <w:p w:rsidR="006D56A4" w:rsidRPr="008D63A0" w:rsidRDefault="006D56A4" w:rsidP="00276C25">
      <w:pPr>
        <w:pStyle w:val="NoSpacing"/>
        <w:rPr>
          <w:rFonts w:ascii="StobiSerif Regular" w:hAnsi="StobiSerif Regular"/>
          <w:sz w:val="18"/>
          <w:szCs w:val="18"/>
          <w:lang w:val="sq-AL"/>
        </w:rPr>
      </w:pPr>
    </w:p>
    <w:p w:rsidR="00613A7C" w:rsidRPr="008D63A0" w:rsidRDefault="00613A7C" w:rsidP="00276C25">
      <w:pPr>
        <w:pStyle w:val="NoSpacing"/>
        <w:rPr>
          <w:rFonts w:ascii="StobiSerif Regular" w:hAnsi="StobiSerif Regular"/>
          <w:sz w:val="18"/>
          <w:szCs w:val="18"/>
          <w:lang w:val="sq-AL"/>
        </w:rPr>
      </w:pPr>
      <w:proofErr w:type="spellStart"/>
      <w:r w:rsidRPr="008D63A0">
        <w:rPr>
          <w:rFonts w:ascii="StobiSerif Regular" w:hAnsi="StobiSerif Regular"/>
          <w:sz w:val="18"/>
          <w:szCs w:val="18"/>
          <w:lang w:val="sq-AL"/>
        </w:rPr>
        <w:t>Арх</w:t>
      </w:r>
      <w:proofErr w:type="spellEnd"/>
      <w:r w:rsidRPr="008D63A0">
        <w:rPr>
          <w:rFonts w:ascii="StobiSerif Regular" w:hAnsi="StobiSerif Regular"/>
          <w:sz w:val="18"/>
          <w:szCs w:val="18"/>
          <w:lang w:val="sq-AL"/>
        </w:rPr>
        <w:t xml:space="preserve">. </w:t>
      </w:r>
      <w:proofErr w:type="spellStart"/>
      <w:r w:rsidRPr="008D63A0">
        <w:rPr>
          <w:rFonts w:ascii="StobiSerif Regular" w:hAnsi="StobiSerif Regular"/>
          <w:sz w:val="18"/>
          <w:szCs w:val="18"/>
          <w:lang w:val="sq-AL"/>
        </w:rPr>
        <w:t>број</w:t>
      </w:r>
      <w:proofErr w:type="spellEnd"/>
      <w:r w:rsidRPr="008D63A0">
        <w:rPr>
          <w:rFonts w:ascii="StobiSerif Regular" w:hAnsi="StobiSerif Regular"/>
          <w:sz w:val="18"/>
          <w:szCs w:val="18"/>
          <w:lang w:val="sq-AL"/>
        </w:rPr>
        <w:t xml:space="preserve"> / </w:t>
      </w:r>
      <w:r w:rsidR="00CB7DC4" w:rsidRPr="008D63A0">
        <w:rPr>
          <w:rFonts w:ascii="StobiSerif Regular" w:hAnsi="StobiSerif Regular"/>
          <w:sz w:val="18"/>
          <w:szCs w:val="18"/>
          <w:lang w:val="sq-AL"/>
        </w:rPr>
        <w:t>Nr</w:t>
      </w:r>
      <w:r w:rsidRPr="008D63A0">
        <w:rPr>
          <w:rFonts w:ascii="StobiSerif Regular" w:hAnsi="StobiSerif Regular"/>
          <w:sz w:val="18"/>
          <w:szCs w:val="18"/>
          <w:lang w:val="sq-AL"/>
        </w:rPr>
        <w:t>. arkivor ________________</w:t>
      </w:r>
    </w:p>
    <w:p w:rsidR="00613A7C" w:rsidRPr="008D63A0" w:rsidRDefault="00613A7C" w:rsidP="00276C25">
      <w:pPr>
        <w:pStyle w:val="NoSpacing"/>
        <w:rPr>
          <w:rFonts w:ascii="StobiSerif Regular" w:hAnsi="StobiSerif Regular"/>
          <w:sz w:val="18"/>
          <w:szCs w:val="18"/>
          <w:lang w:val="sq-AL"/>
        </w:rPr>
      </w:pPr>
      <w:proofErr w:type="spellStart"/>
      <w:r w:rsidRPr="008D63A0">
        <w:rPr>
          <w:rFonts w:ascii="StobiSerif Regular" w:hAnsi="StobiSerif Regular"/>
          <w:sz w:val="18"/>
          <w:szCs w:val="18"/>
          <w:lang w:val="sq-AL"/>
        </w:rPr>
        <w:t>Датум</w:t>
      </w:r>
      <w:proofErr w:type="spellEnd"/>
      <w:r w:rsidRPr="008D63A0">
        <w:rPr>
          <w:rFonts w:ascii="StobiSerif Regular" w:hAnsi="StobiSerif Regular"/>
          <w:sz w:val="18"/>
          <w:szCs w:val="18"/>
          <w:lang w:val="sq-AL"/>
        </w:rPr>
        <w:t>/ Dat</w:t>
      </w:r>
      <w:r w:rsidR="00CB7DC4">
        <w:rPr>
          <w:rFonts w:ascii="StobiSerif Regular" w:hAnsi="StobiSerif Regular"/>
          <w:sz w:val="18"/>
          <w:szCs w:val="18"/>
          <w:lang w:val="sq-AL"/>
        </w:rPr>
        <w:t>ë</w:t>
      </w:r>
      <w:r w:rsidRPr="008D63A0">
        <w:rPr>
          <w:rFonts w:ascii="StobiSerif Regular" w:hAnsi="StobiSerif Regular"/>
          <w:sz w:val="18"/>
          <w:szCs w:val="18"/>
          <w:lang w:val="sq-AL"/>
        </w:rPr>
        <w:t>:       _____________________</w:t>
      </w:r>
    </w:p>
    <w:p w:rsidR="002F6641" w:rsidRPr="008D63A0" w:rsidRDefault="002F6641" w:rsidP="00276C25">
      <w:pPr>
        <w:spacing w:line="240" w:lineRule="auto"/>
        <w:rPr>
          <w:rFonts w:ascii="StobiSerif Regular" w:hAnsi="StobiSerif Regular"/>
          <w:lang w:val="sq-AL"/>
        </w:rPr>
      </w:pPr>
    </w:p>
    <w:p w:rsidR="00141CE6" w:rsidRPr="008D63A0" w:rsidRDefault="00276C25" w:rsidP="00276C25">
      <w:pPr>
        <w:spacing w:after="0" w:line="240" w:lineRule="auto"/>
        <w:ind w:left="-450" w:right="-360" w:firstLine="180"/>
        <w:jc w:val="center"/>
        <w:rPr>
          <w:rFonts w:ascii="StobiSerif Regular" w:hAnsi="StobiSerif Regular"/>
          <w:b/>
          <w:sz w:val="28"/>
          <w:szCs w:val="28"/>
          <w:lang w:val="sq-AL"/>
        </w:rPr>
      </w:pPr>
      <w:r w:rsidRPr="008D63A0">
        <w:rPr>
          <w:rFonts w:ascii="StobiSerif Regular" w:hAnsi="StobiSerif Regular"/>
          <w:b/>
          <w:sz w:val="28"/>
          <w:szCs w:val="28"/>
          <w:lang w:val="sq-AL"/>
        </w:rPr>
        <w:t>PROCEDURA E BRENDSHME</w:t>
      </w:r>
    </w:p>
    <w:p w:rsidR="00E26538" w:rsidRPr="008D63A0" w:rsidRDefault="00E26538" w:rsidP="00276C25">
      <w:pPr>
        <w:spacing w:after="0" w:line="240" w:lineRule="auto"/>
        <w:ind w:left="-450" w:right="-360" w:firstLine="180"/>
        <w:jc w:val="center"/>
        <w:rPr>
          <w:rFonts w:ascii="StobiSerif Regular" w:hAnsi="StobiSerif Regular"/>
          <w:b/>
          <w:sz w:val="28"/>
          <w:szCs w:val="28"/>
          <w:lang w:val="sq-AL"/>
        </w:rPr>
      </w:pPr>
    </w:p>
    <w:p w:rsidR="00276C25" w:rsidRPr="008D63A0" w:rsidRDefault="00276C25" w:rsidP="00276C25">
      <w:pPr>
        <w:spacing w:after="0" w:line="240" w:lineRule="auto"/>
        <w:ind w:left="-360" w:right="-180" w:firstLine="540"/>
        <w:jc w:val="center"/>
        <w:rPr>
          <w:rFonts w:ascii="StobiSerif Regular" w:hAnsi="StobiSerif Regular"/>
          <w:b/>
          <w:lang w:val="sq-AL"/>
        </w:rPr>
      </w:pPr>
      <w:r w:rsidRPr="008D63A0">
        <w:rPr>
          <w:rFonts w:ascii="StobiSerif Regular" w:hAnsi="StobiSerif Regular"/>
          <w:b/>
          <w:lang w:val="sq-AL"/>
        </w:rPr>
        <w:t>PËR MËNYRËN DHE PROCEDURË</w:t>
      </w:r>
      <w:r w:rsidR="008B4626">
        <w:rPr>
          <w:rFonts w:ascii="StobiSerif Regular" w:hAnsi="StobiSerif Regular"/>
          <w:b/>
          <w:lang w:val="sq-AL"/>
        </w:rPr>
        <w:t>N</w:t>
      </w:r>
      <w:r w:rsidRPr="008D63A0">
        <w:rPr>
          <w:rFonts w:ascii="StobiSerif Regular" w:hAnsi="StobiSerif Regular"/>
          <w:b/>
          <w:lang w:val="sq-AL"/>
        </w:rPr>
        <w:t xml:space="preserve"> E PLANIFIKIMIT, ZBATIMI DHE REALIZIMI </w:t>
      </w:r>
      <w:r w:rsidR="008B4626">
        <w:rPr>
          <w:rFonts w:ascii="StobiSerif Regular" w:hAnsi="StobiSerif Regular"/>
          <w:b/>
          <w:lang w:val="sq-AL"/>
        </w:rPr>
        <w:t>I</w:t>
      </w:r>
      <w:r w:rsidRPr="008D63A0">
        <w:rPr>
          <w:rFonts w:ascii="StobiSerif Regular" w:hAnsi="StobiSerif Regular"/>
          <w:b/>
          <w:lang w:val="sq-AL"/>
        </w:rPr>
        <w:t xml:space="preserve"> PROKURIMEVE PUBLIKE NË PKD-TË E REPUBLIKËS SË MAQEDONISË SË VERIUT JASHTË VENDIT</w:t>
      </w:r>
    </w:p>
    <w:p w:rsidR="00F76843" w:rsidRPr="008D63A0" w:rsidRDefault="0013588B" w:rsidP="00D235AE">
      <w:pPr>
        <w:spacing w:after="0" w:line="240" w:lineRule="auto"/>
        <w:ind w:right="-90"/>
        <w:jc w:val="both"/>
        <w:rPr>
          <w:rFonts w:ascii="StobiSerif Regular" w:hAnsi="StobiSerif Regular"/>
          <w:b/>
          <w:lang w:val="sq-AL"/>
        </w:rPr>
      </w:pPr>
      <w:r w:rsidRPr="008D63A0">
        <w:rPr>
          <w:rFonts w:ascii="StobiSerif Regular" w:hAnsi="StobiSerif Regular"/>
          <w:b/>
          <w:lang w:val="sq-AL"/>
        </w:rPr>
        <w:t>1</w:t>
      </w:r>
      <w:r w:rsidR="007F358E" w:rsidRPr="008D63A0">
        <w:rPr>
          <w:rFonts w:ascii="StobiSerif Regular" w:hAnsi="StobiSerif Regular"/>
          <w:b/>
          <w:lang w:val="sq-AL"/>
        </w:rPr>
        <w:t>.</w:t>
      </w:r>
      <w:r w:rsidR="00276C25" w:rsidRPr="008D63A0">
        <w:rPr>
          <w:rFonts w:ascii="StobiSerif Regular" w:hAnsi="StobiSerif Regular"/>
          <w:b/>
          <w:lang w:val="sq-AL"/>
        </w:rPr>
        <w:t xml:space="preserve"> LËNDA</w:t>
      </w:r>
      <w:r w:rsidR="00F76843" w:rsidRPr="008D63A0">
        <w:rPr>
          <w:rFonts w:ascii="StobiSerif Regular" w:hAnsi="StobiSerif Regular"/>
          <w:b/>
          <w:lang w:val="sq-AL"/>
        </w:rPr>
        <w:t xml:space="preserve"> </w:t>
      </w:r>
    </w:p>
    <w:p w:rsidR="006D56A4" w:rsidRPr="008D63A0" w:rsidRDefault="006D56A4" w:rsidP="00276C25">
      <w:pPr>
        <w:spacing w:after="0" w:line="240" w:lineRule="auto"/>
        <w:ind w:left="-450" w:right="-90" w:firstLine="540"/>
        <w:jc w:val="both"/>
        <w:rPr>
          <w:rFonts w:ascii="StobiSerif Regular" w:hAnsi="StobiSerif Regular"/>
          <w:lang w:val="sq-AL"/>
        </w:rPr>
      </w:pPr>
    </w:p>
    <w:p w:rsidR="006D56A4" w:rsidRPr="008D63A0" w:rsidRDefault="0013588B" w:rsidP="00D235AE">
      <w:pPr>
        <w:spacing w:line="240" w:lineRule="auto"/>
        <w:ind w:left="-450" w:right="-90"/>
        <w:jc w:val="both"/>
        <w:rPr>
          <w:rFonts w:ascii="StobiSerif Regular" w:hAnsi="StobiSerif Regular"/>
          <w:lang w:val="sq-AL"/>
        </w:rPr>
      </w:pPr>
      <w:r w:rsidRPr="008D63A0">
        <w:rPr>
          <w:rFonts w:ascii="StobiSerif Regular" w:hAnsi="StobiSerif Regular"/>
          <w:lang w:val="sq-AL"/>
        </w:rPr>
        <w:t xml:space="preserve">1.1. </w:t>
      </w:r>
      <w:r w:rsidR="00A05703" w:rsidRPr="008D63A0">
        <w:rPr>
          <w:rFonts w:ascii="StobiSerif Regular" w:hAnsi="StobiSerif Regular"/>
          <w:lang w:val="sq-AL"/>
        </w:rPr>
        <w:t>Lëndë e kësaj procedure është zbatimi i përpiktë i Ligjit të Prokurimeve Publike (në tekstin e mëtejmë LPP) gjatë zbatimit të procesit të prokurimit publik të mallrave, shërbimeve dhe gjësendeve, për nevojat e përfaqësive diplomatike-konsullore të Republikës së Maqedonisë së Veriut jashtë vendit (në tekstin e mëtejmë PDK i RMV-së) aktivitetet e të cilave planifikohen të realizohen nga buxheti i PDK-ve</w:t>
      </w:r>
      <w:r w:rsidR="006D56A4" w:rsidRPr="008D63A0">
        <w:rPr>
          <w:rFonts w:ascii="StobiSerif Regular" w:hAnsi="StobiSerif Regular"/>
          <w:lang w:val="sq-AL"/>
        </w:rPr>
        <w:t>.</w:t>
      </w:r>
    </w:p>
    <w:p w:rsidR="00F76843" w:rsidRPr="008D63A0" w:rsidRDefault="0013588B" w:rsidP="00D235AE">
      <w:pPr>
        <w:spacing w:line="240" w:lineRule="auto"/>
        <w:ind w:left="-450" w:right="-90"/>
        <w:jc w:val="both"/>
        <w:rPr>
          <w:rFonts w:ascii="StobiSerif Regular" w:hAnsi="StobiSerif Regular"/>
          <w:lang w:val="sq-AL"/>
        </w:rPr>
      </w:pPr>
      <w:r w:rsidRPr="008D63A0">
        <w:rPr>
          <w:rFonts w:ascii="StobiSerif Regular" w:hAnsi="StobiSerif Regular"/>
          <w:lang w:val="sq-AL"/>
        </w:rPr>
        <w:t>1.</w:t>
      </w:r>
      <w:r w:rsidR="007F358E" w:rsidRPr="008D63A0">
        <w:rPr>
          <w:rFonts w:ascii="StobiSerif Regular" w:hAnsi="StobiSerif Regular"/>
          <w:lang w:val="sq-AL"/>
        </w:rPr>
        <w:t xml:space="preserve">2. </w:t>
      </w:r>
      <w:r w:rsidR="00A05703" w:rsidRPr="008D63A0">
        <w:rPr>
          <w:rFonts w:ascii="StobiSerif Regular" w:hAnsi="StobiSerif Regular"/>
          <w:lang w:val="sq-AL"/>
        </w:rPr>
        <w:t>Kjo Procedurë e brendshme përshkruan mënyrën dhe procedurën e planifikimit dhe zbatimit të procedurave të prokurimit publik në PDK-të, mënyrën e veprimit të Komisionit të prokurimeve publike, personit përgjegjës, personit apo formës organizative brenda së cilës kryhen punët në fushën e prokurimeve publike, si dhe qarkullimin e dokumentacionit gjatë zbatimit të procedurave të prokurimeve publike në PDK-të.</w:t>
      </w:r>
      <w:r w:rsidR="00F76843" w:rsidRPr="008D63A0">
        <w:rPr>
          <w:rFonts w:ascii="StobiSerif Regular" w:hAnsi="StobiSerif Regular"/>
          <w:lang w:val="sq-AL"/>
        </w:rPr>
        <w:t xml:space="preserve"> </w:t>
      </w:r>
    </w:p>
    <w:p w:rsidR="003B2EA4" w:rsidRPr="008D63A0" w:rsidRDefault="003B2EA4" w:rsidP="00276C25">
      <w:pPr>
        <w:spacing w:line="240" w:lineRule="auto"/>
        <w:ind w:left="-450" w:right="-90" w:firstLine="540"/>
        <w:jc w:val="both"/>
        <w:rPr>
          <w:rFonts w:ascii="StobiSerif Regular" w:hAnsi="StobiSerif Regular"/>
          <w:lang w:val="sq-AL"/>
        </w:rPr>
      </w:pPr>
    </w:p>
    <w:p w:rsidR="00F76843" w:rsidRPr="008D63A0" w:rsidRDefault="0013588B" w:rsidP="00276C25">
      <w:pPr>
        <w:spacing w:line="240" w:lineRule="auto"/>
        <w:ind w:left="-450" w:right="-90" w:firstLine="540"/>
        <w:jc w:val="both"/>
        <w:rPr>
          <w:rFonts w:ascii="StobiSerif Regular" w:hAnsi="StobiSerif Regular"/>
          <w:b/>
          <w:lang w:val="sq-AL"/>
        </w:rPr>
      </w:pPr>
      <w:r w:rsidRPr="008D63A0">
        <w:rPr>
          <w:rFonts w:ascii="StobiSerif Regular" w:hAnsi="StobiSerif Regular"/>
          <w:b/>
          <w:lang w:val="sq-AL"/>
        </w:rPr>
        <w:t>2</w:t>
      </w:r>
      <w:r w:rsidR="007F358E" w:rsidRPr="008D63A0">
        <w:rPr>
          <w:rFonts w:ascii="StobiSerif Regular" w:hAnsi="StobiSerif Regular"/>
          <w:b/>
          <w:lang w:val="sq-AL"/>
        </w:rPr>
        <w:t xml:space="preserve">. </w:t>
      </w:r>
      <w:r w:rsidR="008B4626">
        <w:rPr>
          <w:rFonts w:ascii="StobiSerif Regular" w:hAnsi="StobiSerif Regular"/>
          <w:b/>
          <w:lang w:val="sq-AL"/>
        </w:rPr>
        <w:t>PROKURIMET</w:t>
      </w:r>
      <w:r w:rsidR="00A05703" w:rsidRPr="008D63A0">
        <w:rPr>
          <w:rFonts w:ascii="StobiSerif Regular" w:hAnsi="StobiSerif Regular"/>
          <w:b/>
          <w:lang w:val="sq-AL"/>
        </w:rPr>
        <w:t xml:space="preserve"> NËN PRAGUN E VLERËS</w:t>
      </w:r>
      <w:r w:rsidR="00F76843" w:rsidRPr="008D63A0">
        <w:rPr>
          <w:rFonts w:ascii="StobiSerif Regular" w:hAnsi="StobiSerif Regular"/>
          <w:b/>
          <w:lang w:val="sq-AL"/>
        </w:rPr>
        <w:t xml:space="preserve"> </w:t>
      </w:r>
    </w:p>
    <w:p w:rsidR="00ED1737" w:rsidRPr="008D63A0" w:rsidRDefault="00A05703" w:rsidP="00D235AE">
      <w:pPr>
        <w:spacing w:line="240" w:lineRule="auto"/>
        <w:ind w:left="-450" w:right="-90"/>
        <w:rPr>
          <w:rFonts w:ascii="StobiSerif Regular" w:hAnsi="StobiSerif Regular"/>
          <w:lang w:val="sq-AL"/>
        </w:rPr>
      </w:pPr>
      <w:r w:rsidRPr="008D63A0">
        <w:rPr>
          <w:rFonts w:ascii="StobiSerif Regular" w:hAnsi="StobiSerif Regular"/>
          <w:lang w:val="sq-AL"/>
        </w:rPr>
        <w:t>N</w:t>
      </w:r>
      <w:r w:rsidR="008B4626">
        <w:rPr>
          <w:rFonts w:ascii="StobiSerif Regular" w:hAnsi="StobiSerif Regular"/>
          <w:lang w:val="sq-AL"/>
        </w:rPr>
        <w:t>ë përputhje me</w:t>
      </w:r>
      <w:r w:rsidRPr="008D63A0">
        <w:rPr>
          <w:rFonts w:ascii="StobiSerif Regular" w:hAnsi="StobiSerif Regular"/>
          <w:lang w:val="sq-AL"/>
        </w:rPr>
        <w:t xml:space="preserve"> neni</w:t>
      </w:r>
      <w:r w:rsidR="008B4626">
        <w:rPr>
          <w:rFonts w:ascii="StobiSerif Regular" w:hAnsi="StobiSerif Regular"/>
          <w:lang w:val="sq-AL"/>
        </w:rPr>
        <w:t>n</w:t>
      </w:r>
      <w:r w:rsidRPr="008D63A0">
        <w:rPr>
          <w:rFonts w:ascii="StobiSerif Regular" w:hAnsi="StobiSerif Regular"/>
          <w:lang w:val="sq-AL"/>
        </w:rPr>
        <w:t xml:space="preserve"> 40 të Ligjit të Prokurimeve Publike, dispozitat e këtij ligji nuk zbatohen për procedurat e prokurimeve publike, vlera e parashikuar e të cilave pa tatimin mbi vlerën e shtuar (në tekstin e mëtejmë: TVSH) në vitin aktual është më e vogël se: </w:t>
      </w:r>
      <w:r w:rsidRPr="008D63A0">
        <w:rPr>
          <w:rFonts w:ascii="StobiSerif Regular" w:hAnsi="StobiSerif Regular"/>
          <w:lang w:val="sq-AL"/>
        </w:rPr>
        <w:br/>
        <w:t xml:space="preserve">- 1.000 euro në kundërvlerë të </w:t>
      </w:r>
      <w:proofErr w:type="spellStart"/>
      <w:r w:rsidRPr="008D63A0">
        <w:rPr>
          <w:rFonts w:ascii="StobiSerif Regular" w:hAnsi="StobiSerif Regular"/>
          <w:lang w:val="sq-AL"/>
        </w:rPr>
        <w:t>denarit</w:t>
      </w:r>
      <w:proofErr w:type="spellEnd"/>
      <w:r w:rsidRPr="008D63A0">
        <w:rPr>
          <w:rFonts w:ascii="StobiSerif Regular" w:hAnsi="StobiSerif Regular"/>
          <w:lang w:val="sq-AL"/>
        </w:rPr>
        <w:t xml:space="preserve"> për mallra ose shërbime. </w:t>
      </w:r>
      <w:r w:rsidRPr="008D63A0">
        <w:rPr>
          <w:rFonts w:ascii="StobiSerif Regular" w:hAnsi="StobiSerif Regular"/>
          <w:lang w:val="sq-AL"/>
        </w:rPr>
        <w:br/>
        <w:t>2.2. PDK-të, në llogaritjen e vlerës së parashikuar të prokurimeve, nuk duhet të përdorin metoda për të përftuar vlerë më të ulët se vlera reale e prokurimit (ndarja dhe përsëritja e të njëjtit lloj të prokurimit gjatë vitit), për të shmangur procedurë të caktuar të përcaktuar me Ligjin e Prokurimeve Publike</w:t>
      </w:r>
      <w:r w:rsidR="00ED1737" w:rsidRPr="008D63A0">
        <w:rPr>
          <w:rFonts w:ascii="StobiSerif Regular" w:hAnsi="StobiSerif Regular"/>
          <w:lang w:val="sq-AL"/>
        </w:rPr>
        <w:t>.</w:t>
      </w:r>
    </w:p>
    <w:p w:rsidR="00B50750" w:rsidRPr="008D63A0" w:rsidRDefault="00A05703" w:rsidP="00D235AE">
      <w:pPr>
        <w:spacing w:after="0" w:line="240" w:lineRule="auto"/>
        <w:ind w:left="-360" w:right="-90"/>
        <w:jc w:val="both"/>
        <w:rPr>
          <w:rFonts w:ascii="StobiSerif Regular" w:hAnsi="StobiSerif Regular"/>
          <w:lang w:val="sq-AL"/>
        </w:rPr>
      </w:pPr>
      <w:r w:rsidRPr="008D63A0">
        <w:rPr>
          <w:rFonts w:ascii="StobiSerif Regular" w:hAnsi="StobiSerif Regular"/>
          <w:lang w:val="sq-AL"/>
        </w:rPr>
        <w:t>2.3. Prokurimet me vlerë nën pragun e vlerës (deri në 1000 euro pa TVSH) të përcaktuar në pikën 2.1. të kësaj procedure të brendshme, për të cilën PDK-ja ka siguruar mjete të dedikuara me Planin vjetor financiar siç janë blerjet e: biletave të avionit, gazit për ngrohje, materialeve të zyrës, inventarit të vogël dhe nevojave të tjera të zakonshme aktuale, nuk kërkohet pëlqim paraprak nga MPJ-ja, sepse të njëjtën e vendos kryetari i Përfaqësisë në pajtim me aktet e tjera nënligjore të cilat mund të përcaktohen nga PDK-ja</w:t>
      </w:r>
      <w:r w:rsidR="00954593" w:rsidRPr="008D63A0">
        <w:rPr>
          <w:rFonts w:ascii="StobiSerif Regular" w:hAnsi="StobiSerif Regular"/>
          <w:lang w:val="sq-AL"/>
        </w:rPr>
        <w:t xml:space="preserve">. </w:t>
      </w:r>
    </w:p>
    <w:p w:rsidR="00D235AE" w:rsidRPr="008D63A0" w:rsidRDefault="00D235AE" w:rsidP="00D235AE">
      <w:pPr>
        <w:spacing w:line="240" w:lineRule="auto"/>
        <w:ind w:left="-450" w:right="-90" w:firstLine="450"/>
        <w:jc w:val="both"/>
        <w:rPr>
          <w:rFonts w:ascii="StobiSerif Regular" w:hAnsi="StobiSerif Regular"/>
          <w:lang w:val="sq-AL"/>
        </w:rPr>
      </w:pPr>
      <w:r w:rsidRPr="008D63A0">
        <w:rPr>
          <w:rFonts w:ascii="StobiSerif Regular" w:hAnsi="StobiSerif Regular"/>
          <w:lang w:val="sq-AL"/>
        </w:rPr>
        <w:lastRenderedPageBreak/>
        <w:t>Nëse PDK-ja nuk ka mjeteve të mjaftueshme për këto prokurime në llogarinë dhe arkën e saj, është e nevojshme të paraqesë kërkesë pranë DOR-Sektori i çështjeve financiare për transferimin e mjeteve të nevojshme në kuadër të Planit vjetor financiar.</w:t>
      </w:r>
    </w:p>
    <w:p w:rsidR="0004087C" w:rsidRPr="008D63A0" w:rsidRDefault="00D235AE" w:rsidP="00D235AE">
      <w:pPr>
        <w:spacing w:line="240" w:lineRule="auto"/>
        <w:ind w:left="-450" w:right="-90" w:firstLine="450"/>
        <w:rPr>
          <w:rFonts w:ascii="StobiSerif Regular" w:hAnsi="StobiSerif Regular"/>
          <w:lang w:val="sq-AL"/>
        </w:rPr>
      </w:pPr>
      <w:r w:rsidRPr="008D63A0">
        <w:rPr>
          <w:rFonts w:ascii="StobiSerif Regular" w:hAnsi="StobiSerif Regular"/>
          <w:lang w:val="sq-AL"/>
        </w:rPr>
        <w:t xml:space="preserve">Përjashtim nga paragrafi paraprak bëjnë prokurimet e: pajisjeve informatike dhe pajisjet e tjera teknike, mobileve, pajisjeve të brendshme dhe riparimeve të automjeteve, për të cilat kërkohet pëlqim paraprak nga MPJ-ja, pavarësisht nëse PDK-ja ka mjete për këtë qëllim ose ka nevojë për </w:t>
      </w:r>
      <w:proofErr w:type="spellStart"/>
      <w:r w:rsidRPr="008D63A0">
        <w:rPr>
          <w:rFonts w:ascii="StobiSerif Regular" w:hAnsi="StobiSerif Regular"/>
          <w:lang w:val="sq-AL"/>
        </w:rPr>
        <w:t>remitancë</w:t>
      </w:r>
      <w:proofErr w:type="spellEnd"/>
      <w:r w:rsidRPr="008D63A0">
        <w:rPr>
          <w:rFonts w:ascii="StobiSerif Regular" w:hAnsi="StobiSerif Regular"/>
          <w:lang w:val="sq-AL"/>
        </w:rPr>
        <w:t xml:space="preserve"> të mjeteve. Për këto prokurime, PDK-ja paraqet kërkesë për marrjen e pëlqimit, me shpjegim të shkurtër dhe thelbësor për prokurimin dhe sasinë e mjeteve të nevojshme financiare, të cilat ia paraqet DOR-it dhe Sektorit përkatës, edhe atë: </w:t>
      </w:r>
      <w:r w:rsidRPr="008D63A0">
        <w:rPr>
          <w:rFonts w:ascii="StobiSerif Regular" w:hAnsi="StobiSerif Regular"/>
          <w:lang w:val="sq-AL"/>
        </w:rPr>
        <w:br/>
        <w:t xml:space="preserve">- për prokurimin e pajisjes informatike dhe pajisjeve të tjera teknike, pranë Sektorit të teknologjive informatike dhe të komunikimit dhe sigurisë (SIKT), dhe </w:t>
      </w:r>
      <w:r w:rsidRPr="008D63A0">
        <w:rPr>
          <w:rFonts w:ascii="StobiSerif Regular" w:hAnsi="StobiSerif Regular"/>
          <w:lang w:val="sq-AL"/>
        </w:rPr>
        <w:br/>
        <w:t xml:space="preserve">- për prokurimin e mobileve, pajisjeve të brendshme dhe riparimin e automjeteve, pranë Sektorit të çështjeve ligjore dhe të përgjithshme (SÇLP). </w:t>
      </w:r>
      <w:r w:rsidRPr="008D63A0">
        <w:rPr>
          <w:rFonts w:ascii="StobiSerif Regular" w:hAnsi="StobiSerif Regular"/>
          <w:lang w:val="sq-AL"/>
        </w:rPr>
        <w:br/>
        <w:t xml:space="preserve">Pëlqimin për prokurimet nga paragrafi i teknikisht dhe administrativisht e koordinon Sektori i teknologjive informatike dhe të komunikimit dhe çështjeve të sigurisë dhe në bazë të vërtetimit paraprak të mjeteve të siguruara nga Sektori i çështjeve financiare. </w:t>
      </w:r>
      <w:r w:rsidRPr="008D63A0">
        <w:rPr>
          <w:rFonts w:ascii="StobiSerif Regular" w:hAnsi="StobiSerif Regular"/>
          <w:lang w:val="sq-AL"/>
        </w:rPr>
        <w:br/>
        <w:t>Pëlqimin për prokurimet nga paragrafi i dytë administrativisht në tërësi e koordinon Sektori i çështjeve juridike dhe të përgjithshme, dhe në bazë të konfirmimit të mëparshëm të mjeteve të siguruara nga Sektori i çështjeve financiare.</w:t>
      </w:r>
    </w:p>
    <w:p w:rsidR="006D7DF1" w:rsidRPr="008D63A0" w:rsidRDefault="0013588B" w:rsidP="00276C25">
      <w:pPr>
        <w:spacing w:line="240" w:lineRule="auto"/>
        <w:ind w:left="-450" w:right="-90" w:firstLine="450"/>
        <w:jc w:val="both"/>
        <w:rPr>
          <w:rFonts w:ascii="StobiSerif Regular" w:hAnsi="StobiSerif Regular"/>
          <w:b/>
          <w:lang w:val="sq-AL"/>
        </w:rPr>
      </w:pPr>
      <w:r w:rsidRPr="008D63A0">
        <w:rPr>
          <w:rFonts w:ascii="StobiSerif Regular" w:hAnsi="StobiSerif Regular"/>
          <w:b/>
          <w:lang w:val="sq-AL"/>
        </w:rPr>
        <w:t>3</w:t>
      </w:r>
      <w:r w:rsidR="007F358E" w:rsidRPr="008D63A0">
        <w:rPr>
          <w:rFonts w:ascii="StobiSerif Regular" w:hAnsi="StobiSerif Regular"/>
          <w:b/>
          <w:lang w:val="sq-AL"/>
        </w:rPr>
        <w:t xml:space="preserve">. </w:t>
      </w:r>
      <w:r w:rsidR="00D235AE" w:rsidRPr="008D63A0">
        <w:rPr>
          <w:rFonts w:ascii="StobiSerif Regular" w:hAnsi="StobiSerif Regular"/>
          <w:b/>
          <w:lang w:val="sq-AL"/>
        </w:rPr>
        <w:t>FUSHA E ZBATIMIT</w:t>
      </w:r>
    </w:p>
    <w:p w:rsidR="00152CC8" w:rsidRPr="008D63A0" w:rsidRDefault="00447C26" w:rsidP="00152CC8">
      <w:pPr>
        <w:spacing w:line="240" w:lineRule="auto"/>
        <w:ind w:left="-450" w:right="-90"/>
        <w:jc w:val="both"/>
        <w:rPr>
          <w:rFonts w:ascii="StobiSerif Regular" w:hAnsi="StobiSerif Regular"/>
          <w:lang w:val="sq-AL"/>
        </w:rPr>
      </w:pPr>
      <w:r w:rsidRPr="008D63A0">
        <w:rPr>
          <w:rFonts w:ascii="StobiSerif Regular" w:hAnsi="StobiSerif Regular"/>
          <w:lang w:val="sq-AL"/>
        </w:rPr>
        <w:t xml:space="preserve">3.1. Gjatë zbatimit të procedurës së prokurimit publik për nevojat e PDK-ve të RMV-së jashtë vendit, zbatohet neni 22 i LPP-së, sipas të cilit dispozitat e LPP-së për zbatimin e procedurave të prokurimeve publike për nevojat e PDK-ve së RMV-së jashtë vendit me vlerë të përcaktuar prej 1000 deri në 20.000 euro në kundërvlerë të </w:t>
      </w:r>
      <w:proofErr w:type="spellStart"/>
      <w:r w:rsidRPr="008D63A0">
        <w:rPr>
          <w:rFonts w:ascii="StobiSerif Regular" w:hAnsi="StobiSerif Regular"/>
          <w:lang w:val="sq-AL"/>
        </w:rPr>
        <w:t>denarit</w:t>
      </w:r>
      <w:proofErr w:type="spellEnd"/>
      <w:r w:rsidR="00237604" w:rsidRPr="008D63A0">
        <w:rPr>
          <w:rFonts w:ascii="StobiSerif Regular" w:hAnsi="StobiSerif Regular"/>
          <w:lang w:val="sq-AL"/>
        </w:rPr>
        <w:t xml:space="preserve"> </w:t>
      </w:r>
      <w:r w:rsidRPr="008D63A0">
        <w:rPr>
          <w:rFonts w:ascii="StobiSerif Regular" w:hAnsi="StobiSerif Regular"/>
          <w:lang w:val="sq-AL"/>
        </w:rPr>
        <w:t xml:space="preserve">për mallra dhe shërbime përkatësisht 50.000 euro në kundërvlerë të </w:t>
      </w:r>
      <w:proofErr w:type="spellStart"/>
      <w:r w:rsidRPr="008D63A0">
        <w:rPr>
          <w:rFonts w:ascii="StobiSerif Regular" w:hAnsi="StobiSerif Regular"/>
          <w:lang w:val="sq-AL"/>
        </w:rPr>
        <w:t>denarit</w:t>
      </w:r>
      <w:proofErr w:type="spellEnd"/>
      <w:r w:rsidRPr="008D63A0">
        <w:rPr>
          <w:rFonts w:ascii="StobiSerif Regular" w:hAnsi="StobiSerif Regular"/>
          <w:lang w:val="sq-AL"/>
        </w:rPr>
        <w:t xml:space="preserve"> për gjëra, përveç neneve 3, 4, 5, 6, 7 dhe 8 të LPP-së (Gazeta Zyrtare e RMV-së nr. 24/19, 87/21)</w:t>
      </w:r>
      <w:r w:rsidR="00C05EFE" w:rsidRPr="008D63A0">
        <w:rPr>
          <w:rFonts w:ascii="StobiSerif Regular" w:hAnsi="StobiSerif Regular"/>
          <w:lang w:val="sq-AL"/>
        </w:rPr>
        <w:t>.</w:t>
      </w:r>
    </w:p>
    <w:p w:rsidR="00F32DC5" w:rsidRPr="008D63A0" w:rsidRDefault="00447C26" w:rsidP="00152CC8">
      <w:pPr>
        <w:spacing w:line="240" w:lineRule="auto"/>
        <w:ind w:left="-450" w:right="-90"/>
        <w:rPr>
          <w:rFonts w:ascii="StobiSerif Regular" w:hAnsi="StobiSerif Regular"/>
          <w:lang w:val="sq-AL"/>
        </w:rPr>
      </w:pPr>
      <w:r w:rsidRPr="008D63A0">
        <w:rPr>
          <w:rFonts w:ascii="StobiSerif Regular" w:hAnsi="StobiSerif Regular"/>
          <w:lang w:val="sq-AL"/>
        </w:rPr>
        <w:t>Procedura për këto procedura është e kombinuar mes PDK-së</w:t>
      </w:r>
      <w:r w:rsidR="00152CC8" w:rsidRPr="008D63A0">
        <w:rPr>
          <w:rFonts w:ascii="StobiSerif Regular" w:hAnsi="StobiSerif Regular"/>
          <w:lang w:val="sq-AL"/>
        </w:rPr>
        <w:t xml:space="preserve"> dhe MPJ-së. </w:t>
      </w:r>
      <w:r w:rsidR="00152CC8" w:rsidRPr="008D63A0">
        <w:rPr>
          <w:rFonts w:ascii="StobiSerif Regular" w:hAnsi="StobiSerif Regular"/>
          <w:lang w:val="sq-AL"/>
        </w:rPr>
        <w:br/>
        <w:t>MPJ merr vendimet për zbatimin e prokurimeve publike dhe përzgjedhjen e ofertuesit më të volitshëm kurse të gjitha procedurat e tjera (planin vjetor të prokurimeve publike në pajtim me buxhetin e miratuar të PDK-së, ndryshimin e planit vjetor të prokurimeve publike, kërkesën për zbatimin e prokurimeve publike, specifikimin teknik, mbledhjen e ofertave, raportin nga procedura e realizuar me vlerësimin e ofertave dhe propozimin për përzgjedhjen e ofertës më të volitshme si dhe lidhjen e marrëveshjes dhe zbatimin e saj i realizon PDK-ja, në pajtim me rregulloren ligjore, Planin vjetor për prokurime publike dhe Planin vjetor financiar.</w:t>
      </w:r>
      <w:r w:rsidR="003E1D75" w:rsidRPr="008D63A0">
        <w:rPr>
          <w:rFonts w:ascii="StobiSerif Regular" w:hAnsi="StobiSerif Regular"/>
          <w:lang w:val="sq-AL"/>
        </w:rPr>
        <w:t xml:space="preserve"> </w:t>
      </w:r>
    </w:p>
    <w:p w:rsidR="00933FE9" w:rsidRPr="008D63A0" w:rsidRDefault="00933FE9" w:rsidP="00933FE9">
      <w:pPr>
        <w:spacing w:line="240" w:lineRule="auto"/>
        <w:ind w:left="-450" w:right="-90"/>
        <w:jc w:val="both"/>
        <w:rPr>
          <w:rFonts w:ascii="StobiSerif Regular" w:hAnsi="StobiSerif Regular"/>
          <w:lang w:val="sq-AL"/>
        </w:rPr>
      </w:pPr>
      <w:r w:rsidRPr="008D63A0">
        <w:rPr>
          <w:rFonts w:ascii="StobiSerif Regular" w:hAnsi="StobiSerif Regular"/>
          <w:lang w:val="sq-AL"/>
        </w:rPr>
        <w:t xml:space="preserve">3.2. Për shkak të fleksibilitetit në kryerjen e këtij lloji të prokurimit për nevojat e PDK-së, në pajtim me nenin 22 të Ligjit të Prokurimeve Publike, PDK-ve u mundësohet procedurë më e thjeshtë gjatë kryerjes së prokurimeve ndërsa vendimi i organit kontraktues se si do ta zhvillojë procedurën e prokurimeve publike, duhet të varet nga ajo nëse respektohen parimet e përcaktuara në nenin 3, 4, 5, 6, 7 dhe 8 të LPP-së siç janë parimet e: efikasitetit, konkurrencës ndërmjet operatorëve ekonomikë, transparencës, trajtimit të barabartë të operatorëve ekonomikë dhe </w:t>
      </w:r>
      <w:proofErr w:type="spellStart"/>
      <w:r w:rsidRPr="008D63A0">
        <w:rPr>
          <w:rFonts w:ascii="StobiSerif Regular" w:hAnsi="StobiSerif Regular"/>
          <w:lang w:val="sq-AL"/>
        </w:rPr>
        <w:t>proporcionalitetit</w:t>
      </w:r>
      <w:proofErr w:type="spellEnd"/>
      <w:r w:rsidRPr="008D63A0">
        <w:rPr>
          <w:rFonts w:ascii="StobiSerif Regular" w:hAnsi="StobiSerif Regular"/>
          <w:lang w:val="sq-AL"/>
        </w:rPr>
        <w:t>, të përcaktuara në pajtim me rregulloret që rregullojnë shfrytëzimin e buxhetit dhe mjeteve të tjera publike.</w:t>
      </w:r>
    </w:p>
    <w:p w:rsidR="00945E7F" w:rsidRPr="008D63A0" w:rsidRDefault="00933FE9" w:rsidP="00933FE9">
      <w:pPr>
        <w:spacing w:line="240" w:lineRule="auto"/>
        <w:ind w:left="-450" w:right="-90"/>
        <w:jc w:val="both"/>
        <w:rPr>
          <w:rFonts w:ascii="StobiSerif Regular" w:hAnsi="StobiSerif Regular"/>
          <w:lang w:val="sq-AL"/>
        </w:rPr>
      </w:pPr>
      <w:r w:rsidRPr="008D63A0">
        <w:rPr>
          <w:rFonts w:ascii="StobiSerif Regular" w:hAnsi="StobiSerif Regular"/>
          <w:lang w:val="sq-AL"/>
        </w:rPr>
        <w:lastRenderedPageBreak/>
        <w:t>3.3. Prokurimet publike për nevojat e PKD-ve të RMV-së jashtë vendit me shumë të vlerësuar mbi pragun e vlerës të përcaktuar në pikën 3.1, bëhen në pajtim me dispozitat e LPP-së dhe realizohen në MPJ nga Njësia e prokurimeve publike</w:t>
      </w:r>
      <w:r w:rsidR="00945E7F" w:rsidRPr="008D63A0">
        <w:rPr>
          <w:rFonts w:ascii="StobiSerif Regular" w:hAnsi="StobiSerif Regular"/>
          <w:lang w:val="sq-AL"/>
        </w:rPr>
        <w:t>.</w:t>
      </w:r>
    </w:p>
    <w:p w:rsidR="00F76843" w:rsidRPr="008D63A0" w:rsidRDefault="0013588B" w:rsidP="00276C25">
      <w:pPr>
        <w:spacing w:line="240" w:lineRule="auto"/>
        <w:ind w:left="-450" w:right="-90" w:firstLine="450"/>
        <w:jc w:val="both"/>
        <w:rPr>
          <w:rFonts w:ascii="StobiSerif Regular" w:hAnsi="StobiSerif Regular"/>
          <w:b/>
          <w:lang w:val="sq-AL"/>
        </w:rPr>
      </w:pPr>
      <w:r w:rsidRPr="008D63A0">
        <w:rPr>
          <w:rFonts w:ascii="StobiSerif Regular" w:hAnsi="StobiSerif Regular"/>
          <w:b/>
          <w:lang w:val="sq-AL"/>
        </w:rPr>
        <w:t>4</w:t>
      </w:r>
      <w:r w:rsidR="007F358E" w:rsidRPr="008D63A0">
        <w:rPr>
          <w:rFonts w:ascii="StobiSerif Regular" w:hAnsi="StobiSerif Regular"/>
          <w:b/>
          <w:lang w:val="sq-AL"/>
        </w:rPr>
        <w:t>.</w:t>
      </w:r>
      <w:r w:rsidR="00933FE9" w:rsidRPr="008D63A0">
        <w:rPr>
          <w:rFonts w:ascii="StobiSerif Regular" w:hAnsi="StobiSerif Regular"/>
          <w:b/>
          <w:lang w:val="sq-AL"/>
        </w:rPr>
        <w:t xml:space="preserve"> PLANI VJETOR I </w:t>
      </w:r>
      <w:r w:rsidR="008B4626">
        <w:rPr>
          <w:rFonts w:ascii="StobiSerif Regular" w:hAnsi="StobiSerif Regular"/>
          <w:b/>
          <w:lang w:val="sq-AL"/>
        </w:rPr>
        <w:t>PROKURIMEVE</w:t>
      </w:r>
      <w:r w:rsidR="00933FE9" w:rsidRPr="008D63A0">
        <w:rPr>
          <w:rFonts w:ascii="StobiSerif Regular" w:hAnsi="StobiSerif Regular"/>
          <w:b/>
          <w:lang w:val="sq-AL"/>
        </w:rPr>
        <w:t xml:space="preserve"> PUBLIKE</w:t>
      </w:r>
    </w:p>
    <w:p w:rsidR="00267172" w:rsidRPr="008D63A0" w:rsidRDefault="00267172" w:rsidP="00267172">
      <w:pPr>
        <w:spacing w:line="240" w:lineRule="auto"/>
        <w:ind w:left="-450" w:right="-90"/>
        <w:jc w:val="both"/>
        <w:rPr>
          <w:rFonts w:ascii="StobiSerif Regular" w:hAnsi="StobiSerif Regular"/>
          <w:lang w:val="sq-AL"/>
        </w:rPr>
      </w:pPr>
      <w:r w:rsidRPr="008D63A0">
        <w:rPr>
          <w:rFonts w:ascii="StobiSerif Regular" w:hAnsi="StobiSerif Regular"/>
          <w:lang w:val="sq-AL"/>
        </w:rPr>
        <w:t xml:space="preserve">4.1. Në </w:t>
      </w:r>
      <w:r w:rsidR="008B4626">
        <w:rPr>
          <w:rFonts w:ascii="StobiSerif Regular" w:hAnsi="StobiSerif Regular"/>
          <w:lang w:val="sq-AL"/>
        </w:rPr>
        <w:t xml:space="preserve">përputhje me </w:t>
      </w:r>
      <w:r w:rsidRPr="008D63A0">
        <w:rPr>
          <w:rFonts w:ascii="StobiSerif Regular" w:hAnsi="StobiSerif Regular"/>
          <w:lang w:val="sq-AL"/>
        </w:rPr>
        <w:t>neni</w:t>
      </w:r>
      <w:r w:rsidR="008B4626">
        <w:rPr>
          <w:rFonts w:ascii="StobiSerif Regular" w:hAnsi="StobiSerif Regular"/>
          <w:lang w:val="sq-AL"/>
        </w:rPr>
        <w:t>n</w:t>
      </w:r>
      <w:r w:rsidRPr="008D63A0">
        <w:rPr>
          <w:rFonts w:ascii="StobiSerif Regular" w:hAnsi="StobiSerif Regular"/>
          <w:lang w:val="sq-AL"/>
        </w:rPr>
        <w:t xml:space="preserve"> 75 të Ligjit tët Prokurimeve Publike (Gazeta Zyrtare e RM-së” nr. 24/19, 87/21) dhe Rregullores për formën, përmbajtjen dhe mënyrën e përgatitjes së planit vjetor për prokurimet publike (Gazeta Zyrtare e RM-së nr.64/, fq.18 dhe19), shfrytëzuesit buxhetorë përfshirë edhe PDK-ja, kanë obligim që të përgatisin Plan vjetor për prokurime Publike jo më vonë se data 31 janar e vitit aktual në pajtim me mjetet buxhetore të miratuara për vitin aktual, i cili më tej paraqet bazën për furnizimet gjatë vitit.</w:t>
      </w:r>
    </w:p>
    <w:p w:rsidR="00267172" w:rsidRPr="008D63A0" w:rsidRDefault="00267172" w:rsidP="00267172">
      <w:pPr>
        <w:spacing w:line="240" w:lineRule="auto"/>
        <w:ind w:left="-450" w:right="-90"/>
        <w:jc w:val="both"/>
        <w:rPr>
          <w:rFonts w:ascii="StobiSerif Regular" w:hAnsi="StobiSerif Regular"/>
          <w:lang w:val="sq-AL"/>
        </w:rPr>
      </w:pPr>
      <w:r w:rsidRPr="008D63A0">
        <w:rPr>
          <w:rFonts w:ascii="StobiSerif Regular" w:hAnsi="StobiSerif Regular"/>
          <w:lang w:val="sq-AL"/>
        </w:rPr>
        <w:t>Në planin vjetor të prokurimeve publike të PDK-së për vitin aktual (formulari shtojca 1), prokurimet duhet të tregohen prokurimet e planifikuara me pragun e vlerës- vlerat e përcaktuara, që përmenden në pikën 3.1. nga kjo procedurë e brendshme.</w:t>
      </w:r>
    </w:p>
    <w:p w:rsidR="004B7007" w:rsidRPr="008D63A0" w:rsidRDefault="00267172" w:rsidP="00267172">
      <w:pPr>
        <w:spacing w:line="240" w:lineRule="auto"/>
        <w:ind w:left="-450" w:right="-90"/>
        <w:jc w:val="both"/>
        <w:rPr>
          <w:rFonts w:ascii="StobiSerif Regular" w:hAnsi="StobiSerif Regular"/>
          <w:lang w:val="sq-AL"/>
        </w:rPr>
      </w:pPr>
      <w:r w:rsidRPr="008D63A0">
        <w:rPr>
          <w:rFonts w:ascii="StobiSerif Regular" w:hAnsi="StobiSerif Regular"/>
          <w:lang w:val="sq-AL"/>
        </w:rPr>
        <w:t xml:space="preserve">Planet vjetore të prokurimeve publike, të vërtetuara dhe të nënshkruara nga kreu i </w:t>
      </w:r>
      <w:proofErr w:type="spellStart"/>
      <w:r w:rsidRPr="008D63A0">
        <w:rPr>
          <w:rFonts w:ascii="StobiSerif Regular" w:hAnsi="StobiSerif Regular"/>
          <w:lang w:val="sq-AL"/>
        </w:rPr>
        <w:t>i</w:t>
      </w:r>
      <w:proofErr w:type="spellEnd"/>
      <w:r w:rsidRPr="008D63A0">
        <w:rPr>
          <w:rFonts w:ascii="StobiSerif Regular" w:hAnsi="StobiSerif Regular"/>
          <w:lang w:val="sq-AL"/>
        </w:rPr>
        <w:t xml:space="preserve"> PDK-së, duhet të dorëzohen në DOR, jo më vonë se data 25 janar e vitit aktual, 5 ditë para përfundimit të afatit për miratimin e tyre, gjatë të cilit MPJ-ja mund të ketë vërejtje të caktuara për Planin vjetor të PDK-së.</w:t>
      </w:r>
      <w:r w:rsidR="002855E5" w:rsidRPr="008D63A0">
        <w:rPr>
          <w:rFonts w:ascii="StobiSerif Regular" w:hAnsi="StobiSerif Regular"/>
          <w:lang w:val="sq-AL"/>
        </w:rPr>
        <w:t xml:space="preserve"> </w:t>
      </w:r>
    </w:p>
    <w:p w:rsidR="00147E33" w:rsidRPr="008D63A0" w:rsidRDefault="00147E33" w:rsidP="009823E7">
      <w:pPr>
        <w:spacing w:line="240" w:lineRule="auto"/>
        <w:ind w:left="-450" w:right="-90"/>
        <w:jc w:val="both"/>
        <w:rPr>
          <w:rFonts w:ascii="StobiSerif Regular" w:hAnsi="StobiSerif Regular"/>
          <w:lang w:val="sq-AL"/>
        </w:rPr>
      </w:pPr>
      <w:r w:rsidRPr="008D63A0">
        <w:rPr>
          <w:rFonts w:ascii="StobiSerif Regular" w:hAnsi="StobiSerif Regular"/>
          <w:lang w:val="sq-AL"/>
        </w:rPr>
        <w:t>Nëse plani i dorëzuar i prokurimeve publike i PDK-së është jashtë suazave të buxhetit të miratuar për vitin aktual, PDK-ja duhet të njëjtin ta rishikojë dhe harmonizojë.</w:t>
      </w:r>
    </w:p>
    <w:p w:rsidR="00527673" w:rsidRPr="008D63A0" w:rsidRDefault="002C7375" w:rsidP="009823E7">
      <w:pPr>
        <w:spacing w:line="240" w:lineRule="auto"/>
        <w:ind w:left="-450" w:right="-90"/>
        <w:jc w:val="both"/>
        <w:rPr>
          <w:rFonts w:ascii="StobiSerif Regular" w:hAnsi="StobiSerif Regular"/>
          <w:lang w:val="sq-AL"/>
        </w:rPr>
      </w:pPr>
      <w:r w:rsidRPr="008D63A0">
        <w:rPr>
          <w:rFonts w:ascii="StobiSerif Regular" w:hAnsi="StobiSerif Regular"/>
          <w:lang w:val="sq-AL"/>
        </w:rPr>
        <w:t>4.2.Gjatë vitit, PDK-ja mund ta ndryshojë ose plotësojë Planin vjetor të prokurimeve publike (formulari shtojca 2) vetëm nëse ka nevojë urgjente zyrtare për të zbatuar procedurë të re për prokurime publike që nuk është parashikuar në plan, me konsultim të DOR. Kreu i përfaqësisë e nënshkruan ndryshimin/plotësimet në Planin vjetor të prokurimeve publike, më pas kopjen e vërtetuar e dorëzon në DOR - Njësinë e prokurimeve publike, në shtojcë me shkresë ku jepet arsyetimi për nevojën e ndryshimit/plotësimit të Planit vjetor të prokurimeve publike.</w:t>
      </w:r>
    </w:p>
    <w:p w:rsidR="008B4626" w:rsidRDefault="0013588B" w:rsidP="00276C25">
      <w:pPr>
        <w:tabs>
          <w:tab w:val="left" w:pos="-270"/>
          <w:tab w:val="left" w:pos="-180"/>
        </w:tabs>
        <w:spacing w:line="240" w:lineRule="auto"/>
        <w:ind w:left="-450" w:right="-90" w:firstLine="450"/>
        <w:jc w:val="both"/>
        <w:rPr>
          <w:rFonts w:ascii="StobiSerif Regular" w:hAnsi="StobiSerif Regular"/>
          <w:b/>
          <w:lang w:val="sq-AL"/>
        </w:rPr>
      </w:pPr>
      <w:r w:rsidRPr="008D63A0">
        <w:rPr>
          <w:rFonts w:ascii="StobiSerif Regular" w:hAnsi="StobiSerif Regular"/>
          <w:b/>
          <w:lang w:val="sq-AL"/>
        </w:rPr>
        <w:t>5</w:t>
      </w:r>
      <w:r w:rsidR="007F358E" w:rsidRPr="008D63A0">
        <w:rPr>
          <w:rFonts w:ascii="StobiSerif Regular" w:hAnsi="StobiSerif Regular"/>
          <w:b/>
          <w:lang w:val="sq-AL"/>
        </w:rPr>
        <w:t>.</w:t>
      </w:r>
      <w:r w:rsidR="008B4626">
        <w:rPr>
          <w:rFonts w:ascii="StobiSerif Regular" w:hAnsi="StobiSerif Regular"/>
          <w:b/>
          <w:lang w:val="sq-AL"/>
        </w:rPr>
        <w:t xml:space="preserve"> PROCEDURA PËR ZBATIMIN E PROKURIMEVE PUBLIKE NË PDK</w:t>
      </w:r>
      <w:r w:rsidR="003E1D75" w:rsidRPr="008D63A0">
        <w:rPr>
          <w:rFonts w:ascii="StobiSerif Regular" w:hAnsi="StobiSerif Regular"/>
          <w:b/>
          <w:lang w:val="sq-AL"/>
        </w:rPr>
        <w:t xml:space="preserve"> </w:t>
      </w:r>
    </w:p>
    <w:p w:rsidR="00AF632D" w:rsidRPr="008D63A0" w:rsidRDefault="00F07CA8" w:rsidP="00D323FB">
      <w:pPr>
        <w:tabs>
          <w:tab w:val="left" w:pos="-270"/>
          <w:tab w:val="left" w:pos="-180"/>
        </w:tabs>
        <w:spacing w:line="240" w:lineRule="auto"/>
        <w:ind w:left="-450" w:right="-90"/>
        <w:jc w:val="both"/>
        <w:rPr>
          <w:rFonts w:ascii="StobiSerif Regular" w:hAnsi="StobiSerif Regular"/>
          <w:lang w:val="sq-AL"/>
        </w:rPr>
      </w:pPr>
      <w:r w:rsidRPr="008D63A0">
        <w:rPr>
          <w:rFonts w:ascii="StobiSerif Regular" w:hAnsi="StobiSerif Regular"/>
          <w:lang w:val="sq-AL"/>
        </w:rPr>
        <w:t xml:space="preserve">5.1. Gjatë vitit, gjatë </w:t>
      </w:r>
      <w:r w:rsidR="008B4626">
        <w:rPr>
          <w:rFonts w:ascii="StobiSerif Regular" w:hAnsi="StobiSerif Regular"/>
          <w:lang w:val="sq-AL"/>
        </w:rPr>
        <w:t>zbatimit</w:t>
      </w:r>
      <w:r w:rsidRPr="008D63A0">
        <w:rPr>
          <w:rFonts w:ascii="StobiSerif Regular" w:hAnsi="StobiSerif Regular"/>
          <w:lang w:val="sq-AL"/>
        </w:rPr>
        <w:t xml:space="preserve"> të procedurës së prokurimeve publike në pajtim me nenin 22 të Ligjit të Prokurimeve Publike dhe Planit vjetor të prokurimeve publike, është e nevojshme që PDK-të të dorëzojnë pranë DOR- Njësia e prokurimeve publike formular të plotësuar- Kërkesë për zbatimin e prokurimit publik (formulari shtojca 3), që duhet të përmbajë</w:t>
      </w:r>
      <w:r w:rsidR="000011B9" w:rsidRPr="008D63A0">
        <w:rPr>
          <w:rFonts w:ascii="StobiSerif Regular" w:hAnsi="StobiSerif Regular"/>
          <w:lang w:val="sq-AL"/>
        </w:rPr>
        <w:t>:</w:t>
      </w:r>
    </w:p>
    <w:p w:rsidR="001B0F43" w:rsidRPr="008D63A0" w:rsidRDefault="001B0F43" w:rsidP="001B0F43">
      <w:pPr>
        <w:spacing w:after="0" w:line="240" w:lineRule="auto"/>
        <w:ind w:left="-450" w:right="-90" w:firstLine="450"/>
        <w:jc w:val="both"/>
        <w:rPr>
          <w:rFonts w:ascii="StobiSerif Regular" w:hAnsi="StobiSerif Regular"/>
          <w:lang w:val="sq-AL"/>
        </w:rPr>
      </w:pPr>
      <w:r w:rsidRPr="008D63A0">
        <w:rPr>
          <w:rFonts w:ascii="StobiSerif Regular" w:hAnsi="StobiSerif Regular"/>
          <w:lang w:val="sq-AL"/>
        </w:rPr>
        <w:t>- ndarje të prokurimit në rast se lënda e prokurimit nuk mund të realizohet nga një ofertues;</w:t>
      </w:r>
    </w:p>
    <w:p w:rsidR="001B0F43" w:rsidRPr="008D63A0" w:rsidRDefault="001B0F43" w:rsidP="001B0F43">
      <w:pPr>
        <w:spacing w:after="0" w:line="240" w:lineRule="auto"/>
        <w:ind w:left="-450" w:right="-90" w:firstLine="450"/>
        <w:jc w:val="both"/>
        <w:rPr>
          <w:rFonts w:ascii="StobiSerif Regular" w:hAnsi="StobiSerif Regular"/>
          <w:lang w:val="sq-AL"/>
        </w:rPr>
      </w:pPr>
      <w:r w:rsidRPr="008D63A0">
        <w:rPr>
          <w:rFonts w:ascii="StobiSerif Regular" w:hAnsi="StobiSerif Regular"/>
          <w:lang w:val="sq-AL"/>
        </w:rPr>
        <w:t>- lloj të prokurimit të mallrave/shërbimeve/gjërave</w:t>
      </w:r>
    </w:p>
    <w:p w:rsidR="001B0F43" w:rsidRPr="008D63A0" w:rsidRDefault="001B0F43" w:rsidP="001B0F43">
      <w:pPr>
        <w:spacing w:after="0" w:line="240" w:lineRule="auto"/>
        <w:ind w:left="-450" w:right="-90" w:firstLine="450"/>
        <w:jc w:val="both"/>
        <w:rPr>
          <w:rFonts w:ascii="StobiSerif Regular" w:hAnsi="StobiSerif Regular"/>
          <w:lang w:val="sq-AL"/>
        </w:rPr>
      </w:pPr>
      <w:r w:rsidRPr="008D63A0">
        <w:rPr>
          <w:rFonts w:ascii="StobiSerif Regular" w:hAnsi="StobiSerif Regular"/>
          <w:lang w:val="sq-AL"/>
        </w:rPr>
        <w:t>- lëndë të prokurimit publik,</w:t>
      </w:r>
    </w:p>
    <w:p w:rsidR="001B0F43" w:rsidRPr="008D63A0" w:rsidRDefault="001B0F43" w:rsidP="001B0F43">
      <w:pPr>
        <w:spacing w:after="0" w:line="240" w:lineRule="auto"/>
        <w:ind w:left="-450" w:right="-90" w:firstLine="450"/>
        <w:jc w:val="both"/>
        <w:rPr>
          <w:rFonts w:ascii="StobiSerif Regular" w:hAnsi="StobiSerif Regular"/>
          <w:lang w:val="sq-AL"/>
        </w:rPr>
      </w:pPr>
      <w:r w:rsidRPr="008D63A0">
        <w:rPr>
          <w:rFonts w:ascii="StobiSerif Regular" w:hAnsi="StobiSerif Regular"/>
          <w:lang w:val="sq-AL"/>
        </w:rPr>
        <w:t>- shumë të parashikuar të blerjes, që duhet të jetë brenda mjeteve të parashikuara për prokurime,</w:t>
      </w:r>
    </w:p>
    <w:p w:rsidR="001B0F43" w:rsidRPr="008D63A0" w:rsidRDefault="001B0F43" w:rsidP="001B0F43">
      <w:pPr>
        <w:spacing w:after="0" w:line="240" w:lineRule="auto"/>
        <w:ind w:left="-450" w:right="-90" w:firstLine="450"/>
        <w:jc w:val="both"/>
        <w:rPr>
          <w:rFonts w:ascii="StobiSerif Regular" w:hAnsi="StobiSerif Regular"/>
          <w:lang w:val="sq-AL"/>
        </w:rPr>
      </w:pPr>
      <w:r w:rsidRPr="008D63A0">
        <w:rPr>
          <w:rFonts w:ascii="StobiSerif Regular" w:hAnsi="StobiSerif Regular"/>
          <w:lang w:val="sq-AL"/>
        </w:rPr>
        <w:t>- propozim për ngritjen e një komisioni për zbatimin e prokurimit publik, i përbërë nga tre persona (kryetar dhe dy anëtarë - punonjës të PDK-së dhe (nëse PDK-ja ka më pak se tre punonjës, Komisioni mund të përfshijë edhe një anëtar nga MPJ)</w:t>
      </w:r>
    </w:p>
    <w:p w:rsidR="00AF632D" w:rsidRPr="008D63A0" w:rsidRDefault="001B0F43" w:rsidP="001B0F43">
      <w:pPr>
        <w:spacing w:after="0" w:line="240" w:lineRule="auto"/>
        <w:ind w:left="-450" w:right="-90" w:firstLine="450"/>
        <w:jc w:val="both"/>
        <w:rPr>
          <w:rFonts w:ascii="StobiSerif Regular" w:hAnsi="StobiSerif Regular"/>
          <w:lang w:val="sq-AL"/>
        </w:rPr>
      </w:pPr>
      <w:r w:rsidRPr="008D63A0">
        <w:rPr>
          <w:rFonts w:ascii="StobiSerif Regular" w:hAnsi="StobiSerif Regular"/>
          <w:lang w:val="sq-AL"/>
        </w:rPr>
        <w:t>- specifikim teknik i përshtatshme për prokurimin në fjalë (shtojca 4), e nëse prokurohet pajisje për IT, specifikimi teknik duhet të bëhet në koordinim me Sektorin e TIK-së dhe çështjet e sigurisë.</w:t>
      </w:r>
    </w:p>
    <w:p w:rsidR="00DD4091" w:rsidRPr="008D63A0" w:rsidRDefault="00767217" w:rsidP="00767217">
      <w:pPr>
        <w:tabs>
          <w:tab w:val="left" w:pos="-270"/>
          <w:tab w:val="left" w:pos="-180"/>
        </w:tabs>
        <w:spacing w:line="240" w:lineRule="auto"/>
        <w:ind w:left="-450" w:right="-90"/>
        <w:rPr>
          <w:rFonts w:ascii="StobiSerif Regular" w:hAnsi="StobiSerif Regular"/>
          <w:lang w:val="sq-AL"/>
        </w:rPr>
      </w:pPr>
      <w:r w:rsidRPr="008D63A0">
        <w:rPr>
          <w:rFonts w:ascii="StobiSerif Regular" w:hAnsi="StobiSerif Regular"/>
          <w:lang w:val="sq-AL"/>
        </w:rPr>
        <w:lastRenderedPageBreak/>
        <w:t xml:space="preserve">Kërkesa për zbatimin e prokurimit publik dhe specifikimi teknik i dorëzohen MPJ-së, së bashku me shkresë shoqëruese nga PDK-ja, e nënshkruar dhe e vërtetuar në arkiv. </w:t>
      </w:r>
      <w:r w:rsidRPr="008D63A0">
        <w:rPr>
          <w:rFonts w:ascii="StobiSerif Regular" w:hAnsi="StobiSerif Regular"/>
          <w:lang w:val="sq-AL"/>
        </w:rPr>
        <w:br/>
        <w:t xml:space="preserve">Mbi bazën e dokumentacionit të paraqitur nga PDK-ja, MPJ-ja merr Vendim për zbatimin e prokurimit publik, duke i dorëzuar 1 (një) kopje PDK-së përkatëse. </w:t>
      </w:r>
      <w:r w:rsidRPr="008D63A0">
        <w:rPr>
          <w:rFonts w:ascii="StobiSerif Regular" w:hAnsi="StobiSerif Regular"/>
          <w:lang w:val="sq-AL"/>
        </w:rPr>
        <w:br/>
        <w:t>Pas marrjes së Vendimit për zbatimin e prokurimit publik, PDK-ja bën grumbullimin e ofertave në pajtim me specifikimin teknik nga të paktën tre operatorë ekonomikë që kryejnë veprimtari për lëndën e prokurimit. Nëse PDK-ja nuk mund të sigurojë tre oferta, duhet të japë sqarim për shkaqet. Ofertat duhet të jenë të plota dhe të përmbajnë: përshkrim të lëndës së prokurimit, çmimin, sasinë, vlerën e përgjithshme, afatin e dorëzimit dhe garancinë nëse ka prokurim të mallrave si dhe të kenë  memorandum të kompanisë me numrat e kontaktit, adresat elektronike, adresën e kompanisë ose faqen e internetit.</w:t>
      </w:r>
      <w:r w:rsidR="004112EF" w:rsidRPr="008D63A0">
        <w:rPr>
          <w:rFonts w:ascii="StobiSerif Regular" w:hAnsi="StobiSerif Regular"/>
          <w:lang w:val="sq-AL"/>
        </w:rPr>
        <w:t xml:space="preserve">. </w:t>
      </w:r>
    </w:p>
    <w:p w:rsidR="004112EF" w:rsidRPr="008D63A0" w:rsidRDefault="00767217" w:rsidP="00767217">
      <w:pPr>
        <w:tabs>
          <w:tab w:val="left" w:pos="-270"/>
          <w:tab w:val="left" w:pos="-180"/>
        </w:tabs>
        <w:spacing w:line="240" w:lineRule="auto"/>
        <w:ind w:left="-450" w:right="-90"/>
        <w:jc w:val="both"/>
        <w:rPr>
          <w:rFonts w:ascii="StobiSerif Regular" w:hAnsi="StobiSerif Regular"/>
          <w:lang w:val="sq-AL"/>
        </w:rPr>
      </w:pPr>
      <w:r w:rsidRPr="008D63A0">
        <w:rPr>
          <w:rFonts w:ascii="StobiSerif Regular" w:hAnsi="StobiSerif Regular"/>
          <w:lang w:val="sq-AL"/>
        </w:rPr>
        <w:t>Nëse ofertat merren direkt nga faqet e internetit, ato dorëzohen në version të shtypur në MPJ dhe duhet të përmbajnë të njëjtat të dhëna si më parë, duke përfshirë lidhjen për hyrje në faqen e internetit, ofertat duhet të jenë të vërtetuara nga PDK-ja</w:t>
      </w:r>
      <w:r w:rsidR="004112EF" w:rsidRPr="008D63A0">
        <w:rPr>
          <w:rFonts w:ascii="StobiSerif Regular" w:hAnsi="StobiSerif Regular"/>
          <w:lang w:val="sq-AL"/>
        </w:rPr>
        <w:t xml:space="preserve">. </w:t>
      </w:r>
    </w:p>
    <w:p w:rsidR="00116FFD" w:rsidRPr="008D63A0" w:rsidRDefault="00D82968" w:rsidP="00D82968">
      <w:pPr>
        <w:tabs>
          <w:tab w:val="left" w:pos="-270"/>
          <w:tab w:val="left" w:pos="-180"/>
        </w:tabs>
        <w:spacing w:line="240" w:lineRule="auto"/>
        <w:ind w:left="-450" w:right="-90"/>
        <w:jc w:val="both"/>
        <w:rPr>
          <w:rFonts w:ascii="StobiSerif Regular" w:hAnsi="StobiSerif Regular"/>
          <w:lang w:val="sq-AL"/>
        </w:rPr>
      </w:pPr>
      <w:r w:rsidRPr="008D63A0">
        <w:rPr>
          <w:rFonts w:ascii="StobiSerif Regular" w:hAnsi="StobiSerif Regular"/>
          <w:lang w:val="sq-AL"/>
        </w:rPr>
        <w:t>Pas grumbullimit të ofertave, Komisioni vlerëson ofertat dhe përgatit Raportin e procedurës së zhvilluar (formulari shtojca 5) me analizë të ofertave dhe propozim për zgjedhjen e ofertës më të volitshme. Raporti nënshkruhet nga kryetari dhe anëtarët e Komisionit dhe vërtetohet në arkivin e PDK-së. Ofertat dhe raporti me shkrim dorëzohen në MPJ</w:t>
      </w:r>
      <w:r w:rsidR="00364160" w:rsidRPr="008D63A0">
        <w:rPr>
          <w:rFonts w:ascii="StobiSerif Regular" w:hAnsi="StobiSerif Regular"/>
          <w:lang w:val="sq-AL"/>
        </w:rPr>
        <w:t xml:space="preserve">. </w:t>
      </w:r>
    </w:p>
    <w:p w:rsidR="006D56A4" w:rsidRPr="008D63A0" w:rsidRDefault="00D82968" w:rsidP="00D82968">
      <w:pPr>
        <w:tabs>
          <w:tab w:val="left" w:pos="-270"/>
          <w:tab w:val="left" w:pos="-180"/>
        </w:tabs>
        <w:spacing w:line="240" w:lineRule="auto"/>
        <w:ind w:left="-450" w:right="-90"/>
        <w:jc w:val="both"/>
        <w:rPr>
          <w:rFonts w:ascii="StobiSerif Regular" w:hAnsi="StobiSerif Regular"/>
          <w:lang w:val="sq-AL"/>
        </w:rPr>
      </w:pPr>
      <w:r w:rsidRPr="008D63A0">
        <w:rPr>
          <w:rFonts w:ascii="StobiSerif Regular" w:hAnsi="StobiSerif Regular"/>
          <w:lang w:val="sq-AL"/>
        </w:rPr>
        <w:t>Në bazë të ofertave të paraqitura dhe Raportit të PDK-së, DOR merr Vendim për zgjedhjen e ofertës më të volitshme, nga e cila 1 (një) kopje dorëzohet në PDK-në përkatëse dhe 1 (një) në Sektorin e çështjeve financiare për veprim të mëtejshëm</w:t>
      </w:r>
      <w:r w:rsidR="007F358E" w:rsidRPr="008D63A0">
        <w:rPr>
          <w:rFonts w:ascii="StobiSerif Regular" w:hAnsi="StobiSerif Regular"/>
          <w:lang w:val="sq-AL"/>
        </w:rPr>
        <w:t>.</w:t>
      </w:r>
    </w:p>
    <w:p w:rsidR="00DD4091" w:rsidRPr="008D63A0" w:rsidRDefault="00C0752C" w:rsidP="00D82968">
      <w:pPr>
        <w:tabs>
          <w:tab w:val="left" w:pos="-270"/>
          <w:tab w:val="left" w:pos="-180"/>
        </w:tabs>
        <w:spacing w:line="240" w:lineRule="auto"/>
        <w:ind w:left="-450" w:right="-90"/>
        <w:jc w:val="both"/>
        <w:rPr>
          <w:rFonts w:ascii="StobiSerif Regular" w:hAnsi="StobiSerif Regular"/>
          <w:lang w:val="sq-AL"/>
        </w:rPr>
      </w:pPr>
      <w:r w:rsidRPr="008D63A0">
        <w:rPr>
          <w:rFonts w:ascii="StobiSerif Regular" w:hAnsi="StobiSerif Regular"/>
          <w:lang w:val="sq-AL"/>
        </w:rPr>
        <w:t>Pas marrjes së Vendimit për përzgjedhjen e ofertuesit më të volitshëm, PDK-ja ka obligim ligjor të njoftojë ofertuesin më të volitshëm se oferta e tij është pranuar dhe të njëjtin t'ia dorëzojë MPJ-së</w:t>
      </w:r>
      <w:r w:rsidR="004D221D" w:rsidRPr="008D63A0">
        <w:rPr>
          <w:rFonts w:ascii="StobiSerif Regular" w:hAnsi="StobiSerif Regular"/>
          <w:lang w:val="sq-AL"/>
        </w:rPr>
        <w:t>.</w:t>
      </w:r>
      <w:r w:rsidR="00DD4091" w:rsidRPr="008D63A0">
        <w:rPr>
          <w:rFonts w:ascii="StobiSerif Regular" w:hAnsi="StobiSerif Regular"/>
          <w:lang w:val="sq-AL"/>
        </w:rPr>
        <w:t xml:space="preserve"> </w:t>
      </w:r>
    </w:p>
    <w:p w:rsidR="006B3685" w:rsidRPr="008D63A0" w:rsidRDefault="00C0752C" w:rsidP="00D82968">
      <w:pPr>
        <w:spacing w:line="240" w:lineRule="auto"/>
        <w:ind w:left="-450" w:right="-90"/>
        <w:jc w:val="both"/>
        <w:rPr>
          <w:rFonts w:ascii="StobiSerif Regular" w:hAnsi="StobiSerif Regular"/>
          <w:lang w:val="sq-AL"/>
        </w:rPr>
      </w:pPr>
      <w:r w:rsidRPr="008D63A0">
        <w:rPr>
          <w:rFonts w:ascii="StobiSerif Regular" w:hAnsi="StobiSerif Regular"/>
          <w:lang w:val="sq-AL"/>
        </w:rPr>
        <w:t>Në procedurën e mëtejshme, PDK-ja duhet të lidhë Marrëveshje për zbatimin e prokurimit publik me ofertuesin më të volitshëm. Kontrata e nënshkruar nga Operatori ekonomik dhe kreu i Përfaqësisë, e vërtetuar në arkivin e PDK-së, i dorëzohet DOR- Njësia e prokurimeve publike</w:t>
      </w:r>
      <w:r w:rsidR="00DE5021" w:rsidRPr="008D63A0">
        <w:rPr>
          <w:rFonts w:ascii="StobiSerif Regular" w:hAnsi="StobiSerif Regular"/>
          <w:lang w:val="sq-AL"/>
        </w:rPr>
        <w:t>.</w:t>
      </w:r>
    </w:p>
    <w:p w:rsidR="00203FF0" w:rsidRPr="008D63A0" w:rsidRDefault="00C0752C" w:rsidP="00D82968">
      <w:pPr>
        <w:spacing w:line="240" w:lineRule="auto"/>
        <w:ind w:left="-450" w:right="-90"/>
        <w:jc w:val="both"/>
        <w:rPr>
          <w:rFonts w:ascii="StobiSerif Regular" w:hAnsi="StobiSerif Regular"/>
          <w:lang w:val="sq-AL"/>
        </w:rPr>
      </w:pPr>
      <w:r w:rsidRPr="008D63A0">
        <w:rPr>
          <w:rFonts w:ascii="StobiSerif Regular" w:hAnsi="StobiSerif Regular"/>
          <w:lang w:val="sq-AL"/>
        </w:rPr>
        <w:t>Përjashtim nga paragrafi i mëparshëm mund të jenë prokurimet e rëndomta publike të mallrave dhe të disa llojeve të shërbimeve për të cilat nuk ka praktikë në vendin e pranimit për lidhje të kontratës (prokurimi i mallrave nga dyqanet, shitja elektronike e mallrave, etj.) për të cilat është kryer procedurë prokurimi publik me përzgjedhjen e  ofertës që përmban të gjithë elementët e specifikuar në paragrafin 4, përfshirë edhe njoftim deri te ofertuesi më i volitshëm nga paragrafi 7</w:t>
      </w:r>
      <w:r w:rsidR="006B3685" w:rsidRPr="008D63A0">
        <w:rPr>
          <w:rFonts w:ascii="StobiSerif Regular" w:hAnsi="StobiSerif Regular"/>
          <w:lang w:val="sq-AL"/>
        </w:rPr>
        <w:t>.</w:t>
      </w:r>
    </w:p>
    <w:p w:rsidR="00D325C2" w:rsidRPr="008D63A0" w:rsidRDefault="00C0752C" w:rsidP="00C0752C">
      <w:pPr>
        <w:tabs>
          <w:tab w:val="left" w:pos="-270"/>
          <w:tab w:val="left" w:pos="-180"/>
        </w:tabs>
        <w:spacing w:line="240" w:lineRule="auto"/>
        <w:ind w:left="-450" w:right="-90"/>
        <w:jc w:val="both"/>
        <w:rPr>
          <w:rFonts w:ascii="StobiSerif Regular" w:hAnsi="StobiSerif Regular"/>
          <w:lang w:val="sq-AL"/>
        </w:rPr>
      </w:pPr>
      <w:r w:rsidRPr="008D63A0">
        <w:rPr>
          <w:rFonts w:ascii="StobiSerif Regular" w:hAnsi="StobiSerif Regular"/>
          <w:lang w:val="sq-AL"/>
        </w:rPr>
        <w:t>Për rregullsinë e procedurës së përgjithshme të prokurimit publik dhe plotësinë e dokumentacionit, duke përfshirë plotësinë e ofertës dhe njoftimin e dorëzuar për pranimin e ofertës, përgjigjet kreu i PDK-së/ushtruesi i detyrës</w:t>
      </w:r>
      <w:r w:rsidR="00D325C2" w:rsidRPr="008D63A0">
        <w:rPr>
          <w:rFonts w:ascii="StobiSerif Regular" w:hAnsi="StobiSerif Regular"/>
          <w:lang w:val="sq-AL"/>
        </w:rPr>
        <w:t>.</w:t>
      </w:r>
    </w:p>
    <w:p w:rsidR="006B3685" w:rsidRPr="008D63A0" w:rsidRDefault="00F02B47" w:rsidP="00C0752C">
      <w:pPr>
        <w:tabs>
          <w:tab w:val="left" w:pos="-270"/>
          <w:tab w:val="left" w:pos="-180"/>
        </w:tabs>
        <w:spacing w:line="240" w:lineRule="auto"/>
        <w:ind w:left="-450" w:right="-90"/>
        <w:jc w:val="both"/>
        <w:rPr>
          <w:rFonts w:ascii="StobiSerif Regular" w:hAnsi="StobiSerif Regular"/>
          <w:lang w:val="sq-AL"/>
        </w:rPr>
      </w:pPr>
      <w:r w:rsidRPr="008D63A0">
        <w:rPr>
          <w:rFonts w:ascii="StobiSerif Regular" w:hAnsi="StobiSerif Regular"/>
          <w:lang w:val="sq-AL"/>
        </w:rPr>
        <w:t>I gjithë dokumentacioni nga procedura e prokurimit publik të realizuar ruhet për të paktën pesë vjet nga lidhja e kontratës së prokurimit publik ose nga përfundimi i vendimit të përzgjedhjes/anulimit në DOR - Njësia e prokurimeve publike dhe në PDK që e zbaton prokurimin</w:t>
      </w:r>
      <w:r w:rsidR="006B3685" w:rsidRPr="008D63A0">
        <w:rPr>
          <w:rFonts w:ascii="StobiSerif Regular" w:hAnsi="StobiSerif Regular"/>
          <w:lang w:val="sq-AL"/>
        </w:rPr>
        <w:t>.</w:t>
      </w:r>
    </w:p>
    <w:p w:rsidR="004D221D" w:rsidRPr="008D63A0" w:rsidRDefault="005D5E5C" w:rsidP="00C0752C">
      <w:pPr>
        <w:tabs>
          <w:tab w:val="left" w:pos="-270"/>
          <w:tab w:val="left" w:pos="-180"/>
        </w:tabs>
        <w:spacing w:line="240" w:lineRule="auto"/>
        <w:ind w:left="-450" w:right="-90"/>
        <w:jc w:val="both"/>
        <w:rPr>
          <w:rFonts w:ascii="StobiSerif Regular" w:hAnsi="StobiSerif Regular"/>
          <w:lang w:val="sq-AL"/>
        </w:rPr>
      </w:pPr>
      <w:r w:rsidRPr="008D63A0">
        <w:rPr>
          <w:rFonts w:ascii="StobiSerif Regular" w:hAnsi="StobiSerif Regular"/>
          <w:lang w:val="sq-AL"/>
        </w:rPr>
        <w:t xml:space="preserve">5.2 Nëse gjatë zbatimit të procedurës së prokurimit publik paraqitet nevoja e ndryshimit/plotësimit të Vendimit për zbatimin e prokurimit publik dhe Vendimit për zgjedhjen e ofertuesit më të </w:t>
      </w:r>
      <w:r w:rsidRPr="008D63A0">
        <w:rPr>
          <w:rFonts w:ascii="StobiSerif Regular" w:hAnsi="StobiSerif Regular"/>
          <w:lang w:val="sq-AL"/>
        </w:rPr>
        <w:lastRenderedPageBreak/>
        <w:t>volitshëm (ndryshim në vlerën e parashikuar, ndryshim i anëtarit në Komisionin e prokurimit publik, gabim në raport, etj.) PDK-ja duhet t'i paraqesë Drejtorisë së çështjeve organizative kërkesë me arsye për ndryshimin e vendimeve</w:t>
      </w:r>
      <w:r w:rsidR="004D221D" w:rsidRPr="008D63A0">
        <w:rPr>
          <w:rFonts w:ascii="StobiSerif Regular" w:hAnsi="StobiSerif Regular"/>
          <w:lang w:val="sq-AL"/>
        </w:rPr>
        <w:t>.</w:t>
      </w:r>
    </w:p>
    <w:p w:rsidR="00EC62E0" w:rsidRPr="008D63A0" w:rsidRDefault="0013588B" w:rsidP="00276C25">
      <w:pPr>
        <w:spacing w:line="240" w:lineRule="auto"/>
        <w:ind w:left="-450" w:right="-90" w:firstLine="450"/>
        <w:jc w:val="both"/>
        <w:rPr>
          <w:rFonts w:ascii="StobiSerif Regular" w:hAnsi="StobiSerif Regular"/>
          <w:b/>
          <w:lang w:val="sq-AL"/>
        </w:rPr>
      </w:pPr>
      <w:r w:rsidRPr="008D63A0">
        <w:rPr>
          <w:rFonts w:ascii="StobiSerif Regular" w:hAnsi="StobiSerif Regular"/>
          <w:b/>
          <w:lang w:val="sq-AL"/>
        </w:rPr>
        <w:t>6</w:t>
      </w:r>
      <w:r w:rsidR="000D1D93" w:rsidRPr="008D63A0">
        <w:rPr>
          <w:rFonts w:ascii="StobiSerif Regular" w:hAnsi="StobiSerif Regular"/>
          <w:b/>
          <w:lang w:val="sq-AL"/>
        </w:rPr>
        <w:t>.</w:t>
      </w:r>
      <w:r w:rsidR="002C7375" w:rsidRPr="008D63A0">
        <w:rPr>
          <w:rFonts w:ascii="StobiSerif Regular" w:hAnsi="StobiSerif Regular"/>
          <w:b/>
          <w:lang w:val="sq-AL"/>
        </w:rPr>
        <w:t xml:space="preserve"> </w:t>
      </w:r>
      <w:r w:rsidR="00400B4E" w:rsidRPr="008D63A0">
        <w:rPr>
          <w:rFonts w:ascii="StobiSerif Regular" w:hAnsi="StobiSerif Regular"/>
          <w:b/>
          <w:lang w:val="sq-AL"/>
        </w:rPr>
        <w:t>DISPOZITAT PËRMBYLLËSE</w:t>
      </w:r>
    </w:p>
    <w:p w:rsidR="003B2EA4" w:rsidRPr="008D63A0" w:rsidRDefault="00400B4E" w:rsidP="005841AB">
      <w:pPr>
        <w:spacing w:line="240" w:lineRule="auto"/>
        <w:ind w:left="-450" w:right="-90"/>
        <w:rPr>
          <w:rFonts w:ascii="StobiSerif Regular" w:hAnsi="StobiSerif Regular"/>
          <w:lang w:val="sq-AL"/>
        </w:rPr>
      </w:pPr>
      <w:r w:rsidRPr="008D63A0">
        <w:rPr>
          <w:rFonts w:ascii="StobiSerif Regular" w:hAnsi="StobiSerif Regular"/>
          <w:lang w:val="sq-AL"/>
        </w:rPr>
        <w:t>6.1. Për çdo gjë që nuk përfshihet me këtë procedurë të brendshme, zbatohen dispozitat e Ligjit të Prokurimeve Publike dhe Ligjit të Marrëdhënieve të Detyrimeve, si dhe rregulloret pozitive në Republikën e Maqedonisë së Veriut.</w:t>
      </w:r>
      <w:r w:rsidR="005841AB" w:rsidRPr="008D63A0">
        <w:rPr>
          <w:rFonts w:ascii="StobiSerif Regular" w:hAnsi="StobiSerif Regular"/>
          <w:lang w:val="sq-AL"/>
        </w:rPr>
        <w:t xml:space="preserve"> </w:t>
      </w:r>
      <w:r w:rsidR="005841AB" w:rsidRPr="008D63A0">
        <w:rPr>
          <w:rFonts w:ascii="StobiSerif Regular" w:hAnsi="StobiSerif Regular"/>
          <w:lang w:val="sq-AL"/>
        </w:rPr>
        <w:br/>
      </w:r>
      <w:r w:rsidRPr="008D63A0">
        <w:rPr>
          <w:rFonts w:ascii="StobiSerif Regular" w:hAnsi="StobiSerif Regular"/>
          <w:lang w:val="sq-AL"/>
        </w:rPr>
        <w:t>6.2 Rregullat e Procedurës së brendshme hyjnë në fuqi nga data e publikimit në faqen e brendshme të Ministrisë së Punëve të Jashtme</w:t>
      </w:r>
      <w:r w:rsidR="003B2EA4" w:rsidRPr="008D63A0">
        <w:rPr>
          <w:rFonts w:ascii="StobiSerif Regular" w:hAnsi="StobiSerif Regular"/>
          <w:lang w:val="sq-AL"/>
        </w:rPr>
        <w:t>.</w:t>
      </w:r>
    </w:p>
    <w:p w:rsidR="00A56EDC" w:rsidRPr="008D63A0" w:rsidRDefault="00A56EDC" w:rsidP="00276C25">
      <w:pPr>
        <w:spacing w:line="240" w:lineRule="auto"/>
        <w:ind w:left="-450" w:right="-90" w:firstLine="540"/>
        <w:rPr>
          <w:rFonts w:ascii="StobiSerif Regular" w:eastAsia="Calibri" w:hAnsi="StobiSerif Regular"/>
          <w:sz w:val="16"/>
          <w:szCs w:val="16"/>
          <w:lang w:val="sq-AL"/>
        </w:rPr>
      </w:pPr>
    </w:p>
    <w:p w:rsidR="008B4626" w:rsidRPr="00A94F98" w:rsidRDefault="008B4626" w:rsidP="008B4626">
      <w:pPr>
        <w:rPr>
          <w:rFonts w:ascii="StobiSerif Regular" w:eastAsia="Calibri" w:hAnsi="StobiSerif Regular"/>
          <w:sz w:val="16"/>
          <w:szCs w:val="16"/>
        </w:rPr>
      </w:pPr>
      <w:r w:rsidRPr="00A94F98">
        <w:rPr>
          <w:rFonts w:ascii="StobiSerif Regular" w:eastAsia="Calibri" w:hAnsi="StobiSerif Regular"/>
          <w:sz w:val="16"/>
          <w:szCs w:val="16"/>
          <w:lang w:val="sq-AL"/>
        </w:rPr>
        <w:t>П</w:t>
      </w:r>
      <w:r w:rsidRPr="00A94F98">
        <w:rPr>
          <w:rFonts w:ascii="StobiSerif Regular" w:eastAsia="Calibri" w:hAnsi="StobiSerif Regular"/>
          <w:sz w:val="16"/>
          <w:szCs w:val="16"/>
          <w:lang w:val="mk-MK"/>
        </w:rPr>
        <w:t>О</w:t>
      </w:r>
      <w:r w:rsidRPr="00A94F98">
        <w:rPr>
          <w:rFonts w:ascii="StobiSerif Regular" w:eastAsia="Calibri" w:hAnsi="StobiSerif Regular"/>
          <w:sz w:val="16"/>
          <w:szCs w:val="16"/>
          <w:lang w:val="sq-AL"/>
        </w:rPr>
        <w:t xml:space="preserve"> </w:t>
      </w:r>
      <w:proofErr w:type="spellStart"/>
      <w:r w:rsidRPr="00A94F98">
        <w:rPr>
          <w:rFonts w:ascii="StobiSerif Regular" w:eastAsia="Calibri" w:hAnsi="StobiSerif Regular"/>
          <w:sz w:val="16"/>
          <w:szCs w:val="16"/>
          <w:lang w:val="sq-AL"/>
        </w:rPr>
        <w:t>на</w:t>
      </w:r>
      <w:proofErr w:type="spellEnd"/>
      <w:r w:rsidRPr="00A94F98">
        <w:rPr>
          <w:rFonts w:ascii="StobiSerif Regular" w:eastAsia="Calibri" w:hAnsi="StobiSerif Regular"/>
          <w:sz w:val="16"/>
          <w:szCs w:val="16"/>
          <w:lang w:val="mk-MK"/>
        </w:rPr>
        <w:t>/</w:t>
      </w:r>
      <w:r w:rsidRPr="00A94F98">
        <w:rPr>
          <w:rFonts w:ascii="StobiSerif Regular" w:eastAsia="Calibri" w:hAnsi="StobiSerif Regular"/>
          <w:sz w:val="16"/>
          <w:szCs w:val="16"/>
        </w:rPr>
        <w:t>me A:</w:t>
      </w:r>
      <w:r>
        <w:rPr>
          <w:rFonts w:ascii="StobiSerif Regular" w:eastAsia="Calibri" w:hAnsi="StobiSerif Regular"/>
          <w:sz w:val="16"/>
          <w:szCs w:val="16"/>
        </w:rPr>
        <w:t xml:space="preserve"> </w:t>
      </w:r>
      <w:proofErr w:type="spellStart"/>
      <w:r w:rsidRPr="00A94F98">
        <w:rPr>
          <w:rFonts w:ascii="StobiSerif Regular" w:eastAsia="Calibri" w:hAnsi="StobiSerif Regular"/>
          <w:sz w:val="16"/>
          <w:szCs w:val="16"/>
          <w:lang w:val="sq-AL"/>
        </w:rPr>
        <w:t>М.Жаку</w:t>
      </w:r>
      <w:proofErr w:type="spellEnd"/>
    </w:p>
    <w:p w:rsidR="00A56EDC" w:rsidRPr="008D63A0" w:rsidRDefault="00A56EDC" w:rsidP="00276C25">
      <w:pPr>
        <w:spacing w:line="240" w:lineRule="auto"/>
        <w:rPr>
          <w:rFonts w:ascii="StobiSerif Regular" w:eastAsia="Calibri" w:hAnsi="StobiSerif Regular"/>
          <w:color w:val="FF0000"/>
          <w:sz w:val="16"/>
          <w:szCs w:val="16"/>
          <w:lang w:val="sq-AL"/>
        </w:rPr>
      </w:pPr>
    </w:p>
    <w:tbl>
      <w:tblPr>
        <w:tblW w:w="10991" w:type="dxa"/>
        <w:tblInd w:w="-342" w:type="dxa"/>
        <w:tblLook w:val="0000" w:firstRow="0" w:lastRow="0" w:firstColumn="0" w:lastColumn="0" w:noHBand="0" w:noVBand="0"/>
      </w:tblPr>
      <w:tblGrid>
        <w:gridCol w:w="180"/>
        <w:gridCol w:w="10811"/>
      </w:tblGrid>
      <w:tr w:rsidR="00A56EDC" w:rsidRPr="008D63A0" w:rsidTr="00A56EDC">
        <w:trPr>
          <w:gridBefore w:val="1"/>
          <w:wBefore w:w="180" w:type="dxa"/>
          <w:trHeight w:val="3915"/>
        </w:trPr>
        <w:tc>
          <w:tcPr>
            <w:tcW w:w="10811" w:type="dxa"/>
          </w:tcPr>
          <w:p w:rsidR="00A56EDC" w:rsidRPr="008D63A0" w:rsidRDefault="00980A16" w:rsidP="00276C25">
            <w:pPr>
              <w:spacing w:line="240" w:lineRule="auto"/>
              <w:ind w:left="5385"/>
              <w:rPr>
                <w:rFonts w:ascii="StobiSerif Regular" w:eastAsia="Calibri" w:hAnsi="StobiSerif Regular"/>
                <w:b/>
                <w:lang w:val="sq-AL"/>
              </w:rPr>
            </w:pPr>
            <w:r w:rsidRPr="008D63A0">
              <w:rPr>
                <w:rFonts w:ascii="StobiSerif Regular" w:eastAsia="Calibri" w:hAnsi="StobiSerif Regular"/>
                <w:b/>
                <w:lang w:val="sq-AL"/>
              </w:rPr>
              <w:t xml:space="preserve">               </w:t>
            </w:r>
            <w:proofErr w:type="spellStart"/>
            <w:r w:rsidR="00A56EDC" w:rsidRPr="008D63A0">
              <w:rPr>
                <w:rFonts w:ascii="StobiSerif Regular" w:eastAsia="Calibri" w:hAnsi="StobiSerif Regular"/>
                <w:b/>
                <w:lang w:val="sq-AL"/>
              </w:rPr>
              <w:t>Министер</w:t>
            </w:r>
            <w:proofErr w:type="spellEnd"/>
            <w:r w:rsidR="00A56EDC" w:rsidRPr="008D63A0">
              <w:rPr>
                <w:rFonts w:ascii="StobiSerif Regular" w:eastAsia="Calibri" w:hAnsi="StobiSerif Regular"/>
                <w:b/>
                <w:lang w:val="sq-AL"/>
              </w:rPr>
              <w:t>/ Ministër</w:t>
            </w:r>
          </w:p>
          <w:p w:rsidR="00A56EDC" w:rsidRPr="008D63A0" w:rsidRDefault="00A56EDC" w:rsidP="00276C25">
            <w:pPr>
              <w:spacing w:line="240" w:lineRule="auto"/>
              <w:rPr>
                <w:rFonts w:ascii="StobiSerif Regular" w:eastAsia="Calibri" w:hAnsi="StobiSerif Regular"/>
                <w:b/>
                <w:lang w:val="sq-AL"/>
              </w:rPr>
            </w:pPr>
            <w:r w:rsidRPr="008D63A0">
              <w:rPr>
                <w:rFonts w:ascii="StobiSerif Regular" w:eastAsia="Calibri" w:hAnsi="StobiSerif Regular"/>
                <w:b/>
                <w:lang w:val="sq-AL"/>
              </w:rPr>
              <w:t xml:space="preserve">       </w:t>
            </w:r>
            <w:r w:rsidR="006330FE" w:rsidRPr="008D63A0">
              <w:rPr>
                <w:rFonts w:ascii="StobiSerif Regular" w:eastAsia="Calibri" w:hAnsi="StobiSerif Regular"/>
                <w:b/>
                <w:lang w:val="sq-AL"/>
              </w:rPr>
              <w:t xml:space="preserve">                                                                       </w:t>
            </w:r>
            <w:r w:rsidR="00980A16" w:rsidRPr="008D63A0">
              <w:rPr>
                <w:rFonts w:ascii="StobiSerif Regular" w:eastAsia="Calibri" w:hAnsi="StobiSerif Regular"/>
                <w:b/>
                <w:lang w:val="sq-AL"/>
              </w:rPr>
              <w:t xml:space="preserve">          </w:t>
            </w:r>
            <w:r w:rsidR="006330FE" w:rsidRPr="008D63A0">
              <w:rPr>
                <w:rFonts w:ascii="StobiSerif Regular" w:eastAsia="Calibri" w:hAnsi="StobiSerif Regular"/>
                <w:b/>
                <w:lang w:val="sq-AL"/>
              </w:rPr>
              <w:t xml:space="preserve">         </w:t>
            </w:r>
            <w:r w:rsidR="00980A16" w:rsidRPr="008D63A0">
              <w:rPr>
                <w:rFonts w:ascii="StobiSerif Regular" w:eastAsia="Calibri" w:hAnsi="StobiSerif Regular"/>
                <w:b/>
                <w:lang w:val="sq-AL"/>
              </w:rPr>
              <w:t xml:space="preserve">  </w:t>
            </w:r>
            <w:r w:rsidR="006330FE" w:rsidRPr="008D63A0">
              <w:rPr>
                <w:rFonts w:ascii="StobiSerif Regular" w:eastAsia="Calibri" w:hAnsi="StobiSerif Regular"/>
                <w:b/>
                <w:lang w:val="sq-AL"/>
              </w:rPr>
              <w:t xml:space="preserve"> </w:t>
            </w:r>
            <w:r w:rsidRPr="008D63A0">
              <w:rPr>
                <w:rFonts w:ascii="StobiSerif Regular" w:eastAsia="Calibri" w:hAnsi="StobiSerif Regular"/>
                <w:b/>
                <w:lang w:val="sq-AL"/>
              </w:rPr>
              <w:t xml:space="preserve">      </w:t>
            </w:r>
            <w:proofErr w:type="spellStart"/>
            <w:r w:rsidRPr="008D63A0">
              <w:rPr>
                <w:rFonts w:ascii="StobiSerif Regular" w:eastAsia="Calibri" w:hAnsi="StobiSerif Regular"/>
                <w:b/>
                <w:lang w:val="sq-AL"/>
              </w:rPr>
              <w:t>Бујар</w:t>
            </w:r>
            <w:proofErr w:type="spellEnd"/>
            <w:r w:rsidRPr="008D63A0">
              <w:rPr>
                <w:rFonts w:ascii="StobiSerif Regular" w:eastAsia="Calibri" w:hAnsi="StobiSerif Regular"/>
                <w:b/>
                <w:lang w:val="sq-AL"/>
              </w:rPr>
              <w:t xml:space="preserve"> </w:t>
            </w:r>
            <w:proofErr w:type="spellStart"/>
            <w:r w:rsidRPr="008D63A0">
              <w:rPr>
                <w:rFonts w:ascii="StobiSerif Regular" w:eastAsia="Calibri" w:hAnsi="StobiSerif Regular"/>
                <w:b/>
                <w:lang w:val="sq-AL"/>
              </w:rPr>
              <w:t>Османи</w:t>
            </w:r>
            <w:proofErr w:type="spellEnd"/>
            <w:r w:rsidRPr="008D63A0">
              <w:rPr>
                <w:rFonts w:ascii="StobiSerif Regular" w:eastAsia="Calibri" w:hAnsi="StobiSerif Regular"/>
                <w:b/>
                <w:lang w:val="sq-AL"/>
              </w:rPr>
              <w:t>/ Bujar Osmani</w:t>
            </w:r>
          </w:p>
          <w:p w:rsidR="00A56EDC" w:rsidRPr="008D63A0" w:rsidRDefault="00A56EDC" w:rsidP="00276C25">
            <w:pPr>
              <w:tabs>
                <w:tab w:val="left" w:pos="6210"/>
              </w:tabs>
              <w:spacing w:line="240" w:lineRule="auto"/>
              <w:rPr>
                <w:rFonts w:ascii="StobiSerif Regular" w:eastAsia="Calibri" w:hAnsi="StobiSerif Regular"/>
                <w:b/>
                <w:sz w:val="16"/>
                <w:szCs w:val="16"/>
                <w:lang w:val="sq-AL"/>
              </w:rPr>
            </w:pPr>
            <w:r w:rsidRPr="008D63A0">
              <w:rPr>
                <w:rFonts w:ascii="StobiSerif Regular" w:eastAsia="Calibri" w:hAnsi="StobiSerif Regular"/>
                <w:b/>
                <w:sz w:val="16"/>
                <w:szCs w:val="16"/>
                <w:lang w:val="sq-AL"/>
              </w:rPr>
              <w:tab/>
            </w:r>
            <w:r w:rsidRPr="008D63A0">
              <w:rPr>
                <w:rFonts w:ascii="StobiSerif Regular" w:eastAsia="Calibri" w:hAnsi="StobiSerif Regular"/>
                <w:b/>
                <w:sz w:val="16"/>
                <w:szCs w:val="16"/>
                <w:lang w:val="sq-AL"/>
              </w:rPr>
              <w:tab/>
            </w:r>
            <w:r w:rsidRPr="008D63A0">
              <w:rPr>
                <w:rFonts w:ascii="StobiSerif Regular" w:eastAsia="Calibri" w:hAnsi="StobiSerif Regular"/>
                <w:b/>
                <w:sz w:val="16"/>
                <w:szCs w:val="16"/>
                <w:lang w:val="sq-AL"/>
              </w:rPr>
              <w:tab/>
            </w:r>
          </w:p>
          <w:p w:rsidR="007F3016" w:rsidRPr="008D63A0" w:rsidRDefault="007F3016" w:rsidP="00276C25">
            <w:pPr>
              <w:spacing w:after="0" w:line="240" w:lineRule="auto"/>
              <w:rPr>
                <w:rFonts w:ascii="StobiSerif Regular" w:eastAsia="Calibri" w:hAnsi="StobiSerif Regular"/>
                <w:sz w:val="16"/>
                <w:szCs w:val="16"/>
                <w:lang w:val="sq-AL"/>
              </w:rPr>
            </w:pPr>
          </w:p>
          <w:p w:rsidR="00A56EDC" w:rsidRPr="008D63A0" w:rsidRDefault="00A56EDC" w:rsidP="00276C25">
            <w:pPr>
              <w:spacing w:after="0" w:line="240" w:lineRule="auto"/>
              <w:rPr>
                <w:rFonts w:ascii="StobiSerif Regular" w:eastAsia="Calibri" w:hAnsi="StobiSerif Regular"/>
                <w:sz w:val="16"/>
                <w:szCs w:val="16"/>
                <w:lang w:val="sq-AL"/>
              </w:rPr>
            </w:pPr>
            <w:proofErr w:type="spellStart"/>
            <w:r w:rsidRPr="008D63A0">
              <w:rPr>
                <w:rFonts w:ascii="StobiSerif Regular" w:eastAsia="Calibri" w:hAnsi="StobiSerif Regular"/>
                <w:sz w:val="16"/>
                <w:szCs w:val="16"/>
                <w:lang w:val="sq-AL"/>
              </w:rPr>
              <w:t>Изработил</w:t>
            </w:r>
            <w:proofErr w:type="spellEnd"/>
            <w:r w:rsidRPr="008D63A0">
              <w:rPr>
                <w:rFonts w:ascii="StobiSerif Regular" w:eastAsia="Calibri" w:hAnsi="StobiSerif Regular"/>
                <w:sz w:val="16"/>
                <w:szCs w:val="16"/>
                <w:lang w:val="sq-AL"/>
              </w:rPr>
              <w:t>/Përpiloi:</w:t>
            </w:r>
            <w:r w:rsidR="008B4626">
              <w:rPr>
                <w:rFonts w:ascii="StobiSerif Regular" w:eastAsia="Calibri" w:hAnsi="StobiSerif Regular"/>
                <w:sz w:val="16"/>
                <w:szCs w:val="16"/>
                <w:lang w:val="sq-AL"/>
              </w:rPr>
              <w:t xml:space="preserve"> </w:t>
            </w:r>
            <w:proofErr w:type="spellStart"/>
            <w:r w:rsidRPr="008D63A0">
              <w:rPr>
                <w:rFonts w:ascii="StobiSerif Regular" w:eastAsia="Calibri" w:hAnsi="StobiSerif Regular"/>
                <w:sz w:val="16"/>
                <w:szCs w:val="16"/>
                <w:lang w:val="sq-AL"/>
              </w:rPr>
              <w:t>Д.Ј.Петковска</w:t>
            </w:r>
            <w:proofErr w:type="spellEnd"/>
          </w:p>
          <w:p w:rsidR="00A56EDC" w:rsidRPr="008D63A0" w:rsidRDefault="00A56EDC" w:rsidP="00276C25">
            <w:pPr>
              <w:spacing w:after="0" w:line="240" w:lineRule="auto"/>
              <w:rPr>
                <w:rFonts w:ascii="StobiSerif Regular" w:eastAsia="Calibri" w:hAnsi="StobiSerif Regular"/>
                <w:sz w:val="16"/>
                <w:szCs w:val="16"/>
                <w:lang w:val="sq-AL"/>
              </w:rPr>
            </w:pPr>
            <w:proofErr w:type="spellStart"/>
            <w:r w:rsidRPr="008D63A0">
              <w:rPr>
                <w:rFonts w:ascii="StobiSerif Regular" w:eastAsia="Calibri" w:hAnsi="StobiSerif Regular"/>
                <w:sz w:val="16"/>
                <w:szCs w:val="16"/>
                <w:lang w:val="sq-AL"/>
              </w:rPr>
              <w:t>Контролирал</w:t>
            </w:r>
            <w:proofErr w:type="spellEnd"/>
            <w:r w:rsidRPr="008D63A0">
              <w:rPr>
                <w:rFonts w:ascii="StobiSerif Regular" w:eastAsia="Calibri" w:hAnsi="StobiSerif Regular"/>
                <w:sz w:val="16"/>
                <w:szCs w:val="16"/>
                <w:lang w:val="sq-AL"/>
              </w:rPr>
              <w:t>/Kontrolloi:</w:t>
            </w:r>
            <w:r w:rsidR="008B4626">
              <w:rPr>
                <w:rFonts w:ascii="StobiSerif Regular" w:eastAsia="Calibri" w:hAnsi="StobiSerif Regular"/>
                <w:sz w:val="16"/>
                <w:szCs w:val="16"/>
                <w:lang w:val="sq-AL"/>
              </w:rPr>
              <w:t xml:space="preserve"> </w:t>
            </w:r>
            <w:proofErr w:type="spellStart"/>
            <w:r w:rsidRPr="008D63A0">
              <w:rPr>
                <w:rFonts w:ascii="StobiSerif Regular" w:eastAsia="Calibri" w:hAnsi="StobiSerif Regular"/>
                <w:sz w:val="16"/>
                <w:szCs w:val="16"/>
                <w:lang w:val="sq-AL"/>
              </w:rPr>
              <w:t>З.Богоески</w:t>
            </w:r>
            <w:proofErr w:type="spellEnd"/>
          </w:p>
          <w:p w:rsidR="00A56EDC" w:rsidRPr="008D63A0" w:rsidRDefault="00A56EDC" w:rsidP="00276C25">
            <w:pPr>
              <w:spacing w:after="0" w:line="240" w:lineRule="auto"/>
              <w:rPr>
                <w:rFonts w:ascii="StobiSerif Regular" w:eastAsia="Calibri" w:hAnsi="StobiSerif Regular"/>
                <w:sz w:val="16"/>
                <w:szCs w:val="16"/>
                <w:lang w:val="sq-AL"/>
              </w:rPr>
            </w:pPr>
            <w:proofErr w:type="spellStart"/>
            <w:r w:rsidRPr="008D63A0">
              <w:rPr>
                <w:rFonts w:ascii="StobiSerif Regular" w:eastAsia="Calibri" w:hAnsi="StobiSerif Regular"/>
                <w:sz w:val="16"/>
                <w:szCs w:val="16"/>
                <w:lang w:val="sq-AL"/>
              </w:rPr>
              <w:t>Одобрил</w:t>
            </w:r>
            <w:proofErr w:type="spellEnd"/>
            <w:r w:rsidRPr="008D63A0">
              <w:rPr>
                <w:rFonts w:ascii="StobiSerif Regular" w:eastAsia="Calibri" w:hAnsi="StobiSerif Regular"/>
                <w:sz w:val="16"/>
                <w:szCs w:val="16"/>
                <w:lang w:val="sq-AL"/>
              </w:rPr>
              <w:t>/Miratoi:</w:t>
            </w:r>
            <w:r w:rsidR="008B4626">
              <w:rPr>
                <w:rFonts w:ascii="StobiSerif Regular" w:eastAsia="Calibri" w:hAnsi="StobiSerif Regular"/>
                <w:sz w:val="16"/>
                <w:szCs w:val="16"/>
                <w:lang w:val="sq-AL"/>
              </w:rPr>
              <w:t xml:space="preserve"> </w:t>
            </w:r>
            <w:bookmarkStart w:id="0" w:name="_GoBack"/>
            <w:bookmarkEnd w:id="0"/>
            <w:proofErr w:type="spellStart"/>
            <w:r w:rsidR="00DD0498" w:rsidRPr="008D63A0">
              <w:rPr>
                <w:rFonts w:ascii="StobiSerif Regular" w:eastAsia="Calibri" w:hAnsi="StobiSerif Regular"/>
                <w:sz w:val="16"/>
                <w:szCs w:val="16"/>
                <w:lang w:val="sq-AL"/>
              </w:rPr>
              <w:t>Дир.</w:t>
            </w:r>
            <w:r w:rsidRPr="008D63A0">
              <w:rPr>
                <w:rFonts w:ascii="StobiSerif Regular" w:eastAsia="Calibri" w:hAnsi="StobiSerif Regular"/>
                <w:sz w:val="16"/>
                <w:szCs w:val="16"/>
                <w:lang w:val="sq-AL"/>
              </w:rPr>
              <w:t>И.Фазлиоски</w:t>
            </w:r>
            <w:proofErr w:type="spellEnd"/>
          </w:p>
        </w:tc>
      </w:tr>
      <w:tr w:rsidR="005310E5" w:rsidRPr="008D63A0" w:rsidTr="00A56EDC">
        <w:trPr>
          <w:trHeight w:val="681"/>
        </w:trPr>
        <w:tc>
          <w:tcPr>
            <w:tcW w:w="10991" w:type="dxa"/>
            <w:gridSpan w:val="2"/>
          </w:tcPr>
          <w:p w:rsidR="005310E5" w:rsidRPr="008D63A0" w:rsidRDefault="005310E5" w:rsidP="00276C25">
            <w:pPr>
              <w:spacing w:line="240" w:lineRule="auto"/>
              <w:rPr>
                <w:rFonts w:ascii="StobiSerif Regular" w:eastAsia="Calibri" w:hAnsi="StobiSerif Regular"/>
                <w:b/>
                <w:lang w:val="sq-AL"/>
              </w:rPr>
            </w:pPr>
          </w:p>
        </w:tc>
      </w:tr>
    </w:tbl>
    <w:p w:rsidR="00B74858" w:rsidRPr="008D63A0" w:rsidRDefault="00B74858" w:rsidP="00276C25">
      <w:pPr>
        <w:spacing w:line="240" w:lineRule="auto"/>
        <w:rPr>
          <w:rFonts w:ascii="StobiSerif Regular" w:hAnsi="StobiSerif Regular"/>
          <w:lang w:val="sq-AL"/>
        </w:rPr>
      </w:pPr>
    </w:p>
    <w:sectPr w:rsidR="00B74858" w:rsidRPr="008D63A0" w:rsidSect="007F3016">
      <w:footerReference w:type="default" r:id="rId9"/>
      <w:pgSz w:w="12240" w:h="15840"/>
      <w:pgMar w:top="540" w:right="1260" w:bottom="126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A30" w:rsidRDefault="00C63A30" w:rsidP="00C439FA">
      <w:pPr>
        <w:spacing w:after="0" w:line="240" w:lineRule="auto"/>
      </w:pPr>
      <w:r>
        <w:separator/>
      </w:r>
    </w:p>
  </w:endnote>
  <w:endnote w:type="continuationSeparator" w:id="0">
    <w:p w:rsidR="00C63A30" w:rsidRDefault="00C63A30" w:rsidP="00C4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650965"/>
      <w:docPartObj>
        <w:docPartGallery w:val="Page Numbers (Bottom of Page)"/>
        <w:docPartUnique/>
      </w:docPartObj>
    </w:sdtPr>
    <w:sdtEndPr>
      <w:rPr>
        <w:noProof/>
      </w:rPr>
    </w:sdtEndPr>
    <w:sdtContent>
      <w:p w:rsidR="009649DA" w:rsidRDefault="00D376CF">
        <w:pPr>
          <w:pStyle w:val="Footer"/>
          <w:jc w:val="right"/>
        </w:pPr>
        <w:r>
          <w:fldChar w:fldCharType="begin"/>
        </w:r>
        <w:r>
          <w:instrText xml:space="preserve"> PAGE   \* MERGEFORMAT </w:instrText>
        </w:r>
        <w:r>
          <w:fldChar w:fldCharType="separate"/>
        </w:r>
        <w:r w:rsidR="009B6BD0">
          <w:rPr>
            <w:noProof/>
          </w:rPr>
          <w:t>3</w:t>
        </w:r>
        <w:r>
          <w:rPr>
            <w:noProof/>
          </w:rPr>
          <w:fldChar w:fldCharType="end"/>
        </w:r>
      </w:p>
    </w:sdtContent>
  </w:sdt>
  <w:p w:rsidR="009649DA" w:rsidRDefault="00964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A30" w:rsidRDefault="00C63A30" w:rsidP="00C439FA">
      <w:pPr>
        <w:spacing w:after="0" w:line="240" w:lineRule="auto"/>
      </w:pPr>
      <w:r>
        <w:separator/>
      </w:r>
    </w:p>
  </w:footnote>
  <w:footnote w:type="continuationSeparator" w:id="0">
    <w:p w:rsidR="00C63A30" w:rsidRDefault="00C63A30" w:rsidP="00C439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43113"/>
    <w:multiLevelType w:val="hybridMultilevel"/>
    <w:tmpl w:val="A7D4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956435"/>
    <w:multiLevelType w:val="hybridMultilevel"/>
    <w:tmpl w:val="2E2A4F46"/>
    <w:lvl w:ilvl="0" w:tplc="6474141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60"/>
    <w:rsid w:val="000011B9"/>
    <w:rsid w:val="0000696E"/>
    <w:rsid w:val="00014A90"/>
    <w:rsid w:val="00023D4D"/>
    <w:rsid w:val="0004087C"/>
    <w:rsid w:val="00055155"/>
    <w:rsid w:val="00097215"/>
    <w:rsid w:val="000B068A"/>
    <w:rsid w:val="000D1D93"/>
    <w:rsid w:val="000F15CD"/>
    <w:rsid w:val="001009AC"/>
    <w:rsid w:val="00116551"/>
    <w:rsid w:val="00116FFD"/>
    <w:rsid w:val="00120934"/>
    <w:rsid w:val="001215DF"/>
    <w:rsid w:val="001239DC"/>
    <w:rsid w:val="0013588B"/>
    <w:rsid w:val="00137CED"/>
    <w:rsid w:val="00140A4D"/>
    <w:rsid w:val="00141CE6"/>
    <w:rsid w:val="00144DB9"/>
    <w:rsid w:val="00147CAF"/>
    <w:rsid w:val="00147E33"/>
    <w:rsid w:val="00152CC8"/>
    <w:rsid w:val="00164DAD"/>
    <w:rsid w:val="00185548"/>
    <w:rsid w:val="0019457C"/>
    <w:rsid w:val="001B0F43"/>
    <w:rsid w:val="001C30D6"/>
    <w:rsid w:val="001C5B27"/>
    <w:rsid w:val="001E2AB9"/>
    <w:rsid w:val="001E4E9E"/>
    <w:rsid w:val="001E4EA6"/>
    <w:rsid w:val="00203FF0"/>
    <w:rsid w:val="00216EA4"/>
    <w:rsid w:val="0023140E"/>
    <w:rsid w:val="00237604"/>
    <w:rsid w:val="002474B5"/>
    <w:rsid w:val="00267172"/>
    <w:rsid w:val="00271CFD"/>
    <w:rsid w:val="00276C25"/>
    <w:rsid w:val="002855E5"/>
    <w:rsid w:val="002A737B"/>
    <w:rsid w:val="002B01F1"/>
    <w:rsid w:val="002C7375"/>
    <w:rsid w:val="002C7D10"/>
    <w:rsid w:val="002D18E1"/>
    <w:rsid w:val="002E0B50"/>
    <w:rsid w:val="002F2830"/>
    <w:rsid w:val="002F6641"/>
    <w:rsid w:val="00303B27"/>
    <w:rsid w:val="00314E3C"/>
    <w:rsid w:val="003157F5"/>
    <w:rsid w:val="0032626E"/>
    <w:rsid w:val="00333865"/>
    <w:rsid w:val="00352DB9"/>
    <w:rsid w:val="003561F5"/>
    <w:rsid w:val="00357797"/>
    <w:rsid w:val="00364160"/>
    <w:rsid w:val="0036569F"/>
    <w:rsid w:val="003846E4"/>
    <w:rsid w:val="00394457"/>
    <w:rsid w:val="003A3995"/>
    <w:rsid w:val="003A3FF4"/>
    <w:rsid w:val="003A5F4C"/>
    <w:rsid w:val="003B2EA4"/>
    <w:rsid w:val="003B67E6"/>
    <w:rsid w:val="003D219C"/>
    <w:rsid w:val="003D4E7D"/>
    <w:rsid w:val="003E1D75"/>
    <w:rsid w:val="003E534A"/>
    <w:rsid w:val="00400B4E"/>
    <w:rsid w:val="004070DA"/>
    <w:rsid w:val="004112EF"/>
    <w:rsid w:val="00447C26"/>
    <w:rsid w:val="0045061D"/>
    <w:rsid w:val="00454420"/>
    <w:rsid w:val="00460A1A"/>
    <w:rsid w:val="00493FC5"/>
    <w:rsid w:val="004A1764"/>
    <w:rsid w:val="004B212A"/>
    <w:rsid w:val="004B7007"/>
    <w:rsid w:val="004C53E3"/>
    <w:rsid w:val="004D221D"/>
    <w:rsid w:val="004D5742"/>
    <w:rsid w:val="004D5C71"/>
    <w:rsid w:val="004E01F1"/>
    <w:rsid w:val="004E657B"/>
    <w:rsid w:val="004F11FF"/>
    <w:rsid w:val="004F377F"/>
    <w:rsid w:val="004F7449"/>
    <w:rsid w:val="00527673"/>
    <w:rsid w:val="005310E5"/>
    <w:rsid w:val="00544927"/>
    <w:rsid w:val="005469B4"/>
    <w:rsid w:val="005841AB"/>
    <w:rsid w:val="00595CB7"/>
    <w:rsid w:val="005B4EA2"/>
    <w:rsid w:val="005C4617"/>
    <w:rsid w:val="005D120A"/>
    <w:rsid w:val="005D2544"/>
    <w:rsid w:val="005D5E5C"/>
    <w:rsid w:val="005F654A"/>
    <w:rsid w:val="00600028"/>
    <w:rsid w:val="0061395D"/>
    <w:rsid w:val="00613A7C"/>
    <w:rsid w:val="006330FE"/>
    <w:rsid w:val="00637D37"/>
    <w:rsid w:val="00657562"/>
    <w:rsid w:val="00673046"/>
    <w:rsid w:val="0069576C"/>
    <w:rsid w:val="006A42E5"/>
    <w:rsid w:val="006B2056"/>
    <w:rsid w:val="006B3685"/>
    <w:rsid w:val="006D2C2E"/>
    <w:rsid w:val="006D56A4"/>
    <w:rsid w:val="006D727F"/>
    <w:rsid w:val="006D7DF1"/>
    <w:rsid w:val="007052CC"/>
    <w:rsid w:val="00710560"/>
    <w:rsid w:val="00721B19"/>
    <w:rsid w:val="00730E97"/>
    <w:rsid w:val="0074677A"/>
    <w:rsid w:val="00752ED8"/>
    <w:rsid w:val="00755E74"/>
    <w:rsid w:val="00767217"/>
    <w:rsid w:val="00791EE4"/>
    <w:rsid w:val="007950C3"/>
    <w:rsid w:val="00796016"/>
    <w:rsid w:val="00796250"/>
    <w:rsid w:val="007B55CA"/>
    <w:rsid w:val="007B5D52"/>
    <w:rsid w:val="007F3016"/>
    <w:rsid w:val="007F358E"/>
    <w:rsid w:val="007F677E"/>
    <w:rsid w:val="007F7BD6"/>
    <w:rsid w:val="008123A0"/>
    <w:rsid w:val="0084114D"/>
    <w:rsid w:val="008460D7"/>
    <w:rsid w:val="0084692E"/>
    <w:rsid w:val="00865197"/>
    <w:rsid w:val="008965F3"/>
    <w:rsid w:val="008B27AE"/>
    <w:rsid w:val="008B4626"/>
    <w:rsid w:val="008D23E6"/>
    <w:rsid w:val="008D63A0"/>
    <w:rsid w:val="008E26BC"/>
    <w:rsid w:val="008E3E8D"/>
    <w:rsid w:val="008F2994"/>
    <w:rsid w:val="009008E1"/>
    <w:rsid w:val="00903419"/>
    <w:rsid w:val="00904A6F"/>
    <w:rsid w:val="009059F9"/>
    <w:rsid w:val="00933FE9"/>
    <w:rsid w:val="00945E7F"/>
    <w:rsid w:val="00954593"/>
    <w:rsid w:val="009560AE"/>
    <w:rsid w:val="00960F57"/>
    <w:rsid w:val="009649DA"/>
    <w:rsid w:val="00966A52"/>
    <w:rsid w:val="00980A16"/>
    <w:rsid w:val="009823E7"/>
    <w:rsid w:val="0098521C"/>
    <w:rsid w:val="0099025B"/>
    <w:rsid w:val="009A5D09"/>
    <w:rsid w:val="009B19EF"/>
    <w:rsid w:val="009B3790"/>
    <w:rsid w:val="009B6BD0"/>
    <w:rsid w:val="009C7A26"/>
    <w:rsid w:val="009D747D"/>
    <w:rsid w:val="009F6D82"/>
    <w:rsid w:val="00A05703"/>
    <w:rsid w:val="00A458CC"/>
    <w:rsid w:val="00A56EDC"/>
    <w:rsid w:val="00A71104"/>
    <w:rsid w:val="00AA0D45"/>
    <w:rsid w:val="00AC4FF5"/>
    <w:rsid w:val="00AD4912"/>
    <w:rsid w:val="00AE2B3F"/>
    <w:rsid w:val="00AF395E"/>
    <w:rsid w:val="00AF56A5"/>
    <w:rsid w:val="00AF5F34"/>
    <w:rsid w:val="00AF632D"/>
    <w:rsid w:val="00B05DE0"/>
    <w:rsid w:val="00B16490"/>
    <w:rsid w:val="00B30D38"/>
    <w:rsid w:val="00B36CEA"/>
    <w:rsid w:val="00B50750"/>
    <w:rsid w:val="00B74858"/>
    <w:rsid w:val="00BA1A6B"/>
    <w:rsid w:val="00BA3EF9"/>
    <w:rsid w:val="00BA556F"/>
    <w:rsid w:val="00BC53BB"/>
    <w:rsid w:val="00BC5D43"/>
    <w:rsid w:val="00BD5663"/>
    <w:rsid w:val="00C05EFE"/>
    <w:rsid w:val="00C0752C"/>
    <w:rsid w:val="00C136D7"/>
    <w:rsid w:val="00C13C8C"/>
    <w:rsid w:val="00C341A7"/>
    <w:rsid w:val="00C439FA"/>
    <w:rsid w:val="00C475BA"/>
    <w:rsid w:val="00C47BAE"/>
    <w:rsid w:val="00C520BE"/>
    <w:rsid w:val="00C63A30"/>
    <w:rsid w:val="00C661BB"/>
    <w:rsid w:val="00C66440"/>
    <w:rsid w:val="00CA2C11"/>
    <w:rsid w:val="00CB7DC4"/>
    <w:rsid w:val="00CC482D"/>
    <w:rsid w:val="00CD0F97"/>
    <w:rsid w:val="00CD33EF"/>
    <w:rsid w:val="00CD60CE"/>
    <w:rsid w:val="00CF0CBE"/>
    <w:rsid w:val="00D06931"/>
    <w:rsid w:val="00D235AE"/>
    <w:rsid w:val="00D323FB"/>
    <w:rsid w:val="00D325C2"/>
    <w:rsid w:val="00D376CF"/>
    <w:rsid w:val="00D6117E"/>
    <w:rsid w:val="00D77717"/>
    <w:rsid w:val="00D817E5"/>
    <w:rsid w:val="00D82968"/>
    <w:rsid w:val="00D85E13"/>
    <w:rsid w:val="00D87D0C"/>
    <w:rsid w:val="00D92221"/>
    <w:rsid w:val="00D971F2"/>
    <w:rsid w:val="00DA1002"/>
    <w:rsid w:val="00DA2E83"/>
    <w:rsid w:val="00DC6CA4"/>
    <w:rsid w:val="00DD0498"/>
    <w:rsid w:val="00DD4091"/>
    <w:rsid w:val="00DE36A5"/>
    <w:rsid w:val="00DE5021"/>
    <w:rsid w:val="00DE602F"/>
    <w:rsid w:val="00E26538"/>
    <w:rsid w:val="00E3081B"/>
    <w:rsid w:val="00E517C1"/>
    <w:rsid w:val="00E8193C"/>
    <w:rsid w:val="00E84C8D"/>
    <w:rsid w:val="00E85770"/>
    <w:rsid w:val="00EC62E0"/>
    <w:rsid w:val="00ED1737"/>
    <w:rsid w:val="00EE28D3"/>
    <w:rsid w:val="00EF362D"/>
    <w:rsid w:val="00EF60E0"/>
    <w:rsid w:val="00F02B47"/>
    <w:rsid w:val="00F054D6"/>
    <w:rsid w:val="00F07CA8"/>
    <w:rsid w:val="00F1680E"/>
    <w:rsid w:val="00F32DC5"/>
    <w:rsid w:val="00F50FA2"/>
    <w:rsid w:val="00F57C3B"/>
    <w:rsid w:val="00F767DC"/>
    <w:rsid w:val="00F76843"/>
    <w:rsid w:val="00FC3B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3CEFA"/>
  <w15:docId w15:val="{303FC7E9-925A-4582-AAAE-8845FC1B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9B4"/>
    <w:pPr>
      <w:ind w:left="720"/>
      <w:contextualSpacing/>
    </w:pPr>
  </w:style>
  <w:style w:type="paragraph" w:styleId="Header">
    <w:name w:val="header"/>
    <w:basedOn w:val="Normal"/>
    <w:link w:val="HeaderChar"/>
    <w:uiPriority w:val="99"/>
    <w:unhideWhenUsed/>
    <w:rsid w:val="00613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A7C"/>
  </w:style>
  <w:style w:type="paragraph" w:styleId="NoSpacing">
    <w:name w:val="No Spacing"/>
    <w:uiPriority w:val="1"/>
    <w:qFormat/>
    <w:rsid w:val="00613A7C"/>
    <w:pPr>
      <w:spacing w:after="0" w:line="240" w:lineRule="auto"/>
    </w:pPr>
  </w:style>
  <w:style w:type="paragraph" w:styleId="BalloonText">
    <w:name w:val="Balloon Text"/>
    <w:basedOn w:val="Normal"/>
    <w:link w:val="BalloonTextChar"/>
    <w:uiPriority w:val="99"/>
    <w:semiHidden/>
    <w:unhideWhenUsed/>
    <w:rsid w:val="00BA1A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A6B"/>
    <w:rPr>
      <w:rFonts w:ascii="Segoe UI" w:hAnsi="Segoe UI" w:cs="Segoe UI"/>
      <w:sz w:val="18"/>
      <w:szCs w:val="18"/>
    </w:rPr>
  </w:style>
  <w:style w:type="paragraph" w:styleId="Footer">
    <w:name w:val="footer"/>
    <w:basedOn w:val="Normal"/>
    <w:link w:val="FooterChar"/>
    <w:uiPriority w:val="99"/>
    <w:unhideWhenUsed/>
    <w:rsid w:val="00C43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BDC7-DBEB-406F-A234-0E931419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2050</Words>
  <Characters>11686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Jancevska</dc:creator>
  <cp:lastModifiedBy>Merita Dalipi</cp:lastModifiedBy>
  <cp:revision>3</cp:revision>
  <cp:lastPrinted>2022-02-17T10:36:00Z</cp:lastPrinted>
  <dcterms:created xsi:type="dcterms:W3CDTF">2023-07-31T08:04:00Z</dcterms:created>
  <dcterms:modified xsi:type="dcterms:W3CDTF">2023-07-31T08:11:00Z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7aa3e17ce4adbb0249e36ed570a01290e9aba4a2cbe2491652b191e546b40c96</vt:lpwstr>
  </property>
</Properties>
</file>