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9294" w14:textId="77777777" w:rsidR="002E609E" w:rsidRPr="002E609E" w:rsidRDefault="002E609E" w:rsidP="002E609E">
      <w:pPr>
        <w:keepNext/>
        <w:keepLines/>
        <w:spacing w:before="160" w:after="80" w:line="259" w:lineRule="auto"/>
        <w:outlineLvl w:val="1"/>
        <w:rPr>
          <w:rFonts w:ascii="Aptos Display" w:eastAsia="Times New Roman" w:hAnsi="Aptos Display" w:cs="Times New Roman"/>
          <w:b/>
          <w:sz w:val="22"/>
          <w:szCs w:val="32"/>
          <w:lang w:val="mk-MK"/>
        </w:rPr>
      </w:pPr>
      <w:r w:rsidRPr="002E609E">
        <w:rPr>
          <w:rFonts w:ascii="Aptos Display" w:eastAsia="Times New Roman" w:hAnsi="Aptos Display" w:cs="Times New Roman"/>
          <w:b/>
          <w:sz w:val="22"/>
          <w:szCs w:val="32"/>
          <w:lang w:val="mk-MK"/>
        </w:rPr>
        <w:t>Физибилити студија за батериски систем за складирање на електрична енергија</w:t>
      </w:r>
    </w:p>
    <w:p w14:paraId="37F01BDF" w14:textId="77777777" w:rsidR="002E609E" w:rsidRPr="002E609E" w:rsidRDefault="002E609E" w:rsidP="002E609E">
      <w:pPr>
        <w:numPr>
          <w:ilvl w:val="0"/>
          <w:numId w:val="1"/>
        </w:numPr>
        <w:spacing w:line="259" w:lineRule="auto"/>
        <w:ind w:left="360"/>
        <w:contextualSpacing/>
        <w:jc w:val="both"/>
        <w:rPr>
          <w:rFonts w:ascii="Aptos" w:eastAsia="Aptos" w:hAnsi="Aptos" w:cs="Times New Roman"/>
          <w:b/>
          <w:bCs/>
          <w:color w:val="FF0000"/>
          <w:sz w:val="22"/>
          <w:szCs w:val="22"/>
          <w:lang w:val="mk-MK"/>
        </w:rPr>
      </w:pPr>
      <w:r w:rsidRPr="002E609E">
        <w:rPr>
          <w:rFonts w:ascii="Aptos" w:eastAsia="Aptos" w:hAnsi="Aptos" w:cs="Times New Roman"/>
          <w:sz w:val="22"/>
          <w:szCs w:val="22"/>
          <w:lang w:val="mk-MK"/>
        </w:rPr>
        <w:t>Извршно резиме</w:t>
      </w:r>
    </w:p>
    <w:p w14:paraId="116A0744" w14:textId="77777777" w:rsidR="002E609E" w:rsidRP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Вовед:</w:t>
      </w:r>
    </w:p>
    <w:p w14:paraId="2BA57998"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Приказ на микро локација (каде се наоѓа БС микролокациски, дали се наоѓа во околина на населено место, најблиска патна и енергетска инфраструктура позната на барателот, итн)</w:t>
      </w:r>
    </w:p>
    <w:p w14:paraId="06369769"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Приказ на макро локација (во која општина планира да ја изведе постројката, опис на општината од енергетски и инфраструктурен аспект, итн)</w:t>
      </w:r>
    </w:p>
    <w:p w14:paraId="775B4CCA"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Дефинирање на година на влез во погон на БС</w:t>
      </w:r>
    </w:p>
    <w:p w14:paraId="049DE3B0" w14:textId="77777777" w:rsidR="002E609E" w:rsidRP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Опис на технологија:</w:t>
      </w:r>
    </w:p>
    <w:p w14:paraId="3834859E"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Опис на технологијата која планира да ја имплементира (батериски модули, интерна инфраструктура потребна за изведба на проектот, локација на трафостаница со предвидена површина која одговара на планерски опфат за планираната инфраструктура, итн)</w:t>
      </w:r>
    </w:p>
    <w:p w14:paraId="1666E496" w14:textId="60BBB997" w:rsidR="002E609E" w:rsidRPr="002E609E" w:rsidRDefault="002E609E" w:rsidP="00E0439F">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Карактеристики на БС</w:t>
      </w:r>
      <w:r w:rsidR="00E0439F" w:rsidRPr="00E0439F">
        <w:rPr>
          <w:rFonts w:ascii="Aptos" w:eastAsia="Aptos" w:hAnsi="Aptos" w:cs="Times New Roman"/>
          <w:sz w:val="22"/>
          <w:szCs w:val="22"/>
          <w:lang w:val="mk-MK"/>
        </w:rPr>
        <w:t xml:space="preserve"> </w:t>
      </w:r>
      <w:r w:rsidR="00E0439F">
        <w:rPr>
          <w:rFonts w:ascii="Aptos" w:eastAsia="Aptos" w:hAnsi="Aptos" w:cs="Times New Roman"/>
          <w:sz w:val="22"/>
          <w:szCs w:val="22"/>
          <w:lang w:val="mk-MK"/>
        </w:rPr>
        <w:t>согласно технички образец</w:t>
      </w:r>
    </w:p>
    <w:p w14:paraId="39972CA7"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Опис на различните оперативни работни режими на БС</w:t>
      </w:r>
    </w:p>
    <w:p w14:paraId="25379830" w14:textId="77777777" w:rsidR="002E609E" w:rsidRP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Просторна анализа за можностите за поставување на БС (графички приказ во извештајот и DWG фајл)</w:t>
      </w:r>
    </w:p>
    <w:p w14:paraId="60D61EC9"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Еднополна заменска шема на интерната топологија на внатрешната постројка.</w:t>
      </w:r>
    </w:p>
    <w:p w14:paraId="1167EB73" w14:textId="31648D9A" w:rsidR="002E609E" w:rsidRPr="002E609E" w:rsidRDefault="00E0439F" w:rsidP="002E609E">
      <w:pPr>
        <w:numPr>
          <w:ilvl w:val="1"/>
          <w:numId w:val="1"/>
        </w:numPr>
        <w:spacing w:line="259" w:lineRule="auto"/>
        <w:ind w:left="720"/>
        <w:contextualSpacing/>
        <w:jc w:val="both"/>
        <w:rPr>
          <w:rFonts w:ascii="Aptos" w:eastAsia="Aptos" w:hAnsi="Aptos" w:cs="Times New Roman"/>
          <w:sz w:val="22"/>
          <w:szCs w:val="22"/>
          <w:lang w:val="mk-MK"/>
        </w:rPr>
      </w:pPr>
      <w:r>
        <w:rPr>
          <w:rFonts w:ascii="Aptos" w:eastAsia="Aptos" w:hAnsi="Aptos" w:cs="Times New Roman"/>
          <w:sz w:val="22"/>
          <w:szCs w:val="22"/>
          <w:lang w:val="mk-MK"/>
        </w:rPr>
        <w:t xml:space="preserve">Распределба </w:t>
      </w:r>
      <w:r w:rsidR="002E609E" w:rsidRPr="002E609E">
        <w:rPr>
          <w:rFonts w:ascii="Aptos" w:eastAsia="Aptos" w:hAnsi="Aptos" w:cs="Times New Roman"/>
          <w:sz w:val="22"/>
          <w:szCs w:val="22"/>
          <w:lang w:val="mk-MK"/>
        </w:rPr>
        <w:t xml:space="preserve">на </w:t>
      </w:r>
      <w:r>
        <w:rPr>
          <w:rFonts w:ascii="Aptos" w:eastAsia="Aptos" w:hAnsi="Aptos" w:cs="Times New Roman"/>
          <w:sz w:val="22"/>
          <w:szCs w:val="22"/>
          <w:lang w:val="mk-MK"/>
        </w:rPr>
        <w:t xml:space="preserve">дистрибутивни </w:t>
      </w:r>
      <w:r w:rsidR="002E609E" w:rsidRPr="002E609E">
        <w:rPr>
          <w:rFonts w:ascii="Aptos" w:eastAsia="Aptos" w:hAnsi="Aptos" w:cs="Times New Roman"/>
          <w:sz w:val="22"/>
          <w:szCs w:val="22"/>
          <w:lang w:val="mk-MK"/>
        </w:rPr>
        <w:t>трансформатори</w:t>
      </w:r>
    </w:p>
    <w:p w14:paraId="5AC059DE"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Распределба на блоковите и стринговите од БС во планираниот опфат.</w:t>
      </w:r>
    </w:p>
    <w:p w14:paraId="2044713E" w14:textId="77777777" w:rsidR="002E609E" w:rsidRP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Анализа на техничките можности за полнење и празнење на БС</w:t>
      </w:r>
    </w:p>
    <w:p w14:paraId="7CB917F5"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Да се прикажат различни режими на полнење и празнење со кои се прикажуваат техничките ограничувања на Батерискиот Систем</w:t>
      </w:r>
    </w:p>
    <w:p w14:paraId="63D91A4C" w14:textId="77777777" w:rsidR="002E609E" w:rsidRPr="002E609E" w:rsidRDefault="002E609E" w:rsidP="002E609E">
      <w:pPr>
        <w:numPr>
          <w:ilvl w:val="1"/>
          <w:numId w:val="1"/>
        </w:numPr>
        <w:spacing w:line="259" w:lineRule="auto"/>
        <w:ind w:left="72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Да се даде квалитативен опис на можностите и плановите за учество во идни пазари за реактивна енергија со цел регулација на напон и учество на пазарот за балансирање.</w:t>
      </w:r>
    </w:p>
    <w:p w14:paraId="7F8769F2" w14:textId="544A60DA" w:rsidR="002E609E" w:rsidRP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Pr>
          <w:rFonts w:ascii="Aptos" w:eastAsia="Aptos" w:hAnsi="Aptos" w:cs="Times New Roman"/>
          <w:sz w:val="22"/>
          <w:szCs w:val="22"/>
          <w:lang w:val="mk-MK"/>
        </w:rPr>
        <w:t>Детален опис на системите за противпожарна заштита и вентилација.</w:t>
      </w:r>
    </w:p>
    <w:p w14:paraId="2326AB06" w14:textId="77777777" w:rsid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Да се даде општ опис на понатамошната постапка за приклучување и следните чекори кои е потребно да се превземат за да се продолжи постапката за приклучување.</w:t>
      </w:r>
    </w:p>
    <w:p w14:paraId="28D083E8" w14:textId="77777777" w:rsidR="005B1C49" w:rsidRDefault="005B1C49" w:rsidP="005B1C49">
      <w:pPr>
        <w:numPr>
          <w:ilvl w:val="0"/>
          <w:numId w:val="1"/>
        </w:numPr>
        <w:spacing w:line="259" w:lineRule="auto"/>
        <w:ind w:left="360"/>
        <w:contextualSpacing/>
        <w:jc w:val="both"/>
        <w:rPr>
          <w:rFonts w:ascii="Aptos" w:eastAsia="Aptos" w:hAnsi="Aptos" w:cs="Times New Roman"/>
          <w:sz w:val="22"/>
          <w:szCs w:val="22"/>
          <w:lang w:val="mk-MK"/>
        </w:rPr>
      </w:pPr>
      <w:r>
        <w:rPr>
          <w:rFonts w:ascii="Aptos" w:eastAsia="Aptos" w:hAnsi="Aptos" w:cs="Times New Roman"/>
          <w:sz w:val="22"/>
          <w:szCs w:val="22"/>
          <w:lang w:val="mk-MK"/>
        </w:rPr>
        <w:t>Графички прилози</w:t>
      </w:r>
    </w:p>
    <w:p w14:paraId="1066EFE4" w14:textId="4F022E50" w:rsidR="005B1C49" w:rsidRPr="00102CBF" w:rsidRDefault="005B1C49" w:rsidP="005B1C49">
      <w:pPr>
        <w:numPr>
          <w:ilvl w:val="3"/>
          <w:numId w:val="2"/>
        </w:numPr>
        <w:spacing w:line="259" w:lineRule="auto"/>
        <w:contextualSpacing/>
        <w:jc w:val="both"/>
        <w:rPr>
          <w:rFonts w:ascii="Aptos" w:eastAsia="Aptos" w:hAnsi="Aptos" w:cs="Times New Roman"/>
          <w:sz w:val="22"/>
          <w:szCs w:val="22"/>
          <w:lang w:val="mk-MK"/>
        </w:rPr>
      </w:pPr>
      <w:r w:rsidRPr="00102CBF">
        <w:rPr>
          <w:rFonts w:ascii="Aptos" w:eastAsia="Aptos" w:hAnsi="Aptos" w:cs="Times New Roman"/>
          <w:sz w:val="22"/>
          <w:szCs w:val="22"/>
          <w:lang w:val="mk-MK"/>
        </w:rPr>
        <w:t>Распоред на компонентите на електроенергетскиот објект,</w:t>
      </w:r>
    </w:p>
    <w:p w14:paraId="6068C53A" w14:textId="5D4D4539" w:rsidR="00E20C4F" w:rsidRDefault="005B1C49" w:rsidP="00102CBF">
      <w:pPr>
        <w:numPr>
          <w:ilvl w:val="3"/>
          <w:numId w:val="2"/>
        </w:numPr>
        <w:spacing w:line="259" w:lineRule="auto"/>
        <w:contextualSpacing/>
        <w:jc w:val="both"/>
        <w:rPr>
          <w:rFonts w:ascii="Aptos" w:eastAsia="Aptos" w:hAnsi="Aptos" w:cs="Times New Roman"/>
          <w:sz w:val="22"/>
          <w:szCs w:val="22"/>
          <w:lang w:val="mk-MK"/>
        </w:rPr>
      </w:pPr>
      <w:r>
        <w:rPr>
          <w:rFonts w:ascii="Aptos" w:eastAsia="Aptos" w:hAnsi="Aptos" w:cs="Times New Roman"/>
          <w:sz w:val="22"/>
          <w:szCs w:val="22"/>
          <w:lang w:val="mk-MK"/>
        </w:rPr>
        <w:t>Положба на трансформаторски станици</w:t>
      </w:r>
    </w:p>
    <w:p w14:paraId="436122CA" w14:textId="77777777" w:rsidR="004A66C6" w:rsidRDefault="004A66C6" w:rsidP="004A66C6">
      <w:pPr>
        <w:numPr>
          <w:ilvl w:val="0"/>
          <w:numId w:val="1"/>
        </w:numPr>
        <w:spacing w:line="259" w:lineRule="auto"/>
        <w:ind w:left="360"/>
        <w:contextualSpacing/>
        <w:jc w:val="both"/>
        <w:rPr>
          <w:rFonts w:ascii="Aptos" w:eastAsia="Aptos" w:hAnsi="Aptos" w:cs="Times New Roman"/>
          <w:sz w:val="22"/>
          <w:szCs w:val="22"/>
          <w:lang w:val="mk-MK"/>
        </w:rPr>
      </w:pPr>
      <w:r w:rsidRPr="00D11C02">
        <w:rPr>
          <w:rFonts w:ascii="Aptos" w:eastAsia="Aptos" w:hAnsi="Aptos" w:cs="Times New Roman"/>
          <w:sz w:val="22"/>
          <w:szCs w:val="22"/>
          <w:lang w:val="mk-MK"/>
        </w:rPr>
        <w:t>Економска евалуација на проектот</w:t>
      </w:r>
    </w:p>
    <w:p w14:paraId="1D7BCD57" w14:textId="042C5929" w:rsidR="002E609E" w:rsidRPr="002E609E" w:rsidRDefault="002E609E" w:rsidP="002E609E">
      <w:pPr>
        <w:numPr>
          <w:ilvl w:val="0"/>
          <w:numId w:val="1"/>
        </w:numPr>
        <w:spacing w:line="259" w:lineRule="auto"/>
        <w:ind w:left="360"/>
        <w:contextualSpacing/>
        <w:jc w:val="both"/>
        <w:rPr>
          <w:rFonts w:ascii="Aptos" w:eastAsia="Aptos" w:hAnsi="Aptos" w:cs="Times New Roman"/>
          <w:sz w:val="22"/>
          <w:szCs w:val="22"/>
          <w:lang w:val="mk-MK"/>
        </w:rPr>
      </w:pPr>
      <w:r w:rsidRPr="002E609E">
        <w:rPr>
          <w:rFonts w:ascii="Aptos" w:eastAsia="Aptos" w:hAnsi="Aptos" w:cs="Times New Roman"/>
          <w:sz w:val="22"/>
          <w:szCs w:val="22"/>
          <w:lang w:val="mk-MK"/>
        </w:rPr>
        <w:t>Заклучок</w:t>
      </w:r>
    </w:p>
    <w:sectPr w:rsidR="002E609E" w:rsidRPr="002E609E" w:rsidSect="002F138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EB"/>
    <w:multiLevelType w:val="hybridMultilevel"/>
    <w:tmpl w:val="FC34EF0E"/>
    <w:lvl w:ilvl="0" w:tplc="6FE89414">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1639"/>
    <w:multiLevelType w:val="multilevel"/>
    <w:tmpl w:val="E8CEE68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bullet"/>
      <w:lvlText w:val="-"/>
      <w:lvlJc w:val="left"/>
      <w:pPr>
        <w:ind w:left="720" w:hanging="360"/>
      </w:pPr>
      <w:rPr>
        <w:rFonts w:ascii="Arial Narrow" w:eastAsiaTheme="minorHAnsi" w:hAnsi="Arial Narrow" w:cstheme="minorBid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B85AF3"/>
    <w:multiLevelType w:val="multilevel"/>
    <w:tmpl w:val="E8CEE68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bullet"/>
      <w:lvlText w:val="-"/>
      <w:lvlJc w:val="left"/>
      <w:pPr>
        <w:ind w:left="720" w:hanging="360"/>
      </w:pPr>
      <w:rPr>
        <w:rFonts w:ascii="Arial Narrow" w:eastAsiaTheme="minorHAnsi" w:hAnsi="Arial Narrow" w:cstheme="minorBid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8880515">
    <w:abstractNumId w:val="0"/>
  </w:num>
  <w:num w:numId="2" w16cid:durableId="1979146457">
    <w:abstractNumId w:val="2"/>
  </w:num>
  <w:num w:numId="3" w16cid:durableId="114493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0C"/>
    <w:rsid w:val="00102CBF"/>
    <w:rsid w:val="001B7A0C"/>
    <w:rsid w:val="002E609E"/>
    <w:rsid w:val="002F138E"/>
    <w:rsid w:val="004A66C6"/>
    <w:rsid w:val="005B1C49"/>
    <w:rsid w:val="00781E07"/>
    <w:rsid w:val="00B528CA"/>
    <w:rsid w:val="00C766A3"/>
    <w:rsid w:val="00D7209F"/>
    <w:rsid w:val="00E0439F"/>
    <w:rsid w:val="00E20C4F"/>
    <w:rsid w:val="00EE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754D"/>
  <w15:chartTrackingRefBased/>
  <w15:docId w15:val="{D07DE95A-4EDC-43FE-89AA-802B815D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A0C"/>
    <w:rPr>
      <w:rFonts w:eastAsiaTheme="majorEastAsia" w:cstheme="majorBidi"/>
      <w:color w:val="272727" w:themeColor="text1" w:themeTint="D8"/>
    </w:rPr>
  </w:style>
  <w:style w:type="paragraph" w:styleId="Title">
    <w:name w:val="Title"/>
    <w:basedOn w:val="Normal"/>
    <w:next w:val="Normal"/>
    <w:link w:val="TitleChar"/>
    <w:uiPriority w:val="10"/>
    <w:qFormat/>
    <w:rsid w:val="001B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A0C"/>
    <w:pPr>
      <w:spacing w:before="160"/>
      <w:jc w:val="center"/>
    </w:pPr>
    <w:rPr>
      <w:i/>
      <w:iCs/>
      <w:color w:val="404040" w:themeColor="text1" w:themeTint="BF"/>
    </w:rPr>
  </w:style>
  <w:style w:type="character" w:customStyle="1" w:styleId="QuoteChar">
    <w:name w:val="Quote Char"/>
    <w:basedOn w:val="DefaultParagraphFont"/>
    <w:link w:val="Quote"/>
    <w:uiPriority w:val="29"/>
    <w:rsid w:val="001B7A0C"/>
    <w:rPr>
      <w:i/>
      <w:iCs/>
      <w:color w:val="404040" w:themeColor="text1" w:themeTint="BF"/>
    </w:rPr>
  </w:style>
  <w:style w:type="paragraph" w:styleId="ListParagraph">
    <w:name w:val="List Paragraph"/>
    <w:basedOn w:val="Normal"/>
    <w:uiPriority w:val="34"/>
    <w:qFormat/>
    <w:rsid w:val="001B7A0C"/>
    <w:pPr>
      <w:ind w:left="720"/>
      <w:contextualSpacing/>
    </w:pPr>
  </w:style>
  <w:style w:type="character" w:styleId="IntenseEmphasis">
    <w:name w:val="Intense Emphasis"/>
    <w:basedOn w:val="DefaultParagraphFont"/>
    <w:uiPriority w:val="21"/>
    <w:qFormat/>
    <w:rsid w:val="001B7A0C"/>
    <w:rPr>
      <w:i/>
      <w:iCs/>
      <w:color w:val="2F5496" w:themeColor="accent1" w:themeShade="BF"/>
    </w:rPr>
  </w:style>
  <w:style w:type="paragraph" w:styleId="IntenseQuote">
    <w:name w:val="Intense Quote"/>
    <w:basedOn w:val="Normal"/>
    <w:next w:val="Normal"/>
    <w:link w:val="IntenseQuoteChar"/>
    <w:uiPriority w:val="30"/>
    <w:qFormat/>
    <w:rsid w:val="001B7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A0C"/>
    <w:rPr>
      <w:i/>
      <w:iCs/>
      <w:color w:val="2F5496" w:themeColor="accent1" w:themeShade="BF"/>
    </w:rPr>
  </w:style>
  <w:style w:type="character" w:styleId="IntenseReference">
    <w:name w:val="Intense Reference"/>
    <w:basedOn w:val="DefaultParagraphFont"/>
    <w:uiPriority w:val="32"/>
    <w:qFormat/>
    <w:rsid w:val="001B7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Vancho Achovski</dc:creator>
  <cp:keywords/>
  <dc:description/>
  <cp:lastModifiedBy>Stojan Malcheski</cp:lastModifiedBy>
  <cp:revision>8</cp:revision>
  <dcterms:created xsi:type="dcterms:W3CDTF">2025-07-13T21:39:00Z</dcterms:created>
  <dcterms:modified xsi:type="dcterms:W3CDTF">2025-09-01T06:07:00Z</dcterms:modified>
</cp:coreProperties>
</file>