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DAD5" w14:textId="508A6E0A" w:rsidR="001171A1" w:rsidRPr="00CA24DE" w:rsidRDefault="001171A1" w:rsidP="001171A1">
      <w:pPr>
        <w:keepNext/>
        <w:keepLines/>
        <w:spacing w:before="160" w:after="80" w:line="259" w:lineRule="auto"/>
        <w:outlineLvl w:val="1"/>
        <w:rPr>
          <w:rFonts w:ascii="Verdana" w:eastAsia="Times New Roman" w:hAnsi="Verdana" w:cs="Times New Roman"/>
          <w:b/>
          <w:sz w:val="22"/>
          <w:szCs w:val="32"/>
          <w:lang w:val="mk-MK"/>
        </w:rPr>
      </w:pPr>
      <w:r w:rsidRPr="00CA24DE">
        <w:rPr>
          <w:rFonts w:ascii="Verdana" w:eastAsia="Times New Roman" w:hAnsi="Verdana" w:cs="Times New Roman"/>
          <w:b/>
          <w:sz w:val="22"/>
          <w:szCs w:val="32"/>
          <w:lang w:val="mk-MK"/>
        </w:rPr>
        <w:t xml:space="preserve">Физибилити студија за </w:t>
      </w:r>
      <w:r w:rsidR="00D03E17" w:rsidRPr="00CA24DE">
        <w:rPr>
          <w:rFonts w:ascii="Verdana" w:eastAsia="Times New Roman" w:hAnsi="Verdana" w:cs="Times New Roman"/>
          <w:b/>
          <w:sz w:val="22"/>
          <w:szCs w:val="32"/>
          <w:lang w:val="mk-MK"/>
        </w:rPr>
        <w:t>хидро</w:t>
      </w:r>
      <w:r w:rsidRPr="00CA24DE">
        <w:rPr>
          <w:rFonts w:ascii="Verdana" w:eastAsia="Times New Roman" w:hAnsi="Verdana" w:cs="Times New Roman"/>
          <w:b/>
          <w:sz w:val="22"/>
          <w:szCs w:val="32"/>
          <w:lang w:val="mk-MK"/>
        </w:rPr>
        <w:t xml:space="preserve"> електрична централа</w:t>
      </w:r>
      <w:r w:rsidR="000938FE">
        <w:rPr>
          <w:rFonts w:ascii="Verdana" w:eastAsia="Times New Roman" w:hAnsi="Verdana" w:cs="Times New Roman"/>
          <w:b/>
          <w:sz w:val="22"/>
          <w:szCs w:val="32"/>
          <w:lang w:val="mk-MK"/>
        </w:rPr>
        <w:t xml:space="preserve"> на биогас</w:t>
      </w:r>
    </w:p>
    <w:p w14:paraId="12B20AF0" w14:textId="682F29D9" w:rsidR="00C70482" w:rsidRPr="00727CF2" w:rsidRDefault="001171A1" w:rsidP="00727CF2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Извршно резиме</w:t>
      </w:r>
    </w:p>
    <w:p w14:paraId="114396A2" w14:textId="77777777" w:rsidR="00C70482" w:rsidRPr="00193E64" w:rsidRDefault="00C70482" w:rsidP="00C70482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Вовед и Резиме на Проектот</w:t>
      </w:r>
    </w:p>
    <w:p w14:paraId="68F6910D" w14:textId="77777777" w:rsidR="00C70482" w:rsidRPr="00193E64" w:rsidRDefault="00C70482" w:rsidP="00C70482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</w:t>
      </w: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пшт преглед на проектот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:</w:t>
      </w:r>
    </w:p>
    <w:p w14:paraId="56279582" w14:textId="7670092D" w:rsidR="00C70482" w:rsidRPr="00193E64" w:rsidRDefault="00C70482" w:rsidP="00C70482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•</w:t>
      </w: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ab/>
        <w:t>Краток опис на проектот: Локација, основни карактеристики на електр</w:t>
      </w:r>
      <w:r w:rsidR="00727CF2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оцентралата</w:t>
      </w: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(тип, инсталирана моќност, предвидено годишно производство)</w:t>
      </w:r>
      <w:r w:rsidR="00874CF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, </w:t>
      </w:r>
      <w:r w:rsidR="00874CFC" w:rsidRPr="00874CF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планиран микс на суровини (на пр. арско ѓубриво, силажа, отпад од прехранбена индустрија), инсталиран електричен (MW</w:t>
      </w:r>
      <w:r w:rsidR="00874CFC" w:rsidRPr="00874CFC">
        <w:rPr>
          <w:rFonts w:ascii="Cambria Math" w:eastAsia="Times New Roman" w:hAnsi="Cambria Math" w:cs="Cambria Math"/>
          <w:kern w:val="0"/>
          <w:sz w:val="22"/>
          <w:lang w:val="mk-MK" w:eastAsia="sr-Latn-CS"/>
          <w14:ligatures w14:val="none"/>
        </w:rPr>
        <w:t>ₑ</w:t>
      </w:r>
      <w:r w:rsidR="00874CFC" w:rsidRPr="00874CF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) </w:t>
      </w:r>
      <w:r w:rsidR="00874CFC" w:rsidRPr="00874CFC">
        <w:rPr>
          <w:rFonts w:ascii="Verdana" w:eastAsia="Times New Roman" w:hAnsi="Verdana" w:cs="Verdana"/>
          <w:kern w:val="0"/>
          <w:sz w:val="22"/>
          <w:lang w:val="mk-MK" w:eastAsia="sr-Latn-CS"/>
          <w14:ligatures w14:val="none"/>
        </w:rPr>
        <w:t>и</w:t>
      </w:r>
      <w:r w:rsidR="00874CFC" w:rsidRPr="00874CF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874CFC" w:rsidRPr="00874CFC">
        <w:rPr>
          <w:rFonts w:ascii="Verdana" w:eastAsia="Times New Roman" w:hAnsi="Verdana" w:cs="Verdana"/>
          <w:kern w:val="0"/>
          <w:sz w:val="22"/>
          <w:lang w:val="mk-MK" w:eastAsia="sr-Latn-CS"/>
          <w14:ligatures w14:val="none"/>
        </w:rPr>
        <w:t>топлински</w:t>
      </w:r>
      <w:r w:rsidR="00874CFC" w:rsidRPr="00874CF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(MW</w:t>
      </w:r>
      <w:r w:rsidR="00874CFC" w:rsidRPr="00874CFC">
        <w:rPr>
          <w:rFonts w:ascii="Cambria Math" w:eastAsia="Times New Roman" w:hAnsi="Cambria Math" w:cs="Cambria Math"/>
          <w:kern w:val="0"/>
          <w:sz w:val="22"/>
          <w:lang w:val="mk-MK" w:eastAsia="sr-Latn-CS"/>
          <w14:ligatures w14:val="none"/>
        </w:rPr>
        <w:t>ₜₕ</w:t>
      </w:r>
      <w:r w:rsidR="00874CFC" w:rsidRPr="00874CF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) </w:t>
      </w:r>
      <w:r w:rsidR="00874CFC" w:rsidRPr="00874CFC">
        <w:rPr>
          <w:rFonts w:ascii="Verdana" w:eastAsia="Times New Roman" w:hAnsi="Verdana" w:cs="Verdana"/>
          <w:kern w:val="0"/>
          <w:sz w:val="22"/>
          <w:lang w:val="mk-MK" w:eastAsia="sr-Latn-CS"/>
          <w14:ligatures w14:val="none"/>
        </w:rPr>
        <w:t>капацитет</w:t>
      </w:r>
      <w:r w:rsidR="00874CFC" w:rsidRPr="00874CF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, </w:t>
      </w:r>
      <w:r w:rsidR="00874CFC" w:rsidRPr="00874CFC">
        <w:rPr>
          <w:rFonts w:ascii="Verdana" w:eastAsia="Times New Roman" w:hAnsi="Verdana" w:cs="Verdana"/>
          <w:kern w:val="0"/>
          <w:sz w:val="22"/>
          <w:lang w:val="mk-MK" w:eastAsia="sr-Latn-CS"/>
          <w14:ligatures w14:val="none"/>
        </w:rPr>
        <w:t>проценето</w:t>
      </w:r>
      <w:r w:rsidR="00874CFC" w:rsidRPr="00874CF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874CFC" w:rsidRPr="00874CFC">
        <w:rPr>
          <w:rFonts w:ascii="Verdana" w:eastAsia="Times New Roman" w:hAnsi="Verdana" w:cs="Verdana"/>
          <w:kern w:val="0"/>
          <w:sz w:val="22"/>
          <w:lang w:val="mk-MK" w:eastAsia="sr-Latn-CS"/>
          <w14:ligatures w14:val="none"/>
        </w:rPr>
        <w:t>годишно</w:t>
      </w:r>
      <w:r w:rsidR="00874CFC" w:rsidRPr="00874CF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874CFC" w:rsidRPr="00874CFC">
        <w:rPr>
          <w:rFonts w:ascii="Verdana" w:eastAsia="Times New Roman" w:hAnsi="Verdana" w:cs="Verdana"/>
          <w:kern w:val="0"/>
          <w:sz w:val="22"/>
          <w:lang w:val="mk-MK" w:eastAsia="sr-Latn-CS"/>
          <w14:ligatures w14:val="none"/>
        </w:rPr>
        <w:t>производство</w:t>
      </w:r>
      <w:r w:rsidR="00874CFC" w:rsidRPr="00874CF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874CFC" w:rsidRPr="00874CFC">
        <w:rPr>
          <w:rFonts w:ascii="Verdana" w:eastAsia="Times New Roman" w:hAnsi="Verdana" w:cs="Verdana"/>
          <w:kern w:val="0"/>
          <w:sz w:val="22"/>
          <w:lang w:val="mk-MK" w:eastAsia="sr-Latn-CS"/>
          <w14:ligatures w14:val="none"/>
        </w:rPr>
        <w:t>на</w:t>
      </w:r>
      <w:r w:rsidR="00874CFC" w:rsidRPr="00874CF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874CFC" w:rsidRPr="00874CFC">
        <w:rPr>
          <w:rFonts w:ascii="Verdana" w:eastAsia="Times New Roman" w:hAnsi="Verdana" w:cs="Verdana"/>
          <w:kern w:val="0"/>
          <w:sz w:val="22"/>
          <w:lang w:val="mk-MK" w:eastAsia="sr-Latn-CS"/>
          <w14:ligatures w14:val="none"/>
        </w:rPr>
        <w:t>енергија</w:t>
      </w:r>
      <w:r w:rsidR="00874CFC" w:rsidRPr="00874CF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874CFC" w:rsidRPr="00874CFC">
        <w:rPr>
          <w:rFonts w:ascii="Verdana" w:eastAsia="Times New Roman" w:hAnsi="Verdana" w:cs="Verdana"/>
          <w:kern w:val="0"/>
          <w:sz w:val="22"/>
          <w:lang w:val="mk-MK" w:eastAsia="sr-Latn-CS"/>
          <w14:ligatures w14:val="none"/>
        </w:rPr>
        <w:t>и</w:t>
      </w:r>
      <w:r w:rsidR="00874CFC" w:rsidRPr="00874CF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874CFC" w:rsidRPr="00874CFC">
        <w:rPr>
          <w:rFonts w:ascii="Verdana" w:eastAsia="Times New Roman" w:hAnsi="Verdana" w:cs="Verdana"/>
          <w:kern w:val="0"/>
          <w:sz w:val="22"/>
          <w:lang w:val="mk-MK" w:eastAsia="sr-Latn-CS"/>
          <w14:ligatures w14:val="none"/>
        </w:rPr>
        <w:t>дигестат</w:t>
      </w:r>
      <w:r w:rsidR="00874CFC" w:rsidRPr="00874CF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479F8ABF" w14:textId="77777777" w:rsidR="00C70482" w:rsidRPr="00193E64" w:rsidRDefault="00C70482" w:rsidP="00C70482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•</w:t>
      </w: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ab/>
        <w:t>Цели на студијата: Јасно дефинирање на опсегот и целите на техно-економската анализа.</w:t>
      </w:r>
    </w:p>
    <w:p w14:paraId="4E9A9827" w14:textId="77777777" w:rsidR="00C70482" w:rsidRPr="00193E64" w:rsidRDefault="00C70482" w:rsidP="00C70482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•</w:t>
      </w: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ab/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Подносител на иницијатива</w:t>
      </w: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: Основни информации за 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подносителот на иницијативата</w:t>
      </w: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4A0CBB6B" w14:textId="44E5DD6C" w:rsidR="00C70482" w:rsidRDefault="00C70482" w:rsidP="00C70482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•</w:t>
      </w: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ab/>
        <w:t>Извршно резиме: Концизен преглед на клучните технички параметри, вкупните инвестициски трошоци, главните економски показатели (како нето сегашна вредност - НСВ, интерна стапка на поврат - ИСП, период на поврат на инвестицијата)</w:t>
      </w:r>
      <w:r w:rsidR="009A2C5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9A2C5B" w:rsidRPr="00874CF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вклучувајќи ги приходите од струја, топлина и дигестат, главни придобивки (управување со отпад, намалување на емисии, производство на ѓубриво)</w:t>
      </w:r>
      <w:r w:rsidR="009A2C5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, </w:t>
      </w:r>
      <w:r w:rsidRPr="00CA24DE">
        <w:rPr>
          <w:rFonts w:ascii="Verdana" w:eastAsia="Aptos" w:hAnsi="Verdana" w:cs="Times New Roman"/>
          <w:sz w:val="22"/>
          <w:szCs w:val="22"/>
          <w:lang w:val="mk-MK"/>
        </w:rPr>
        <w:t>година на влез во погон</w:t>
      </w:r>
      <w:r w:rsidRPr="00193E6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 финалниот заклучок за исплатливоста на проектот.</w:t>
      </w:r>
      <w:r w:rsidR="00874CFC" w:rsidRPr="00874CFC">
        <w:rPr>
          <w:lang w:val="ru-RU"/>
        </w:rPr>
        <w:t xml:space="preserve"> </w:t>
      </w:r>
    </w:p>
    <w:p w14:paraId="24EB6BE4" w14:textId="77777777" w:rsidR="00C70482" w:rsidRPr="00CA24DE" w:rsidRDefault="00C70482" w:rsidP="00C70482">
      <w:pPr>
        <w:spacing w:after="80" w:line="240" w:lineRule="auto"/>
        <w:jc w:val="both"/>
        <w:rPr>
          <w:rFonts w:ascii="Verdana" w:eastAsia="Aptos" w:hAnsi="Verdana" w:cs="Times New Roman"/>
          <w:sz w:val="22"/>
          <w:szCs w:val="22"/>
          <w:lang w:val="mk-MK"/>
        </w:rPr>
      </w:pPr>
    </w:p>
    <w:p w14:paraId="657EE0FE" w14:textId="77777777" w:rsidR="00C70482" w:rsidRPr="00772670" w:rsidRDefault="00C70482" w:rsidP="00C70482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Опис на локација </w:t>
      </w:r>
    </w:p>
    <w:p w14:paraId="4F8A6A68" w14:textId="77777777" w:rsidR="00C70482" w:rsidRPr="0068021E" w:rsidRDefault="00C70482" w:rsidP="00333205">
      <w:pPr>
        <w:numPr>
          <w:ilvl w:val="0"/>
          <w:numId w:val="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6802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Анализа на локацијата:</w:t>
      </w:r>
    </w:p>
    <w:p w14:paraId="0C20F479" w14:textId="77777777" w:rsidR="00C70482" w:rsidRPr="0068021E" w:rsidRDefault="00C70482" w:rsidP="00333205">
      <w:pPr>
        <w:numPr>
          <w:ilvl w:val="0"/>
          <w:numId w:val="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Опис на макро локација на проектот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</w:t>
      </w:r>
      <w:r w:rsidRPr="006802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</w:t>
      </w:r>
      <w:r w:rsidRPr="006802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еографска и топографска анализа: Детален опис на микролокацијата, пристапни патишта, топографски карти и геодетски мерења.</w:t>
      </w:r>
    </w:p>
    <w:p w14:paraId="674F6D84" w14:textId="77777777" w:rsidR="00C70482" w:rsidRPr="00CA24DE" w:rsidRDefault="00C70482" w:rsidP="00333205">
      <w:pPr>
        <w:numPr>
          <w:ilvl w:val="0"/>
          <w:numId w:val="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6802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Геолошки и геотехнички истражувања: 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Генерален геолошки, геотехнички и сеизмички опис на зоната од интерес, листа и опис на геолошките и геомеханичките анализи кои ќе се изведат</w:t>
      </w:r>
      <w:r w:rsidRPr="006802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6D295D8E" w14:textId="66F2FA1E" w:rsidR="00C70482" w:rsidRPr="00F65871" w:rsidRDefault="00C70482" w:rsidP="00333205">
      <w:pPr>
        <w:numPr>
          <w:ilvl w:val="0"/>
          <w:numId w:val="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Опис на микро локација на проектот.</w:t>
      </w:r>
    </w:p>
    <w:p w14:paraId="66F71369" w14:textId="77777777" w:rsidR="00C70482" w:rsidRPr="00CA24DE" w:rsidRDefault="00C70482" w:rsidP="00333205">
      <w:pPr>
        <w:numPr>
          <w:ilvl w:val="0"/>
          <w:numId w:val="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Список на парцели и список на координати на предметните парцели (геореференцирани во државниот координатен систем на Република Македонија)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69B20856" w14:textId="0FFEC692" w:rsidR="001171A1" w:rsidRPr="00CA24DE" w:rsidRDefault="00C70482" w:rsidP="00333205">
      <w:pPr>
        <w:numPr>
          <w:ilvl w:val="0"/>
          <w:numId w:val="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Графички приказ на </w:t>
      </w:r>
      <w:r w:rsidR="00874CF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проектот на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топографска карта во кој се опфатени релевантните објекти на геодетска топографска подлога геореференцирана во официјалниот координатен систем на Република Северна Македонија, Гаус – Кригер проекција, зона 7.</w:t>
      </w:r>
    </w:p>
    <w:p w14:paraId="71E3B424" w14:textId="06E50DE1" w:rsidR="009A2C5B" w:rsidRPr="009A2C5B" w:rsidRDefault="009A2C5B" w:rsidP="009A2C5B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9A2C5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Анализа на Суровините (Фидсток) и План за Снабдување </w:t>
      </w:r>
    </w:p>
    <w:p w14:paraId="4782B80C" w14:textId="766038F0" w:rsidR="009A2C5B" w:rsidRPr="009A2C5B" w:rsidRDefault="009A2C5B" w:rsidP="00333205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9A2C5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Идентификација, квантификација и карактеризација на суровините:</w:t>
      </w:r>
    </w:p>
    <w:p w14:paraId="7CDB7EA5" w14:textId="5172ED36" w:rsidR="009A2C5B" w:rsidRPr="009A2C5B" w:rsidRDefault="009A2C5B" w:rsidP="00333205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9A2C5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Мапирање на изворите: Детална анализа на сите достапни суровини во економски исплатлив радиус на собирање (на пр. 15-20 км) – фарми, агро-индустриски капацитети, кланици, итн.</w:t>
      </w:r>
    </w:p>
    <w:p w14:paraId="0B967B6D" w14:textId="1F5419F7" w:rsidR="009A2C5B" w:rsidRPr="009A2C5B" w:rsidRDefault="009A2C5B" w:rsidP="00333205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9A2C5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Квантификација: Проценка на расположливите годишни количини (во тони) од секој тип на суровина.</w:t>
      </w:r>
    </w:p>
    <w:p w14:paraId="2709C543" w14:textId="16036E5E" w:rsidR="009A2C5B" w:rsidRPr="009A2C5B" w:rsidRDefault="009A2C5B" w:rsidP="00333205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lastRenderedPageBreak/>
        <w:t>А</w:t>
      </w:r>
      <w:r w:rsidRPr="009A2C5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нализа и потенцијал за биогас: Утврдување на био-метановиот потенцијал (BMP - Bio-Methane Potential) за секоја суровина за да се процени очекуваното производство на гас (m³/тон).</w:t>
      </w:r>
    </w:p>
    <w:p w14:paraId="3CE16BD0" w14:textId="1A85CB46" w:rsidR="009A2C5B" w:rsidRPr="009A2C5B" w:rsidRDefault="009A2C5B" w:rsidP="00333205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9A2C5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План за логистика и снабдување:</w:t>
      </w:r>
    </w:p>
    <w:p w14:paraId="2EF1E78D" w14:textId="19D40185" w:rsidR="009A2C5B" w:rsidRPr="009A2C5B" w:rsidRDefault="009A2C5B" w:rsidP="003416B6">
      <w:pPr>
        <w:spacing w:after="80" w:line="240" w:lineRule="auto"/>
        <w:ind w:left="36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9A2C5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Модел на собирање и транспорт: План за транспортните рути, потребна механизација и трошоци.</w:t>
      </w:r>
    </w:p>
    <w:p w14:paraId="114CCFA9" w14:textId="754B0190" w:rsidR="009A2C5B" w:rsidRPr="009A2C5B" w:rsidRDefault="009A2C5B" w:rsidP="003416B6">
      <w:pPr>
        <w:spacing w:after="80" w:line="240" w:lineRule="auto"/>
        <w:ind w:left="36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9A2C5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Договори за снабдување: Анализа на можни долгорочни договори со земјоделците и индустријата. Дефинирање на откупна цена за енергетските култури или „влезна такса“ (gate fee) за прифаќање на отпад.</w:t>
      </w:r>
    </w:p>
    <w:p w14:paraId="4AC74C27" w14:textId="4A80221C" w:rsidR="009A2C5B" w:rsidRPr="009A2C5B" w:rsidRDefault="009A2C5B" w:rsidP="00333205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9A2C5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План за складирање и пред-третман на суровините:</w:t>
      </w:r>
    </w:p>
    <w:p w14:paraId="5AC15220" w14:textId="5987DEA2" w:rsidR="009A2C5B" w:rsidRPr="009A2C5B" w:rsidRDefault="009A2C5B" w:rsidP="003416B6">
      <w:pPr>
        <w:spacing w:after="80" w:line="240" w:lineRule="auto"/>
        <w:ind w:left="36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9A2C5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Димензионирање на приемни јами, силоси и магацини.</w:t>
      </w:r>
    </w:p>
    <w:p w14:paraId="72BCE81C" w14:textId="4C74C74A" w:rsidR="00501C2C" w:rsidRPr="00CA24DE" w:rsidRDefault="009A2C5B" w:rsidP="00333205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9A2C5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Опис на потребниот пред-третман (мелење, мешање, хигиенизација).</w:t>
      </w:r>
    </w:p>
    <w:p w14:paraId="508FF389" w14:textId="05BE498D" w:rsidR="001171A1" w:rsidRPr="00CA24DE" w:rsidRDefault="001171A1" w:rsidP="00501C2C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3D7EA324" w14:textId="5C5CD060" w:rsidR="001171A1" w:rsidRPr="00CA24DE" w:rsidRDefault="00167403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674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Техничка Анализа</w:t>
      </w:r>
      <w:r w:rsidR="001171A1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:</w:t>
      </w:r>
    </w:p>
    <w:p w14:paraId="5204E61F" w14:textId="27D97A88" w:rsidR="00167403" w:rsidRPr="00167403" w:rsidRDefault="00167403" w:rsidP="00167403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674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Избор на технологија за анаеробна дигестија:</w:t>
      </w:r>
    </w:p>
    <w:p w14:paraId="20FD2096" w14:textId="5D3E8D05" w:rsidR="00167403" w:rsidRPr="00167403" w:rsidRDefault="00167403" w:rsidP="00167403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674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Опис на процесот и избор на тип на дигестор(и): Најчесто CSTR (Continuously Stirred Tank Reactor), прилагоден за планираниот микс на суровини.</w:t>
      </w:r>
    </w:p>
    <w:p w14:paraId="29D7CE7E" w14:textId="43B4DBF2" w:rsidR="00167403" w:rsidRPr="00167403" w:rsidRDefault="00167403" w:rsidP="00167403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674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Димензионирање на дигесторите: Врз основа на количината на суровини и потребното време на задржување.</w:t>
      </w:r>
    </w:p>
    <w:p w14:paraId="571993DC" w14:textId="3E2EC2EF" w:rsidR="00167403" w:rsidRPr="00167403" w:rsidRDefault="00167403" w:rsidP="00167403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674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Систем за третман и искористување на биогасот:</w:t>
      </w:r>
    </w:p>
    <w:p w14:paraId="0B4A41D5" w14:textId="22F92DCE" w:rsidR="00167403" w:rsidRPr="00167403" w:rsidRDefault="00167403" w:rsidP="00167403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674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Прочистување на биогасот: Систем за отстранување на сулфурводород (H₂S) и влага.</w:t>
      </w:r>
    </w:p>
    <w:p w14:paraId="69E71C52" w14:textId="77777777" w:rsidR="00DD3CC6" w:rsidRDefault="00167403" w:rsidP="00DD3CC6">
      <w:pPr>
        <w:spacing w:after="80" w:line="240" w:lineRule="auto"/>
        <w:ind w:left="720"/>
        <w:jc w:val="both"/>
        <w:rPr>
          <w:lang w:val="ru-RU"/>
        </w:rPr>
      </w:pPr>
      <w:r w:rsidRPr="001674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Когенеративна единица (CHP): Избор на гасен клипен мотор (gas engine) со соодветен електричен и топлински капацитет.</w:t>
      </w:r>
      <w:r w:rsidR="00DD3CC6" w:rsidRPr="00DD3CC6">
        <w:rPr>
          <w:lang w:val="ru-RU"/>
        </w:rPr>
        <w:t xml:space="preserve"> </w:t>
      </w:r>
    </w:p>
    <w:p w14:paraId="30C5F4E3" w14:textId="623668A7" w:rsidR="00DD3CC6" w:rsidRPr="00DD3CC6" w:rsidRDefault="00DD3CC6" w:rsidP="00DD3CC6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D3CC6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Инсталирана електрична моќност (kWe)</w:t>
      </w:r>
    </w:p>
    <w:p w14:paraId="3550756B" w14:textId="5C59B9F7" w:rsidR="00DD3CC6" w:rsidRPr="00DD3CC6" w:rsidRDefault="00DD3CC6" w:rsidP="00DD3CC6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D3CC6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Инсталирана топлинска моќност (kWth)</w:t>
      </w:r>
    </w:p>
    <w:p w14:paraId="6AB55240" w14:textId="794016C3" w:rsidR="00DD3CC6" w:rsidRPr="00DD3CC6" w:rsidRDefault="00DD3CC6" w:rsidP="00DD3CC6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D3CC6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Проценето производство на биогас (m³/год)</w:t>
      </w:r>
    </w:p>
    <w:p w14:paraId="49214CEC" w14:textId="21FCF38D" w:rsidR="00DD3CC6" w:rsidRPr="00DD3CC6" w:rsidRDefault="00DD3CC6" w:rsidP="00DD3CC6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D3CC6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Ефикасност на преобразба на енергија</w:t>
      </w:r>
    </w:p>
    <w:p w14:paraId="3ACC32DD" w14:textId="00182658" w:rsidR="00167403" w:rsidRPr="00167403" w:rsidRDefault="00DD3CC6" w:rsidP="00DD3CC6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D3CC6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Режими на работа и флексибилност</w:t>
      </w:r>
    </w:p>
    <w:p w14:paraId="46C821C0" w14:textId="0CB7036C" w:rsidR="00167403" w:rsidRPr="00167403" w:rsidRDefault="00167403" w:rsidP="00167403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674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План за управување со дигестатот:</w:t>
      </w:r>
    </w:p>
    <w:p w14:paraId="06C397F3" w14:textId="640AF822" w:rsidR="00167403" w:rsidRPr="00167403" w:rsidRDefault="00167403" w:rsidP="00167403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674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Технологија за третман и складирање: Димензионирање на лагуни или резервоари за складирање на дигестатот. Опционално, систем за сепарација на цврста и течна фракција.</w:t>
      </w:r>
    </w:p>
    <w:p w14:paraId="18A8E68C" w14:textId="13DE2F82" w:rsidR="00167403" w:rsidRPr="00167403" w:rsidRDefault="00167403" w:rsidP="00167403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674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План за искористување како органско ѓубриво: Идентификација на земјоделски површини за апликација, план за транспорт и дистрибуција, договори со земјоделци.</w:t>
      </w:r>
    </w:p>
    <w:p w14:paraId="22A15537" w14:textId="4DD14B11" w:rsidR="00167403" w:rsidRPr="00167403" w:rsidRDefault="00167403" w:rsidP="00167403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674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План за искористување на топлинска енергија:</w:t>
      </w:r>
    </w:p>
    <w:p w14:paraId="224ED5FB" w14:textId="7139B7E5" w:rsidR="00167403" w:rsidRPr="00167403" w:rsidRDefault="00167403" w:rsidP="00167403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674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Внатрешни потреби: Загревање на дигесторите (најважен потрошувач).</w:t>
      </w:r>
    </w:p>
    <w:p w14:paraId="553187D8" w14:textId="4E50BB89" w:rsidR="001171A1" w:rsidRDefault="00167403" w:rsidP="00167403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674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Надворешни потреби: Снабдување со топлина на околни фарми, оранжерии, капацитети за сушење или локални објекти.</w:t>
      </w:r>
    </w:p>
    <w:p w14:paraId="45DDC186" w14:textId="77777777" w:rsidR="00167403" w:rsidRDefault="00167403" w:rsidP="00167403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6586439F" w14:textId="77777777" w:rsidR="00167403" w:rsidRPr="00167403" w:rsidRDefault="00167403" w:rsidP="00167403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674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### **4.4. Инфраструктурни барања**</w:t>
      </w:r>
    </w:p>
    <w:p w14:paraId="6ADD09B2" w14:textId="0EDE0F73" w:rsidR="00167403" w:rsidRPr="00167403" w:rsidRDefault="00167403" w:rsidP="00167403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674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lastRenderedPageBreak/>
        <w:t>Просторни барања за изградба</w:t>
      </w:r>
    </w:p>
    <w:p w14:paraId="255CFC81" w14:textId="0B413158" w:rsidR="00167403" w:rsidRPr="00167403" w:rsidRDefault="00167403" w:rsidP="00167403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674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Водоснабдување и систем за третман на отпадни води</w:t>
      </w:r>
    </w:p>
    <w:p w14:paraId="6D25EECE" w14:textId="5F0EB17E" w:rsidR="00562E9C" w:rsidRPr="00562E9C" w:rsidRDefault="00167403" w:rsidP="00C2065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1674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Патишта и сообраќајна инфраструктура</w:t>
      </w:r>
    </w:p>
    <w:p w14:paraId="634735B7" w14:textId="37890ADA" w:rsidR="00562E9C" w:rsidRPr="00562E9C" w:rsidRDefault="00562E9C" w:rsidP="00562E9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562E9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Топлински извед</w:t>
      </w:r>
      <w:r w:rsidR="00C2065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б</w:t>
      </w:r>
      <w:r w:rsidRPr="00562E9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 (за сушење, греење, индустриски процеси).</w:t>
      </w:r>
    </w:p>
    <w:p w14:paraId="3DE4A870" w14:textId="1F7220AB" w:rsidR="00562E9C" w:rsidRPr="00562E9C" w:rsidRDefault="00562E9C" w:rsidP="00562E9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562E9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Ефикасност: електрична, топлинска, тотална.</w:t>
      </w:r>
    </w:p>
    <w:p w14:paraId="081EAD4D" w14:textId="785C00EE" w:rsidR="00562E9C" w:rsidRPr="00562E9C" w:rsidRDefault="00562E9C" w:rsidP="00562E9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562E9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Помошни системи</w:t>
      </w:r>
    </w:p>
    <w:p w14:paraId="1BEB29EF" w14:textId="77777777" w:rsidR="00562E9C" w:rsidRPr="00562E9C" w:rsidRDefault="00562E9C" w:rsidP="00562E9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562E9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•</w:t>
      </w:r>
      <w:r w:rsidRPr="00562E9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ab/>
        <w:t>Складирање и третман на дигестат.</w:t>
      </w:r>
    </w:p>
    <w:p w14:paraId="27B469D4" w14:textId="77777777" w:rsidR="00562E9C" w:rsidRPr="00562E9C" w:rsidRDefault="00562E9C" w:rsidP="00562E9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562E9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•</w:t>
      </w:r>
      <w:r w:rsidRPr="00562E9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ab/>
        <w:t>Системи за вода, отпадни води и миризби.</w:t>
      </w:r>
    </w:p>
    <w:p w14:paraId="4F4C9FBD" w14:textId="77777777" w:rsidR="00562E9C" w:rsidRPr="00562E9C" w:rsidRDefault="00562E9C" w:rsidP="00562E9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562E9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•</w:t>
      </w:r>
      <w:r w:rsidRPr="00562E9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ab/>
        <w:t>Автоматизација и SCADA.</w:t>
      </w:r>
    </w:p>
    <w:p w14:paraId="01A9D252" w14:textId="77777777" w:rsidR="00167403" w:rsidRPr="00CA24DE" w:rsidRDefault="00167403" w:rsidP="00167403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6835501E" w14:textId="77777777" w:rsidR="001171A1" w:rsidRPr="00CA24DE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Естимација на производство на енергија</w:t>
      </w:r>
    </w:p>
    <w:p w14:paraId="2B452830" w14:textId="44A76E13" w:rsidR="00562E9C" w:rsidRPr="00562E9C" w:rsidRDefault="00562E9C" w:rsidP="00562E9C">
      <w:pPr>
        <w:numPr>
          <w:ilvl w:val="0"/>
          <w:numId w:val="5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562E9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Очекуван годишен волумен на биогас (m³/година).</w:t>
      </w:r>
    </w:p>
    <w:p w14:paraId="172391C8" w14:textId="58DD7F3D" w:rsidR="00562E9C" w:rsidRPr="00562E9C" w:rsidRDefault="00562E9C" w:rsidP="00562E9C">
      <w:pPr>
        <w:numPr>
          <w:ilvl w:val="0"/>
          <w:numId w:val="5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562E9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Енергетска содржина (MWh).</w:t>
      </w:r>
    </w:p>
    <w:p w14:paraId="4A9C5F0D" w14:textId="45C293A5" w:rsidR="00562E9C" w:rsidRPr="00562E9C" w:rsidRDefault="00562E9C" w:rsidP="00562E9C">
      <w:pPr>
        <w:numPr>
          <w:ilvl w:val="0"/>
          <w:numId w:val="5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562E9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Годишно производство на електрична енергија (MWh</w:t>
      </w:r>
      <w:r w:rsidRPr="00562E9C">
        <w:rPr>
          <w:rFonts w:ascii="Cambria Math" w:eastAsia="Times New Roman" w:hAnsi="Cambria Math" w:cs="Cambria Math"/>
          <w:kern w:val="0"/>
          <w:sz w:val="22"/>
          <w:lang w:val="mk-MK" w:eastAsia="sr-Latn-CS"/>
          <w14:ligatures w14:val="none"/>
        </w:rPr>
        <w:t>ₑ</w:t>
      </w:r>
      <w:r w:rsidRPr="00562E9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).</w:t>
      </w:r>
    </w:p>
    <w:p w14:paraId="6BF754CE" w14:textId="22465AFB" w:rsidR="00562E9C" w:rsidRPr="00562E9C" w:rsidRDefault="00562E9C" w:rsidP="00562E9C">
      <w:pPr>
        <w:numPr>
          <w:ilvl w:val="0"/>
          <w:numId w:val="5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562E9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Годишно производство на топлина (MWh</w:t>
      </w:r>
      <w:r w:rsidRPr="00562E9C">
        <w:rPr>
          <w:rFonts w:ascii="Cambria Math" w:eastAsia="Times New Roman" w:hAnsi="Cambria Math" w:cs="Cambria Math"/>
          <w:kern w:val="0"/>
          <w:sz w:val="22"/>
          <w:lang w:val="mk-MK" w:eastAsia="sr-Latn-CS"/>
          <w14:ligatures w14:val="none"/>
        </w:rPr>
        <w:t>ₜ</w:t>
      </w:r>
      <w:r w:rsidRPr="00562E9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).</w:t>
      </w:r>
    </w:p>
    <w:p w14:paraId="0A7D4FEF" w14:textId="768E2173" w:rsidR="00562E9C" w:rsidRPr="00562E9C" w:rsidRDefault="00562E9C" w:rsidP="00562E9C">
      <w:pPr>
        <w:numPr>
          <w:ilvl w:val="0"/>
          <w:numId w:val="5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562E9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Фактор на искористување (CF).</w:t>
      </w:r>
    </w:p>
    <w:p w14:paraId="66517434" w14:textId="11611DB9" w:rsidR="001171A1" w:rsidRPr="00CA24DE" w:rsidRDefault="00562E9C" w:rsidP="00562E9C">
      <w:pPr>
        <w:numPr>
          <w:ilvl w:val="0"/>
          <w:numId w:val="5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562E9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Power-to-heat ratio.</w:t>
      </w:r>
    </w:p>
    <w:p w14:paraId="5DE3D6D1" w14:textId="55BE0857" w:rsidR="001171A1" w:rsidRPr="00CA24DE" w:rsidRDefault="001171A1" w:rsidP="00333205">
      <w:pPr>
        <w:numPr>
          <w:ilvl w:val="0"/>
          <w:numId w:val="5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Графички да се претстават положбите на турбините и трафостаницата за различните конфигурации на електраната.</w:t>
      </w:r>
    </w:p>
    <w:p w14:paraId="72E799E9" w14:textId="493F570F" w:rsidR="00670651" w:rsidRPr="00CA24DE" w:rsidRDefault="00BF0130" w:rsidP="00333205">
      <w:pPr>
        <w:numPr>
          <w:ilvl w:val="0"/>
          <w:numId w:val="5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Технички опис на планираниот систем за приклучување на соодветната електро – енергетска мрежа, трансформаторските станици, вклучувајќи ги и среднонапонските трансформаторските станици (ХХ/</w:t>
      </w:r>
      <w:r w:rsidRPr="00CA24DE">
        <w:rPr>
          <w:rFonts w:ascii="Verdana" w:eastAsia="Aptos" w:hAnsi="Verdana" w:cs="Times New Roman"/>
          <w:sz w:val="22"/>
          <w:szCs w:val="22"/>
          <w:lang w:val="ru-RU"/>
        </w:rPr>
        <w:t xml:space="preserve">20 </w:t>
      </w:r>
      <w:r w:rsidRPr="00CA24DE">
        <w:rPr>
          <w:rFonts w:ascii="Verdana" w:eastAsia="Aptos" w:hAnsi="Verdana" w:cs="Times New Roman"/>
          <w:sz w:val="22"/>
          <w:szCs w:val="22"/>
          <w:lang w:val="mk-MK"/>
        </w:rPr>
        <w:t xml:space="preserve">или ХХ/35 </w:t>
      </w:r>
      <w:r w:rsidRPr="00CA24DE">
        <w:rPr>
          <w:rFonts w:ascii="Verdana" w:eastAsia="Aptos" w:hAnsi="Verdana" w:cs="Times New Roman"/>
          <w:sz w:val="22"/>
          <w:szCs w:val="22"/>
        </w:rPr>
        <w:t>kV</w:t>
      </w:r>
      <w:r w:rsidRPr="00CA24DE">
        <w:rPr>
          <w:rFonts w:ascii="Verdana" w:eastAsia="Aptos" w:hAnsi="Verdana" w:cs="Times New Roman"/>
          <w:sz w:val="22"/>
          <w:szCs w:val="22"/>
          <w:lang w:val="ru-RU"/>
        </w:rPr>
        <w:t xml:space="preserve">) </w:t>
      </w:r>
      <w:r w:rsidRPr="00CA24DE">
        <w:rPr>
          <w:rFonts w:ascii="Verdana" w:eastAsia="Aptos" w:hAnsi="Verdana" w:cs="Times New Roman"/>
          <w:sz w:val="22"/>
          <w:szCs w:val="22"/>
          <w:lang w:val="mk-MK"/>
        </w:rPr>
        <w:t xml:space="preserve">како и (во зависност од инсталираната моќност на електроенергетскиот објект) високонапонските трансфрматорски станици 20/110 </w:t>
      </w:r>
      <w:bookmarkStart w:id="0" w:name="_Hlk203339129"/>
      <w:r w:rsidRPr="00CA24DE">
        <w:rPr>
          <w:rFonts w:ascii="Verdana" w:eastAsia="Aptos" w:hAnsi="Verdana" w:cs="Times New Roman"/>
          <w:sz w:val="22"/>
          <w:szCs w:val="22"/>
        </w:rPr>
        <w:t>kV</w:t>
      </w:r>
      <w:bookmarkEnd w:id="0"/>
      <w:r w:rsidRPr="00CA24DE">
        <w:rPr>
          <w:rFonts w:ascii="Verdana" w:eastAsia="Aptos" w:hAnsi="Verdana" w:cs="Times New Roman"/>
          <w:sz w:val="22"/>
          <w:szCs w:val="22"/>
          <w:lang w:val="mk-MK"/>
        </w:rPr>
        <w:t xml:space="preserve">, 35/110 </w:t>
      </w:r>
      <w:r w:rsidRPr="00CA24DE">
        <w:rPr>
          <w:rFonts w:ascii="Verdana" w:eastAsia="Aptos" w:hAnsi="Verdana" w:cs="Times New Roman"/>
          <w:sz w:val="22"/>
          <w:szCs w:val="22"/>
        </w:rPr>
        <w:t>kV</w:t>
      </w:r>
      <w:r w:rsidRPr="00CA24DE">
        <w:rPr>
          <w:rFonts w:ascii="Verdana" w:eastAsia="Aptos" w:hAnsi="Verdana" w:cs="Times New Roman"/>
          <w:sz w:val="22"/>
          <w:szCs w:val="22"/>
          <w:lang w:val="mk-MK"/>
        </w:rPr>
        <w:t xml:space="preserve">, 110/400 </w:t>
      </w:r>
      <w:r w:rsidRPr="00CA24DE">
        <w:rPr>
          <w:rFonts w:ascii="Verdana" w:eastAsia="Aptos" w:hAnsi="Verdana" w:cs="Times New Roman"/>
          <w:sz w:val="22"/>
          <w:szCs w:val="22"/>
        </w:rPr>
        <w:t>kV</w:t>
      </w:r>
      <w:r w:rsidRPr="00CA24DE">
        <w:rPr>
          <w:rFonts w:ascii="Verdana" w:eastAsia="Aptos" w:hAnsi="Verdana" w:cs="Times New Roman"/>
          <w:sz w:val="22"/>
          <w:szCs w:val="22"/>
          <w:lang w:val="mk-MK"/>
        </w:rPr>
        <w:t xml:space="preserve">, 20/110/400 </w:t>
      </w:r>
      <w:r w:rsidRPr="00CA24DE">
        <w:rPr>
          <w:rFonts w:ascii="Verdana" w:eastAsia="Aptos" w:hAnsi="Verdana" w:cs="Times New Roman"/>
          <w:sz w:val="22"/>
          <w:szCs w:val="22"/>
        </w:rPr>
        <w:t>kV</w:t>
      </w:r>
      <w:r w:rsidRPr="00CA24DE">
        <w:rPr>
          <w:rFonts w:ascii="Verdana" w:eastAsia="Aptos" w:hAnsi="Verdana" w:cs="Times New Roman"/>
          <w:sz w:val="22"/>
          <w:szCs w:val="22"/>
          <w:lang w:val="mk-MK"/>
        </w:rPr>
        <w:t xml:space="preserve">, 35/110/400 </w:t>
      </w:r>
      <w:r w:rsidRPr="00CA24DE">
        <w:rPr>
          <w:rFonts w:ascii="Verdana" w:eastAsia="Aptos" w:hAnsi="Verdana" w:cs="Times New Roman"/>
          <w:sz w:val="22"/>
          <w:szCs w:val="22"/>
        </w:rPr>
        <w:t>kV</w:t>
      </w:r>
      <w:r w:rsidRPr="00CA24DE">
        <w:rPr>
          <w:rFonts w:ascii="Verdana" w:eastAsia="Aptos" w:hAnsi="Verdana" w:cs="Times New Roman"/>
          <w:sz w:val="22"/>
          <w:szCs w:val="22"/>
          <w:lang w:val="mk-MK"/>
        </w:rPr>
        <w:t>, основни карактеристики на предвидената опрема.</w:t>
      </w:r>
    </w:p>
    <w:p w14:paraId="08B4E74C" w14:textId="77777777" w:rsidR="001171A1" w:rsidRPr="00CA24DE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Економска евалуација на проектот</w:t>
      </w:r>
    </w:p>
    <w:p w14:paraId="601419E3" w14:textId="101F0A23" w:rsidR="00D64961" w:rsidRPr="00D64961" w:rsidRDefault="00D64961" w:rsidP="00D64961">
      <w:pPr>
        <w:numPr>
          <w:ilvl w:val="3"/>
          <w:numId w:val="7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D64961">
        <w:rPr>
          <w:rFonts w:ascii="Verdana" w:eastAsia="Aptos" w:hAnsi="Verdana" w:cs="Times New Roman"/>
          <w:sz w:val="22"/>
          <w:szCs w:val="22"/>
          <w:lang w:val="mk-MK"/>
        </w:rPr>
        <w:t>Инвестициски трошоци (CAPEX): Трошоци за дигестори, CHP единица, складишта за суровини и дигестат, градежни работи.</w:t>
      </w:r>
    </w:p>
    <w:p w14:paraId="7E31F087" w14:textId="11D4AA99" w:rsidR="00D64961" w:rsidRPr="00D64961" w:rsidRDefault="00D64961" w:rsidP="00D64961">
      <w:pPr>
        <w:numPr>
          <w:ilvl w:val="3"/>
          <w:numId w:val="7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D64961">
        <w:rPr>
          <w:rFonts w:ascii="Verdana" w:eastAsia="Aptos" w:hAnsi="Verdana" w:cs="Times New Roman"/>
          <w:sz w:val="22"/>
          <w:szCs w:val="22"/>
          <w:lang w:val="mk-MK"/>
        </w:rPr>
        <w:t>Оперативни трошоци (OPEX):</w:t>
      </w:r>
    </w:p>
    <w:p w14:paraId="5CE56DCB" w14:textId="26A166CE" w:rsidR="00D64961" w:rsidRPr="00D64961" w:rsidRDefault="00D64961" w:rsidP="00D64961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D64961">
        <w:rPr>
          <w:rFonts w:ascii="Verdana" w:eastAsia="Aptos" w:hAnsi="Verdana" w:cs="Times New Roman"/>
          <w:sz w:val="22"/>
          <w:szCs w:val="22"/>
          <w:lang w:val="mk-MK"/>
        </w:rPr>
        <w:t>Трошоци за суровини: Набавка на енергетски култури и транспорт (често најголем оперативен трошок).</w:t>
      </w:r>
    </w:p>
    <w:p w14:paraId="0A81347F" w14:textId="6CAEBF36" w:rsidR="00D64961" w:rsidRPr="00D64961" w:rsidRDefault="00D64961" w:rsidP="00D64961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D64961">
        <w:rPr>
          <w:rFonts w:ascii="Verdana" w:eastAsia="Aptos" w:hAnsi="Verdana" w:cs="Times New Roman"/>
          <w:sz w:val="22"/>
          <w:szCs w:val="22"/>
          <w:lang w:val="mk-MK"/>
        </w:rPr>
        <w:t>Одржување (особено на CHP единицата), персонал, осигурување.</w:t>
      </w:r>
    </w:p>
    <w:p w14:paraId="19C79C9E" w14:textId="06EA6C70" w:rsidR="00D64961" w:rsidRPr="00D64961" w:rsidRDefault="00D64961" w:rsidP="00D64961">
      <w:pPr>
        <w:numPr>
          <w:ilvl w:val="3"/>
          <w:numId w:val="7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D64961">
        <w:rPr>
          <w:rFonts w:ascii="Verdana" w:eastAsia="Aptos" w:hAnsi="Verdana" w:cs="Times New Roman"/>
          <w:sz w:val="22"/>
          <w:szCs w:val="22"/>
          <w:lang w:val="mk-MK"/>
        </w:rPr>
        <w:t>Проекција на приходи (Тројна структура):</w:t>
      </w:r>
    </w:p>
    <w:p w14:paraId="19D020E2" w14:textId="6A4EB4DD" w:rsidR="00D64961" w:rsidRPr="00D64961" w:rsidRDefault="00D64961" w:rsidP="00D64961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D64961">
        <w:rPr>
          <w:rFonts w:ascii="Verdana" w:eastAsia="Aptos" w:hAnsi="Verdana" w:cs="Times New Roman"/>
          <w:sz w:val="22"/>
          <w:szCs w:val="22"/>
          <w:lang w:val="mk-MK"/>
        </w:rPr>
        <w:t>Приходи од продажба на електрична енергија: Најчесто преку шеми за поддршка (повластени тарифи/премии) за биогасни централи, кои се клучни за исплатливоста.</w:t>
      </w:r>
    </w:p>
    <w:p w14:paraId="608A3C84" w14:textId="687D7A9E" w:rsidR="00D64961" w:rsidRPr="00D64961" w:rsidRDefault="00D64961" w:rsidP="00D64961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D64961">
        <w:rPr>
          <w:rFonts w:ascii="Verdana" w:eastAsia="Aptos" w:hAnsi="Verdana" w:cs="Times New Roman"/>
          <w:sz w:val="22"/>
          <w:szCs w:val="22"/>
          <w:lang w:val="mk-MK"/>
        </w:rPr>
        <w:t>Приходи од продажба на топлинска енергија: Доколку има надворешен потрошувач.</w:t>
      </w:r>
    </w:p>
    <w:p w14:paraId="3240798F" w14:textId="30D5F4AA" w:rsidR="00D64961" w:rsidRPr="00D64961" w:rsidRDefault="00D64961" w:rsidP="00D64961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D64961">
        <w:rPr>
          <w:rFonts w:ascii="Verdana" w:eastAsia="Aptos" w:hAnsi="Verdana" w:cs="Times New Roman"/>
          <w:sz w:val="22"/>
          <w:szCs w:val="22"/>
          <w:lang w:val="mk-MK"/>
        </w:rPr>
        <w:t>Приходи или заштеди од дигестатот:</w:t>
      </w:r>
    </w:p>
    <w:p w14:paraId="6E84221C" w14:textId="77777777" w:rsidR="00D64961" w:rsidRPr="00D64961" w:rsidRDefault="00D64961" w:rsidP="00D64961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D64961">
        <w:rPr>
          <w:rFonts w:ascii="Verdana" w:eastAsia="Aptos" w:hAnsi="Verdana" w:cs="Times New Roman"/>
          <w:sz w:val="22"/>
          <w:szCs w:val="22"/>
          <w:lang w:val="mk-MK"/>
        </w:rPr>
        <w:t>Приход: Директна продажба на дигестатот како сертифицирано органско ѓубриво.</w:t>
      </w:r>
    </w:p>
    <w:p w14:paraId="5E1D9118" w14:textId="77777777" w:rsidR="00D64961" w:rsidRPr="00D64961" w:rsidRDefault="00D64961" w:rsidP="00D64961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D64961">
        <w:rPr>
          <w:rFonts w:ascii="Verdana" w:eastAsia="Aptos" w:hAnsi="Verdana" w:cs="Times New Roman"/>
          <w:sz w:val="22"/>
          <w:szCs w:val="22"/>
          <w:lang w:val="mk-MK"/>
        </w:rPr>
        <w:t>Заштеда: Вреднување на заштедата од ненабавување на вештачко минерално ѓубриво за сопствени потреби.</w:t>
      </w:r>
    </w:p>
    <w:p w14:paraId="2F54288D" w14:textId="1B17DB80" w:rsidR="00D64961" w:rsidRPr="00D64961" w:rsidRDefault="00D64961" w:rsidP="00D64961">
      <w:pPr>
        <w:numPr>
          <w:ilvl w:val="3"/>
          <w:numId w:val="7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D64961">
        <w:rPr>
          <w:rFonts w:ascii="Verdana" w:eastAsia="Aptos" w:hAnsi="Verdana" w:cs="Times New Roman"/>
          <w:sz w:val="22"/>
          <w:szCs w:val="22"/>
          <w:lang w:val="mk-MK"/>
        </w:rPr>
        <w:lastRenderedPageBreak/>
        <w:t>Финансиска евалуација (НСВ, ИСП, период на поврат): Анализа на исплатливоста со јасно прикажување на влијанието на повластените тарифи.</w:t>
      </w:r>
    </w:p>
    <w:p w14:paraId="4AA4731A" w14:textId="01661DB4" w:rsidR="00D64961" w:rsidRPr="00D64961" w:rsidRDefault="00D64961" w:rsidP="00D64961">
      <w:pPr>
        <w:numPr>
          <w:ilvl w:val="3"/>
          <w:numId w:val="7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D64961">
        <w:rPr>
          <w:rFonts w:ascii="Verdana" w:eastAsia="Aptos" w:hAnsi="Verdana" w:cs="Times New Roman"/>
          <w:sz w:val="22"/>
          <w:szCs w:val="22"/>
          <w:lang w:val="mk-MK"/>
        </w:rPr>
        <w:t>Заклучоци и Анализа на Ризици</w:t>
      </w:r>
    </w:p>
    <w:p w14:paraId="21E08A08" w14:textId="458E460D" w:rsidR="00D64961" w:rsidRPr="00D64961" w:rsidRDefault="00D64961" w:rsidP="00D64961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D64961">
        <w:rPr>
          <w:rFonts w:ascii="Verdana" w:eastAsia="Aptos" w:hAnsi="Verdana" w:cs="Times New Roman"/>
          <w:sz w:val="22"/>
          <w:szCs w:val="22"/>
          <w:lang w:val="mk-MK"/>
        </w:rPr>
        <w:t>Резиме на наодите.</w:t>
      </w:r>
    </w:p>
    <w:p w14:paraId="3E1C29BA" w14:textId="7E223B62" w:rsidR="00D64961" w:rsidRPr="00D64961" w:rsidRDefault="00D64961" w:rsidP="00D64961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D64961">
        <w:rPr>
          <w:rFonts w:ascii="Verdana" w:eastAsia="Aptos" w:hAnsi="Verdana" w:cs="Times New Roman"/>
          <w:sz w:val="22"/>
          <w:szCs w:val="22"/>
          <w:lang w:val="mk-MK"/>
        </w:rPr>
        <w:t>Матрица на ризици:</w:t>
      </w:r>
    </w:p>
    <w:p w14:paraId="1F19FA25" w14:textId="77777777" w:rsidR="001171A1" w:rsidRPr="00CA24DE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Заклучок:</w:t>
      </w:r>
    </w:p>
    <w:p w14:paraId="429E255F" w14:textId="0B2DC3AA" w:rsidR="001171A1" w:rsidRPr="00CA24DE" w:rsidRDefault="001171A1" w:rsidP="00333205">
      <w:pPr>
        <w:numPr>
          <w:ilvl w:val="0"/>
          <w:numId w:val="6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Техно-економски карактеристики на </w:t>
      </w:r>
      <w:r w:rsidR="00985AE9"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Х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ЕЦ.</w:t>
      </w:r>
    </w:p>
    <w:p w14:paraId="1F328D05" w14:textId="480C95BD" w:rsidR="00D7209F" w:rsidRPr="00CA24DE" w:rsidRDefault="001171A1" w:rsidP="00333205">
      <w:pPr>
        <w:numPr>
          <w:ilvl w:val="0"/>
          <w:numId w:val="6"/>
        </w:numPr>
        <w:spacing w:after="80" w:line="240" w:lineRule="auto"/>
        <w:jc w:val="both"/>
        <w:rPr>
          <w:rFonts w:ascii="Verdana" w:hAnsi="Verdana"/>
          <w:lang w:val="ru-RU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Понатамошни чекори за развој на проектот.</w:t>
      </w:r>
    </w:p>
    <w:p w14:paraId="23F6E1D5" w14:textId="77777777" w:rsidR="00CA24DE" w:rsidRPr="000938FE" w:rsidRDefault="00CA24DE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3E9DA3C1" w14:textId="2EA53656" w:rsidR="00FD2C2F" w:rsidRPr="00FD2C2F" w:rsidRDefault="00FD2C2F" w:rsidP="00FD2C2F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Прилози</w:t>
      </w:r>
      <w:r w:rsidRPr="00FD2C2F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:</w:t>
      </w:r>
    </w:p>
    <w:p w14:paraId="5308C1B6" w14:textId="5908AC45" w:rsidR="00FD2C2F" w:rsidRPr="00FD2C2F" w:rsidRDefault="00FD2C2F" w:rsidP="00FD2C2F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  <w:r w:rsidRPr="00FD2C2F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*   Технички дијаграми и цртежи</w:t>
      </w:r>
    </w:p>
    <w:p w14:paraId="7441B37A" w14:textId="11FC40DB" w:rsidR="004C4C35" w:rsidRPr="000938FE" w:rsidRDefault="00FD2C2F" w:rsidP="00FD2C2F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  <w:r w:rsidRPr="00FD2C2F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*   Резултати од истражувања на достапноста на суровини</w:t>
      </w:r>
    </w:p>
    <w:p w14:paraId="6C52C2CF" w14:textId="77777777" w:rsidR="004C4C35" w:rsidRPr="000938FE" w:rsidRDefault="004C4C35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646EA25F" w14:textId="77777777" w:rsidR="004C4C35" w:rsidRPr="000938FE" w:rsidRDefault="004C4C35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sectPr w:rsidR="004C4C35" w:rsidRPr="000938FE" w:rsidSect="0047184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2CD"/>
    <w:multiLevelType w:val="multilevel"/>
    <w:tmpl w:val="B79E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15131"/>
    <w:multiLevelType w:val="hybridMultilevel"/>
    <w:tmpl w:val="BACEF7AA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3C559DD"/>
    <w:multiLevelType w:val="multilevel"/>
    <w:tmpl w:val="630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D4609"/>
    <w:multiLevelType w:val="multilevel"/>
    <w:tmpl w:val="FB9A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673A0"/>
    <w:multiLevelType w:val="hybridMultilevel"/>
    <w:tmpl w:val="CBE6BA88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1A34FE6"/>
    <w:multiLevelType w:val="multilevel"/>
    <w:tmpl w:val="D706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40633"/>
    <w:multiLevelType w:val="multilevel"/>
    <w:tmpl w:val="FCE6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56978"/>
    <w:multiLevelType w:val="multilevel"/>
    <w:tmpl w:val="ECE2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D36B6"/>
    <w:multiLevelType w:val="multilevel"/>
    <w:tmpl w:val="4A66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70EDA"/>
    <w:multiLevelType w:val="multilevel"/>
    <w:tmpl w:val="FD02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23502"/>
    <w:multiLevelType w:val="multilevel"/>
    <w:tmpl w:val="9B08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A6641"/>
    <w:multiLevelType w:val="multilevel"/>
    <w:tmpl w:val="0B6C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0087D"/>
    <w:multiLevelType w:val="multilevel"/>
    <w:tmpl w:val="8EFC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35903"/>
    <w:multiLevelType w:val="multilevel"/>
    <w:tmpl w:val="11D6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80838"/>
    <w:multiLevelType w:val="multilevel"/>
    <w:tmpl w:val="0410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B55838"/>
    <w:multiLevelType w:val="multilevel"/>
    <w:tmpl w:val="33D2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85AF3"/>
    <w:multiLevelType w:val="multilevel"/>
    <w:tmpl w:val="E8CEE6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A14830"/>
    <w:multiLevelType w:val="multilevel"/>
    <w:tmpl w:val="4EAA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C14B34"/>
    <w:multiLevelType w:val="multilevel"/>
    <w:tmpl w:val="9E9C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353C27"/>
    <w:multiLevelType w:val="multilevel"/>
    <w:tmpl w:val="B35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09570C"/>
    <w:multiLevelType w:val="multilevel"/>
    <w:tmpl w:val="7EF8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6A7427"/>
    <w:multiLevelType w:val="multilevel"/>
    <w:tmpl w:val="9308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C763D5"/>
    <w:multiLevelType w:val="multilevel"/>
    <w:tmpl w:val="829E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2A0776"/>
    <w:multiLevelType w:val="hybridMultilevel"/>
    <w:tmpl w:val="6D48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8B4592"/>
    <w:multiLevelType w:val="hybridMultilevel"/>
    <w:tmpl w:val="B41ACF04"/>
    <w:lvl w:ilvl="0" w:tplc="E4E6E6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1814"/>
        </w:tabs>
        <w:ind w:left="181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64706206"/>
    <w:multiLevelType w:val="multilevel"/>
    <w:tmpl w:val="815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AE15C4"/>
    <w:multiLevelType w:val="multilevel"/>
    <w:tmpl w:val="6016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5568DA"/>
    <w:multiLevelType w:val="hybridMultilevel"/>
    <w:tmpl w:val="16BEBCC6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7CF10245"/>
    <w:multiLevelType w:val="hybridMultilevel"/>
    <w:tmpl w:val="0C1CD61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682858336">
    <w:abstractNumId w:val="23"/>
  </w:num>
  <w:num w:numId="2" w16cid:durableId="206571846">
    <w:abstractNumId w:val="4"/>
  </w:num>
  <w:num w:numId="3" w16cid:durableId="726296661">
    <w:abstractNumId w:val="24"/>
  </w:num>
  <w:num w:numId="4" w16cid:durableId="792674885">
    <w:abstractNumId w:val="27"/>
  </w:num>
  <w:num w:numId="5" w16cid:durableId="2109081542">
    <w:abstractNumId w:val="1"/>
  </w:num>
  <w:num w:numId="6" w16cid:durableId="1314069535">
    <w:abstractNumId w:val="28"/>
  </w:num>
  <w:num w:numId="7" w16cid:durableId="1979146457">
    <w:abstractNumId w:val="16"/>
  </w:num>
  <w:num w:numId="8" w16cid:durableId="184373379">
    <w:abstractNumId w:val="13"/>
  </w:num>
  <w:num w:numId="9" w16cid:durableId="2056462198">
    <w:abstractNumId w:val="26"/>
  </w:num>
  <w:num w:numId="10" w16cid:durableId="625741795">
    <w:abstractNumId w:val="8"/>
  </w:num>
  <w:num w:numId="11" w16cid:durableId="1277827841">
    <w:abstractNumId w:val="14"/>
  </w:num>
  <w:num w:numId="12" w16cid:durableId="1627858056">
    <w:abstractNumId w:val="9"/>
  </w:num>
  <w:num w:numId="13" w16cid:durableId="245767115">
    <w:abstractNumId w:val="15"/>
  </w:num>
  <w:num w:numId="14" w16cid:durableId="311258855">
    <w:abstractNumId w:val="11"/>
  </w:num>
  <w:num w:numId="15" w16cid:durableId="1793477788">
    <w:abstractNumId w:val="21"/>
  </w:num>
  <w:num w:numId="16" w16cid:durableId="991368006">
    <w:abstractNumId w:val="20"/>
  </w:num>
  <w:num w:numId="17" w16cid:durableId="893613827">
    <w:abstractNumId w:val="5"/>
  </w:num>
  <w:num w:numId="18" w16cid:durableId="992177756">
    <w:abstractNumId w:val="0"/>
  </w:num>
  <w:num w:numId="19" w16cid:durableId="1234974357">
    <w:abstractNumId w:val="7"/>
  </w:num>
  <w:num w:numId="20" w16cid:durableId="1210920897">
    <w:abstractNumId w:val="12"/>
  </w:num>
  <w:num w:numId="21" w16cid:durableId="1463158685">
    <w:abstractNumId w:val="19"/>
  </w:num>
  <w:num w:numId="22" w16cid:durableId="922880979">
    <w:abstractNumId w:val="17"/>
  </w:num>
  <w:num w:numId="23" w16cid:durableId="197546092">
    <w:abstractNumId w:val="22"/>
  </w:num>
  <w:num w:numId="24" w16cid:durableId="801921500">
    <w:abstractNumId w:val="6"/>
  </w:num>
  <w:num w:numId="25" w16cid:durableId="1985314205">
    <w:abstractNumId w:val="3"/>
  </w:num>
  <w:num w:numId="26" w16cid:durableId="446705349">
    <w:abstractNumId w:val="18"/>
  </w:num>
  <w:num w:numId="27" w16cid:durableId="264387376">
    <w:abstractNumId w:val="2"/>
  </w:num>
  <w:num w:numId="28" w16cid:durableId="1471827423">
    <w:abstractNumId w:val="25"/>
  </w:num>
  <w:num w:numId="29" w16cid:durableId="547957537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D7"/>
    <w:rsid w:val="00006C5A"/>
    <w:rsid w:val="00051D82"/>
    <w:rsid w:val="00063E4D"/>
    <w:rsid w:val="00077ECC"/>
    <w:rsid w:val="000938FE"/>
    <w:rsid w:val="000C42D0"/>
    <w:rsid w:val="0011315F"/>
    <w:rsid w:val="001171A1"/>
    <w:rsid w:val="00167403"/>
    <w:rsid w:val="001E31A1"/>
    <w:rsid w:val="0024090B"/>
    <w:rsid w:val="002763AD"/>
    <w:rsid w:val="002C4305"/>
    <w:rsid w:val="00315961"/>
    <w:rsid w:val="00333205"/>
    <w:rsid w:val="003416B6"/>
    <w:rsid w:val="00351FFA"/>
    <w:rsid w:val="00392610"/>
    <w:rsid w:val="00427F42"/>
    <w:rsid w:val="00440C95"/>
    <w:rsid w:val="00443195"/>
    <w:rsid w:val="00444406"/>
    <w:rsid w:val="00471847"/>
    <w:rsid w:val="00471C4C"/>
    <w:rsid w:val="004B4989"/>
    <w:rsid w:val="004C4C35"/>
    <w:rsid w:val="004E31B4"/>
    <w:rsid w:val="00501C2C"/>
    <w:rsid w:val="00505368"/>
    <w:rsid w:val="00515656"/>
    <w:rsid w:val="00515990"/>
    <w:rsid w:val="00520643"/>
    <w:rsid w:val="005239F2"/>
    <w:rsid w:val="00562E9C"/>
    <w:rsid w:val="005776D7"/>
    <w:rsid w:val="0059279F"/>
    <w:rsid w:val="005B7DE6"/>
    <w:rsid w:val="006333B4"/>
    <w:rsid w:val="00633BBA"/>
    <w:rsid w:val="00663CEF"/>
    <w:rsid w:val="00670651"/>
    <w:rsid w:val="00677270"/>
    <w:rsid w:val="006B01D0"/>
    <w:rsid w:val="007170AE"/>
    <w:rsid w:val="00727CF2"/>
    <w:rsid w:val="007323EE"/>
    <w:rsid w:val="00761BDE"/>
    <w:rsid w:val="00767C95"/>
    <w:rsid w:val="00781E07"/>
    <w:rsid w:val="00782015"/>
    <w:rsid w:val="007947FD"/>
    <w:rsid w:val="007C311C"/>
    <w:rsid w:val="00805C15"/>
    <w:rsid w:val="00834AE9"/>
    <w:rsid w:val="00842A24"/>
    <w:rsid w:val="00853C9A"/>
    <w:rsid w:val="008547E3"/>
    <w:rsid w:val="00874CFC"/>
    <w:rsid w:val="00881916"/>
    <w:rsid w:val="00892CEF"/>
    <w:rsid w:val="008A6C37"/>
    <w:rsid w:val="008C6738"/>
    <w:rsid w:val="008D0FF1"/>
    <w:rsid w:val="008F2B89"/>
    <w:rsid w:val="0094113F"/>
    <w:rsid w:val="00985AE9"/>
    <w:rsid w:val="009A2C5B"/>
    <w:rsid w:val="00A360EA"/>
    <w:rsid w:val="00A47F3D"/>
    <w:rsid w:val="00AC0D8E"/>
    <w:rsid w:val="00AE1E4E"/>
    <w:rsid w:val="00AF675F"/>
    <w:rsid w:val="00B528CA"/>
    <w:rsid w:val="00BC7C0E"/>
    <w:rsid w:val="00BE7CD8"/>
    <w:rsid w:val="00BF0130"/>
    <w:rsid w:val="00C2065E"/>
    <w:rsid w:val="00C335FA"/>
    <w:rsid w:val="00C33AA4"/>
    <w:rsid w:val="00C70482"/>
    <w:rsid w:val="00C766A3"/>
    <w:rsid w:val="00CA24DE"/>
    <w:rsid w:val="00CC728D"/>
    <w:rsid w:val="00D03E17"/>
    <w:rsid w:val="00D64961"/>
    <w:rsid w:val="00D7209F"/>
    <w:rsid w:val="00DA3389"/>
    <w:rsid w:val="00DB20CE"/>
    <w:rsid w:val="00DD3CC6"/>
    <w:rsid w:val="00E70A82"/>
    <w:rsid w:val="00E71CAE"/>
    <w:rsid w:val="00ED5A6C"/>
    <w:rsid w:val="00EE6BBB"/>
    <w:rsid w:val="00EF3BA9"/>
    <w:rsid w:val="00F476CC"/>
    <w:rsid w:val="00F64B76"/>
    <w:rsid w:val="00F734F2"/>
    <w:rsid w:val="00FD2076"/>
    <w:rsid w:val="00FD2C2F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A253B73"/>
  <w15:chartTrackingRefBased/>
  <w15:docId w15:val="{80F810A8-EA40-4C20-A34E-E462BC9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6D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7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995</Words>
  <Characters>5673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Vancho Achovski</dc:creator>
  <cp:keywords/>
  <dc:description/>
  <cp:lastModifiedBy>Vancho Achovski</cp:lastModifiedBy>
  <cp:revision>21</cp:revision>
  <dcterms:created xsi:type="dcterms:W3CDTF">2025-08-21T20:50:00Z</dcterms:created>
  <dcterms:modified xsi:type="dcterms:W3CDTF">2025-08-24T21:32:00Z</dcterms:modified>
</cp:coreProperties>
</file>