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77777777" w:rsidR="001171A1" w:rsidRPr="001171A1" w:rsidRDefault="001171A1" w:rsidP="001171A1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b/>
          <w:sz w:val="22"/>
          <w:szCs w:val="32"/>
          <w:lang w:val="mk-MK"/>
        </w:rPr>
      </w:pPr>
      <w:r w:rsidRPr="001171A1">
        <w:rPr>
          <w:rFonts w:ascii="Aptos Display" w:eastAsia="Times New Roman" w:hAnsi="Aptos Display" w:cs="Times New Roman"/>
          <w:b/>
          <w:sz w:val="22"/>
          <w:szCs w:val="32"/>
          <w:lang w:val="mk-MK"/>
        </w:rPr>
        <w:t>Физибилити студија за ветерна електрична централа</w:t>
      </w:r>
    </w:p>
    <w:p w14:paraId="4BEFE1DD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Извршно резиме</w:t>
      </w:r>
    </w:p>
    <w:p w14:paraId="4CB8B5DF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 xml:space="preserve">Вовед </w:t>
      </w:r>
    </w:p>
    <w:p w14:paraId="65261D00" w14:textId="77777777" w:rsidR="001171A1" w:rsidRPr="001171A1" w:rsidRDefault="001171A1" w:rsidP="001171A1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1171A1">
        <w:rPr>
          <w:rFonts w:ascii="Aptos" w:eastAsia="Aptos" w:hAnsi="Aptos" w:cs="Times New Roman"/>
          <w:sz w:val="22"/>
          <w:szCs w:val="22"/>
          <w:lang w:val="mk-MK"/>
        </w:rPr>
        <w:t>податоци за барателот</w:t>
      </w:r>
    </w:p>
    <w:p w14:paraId="023385E9" w14:textId="77777777" w:rsidR="001171A1" w:rsidRPr="001171A1" w:rsidRDefault="001171A1" w:rsidP="001171A1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1171A1">
        <w:rPr>
          <w:rFonts w:ascii="Aptos" w:eastAsia="Aptos" w:hAnsi="Aptos" w:cs="Times New Roman"/>
          <w:sz w:val="22"/>
          <w:szCs w:val="22"/>
          <w:lang w:val="mk-MK"/>
        </w:rPr>
        <w:t>опис на проектот</w:t>
      </w:r>
    </w:p>
    <w:p w14:paraId="0DA4E742" w14:textId="77777777" w:rsidR="001171A1" w:rsidRPr="00C33AA4" w:rsidRDefault="001171A1" w:rsidP="001171A1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1171A1">
        <w:rPr>
          <w:rFonts w:ascii="Aptos" w:eastAsia="Aptos" w:hAnsi="Aptos" w:cs="Times New Roman"/>
          <w:sz w:val="22"/>
          <w:szCs w:val="22"/>
          <w:lang w:val="mk-MK"/>
        </w:rPr>
        <w:t>година на влез во погон</w:t>
      </w:r>
    </w:p>
    <w:p w14:paraId="09917B9D" w14:textId="57859738" w:rsidR="00C33AA4" w:rsidRDefault="002763AD" w:rsidP="001171A1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Одобрение за мерење на потенцијал на ветер издадено од МЕРМС</w:t>
      </w:r>
    </w:p>
    <w:p w14:paraId="7BAF9AD8" w14:textId="726318E1" w:rsidR="00B62C19" w:rsidRPr="001171A1" w:rsidRDefault="00B62C19" w:rsidP="001171A1">
      <w:pPr>
        <w:numPr>
          <w:ilvl w:val="1"/>
          <w:numId w:val="2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 xml:space="preserve">Потврда за поставен уред за мерење на потенцијалот </w:t>
      </w:r>
      <w:r w:rsidR="0064419E">
        <w:rPr>
          <w:rFonts w:ascii="Aptos" w:eastAsia="Aptos" w:hAnsi="Aptos" w:cs="Times New Roman"/>
          <w:sz w:val="22"/>
          <w:szCs w:val="22"/>
          <w:lang w:val="mk-MK"/>
        </w:rPr>
        <w:t xml:space="preserve">на ветерот. </w:t>
      </w:r>
      <w:r w:rsidR="000D0F8B" w:rsidRPr="000D0F8B">
        <w:rPr>
          <w:rFonts w:ascii="Aptos" w:eastAsia="Aptos" w:hAnsi="Aptos" w:cs="Times New Roman"/>
          <w:sz w:val="22"/>
          <w:szCs w:val="22"/>
          <w:lang w:val="mk-MK"/>
        </w:rPr>
        <w:t>Во случај да во моментот на поднесување на иницијативата рокот за поставување на мерниот уред не е истечен, иницијативата е условена со навремено поставување на мерниот уред и истата престанува да важи воколку подносителот на иницијативата не го постави мерниот уред во рокот предвиден со важечкото Одобрение за мepeњe на потенцијалот на ветерот и важечкиот правилник за Обновливи извори на енергија.</w:t>
      </w:r>
    </w:p>
    <w:p w14:paraId="0A487785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  <w:t xml:space="preserve">Опис на локација </w:t>
      </w:r>
    </w:p>
    <w:p w14:paraId="191DD7B3" w14:textId="77777777" w:rsidR="001171A1" w:rsidRPr="001171A1" w:rsidRDefault="001171A1" w:rsidP="001171A1">
      <w:pPr>
        <w:numPr>
          <w:ilvl w:val="0"/>
          <w:numId w:val="3"/>
        </w:numPr>
        <w:spacing w:after="80" w:line="240" w:lineRule="auto"/>
        <w:jc w:val="both"/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  <w:t>Опис на макро локација на проектот (опис од аспект на инфраструктура од интерес за развој на ВЕЦ).</w:t>
      </w:r>
    </w:p>
    <w:p w14:paraId="0209A6B3" w14:textId="508FFA82" w:rsidR="001171A1" w:rsidRPr="00516D6B" w:rsidRDefault="001171A1" w:rsidP="00516D6B">
      <w:pPr>
        <w:numPr>
          <w:ilvl w:val="0"/>
          <w:numId w:val="3"/>
        </w:numPr>
        <w:spacing w:after="80" w:line="240" w:lineRule="auto"/>
        <w:jc w:val="both"/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  <w:t>Опис на микро локација на проектот (според опфатот од агенција за енергетика како и опис од аспект на топографски елементи кои имаат влијание на развојот на ВЕЦ).</w:t>
      </w:r>
    </w:p>
    <w:p w14:paraId="474CD5C7" w14:textId="5611A31A" w:rsidR="001171A1" w:rsidRPr="001171A1" w:rsidRDefault="00063E4D" w:rsidP="001171A1">
      <w:pPr>
        <w:numPr>
          <w:ilvl w:val="0"/>
          <w:numId w:val="3"/>
        </w:numPr>
        <w:spacing w:after="80" w:line="240" w:lineRule="auto"/>
        <w:jc w:val="both"/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 на Република Македонија)</w:t>
      </w:r>
      <w:r w:rsidR="001171A1" w:rsidRPr="001171A1"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  <w:t>.</w:t>
      </w:r>
    </w:p>
    <w:p w14:paraId="69B20856" w14:textId="77777777" w:rsidR="001171A1" w:rsidRPr="001171A1" w:rsidRDefault="001171A1" w:rsidP="001171A1">
      <w:pPr>
        <w:numPr>
          <w:ilvl w:val="0"/>
          <w:numId w:val="3"/>
        </w:numPr>
        <w:spacing w:after="80" w:line="240" w:lineRule="auto"/>
        <w:jc w:val="both"/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Myriad Pro" w:eastAsia="Times New Roman" w:hAnsi="Myriad Pro" w:cs="Tahoma"/>
          <w:kern w:val="0"/>
          <w:sz w:val="22"/>
          <w:lang w:val="mk-MK" w:eastAsia="sr-Latn-CS"/>
          <w14:ligatures w14:val="none"/>
        </w:rPr>
        <w:t>Графички приказ на orography и roughness мапи кои се користат во симулацијата и нивен опис.</w:t>
      </w:r>
    </w:p>
    <w:p w14:paraId="6DF6C24D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Мерна станица</w:t>
      </w:r>
    </w:p>
    <w:p w14:paraId="2E88F5DD" w14:textId="77777777" w:rsidR="001171A1" w:rsidRPr="001171A1" w:rsidRDefault="001171A1" w:rsidP="001171A1">
      <w:pPr>
        <w:numPr>
          <w:ilvl w:val="0"/>
          <w:numId w:val="4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 xml:space="preserve">Графички приказ на локацијата на мерната станица во однос на опфатот. </w:t>
      </w:r>
    </w:p>
    <w:p w14:paraId="574CFCB8" w14:textId="77777777" w:rsidR="001171A1" w:rsidRPr="001171A1" w:rsidRDefault="001171A1" w:rsidP="001171A1">
      <w:pPr>
        <w:numPr>
          <w:ilvl w:val="0"/>
          <w:numId w:val="4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Опис на мерниот столб и монтираните мерни уреди</w:t>
      </w:r>
    </w:p>
    <w:p w14:paraId="3F880C17" w14:textId="77777777" w:rsidR="001171A1" w:rsidRPr="001171A1" w:rsidRDefault="001171A1" w:rsidP="001171A1">
      <w:pPr>
        <w:numPr>
          <w:ilvl w:val="0"/>
          <w:numId w:val="4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Да се даде коментар за исполнетоста и неисполнетоста на меѓународни стандарди при поставување на столбот.</w:t>
      </w:r>
    </w:p>
    <w:p w14:paraId="6144A1C0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Потенцијал на ветер и клима на микро локацијата</w:t>
      </w:r>
    </w:p>
    <w:p w14:paraId="20FE22F6" w14:textId="77777777" w:rsidR="001171A1" w:rsidRPr="001171A1" w:rsidRDefault="001171A1" w:rsidP="001171A1">
      <w:pPr>
        <w:numPr>
          <w:ilvl w:val="0"/>
          <w:numId w:val="5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За локацијата на ВЕЦ графички да се прикажат и текстуално да се коментираат податоци за амбиентна температура и притисок на воздух.</w:t>
      </w:r>
    </w:p>
    <w:p w14:paraId="508FF389" w14:textId="77777777" w:rsidR="001171A1" w:rsidRPr="001171A1" w:rsidRDefault="001171A1" w:rsidP="001171A1">
      <w:pPr>
        <w:numPr>
          <w:ilvl w:val="0"/>
          <w:numId w:val="5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За локацијата на ВЕЦ да се прикаже ружа на ветрови и виебул дистрибуција на користениот GWC фајл. Да се прикажат податоци за избраниот број на сектори за: Weibull-A и Weibull-k параметарот, брзина на ветрот, фреквенција на појава на ветрот во секторот и вкупна јачина на ветрот (W/m2).</w:t>
      </w:r>
    </w:p>
    <w:p w14:paraId="3D7EA324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Податоци за ветрови генератори:</w:t>
      </w:r>
    </w:p>
    <w:p w14:paraId="3E4563C9" w14:textId="77777777" w:rsidR="001171A1" w:rsidRPr="001171A1" w:rsidRDefault="001171A1" w:rsidP="001171A1">
      <w:pPr>
        <w:numPr>
          <w:ilvl w:val="0"/>
          <w:numId w:val="6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Типот на турбини/а кои планира да ги користи при изработка на симулациите.</w:t>
      </w:r>
    </w:p>
    <w:p w14:paraId="0711E958" w14:textId="77777777" w:rsidR="001171A1" w:rsidRPr="001171A1" w:rsidRDefault="001171A1" w:rsidP="001171A1">
      <w:pPr>
        <w:numPr>
          <w:ilvl w:val="0"/>
          <w:numId w:val="6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Карактеристики на турбините кои се користат во оптимизацијата во фисибилити студијата да се прикажат во табеларен и графички формат: зависност на производство на електрична енергија од брзина на ветер, Cp и Ct криви за турбината во зависност од брзината на ветрот. Секоја турбина да се коментира во посебно потпоглавје.</w:t>
      </w:r>
    </w:p>
    <w:p w14:paraId="553187D8" w14:textId="77777777" w:rsidR="001171A1" w:rsidRPr="001171A1" w:rsidRDefault="001171A1" w:rsidP="001171A1">
      <w:pPr>
        <w:numPr>
          <w:ilvl w:val="0"/>
          <w:numId w:val="6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 xml:space="preserve">Податоци за типот на ветерните турбини: висината на столбот до оглавок, дијаметар на перка на ветерна турбина, податоци за управување со елисите, брзина на вртење </w:t>
      </w: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lastRenderedPageBreak/>
        <w:t>на ветерна турбина, минимална брзина на ветер за производство на електрична енергија и максимална брзина на ветер за производство на електрична енергија.</w:t>
      </w:r>
    </w:p>
    <w:p w14:paraId="6835501E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Естимација на производство на енергија</w:t>
      </w:r>
    </w:p>
    <w:p w14:paraId="604F8941" w14:textId="77777777" w:rsidR="001171A1" w:rsidRPr="001171A1" w:rsidRDefault="001171A1" w:rsidP="001171A1">
      <w:pPr>
        <w:numPr>
          <w:ilvl w:val="0"/>
          <w:numId w:val="7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Tекстуален приказ на резултатите за различните конфигурации на електраната кои се разгледани во фисибилити студијата.</w:t>
      </w:r>
    </w:p>
    <w:p w14:paraId="66517434" w14:textId="77777777" w:rsidR="001171A1" w:rsidRPr="001171A1" w:rsidRDefault="001171A1" w:rsidP="001171A1">
      <w:pPr>
        <w:numPr>
          <w:ilvl w:val="0"/>
          <w:numId w:val="7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За секоја конфигурации на електраната да достави податоци за: нето произведена енергија (net AEP), бруто произведена енергија (gross AEP), загуби предизвикани од близина на соседни турбини (wake losses) и загуби на ниво на турбина.</w:t>
      </w:r>
    </w:p>
    <w:p w14:paraId="5DE3D6D1" w14:textId="77777777" w:rsidR="001171A1" w:rsidRDefault="001171A1" w:rsidP="001171A1">
      <w:pPr>
        <w:numPr>
          <w:ilvl w:val="0"/>
          <w:numId w:val="7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Графички и табеларно да се претстават положбите на турбините и трафостаницата за различните конфигурации на електраната.</w:t>
      </w:r>
    </w:p>
    <w:p w14:paraId="72E799E9" w14:textId="493F570F" w:rsidR="00670651" w:rsidRPr="001171A1" w:rsidRDefault="00BF0130" w:rsidP="001171A1">
      <w:pPr>
        <w:numPr>
          <w:ilvl w:val="0"/>
          <w:numId w:val="7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2C6B1A">
        <w:rPr>
          <w:rFonts w:ascii="Aptos" w:eastAsia="Aptos" w:hAnsi="Aptos" w:cs="Times New Roman"/>
          <w:sz w:val="22"/>
          <w:szCs w:val="22"/>
          <w:lang w:val="ru-RU"/>
        </w:rPr>
        <w:t xml:space="preserve">20 </w:t>
      </w:r>
      <w:r>
        <w:rPr>
          <w:rFonts w:ascii="Aptos" w:eastAsia="Aptos" w:hAnsi="Aptos" w:cs="Times New Roman"/>
          <w:sz w:val="22"/>
          <w:szCs w:val="22"/>
          <w:lang w:val="mk-MK"/>
        </w:rPr>
        <w:t xml:space="preserve">или ХХ/35 </w:t>
      </w:r>
      <w:r>
        <w:rPr>
          <w:rFonts w:ascii="Aptos" w:eastAsia="Aptos" w:hAnsi="Aptos" w:cs="Times New Roman"/>
          <w:sz w:val="22"/>
          <w:szCs w:val="22"/>
        </w:rPr>
        <w:t>kV</w:t>
      </w:r>
      <w:r w:rsidRPr="002C6B1A">
        <w:rPr>
          <w:rFonts w:ascii="Aptos" w:eastAsia="Aptos" w:hAnsi="Aptos" w:cs="Times New Roman"/>
          <w:sz w:val="22"/>
          <w:szCs w:val="22"/>
          <w:lang w:val="ru-RU"/>
        </w:rPr>
        <w:t xml:space="preserve">) </w:t>
      </w:r>
      <w:r>
        <w:rPr>
          <w:rFonts w:ascii="Aptos" w:eastAsia="Aptos" w:hAnsi="Aptos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>
        <w:rPr>
          <w:rFonts w:ascii="Aptos" w:eastAsia="Aptos" w:hAnsi="Aptos" w:cs="Times New Roman"/>
          <w:sz w:val="22"/>
          <w:szCs w:val="22"/>
        </w:rPr>
        <w:t>kV</w:t>
      </w:r>
      <w:bookmarkEnd w:id="0"/>
      <w:r>
        <w:rPr>
          <w:rFonts w:ascii="Aptos" w:eastAsia="Aptos" w:hAnsi="Aptos" w:cs="Times New Roman"/>
          <w:sz w:val="22"/>
          <w:szCs w:val="22"/>
          <w:lang w:val="mk-MK"/>
        </w:rPr>
        <w:t xml:space="preserve">, 35/110 </w:t>
      </w:r>
      <w:r>
        <w:rPr>
          <w:rFonts w:ascii="Aptos" w:eastAsia="Aptos" w:hAnsi="Aptos" w:cs="Times New Roman"/>
          <w:sz w:val="22"/>
          <w:szCs w:val="22"/>
        </w:rPr>
        <w:t>kV</w:t>
      </w:r>
      <w:r>
        <w:rPr>
          <w:rFonts w:ascii="Aptos" w:eastAsia="Aptos" w:hAnsi="Aptos" w:cs="Times New Roman"/>
          <w:sz w:val="22"/>
          <w:szCs w:val="22"/>
          <w:lang w:val="mk-MK"/>
        </w:rPr>
        <w:t xml:space="preserve">, 110/400 </w:t>
      </w:r>
      <w:r>
        <w:rPr>
          <w:rFonts w:ascii="Aptos" w:eastAsia="Aptos" w:hAnsi="Aptos" w:cs="Times New Roman"/>
          <w:sz w:val="22"/>
          <w:szCs w:val="22"/>
        </w:rPr>
        <w:t>kV</w:t>
      </w:r>
      <w:r>
        <w:rPr>
          <w:rFonts w:ascii="Aptos" w:eastAsia="Aptos" w:hAnsi="Aptos" w:cs="Times New Roman"/>
          <w:sz w:val="22"/>
          <w:szCs w:val="22"/>
          <w:lang w:val="mk-MK"/>
        </w:rPr>
        <w:t xml:space="preserve">, 20/110/400 </w:t>
      </w:r>
      <w:r>
        <w:rPr>
          <w:rFonts w:ascii="Aptos" w:eastAsia="Aptos" w:hAnsi="Aptos" w:cs="Times New Roman"/>
          <w:sz w:val="22"/>
          <w:szCs w:val="22"/>
        </w:rPr>
        <w:t>kV</w:t>
      </w:r>
      <w:r>
        <w:rPr>
          <w:rFonts w:ascii="Aptos" w:eastAsia="Aptos" w:hAnsi="Aptos" w:cs="Times New Roman"/>
          <w:sz w:val="22"/>
          <w:szCs w:val="22"/>
          <w:lang w:val="mk-MK"/>
        </w:rPr>
        <w:t xml:space="preserve">, 35/110/400 </w:t>
      </w:r>
      <w:r>
        <w:rPr>
          <w:rFonts w:ascii="Aptos" w:eastAsia="Aptos" w:hAnsi="Aptos" w:cs="Times New Roman"/>
          <w:sz w:val="22"/>
          <w:szCs w:val="22"/>
        </w:rPr>
        <w:t>kV</w:t>
      </w:r>
      <w:r>
        <w:rPr>
          <w:rFonts w:ascii="Aptos" w:eastAsia="Aptos" w:hAnsi="Aptos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08B4E74C" w14:textId="77777777" w:rsid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Економска евалуација на проектот</w:t>
      </w:r>
    </w:p>
    <w:p w14:paraId="42B17DBE" w14:textId="77777777" w:rsidR="00351FFA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Пресметка на трошоците за реализација на проектот,</w:t>
      </w:r>
    </w:p>
    <w:p w14:paraId="2E31C9CD" w14:textId="77777777" w:rsidR="00351FFA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Годишни трошоци за одржување, далечински надзор, осигурување.</w:t>
      </w:r>
    </w:p>
    <w:p w14:paraId="471786E7" w14:textId="77777777" w:rsidR="00351FFA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Финансиски услови (сопствени средства, кредит, каматна стапка, учество, рок на отплата),</w:t>
      </w:r>
    </w:p>
    <w:p w14:paraId="6C9F260E" w14:textId="77777777" w:rsidR="00351FFA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Внатрешна стапка на поврат</w:t>
      </w:r>
    </w:p>
    <w:p w14:paraId="3083D4A2" w14:textId="77777777" w:rsidR="00351FFA" w:rsidRDefault="00351FFA" w:rsidP="00351FFA">
      <w:pPr>
        <w:numPr>
          <w:ilvl w:val="3"/>
          <w:numId w:val="9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Нето сегашна вредност</w:t>
      </w:r>
    </w:p>
    <w:p w14:paraId="1D33C10E" w14:textId="4C8113E8" w:rsidR="002763AD" w:rsidRPr="001171A1" w:rsidRDefault="00351FFA" w:rsidP="00351FFA">
      <w:pPr>
        <w:numPr>
          <w:ilvl w:val="1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Годишни токови на парите за планираниот екпслоатационен период на електроенергетскиот објект</w:t>
      </w:r>
    </w:p>
    <w:p w14:paraId="1F19FA25" w14:textId="77777777" w:rsidR="001171A1" w:rsidRPr="001171A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Заклучок:</w:t>
      </w:r>
    </w:p>
    <w:p w14:paraId="429E255F" w14:textId="77777777" w:rsidR="001171A1" w:rsidRPr="001171A1" w:rsidRDefault="001171A1" w:rsidP="001171A1">
      <w:pPr>
        <w:numPr>
          <w:ilvl w:val="0"/>
          <w:numId w:val="8"/>
        </w:numPr>
        <w:spacing w:after="80" w:line="240" w:lineRule="auto"/>
        <w:jc w:val="both"/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</w:pPr>
      <w:r w:rsidRPr="001171A1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Техно-економски карактеристики на ВЕЦ.</w:t>
      </w:r>
    </w:p>
    <w:p w14:paraId="1F328D05" w14:textId="480C95BD" w:rsidR="00D7209F" w:rsidRPr="001171A1" w:rsidRDefault="001171A1" w:rsidP="00BF0130">
      <w:pPr>
        <w:numPr>
          <w:ilvl w:val="0"/>
          <w:numId w:val="8"/>
        </w:numPr>
        <w:spacing w:after="80" w:line="240" w:lineRule="auto"/>
        <w:jc w:val="both"/>
        <w:rPr>
          <w:lang w:val="ru-RU"/>
        </w:rPr>
      </w:pPr>
      <w:r w:rsidRPr="00BF0130">
        <w:rPr>
          <w:rFonts w:ascii="Aptos" w:eastAsia="Times New Roman" w:hAnsi="Aptos" w:cs="Tahoma"/>
          <w:kern w:val="0"/>
          <w:sz w:val="22"/>
          <w:lang w:val="mk-MK" w:eastAsia="sr-Latn-CS"/>
          <w14:ligatures w14:val="none"/>
        </w:rPr>
        <w:t>Понатамошни чекори за развој на проектот.</w:t>
      </w:r>
    </w:p>
    <w:sectPr w:rsidR="00D7209F" w:rsidRPr="001171A1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43607C"/>
    <w:multiLevelType w:val="hybridMultilevel"/>
    <w:tmpl w:val="34342A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82858336">
    <w:abstractNumId w:val="5"/>
  </w:num>
  <w:num w:numId="2" w16cid:durableId="570429773">
    <w:abstractNumId w:val="4"/>
  </w:num>
  <w:num w:numId="3" w16cid:durableId="206571846">
    <w:abstractNumId w:val="2"/>
  </w:num>
  <w:num w:numId="4" w16cid:durableId="726296661">
    <w:abstractNumId w:val="6"/>
  </w:num>
  <w:num w:numId="5" w16cid:durableId="843201630">
    <w:abstractNumId w:val="1"/>
  </w:num>
  <w:num w:numId="6" w16cid:durableId="792674885">
    <w:abstractNumId w:val="7"/>
  </w:num>
  <w:num w:numId="7" w16cid:durableId="2109081542">
    <w:abstractNumId w:val="0"/>
  </w:num>
  <w:num w:numId="8" w16cid:durableId="1314069535">
    <w:abstractNumId w:val="8"/>
  </w:num>
  <w:num w:numId="9" w16cid:durableId="197914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63E4D"/>
    <w:rsid w:val="000D0F8B"/>
    <w:rsid w:val="001171A1"/>
    <w:rsid w:val="002763AD"/>
    <w:rsid w:val="00351FFA"/>
    <w:rsid w:val="00444406"/>
    <w:rsid w:val="00471847"/>
    <w:rsid w:val="00516D6B"/>
    <w:rsid w:val="005776D7"/>
    <w:rsid w:val="0064419E"/>
    <w:rsid w:val="00670651"/>
    <w:rsid w:val="00781E07"/>
    <w:rsid w:val="00B528CA"/>
    <w:rsid w:val="00B55279"/>
    <w:rsid w:val="00B62C19"/>
    <w:rsid w:val="00BF0130"/>
    <w:rsid w:val="00C335FA"/>
    <w:rsid w:val="00C33AA4"/>
    <w:rsid w:val="00C766A3"/>
    <w:rsid w:val="00CC728D"/>
    <w:rsid w:val="00D7209F"/>
    <w:rsid w:val="00F3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16</cp:revision>
  <dcterms:created xsi:type="dcterms:W3CDTF">2025-07-13T20:59:00Z</dcterms:created>
  <dcterms:modified xsi:type="dcterms:W3CDTF">2025-08-28T19:14:00Z</dcterms:modified>
</cp:coreProperties>
</file>