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74DBEAEE" w:rsidR="001171A1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Физибилити студија за </w:t>
      </w:r>
      <w:r w:rsidR="00D07707">
        <w:rPr>
          <w:rFonts w:ascii="Verdana" w:eastAsia="Times New Roman" w:hAnsi="Verdana" w:cs="Times New Roman"/>
          <w:b/>
          <w:sz w:val="22"/>
          <w:szCs w:val="32"/>
          <w:lang w:val="mk-MK"/>
        </w:rPr>
        <w:t>реверзибилна</w:t>
      </w:r>
      <w:r w:rsidR="00D03E17"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хидро</w:t>
      </w:r>
      <w:r w:rsidRPr="00CA24DE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електрична централа</w:t>
      </w:r>
      <w:r w:rsidR="00D07707">
        <w:rPr>
          <w:rFonts w:ascii="Verdana" w:eastAsia="Times New Roman" w:hAnsi="Verdana" w:cs="Times New Roman"/>
          <w:b/>
          <w:sz w:val="22"/>
          <w:szCs w:val="32"/>
          <w:lang w:val="mk-MK"/>
        </w:rPr>
        <w:t xml:space="preserve"> со природен доток</w:t>
      </w:r>
    </w:p>
    <w:p w14:paraId="3A1FAF8B" w14:textId="77777777" w:rsidR="00634DB5" w:rsidRPr="00CA24DE" w:rsidRDefault="00634DB5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32"/>
          <w:lang w:val="mk-MK"/>
        </w:rPr>
      </w:pPr>
    </w:p>
    <w:p w14:paraId="4BEFE1DD" w14:textId="77777777" w:rsidR="001171A1" w:rsidRPr="00CA24DE" w:rsidRDefault="001171A1" w:rsidP="001171A1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Извршно резиме</w:t>
      </w:r>
    </w:p>
    <w:p w14:paraId="654D5E14" w14:textId="77777777" w:rsidR="00B054F2" w:rsidRPr="00706311" w:rsidRDefault="00B054F2" w:rsidP="00B054F2">
      <w:pPr>
        <w:pStyle w:val="ListParagraph"/>
        <w:numPr>
          <w:ilvl w:val="0"/>
          <w:numId w:val="29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Вовед и Резиме на Проектот</w:t>
      </w:r>
    </w:p>
    <w:p w14:paraId="641F0459" w14:textId="77777777" w:rsidR="00B054F2" w:rsidRPr="00D266AD" w:rsidRDefault="00B054F2" w:rsidP="00B054F2">
      <w:pPr>
        <w:spacing w:line="259" w:lineRule="auto"/>
        <w:ind w:left="720"/>
        <w:contextualSpacing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Општ преглед на проектот:</w:t>
      </w:r>
    </w:p>
    <w:p w14:paraId="14F6B76E" w14:textId="51B440B8" w:rsidR="00B054F2" w:rsidRPr="00706311" w:rsidRDefault="00B054F2" w:rsidP="00B054F2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Краток опис на проектот: Локација, име на водотекот, основни карактеристики на хидроелектраната</w:t>
      </w:r>
      <w:r w:rsid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78389A"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горната и долната акумулација</w:t>
      </w:r>
      <w:r w:rsidR="007E2FA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="0078389A"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11044B"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вкупен волумен</w:t>
      </w:r>
      <w:r w:rsidR="0011044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</w:t>
      </w:r>
      <w:r w:rsidR="0070655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лавни технички параметри (тип, инсталирана моќност</w:t>
      </w:r>
      <w:r w:rsidR="00706553" w:rsidRPr="0070655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706553"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 турбински и пумпен режим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турбини</w:t>
      </w:r>
      <w:r w:rsidR="0011044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пумпи или реверзибилен агрегат</w:t>
      </w:r>
      <w:r w:rsidRPr="0070631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предвидено годишно производство)</w:t>
      </w:r>
      <w:r w:rsidR="0078389A" w:rsidRPr="0078389A">
        <w:rPr>
          <w:lang w:val="ru-RU"/>
        </w:rPr>
        <w:t xml:space="preserve"> </w:t>
      </w:r>
      <w:r w:rsidR="0011044B"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проценет циклус на ефикасност</w:t>
      </w:r>
      <w:r w:rsidR="0078389A" w:rsidRPr="0078389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57E7BC6B" w14:textId="6236C618" w:rsidR="00B054F2" w:rsidRPr="00D266AD" w:rsidRDefault="00B054F2" w:rsidP="00B054F2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="00F36DED" w:rsidRPr="00F36DED">
        <w:rPr>
          <w:lang w:val="ru-RU"/>
        </w:rPr>
        <w:t xml:space="preserve"> </w:t>
      </w:r>
      <w:r w:rsidR="00F36DED" w:rsidRPr="00F36DE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52BE599D" w14:textId="0217681D" w:rsidR="00D24B63" w:rsidRPr="007A3DDD" w:rsidRDefault="00B054F2" w:rsidP="007A3DDD">
      <w:pPr>
        <w:pStyle w:val="ListParagraph"/>
        <w:numPr>
          <w:ilvl w:val="1"/>
          <w:numId w:val="30"/>
        </w:numPr>
        <w:spacing w:line="259" w:lineRule="auto"/>
        <w:ind w:left="108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0DA4E742" w14:textId="139428EB" w:rsidR="001171A1" w:rsidRPr="00CA24DE" w:rsidRDefault="00B054F2" w:rsidP="00B054F2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Извршно резиме: 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Концизен преглед на целта на проектот, главните технички карактеристики (тип и висина на бран</w:t>
      </w:r>
      <w:r w:rsidR="007A3DD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, волумен </w:t>
      </w:r>
      <w:r w:rsidR="007A3DDD" w:rsidRPr="007A3DD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горната и долната</w:t>
      </w:r>
      <w:r w:rsidR="007A3DDD" w:rsidRPr="007A3DD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акумулација, инсталирана моќност</w:t>
      </w:r>
      <w:r w:rsidR="007A3DD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во турбински и пумпен режим</w:t>
      </w:r>
      <w:r w:rsidRPr="00970E8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), проценета инвестиција, клучни финансиски показатели (НСВ, ИСП)</w:t>
      </w:r>
      <w:r w:rsidRPr="00D266A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година на влез во погон и финалниот заклучок за исплатливоста на проектот.</w:t>
      </w:r>
    </w:p>
    <w:p w14:paraId="7CD792A4" w14:textId="77777777" w:rsidR="0035525A" w:rsidRPr="00CA24DE" w:rsidRDefault="0035525A" w:rsidP="0035525A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7521A964" w14:textId="77777777" w:rsidR="0035525A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Опис на локација </w:t>
      </w:r>
    </w:p>
    <w:p w14:paraId="276C5F6F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0395F3C7" w14:textId="28273D3E" w:rsidR="0035525A" w:rsidRPr="00AC50B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Локација и опфат: Детален опис на пошироката локација, сливното подрачје, локацијата на бран</w:t>
      </w:r>
      <w:r w:rsidR="00136FD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</w:t>
      </w:r>
      <w:r w:rsidR="00136FD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акумулаци</w:t>
      </w:r>
      <w:r w:rsidR="00136FD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машинската зграда.</w:t>
      </w:r>
    </w:p>
    <w:p w14:paraId="2AB5D397" w14:textId="77777777" w:rsidR="0035525A" w:rsidRPr="00AC50B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на микро локација на проектот (од аспект на топографски елементи кои имаат влијание на развојот на ХЕЦ).</w:t>
      </w:r>
    </w:p>
    <w:p w14:paraId="1C830779" w14:textId="27A90802" w:rsidR="0035525A" w:rsidRPr="00AC50B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Повеќенаменски карактер на проектот: Анализа на сите предвидени намени на акумулаци</w:t>
      </w:r>
      <w:r w:rsidR="00084AF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(енергетика, наводнување, водоснабдување, контрола на поплави, туризам итн.).</w:t>
      </w:r>
    </w:p>
    <w:p w14:paraId="69C26899" w14:textId="77777777" w:rsidR="0035525A" w:rsidRPr="00AC50B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AC50B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Подносител на иницијатива и засегнати страни: Информации за подносителот на иницијативата, проектниот тим и клучните засегнати страни (локални заедници, државни институции).</w:t>
      </w:r>
    </w:p>
    <w:p w14:paraId="6233A5E6" w14:textId="77777777" w:rsidR="0035525A" w:rsidRPr="00CA24DE" w:rsidRDefault="0035525A" w:rsidP="0035525A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72704D1B" w14:textId="7BB7A706" w:rsidR="0035525A" w:rsidRDefault="0035525A" w:rsidP="0035525A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Графички приказ на </w:t>
      </w:r>
      <w:r w:rsidR="009813D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проектот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топографска карта во кој се опфатени релевантните објекти (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бран</w:t>
      </w:r>
      <w:r w:rsidR="009813D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цевковод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или тунел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машинска зграда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преливни органи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54B0FB11" w14:textId="77777777" w:rsidR="0035525A" w:rsidRPr="00CA24DE" w:rsidRDefault="0035525A" w:rsidP="0035525A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94AFBDE" w14:textId="77777777" w:rsidR="0035525A" w:rsidRPr="00CA24DE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Хидролошки подлоги за период од најмалку 20 години</w:t>
      </w:r>
    </w:p>
    <w:p w14:paraId="2CAD659E" w14:textId="77777777" w:rsidR="0035525A" w:rsidRPr="00CA24DE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просечни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за дадениот период од 20 години; </w:t>
      </w:r>
    </w:p>
    <w:p w14:paraId="13201C71" w14:textId="77777777" w:rsidR="0035525A" w:rsidRPr="00CA24DE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минимални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</w:p>
    <w:p w14:paraId="51EFDDD0" w14:textId="77777777" w:rsidR="0035525A" w:rsidRPr="00CA24DE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Табела со максимални протоци на вода на преградното место на месечно ниво изразена во 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m</w:t>
      </w:r>
      <w:r w:rsidRPr="00CA24DE">
        <w:rPr>
          <w:rFonts w:ascii="Verdana" w:eastAsia="Times New Roman" w:hAnsi="Verdana" w:cs="Tahoma"/>
          <w:kern w:val="0"/>
          <w:sz w:val="22"/>
          <w:vertAlign w:val="superscript"/>
          <w:lang w:val="ru-RU" w:eastAsia="sr-Latn-CS"/>
          <w14:ligatures w14:val="none"/>
        </w:rPr>
        <w:t>3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/</w:t>
      </w:r>
      <w:r w:rsidRPr="00CA24DE">
        <w:rPr>
          <w:rFonts w:ascii="Verdana" w:eastAsia="Times New Roman" w:hAnsi="Verdana" w:cs="Tahoma"/>
          <w:kern w:val="0"/>
          <w:sz w:val="22"/>
          <w:lang w:eastAsia="sr-Latn-CS"/>
          <w14:ligatures w14:val="none"/>
        </w:rPr>
        <w:t>sec</w:t>
      </w:r>
      <w:r w:rsidRPr="00CA24DE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 xml:space="preserve"> 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 дадениот период од 20 години;</w:t>
      </w:r>
    </w:p>
    <w:p w14:paraId="7A1D4854" w14:textId="77777777" w:rsidR="0035525A" w:rsidRPr="00E44803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E448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Крива на за</w:t>
      </w:r>
      <w:r w:rsidRPr="00E44803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ч</w:t>
      </w:r>
      <w:r w:rsidRPr="00E44803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естеност на просечни протоци за дадениот период од 20 години.</w:t>
      </w:r>
    </w:p>
    <w:p w14:paraId="506CC191" w14:textId="0E07375C" w:rsidR="0035525A" w:rsidRPr="0090293A" w:rsidRDefault="002E3644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E364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природниот доток во горната акумулација: Стандардна хидролошка анализа на дотекот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во горната акумулација</w:t>
      </w:r>
      <w:r w:rsidR="0035525A" w:rsidRPr="0090293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биланс на водите: Детална анализа на долгогодишни серии на дотеци, пресметка на просечни, максимални (поплавни бранови) и минимални дотеци.</w:t>
      </w:r>
    </w:p>
    <w:p w14:paraId="774AA5AC" w14:textId="77777777" w:rsidR="0035525A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0293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Студија за нанос: Проценка на количината на нанос што реката го носи и анализа на неговото таложење во идната акумулација, со цел да се процени намалувањето на корисниот волумен со текот на времето (мртов простор).</w:t>
      </w:r>
    </w:p>
    <w:p w14:paraId="0CD9E469" w14:textId="605EB9DC" w:rsidR="0038044E" w:rsidRPr="0090293A" w:rsidRDefault="0038044E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8044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режимот на работа на долниот резервоар: Дефинирање на потребниот волумен, управување со нивото на водата, влијание врз низводниот тек.</w:t>
      </w:r>
    </w:p>
    <w:p w14:paraId="05C2BB10" w14:textId="77777777" w:rsidR="0035525A" w:rsidRPr="002E3644" w:rsidRDefault="0035525A" w:rsidP="0035525A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Водостопански биланс и симулација на работата на акумулацијата: Изработка на модел за управување со водите кој ги симулира сите намени (енергетика, водоснабдување итн.) и дефинирање на работниот режим на акумулацијата (коти на нормално и минимално работно ниво).</w:t>
      </w:r>
    </w:p>
    <w:p w14:paraId="526D0CD3" w14:textId="3CEDA8CE" w:rsidR="002E3644" w:rsidRPr="0038044E" w:rsidRDefault="002E3644" w:rsidP="00D02FCD">
      <w:pPr>
        <w:numPr>
          <w:ilvl w:val="0"/>
          <w:numId w:val="4"/>
        </w:numPr>
        <w:spacing w:after="12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D02FC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Изработка на комплексен симулациски модел кој ги оптимизира:</w:t>
      </w:r>
    </w:p>
    <w:p w14:paraId="3C91DFE2" w14:textId="351E2DE8" w:rsidR="002E3644" w:rsidRPr="0038044E" w:rsidRDefault="002E3644" w:rsidP="00D02FCD">
      <w:pPr>
        <w:spacing w:after="120" w:line="240" w:lineRule="auto"/>
        <w:ind w:firstLine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Производството од природниот доток.</w:t>
      </w:r>
    </w:p>
    <w:p w14:paraId="4346A3CA" w14:textId="18245B52" w:rsidR="002E3644" w:rsidRPr="0038044E" w:rsidRDefault="002E3644" w:rsidP="00D02FCD">
      <w:pPr>
        <w:spacing w:after="120" w:line="240" w:lineRule="auto"/>
        <w:ind w:firstLine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Одлуките за пумпање базирани на прогнози за ниски цени на енергија.</w:t>
      </w:r>
    </w:p>
    <w:p w14:paraId="08064930" w14:textId="5B8A0652" w:rsidR="002E3644" w:rsidRPr="0038044E" w:rsidRDefault="002E3644" w:rsidP="00D02FCD">
      <w:pPr>
        <w:spacing w:after="12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Одлуките за турбинска работа базирани на прогнози за високи цени на енергија.</w:t>
      </w:r>
    </w:p>
    <w:p w14:paraId="41F15F76" w14:textId="743270E1" w:rsidR="002E3644" w:rsidRDefault="002E3644" w:rsidP="002473F6">
      <w:pPr>
        <w:spacing w:after="120" w:line="240" w:lineRule="auto"/>
        <w:ind w:firstLine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38044E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Одржување на потребните нивоа на вода во двете акумулации.</w:t>
      </w:r>
    </w:p>
    <w:p w14:paraId="0AA57B4D" w14:textId="77777777" w:rsidR="00634DB5" w:rsidRPr="00D845C0" w:rsidRDefault="00634DB5" w:rsidP="002473F6">
      <w:pPr>
        <w:spacing w:after="120" w:line="240" w:lineRule="auto"/>
        <w:ind w:firstLine="720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</w:p>
    <w:p w14:paraId="1A8F06CB" w14:textId="77777777" w:rsidR="0035525A" w:rsidRPr="00BE7CD8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Студии на терен и истражни работи:</w:t>
      </w:r>
    </w:p>
    <w:p w14:paraId="7C045323" w14:textId="77777777" w:rsidR="0035525A" w:rsidRPr="00BE7CD8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Топографски и геодетски истражувања: Детално мапирање на целото подрачје на браната, акумулацијата и придружните објекти.</w:t>
      </w:r>
    </w:p>
    <w:p w14:paraId="4CF66B29" w14:textId="77777777" w:rsidR="0035525A" w:rsidRPr="00BE7CD8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Arial" w:eastAsia="Times New Roman" w:hAnsi="Arial" w:cs="Arial"/>
          <w:color w:val="1B1C1D"/>
          <w:kern w:val="0"/>
          <w:lang w:val="ru-RU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Геолошки, хидрогеолошки и геотехнички истражувања: Клучно за брана. Вклучува детални истражни дупчења, анализа на јадро, испитување на носивоста, пропустливоста и стабилноста на тлото и карпите на локацијата на браната и во рамките на акумулацијата.</w:t>
      </w:r>
    </w:p>
    <w:p w14:paraId="2479F111" w14:textId="77777777" w:rsidR="0035525A" w:rsidRDefault="0035525A" w:rsidP="0035525A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845C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Сеизмичка анализа: Проценка на сеизмичкиот ризик на локацијата и дефинирање на проектни параметри за асеизмичко проектирање на браната.</w:t>
      </w:r>
    </w:p>
    <w:p w14:paraId="5AD33122" w14:textId="77777777" w:rsidR="00634DB5" w:rsidRDefault="00634DB5" w:rsidP="00634DB5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691297F7" w14:textId="77777777" w:rsidR="00634DB5" w:rsidRPr="00CA24DE" w:rsidRDefault="00634DB5" w:rsidP="00634DB5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7521E59A" w14:textId="77777777" w:rsidR="0035525A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збор на технички решенија</w:t>
      </w: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:</w:t>
      </w:r>
    </w:p>
    <w:p w14:paraId="474971E1" w14:textId="77777777" w:rsidR="00634DB5" w:rsidRDefault="00634DB5" w:rsidP="00634DB5">
      <w:pPr>
        <w:spacing w:after="80" w:line="240" w:lineRule="auto"/>
        <w:ind w:left="360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30722947" w14:textId="634CB25A" w:rsidR="0035525A" w:rsidRPr="00427F1E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Бран</w:t>
      </w:r>
      <w:r w:rsid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придружни објекти:</w:t>
      </w:r>
    </w:p>
    <w:p w14:paraId="26A644AA" w14:textId="6D745DD5" w:rsidR="0035525A" w:rsidRPr="00427F1E" w:rsidRDefault="00210A02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горна и долна брана/акумулација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35525A"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на бран</w:t>
      </w:r>
      <w:r w:rsid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="0035525A"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(бетонска-гравитациска, лачна, насипна-камено-земјена итн.) врз основа на геологијата и топографијата.</w:t>
      </w:r>
    </w:p>
    <w:p w14:paraId="53A4E641" w14:textId="5DA4F764" w:rsidR="0035525A" w:rsidRPr="00427F1E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Димензионирање на телото на бран</w:t>
      </w:r>
      <w:r w:rsid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</w:t>
      </w:r>
      <w:r w:rsid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Димензии (висина, должина, волумен на акумулаци</w:t>
      </w:r>
      <w:r w:rsid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</w:t>
      </w:r>
      <w:r w:rsidR="00210A02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782223CD" w14:textId="77777777" w:rsidR="0035525A" w:rsidRPr="00427F1E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преливни органи за евакуација на големи води.</w:t>
      </w:r>
    </w:p>
    <w:p w14:paraId="50C467A8" w14:textId="77777777" w:rsidR="0035525A" w:rsidRPr="00427F1E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темелен испуст.</w:t>
      </w:r>
    </w:p>
    <w:p w14:paraId="19C97F5C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Проектирање на систем за инјектирање и дренажа.</w:t>
      </w:r>
    </w:p>
    <w:p w14:paraId="66C10D61" w14:textId="77777777" w:rsidR="00634DB5" w:rsidRPr="00427F1E" w:rsidRDefault="00634DB5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6227B267" w14:textId="77777777" w:rsidR="0035525A" w:rsidRPr="00427F1E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Доводни органи</w:t>
      </w:r>
    </w:p>
    <w:p w14:paraId="27F40C49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Опис и димензионирање на водозафатна кула, доводни тунели или цевководи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регулациони</w:t>
      </w: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сигурносни вентили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71AC3A34" w14:textId="77777777" w:rsidR="00634DB5" w:rsidRPr="00427F1E" w:rsidRDefault="00634DB5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58881174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Машинска зграда</w:t>
      </w:r>
    </w:p>
    <w:p w14:paraId="77126D2C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Концептуално решение за надземна или подземна машинска зграда.</w:t>
      </w:r>
    </w:p>
    <w:p w14:paraId="18F32F9E" w14:textId="4F87CED8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052BD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Кранска и монтажна опрема</w:t>
      </w:r>
      <w:r w:rsidR="00E475B4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170E4410" w14:textId="77777777" w:rsidR="00E475B4" w:rsidRPr="00427F1E" w:rsidRDefault="00E475B4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447672FA" w14:textId="79A09F29" w:rsidR="0035525A" w:rsidRPr="002E0FDC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Избор на </w:t>
      </w:r>
      <w:r w:rsidR="00D47936"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реверзибилна</w:t>
      </w:r>
      <w:r w:rsidR="00D47936"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2E0FD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хидро-машинска и електро опрема:</w:t>
      </w:r>
    </w:p>
    <w:p w14:paraId="0F25AB9A" w14:textId="353236B7" w:rsidR="0035525A" w:rsidRPr="00427F1E" w:rsidRDefault="00D47936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Реверзибилни пумпно-турбински единици: Избор на тип</w:t>
      </w:r>
      <w:r w:rsidR="007916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на </w:t>
      </w:r>
      <w:r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број на агрегати.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35525A"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тип (Францис, Пелтон) и број на турбини врз основа на расположливиот пад и протоци</w:t>
      </w:r>
      <w:r w:rsidR="007916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="0079165B" w:rsidRPr="0079165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79165B" w:rsidRPr="00D47936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моќност, ефикасност во двата режима</w:t>
      </w:r>
      <w:r w:rsidR="0035525A"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="0035525A" w:rsidRPr="000D714F">
        <w:rPr>
          <w:lang w:val="ru-RU"/>
        </w:rPr>
        <w:t xml:space="preserve"> </w:t>
      </w:r>
      <w:r w:rsidR="0035525A"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Основни пресметковни карактеристики </w:t>
      </w:r>
      <w:r w:rsidR="0035525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и диманзии </w:t>
      </w:r>
      <w:r w:rsidR="0035525A"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 турбините</w:t>
      </w:r>
      <w:r w:rsidR="0035525A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  <w:r w:rsidR="00C03B5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Да се даде детален опис и пресметки наведувајќи дали избраното решение </w:t>
      </w:r>
      <w:r w:rsidR="004860E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опфаќа реверзибилна турбина или класична турбина и засебна пумпа која може да биде на исто вратило со тубината или тотално засебен агрегат.</w:t>
      </w:r>
    </w:p>
    <w:p w14:paraId="3334F110" w14:textId="707A0928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генератори</w:t>
      </w:r>
      <w:r w:rsidR="004860E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/мотори</w:t>
      </w:r>
      <w:r w:rsidRPr="00295EB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(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напон, cos φ, синхрона брзина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)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трансформатори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</w:t>
      </w: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високонапонска опрема.</w:t>
      </w:r>
      <w:r w:rsidRPr="000D714F">
        <w:rPr>
          <w:lang w:val="ru-RU"/>
        </w:rPr>
        <w:t xml:space="preserve"> </w:t>
      </w:r>
      <w:r w:rsidR="004860E0"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Способни да работат и како мотор (во пумпен режим) и како генератор (во турбински режим).</w:t>
      </w:r>
      <w:r w:rsidR="004860E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Pr="000D714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Основни пресметковни карактеристики и диманзии.</w:t>
      </w:r>
      <w:r w:rsidR="004860E0" w:rsidRPr="004860E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</w:t>
      </w:r>
      <w:r w:rsidR="004860E0" w:rsidRPr="00552A79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Системи за пуштање во работа (Starting Systems): Анализа на технологија за стартување на агрегатите во пумпен режим (на пр. статички фреквентен претворувач - SFC).</w:t>
      </w:r>
    </w:p>
    <w:p w14:paraId="1110BC8C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Избор на систем за управување, а</w:t>
      </w:r>
      <w:r w:rsidRPr="00976D00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втоматизација, SCADA и заштитни системи</w:t>
      </w: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A1DF025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Дефинирање на помошни системи. </w:t>
      </w:r>
    </w:p>
    <w:p w14:paraId="1A23FEF3" w14:textId="4A1E1F13" w:rsidR="00552A79" w:rsidRDefault="00552A79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79929880" w14:textId="77777777" w:rsidR="0035525A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Енергетска пресметка: </w:t>
      </w:r>
    </w:p>
    <w:p w14:paraId="53098A2A" w14:textId="2C4A83E4" w:rsidR="00812571" w:rsidRDefault="00812571" w:rsidP="0081257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812571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Детална пресметка на можното годишно производство на електрична енергија (врвна и базна енергија) врз основа на симулацијата на работата на акумулацијата, водостопанскиот биланс, избраниот тип и број на агрегати кои ќе бидат поставени во машинската зграда на објектот.</w:t>
      </w:r>
    </w:p>
    <w:p w14:paraId="1AA47B56" w14:textId="7DC7CAB1" w:rsidR="0090524C" w:rsidRPr="0090524C" w:rsidRDefault="0090524C" w:rsidP="0090524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Енергетски Биланс и Проценка на Производство:</w:t>
      </w:r>
    </w:p>
    <w:p w14:paraId="331C5C0C" w14:textId="775557D3" w:rsidR="0090524C" w:rsidRPr="0090524C" w:rsidRDefault="00A91A31" w:rsidP="0090524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lastRenderedPageBreak/>
        <w:t xml:space="preserve">- </w:t>
      </w:r>
      <w:r w:rsidR="0090524C"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Пресметка на производство од природен доток: Годишно производство на енергија без пумпниот циклус.</w:t>
      </w:r>
    </w:p>
    <w:p w14:paraId="62040EFA" w14:textId="606134F0" w:rsidR="0090524C" w:rsidRPr="0090524C" w:rsidRDefault="00A91A31" w:rsidP="0090524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="0090524C"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Пресметка на потрошувачка на енергија за пумпање: Проценка на годишната потрошувачка на електрична енергија за пумпање, базирано на симулацискиот модел.</w:t>
      </w:r>
    </w:p>
    <w:p w14:paraId="50BF65C2" w14:textId="6916EA99" w:rsidR="0090524C" w:rsidRPr="0090524C" w:rsidRDefault="00A91A31" w:rsidP="0090524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="0090524C"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Пресметка на производство во турбински режим (од испумпана вода): Проценка на годишното производство како резултат на пумпниот циклус.</w:t>
      </w:r>
    </w:p>
    <w:p w14:paraId="59AFB49E" w14:textId="684B7C9C" w:rsidR="0090524C" w:rsidRPr="0090524C" w:rsidRDefault="00A91A31" w:rsidP="0090524C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="0090524C" w:rsidRPr="0090524C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Вкупен нето енергетски биланс: Сумарен годишен биланс кој секогаш ќе биде негативен (потрошувачката за пумпање е секогаш поголема од производството од таа вода поради загубите). Пресметка на вкупната циклусна ефикасност (обично 75-85%).</w:t>
      </w:r>
    </w:p>
    <w:p w14:paraId="50ADB3C7" w14:textId="77777777" w:rsidR="0035525A" w:rsidRPr="002506F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Годишна нето енергија (MWh)</w:t>
      </w:r>
    </w:p>
    <w:p w14:paraId="32D6BE99" w14:textId="77777777" w:rsidR="0035525A" w:rsidRPr="002506FB" w:rsidRDefault="0035525A" w:rsidP="0035525A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Фактор на искористување</w:t>
      </w:r>
    </w:p>
    <w:p w14:paraId="7B1A95D6" w14:textId="7DF32E5F" w:rsidR="0035525A" w:rsidRPr="00520447" w:rsidRDefault="0035525A" w:rsidP="00520447">
      <w:pPr>
        <w:pStyle w:val="ListParagraph"/>
        <w:numPr>
          <w:ilvl w:val="0"/>
          <w:numId w:val="3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2506FB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Сезонска и месечна распределба на производство</w:t>
      </w:r>
    </w:p>
    <w:p w14:paraId="45F33A70" w14:textId="75470003" w:rsidR="0035525A" w:rsidRPr="00CA24DE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F15B2BB" w14:textId="77777777" w:rsidR="0035525A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(ХХ/20 или ХХ/35 kV) 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kV</w:t>
      </w:r>
      <w:bookmarkEnd w:id="0"/>
      <w:r w:rsidRPr="00427F1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, 35/110 kV, 110/400 kV, 20/110/400 kV, 35/110/400 kV, основни карактеристики на предвидената опрема.</w:t>
      </w:r>
    </w:p>
    <w:p w14:paraId="0FCD723A" w14:textId="77777777" w:rsidR="00E475B4" w:rsidRPr="00CA24DE" w:rsidRDefault="00E475B4" w:rsidP="00E475B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E7673D2" w14:textId="77777777" w:rsidR="0035525A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Економска евалуација на проектот</w:t>
      </w:r>
    </w:p>
    <w:p w14:paraId="4146087F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Проценка на инвестициските трошоци (CAPEX):</w:t>
      </w:r>
    </w:p>
    <w:p w14:paraId="36C0B55F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истражни работи, студии и проектирање.</w:t>
      </w:r>
    </w:p>
    <w:p w14:paraId="19FAD10F" w14:textId="60E90109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експропријација на земјиште и објекти во зоната на акумулаци</w:t>
      </w:r>
      <w:r w:rsidR="00A2771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ите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.</w:t>
      </w:r>
    </w:p>
    <w:p w14:paraId="4632F43B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преселување на население (доколку е потребно).</w:t>
      </w:r>
    </w:p>
    <w:p w14:paraId="2BD055B9" w14:textId="66A571E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изградба на бран</w:t>
      </w:r>
      <w:r w:rsidR="00A2771F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и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и придружни објекти (најголема ставка).</w:t>
      </w:r>
    </w:p>
    <w:p w14:paraId="72756F53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хидро-машинска и електро опрема.</w:t>
      </w:r>
    </w:p>
    <w:p w14:paraId="1E3CAA2E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инфраструктура (патишта, далноводи).</w:t>
      </w:r>
    </w:p>
    <w:p w14:paraId="18597743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мерки за заштита на животната средина и социјални мерки.</w:t>
      </w:r>
    </w:p>
    <w:p w14:paraId="3B4102EE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Непредвидени трошоци.</w:t>
      </w:r>
    </w:p>
    <w:p w14:paraId="481A4A23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Проценка на оперативни трошоци и трошоци за одржување (OPEX):</w:t>
      </w:r>
    </w:p>
    <w:p w14:paraId="339B0D36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Годишни трошоци за работа и одржување на градежните објекти и опремата.</w:t>
      </w:r>
    </w:p>
    <w:p w14:paraId="5E56AB0E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мониторинг на браната и животната средина.</w:t>
      </w:r>
    </w:p>
    <w:p w14:paraId="3DED1B24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Трошоци за персонал, администрација и осигурување.</w:t>
      </w:r>
    </w:p>
    <w:p w14:paraId="4C3712DD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Даноци и надоместоци.</w:t>
      </w:r>
    </w:p>
    <w:p w14:paraId="77DB7981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Анализа на приходи и бенефиции:</w:t>
      </w:r>
    </w:p>
    <w:p w14:paraId="39D1462C" w14:textId="77777777" w:rsidR="0035525A" w:rsidRPr="00813F61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Приходи од продажба на електрична енергија.</w:t>
      </w:r>
    </w:p>
    <w:p w14:paraId="2C7DC6A6" w14:textId="77777777" w:rsidR="0035525A" w:rsidRPr="00CA24DE" w:rsidRDefault="0035525A" w:rsidP="0035525A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Финансиски услови (сопствени средства, кредит, каматна стапка, учество, рок на отплата),</w:t>
      </w:r>
    </w:p>
    <w:p w14:paraId="703A9EC6" w14:textId="77777777" w:rsidR="0035525A" w:rsidRPr="00CA24DE" w:rsidRDefault="0035525A" w:rsidP="0035525A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Внатрешна стапка на поврат</w:t>
      </w:r>
    </w:p>
    <w:p w14:paraId="13EA1548" w14:textId="77777777" w:rsidR="0035525A" w:rsidRPr="00CA24DE" w:rsidRDefault="0035525A" w:rsidP="0035525A">
      <w:pPr>
        <w:numPr>
          <w:ilvl w:val="3"/>
          <w:numId w:val="8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lastRenderedPageBreak/>
        <w:t>Нето сегашна вредност</w:t>
      </w:r>
    </w:p>
    <w:p w14:paraId="163F2EAB" w14:textId="77777777" w:rsidR="0035525A" w:rsidRPr="00E475B4" w:rsidRDefault="0035525A" w:rsidP="0035525A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Aptos" w:hAnsi="Verdana" w:cs="Times New Roman"/>
          <w:sz w:val="22"/>
          <w:szCs w:val="22"/>
          <w:lang w:val="mk-MK"/>
        </w:rPr>
        <w:t>Годишни токови на парите за планираниот екпслоатационен период на електроенергетскиот објект</w:t>
      </w:r>
    </w:p>
    <w:p w14:paraId="4054B842" w14:textId="77777777" w:rsidR="00E475B4" w:rsidRPr="003D5277" w:rsidRDefault="00E475B4" w:rsidP="00E475B4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10EE22DA" w14:textId="77777777" w:rsidR="0035525A" w:rsidRPr="003D5277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План за изградба:</w:t>
      </w:r>
    </w:p>
    <w:p w14:paraId="1ABBB8AC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Пристапни патишта и инфраструктура на градилиште.</w:t>
      </w:r>
    </w:p>
    <w:p w14:paraId="2EA87028" w14:textId="77777777" w:rsidR="0035525A" w:rsidRPr="003D5277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План за пренасочување на реката за време на изградбата (опточен тунел).</w:t>
      </w:r>
    </w:p>
    <w:p w14:paraId="0EE387ED" w14:textId="77777777" w:rsidR="0035525A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- </w:t>
      </w:r>
      <w:r w:rsidRPr="003D5277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 xml:space="preserve"> Динамички план на изградба (временска рамка).</w:t>
      </w:r>
    </w:p>
    <w:p w14:paraId="49E236F6" w14:textId="77777777" w:rsidR="0035525A" w:rsidRPr="00CA24DE" w:rsidRDefault="0035525A" w:rsidP="0035525A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</w:p>
    <w:p w14:paraId="06634720" w14:textId="77777777" w:rsidR="0035525A" w:rsidRPr="00CA24DE" w:rsidRDefault="0035525A" w:rsidP="0035525A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Заклучок:</w:t>
      </w:r>
    </w:p>
    <w:p w14:paraId="29AC3C3E" w14:textId="77777777" w:rsidR="0035525A" w:rsidRPr="00CA24DE" w:rsidRDefault="0035525A" w:rsidP="0035525A">
      <w:pPr>
        <w:numPr>
          <w:ilvl w:val="0"/>
          <w:numId w:val="7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Техно-економски карактеристики на ХЕЦ.</w:t>
      </w:r>
    </w:p>
    <w:p w14:paraId="1F328D05" w14:textId="4F8FD10B" w:rsidR="00D7209F" w:rsidRPr="00CA24DE" w:rsidRDefault="0035525A" w:rsidP="0035525A">
      <w:pPr>
        <w:numPr>
          <w:ilvl w:val="0"/>
          <w:numId w:val="7"/>
        </w:numPr>
        <w:spacing w:after="80" w:line="240" w:lineRule="auto"/>
        <w:jc w:val="both"/>
        <w:rPr>
          <w:rFonts w:ascii="Verdana" w:hAnsi="Verdana"/>
          <w:lang w:val="ru-RU"/>
        </w:rPr>
      </w:pPr>
      <w:r w:rsidRPr="00CA24DE">
        <w:rPr>
          <w:rFonts w:ascii="Verdana" w:eastAsia="Times New Roman" w:hAnsi="Verdana" w:cs="Tahoma"/>
          <w:kern w:val="0"/>
          <w:sz w:val="22"/>
          <w:lang w:val="mk-MK" w:eastAsia="sr-Latn-CS"/>
          <w14:ligatures w14:val="none"/>
        </w:rPr>
        <w:t>Понатамошни чекори за развој на проектот.</w:t>
      </w:r>
    </w:p>
    <w:p w14:paraId="5B768DF7" w14:textId="77777777" w:rsidR="00E475B4" w:rsidRDefault="00E475B4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690C6E4F" w14:textId="187F01D9" w:rsidR="00315961" w:rsidRPr="00315961" w:rsidRDefault="00385CA4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Прилози</w:t>
      </w:r>
      <w:r w:rsidR="00315961"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:</w:t>
      </w:r>
    </w:p>
    <w:p w14:paraId="1CF0C290" w14:textId="77777777" w:rsidR="00315961" w:rsidRP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Геодетски и хидролошки податоци</w:t>
      </w:r>
    </w:p>
    <w:p w14:paraId="5B64DD6F" w14:textId="05DEF561" w:rsidR="00315961" w:rsidRP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  <w:r w:rsidRPr="00315961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*   Цртежи и шеми на објект</w:t>
      </w:r>
      <w:r w:rsidR="00385CA4"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  <w:t>ите и главната електромашинска опрема</w:t>
      </w:r>
    </w:p>
    <w:p w14:paraId="4FF5876A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7F995F58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2051473C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096E0213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592C8263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6EFDAB8C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0172DC64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2364A44C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7AD5DB44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1D90563D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2408AF43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1AF0CC07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1BE4F5BB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42223BDD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05BC0006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410F4C34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14BAA7A5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3481D51D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7BB2CA28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18039583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6DB3168B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3C5FAA65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7AA849AF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p w14:paraId="51C99E5D" w14:textId="77777777" w:rsidR="00315961" w:rsidRDefault="00315961" w:rsidP="00315961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lang w:val="ru-RU" w:eastAsia="sr-Latn-CS"/>
          <w14:ligatures w14:val="none"/>
        </w:rPr>
      </w:pPr>
    </w:p>
    <w:sectPr w:rsidR="00315961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2B48C4"/>
    <w:multiLevelType w:val="multilevel"/>
    <w:tmpl w:val="739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87CB3"/>
    <w:multiLevelType w:val="multilevel"/>
    <w:tmpl w:val="48EC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3A0"/>
    <w:multiLevelType w:val="hybridMultilevel"/>
    <w:tmpl w:val="CBE6BA88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BC82358"/>
    <w:multiLevelType w:val="hybridMultilevel"/>
    <w:tmpl w:val="59E86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81724"/>
    <w:multiLevelType w:val="multilevel"/>
    <w:tmpl w:val="F93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457B3"/>
    <w:multiLevelType w:val="multilevel"/>
    <w:tmpl w:val="7E84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5228D"/>
    <w:multiLevelType w:val="multilevel"/>
    <w:tmpl w:val="7A1A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A47E1"/>
    <w:multiLevelType w:val="multilevel"/>
    <w:tmpl w:val="9974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376D4"/>
    <w:multiLevelType w:val="multilevel"/>
    <w:tmpl w:val="F46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A3E65"/>
    <w:multiLevelType w:val="multilevel"/>
    <w:tmpl w:val="B0F6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42C10"/>
    <w:multiLevelType w:val="multilevel"/>
    <w:tmpl w:val="1C52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C4882"/>
    <w:multiLevelType w:val="hybridMultilevel"/>
    <w:tmpl w:val="EF124558"/>
    <w:lvl w:ilvl="0" w:tplc="986E5DFC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71C44"/>
    <w:multiLevelType w:val="multilevel"/>
    <w:tmpl w:val="442A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83BB1"/>
    <w:multiLevelType w:val="multilevel"/>
    <w:tmpl w:val="8160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87D74"/>
    <w:multiLevelType w:val="hybridMultilevel"/>
    <w:tmpl w:val="7144BA1A"/>
    <w:lvl w:ilvl="0" w:tplc="A35EB75E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FF805EEE">
      <w:numFmt w:val="bullet"/>
      <w:lvlText w:val="•"/>
      <w:lvlJc w:val="left"/>
      <w:pPr>
        <w:ind w:left="1800" w:hanging="720"/>
      </w:pPr>
      <w:rPr>
        <w:rFonts w:ascii="Verdana" w:eastAsia="Times New Roman" w:hAnsi="Verdan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5AF3"/>
    <w:multiLevelType w:val="multilevel"/>
    <w:tmpl w:val="E8CEE68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6114C15"/>
    <w:multiLevelType w:val="multilevel"/>
    <w:tmpl w:val="304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A4A2C"/>
    <w:multiLevelType w:val="multilevel"/>
    <w:tmpl w:val="778C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D74504"/>
    <w:multiLevelType w:val="multilevel"/>
    <w:tmpl w:val="FC18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87488"/>
    <w:multiLevelType w:val="multilevel"/>
    <w:tmpl w:val="9AE2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25202E"/>
    <w:multiLevelType w:val="multilevel"/>
    <w:tmpl w:val="88B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B4592"/>
    <w:multiLevelType w:val="hybridMultilevel"/>
    <w:tmpl w:val="B41ACF0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B8C236A"/>
    <w:multiLevelType w:val="multilevel"/>
    <w:tmpl w:val="8708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96526"/>
    <w:multiLevelType w:val="multilevel"/>
    <w:tmpl w:val="812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D2783"/>
    <w:multiLevelType w:val="multilevel"/>
    <w:tmpl w:val="0894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F373B"/>
    <w:multiLevelType w:val="multilevel"/>
    <w:tmpl w:val="12D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568DA"/>
    <w:multiLevelType w:val="hybridMultilevel"/>
    <w:tmpl w:val="16BEBCC6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22"/>
  </w:num>
  <w:num w:numId="2" w16cid:durableId="570429773">
    <w:abstractNumId w:val="20"/>
  </w:num>
  <w:num w:numId="3" w16cid:durableId="206571846">
    <w:abstractNumId w:val="3"/>
  </w:num>
  <w:num w:numId="4" w16cid:durableId="726296661">
    <w:abstractNumId w:val="24"/>
  </w:num>
  <w:num w:numId="5" w16cid:durableId="792674885">
    <w:abstractNumId w:val="29"/>
  </w:num>
  <w:num w:numId="6" w16cid:durableId="2109081542">
    <w:abstractNumId w:val="0"/>
  </w:num>
  <w:num w:numId="7" w16cid:durableId="1314069535">
    <w:abstractNumId w:val="30"/>
  </w:num>
  <w:num w:numId="8" w16cid:durableId="1979146457">
    <w:abstractNumId w:val="16"/>
  </w:num>
  <w:num w:numId="9" w16cid:durableId="1610702000">
    <w:abstractNumId w:val="11"/>
  </w:num>
  <w:num w:numId="10" w16cid:durableId="2023626598">
    <w:abstractNumId w:val="1"/>
  </w:num>
  <w:num w:numId="11" w16cid:durableId="1450736037">
    <w:abstractNumId w:val="18"/>
  </w:num>
  <w:num w:numId="12" w16cid:durableId="161286057">
    <w:abstractNumId w:val="28"/>
  </w:num>
  <w:num w:numId="13" w16cid:durableId="1249656362">
    <w:abstractNumId w:val="2"/>
  </w:num>
  <w:num w:numId="14" w16cid:durableId="37897294">
    <w:abstractNumId w:val="7"/>
  </w:num>
  <w:num w:numId="15" w16cid:durableId="1699507634">
    <w:abstractNumId w:val="13"/>
  </w:num>
  <w:num w:numId="16" w16cid:durableId="99951924">
    <w:abstractNumId w:val="10"/>
  </w:num>
  <w:num w:numId="17" w16cid:durableId="2076734691">
    <w:abstractNumId w:val="27"/>
  </w:num>
  <w:num w:numId="18" w16cid:durableId="1982617217">
    <w:abstractNumId w:val="26"/>
  </w:num>
  <w:num w:numId="19" w16cid:durableId="1488743951">
    <w:abstractNumId w:val="23"/>
  </w:num>
  <w:num w:numId="20" w16cid:durableId="492646000">
    <w:abstractNumId w:val="6"/>
  </w:num>
  <w:num w:numId="21" w16cid:durableId="1864631687">
    <w:abstractNumId w:val="17"/>
  </w:num>
  <w:num w:numId="22" w16cid:durableId="1514298967">
    <w:abstractNumId w:val="14"/>
  </w:num>
  <w:num w:numId="23" w16cid:durableId="781730160">
    <w:abstractNumId w:val="25"/>
  </w:num>
  <w:num w:numId="24" w16cid:durableId="832722107">
    <w:abstractNumId w:val="8"/>
  </w:num>
  <w:num w:numId="25" w16cid:durableId="1510487617">
    <w:abstractNumId w:val="19"/>
  </w:num>
  <w:num w:numId="26" w16cid:durableId="1225602096">
    <w:abstractNumId w:val="9"/>
  </w:num>
  <w:num w:numId="27" w16cid:durableId="1275750651">
    <w:abstractNumId w:val="21"/>
  </w:num>
  <w:num w:numId="28" w16cid:durableId="1132091767">
    <w:abstractNumId w:val="5"/>
  </w:num>
  <w:num w:numId="29" w16cid:durableId="1755516259">
    <w:abstractNumId w:val="15"/>
  </w:num>
  <w:num w:numId="30" w16cid:durableId="925697627">
    <w:abstractNumId w:val="4"/>
  </w:num>
  <w:num w:numId="31" w16cid:durableId="564491733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462EF"/>
    <w:rsid w:val="00051D82"/>
    <w:rsid w:val="00063E4D"/>
    <w:rsid w:val="00077ECC"/>
    <w:rsid w:val="00084AF0"/>
    <w:rsid w:val="0011044B"/>
    <w:rsid w:val="001171A1"/>
    <w:rsid w:val="00136FD4"/>
    <w:rsid w:val="001F1C0D"/>
    <w:rsid w:val="00210A02"/>
    <w:rsid w:val="002473F6"/>
    <w:rsid w:val="002763AD"/>
    <w:rsid w:val="002E3644"/>
    <w:rsid w:val="00315961"/>
    <w:rsid w:val="00351FFA"/>
    <w:rsid w:val="0035525A"/>
    <w:rsid w:val="0038044E"/>
    <w:rsid w:val="00385CA4"/>
    <w:rsid w:val="00392610"/>
    <w:rsid w:val="00444406"/>
    <w:rsid w:val="00471847"/>
    <w:rsid w:val="004860E0"/>
    <w:rsid w:val="004B12DB"/>
    <w:rsid w:val="004C4C35"/>
    <w:rsid w:val="004E31B4"/>
    <w:rsid w:val="00501C2C"/>
    <w:rsid w:val="00505368"/>
    <w:rsid w:val="00515990"/>
    <w:rsid w:val="00520447"/>
    <w:rsid w:val="005239F2"/>
    <w:rsid w:val="00552A79"/>
    <w:rsid w:val="005776D7"/>
    <w:rsid w:val="0059279F"/>
    <w:rsid w:val="005B7DE6"/>
    <w:rsid w:val="006333B4"/>
    <w:rsid w:val="00633BBA"/>
    <w:rsid w:val="00634DB5"/>
    <w:rsid w:val="00663CEF"/>
    <w:rsid w:val="00670651"/>
    <w:rsid w:val="00677270"/>
    <w:rsid w:val="00706553"/>
    <w:rsid w:val="007170AE"/>
    <w:rsid w:val="007323EE"/>
    <w:rsid w:val="00754332"/>
    <w:rsid w:val="00761BDE"/>
    <w:rsid w:val="00767C95"/>
    <w:rsid w:val="00781E07"/>
    <w:rsid w:val="0078389A"/>
    <w:rsid w:val="0079165B"/>
    <w:rsid w:val="007947FD"/>
    <w:rsid w:val="007A3DDD"/>
    <w:rsid w:val="007E2FAB"/>
    <w:rsid w:val="007F2841"/>
    <w:rsid w:val="00812571"/>
    <w:rsid w:val="00853C9A"/>
    <w:rsid w:val="008A6C37"/>
    <w:rsid w:val="008C6738"/>
    <w:rsid w:val="008D0FF1"/>
    <w:rsid w:val="008F2B89"/>
    <w:rsid w:val="0090524C"/>
    <w:rsid w:val="0094113F"/>
    <w:rsid w:val="009813DF"/>
    <w:rsid w:val="00985AE9"/>
    <w:rsid w:val="00A2771F"/>
    <w:rsid w:val="00A91A31"/>
    <w:rsid w:val="00B054F2"/>
    <w:rsid w:val="00B528CA"/>
    <w:rsid w:val="00B55279"/>
    <w:rsid w:val="00BE7CD8"/>
    <w:rsid w:val="00BF0130"/>
    <w:rsid w:val="00C03B5F"/>
    <w:rsid w:val="00C335FA"/>
    <w:rsid w:val="00C33AA4"/>
    <w:rsid w:val="00C766A3"/>
    <w:rsid w:val="00CA0780"/>
    <w:rsid w:val="00CA24DE"/>
    <w:rsid w:val="00CC728D"/>
    <w:rsid w:val="00D02FCD"/>
    <w:rsid w:val="00D03E17"/>
    <w:rsid w:val="00D07707"/>
    <w:rsid w:val="00D24B63"/>
    <w:rsid w:val="00D47936"/>
    <w:rsid w:val="00D7209F"/>
    <w:rsid w:val="00DA3389"/>
    <w:rsid w:val="00DE6825"/>
    <w:rsid w:val="00E475B4"/>
    <w:rsid w:val="00E71CAE"/>
    <w:rsid w:val="00EE66BB"/>
    <w:rsid w:val="00EE6BBB"/>
    <w:rsid w:val="00EF3BA9"/>
    <w:rsid w:val="00F36DED"/>
    <w:rsid w:val="00F476CC"/>
    <w:rsid w:val="00F734F2"/>
    <w:rsid w:val="00FD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1370</Words>
  <Characters>7811</Characters>
  <Application>Microsoft Office Word</Application>
  <DocSecurity>0</DocSecurity>
  <Lines>65</Lines>
  <Paragraphs>18</Paragraphs>
  <ScaleCrop>false</ScaleCrop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46</cp:revision>
  <dcterms:created xsi:type="dcterms:W3CDTF">2025-08-21T20:21:00Z</dcterms:created>
  <dcterms:modified xsi:type="dcterms:W3CDTF">2025-08-24T19:29:00Z</dcterms:modified>
</cp:coreProperties>
</file>