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8DAD5" w14:textId="2C4B9C44" w:rsidR="001171A1" w:rsidRPr="006C2272" w:rsidRDefault="001171A1" w:rsidP="001171A1">
      <w:pPr>
        <w:keepNext/>
        <w:keepLines/>
        <w:spacing w:before="160" w:after="80" w:line="259" w:lineRule="auto"/>
        <w:outlineLvl w:val="1"/>
        <w:rPr>
          <w:rFonts w:ascii="Verdana" w:eastAsia="Times New Roman" w:hAnsi="Verdana" w:cs="Times New Roman"/>
          <w:b/>
          <w:sz w:val="22"/>
          <w:szCs w:val="22"/>
          <w:lang w:val="mk-MK"/>
        </w:rPr>
      </w:pPr>
      <w:r w:rsidRPr="006C2272">
        <w:rPr>
          <w:rFonts w:ascii="Verdana" w:eastAsia="Times New Roman" w:hAnsi="Verdana" w:cs="Times New Roman"/>
          <w:b/>
          <w:sz w:val="22"/>
          <w:szCs w:val="22"/>
          <w:lang w:val="mk-MK"/>
        </w:rPr>
        <w:t xml:space="preserve">Физибилити студија за </w:t>
      </w:r>
      <w:r w:rsidR="009601CA" w:rsidRPr="006C2272">
        <w:rPr>
          <w:rFonts w:ascii="Verdana" w:eastAsia="Times New Roman" w:hAnsi="Verdana" w:cs="Times New Roman"/>
          <w:b/>
          <w:sz w:val="22"/>
          <w:szCs w:val="22"/>
          <w:lang w:val="mk-MK"/>
        </w:rPr>
        <w:t>високоефикасни когенеративни електрични централи</w:t>
      </w:r>
    </w:p>
    <w:p w14:paraId="1276DD3C" w14:textId="77777777" w:rsidR="00554110" w:rsidRPr="006C2272" w:rsidRDefault="00554110" w:rsidP="00554110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Извршно резиме</w:t>
      </w:r>
    </w:p>
    <w:p w14:paraId="7511F10E" w14:textId="77777777" w:rsidR="00554110" w:rsidRPr="006C2272" w:rsidRDefault="00554110" w:rsidP="00554110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Цели на студијата: Јасно дефинирање на опсегот и целите на техно-економската анализа.</w:t>
      </w:r>
      <w:r w:rsidRPr="006C2272">
        <w:rPr>
          <w:rFonts w:ascii="Verdana" w:hAnsi="Verdana"/>
          <w:sz w:val="22"/>
          <w:szCs w:val="22"/>
          <w:lang w:val="ru-RU"/>
        </w:rPr>
        <w:t xml:space="preserve"> 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Двојна цел на проектот: Јасно нагласување на улогата за производство на енергија од природен доток и улогата за складирање енергија и обезбедување системски услуги.</w:t>
      </w:r>
    </w:p>
    <w:p w14:paraId="4C599102" w14:textId="77777777" w:rsidR="00554110" w:rsidRPr="006C2272" w:rsidRDefault="00554110" w:rsidP="00554110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Подносител на иницијатива: Основни информации за подносителот на иницијативата.</w:t>
      </w:r>
    </w:p>
    <w:p w14:paraId="231CDB5C" w14:textId="39F183F0" w:rsidR="00554110" w:rsidRPr="006C2272" w:rsidRDefault="00554110" w:rsidP="00554110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Резиме: Концизен преглед на целта на проектот, главните технички карактеристики, проценета инвестиција, клучни финансиски показатели (НСВ, ИСП), година на влез во погон и финалниот заклучок за исплатливоста на проектот.</w:t>
      </w:r>
    </w:p>
    <w:p w14:paraId="251825E6" w14:textId="77777777" w:rsidR="00554110" w:rsidRPr="006C2272" w:rsidRDefault="00554110" w:rsidP="00554110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Опис на проектот: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Локација, инсталирана моќност, технологија (на пр. Комбиниран гасно-парен циклус - 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CCGT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, или Отворен циклус - 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OCGT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нето ефикасност, очекуван режим на работа (базен, среден или врвен).</w:t>
      </w:r>
    </w:p>
    <w:p w14:paraId="2A72BB5A" w14:textId="77777777" w:rsidR="00554110" w:rsidRPr="006C2272" w:rsidRDefault="00554110" w:rsidP="00554110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Клучни наоди: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Вкупна инвестиција (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CAPEX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), проценета производна цена (€/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MWh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), клучни финансиски показатели (НСВ, ИСП) при различни сценарија за цената на гасот и 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2, главни предности (флексибилност) и ризици (зависност од увоз).</w:t>
      </w:r>
    </w:p>
    <w:p w14:paraId="0E8A3A86" w14:textId="77777777" w:rsidR="00554110" w:rsidRPr="006C2272" w:rsidRDefault="00554110" w:rsidP="00554110">
      <w:pPr>
        <w:numPr>
          <w:ilvl w:val="1"/>
          <w:numId w:val="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Финална препорака: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Оцена на проектот како флексибилен ресурс за поддршка на обновливите извори и неговата долгорочна одржливост.</w:t>
      </w:r>
    </w:p>
    <w:p w14:paraId="67F3DD73" w14:textId="77777777" w:rsidR="00554110" w:rsidRPr="006C2272" w:rsidRDefault="00554110" w:rsidP="00554110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Стратешка улога како транзициско гориво и флексибилен ресурс:</w:t>
      </w:r>
    </w:p>
    <w:p w14:paraId="11837C84" w14:textId="77777777" w:rsidR="00554110" w:rsidRPr="006C2272" w:rsidRDefault="00554110" w:rsidP="00554110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Улога во балансирање на системот: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способноста на електраната за брзо стартување и промена на моќноста за да се компензира варијабилноста на соларните и ветерните електрани.</w:t>
      </w:r>
    </w:p>
    <w:p w14:paraId="7C4C9177" w14:textId="77777777" w:rsidR="00554110" w:rsidRPr="006C2272" w:rsidRDefault="00554110" w:rsidP="00554110">
      <w:pPr>
        <w:numPr>
          <w:ilvl w:val="1"/>
          <w:numId w:val="2"/>
        </w:numPr>
        <w:spacing w:after="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Замена за постари, понееколошки капацитети: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Позиционирање на проектот како замена за термоелектрани на јаглен, со значително помали емисии на 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CO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2, 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SOx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, 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  <w:t>NOx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 прашина.</w:t>
      </w:r>
    </w:p>
    <w:p w14:paraId="2075874E" w14:textId="77777777" w:rsidR="00554110" w:rsidRPr="006C2272" w:rsidRDefault="00554110" w:rsidP="00554110">
      <w:pPr>
        <w:numPr>
          <w:ilvl w:val="1"/>
          <w:numId w:val="2"/>
        </w:numPr>
        <w:spacing w:line="259" w:lineRule="auto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Долгорочна перспектива и усогласеност со климатските цели: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Анализа на улогата на гасот како „мост“ кон иднина базирана на водород или други зелени гасови.</w:t>
      </w:r>
    </w:p>
    <w:p w14:paraId="57D48597" w14:textId="77777777" w:rsidR="00554110" w:rsidRPr="006C2272" w:rsidRDefault="00554110" w:rsidP="00554110">
      <w:pPr>
        <w:spacing w:line="259" w:lineRule="auto"/>
        <w:ind w:left="720"/>
        <w:contextualSpacing/>
        <w:jc w:val="both"/>
        <w:rPr>
          <w:rFonts w:ascii="Verdana" w:eastAsia="Aptos" w:hAnsi="Verdana" w:cs="Times New Roman"/>
          <w:sz w:val="22"/>
          <w:szCs w:val="22"/>
          <w:lang w:val="mk-MK"/>
        </w:rPr>
      </w:pPr>
    </w:p>
    <w:p w14:paraId="0F15CBEC" w14:textId="77777777" w:rsidR="00554110" w:rsidRPr="006C2272" w:rsidRDefault="00554110" w:rsidP="00554110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Техничка Анализа</w:t>
      </w:r>
    </w:p>
    <w:p w14:paraId="523CDCF2" w14:textId="77777777" w:rsidR="00554110" w:rsidRPr="006C2272" w:rsidRDefault="00554110" w:rsidP="00554110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Локација</w:t>
      </w:r>
    </w:p>
    <w:p w14:paraId="03F5234F" w14:textId="77777777" w:rsidR="00554110" w:rsidRPr="006C2272" w:rsidRDefault="00554110" w:rsidP="00554110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макро локација на проектот (опис од аспект на инфраструктура).</w:t>
      </w:r>
    </w:p>
    <w:p w14:paraId="6E5836AF" w14:textId="77777777" w:rsidR="00554110" w:rsidRPr="006C2272" w:rsidRDefault="00554110" w:rsidP="00554110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Опис на микро локација на проектот.</w:t>
      </w:r>
    </w:p>
    <w:p w14:paraId="4936BF20" w14:textId="77777777" w:rsidR="00554110" w:rsidRPr="006C2272" w:rsidRDefault="00554110" w:rsidP="00554110">
      <w:pPr>
        <w:spacing w:after="80" w:line="240" w:lineRule="auto"/>
        <w:ind w:left="360"/>
        <w:jc w:val="both"/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Aptos" w:hAnsi="Verdana" w:cs="Times New Roman"/>
          <w:bCs/>
          <w:sz w:val="22"/>
          <w:szCs w:val="22"/>
          <w:lang w:val="mk-MK"/>
        </w:rPr>
        <w:t>Список на парцели и список на координати на предметните парцели (геореференцирани во државниот координатен систем на Република Македонија)</w:t>
      </w:r>
      <w:r w:rsidRPr="006C227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.</w:t>
      </w:r>
    </w:p>
    <w:p w14:paraId="544F09A9" w14:textId="77777777" w:rsidR="00554110" w:rsidRPr="006C2272" w:rsidRDefault="00554110" w:rsidP="00554110">
      <w:pPr>
        <w:spacing w:after="120" w:line="240" w:lineRule="auto"/>
        <w:ind w:left="36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ahoma"/>
          <w:bCs/>
          <w:kern w:val="0"/>
          <w:sz w:val="22"/>
          <w:szCs w:val="22"/>
          <w:lang w:val="mk-MK" w:eastAsia="sr-Latn-CS"/>
          <w14:ligatures w14:val="none"/>
        </w:rPr>
        <w:t>Графички приказ на објектот топографска карта во кој се опфатени релевантните објекти на геодетска топографска подлога геореференцирана во официјалниот координатен систем на Република Северна Македонија, Гаус – Кригер проекција, зона 7.</w:t>
      </w:r>
    </w:p>
    <w:p w14:paraId="77328CD4" w14:textId="77777777" w:rsidR="00554110" w:rsidRPr="006C2272" w:rsidRDefault="00554110" w:rsidP="00554110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6951AB8E" w14:textId="77777777" w:rsidR="00554110" w:rsidRPr="006C2272" w:rsidRDefault="00554110" w:rsidP="00554110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lastRenderedPageBreak/>
        <w:t>Снабдување со гас и флексибилност на технологијата.</w:t>
      </w:r>
    </w:p>
    <w:p w14:paraId="1FDE12DB" w14:textId="77777777" w:rsidR="006C2272" w:rsidRPr="006C2272" w:rsidRDefault="006C2272" w:rsidP="006C2272">
      <w:pPr>
        <w:spacing w:after="120" w:line="240" w:lineRule="auto"/>
        <w:outlineLvl w:val="2"/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lang w:val="ru-RU"/>
          <w14:ligatures w14:val="none"/>
        </w:rPr>
        <w:t>Техничка Анализа и Оптимизација за Максимална Ефикасност</w:t>
      </w:r>
    </w:p>
    <w:p w14:paraId="25861328" w14:textId="77777777" w:rsidR="006C2272" w:rsidRPr="006C2272" w:rsidRDefault="006C2272" w:rsidP="006C2272">
      <w:p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Техничкиот дизајн е целосно насочен кон исполнување и надминување на прагот за висока ефикасност.</w:t>
      </w:r>
    </w:p>
    <w:p w14:paraId="2399B6D5" w14:textId="554296A9" w:rsidR="006C2272" w:rsidRPr="006C2272" w:rsidRDefault="006C2272" w:rsidP="006C2272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и оптимизација според побарувачката на топлина:</w:t>
      </w:r>
    </w:p>
    <w:p w14:paraId="5B07BFED" w14:textId="1C8FFC65" w:rsidR="006C2272" w:rsidRPr="006C2272" w:rsidRDefault="006C2272" w:rsidP="006C2272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Детален топлински дијаграм и идентификација на потрошувачи.</w:t>
      </w:r>
    </w:p>
    <w:p w14:paraId="535AC9ED" w14:textId="28062B7F" w:rsidR="006C2272" w:rsidRPr="006C2272" w:rsidRDefault="006C2272" w:rsidP="006C2272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Оптимизација на производството според топлинскиот дијаграм: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Дизајнирање на оперативен режим кој го максимизира корисното искористување на отпадната топлина во текот на целата година, со цел да се минимизира „фрлањето“ на топлина во летните месеци.</w:t>
      </w:r>
    </w:p>
    <w:p w14:paraId="5D017957" w14:textId="14AD3BC8" w:rsidR="006C2272" w:rsidRPr="006C2272" w:rsidRDefault="006C2272" w:rsidP="006C2272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Избор на технологија за максимизирање на вкупната ефикасност:</w:t>
      </w:r>
    </w:p>
    <w:p w14:paraId="1C98DC32" w14:textId="3A5B4EA7" w:rsidR="006C2272" w:rsidRPr="006C2272" w:rsidRDefault="006C2272" w:rsidP="006C2272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Споредба на најсовремени технологии: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Детална анализа на последните генерации на гасни турбини и мотори, со фокус на нивната ефикасност при полно и делумно оптоварување.</w:t>
      </w:r>
    </w:p>
    <w:p w14:paraId="2F44189F" w14:textId="41F7DD22" w:rsidR="006C2272" w:rsidRPr="006C2272" w:rsidRDefault="006C2272" w:rsidP="006C2272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Димензионирање на опремата: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Избор на оптимална големина на агрегатите за најдобро да одговараат на кривата на побарувачка на топлина и струја, со што се постигнува највисока вкупна ефикасност.</w:t>
      </w:r>
    </w:p>
    <w:p w14:paraId="627156EA" w14:textId="57315FF0" w:rsidR="006C2272" w:rsidRPr="006C2272" w:rsidRDefault="006C2272" w:rsidP="006C2272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Доказ за статусот „високоефикасна“ (Клучен технички дел):</w:t>
      </w:r>
    </w:p>
    <w:p w14:paraId="31202FF7" w14:textId="04C6196B" w:rsidR="006C2272" w:rsidRPr="006C2272" w:rsidRDefault="006C2272" w:rsidP="006C2272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Детална пресметка на заштедата на примарна енергија (ЗПЕ/</w:t>
      </w: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PES</w:t>
      </w: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):</w:t>
      </w:r>
    </w:p>
    <w:p w14:paraId="2B26688F" w14:textId="77777777" w:rsidR="006C2272" w:rsidRPr="006C2272" w:rsidRDefault="006C2272" w:rsidP="006C2272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b/>
          <w:bCs/>
          <w:kern w:val="36"/>
          <w:sz w:val="22"/>
          <w:szCs w:val="22"/>
          <w14:ligatures w14:val="none"/>
        </w:rPr>
        <w:t>Анализа на ефикасност</w:t>
      </w:r>
    </w:p>
    <w:p w14:paraId="7B85EF0B" w14:textId="77777777" w:rsidR="006C2272" w:rsidRPr="006C2272" w:rsidRDefault="006C2272" w:rsidP="006C22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Електрична ефикасност (%)</w:t>
      </w:r>
    </w:p>
    <w:p w14:paraId="5C307992" w14:textId="77777777" w:rsidR="006C2272" w:rsidRPr="006C2272" w:rsidRDefault="006C2272" w:rsidP="006C22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Топлинска ефикасност (%)</w:t>
      </w:r>
    </w:p>
    <w:p w14:paraId="4AB4CA8D" w14:textId="77777777" w:rsidR="006C2272" w:rsidRPr="006C2272" w:rsidRDefault="006C2272" w:rsidP="006C22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Тотална ефикасност (%)</w:t>
      </w:r>
    </w:p>
    <w:p w14:paraId="14CB6E60" w14:textId="77777777" w:rsidR="006C2272" w:rsidRPr="006C2272" w:rsidRDefault="006C2272" w:rsidP="006C227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PES – Primary Energy Savings (%) според Eurostat формула:</w:t>
      </w:r>
    </w:p>
    <w:p w14:paraId="5B56029C" w14:textId="77777777" w:rsidR="006C2272" w:rsidRPr="006C2272" w:rsidRDefault="006C2272" w:rsidP="006C2272">
      <w:pPr>
        <w:spacing w:beforeAutospacing="1" w:after="0" w:afterAutospacing="1" w:line="240" w:lineRule="auto"/>
        <w:ind w:left="720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 xml:space="preserve">PES=(Esep−ECHP)Esep×100PES = \frac{(E_{sep} - E_{CHP})}{E_{sep}} \times 100 </w:t>
      </w:r>
    </w:p>
    <w:p w14:paraId="4F2DAD19" w14:textId="0DAEFB2F" w:rsidR="006C2272" w:rsidRPr="006C2272" w:rsidRDefault="006C2272" w:rsidP="006C2272">
      <w:pPr>
        <w:numPr>
          <w:ilvl w:val="0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Услов за високоефикасна когенерација: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PES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≥ 10% (за големи постројки).</w:t>
      </w:r>
    </w:p>
    <w:p w14:paraId="3ADCF238" w14:textId="77777777" w:rsidR="006C2272" w:rsidRPr="006C2272" w:rsidRDefault="006C2272" w:rsidP="006C2272">
      <w:pPr>
        <w:numPr>
          <w:ilvl w:val="2"/>
          <w:numId w:val="12"/>
        </w:num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Презентација на формулата според регулативата.</w:t>
      </w:r>
    </w:p>
    <w:p w14:paraId="49451FDE" w14:textId="77777777" w:rsidR="006C2272" w:rsidRPr="006C2272" w:rsidRDefault="006C2272" w:rsidP="006C2272">
      <w:pPr>
        <w:numPr>
          <w:ilvl w:val="2"/>
          <w:numId w:val="12"/>
        </w:numPr>
        <w:spacing w:after="12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Влезни податоци: произведена корисна топлина, произведена струја, потрошено гориво, референтни вредности за ефикасност.</w:t>
      </w:r>
    </w:p>
    <w:p w14:paraId="7BE45319" w14:textId="77777777" w:rsidR="006C2272" w:rsidRPr="006C2272" w:rsidRDefault="006C2272" w:rsidP="006C2272">
      <w:pPr>
        <w:numPr>
          <w:ilvl w:val="2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Краен резултат (во %) кој докажува дека проектот го надминува пропишаниот праг (најчесто 10%).</w:t>
      </w:r>
    </w:p>
    <w:p w14:paraId="0154E2EB" w14:textId="2C547038" w:rsidR="006C2272" w:rsidRPr="006C2272" w:rsidRDefault="006C2272" w:rsidP="006C2272">
      <w:pPr>
        <w:numPr>
          <w:ilvl w:val="1"/>
          <w:numId w:val="1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вкупна и нето ефикасност на постројката.</w:t>
      </w:r>
    </w:p>
    <w:p w14:paraId="76C7C88A" w14:textId="29D89723" w:rsidR="00554110" w:rsidRPr="006C2272" w:rsidRDefault="006C2272" w:rsidP="006C2272">
      <w:pPr>
        <w:numPr>
          <w:ilvl w:val="1"/>
          <w:numId w:val="3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Анализа на снабдување со гас и дизајн на топловодна мрежа.</w:t>
      </w:r>
    </w:p>
    <w:p w14:paraId="69655B6E" w14:textId="77777777" w:rsidR="00554110" w:rsidRPr="006C2272" w:rsidRDefault="00554110" w:rsidP="00554110">
      <w:pPr>
        <w:numPr>
          <w:ilvl w:val="0"/>
          <w:numId w:val="3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14:ligatures w14:val="none"/>
        </w:rPr>
        <w:t>Енергетски биланс:</w:t>
      </w:r>
    </w:p>
    <w:p w14:paraId="70716A31" w14:textId="77777777" w:rsidR="00554110" w:rsidRPr="006C2272" w:rsidRDefault="00554110" w:rsidP="00554110">
      <w:pPr>
        <w:numPr>
          <w:ilvl w:val="1"/>
          <w:numId w:val="3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произведена електрична енергија.</w:t>
      </w:r>
    </w:p>
    <w:p w14:paraId="4A03D4D5" w14:textId="77777777" w:rsidR="00554110" w:rsidRPr="006C2272" w:rsidRDefault="00554110" w:rsidP="00554110">
      <w:pPr>
        <w:numPr>
          <w:ilvl w:val="1"/>
          <w:numId w:val="32"/>
        </w:num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t>Пресметка на произведена корисна топлинска енергија.</w:t>
      </w:r>
    </w:p>
    <w:p w14:paraId="3D97A9F2" w14:textId="2F0E641A" w:rsidR="00554110" w:rsidRPr="00132FA7" w:rsidRDefault="00554110" w:rsidP="00554110">
      <w:pPr>
        <w:numPr>
          <w:ilvl w:val="0"/>
          <w:numId w:val="32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132FA7">
        <w:rPr>
          <w:rFonts w:ascii="Verdana" w:eastAsia="Times New Roman" w:hAnsi="Verdana" w:cs="Arial"/>
          <w:b/>
          <w:bCs/>
          <w:color w:val="1B1C1D"/>
          <w:kern w:val="0"/>
          <w:sz w:val="22"/>
          <w:szCs w:val="22"/>
          <w:bdr w:val="none" w:sz="0" w:space="0" w:color="auto" w:frame="1"/>
          <w:lang w:val="ru-RU"/>
          <w14:ligatures w14:val="none"/>
        </w:rPr>
        <w:lastRenderedPageBreak/>
        <w:t>Пресметка на вкупна ефикасност:</w:t>
      </w:r>
      <w:r w:rsidRPr="00132FA7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(Произведена струја + Произведена топлина) / Внесена енергија од гориво.</w:t>
      </w:r>
    </w:p>
    <w:p w14:paraId="7E5F7B68" w14:textId="77777777" w:rsidR="00554110" w:rsidRPr="006C2272" w:rsidRDefault="00554110" w:rsidP="00554110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Податоци за агрегатот:</w:t>
      </w:r>
    </w:p>
    <w:p w14:paraId="300E4476" w14:textId="77777777" w:rsidR="00554110" w:rsidRPr="006C2272" w:rsidRDefault="00554110" w:rsidP="0055411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Технологија</w:t>
      </w:r>
    </w:p>
    <w:p w14:paraId="2E652A20" w14:textId="77777777" w:rsidR="00554110" w:rsidRPr="006C2272" w:rsidRDefault="00554110" w:rsidP="00554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Гасни турбини со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HRSG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back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pressure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парна турбина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CCGT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CHP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).</w:t>
      </w:r>
    </w:p>
    <w:p w14:paraId="7A0DDD7F" w14:textId="77777777" w:rsidR="00554110" w:rsidRPr="006C2272" w:rsidRDefault="00554110" w:rsidP="00554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Големи гасни мотори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Reciprocating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Engines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 со котли за топлина.</w:t>
      </w:r>
    </w:p>
    <w:p w14:paraId="00F7431B" w14:textId="77777777" w:rsidR="00554110" w:rsidRPr="006C2272" w:rsidRDefault="00554110" w:rsidP="005541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Микротурбини/мали мотори за локална когенерација.</w:t>
      </w:r>
    </w:p>
    <w:p w14:paraId="28D620ED" w14:textId="77777777" w:rsidR="00554110" w:rsidRPr="006C2272" w:rsidRDefault="00554110" w:rsidP="0055411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Главна опрема</w:t>
      </w:r>
    </w:p>
    <w:p w14:paraId="39B9EDD4" w14:textId="77777777" w:rsidR="00554110" w:rsidRPr="006C2272" w:rsidRDefault="00554110" w:rsidP="00554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Гасна турбина / мотор: моќност, ефикасност, емисии.</w:t>
      </w:r>
    </w:p>
    <w:p w14:paraId="2CE5B92B" w14:textId="77777777" w:rsidR="00554110" w:rsidRPr="006C2272" w:rsidRDefault="00554110" w:rsidP="00554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Генератор: напон,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cos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φ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синхронизација.</w:t>
      </w:r>
    </w:p>
    <w:p w14:paraId="03FD6C02" w14:textId="77777777" w:rsidR="00554110" w:rsidRPr="006C2272" w:rsidRDefault="00554110" w:rsidP="00554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HRSG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или котел за топлина.</w:t>
      </w:r>
    </w:p>
    <w:p w14:paraId="2C2543D9" w14:textId="77777777" w:rsidR="00554110" w:rsidRPr="006C2272" w:rsidRDefault="00554110" w:rsidP="00554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Системи за ладење и враќање на топлина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top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up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котел, ладилници).</w:t>
      </w:r>
    </w:p>
    <w:p w14:paraId="2CA89B5F" w14:textId="77777777" w:rsidR="00554110" w:rsidRPr="006C2272" w:rsidRDefault="00554110" w:rsidP="00554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Трансформатори и приклучок кон мрежа.</w:t>
      </w:r>
    </w:p>
    <w:p w14:paraId="5B5D668C" w14:textId="77777777" w:rsidR="00554110" w:rsidRPr="006C2272" w:rsidRDefault="00554110" w:rsidP="005541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Системи за управување и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SCADA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2933FD4D" w14:textId="77777777" w:rsidR="00554110" w:rsidRPr="006C2272" w:rsidRDefault="00554110" w:rsidP="00554110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b/>
          <w:bCs/>
          <w:kern w:val="0"/>
          <w:sz w:val="22"/>
          <w:szCs w:val="22"/>
          <w14:ligatures w14:val="none"/>
        </w:rPr>
        <w:t>Помошни системи</w:t>
      </w:r>
    </w:p>
    <w:p w14:paraId="4A8930CA" w14:textId="77777777" w:rsidR="00554110" w:rsidRPr="006C2272" w:rsidRDefault="00554110" w:rsidP="00554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Водовод и третман на вода.</w:t>
      </w:r>
    </w:p>
    <w:p w14:paraId="0C21899B" w14:textId="77777777" w:rsidR="00554110" w:rsidRPr="006C2272" w:rsidRDefault="00554110" w:rsidP="005541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Системи за одведување и третман на отпадни гасови и води.</w:t>
      </w:r>
    </w:p>
    <w:p w14:paraId="7DA8B913" w14:textId="77777777" w:rsidR="00554110" w:rsidRPr="006C2272" w:rsidRDefault="00554110" w:rsidP="00554110">
      <w:pPr>
        <w:numPr>
          <w:ilvl w:val="0"/>
          <w:numId w:val="8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Пожарна заштита,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HVAC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цевководи за топлинска енергија.</w:t>
      </w:r>
    </w:p>
    <w:p w14:paraId="4CD10FD4" w14:textId="77777777" w:rsidR="00554110" w:rsidRPr="006C2272" w:rsidRDefault="00554110" w:rsidP="0055411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Генератор(и): напон,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cos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φ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изолациска класа, систем за возбудување.</w:t>
      </w:r>
    </w:p>
    <w:p w14:paraId="0B5910A9" w14:textId="77777777" w:rsidR="00554110" w:rsidRPr="006C2272" w:rsidRDefault="00554110" w:rsidP="0055411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Степ-ап трансформатори, 110–400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kV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приклучок,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GIS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AIS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кабли/линија.</w:t>
      </w:r>
    </w:p>
    <w:p w14:paraId="72E0D24C" w14:textId="77777777" w:rsidR="00554110" w:rsidRPr="006C2272" w:rsidRDefault="00554110" w:rsidP="00554110">
      <w:pPr>
        <w:numPr>
          <w:ilvl w:val="0"/>
          <w:numId w:val="34"/>
        </w:numPr>
        <w:spacing w:before="100" w:beforeAutospacing="1"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Компенз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ција на реактивна моќ,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SVC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STATCOM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(по потреба), хармоници/филтри.</w:t>
      </w:r>
    </w:p>
    <w:p w14:paraId="35F0A293" w14:textId="77777777" w:rsidR="00554110" w:rsidRPr="006C2272" w:rsidRDefault="00554110" w:rsidP="00554110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Заштити, синхронизација, мерење, IEC 61850/SCADA интеграција.</w:t>
      </w:r>
    </w:p>
    <w:p w14:paraId="6B99A9B5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Основен технички концепт</w:t>
      </w:r>
    </w:p>
    <w:p w14:paraId="01106976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Инсталирана моќност и нето производство</w:t>
      </w:r>
    </w:p>
    <w:p w14:paraId="6DAA8C23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Термоефикасност (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η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 на постројката</w:t>
      </w:r>
    </w:p>
    <w:p w14:paraId="42CF045D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Потрошувачка на гас (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kW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/М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Wh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1AE74D83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Технолошки дијаграм на постројката</w:t>
      </w:r>
    </w:p>
    <w:p w14:paraId="36955961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1A92C052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Клучни компоненти на системот</w:t>
      </w:r>
    </w:p>
    <w:p w14:paraId="0AE8DAB7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Систем за примање и подготовка на гас</w:t>
      </w:r>
    </w:p>
    <w:p w14:paraId="221B588D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Гасна турбина/мотор</w:t>
      </w:r>
    </w:p>
    <w:p w14:paraId="0E20EA4C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Топло разменувач/котел за отпадна топлина (за 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CCGT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1FC92D9E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Парна турбина и генератор (за 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CCGT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03E7CF3C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Систем за издувни гасови</w:t>
      </w:r>
    </w:p>
    <w:p w14:paraId="6F05D330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Систем за ладење</w:t>
      </w:r>
    </w:p>
    <w:p w14:paraId="4D83C096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Трансформаторска постројка</w:t>
      </w:r>
    </w:p>
    <w:p w14:paraId="1961B27B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b/>
          <w:bCs/>
          <w:kern w:val="0"/>
          <w:sz w:val="22"/>
          <w:szCs w:val="22"/>
          <w:lang w:val="ru-RU" w:eastAsia="sr-Latn-CS"/>
          <w14:ligatures w14:val="none"/>
        </w:rPr>
        <w:t>Инфраструктурни барања</w:t>
      </w:r>
    </w:p>
    <w:p w14:paraId="5408D97F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lastRenderedPageBreak/>
        <w:t>Приклучок на гасоводот (пристап, притисок, капацитет)</w:t>
      </w:r>
    </w:p>
    <w:p w14:paraId="728CBB8B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Приклучок на електропреносниот систем</w:t>
      </w:r>
    </w:p>
    <w:p w14:paraId="1C03BE9B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Водоснабдување за ладење и процесни потреби</w:t>
      </w:r>
    </w:p>
    <w:p w14:paraId="56B40491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Патишта и сообраќајна инфраструктура</w:t>
      </w:r>
    </w:p>
    <w:p w14:paraId="53201AB9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</w:p>
    <w:p w14:paraId="11AE0234" w14:textId="77777777" w:rsidR="00554110" w:rsidRPr="006C2272" w:rsidRDefault="00554110" w:rsidP="00554110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b/>
          <w:bCs/>
          <w:kern w:val="0"/>
          <w:sz w:val="22"/>
          <w:szCs w:val="22"/>
          <w:lang w:val="mk-MK" w:eastAsia="sr-Latn-CS"/>
          <w14:ligatures w14:val="none"/>
        </w:rPr>
        <w:t>Естимација на производство на енергија</w:t>
      </w:r>
    </w:p>
    <w:p w14:paraId="5B9733F2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енергетскиот систем и пазарен контекст</w:t>
      </w:r>
    </w:p>
    <w:p w14:paraId="52B0A773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Улога на гасните електрани во енергетскиот микс (базичен/полубазен/пиков оптоварувач)</w:t>
      </w:r>
    </w:p>
    <w:p w14:paraId="5E14CD21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пазарот на природен гас (снабдување, цени, договори)</w:t>
      </w:r>
    </w:p>
    <w:p w14:paraId="5F0E4979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Анализа на пазарот на електрична енергија (цени, прогнози)</w:t>
      </w:r>
    </w:p>
    <w:p w14:paraId="422582AB" w14:textId="77777777" w:rsidR="00554110" w:rsidRPr="006C2272" w:rsidRDefault="00554110" w:rsidP="005541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Нето моќност и ефикасност при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ISO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и </w:t>
      </w:r>
      <w:r w:rsidRPr="006C2272">
        <w:rPr>
          <w:rFonts w:ascii="Verdana" w:eastAsia="Times New Roman" w:hAnsi="Verdana" w:cs="Times New Roman"/>
          <w:b/>
          <w:bCs/>
          <w:kern w:val="0"/>
          <w:sz w:val="22"/>
          <w:szCs w:val="22"/>
          <w:lang w:val="ru-RU"/>
          <w14:ligatures w14:val="none"/>
        </w:rPr>
        <w:t>локални услови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(темп./влажност/надм. височина).</w:t>
      </w:r>
    </w:p>
    <w:p w14:paraId="3412C08D" w14:textId="77777777" w:rsidR="00554110" w:rsidRPr="006C2272" w:rsidRDefault="00554110" w:rsidP="005541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Корекциски криви и делумно оптоварување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part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load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),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ramp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rate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минимален стабилен товар.</w:t>
      </w:r>
    </w:p>
    <w:p w14:paraId="4E71A050" w14:textId="77777777" w:rsidR="00554110" w:rsidRPr="006C2272" w:rsidRDefault="00554110" w:rsidP="005541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Старт/стоп профили: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cold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warm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hot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, гориво и амортизација по старт.</w:t>
      </w:r>
    </w:p>
    <w:p w14:paraId="781FF4A7" w14:textId="77777777" w:rsidR="00554110" w:rsidRPr="006C2272" w:rsidRDefault="00554110" w:rsidP="005541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Годишна нето енергија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MWh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 и фактор на искористување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CF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 по сценарија.</w:t>
      </w:r>
    </w:p>
    <w:p w14:paraId="7CF99177" w14:textId="77777777" w:rsidR="00554110" w:rsidRPr="006C2272" w:rsidRDefault="00554110" w:rsidP="005541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Деградација и периодични ревитализации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water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wash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HGP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CI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MI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циклуси).</w:t>
      </w:r>
    </w:p>
    <w:p w14:paraId="0D4E8A87" w14:textId="77777777" w:rsidR="00554110" w:rsidRPr="006C2272" w:rsidRDefault="00554110" w:rsidP="00554110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CHP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корисност: топлинска продукција, сезонски биланс.</w:t>
      </w:r>
    </w:p>
    <w:p w14:paraId="1925201B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Услуги на мрежа: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FCR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aFRR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mFRR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капацитетни аукции,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black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(ако е релевантно).</w:t>
      </w:r>
    </w:p>
    <w:p w14:paraId="404D7517" w14:textId="77777777" w:rsidR="00554110" w:rsidRPr="006C2272" w:rsidRDefault="00554110" w:rsidP="00554110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Потреба од флексибилни капацитети во системот</w:t>
      </w:r>
    </w:p>
    <w:p w14:paraId="7691BF8E" w14:textId="77777777" w:rsidR="00554110" w:rsidRPr="006C2272" w:rsidRDefault="00554110" w:rsidP="00554110">
      <w:pPr>
        <w:numPr>
          <w:ilvl w:val="0"/>
          <w:numId w:val="3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Aptos" w:hAnsi="Verdana" w:cs="Times New Roman"/>
          <w:sz w:val="22"/>
          <w:szCs w:val="22"/>
          <w:lang w:val="mk-MK"/>
        </w:rPr>
        <w:t>Технички опис на планираниот систем за приклучување на соодветната електро – енергетска мрежа, трансформаторските станици, вклучувајќи ги и среднонапонските трансформаторските станици (ХХ/</w:t>
      </w:r>
      <w:r w:rsidRPr="006C2272">
        <w:rPr>
          <w:rFonts w:ascii="Verdana" w:eastAsia="Aptos" w:hAnsi="Verdana" w:cs="Times New Roman"/>
          <w:sz w:val="22"/>
          <w:szCs w:val="22"/>
          <w:lang w:val="ru-RU"/>
        </w:rPr>
        <w:t xml:space="preserve">20 </w:t>
      </w:r>
      <w:r w:rsidRPr="006C2272">
        <w:rPr>
          <w:rFonts w:ascii="Verdana" w:eastAsia="Aptos" w:hAnsi="Verdana" w:cs="Times New Roman"/>
          <w:sz w:val="22"/>
          <w:szCs w:val="22"/>
          <w:lang w:val="mk-MK"/>
        </w:rPr>
        <w:t xml:space="preserve">или ХХ/35 </w:t>
      </w:r>
      <w:r w:rsidRPr="006C2272">
        <w:rPr>
          <w:rFonts w:ascii="Verdana" w:eastAsia="Aptos" w:hAnsi="Verdana" w:cs="Times New Roman"/>
          <w:sz w:val="22"/>
          <w:szCs w:val="22"/>
        </w:rPr>
        <w:t>kV</w:t>
      </w:r>
      <w:r w:rsidRPr="006C2272">
        <w:rPr>
          <w:rFonts w:ascii="Verdana" w:eastAsia="Aptos" w:hAnsi="Verdana" w:cs="Times New Roman"/>
          <w:sz w:val="22"/>
          <w:szCs w:val="22"/>
          <w:lang w:val="ru-RU"/>
        </w:rPr>
        <w:t xml:space="preserve">) </w:t>
      </w:r>
      <w:r w:rsidRPr="006C2272">
        <w:rPr>
          <w:rFonts w:ascii="Verdana" w:eastAsia="Aptos" w:hAnsi="Verdana" w:cs="Times New Roman"/>
          <w:sz w:val="22"/>
          <w:szCs w:val="22"/>
          <w:lang w:val="mk-MK"/>
        </w:rPr>
        <w:t xml:space="preserve">како и (во зависност од инсталираната моќност на електроенергетскиот објект) високонапонските трансфрматорски станици 20/110 </w:t>
      </w:r>
      <w:bookmarkStart w:id="0" w:name="_Hlk203339129"/>
      <w:r w:rsidRPr="006C2272">
        <w:rPr>
          <w:rFonts w:ascii="Verdana" w:eastAsia="Aptos" w:hAnsi="Verdana" w:cs="Times New Roman"/>
          <w:sz w:val="22"/>
          <w:szCs w:val="22"/>
        </w:rPr>
        <w:t>kV</w:t>
      </w:r>
      <w:bookmarkEnd w:id="0"/>
      <w:r w:rsidRPr="006C2272">
        <w:rPr>
          <w:rFonts w:ascii="Verdana" w:eastAsia="Aptos" w:hAnsi="Verdana" w:cs="Times New Roman"/>
          <w:sz w:val="22"/>
          <w:szCs w:val="22"/>
          <w:lang w:val="mk-MK"/>
        </w:rPr>
        <w:t xml:space="preserve">, 35/110 </w:t>
      </w:r>
      <w:r w:rsidRPr="006C2272">
        <w:rPr>
          <w:rFonts w:ascii="Verdana" w:eastAsia="Aptos" w:hAnsi="Verdana" w:cs="Times New Roman"/>
          <w:sz w:val="22"/>
          <w:szCs w:val="22"/>
        </w:rPr>
        <w:t>kV</w:t>
      </w:r>
      <w:r w:rsidRPr="006C2272">
        <w:rPr>
          <w:rFonts w:ascii="Verdana" w:eastAsia="Aptos" w:hAnsi="Verdana" w:cs="Times New Roman"/>
          <w:sz w:val="22"/>
          <w:szCs w:val="22"/>
          <w:lang w:val="mk-MK"/>
        </w:rPr>
        <w:t xml:space="preserve">, 110/400 </w:t>
      </w:r>
      <w:r w:rsidRPr="006C2272">
        <w:rPr>
          <w:rFonts w:ascii="Verdana" w:eastAsia="Aptos" w:hAnsi="Verdana" w:cs="Times New Roman"/>
          <w:sz w:val="22"/>
          <w:szCs w:val="22"/>
        </w:rPr>
        <w:t>kV</w:t>
      </w:r>
      <w:r w:rsidRPr="006C2272">
        <w:rPr>
          <w:rFonts w:ascii="Verdana" w:eastAsia="Aptos" w:hAnsi="Verdana" w:cs="Times New Roman"/>
          <w:sz w:val="22"/>
          <w:szCs w:val="22"/>
          <w:lang w:val="mk-MK"/>
        </w:rPr>
        <w:t xml:space="preserve">, 20/110/400 </w:t>
      </w:r>
      <w:r w:rsidRPr="006C2272">
        <w:rPr>
          <w:rFonts w:ascii="Verdana" w:eastAsia="Aptos" w:hAnsi="Verdana" w:cs="Times New Roman"/>
          <w:sz w:val="22"/>
          <w:szCs w:val="22"/>
        </w:rPr>
        <w:t>kV</w:t>
      </w:r>
      <w:r w:rsidRPr="006C2272">
        <w:rPr>
          <w:rFonts w:ascii="Verdana" w:eastAsia="Aptos" w:hAnsi="Verdana" w:cs="Times New Roman"/>
          <w:sz w:val="22"/>
          <w:szCs w:val="22"/>
          <w:lang w:val="mk-MK"/>
        </w:rPr>
        <w:t xml:space="preserve">, 35/110/400 </w:t>
      </w:r>
      <w:r w:rsidRPr="006C2272">
        <w:rPr>
          <w:rFonts w:ascii="Verdana" w:eastAsia="Aptos" w:hAnsi="Verdana" w:cs="Times New Roman"/>
          <w:sz w:val="22"/>
          <w:szCs w:val="22"/>
        </w:rPr>
        <w:t>kV</w:t>
      </w:r>
      <w:r w:rsidRPr="006C2272">
        <w:rPr>
          <w:rFonts w:ascii="Verdana" w:eastAsia="Aptos" w:hAnsi="Verdana" w:cs="Times New Roman"/>
          <w:sz w:val="22"/>
          <w:szCs w:val="22"/>
          <w:lang w:val="mk-MK"/>
        </w:rPr>
        <w:t>, основни карактеристики на предвидената опрема.</w:t>
      </w:r>
    </w:p>
    <w:p w14:paraId="506EA05F" w14:textId="77777777" w:rsidR="00554110" w:rsidRPr="006C2272" w:rsidRDefault="00554110" w:rsidP="00554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Електрично производство (MWh/година).</w:t>
      </w:r>
    </w:p>
    <w:p w14:paraId="3F0B4B08" w14:textId="77777777" w:rsidR="00554110" w:rsidRPr="006C2272" w:rsidRDefault="00554110" w:rsidP="00554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Топлинско производство (MWh</w:t>
      </w:r>
      <w:r w:rsidRPr="006C2272">
        <w:rPr>
          <w:rFonts w:ascii="Cambria Math" w:eastAsia="Times New Roman" w:hAnsi="Cambria Math" w:cs="Cambria Math"/>
          <w:kern w:val="0"/>
          <w:sz w:val="22"/>
          <w:szCs w:val="22"/>
          <w14:ligatures w14:val="none"/>
        </w:rPr>
        <w:t>ₜ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/</w:t>
      </w:r>
      <w:r w:rsidRPr="006C2272">
        <w:rPr>
          <w:rFonts w:ascii="Verdana" w:eastAsia="Times New Roman" w:hAnsi="Verdana" w:cs="Verdana"/>
          <w:kern w:val="0"/>
          <w:sz w:val="22"/>
          <w:szCs w:val="22"/>
          <w14:ligatures w14:val="none"/>
        </w:rPr>
        <w:t>година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).</w:t>
      </w:r>
    </w:p>
    <w:p w14:paraId="2F4A48AD" w14:textId="77777777" w:rsidR="00554110" w:rsidRPr="006C2272" w:rsidRDefault="00554110" w:rsidP="00554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Вкупна искористеност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ηtot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=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Ee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+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Eh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Fuel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4FD2D55C" w14:textId="77777777" w:rsidR="00554110" w:rsidRPr="006C2272" w:rsidRDefault="00554110" w:rsidP="00554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Ефективен електричен и топлински коефициент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power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to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heat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ratio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).</w:t>
      </w:r>
    </w:p>
    <w:p w14:paraId="66501352" w14:textId="77777777" w:rsidR="00554110" w:rsidRPr="006C2272" w:rsidRDefault="00554110" w:rsidP="0055411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Сезонска и дневна динамика (профили на оптоварување).</w:t>
      </w:r>
    </w:p>
    <w:p w14:paraId="29021605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Баланс со топлинска мрежа (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demand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vs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.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supply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).</w:t>
      </w:r>
    </w:p>
    <w:p w14:paraId="50138080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Избор на агрегат и технологија</w:t>
      </w:r>
    </w:p>
    <w:p w14:paraId="1735A1AB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Комбиниран циклус (CCGT - Combined Cycle Gas Turbine)</w:t>
      </w:r>
    </w:p>
    <w:p w14:paraId="7F87D790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Гасна турбина (OCGT - Open Cycle Gas Turbine)</w:t>
      </w:r>
    </w:p>
    <w:p w14:paraId="1965A33B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Гасен мотор (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Gas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 xml:space="preserve"> 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eastAsia="sr-Latn-CS"/>
          <w14:ligatures w14:val="none"/>
        </w:rPr>
        <w:t>Engine</w:t>
      </w: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)</w:t>
      </w:r>
    </w:p>
    <w:p w14:paraId="6B33C1E8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Споредба на технологиите (ефикасност, трошоци, флексибилност)</w:t>
      </w:r>
    </w:p>
    <w:p w14:paraId="3BA2D951" w14:textId="77777777" w:rsidR="00554110" w:rsidRPr="006C2272" w:rsidRDefault="00554110" w:rsidP="0055411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lastRenderedPageBreak/>
        <w:t>Гасна турбина(и): класа, ном. моќност, DLN/DF фламe-системи, емисии, start-profile.</w:t>
      </w:r>
    </w:p>
    <w:p w14:paraId="7177D1F6" w14:textId="77777777" w:rsidR="00554110" w:rsidRPr="006C2272" w:rsidRDefault="00554110" w:rsidP="0055411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>HRSG: број на нивоа на притисок, bypass, duct firing, материјали, blowdown.</w:t>
      </w:r>
    </w:p>
    <w:p w14:paraId="1CBECCE5" w14:textId="77777777" w:rsidR="00554110" w:rsidRPr="006C2272" w:rsidRDefault="00554110" w:rsidP="0055411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mk-MK"/>
          <w14:ligatures w14:val="none"/>
        </w:rPr>
        <w:t>Парна турбина: кондензациона/back-pressure, репрехејт, вакуум, екстракции.</w:t>
      </w:r>
    </w:p>
    <w:p w14:paraId="5EC730DA" w14:textId="77777777" w:rsidR="00554110" w:rsidRPr="006C2272" w:rsidRDefault="00554110" w:rsidP="00554110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Систем за ладење: мокар ладилник/сув/хибриден; потрошувачка на вода и електрична моќност на пумпи/вентилатори.</w:t>
      </w:r>
    </w:p>
    <w:p w14:paraId="1AA9F5DC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Помошни системи: комресори за воздух, горивни системи, пож. заштита,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HVAC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DCS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/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SCADA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 xml:space="preserve">, кранови, дизел/батериски 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black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-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14:ligatures w14:val="none"/>
        </w:rPr>
        <w:t>start</w:t>
      </w:r>
      <w:r w:rsidRPr="006C2272">
        <w:rPr>
          <w:rFonts w:ascii="Verdana" w:eastAsia="Times New Roman" w:hAnsi="Verdana" w:cs="Times New Roman"/>
          <w:kern w:val="0"/>
          <w:sz w:val="22"/>
          <w:szCs w:val="22"/>
          <w:lang w:val="ru-RU"/>
          <w14:ligatures w14:val="none"/>
        </w:rPr>
        <w:t>.</w:t>
      </w:r>
    </w:p>
    <w:p w14:paraId="0549CA86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p w14:paraId="7AEB22BC" w14:textId="77777777" w:rsidR="00554110" w:rsidRPr="006C2272" w:rsidRDefault="00554110" w:rsidP="00554110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Економска евалуација на проектот</w:t>
      </w:r>
    </w:p>
    <w:p w14:paraId="29A07F02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Економската одржливост зависи од синергијата на приходите од двата производи.</w:t>
      </w:r>
    </w:p>
    <w:p w14:paraId="0D353B2F" w14:textId="77777777" w:rsidR="00554110" w:rsidRPr="006C2272" w:rsidRDefault="00554110" w:rsidP="00554110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Инвестициски трошоци (CAPEX):</w:t>
      </w:r>
    </w:p>
    <w:p w14:paraId="4E2C2A2D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Трошоци за главна когенеративна опрема.</w:t>
      </w:r>
    </w:p>
    <w:p w14:paraId="0F5AF1B8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Трошоци за изградба на топловодна мрежа и приклучоци.</w:t>
      </w:r>
    </w:p>
    <w:p w14:paraId="2EF7CC81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Трошоци за приклучен гасовод и приклучок на електропреносна мрежа.</w:t>
      </w:r>
    </w:p>
    <w:p w14:paraId="736D2E3A" w14:textId="77777777" w:rsidR="00554110" w:rsidRPr="006C2272" w:rsidRDefault="00554110" w:rsidP="00554110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Оперативни трошоци (OPEX):</w:t>
      </w:r>
    </w:p>
    <w:p w14:paraId="3E935E35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Варијабилни трошоци: Трошоци за природен гас и за CO2 емисии.</w:t>
      </w:r>
    </w:p>
    <w:p w14:paraId="3691E9E7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Фиксни трошоци: Одржување, персонал, осигурување.</w:t>
      </w:r>
    </w:p>
    <w:p w14:paraId="16C703CF" w14:textId="77777777" w:rsidR="00554110" w:rsidRPr="006C2272" w:rsidRDefault="00554110" w:rsidP="00554110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Проекција на приходи (Двојна структура на приходи):</w:t>
      </w:r>
    </w:p>
    <w:p w14:paraId="6BE9DB36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Приходи од продажба на електрична енергија: На пазарот на големо, или преку билатерални договори.</w:t>
      </w:r>
    </w:p>
    <w:p w14:paraId="058B9D9B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Приходи од продажба на топлинска енергија:</w:t>
      </w:r>
    </w:p>
    <w:p w14:paraId="582A07DE" w14:textId="77777777" w:rsidR="00554110" w:rsidRPr="006C2272" w:rsidRDefault="00554110" w:rsidP="00554110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Проценка на цената на топлината (€/MWh</w:t>
      </w:r>
      <w:r w:rsidRPr="006C2272">
        <w:rPr>
          <w:rFonts w:ascii="Cambria Math" w:eastAsia="Times New Roman" w:hAnsi="Cambria Math" w:cs="Cambria Math"/>
          <w:color w:val="1B1C1D"/>
          <w:kern w:val="0"/>
          <w:sz w:val="22"/>
          <w:szCs w:val="22"/>
          <w:lang w:val="ru-RU"/>
          <w14:ligatures w14:val="none"/>
        </w:rPr>
        <w:t>ₜₕ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)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и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нејзината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конкурентност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во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однос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на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алтернативните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извори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на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 xml:space="preserve"> </w:t>
      </w:r>
      <w:r w:rsidRPr="006C2272">
        <w:rPr>
          <w:rFonts w:ascii="Verdana" w:eastAsia="Times New Roman" w:hAnsi="Verdana" w:cs="Verdana"/>
          <w:color w:val="1B1C1D"/>
          <w:kern w:val="0"/>
          <w:sz w:val="22"/>
          <w:szCs w:val="22"/>
          <w:lang w:val="ru-RU"/>
          <w14:ligatures w14:val="none"/>
        </w:rPr>
        <w:t>греење</w:t>
      </w: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.</w:t>
      </w:r>
    </w:p>
    <w:p w14:paraId="5F7CB134" w14:textId="77777777" w:rsidR="00554110" w:rsidRPr="006C2272" w:rsidRDefault="00554110" w:rsidP="00554110">
      <w:pPr>
        <w:numPr>
          <w:ilvl w:val="1"/>
          <w:numId w:val="1"/>
        </w:numPr>
        <w:spacing w:after="80" w:line="240" w:lineRule="auto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Финансиска евалуација:</w:t>
      </w:r>
    </w:p>
    <w:p w14:paraId="4DA704C3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Анализа на готовински текови: Земајќи ја предвид сезонската варијабилност на приходите од топлина.</w:t>
      </w:r>
    </w:p>
    <w:p w14:paraId="1B6E83C2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НСВ, ИСП, период на поврат.</w:t>
      </w:r>
    </w:p>
    <w:p w14:paraId="79C177EC" w14:textId="77777777" w:rsidR="00554110" w:rsidRPr="006C2272" w:rsidRDefault="00554110" w:rsidP="00554110">
      <w:pPr>
        <w:spacing w:after="80" w:line="240" w:lineRule="auto"/>
        <w:ind w:left="720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  <w:t>Анализа на чувствителност: Тестирање на влијанието од промените на цената на гасот, цената на CO2, и цената/побарувачката на топлинска енергија.</w:t>
      </w:r>
    </w:p>
    <w:p w14:paraId="0E229FC2" w14:textId="77777777" w:rsidR="00554110" w:rsidRPr="006C2272" w:rsidRDefault="00554110" w:rsidP="00554110">
      <w:pPr>
        <w:numPr>
          <w:ilvl w:val="0"/>
          <w:numId w:val="1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Заклучок:</w:t>
      </w:r>
    </w:p>
    <w:p w14:paraId="6157953D" w14:textId="77777777" w:rsidR="00554110" w:rsidRPr="006C2272" w:rsidRDefault="00554110" w:rsidP="00554110">
      <w:pPr>
        <w:numPr>
          <w:ilvl w:val="0"/>
          <w:numId w:val="4"/>
        </w:num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Техно-економски карактеристики на ГЕЦ.</w:t>
      </w:r>
    </w:p>
    <w:p w14:paraId="7805351A" w14:textId="77777777" w:rsidR="00554110" w:rsidRPr="006C2272" w:rsidRDefault="00554110" w:rsidP="00554110">
      <w:pPr>
        <w:numPr>
          <w:ilvl w:val="0"/>
          <w:numId w:val="4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mk-MK" w:eastAsia="sr-Latn-CS"/>
          <w14:ligatures w14:val="none"/>
        </w:rPr>
        <w:t>Понатамошни чекори за развој на проектот.</w:t>
      </w:r>
    </w:p>
    <w:p w14:paraId="7AD30E84" w14:textId="77777777" w:rsidR="00554110" w:rsidRPr="006C2272" w:rsidRDefault="00554110" w:rsidP="00554110">
      <w:pPr>
        <w:spacing w:after="0" w:line="240" w:lineRule="auto"/>
        <w:rPr>
          <w:rFonts w:ascii="Verdana" w:eastAsia="Times New Roman" w:hAnsi="Verdana" w:cs="Arial"/>
          <w:color w:val="1B1C1D"/>
          <w:kern w:val="0"/>
          <w:sz w:val="22"/>
          <w:szCs w:val="22"/>
          <w:lang w:val="ru-RU"/>
          <w14:ligatures w14:val="none"/>
        </w:rPr>
      </w:pPr>
    </w:p>
    <w:p w14:paraId="0DE0E9B3" w14:textId="77777777" w:rsidR="00554110" w:rsidRPr="006C2272" w:rsidRDefault="00554110" w:rsidP="00554110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Прилози:</w:t>
      </w:r>
    </w:p>
    <w:p w14:paraId="1F328D05" w14:textId="0872225E" w:rsidR="00D7209F" w:rsidRPr="006C2272" w:rsidRDefault="00554110" w:rsidP="00554110">
      <w:pPr>
        <w:numPr>
          <w:ilvl w:val="0"/>
          <w:numId w:val="4"/>
        </w:numPr>
        <w:spacing w:after="80" w:line="240" w:lineRule="auto"/>
        <w:jc w:val="both"/>
        <w:rPr>
          <w:rFonts w:ascii="Verdana" w:hAnsi="Verdana"/>
          <w:sz w:val="22"/>
          <w:szCs w:val="22"/>
          <w:lang w:val="ru-RU"/>
        </w:rPr>
      </w:pPr>
      <w:r w:rsidRPr="006C2272"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  <w:t>Технички дијаграми и цртежи</w:t>
      </w:r>
    </w:p>
    <w:p w14:paraId="7441B37A" w14:textId="77777777" w:rsidR="004C4C35" w:rsidRPr="006C2272" w:rsidRDefault="004C4C35" w:rsidP="00CA24DE">
      <w:pPr>
        <w:spacing w:after="80" w:line="240" w:lineRule="auto"/>
        <w:jc w:val="both"/>
        <w:rPr>
          <w:rFonts w:ascii="Verdana" w:eastAsia="Times New Roman" w:hAnsi="Verdana" w:cs="Tahoma"/>
          <w:kern w:val="0"/>
          <w:sz w:val="22"/>
          <w:szCs w:val="22"/>
          <w:lang w:val="ru-RU" w:eastAsia="sr-Latn-CS"/>
          <w14:ligatures w14:val="none"/>
        </w:rPr>
      </w:pPr>
    </w:p>
    <w:sectPr w:rsidR="004C4C35" w:rsidRPr="006C2272" w:rsidSect="0047184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131"/>
    <w:multiLevelType w:val="hybridMultilevel"/>
    <w:tmpl w:val="BACEF7AA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53742C0"/>
    <w:multiLevelType w:val="multilevel"/>
    <w:tmpl w:val="24EE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0D5D"/>
    <w:multiLevelType w:val="multilevel"/>
    <w:tmpl w:val="BFA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9529D"/>
    <w:multiLevelType w:val="multilevel"/>
    <w:tmpl w:val="3592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2EBB"/>
    <w:multiLevelType w:val="multilevel"/>
    <w:tmpl w:val="0852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F0235"/>
    <w:multiLevelType w:val="multilevel"/>
    <w:tmpl w:val="B19E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D6F75"/>
    <w:multiLevelType w:val="multilevel"/>
    <w:tmpl w:val="4896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D2655"/>
    <w:multiLevelType w:val="multilevel"/>
    <w:tmpl w:val="9F12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C30F6"/>
    <w:multiLevelType w:val="multilevel"/>
    <w:tmpl w:val="224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496C3C"/>
    <w:multiLevelType w:val="multilevel"/>
    <w:tmpl w:val="03C2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12ADA"/>
    <w:multiLevelType w:val="multilevel"/>
    <w:tmpl w:val="4B14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E29E3"/>
    <w:multiLevelType w:val="multilevel"/>
    <w:tmpl w:val="3E12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F3551"/>
    <w:multiLevelType w:val="multilevel"/>
    <w:tmpl w:val="322A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802B2"/>
    <w:multiLevelType w:val="multilevel"/>
    <w:tmpl w:val="0D2E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1742BD"/>
    <w:multiLevelType w:val="multilevel"/>
    <w:tmpl w:val="3510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937D7"/>
    <w:multiLevelType w:val="multilevel"/>
    <w:tmpl w:val="F610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400A9E"/>
    <w:multiLevelType w:val="multilevel"/>
    <w:tmpl w:val="14E4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55369"/>
    <w:multiLevelType w:val="multilevel"/>
    <w:tmpl w:val="6E50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0C1B03"/>
    <w:multiLevelType w:val="multilevel"/>
    <w:tmpl w:val="D5E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284B3D"/>
    <w:multiLevelType w:val="multilevel"/>
    <w:tmpl w:val="52C2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2974C6"/>
    <w:multiLevelType w:val="multilevel"/>
    <w:tmpl w:val="1E20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C3B2B"/>
    <w:multiLevelType w:val="hybridMultilevel"/>
    <w:tmpl w:val="C0DEB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1C2992"/>
    <w:multiLevelType w:val="multilevel"/>
    <w:tmpl w:val="1B54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2A0776"/>
    <w:multiLevelType w:val="hybridMultilevel"/>
    <w:tmpl w:val="6D48C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9B5DD7"/>
    <w:multiLevelType w:val="multilevel"/>
    <w:tmpl w:val="751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8904B9"/>
    <w:multiLevelType w:val="multilevel"/>
    <w:tmpl w:val="A9D0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613B25"/>
    <w:multiLevelType w:val="multilevel"/>
    <w:tmpl w:val="8A8E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35077"/>
    <w:multiLevelType w:val="multilevel"/>
    <w:tmpl w:val="59D0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BA6365"/>
    <w:multiLevelType w:val="multilevel"/>
    <w:tmpl w:val="C56C3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B75CE9"/>
    <w:multiLevelType w:val="multilevel"/>
    <w:tmpl w:val="6072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311790"/>
    <w:multiLevelType w:val="multilevel"/>
    <w:tmpl w:val="4570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E60581"/>
    <w:multiLevelType w:val="multilevel"/>
    <w:tmpl w:val="AE76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038D3"/>
    <w:multiLevelType w:val="multilevel"/>
    <w:tmpl w:val="5E76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3564C7"/>
    <w:multiLevelType w:val="multilevel"/>
    <w:tmpl w:val="CDCC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F10245"/>
    <w:multiLevelType w:val="hybridMultilevel"/>
    <w:tmpl w:val="0C1CD614"/>
    <w:lvl w:ilvl="0" w:tplc="E4E6E6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tabs>
          <w:tab w:val="num" w:pos="2174"/>
        </w:tabs>
        <w:ind w:left="2174" w:hanging="284"/>
      </w:pPr>
      <w:rPr>
        <w:rFonts w:ascii="Courier New" w:hAnsi="Courier New" w:hint="default"/>
        <w:lang w:val="en-GB"/>
      </w:rPr>
    </w:lvl>
    <w:lvl w:ilvl="3" w:tplc="FFFFFFFF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682858336">
    <w:abstractNumId w:val="23"/>
  </w:num>
  <w:num w:numId="2" w16cid:durableId="570429773">
    <w:abstractNumId w:val="21"/>
  </w:num>
  <w:num w:numId="3" w16cid:durableId="2109081542">
    <w:abstractNumId w:val="0"/>
  </w:num>
  <w:num w:numId="4" w16cid:durableId="1314069535">
    <w:abstractNumId w:val="34"/>
  </w:num>
  <w:num w:numId="5" w16cid:durableId="1234048166">
    <w:abstractNumId w:val="17"/>
  </w:num>
  <w:num w:numId="6" w16cid:durableId="952443191">
    <w:abstractNumId w:val="3"/>
  </w:num>
  <w:num w:numId="7" w16cid:durableId="1316960016">
    <w:abstractNumId w:val="33"/>
  </w:num>
  <w:num w:numId="8" w16cid:durableId="1813669015">
    <w:abstractNumId w:val="5"/>
  </w:num>
  <w:num w:numId="9" w16cid:durableId="544634191">
    <w:abstractNumId w:val="19"/>
  </w:num>
  <w:num w:numId="10" w16cid:durableId="2014528687">
    <w:abstractNumId w:val="11"/>
  </w:num>
  <w:num w:numId="11" w16cid:durableId="627588912">
    <w:abstractNumId w:val="16"/>
  </w:num>
  <w:num w:numId="12" w16cid:durableId="1590191259">
    <w:abstractNumId w:val="24"/>
  </w:num>
  <w:num w:numId="13" w16cid:durableId="844049349">
    <w:abstractNumId w:val="25"/>
  </w:num>
  <w:num w:numId="14" w16cid:durableId="83571190">
    <w:abstractNumId w:val="30"/>
  </w:num>
  <w:num w:numId="15" w16cid:durableId="34160556">
    <w:abstractNumId w:val="28"/>
  </w:num>
  <w:num w:numId="16" w16cid:durableId="1986425366">
    <w:abstractNumId w:val="27"/>
  </w:num>
  <w:num w:numId="17" w16cid:durableId="1805194648">
    <w:abstractNumId w:val="31"/>
  </w:num>
  <w:num w:numId="18" w16cid:durableId="233513950">
    <w:abstractNumId w:val="10"/>
  </w:num>
  <w:num w:numId="19" w16cid:durableId="1559976188">
    <w:abstractNumId w:val="18"/>
  </w:num>
  <w:num w:numId="20" w16cid:durableId="1524396031">
    <w:abstractNumId w:val="6"/>
  </w:num>
  <w:num w:numId="21" w16cid:durableId="1043138268">
    <w:abstractNumId w:val="22"/>
  </w:num>
  <w:num w:numId="22" w16cid:durableId="1627856604">
    <w:abstractNumId w:val="20"/>
  </w:num>
  <w:num w:numId="23" w16cid:durableId="169150413">
    <w:abstractNumId w:val="13"/>
  </w:num>
  <w:num w:numId="24" w16cid:durableId="1110128179">
    <w:abstractNumId w:val="26"/>
  </w:num>
  <w:num w:numId="25" w16cid:durableId="1208833777">
    <w:abstractNumId w:val="1"/>
  </w:num>
  <w:num w:numId="26" w16cid:durableId="999114353">
    <w:abstractNumId w:val="14"/>
  </w:num>
  <w:num w:numId="27" w16cid:durableId="540288125">
    <w:abstractNumId w:val="12"/>
  </w:num>
  <w:num w:numId="28" w16cid:durableId="1407649037">
    <w:abstractNumId w:val="2"/>
  </w:num>
  <w:num w:numId="29" w16cid:durableId="1775586562">
    <w:abstractNumId w:val="29"/>
  </w:num>
  <w:num w:numId="30" w16cid:durableId="318000939">
    <w:abstractNumId w:val="7"/>
  </w:num>
  <w:num w:numId="31" w16cid:durableId="1414546872">
    <w:abstractNumId w:val="32"/>
  </w:num>
  <w:num w:numId="32" w16cid:durableId="814641490">
    <w:abstractNumId w:val="4"/>
  </w:num>
  <w:num w:numId="33" w16cid:durableId="1981692785">
    <w:abstractNumId w:val="15"/>
  </w:num>
  <w:num w:numId="34" w16cid:durableId="1287858786">
    <w:abstractNumId w:val="9"/>
  </w:num>
  <w:num w:numId="35" w16cid:durableId="1279525574">
    <w:abstractNumId w:va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D7"/>
    <w:rsid w:val="00006C5A"/>
    <w:rsid w:val="00051D82"/>
    <w:rsid w:val="00063E4D"/>
    <w:rsid w:val="00077ECC"/>
    <w:rsid w:val="000C42D0"/>
    <w:rsid w:val="0011315F"/>
    <w:rsid w:val="001171A1"/>
    <w:rsid w:val="00132FA7"/>
    <w:rsid w:val="001E31A1"/>
    <w:rsid w:val="0024090B"/>
    <w:rsid w:val="002763AD"/>
    <w:rsid w:val="002C4305"/>
    <w:rsid w:val="00315961"/>
    <w:rsid w:val="00351FFA"/>
    <w:rsid w:val="00392610"/>
    <w:rsid w:val="00427F42"/>
    <w:rsid w:val="00440C95"/>
    <w:rsid w:val="00444406"/>
    <w:rsid w:val="00471847"/>
    <w:rsid w:val="00471C4C"/>
    <w:rsid w:val="004B4989"/>
    <w:rsid w:val="004C4C35"/>
    <w:rsid w:val="004E31B4"/>
    <w:rsid w:val="00501C2C"/>
    <w:rsid w:val="00505368"/>
    <w:rsid w:val="00515990"/>
    <w:rsid w:val="00520643"/>
    <w:rsid w:val="005239F2"/>
    <w:rsid w:val="00554110"/>
    <w:rsid w:val="005776D7"/>
    <w:rsid w:val="0059279F"/>
    <w:rsid w:val="005B7DE6"/>
    <w:rsid w:val="006333B4"/>
    <w:rsid w:val="00633BBA"/>
    <w:rsid w:val="00663CEF"/>
    <w:rsid w:val="00670651"/>
    <w:rsid w:val="00677270"/>
    <w:rsid w:val="006B01D0"/>
    <w:rsid w:val="006C2272"/>
    <w:rsid w:val="007170AE"/>
    <w:rsid w:val="007323EE"/>
    <w:rsid w:val="00761BDE"/>
    <w:rsid w:val="00767C95"/>
    <w:rsid w:val="00781E07"/>
    <w:rsid w:val="00782015"/>
    <w:rsid w:val="007947FD"/>
    <w:rsid w:val="007C311C"/>
    <w:rsid w:val="00842A24"/>
    <w:rsid w:val="00853C9A"/>
    <w:rsid w:val="00881916"/>
    <w:rsid w:val="00892CEF"/>
    <w:rsid w:val="008A6C37"/>
    <w:rsid w:val="008C6738"/>
    <w:rsid w:val="008D0FF1"/>
    <w:rsid w:val="008F2B89"/>
    <w:rsid w:val="0094113F"/>
    <w:rsid w:val="009601CA"/>
    <w:rsid w:val="00985AE9"/>
    <w:rsid w:val="00A47F3D"/>
    <w:rsid w:val="00AC0D8E"/>
    <w:rsid w:val="00AF675F"/>
    <w:rsid w:val="00B528CA"/>
    <w:rsid w:val="00BC7C0E"/>
    <w:rsid w:val="00BE7CD8"/>
    <w:rsid w:val="00BF0130"/>
    <w:rsid w:val="00C335FA"/>
    <w:rsid w:val="00C33AA4"/>
    <w:rsid w:val="00C66117"/>
    <w:rsid w:val="00C766A3"/>
    <w:rsid w:val="00CA24DE"/>
    <w:rsid w:val="00CB2B7E"/>
    <w:rsid w:val="00CC728D"/>
    <w:rsid w:val="00D03E17"/>
    <w:rsid w:val="00D7209F"/>
    <w:rsid w:val="00DA3389"/>
    <w:rsid w:val="00DB20CE"/>
    <w:rsid w:val="00E70A82"/>
    <w:rsid w:val="00E71CAE"/>
    <w:rsid w:val="00ED5A6C"/>
    <w:rsid w:val="00EE6BBB"/>
    <w:rsid w:val="00EF3BA9"/>
    <w:rsid w:val="00F476CC"/>
    <w:rsid w:val="00F64B76"/>
    <w:rsid w:val="00F734F2"/>
    <w:rsid w:val="00FD2076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53B73"/>
  <w15:chartTrackingRefBased/>
  <w15:docId w15:val="{80F810A8-EA40-4C20-A34E-E462BC93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D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1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Vancho Achovski</dc:creator>
  <cp:keywords/>
  <dc:description/>
  <cp:lastModifiedBy>Vancho Achovski</cp:lastModifiedBy>
  <cp:revision>12</cp:revision>
  <dcterms:created xsi:type="dcterms:W3CDTF">2025-08-21T20:46:00Z</dcterms:created>
  <dcterms:modified xsi:type="dcterms:W3CDTF">2025-08-24T22:10:00Z</dcterms:modified>
</cp:coreProperties>
</file>