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1A97" w14:textId="77777777" w:rsidR="00C71B06" w:rsidRPr="004C7C17" w:rsidRDefault="00C55CCA" w:rsidP="00803AFB">
      <w:pPr>
        <w:spacing w:before="120" w:after="120"/>
        <w:ind w:left="5954"/>
        <w:rPr>
          <w:rFonts w:ascii="StobiSerif Regular" w:hAnsi="StobiSerif Regular"/>
          <w:sz w:val="24"/>
          <w:szCs w:val="24"/>
        </w:rPr>
      </w:pPr>
      <w:r w:rsidRPr="004C7C17">
        <w:rPr>
          <w:rFonts w:ascii="StobiSerif Regular" w:hAnsi="StobiSerif Regular"/>
          <w:noProof/>
          <w:sz w:val="24"/>
          <w:lang w:val="en-US"/>
        </w:rPr>
        <w:drawing>
          <wp:inline distT="0" distB="0" distL="0" distR="0" wp14:anchorId="40B7C983" wp14:editId="65BA8D64">
            <wp:extent cx="228600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352425"/>
                    </a:xfrm>
                    <a:prstGeom prst="rect">
                      <a:avLst/>
                    </a:prstGeom>
                    <a:noFill/>
                    <a:ln>
                      <a:noFill/>
                    </a:ln>
                  </pic:spPr>
                </pic:pic>
              </a:graphicData>
            </a:graphic>
          </wp:inline>
        </w:drawing>
      </w:r>
    </w:p>
    <w:p w14:paraId="30E60EE9" w14:textId="77777777" w:rsidR="0072300E" w:rsidRPr="00D816FB" w:rsidRDefault="0072300E" w:rsidP="0072300E">
      <w:pPr>
        <w:shd w:val="clear" w:color="auto" w:fill="FFFFFF"/>
        <w:spacing w:before="120" w:after="120"/>
        <w:jc w:val="center"/>
        <w:rPr>
          <w:rFonts w:ascii="StobiSerif Regular" w:hAnsi="StobiSerif Regular"/>
          <w:b/>
          <w:bCs/>
          <w:sz w:val="22"/>
          <w:szCs w:val="22"/>
          <w:lang w:val="sq-AL"/>
        </w:rPr>
      </w:pPr>
      <w:r w:rsidRPr="00D816FB">
        <w:rPr>
          <w:rFonts w:ascii="StobiSerif Regular" w:hAnsi="StobiSerif Regular"/>
          <w:b/>
          <w:bCs/>
          <w:sz w:val="22"/>
          <w:szCs w:val="22"/>
        </w:rPr>
        <w:t xml:space="preserve">Dialog për </w:t>
      </w:r>
      <w:r w:rsidRPr="00D816FB">
        <w:rPr>
          <w:rFonts w:ascii="StobiSerif Regular" w:hAnsi="StobiSerif Regular"/>
          <w:b/>
          <w:bCs/>
          <w:sz w:val="22"/>
          <w:szCs w:val="22"/>
          <w:lang w:val="sq-AL"/>
        </w:rPr>
        <w:t>Instrumentin për</w:t>
      </w:r>
      <w:r w:rsidRPr="00D816FB">
        <w:rPr>
          <w:rFonts w:ascii="StobiSerif Regular" w:hAnsi="StobiSerif Regular"/>
          <w:b/>
          <w:bCs/>
          <w:sz w:val="22"/>
          <w:szCs w:val="22"/>
        </w:rPr>
        <w:t xml:space="preserve"> </w:t>
      </w:r>
      <w:r w:rsidRPr="00D816FB">
        <w:rPr>
          <w:rFonts w:ascii="StobiSerif Regular" w:hAnsi="StobiSerif Regular"/>
          <w:b/>
          <w:bCs/>
          <w:sz w:val="22"/>
          <w:szCs w:val="22"/>
          <w:lang w:val="sq-AL"/>
        </w:rPr>
        <w:t>r</w:t>
      </w:r>
      <w:r w:rsidRPr="00D816FB">
        <w:rPr>
          <w:rFonts w:ascii="StobiSerif Regular" w:hAnsi="StobiSerif Regular"/>
          <w:b/>
          <w:bCs/>
          <w:sz w:val="22"/>
          <w:szCs w:val="22"/>
        </w:rPr>
        <w:t xml:space="preserve">eforma dhe </w:t>
      </w:r>
      <w:r w:rsidRPr="00D816FB">
        <w:rPr>
          <w:rFonts w:ascii="StobiSerif Regular" w:hAnsi="StobiSerif Regular"/>
          <w:b/>
          <w:bCs/>
          <w:sz w:val="22"/>
          <w:szCs w:val="22"/>
          <w:lang w:val="sq-AL"/>
        </w:rPr>
        <w:t>r</w:t>
      </w:r>
      <w:r w:rsidRPr="00D816FB">
        <w:rPr>
          <w:rFonts w:ascii="StobiSerif Regular" w:hAnsi="StobiSerif Regular"/>
          <w:b/>
          <w:bCs/>
          <w:sz w:val="22"/>
          <w:szCs w:val="22"/>
        </w:rPr>
        <w:t>ritje për Ballkanin Perëndimor</w:t>
      </w:r>
      <w:r w:rsidRPr="00D816FB">
        <w:rPr>
          <w:rFonts w:ascii="StobiSerif Regular" w:hAnsi="StobiSerif Regular"/>
          <w:b/>
          <w:bCs/>
          <w:sz w:val="22"/>
          <w:szCs w:val="22"/>
          <w:lang w:val="sq-AL"/>
        </w:rPr>
        <w:t xml:space="preserve"> </w:t>
      </w:r>
      <w:r w:rsidRPr="00D816FB">
        <w:rPr>
          <w:rFonts w:ascii="StobiSerif Regular" w:hAnsi="StobiSerif Regular"/>
          <w:b/>
          <w:bCs/>
          <w:sz w:val="22"/>
          <w:szCs w:val="22"/>
        </w:rPr>
        <w:t>draft</w:t>
      </w:r>
      <w:r w:rsidRPr="00D816FB">
        <w:rPr>
          <w:rFonts w:ascii="StobiSerif Regular" w:hAnsi="StobiSerif Regular"/>
          <w:b/>
          <w:bCs/>
          <w:sz w:val="22"/>
          <w:szCs w:val="22"/>
          <w:lang w:val="sq-AL"/>
        </w:rPr>
        <w:t>-udhëzues</w:t>
      </w:r>
      <w:r w:rsidRPr="00D816FB">
        <w:rPr>
          <w:rFonts w:ascii="StobiSerif Regular" w:hAnsi="StobiSerif Regular"/>
          <w:b/>
          <w:bCs/>
          <w:sz w:val="22"/>
          <w:szCs w:val="22"/>
        </w:rPr>
        <w:t xml:space="preserve"> për financim të dyfishtë</w:t>
      </w:r>
    </w:p>
    <w:p w14:paraId="68AF4C62" w14:textId="77777777" w:rsidR="004C7C17" w:rsidRPr="00D816FB" w:rsidRDefault="004C7C17" w:rsidP="00803AFB">
      <w:pPr>
        <w:shd w:val="clear" w:color="auto" w:fill="FFFFFF"/>
        <w:spacing w:before="120" w:after="120"/>
        <w:jc w:val="both"/>
        <w:rPr>
          <w:rFonts w:ascii="StobiSerif Regular" w:hAnsi="StobiSerif Regular"/>
          <w:color w:val="000000"/>
          <w:sz w:val="22"/>
          <w:szCs w:val="22"/>
          <w:lang w:val="sq-AL"/>
        </w:rPr>
      </w:pPr>
    </w:p>
    <w:p w14:paraId="51077290" w14:textId="39401985" w:rsidR="0072300E" w:rsidRPr="00D816FB" w:rsidRDefault="0072300E" w:rsidP="0072300E">
      <w:pPr>
        <w:shd w:val="clear" w:color="auto" w:fill="FFFFFF"/>
        <w:spacing w:before="120" w:after="120"/>
        <w:jc w:val="both"/>
        <w:rPr>
          <w:rFonts w:ascii="StobiSerif Regular" w:hAnsi="StobiSerif Regular"/>
          <w:sz w:val="22"/>
          <w:szCs w:val="22"/>
          <w:lang w:val="sq-AL"/>
        </w:rPr>
      </w:pPr>
      <w:r w:rsidRPr="00D816FB">
        <w:rPr>
          <w:rFonts w:ascii="StobiSerif Regular" w:hAnsi="StobiSerif Regular"/>
          <w:sz w:val="22"/>
          <w:szCs w:val="22"/>
        </w:rPr>
        <w:t xml:space="preserve">Me këtë udhëzues </w:t>
      </w:r>
      <w:r w:rsidRPr="00D816FB">
        <w:rPr>
          <w:rFonts w:ascii="StobiSerif Regular" w:hAnsi="StobiSerif Regular"/>
          <w:sz w:val="22"/>
          <w:szCs w:val="22"/>
          <w:lang w:val="sq-AL"/>
        </w:rPr>
        <w:t>shqyrtohet</w:t>
      </w:r>
      <w:r w:rsidRPr="00D816FB">
        <w:rPr>
          <w:rFonts w:ascii="StobiSerif Regular" w:hAnsi="StobiSerif Regular"/>
          <w:sz w:val="22"/>
          <w:szCs w:val="22"/>
        </w:rPr>
        <w:t xml:space="preserve"> çështja </w:t>
      </w:r>
      <w:r w:rsidRPr="00D816FB">
        <w:rPr>
          <w:rFonts w:ascii="StobiSerif Regular" w:hAnsi="StobiSerif Regular"/>
          <w:sz w:val="22"/>
          <w:szCs w:val="22"/>
          <w:lang w:val="sq-AL"/>
        </w:rPr>
        <w:t>për</w:t>
      </w:r>
      <w:r w:rsidRPr="00D816FB">
        <w:rPr>
          <w:rFonts w:ascii="StobiSerif Regular" w:hAnsi="StobiSerif Regular"/>
          <w:sz w:val="22"/>
          <w:szCs w:val="22"/>
        </w:rPr>
        <w:t xml:space="preserve"> “financim të dyfishtë” </w:t>
      </w:r>
      <w:r w:rsidRPr="00D816FB">
        <w:rPr>
          <w:rFonts w:ascii="StobiSerif Regular" w:hAnsi="StobiSerif Regular"/>
          <w:sz w:val="22"/>
          <w:szCs w:val="22"/>
          <w:lang w:val="sq-AL"/>
        </w:rPr>
        <w:t>në mes të Instrumentit</w:t>
      </w:r>
      <w:r w:rsidRPr="00D816FB">
        <w:rPr>
          <w:rFonts w:ascii="StobiSerif Regular" w:hAnsi="StobiSerif Regular"/>
          <w:sz w:val="22"/>
          <w:szCs w:val="22"/>
        </w:rPr>
        <w:t xml:space="preserve"> për </w:t>
      </w:r>
      <w:r w:rsidRPr="00D816FB">
        <w:rPr>
          <w:rFonts w:ascii="StobiSerif Regular" w:hAnsi="StobiSerif Regular"/>
          <w:sz w:val="22"/>
          <w:szCs w:val="22"/>
          <w:lang w:val="sq-AL"/>
        </w:rPr>
        <w:t>r</w:t>
      </w:r>
      <w:r w:rsidRPr="00D816FB">
        <w:rPr>
          <w:rFonts w:ascii="StobiSerif Regular" w:hAnsi="StobiSerif Regular"/>
          <w:sz w:val="22"/>
          <w:szCs w:val="22"/>
        </w:rPr>
        <w:t xml:space="preserve">eforma dhe </w:t>
      </w:r>
      <w:r w:rsidRPr="00D816FB">
        <w:rPr>
          <w:rFonts w:ascii="StobiSerif Regular" w:hAnsi="StobiSerif Regular"/>
          <w:sz w:val="22"/>
          <w:szCs w:val="22"/>
          <w:lang w:val="sq-AL"/>
        </w:rPr>
        <w:t>r</w:t>
      </w:r>
      <w:r w:rsidRPr="00D816FB">
        <w:rPr>
          <w:rFonts w:ascii="StobiSerif Regular" w:hAnsi="StobiSerif Regular"/>
          <w:sz w:val="22"/>
          <w:szCs w:val="22"/>
        </w:rPr>
        <w:t xml:space="preserve">ritje </w:t>
      </w:r>
      <w:r w:rsidRPr="00D816FB">
        <w:rPr>
          <w:rFonts w:ascii="StobiSerif Regular" w:hAnsi="StobiSerif Regular"/>
          <w:sz w:val="22"/>
          <w:szCs w:val="22"/>
          <w:lang w:val="sq-AL"/>
        </w:rPr>
        <w:t>(IRR</w:t>
      </w:r>
      <w:r w:rsidRPr="00D816FB">
        <w:rPr>
          <w:rFonts w:ascii="StobiSerif Regular" w:hAnsi="StobiSerif Regular"/>
          <w:sz w:val="22"/>
          <w:szCs w:val="22"/>
        </w:rPr>
        <w:t xml:space="preserve">) për Ballkanin Perëndimor (BP) dhe fondeve të tjera nga BE-ja dhe/ose </w:t>
      </w:r>
      <w:r w:rsidRPr="00D816FB">
        <w:rPr>
          <w:rFonts w:ascii="StobiSerif Regular" w:hAnsi="StobiSerif Regular"/>
          <w:sz w:val="22"/>
          <w:szCs w:val="22"/>
          <w:lang w:val="sq-AL"/>
        </w:rPr>
        <w:t xml:space="preserve">nga </w:t>
      </w:r>
      <w:r w:rsidRPr="00D816FB">
        <w:rPr>
          <w:rFonts w:ascii="StobiSerif Regular" w:hAnsi="StobiSerif Regular"/>
          <w:sz w:val="22"/>
          <w:szCs w:val="22"/>
        </w:rPr>
        <w:t>donatorë të tjerë.</w:t>
      </w:r>
      <w:r w:rsidRPr="00D816FB">
        <w:rPr>
          <w:rFonts w:ascii="StobiSerif Regular" w:hAnsi="StobiSerif Regular"/>
          <w:sz w:val="22"/>
          <w:szCs w:val="22"/>
          <w:lang w:val="sq-AL"/>
        </w:rPr>
        <w:t xml:space="preserve"> </w:t>
      </w:r>
      <w:r w:rsidRPr="00D816FB">
        <w:rPr>
          <w:rFonts w:ascii="StobiSerif Regular" w:hAnsi="StobiSerif Regular"/>
          <w:sz w:val="22"/>
          <w:szCs w:val="22"/>
        </w:rPr>
        <w:t>Nën financimin e dyfishtë</w:t>
      </w:r>
      <w:r w:rsidRPr="00D816FB">
        <w:rPr>
          <w:rFonts w:ascii="StobiSerif Regular" w:hAnsi="StobiSerif Regular"/>
          <w:sz w:val="22"/>
          <w:szCs w:val="22"/>
          <w:lang w:val="sq-AL"/>
        </w:rPr>
        <w:t xml:space="preserve"> nënkuptohet</w:t>
      </w:r>
      <w:r w:rsidRPr="00D816FB">
        <w:rPr>
          <w:rFonts w:ascii="StobiSerif Regular" w:hAnsi="StobiSerif Regular"/>
          <w:sz w:val="22"/>
          <w:szCs w:val="22"/>
        </w:rPr>
        <w:t xml:space="preserve"> që së paku një pjesë e financimit për </w:t>
      </w:r>
      <w:r w:rsidRPr="00D816FB">
        <w:rPr>
          <w:rFonts w:ascii="StobiSerif Regular" w:hAnsi="StobiSerif Regular"/>
          <w:sz w:val="22"/>
          <w:szCs w:val="22"/>
          <w:lang w:val="sq-AL"/>
        </w:rPr>
        <w:t>përmbushjen</w:t>
      </w:r>
      <w:r w:rsidRPr="00D816FB">
        <w:rPr>
          <w:rFonts w:ascii="StobiSerif Regular" w:hAnsi="StobiSerif Regular"/>
          <w:sz w:val="22"/>
          <w:szCs w:val="22"/>
        </w:rPr>
        <w:t xml:space="preserve"> e hapi</w:t>
      </w:r>
      <w:r w:rsidRPr="00D816FB">
        <w:rPr>
          <w:rFonts w:ascii="StobiSerif Regular" w:hAnsi="StobiSerif Regular"/>
          <w:sz w:val="22"/>
          <w:szCs w:val="22"/>
          <w:lang w:val="sq-AL"/>
        </w:rPr>
        <w:t>t</w:t>
      </w:r>
      <w:r w:rsidRPr="00D816FB">
        <w:rPr>
          <w:rFonts w:ascii="StobiSerif Regular" w:hAnsi="StobiSerif Regular"/>
          <w:sz w:val="22"/>
          <w:szCs w:val="22"/>
        </w:rPr>
        <w:t xml:space="preserve"> të </w:t>
      </w:r>
      <w:r w:rsidRPr="00D816FB">
        <w:rPr>
          <w:rFonts w:ascii="StobiSerif Regular" w:hAnsi="StobiSerif Regular"/>
          <w:sz w:val="22"/>
          <w:szCs w:val="22"/>
          <w:lang w:val="sq-AL"/>
        </w:rPr>
        <w:t xml:space="preserve">dhënë </w:t>
      </w:r>
      <w:r w:rsidRPr="00D816FB">
        <w:rPr>
          <w:rFonts w:ascii="StobiSerif Regular" w:hAnsi="StobiSerif Regular"/>
          <w:sz w:val="22"/>
          <w:szCs w:val="22"/>
        </w:rPr>
        <w:t xml:space="preserve">është siguruar në formë </w:t>
      </w:r>
      <w:r w:rsidRPr="00D816FB">
        <w:rPr>
          <w:rFonts w:ascii="StobiSerif Regular" w:hAnsi="StobiSerif Regular"/>
          <w:sz w:val="22"/>
          <w:szCs w:val="22"/>
          <w:lang w:val="sq-AL"/>
        </w:rPr>
        <w:t xml:space="preserve">të </w:t>
      </w:r>
      <w:r w:rsidRPr="00D816FB">
        <w:rPr>
          <w:rFonts w:ascii="StobiSerif Regular" w:hAnsi="StobiSerif Regular"/>
          <w:sz w:val="22"/>
          <w:szCs w:val="22"/>
        </w:rPr>
        <w:t>granti</w:t>
      </w:r>
      <w:r w:rsidRPr="00D816FB">
        <w:rPr>
          <w:rFonts w:ascii="StobiSerif Regular" w:hAnsi="StobiSerif Regular"/>
          <w:sz w:val="22"/>
          <w:szCs w:val="22"/>
          <w:lang w:val="sq-AL"/>
        </w:rPr>
        <w:t>t</w:t>
      </w:r>
      <w:r w:rsidRPr="00D816FB">
        <w:rPr>
          <w:rFonts w:ascii="StobiSerif Regular" w:hAnsi="StobiSerif Regular"/>
          <w:sz w:val="22"/>
          <w:szCs w:val="22"/>
        </w:rPr>
        <w:t>.</w:t>
      </w:r>
      <w:r w:rsidRPr="00D816FB">
        <w:rPr>
          <w:rFonts w:ascii="StobiSerif Regular" w:hAnsi="StobiSerif Regular"/>
          <w:sz w:val="22"/>
          <w:szCs w:val="22"/>
          <w:lang w:val="sq-AL"/>
        </w:rPr>
        <w:t xml:space="preserve"> Rjedhimisht</w:t>
      </w:r>
      <w:r w:rsidRPr="00D816FB">
        <w:rPr>
          <w:rFonts w:ascii="StobiSerif Regular" w:hAnsi="StobiSerif Regular"/>
          <w:sz w:val="22"/>
          <w:szCs w:val="22"/>
        </w:rPr>
        <w:t>, ky udhëzues nuk i referohet rasteve kur të gjitha burimet e financimit të përfshira në përmbushjen e hapit janë hua</w:t>
      </w:r>
      <w:r w:rsidRPr="00D816FB">
        <w:rPr>
          <w:rFonts w:ascii="StobiSerif Regular" w:hAnsi="StobiSerif Regular"/>
          <w:sz w:val="22"/>
          <w:szCs w:val="22"/>
          <w:lang w:val="sq-AL"/>
        </w:rPr>
        <w:t>marrje</w:t>
      </w:r>
      <w:r w:rsidRPr="00D816FB">
        <w:rPr>
          <w:rFonts w:ascii="StobiSerif Regular" w:hAnsi="StobiSerif Regular"/>
          <w:sz w:val="22"/>
          <w:szCs w:val="22"/>
        </w:rPr>
        <w:t>.</w:t>
      </w:r>
    </w:p>
    <w:p w14:paraId="29DAD8E9" w14:textId="5CA44BC3" w:rsidR="0072300E" w:rsidRPr="00D816FB" w:rsidRDefault="0072300E" w:rsidP="0072300E">
      <w:pPr>
        <w:shd w:val="clear" w:color="auto" w:fill="FFFFFF"/>
        <w:spacing w:before="120" w:after="120"/>
        <w:jc w:val="both"/>
        <w:rPr>
          <w:rFonts w:ascii="StobiSerif Regular" w:hAnsi="StobiSerif Regular"/>
          <w:sz w:val="22"/>
          <w:szCs w:val="22"/>
          <w:lang w:val="sq-AL"/>
        </w:rPr>
      </w:pPr>
      <w:r w:rsidRPr="00D816FB">
        <w:rPr>
          <w:rFonts w:ascii="StobiSerif Regular" w:hAnsi="StobiSerif Regular"/>
          <w:sz w:val="22"/>
          <w:szCs w:val="22"/>
        </w:rPr>
        <w:t>Me këtë udhëzues s</w:t>
      </w:r>
      <w:r w:rsidRPr="00D816FB">
        <w:rPr>
          <w:rFonts w:ascii="StobiSerif Regular" w:hAnsi="StobiSerif Regular"/>
          <w:sz w:val="22"/>
          <w:szCs w:val="22"/>
          <w:lang w:val="sq-AL"/>
        </w:rPr>
        <w:t>qarohet</w:t>
      </w:r>
      <w:r w:rsidRPr="00D816FB">
        <w:rPr>
          <w:rFonts w:ascii="StobiSerif Regular" w:hAnsi="StobiSerif Regular"/>
          <w:sz w:val="22"/>
          <w:szCs w:val="22"/>
        </w:rPr>
        <w:t xml:space="preserve"> se si të parandalohet, të zbulohet dhe të zgjidhet problemi </w:t>
      </w:r>
      <w:r w:rsidRPr="00D816FB">
        <w:rPr>
          <w:rFonts w:ascii="StobiSerif Regular" w:hAnsi="StobiSerif Regular"/>
          <w:sz w:val="22"/>
          <w:szCs w:val="22"/>
          <w:lang w:val="sq-AL"/>
        </w:rPr>
        <w:t>me</w:t>
      </w:r>
      <w:r w:rsidRPr="00D816FB">
        <w:rPr>
          <w:rFonts w:ascii="StobiSerif Regular" w:hAnsi="StobiSerif Regular"/>
          <w:sz w:val="22"/>
          <w:szCs w:val="22"/>
        </w:rPr>
        <w:t xml:space="preserve"> financim</w:t>
      </w:r>
      <w:r w:rsidRPr="00D816FB">
        <w:rPr>
          <w:rFonts w:ascii="StobiSerif Regular" w:hAnsi="StobiSerif Regular"/>
          <w:sz w:val="22"/>
          <w:szCs w:val="22"/>
          <w:lang w:val="sq-AL"/>
        </w:rPr>
        <w:t>in</w:t>
      </w:r>
      <w:r w:rsidRPr="00D816FB">
        <w:rPr>
          <w:rFonts w:ascii="StobiSerif Regular" w:hAnsi="StobiSerif Regular"/>
          <w:sz w:val="22"/>
          <w:szCs w:val="22"/>
        </w:rPr>
        <w:t xml:space="preserve"> </w:t>
      </w:r>
      <w:r w:rsidRPr="00D816FB">
        <w:rPr>
          <w:rFonts w:ascii="StobiSerif Regular" w:hAnsi="StobiSerif Regular"/>
          <w:sz w:val="22"/>
          <w:szCs w:val="22"/>
          <w:lang w:val="sq-AL"/>
        </w:rPr>
        <w:t>e</w:t>
      </w:r>
      <w:r w:rsidRPr="00D816FB">
        <w:rPr>
          <w:rFonts w:ascii="StobiSerif Regular" w:hAnsi="StobiSerif Regular"/>
          <w:sz w:val="22"/>
          <w:szCs w:val="22"/>
        </w:rPr>
        <w:t xml:space="preserve"> dyfisht</w:t>
      </w:r>
      <w:r w:rsidRPr="00D816FB">
        <w:rPr>
          <w:rFonts w:ascii="StobiSerif Regular" w:hAnsi="StobiSerif Regular"/>
          <w:sz w:val="22"/>
          <w:szCs w:val="22"/>
          <w:lang w:val="sq-AL"/>
        </w:rPr>
        <w:t>ë</w:t>
      </w:r>
      <w:r w:rsidRPr="00D816FB">
        <w:rPr>
          <w:rFonts w:ascii="StobiSerif Regular" w:hAnsi="StobiSerif Regular"/>
          <w:sz w:val="22"/>
          <w:szCs w:val="22"/>
        </w:rPr>
        <w:t xml:space="preserve"> nga ana e </w:t>
      </w:r>
      <w:r w:rsidRPr="00D816FB">
        <w:rPr>
          <w:rFonts w:ascii="StobiSerif Regular" w:hAnsi="StobiSerif Regular"/>
          <w:sz w:val="22"/>
          <w:szCs w:val="22"/>
          <w:lang w:val="sq-AL"/>
        </w:rPr>
        <w:t>shfrytëzuesve</w:t>
      </w:r>
      <w:r w:rsidRPr="00D816FB">
        <w:rPr>
          <w:rFonts w:ascii="StobiSerif Regular" w:hAnsi="StobiSerif Regular"/>
          <w:sz w:val="22"/>
          <w:szCs w:val="22"/>
        </w:rPr>
        <w:t xml:space="preserve"> </w:t>
      </w:r>
      <w:r w:rsidRPr="00D816FB">
        <w:rPr>
          <w:rFonts w:ascii="StobiSerif Regular" w:hAnsi="StobiSerif Regular"/>
          <w:sz w:val="22"/>
          <w:szCs w:val="22"/>
          <w:lang w:val="sq-AL"/>
        </w:rPr>
        <w:t>të</w:t>
      </w:r>
      <w:r w:rsidRPr="00D816FB">
        <w:rPr>
          <w:rFonts w:ascii="StobiSerif Regular" w:hAnsi="StobiSerif Regular"/>
          <w:sz w:val="22"/>
          <w:szCs w:val="22"/>
        </w:rPr>
        <w:t xml:space="preserve"> Ballkani</w:t>
      </w:r>
      <w:r w:rsidRPr="00D816FB">
        <w:rPr>
          <w:rFonts w:ascii="StobiSerif Regular" w:hAnsi="StobiSerif Regular"/>
          <w:sz w:val="22"/>
          <w:szCs w:val="22"/>
          <w:lang w:val="sq-AL"/>
        </w:rPr>
        <w:t>t</w:t>
      </w:r>
      <w:r w:rsidRPr="00D816FB">
        <w:rPr>
          <w:rFonts w:ascii="StobiSerif Regular" w:hAnsi="StobiSerif Regular"/>
          <w:sz w:val="22"/>
          <w:szCs w:val="22"/>
        </w:rPr>
        <w:t xml:space="preserve"> Perëndimor dhe nga Komisioni.</w:t>
      </w:r>
      <w:r w:rsidRPr="00D816FB">
        <w:rPr>
          <w:rFonts w:ascii="StobiSerif Regular" w:hAnsi="StobiSerif Regular"/>
          <w:sz w:val="22"/>
          <w:szCs w:val="22"/>
          <w:lang w:val="sq-AL"/>
        </w:rPr>
        <w:t xml:space="preserve"> </w:t>
      </w:r>
      <w:r w:rsidRPr="00D816FB">
        <w:rPr>
          <w:rFonts w:ascii="StobiSerif Regular" w:hAnsi="StobiSerif Regular"/>
          <w:sz w:val="22"/>
          <w:szCs w:val="22"/>
        </w:rPr>
        <w:t>Qëllimi i këtij dokumenti është t’</w:t>
      </w:r>
      <w:r w:rsidRPr="00D816FB">
        <w:rPr>
          <w:rFonts w:ascii="StobiSerif Regular" w:hAnsi="StobiSerif Regular"/>
          <w:sz w:val="22"/>
          <w:szCs w:val="22"/>
          <w:lang w:val="sq-AL"/>
        </w:rPr>
        <w:t>u</w:t>
      </w:r>
      <w:r w:rsidRPr="00D816FB">
        <w:rPr>
          <w:rFonts w:ascii="StobiSerif Regular" w:hAnsi="StobiSerif Regular"/>
          <w:sz w:val="22"/>
          <w:szCs w:val="22"/>
        </w:rPr>
        <w:t xml:space="preserve"> </w:t>
      </w:r>
      <w:r w:rsidRPr="00D816FB">
        <w:rPr>
          <w:rFonts w:ascii="StobiSerif Regular" w:hAnsi="StobiSerif Regular"/>
          <w:sz w:val="22"/>
          <w:szCs w:val="22"/>
          <w:lang w:val="sq-AL"/>
        </w:rPr>
        <w:t>sigurohet shfrytëzuesit</w:t>
      </w:r>
      <w:r w:rsidRPr="00D816FB">
        <w:rPr>
          <w:rFonts w:ascii="StobiSerif Regular" w:hAnsi="StobiSerif Regular"/>
          <w:sz w:val="22"/>
          <w:szCs w:val="22"/>
        </w:rPr>
        <w:t xml:space="preserve"> dhe shërbimeve të Komisionit udhëzime dhe interpretime të qarta lidhur me financimin e dyfishtë, me qëllim </w:t>
      </w:r>
      <w:r w:rsidRPr="00D816FB">
        <w:rPr>
          <w:rFonts w:ascii="StobiSerif Regular" w:hAnsi="StobiSerif Regular"/>
          <w:sz w:val="22"/>
          <w:szCs w:val="22"/>
          <w:lang w:val="sq-AL"/>
        </w:rPr>
        <w:t>që të lehtësohet realizimi</w:t>
      </w:r>
      <w:r w:rsidRPr="00D816FB">
        <w:rPr>
          <w:rFonts w:ascii="StobiSerif Regular" w:hAnsi="StobiSerif Regular"/>
          <w:sz w:val="22"/>
          <w:szCs w:val="22"/>
        </w:rPr>
        <w:t xml:space="preserve"> </w:t>
      </w:r>
      <w:r w:rsidRPr="00D816FB">
        <w:rPr>
          <w:rFonts w:ascii="StobiSerif Regular" w:hAnsi="StobiSerif Regular"/>
          <w:sz w:val="22"/>
          <w:szCs w:val="22"/>
          <w:lang w:val="sq-AL"/>
        </w:rPr>
        <w:t>i</w:t>
      </w:r>
      <w:r w:rsidRPr="00D816FB">
        <w:rPr>
          <w:rFonts w:ascii="StobiSerif Regular" w:hAnsi="StobiSerif Regular"/>
          <w:sz w:val="22"/>
          <w:szCs w:val="22"/>
        </w:rPr>
        <w:t xml:space="preserve"> Instrumentit për </w:t>
      </w:r>
      <w:r w:rsidRPr="00D816FB">
        <w:rPr>
          <w:rFonts w:ascii="StobiSerif Regular" w:hAnsi="StobiSerif Regular"/>
          <w:sz w:val="22"/>
          <w:szCs w:val="22"/>
          <w:lang w:val="sq-AL"/>
        </w:rPr>
        <w:t>r</w:t>
      </w:r>
      <w:r w:rsidRPr="00D816FB">
        <w:rPr>
          <w:rFonts w:ascii="StobiSerif Regular" w:hAnsi="StobiSerif Regular"/>
          <w:sz w:val="22"/>
          <w:szCs w:val="22"/>
        </w:rPr>
        <w:t xml:space="preserve">eforma dhe </w:t>
      </w:r>
      <w:r w:rsidRPr="00D816FB">
        <w:rPr>
          <w:rFonts w:ascii="StobiSerif Regular" w:hAnsi="StobiSerif Regular"/>
          <w:sz w:val="22"/>
          <w:szCs w:val="22"/>
          <w:lang w:val="sq-AL"/>
        </w:rPr>
        <w:t>r</w:t>
      </w:r>
      <w:r w:rsidRPr="00D816FB">
        <w:rPr>
          <w:rFonts w:ascii="StobiSerif Regular" w:hAnsi="StobiSerif Regular"/>
          <w:sz w:val="22"/>
          <w:szCs w:val="22"/>
        </w:rPr>
        <w:t xml:space="preserve">ritje për Ballkanin Perëndimor, </w:t>
      </w:r>
      <w:r w:rsidRPr="00D816FB">
        <w:rPr>
          <w:rFonts w:ascii="StobiSerif Regular" w:hAnsi="StobiSerif Regular"/>
          <w:sz w:val="22"/>
          <w:szCs w:val="22"/>
          <w:lang w:val="sq-AL"/>
        </w:rPr>
        <w:t>konform</w:t>
      </w:r>
      <w:r w:rsidRPr="00D816FB">
        <w:rPr>
          <w:rFonts w:ascii="StobiSerif Regular" w:hAnsi="StobiSerif Regular"/>
          <w:sz w:val="22"/>
          <w:szCs w:val="22"/>
        </w:rPr>
        <w:t xml:space="preserve"> me parimet e menaxhimit të mirë financiar.</w:t>
      </w:r>
    </w:p>
    <w:tbl>
      <w:tblPr>
        <w:tblStyle w:val="TableGrid"/>
        <w:tblW w:w="0" w:type="auto"/>
        <w:tblLook w:val="04A0" w:firstRow="1" w:lastRow="0" w:firstColumn="1" w:lastColumn="0" w:noHBand="0" w:noVBand="1"/>
      </w:tblPr>
      <w:tblGrid>
        <w:gridCol w:w="9019"/>
      </w:tblGrid>
      <w:tr w:rsidR="001A60A9" w:rsidRPr="00D816FB" w14:paraId="3F9082F1" w14:textId="77777777" w:rsidTr="001A60A9">
        <w:tc>
          <w:tcPr>
            <w:tcW w:w="9019" w:type="dxa"/>
          </w:tcPr>
          <w:p w14:paraId="5F4E5C1B" w14:textId="5A03BA60" w:rsidR="001A60A9" w:rsidRPr="00D816FB" w:rsidRDefault="001A60A9" w:rsidP="001A60A9">
            <w:pPr>
              <w:spacing w:before="120" w:after="120"/>
              <w:ind w:left="313" w:hanging="313"/>
              <w:jc w:val="both"/>
              <w:rPr>
                <w:rFonts w:ascii="StobiSerif Regular" w:hAnsi="StobiSerif Regular"/>
                <w:sz w:val="22"/>
                <w:szCs w:val="22"/>
              </w:rPr>
            </w:pPr>
            <w:r w:rsidRPr="00D816FB">
              <w:rPr>
                <w:rFonts w:ascii="StobiSerif Regular" w:hAnsi="StobiSerif Regular"/>
                <w:sz w:val="22"/>
                <w:szCs w:val="22"/>
              </w:rPr>
              <w:t>•</w:t>
            </w:r>
            <w:r w:rsidRPr="00D816FB">
              <w:rPr>
                <w:rFonts w:ascii="StobiSerif Regular" w:hAnsi="StobiSerif Regular"/>
                <w:sz w:val="22"/>
                <w:szCs w:val="22"/>
              </w:rPr>
              <w:tab/>
            </w:r>
            <w:r w:rsidR="0072300E" w:rsidRPr="00D816FB">
              <w:rPr>
                <w:rFonts w:ascii="StobiSerif Regular" w:hAnsi="StobiSerif Regular"/>
                <w:sz w:val="22"/>
                <w:szCs w:val="22"/>
              </w:rPr>
              <w:t>Në përgjithësi,</w:t>
            </w:r>
            <w:r w:rsidR="0072300E" w:rsidRPr="00D816FB">
              <w:rPr>
                <w:rFonts w:ascii="StobiSerif Regular" w:hAnsi="StobiSerif Regular"/>
                <w:sz w:val="22"/>
                <w:szCs w:val="22"/>
                <w:lang w:val="sq-AL"/>
              </w:rPr>
              <w:t xml:space="preserve"> nën</w:t>
            </w:r>
            <w:r w:rsidR="0072300E" w:rsidRPr="00D816FB">
              <w:rPr>
                <w:rFonts w:ascii="StobiSerif Regular" w:hAnsi="StobiSerif Regular"/>
                <w:sz w:val="22"/>
                <w:szCs w:val="22"/>
              </w:rPr>
              <w:t>“financim</w:t>
            </w:r>
            <w:r w:rsidR="0072300E" w:rsidRPr="00D816FB">
              <w:rPr>
                <w:rFonts w:ascii="StobiSerif Regular" w:hAnsi="StobiSerif Regular"/>
                <w:sz w:val="22"/>
                <w:szCs w:val="22"/>
                <w:lang w:val="sq-AL"/>
              </w:rPr>
              <w:t>in</w:t>
            </w:r>
            <w:r w:rsidR="0072300E" w:rsidRPr="00D816FB">
              <w:rPr>
                <w:rFonts w:ascii="StobiSerif Regular" w:hAnsi="StobiSerif Regular"/>
                <w:sz w:val="22"/>
                <w:szCs w:val="22"/>
              </w:rPr>
              <w:t xml:space="preserve"> </w:t>
            </w:r>
            <w:r w:rsidR="0072300E" w:rsidRPr="00D816FB">
              <w:rPr>
                <w:rFonts w:ascii="StobiSerif Regular" w:hAnsi="StobiSerif Regular"/>
                <w:sz w:val="22"/>
                <w:szCs w:val="22"/>
                <w:lang w:val="sq-AL"/>
              </w:rPr>
              <w:t>e</w:t>
            </w:r>
            <w:r w:rsidR="0072300E" w:rsidRPr="00D816FB">
              <w:rPr>
                <w:rFonts w:ascii="StobiSerif Regular" w:hAnsi="StobiSerif Regular"/>
                <w:sz w:val="22"/>
                <w:szCs w:val="22"/>
              </w:rPr>
              <w:t xml:space="preserve"> dyfishtë” nënkuptohet situatë në të cilën </w:t>
            </w:r>
            <w:r w:rsidR="0072300E" w:rsidRPr="00D816FB">
              <w:rPr>
                <w:rFonts w:ascii="StobiSerif Regular" w:hAnsi="StobiSerif Regular"/>
                <w:b/>
                <w:bCs/>
                <w:sz w:val="22"/>
                <w:szCs w:val="22"/>
              </w:rPr>
              <w:t>të njëjtat shpenzime për të njëjtën aktivitet financohen dy herë</w:t>
            </w:r>
            <w:r w:rsidR="0072300E" w:rsidRPr="00D816FB">
              <w:rPr>
                <w:rFonts w:ascii="StobiSerif Regular" w:hAnsi="StobiSerif Regular"/>
                <w:sz w:val="22"/>
                <w:szCs w:val="22"/>
              </w:rPr>
              <w:t xml:space="preserve">, përmes </w:t>
            </w:r>
            <w:r w:rsidR="0072300E" w:rsidRPr="00D816FB">
              <w:rPr>
                <w:rFonts w:ascii="StobiSerif Regular" w:hAnsi="StobiSerif Regular"/>
                <w:sz w:val="22"/>
                <w:szCs w:val="22"/>
                <w:lang w:val="sq-AL"/>
              </w:rPr>
              <w:t>shfrytëzimit</w:t>
            </w:r>
            <w:r w:rsidR="0072300E" w:rsidRPr="00D816FB">
              <w:rPr>
                <w:rFonts w:ascii="StobiSerif Regular" w:hAnsi="StobiSerif Regular"/>
                <w:sz w:val="22"/>
                <w:szCs w:val="22"/>
              </w:rPr>
              <w:t xml:space="preserve"> të fondeve nga BE-ja dhe/ose nga donatorë të tjerë (gjë që nuk është </w:t>
            </w:r>
            <w:r w:rsidR="0072300E" w:rsidRPr="00D816FB">
              <w:rPr>
                <w:rFonts w:ascii="StobiSerif Regular" w:hAnsi="StobiSerif Regular"/>
                <w:sz w:val="22"/>
                <w:szCs w:val="22"/>
                <w:lang w:val="sq-AL"/>
              </w:rPr>
              <w:t>konform</w:t>
            </w:r>
            <w:r w:rsidR="0072300E" w:rsidRPr="00D816FB">
              <w:rPr>
                <w:rFonts w:ascii="StobiSerif Regular" w:hAnsi="StobiSerif Regular"/>
                <w:sz w:val="22"/>
                <w:szCs w:val="22"/>
              </w:rPr>
              <w:t xml:space="preserve"> me parimet e menaxhimit të mirë financiar).</w:t>
            </w:r>
            <w:r w:rsidR="0072300E" w:rsidRPr="00D816FB">
              <w:rPr>
                <w:rFonts w:ascii="StobiSerif Regular" w:hAnsi="StobiSerif Regular"/>
                <w:sz w:val="22"/>
                <w:szCs w:val="22"/>
                <w:lang w:val="sq-AL"/>
              </w:rPr>
              <w:t xml:space="preserve"> Tek</w:t>
            </w:r>
            <w:r w:rsidR="0072300E" w:rsidRPr="00D816FB">
              <w:rPr>
                <w:rFonts w:ascii="StobiSerif Regular" w:hAnsi="StobiSerif Regular"/>
                <w:sz w:val="22"/>
                <w:szCs w:val="22"/>
              </w:rPr>
              <w:t xml:space="preserve"> financimi i bazuar në performancë, si p.sh. në kuadër të Instrumentit për reforma dhe rritje, </w:t>
            </w:r>
            <w:r w:rsidR="0072300E" w:rsidRPr="00D816FB">
              <w:rPr>
                <w:rFonts w:ascii="StobiSerif Regular" w:hAnsi="StobiSerif Regular"/>
                <w:sz w:val="22"/>
                <w:szCs w:val="22"/>
                <w:lang w:val="sq-AL"/>
              </w:rPr>
              <w:t xml:space="preserve">financimi i dyfishtë </w:t>
            </w:r>
            <w:r w:rsidR="0072300E" w:rsidRPr="00D816FB">
              <w:rPr>
                <w:rFonts w:ascii="StobiSerif Regular" w:hAnsi="StobiSerif Regular"/>
                <w:sz w:val="22"/>
                <w:szCs w:val="22"/>
              </w:rPr>
              <w:t xml:space="preserve">mund të </w:t>
            </w:r>
            <w:r w:rsidR="0072300E" w:rsidRPr="00D816FB">
              <w:rPr>
                <w:rFonts w:ascii="StobiSerif Regular" w:hAnsi="StobiSerif Regular"/>
                <w:sz w:val="22"/>
                <w:szCs w:val="22"/>
                <w:lang w:val="sq-AL"/>
              </w:rPr>
              <w:t>paraqitet</w:t>
            </w:r>
            <w:r w:rsidR="0072300E" w:rsidRPr="00D816FB">
              <w:rPr>
                <w:rFonts w:ascii="StobiSerif Regular" w:hAnsi="StobiSerif Regular"/>
                <w:sz w:val="22"/>
                <w:szCs w:val="22"/>
              </w:rPr>
              <w:t xml:space="preserve"> kur</w:t>
            </w:r>
            <w:r w:rsidR="0072300E" w:rsidRPr="00D816FB">
              <w:rPr>
                <w:rFonts w:ascii="StobiSerif Regular" w:hAnsi="StobiSerif Regular"/>
                <w:sz w:val="22"/>
                <w:szCs w:val="22"/>
                <w:lang w:val="sq-AL"/>
              </w:rPr>
              <w:t xml:space="preserve"> </w:t>
            </w:r>
            <w:r w:rsidR="0072300E" w:rsidRPr="00D816FB">
              <w:rPr>
                <w:rFonts w:ascii="StobiSerif Regular" w:hAnsi="StobiSerif Regular"/>
                <w:b/>
                <w:bCs/>
                <w:sz w:val="22"/>
                <w:szCs w:val="22"/>
              </w:rPr>
              <w:t>aksionet komplementare</w:t>
            </w:r>
            <w:r w:rsidR="0072300E" w:rsidRPr="00D816FB">
              <w:rPr>
                <w:rFonts w:ascii="StobiSerif Regular" w:hAnsi="StobiSerif Regular"/>
                <w:b/>
                <w:bCs/>
                <w:sz w:val="22"/>
                <w:szCs w:val="22"/>
                <w:lang w:val="sq-AL"/>
              </w:rPr>
              <w:t xml:space="preserve"> </w:t>
            </w:r>
            <w:r w:rsidR="0072300E" w:rsidRPr="00D816FB">
              <w:rPr>
                <w:rFonts w:ascii="StobiSerif Regular" w:hAnsi="StobiSerif Regular"/>
                <w:b/>
                <w:bCs/>
                <w:sz w:val="22"/>
                <w:szCs w:val="22"/>
              </w:rPr>
              <w:t xml:space="preserve">kontribuojnë në </w:t>
            </w:r>
            <w:r w:rsidR="0072300E" w:rsidRPr="00D816FB">
              <w:rPr>
                <w:rFonts w:ascii="StobiSerif Regular" w:hAnsi="StobiSerif Regular"/>
                <w:b/>
                <w:bCs/>
                <w:sz w:val="22"/>
                <w:szCs w:val="22"/>
                <w:lang w:val="sq-AL"/>
              </w:rPr>
              <w:t>masë të madhe</w:t>
            </w:r>
            <w:r w:rsidR="0072300E" w:rsidRPr="00D816FB">
              <w:rPr>
                <w:rFonts w:ascii="StobiSerif Regular" w:hAnsi="StobiSerif Regular"/>
                <w:sz w:val="22"/>
                <w:szCs w:val="22"/>
              </w:rPr>
              <w:t xml:space="preserve"> në </w:t>
            </w:r>
            <w:r w:rsidR="0072300E" w:rsidRPr="00D816FB">
              <w:rPr>
                <w:rFonts w:ascii="StobiSerif Regular" w:hAnsi="StobiSerif Regular"/>
                <w:sz w:val="22"/>
                <w:szCs w:val="22"/>
                <w:lang w:val="sq-AL"/>
              </w:rPr>
              <w:t>përmbushjen</w:t>
            </w:r>
            <w:r w:rsidR="0072300E" w:rsidRPr="00D816FB">
              <w:rPr>
                <w:rFonts w:ascii="StobiSerif Regular" w:hAnsi="StobiSerif Regular"/>
                <w:sz w:val="22"/>
                <w:szCs w:val="22"/>
              </w:rPr>
              <w:t xml:space="preserve"> e rezultatit të dakorduar, ose </w:t>
            </w:r>
            <w:r w:rsidR="0072300E" w:rsidRPr="00D816FB">
              <w:rPr>
                <w:rFonts w:ascii="StobiSerif Regular" w:hAnsi="StobiSerif Regular"/>
                <w:sz w:val="22"/>
                <w:szCs w:val="22"/>
                <w:lang w:val="sq-AL"/>
              </w:rPr>
              <w:t xml:space="preserve">edhe </w:t>
            </w:r>
            <w:r w:rsidR="0072300E" w:rsidRPr="00D816FB">
              <w:rPr>
                <w:rFonts w:ascii="StobiSerif Regular" w:hAnsi="StobiSerif Regular"/>
                <w:sz w:val="22"/>
                <w:szCs w:val="22"/>
              </w:rPr>
              <w:t xml:space="preserve">kur </w:t>
            </w:r>
            <w:r w:rsidR="0072300E" w:rsidRPr="00D816FB">
              <w:rPr>
                <w:rFonts w:ascii="StobiSerif Regular" w:hAnsi="StobiSerif Regular"/>
                <w:b/>
                <w:bCs/>
                <w:sz w:val="22"/>
                <w:szCs w:val="22"/>
              </w:rPr>
              <w:t xml:space="preserve">të njëjtat aktivitete </w:t>
            </w:r>
            <w:r w:rsidR="0072300E" w:rsidRPr="00D816FB">
              <w:rPr>
                <w:rFonts w:ascii="StobiSerif Regular" w:hAnsi="StobiSerif Regular"/>
                <w:b/>
                <w:bCs/>
                <w:sz w:val="22"/>
                <w:szCs w:val="22"/>
                <w:lang w:val="sq-AL"/>
              </w:rPr>
              <w:t>paraqiten</w:t>
            </w:r>
            <w:r w:rsidR="0072300E" w:rsidRPr="00D816FB">
              <w:rPr>
                <w:rFonts w:ascii="StobiSerif Regular" w:hAnsi="StobiSerif Regular"/>
                <w:b/>
                <w:bCs/>
                <w:sz w:val="22"/>
                <w:szCs w:val="22"/>
              </w:rPr>
              <w:t xml:space="preserve"> si rezultate në kuadër të fondeve të tjera të BE-së dhe/ose nga donatorë të tjerë</w:t>
            </w:r>
            <w:r w:rsidRPr="00D816FB">
              <w:rPr>
                <w:rFonts w:ascii="StobiSerif Regular" w:hAnsi="StobiSerif Regular"/>
                <w:sz w:val="22"/>
                <w:szCs w:val="22"/>
              </w:rPr>
              <w:t>.</w:t>
            </w:r>
          </w:p>
          <w:p w14:paraId="5C306713" w14:textId="608ADA19" w:rsidR="001A60A9" w:rsidRPr="00D816FB" w:rsidRDefault="001A60A9" w:rsidP="001A60A9">
            <w:pPr>
              <w:spacing w:before="120" w:after="120"/>
              <w:ind w:left="313" w:hanging="313"/>
              <w:jc w:val="both"/>
              <w:rPr>
                <w:rFonts w:ascii="StobiSerif Regular" w:hAnsi="StobiSerif Regular"/>
                <w:sz w:val="22"/>
                <w:szCs w:val="22"/>
              </w:rPr>
            </w:pPr>
            <w:r w:rsidRPr="00D816FB">
              <w:rPr>
                <w:rFonts w:ascii="StobiSerif Regular" w:hAnsi="StobiSerif Regular"/>
                <w:sz w:val="22"/>
                <w:szCs w:val="22"/>
              </w:rPr>
              <w:t>•</w:t>
            </w:r>
            <w:r w:rsidRPr="00D816FB">
              <w:rPr>
                <w:rFonts w:ascii="StobiSerif Regular" w:hAnsi="StobiSerif Regular"/>
                <w:sz w:val="22"/>
                <w:szCs w:val="22"/>
              </w:rPr>
              <w:tab/>
            </w:r>
            <w:r w:rsidR="0072300E" w:rsidRPr="00D816FB">
              <w:rPr>
                <w:rFonts w:ascii="StobiSerif Regular" w:hAnsi="StobiSerif Regular"/>
                <w:sz w:val="22"/>
                <w:szCs w:val="22"/>
              </w:rPr>
              <w:t xml:space="preserve">Në kuadër të Instrumentit për reforma dhe rritje për Ballkanin Perëndimor, </w:t>
            </w:r>
            <w:r w:rsidR="0072300E" w:rsidRPr="00D816FB">
              <w:rPr>
                <w:rFonts w:ascii="StobiSerif Regular" w:hAnsi="StobiSerif Regular"/>
                <w:sz w:val="22"/>
                <w:szCs w:val="22"/>
                <w:lang w:val="sq-AL"/>
              </w:rPr>
              <w:t>shfrytëzuesit</w:t>
            </w:r>
            <w:r w:rsidR="0072300E" w:rsidRPr="00D816FB">
              <w:rPr>
                <w:rFonts w:ascii="StobiSerif Regular" w:hAnsi="StobiSerif Regular"/>
                <w:sz w:val="22"/>
                <w:szCs w:val="22"/>
              </w:rPr>
              <w:t xml:space="preserve"> </w:t>
            </w:r>
            <w:r w:rsidR="0072300E" w:rsidRPr="00D816FB">
              <w:rPr>
                <w:rFonts w:ascii="StobiSerif Regular" w:hAnsi="StobiSerif Regular"/>
                <w:b/>
                <w:bCs/>
                <w:sz w:val="22"/>
                <w:szCs w:val="22"/>
              </w:rPr>
              <w:t>janë përgjegjës për parandalimin e financimit të dyfishtë</w:t>
            </w:r>
            <w:r w:rsidR="0072300E" w:rsidRPr="00D816FB">
              <w:rPr>
                <w:rFonts w:ascii="StobiSerif Regular" w:hAnsi="StobiSerif Regular"/>
                <w:sz w:val="22"/>
                <w:szCs w:val="22"/>
              </w:rPr>
              <w:t xml:space="preserve"> (d</w:t>
            </w:r>
            <w:r w:rsidR="0072300E" w:rsidRPr="00D816FB">
              <w:rPr>
                <w:rFonts w:ascii="StobiSerif Regular" w:hAnsi="StobiSerif Regular"/>
                <w:sz w:val="22"/>
                <w:szCs w:val="22"/>
                <w:lang w:val="sq-AL"/>
              </w:rPr>
              <w:t>.</w:t>
            </w:r>
            <w:r w:rsidR="0072300E" w:rsidRPr="00D816FB">
              <w:rPr>
                <w:rFonts w:ascii="StobiSerif Regular" w:hAnsi="StobiSerif Regular"/>
                <w:sz w:val="22"/>
                <w:szCs w:val="22"/>
              </w:rPr>
              <w:t>m</w:t>
            </w:r>
            <w:r w:rsidR="0072300E" w:rsidRPr="00D816FB">
              <w:rPr>
                <w:rFonts w:ascii="StobiSerif Regular" w:hAnsi="StobiSerif Regular"/>
                <w:sz w:val="22"/>
                <w:szCs w:val="22"/>
                <w:lang w:val="sq-AL"/>
              </w:rPr>
              <w:t>.</w:t>
            </w:r>
            <w:r w:rsidR="0072300E" w:rsidRPr="00D816FB">
              <w:rPr>
                <w:rFonts w:ascii="StobiSerif Regular" w:hAnsi="StobiSerif Regular"/>
                <w:sz w:val="22"/>
                <w:szCs w:val="22"/>
              </w:rPr>
              <w:t xml:space="preserve">th. deklaratë </w:t>
            </w:r>
            <w:r w:rsidR="0072300E" w:rsidRPr="00D816FB">
              <w:rPr>
                <w:rFonts w:ascii="StobiSerif Regular" w:hAnsi="StobiSerif Regular"/>
                <w:sz w:val="22"/>
                <w:szCs w:val="22"/>
                <w:lang w:val="sq-AL"/>
              </w:rPr>
              <w:t xml:space="preserve">për </w:t>
            </w:r>
            <w:r w:rsidR="0072300E" w:rsidRPr="00D816FB">
              <w:rPr>
                <w:rFonts w:ascii="StobiSerif Regular" w:hAnsi="StobiSerif Regular"/>
                <w:sz w:val="22"/>
                <w:szCs w:val="22"/>
              </w:rPr>
              <w:t>garanc), ideal</w:t>
            </w:r>
            <w:r w:rsidR="0072300E" w:rsidRPr="00D816FB">
              <w:rPr>
                <w:rFonts w:ascii="StobiSerif Regular" w:hAnsi="StobiSerif Regular"/>
                <w:sz w:val="22"/>
                <w:szCs w:val="22"/>
                <w:lang w:val="sq-AL"/>
              </w:rPr>
              <w:t>e</w:t>
            </w:r>
            <w:r w:rsidR="0072300E" w:rsidRPr="00D816FB">
              <w:rPr>
                <w:rFonts w:ascii="StobiSerif Regular" w:hAnsi="StobiSerif Regular"/>
                <w:sz w:val="22"/>
                <w:szCs w:val="22"/>
              </w:rPr>
              <w:t xml:space="preserve"> përmes sistemi</w:t>
            </w:r>
            <w:r w:rsidR="0072300E" w:rsidRPr="00D816FB">
              <w:rPr>
                <w:rFonts w:ascii="StobiSerif Regular" w:hAnsi="StobiSerif Regular"/>
                <w:sz w:val="22"/>
                <w:szCs w:val="22"/>
                <w:lang w:val="sq-AL"/>
              </w:rPr>
              <w:t>t</w:t>
            </w:r>
            <w:r w:rsidR="0072300E" w:rsidRPr="00D816FB">
              <w:rPr>
                <w:rFonts w:ascii="StobiSerif Regular" w:hAnsi="StobiSerif Regular"/>
                <w:sz w:val="22"/>
                <w:szCs w:val="22"/>
              </w:rPr>
              <w:t xml:space="preserve"> të centralizuar IT</w:t>
            </w:r>
            <w:r w:rsidR="0072300E" w:rsidRPr="00D816FB">
              <w:rPr>
                <w:rFonts w:ascii="StobiSerif Regular" w:hAnsi="StobiSerif Regular"/>
                <w:sz w:val="22"/>
                <w:szCs w:val="22"/>
                <w:lang w:val="sq-AL"/>
              </w:rPr>
              <w:t>-së</w:t>
            </w:r>
            <w:r w:rsidR="0072300E" w:rsidRPr="00D816FB">
              <w:rPr>
                <w:rFonts w:ascii="StobiSerif Regular" w:hAnsi="StobiSerif Regular"/>
                <w:sz w:val="22"/>
                <w:szCs w:val="22"/>
              </w:rPr>
              <w:t xml:space="preserve"> i</w:t>
            </w:r>
            <w:r w:rsidR="0072300E" w:rsidRPr="00D816FB">
              <w:rPr>
                <w:rFonts w:ascii="StobiSerif Regular" w:hAnsi="StobiSerif Regular"/>
                <w:sz w:val="22"/>
                <w:szCs w:val="22"/>
                <w:lang w:val="sq-AL"/>
              </w:rPr>
              <w:t xml:space="preserve"> cili mundëson</w:t>
            </w:r>
            <w:r w:rsidR="0072300E" w:rsidRPr="00D816FB">
              <w:rPr>
                <w:rFonts w:ascii="StobiSerif Regular" w:hAnsi="StobiSerif Regular"/>
                <w:sz w:val="22"/>
                <w:szCs w:val="22"/>
              </w:rPr>
              <w:t xml:space="preserve"> identifikimin e burimeve të ndryshme të financimit. Komisioni dhe delegacionet e BE-së gjithashtu marrin masa pë</w:t>
            </w:r>
            <w:r w:rsidR="0072300E" w:rsidRPr="00D816FB">
              <w:rPr>
                <w:rFonts w:ascii="StobiSerif Regular" w:hAnsi="StobiSerif Regular"/>
                <w:sz w:val="22"/>
                <w:szCs w:val="22"/>
                <w:lang w:val="sq-AL"/>
              </w:rPr>
              <w:t>rkatëse</w:t>
            </w:r>
            <w:r w:rsidR="0072300E" w:rsidRPr="00D816FB">
              <w:rPr>
                <w:rFonts w:ascii="StobiSerif Regular" w:hAnsi="StobiSerif Regular"/>
                <w:sz w:val="22"/>
                <w:szCs w:val="22"/>
              </w:rPr>
              <w:t xml:space="preserve"> për</w:t>
            </w:r>
            <w:r w:rsidR="0072300E" w:rsidRPr="00D816FB">
              <w:rPr>
                <w:rFonts w:ascii="StobiSerif Regular" w:hAnsi="StobiSerif Regular"/>
                <w:sz w:val="22"/>
                <w:szCs w:val="22"/>
                <w:lang w:val="sq-AL"/>
              </w:rPr>
              <w:t xml:space="preserve"> </w:t>
            </w:r>
            <w:r w:rsidR="0072300E" w:rsidRPr="00D816FB">
              <w:rPr>
                <w:rFonts w:ascii="StobiSerif Regular" w:hAnsi="StobiSerif Regular"/>
                <w:sz w:val="22"/>
                <w:szCs w:val="22"/>
              </w:rPr>
              <w:t>parandalimin e financimi</w:t>
            </w:r>
            <w:r w:rsidR="0072300E" w:rsidRPr="00D816FB">
              <w:rPr>
                <w:rFonts w:ascii="StobiSerif Regular" w:hAnsi="StobiSerif Regular"/>
                <w:sz w:val="22"/>
                <w:szCs w:val="22"/>
                <w:lang w:val="sq-AL"/>
              </w:rPr>
              <w:t>t</w:t>
            </w:r>
            <w:r w:rsidR="0072300E" w:rsidRPr="00D816FB">
              <w:rPr>
                <w:rFonts w:ascii="StobiSerif Regular" w:hAnsi="StobiSerif Regular"/>
                <w:sz w:val="22"/>
                <w:szCs w:val="22"/>
              </w:rPr>
              <w:t xml:space="preserve"> </w:t>
            </w:r>
            <w:r w:rsidR="0072300E" w:rsidRPr="00D816FB">
              <w:rPr>
                <w:rFonts w:ascii="StobiSerif Regular" w:hAnsi="StobiSerif Regular"/>
                <w:sz w:val="22"/>
                <w:szCs w:val="22"/>
                <w:lang w:val="sq-AL"/>
              </w:rPr>
              <w:t>të</w:t>
            </w:r>
            <w:r w:rsidR="0072300E" w:rsidRPr="00D816FB">
              <w:rPr>
                <w:rFonts w:ascii="StobiSerif Regular" w:hAnsi="StobiSerif Regular"/>
                <w:sz w:val="22"/>
                <w:szCs w:val="22"/>
              </w:rPr>
              <w:t xml:space="preserve"> dyfishtë</w:t>
            </w:r>
            <w:r w:rsidRPr="00D816FB">
              <w:rPr>
                <w:rFonts w:ascii="StobiSerif Regular" w:hAnsi="StobiSerif Regular"/>
                <w:sz w:val="22"/>
                <w:szCs w:val="22"/>
              </w:rPr>
              <w:t>.</w:t>
            </w:r>
          </w:p>
          <w:p w14:paraId="47EF39FD" w14:textId="43A5E398" w:rsidR="001A60A9" w:rsidRPr="00D816FB" w:rsidRDefault="001A60A9" w:rsidP="008E4228">
            <w:pPr>
              <w:spacing w:before="120" w:after="120"/>
              <w:ind w:left="313" w:hanging="313"/>
              <w:jc w:val="both"/>
              <w:rPr>
                <w:rFonts w:ascii="StobiSerif Regular" w:hAnsi="StobiSerif Regular"/>
                <w:sz w:val="22"/>
                <w:szCs w:val="22"/>
              </w:rPr>
            </w:pPr>
            <w:r w:rsidRPr="00D816FB">
              <w:rPr>
                <w:rFonts w:ascii="StobiSerif Regular" w:hAnsi="StobiSerif Regular"/>
                <w:sz w:val="22"/>
                <w:szCs w:val="22"/>
              </w:rPr>
              <w:t>•</w:t>
            </w:r>
            <w:r w:rsidRPr="00D816FB">
              <w:rPr>
                <w:rFonts w:ascii="StobiSerif Regular" w:hAnsi="StobiSerif Regular"/>
                <w:sz w:val="22"/>
                <w:szCs w:val="22"/>
              </w:rPr>
              <w:tab/>
            </w:r>
            <w:r w:rsidR="0072300E" w:rsidRPr="00D816FB">
              <w:rPr>
                <w:rFonts w:ascii="StobiSerif Regular" w:hAnsi="StobiSerif Regular"/>
                <w:sz w:val="22"/>
                <w:szCs w:val="22"/>
              </w:rPr>
              <w:t xml:space="preserve">Në praktikë, kjo do të thotë që nuk duhet të ketë mbivendosje në rezultatet përfundimtare të arritura me financim nga fonde të tjera të BE-së ose nga donatorë të tjerë, përveç nëse ekziston ndarje e qartë e rezultateve dhe ndarje e </w:t>
            </w:r>
            <w:r w:rsidR="0072300E" w:rsidRPr="00D816FB">
              <w:rPr>
                <w:rFonts w:ascii="StobiSerif Regular" w:hAnsi="StobiSerif Regular"/>
                <w:sz w:val="22"/>
                <w:szCs w:val="22"/>
                <w:lang w:val="sq-AL"/>
              </w:rPr>
              <w:t>mjeteve</w:t>
            </w:r>
            <w:r w:rsidR="0072300E" w:rsidRPr="00D816FB">
              <w:rPr>
                <w:rFonts w:ascii="StobiSerif Regular" w:hAnsi="StobiSerif Regular"/>
                <w:sz w:val="22"/>
                <w:szCs w:val="22"/>
              </w:rPr>
              <w:t xml:space="preserve"> (në nivel të p</w:t>
            </w:r>
            <w:r w:rsidR="0072300E" w:rsidRPr="00D816FB">
              <w:rPr>
                <w:rFonts w:ascii="StobiSerif Regular" w:hAnsi="StobiSerif Regular"/>
                <w:sz w:val="22"/>
                <w:szCs w:val="22"/>
                <w:lang w:val="sq-AL"/>
              </w:rPr>
              <w:t>ranuesëve</w:t>
            </w:r>
            <w:r w:rsidR="0072300E" w:rsidRPr="00D816FB">
              <w:rPr>
                <w:rFonts w:ascii="StobiSerif Regular" w:hAnsi="StobiSerif Regular"/>
                <w:sz w:val="22"/>
                <w:szCs w:val="22"/>
              </w:rPr>
              <w:t xml:space="preserve"> përfundimtarë). Gjithashtu, kjo do të thotë që rezultatet </w:t>
            </w:r>
            <w:r w:rsidR="0072300E" w:rsidRPr="00D816FB">
              <w:rPr>
                <w:rFonts w:ascii="StobiSerif Regular" w:hAnsi="StobiSerif Regular"/>
                <w:sz w:val="22"/>
                <w:szCs w:val="22"/>
                <w:lang w:val="sq-AL"/>
              </w:rPr>
              <w:t>të cilat janë të paraqitura</w:t>
            </w:r>
            <w:r w:rsidR="0072300E" w:rsidRPr="00D816FB">
              <w:rPr>
                <w:rFonts w:ascii="StobiSerif Regular" w:hAnsi="StobiSerif Regular"/>
                <w:sz w:val="22"/>
                <w:szCs w:val="22"/>
              </w:rPr>
              <w:t xml:space="preserve"> në kuadër të ndërhyrje</w:t>
            </w:r>
            <w:r w:rsidR="0072300E" w:rsidRPr="00D816FB">
              <w:rPr>
                <w:rFonts w:ascii="StobiSerif Regular" w:hAnsi="StobiSerif Regular"/>
                <w:sz w:val="22"/>
                <w:szCs w:val="22"/>
                <w:lang w:val="sq-AL"/>
              </w:rPr>
              <w:t>së</w:t>
            </w:r>
            <w:r w:rsidR="0072300E" w:rsidRPr="00D816FB">
              <w:rPr>
                <w:rFonts w:ascii="StobiSerif Regular" w:hAnsi="StobiSerif Regular"/>
                <w:sz w:val="22"/>
                <w:szCs w:val="22"/>
              </w:rPr>
              <w:t xml:space="preserve"> tjetër nuk duhet të numërohen përsëri gjatë shqyrtimit të përmbushjes së hapit në agjendat </w:t>
            </w:r>
            <w:r w:rsidR="0072300E" w:rsidRPr="00D816FB">
              <w:rPr>
                <w:rFonts w:ascii="StobiSerif Regular" w:hAnsi="StobiSerif Regular"/>
                <w:sz w:val="22"/>
                <w:szCs w:val="22"/>
                <w:lang w:val="sq-AL"/>
              </w:rPr>
              <w:t>reformuese</w:t>
            </w:r>
            <w:r w:rsidR="0072300E" w:rsidRPr="00D816FB">
              <w:rPr>
                <w:rFonts w:ascii="StobiSerif Regular" w:hAnsi="StobiSerif Regular"/>
                <w:sz w:val="22"/>
                <w:szCs w:val="22"/>
              </w:rPr>
              <w:t xml:space="preserve"> të dakorduara</w:t>
            </w:r>
            <w:r w:rsidRPr="00D816FB">
              <w:rPr>
                <w:rFonts w:ascii="StobiSerif Regular" w:hAnsi="StobiSerif Regular"/>
                <w:sz w:val="22"/>
                <w:szCs w:val="22"/>
              </w:rPr>
              <w:t>.</w:t>
            </w:r>
          </w:p>
        </w:tc>
      </w:tr>
    </w:tbl>
    <w:p w14:paraId="25FC1DD6" w14:textId="77777777" w:rsidR="001A60A9" w:rsidRPr="00D816FB" w:rsidRDefault="001A60A9" w:rsidP="00803AFB">
      <w:pPr>
        <w:shd w:val="clear" w:color="auto" w:fill="FFFFFF"/>
        <w:spacing w:before="120" w:after="120"/>
        <w:jc w:val="both"/>
        <w:rPr>
          <w:rFonts w:ascii="StobiSerif Regular" w:hAnsi="StobiSerif Regular"/>
          <w:sz w:val="22"/>
          <w:szCs w:val="22"/>
        </w:rPr>
      </w:pPr>
    </w:p>
    <w:p w14:paraId="01375569" w14:textId="00452A98" w:rsidR="0072300E" w:rsidRPr="00D816FB" w:rsidRDefault="0072300E" w:rsidP="0072300E">
      <w:pPr>
        <w:pStyle w:val="ListParagraph"/>
        <w:numPr>
          <w:ilvl w:val="0"/>
          <w:numId w:val="4"/>
        </w:numPr>
        <w:shd w:val="clear" w:color="auto" w:fill="FFFFFF"/>
        <w:spacing w:before="120" w:after="120"/>
        <w:jc w:val="both"/>
        <w:rPr>
          <w:rFonts w:ascii="StobiSerif Regular" w:hAnsi="StobiSerif Regular"/>
          <w:b/>
          <w:bCs/>
          <w:sz w:val="22"/>
          <w:szCs w:val="22"/>
          <w:lang w:val="sq-AL"/>
        </w:rPr>
      </w:pPr>
      <w:r w:rsidRPr="00D816FB">
        <w:rPr>
          <w:rFonts w:ascii="StobiSerif Regular" w:hAnsi="StobiSerif Regular"/>
          <w:b/>
          <w:bCs/>
          <w:sz w:val="22"/>
          <w:szCs w:val="22"/>
        </w:rPr>
        <w:t>Vërejtje të përgjithshme</w:t>
      </w:r>
    </w:p>
    <w:p w14:paraId="1DE6BA9D" w14:textId="19D11F5C" w:rsidR="0072300E" w:rsidRPr="00D816FB" w:rsidRDefault="0072300E" w:rsidP="00803AFB">
      <w:pPr>
        <w:shd w:val="clear" w:color="auto" w:fill="FFFFFF"/>
        <w:spacing w:before="120" w:after="120"/>
        <w:jc w:val="both"/>
        <w:rPr>
          <w:rFonts w:ascii="StobiSerif Regular" w:hAnsi="StobiSerif Regular"/>
          <w:sz w:val="22"/>
          <w:szCs w:val="22"/>
          <w:lang w:val="sq-AL"/>
        </w:rPr>
      </w:pPr>
      <w:r w:rsidRPr="00D816FB">
        <w:rPr>
          <w:rFonts w:ascii="StobiSerif Regular" w:hAnsi="StobiSerif Regular"/>
          <w:b/>
          <w:bCs/>
          <w:sz w:val="22"/>
          <w:szCs w:val="22"/>
        </w:rPr>
        <w:t xml:space="preserve">Komisioni, si dhe </w:t>
      </w:r>
      <w:r w:rsidRPr="00D816FB">
        <w:rPr>
          <w:rFonts w:ascii="StobiSerif Regular" w:hAnsi="StobiSerif Regular"/>
          <w:b/>
          <w:bCs/>
          <w:sz w:val="22"/>
          <w:szCs w:val="22"/>
          <w:lang w:val="sq-AL"/>
        </w:rPr>
        <w:t>Shfrytëzuesi</w:t>
      </w:r>
      <w:r w:rsidRPr="00D816FB">
        <w:rPr>
          <w:rFonts w:ascii="StobiSerif Regular" w:hAnsi="StobiSerif Regular"/>
          <w:b/>
          <w:bCs/>
          <w:sz w:val="22"/>
          <w:szCs w:val="22"/>
        </w:rPr>
        <w:t>, kanë</w:t>
      </w:r>
      <w:r w:rsidRPr="00D816FB">
        <w:rPr>
          <w:rFonts w:ascii="StobiSerif Regular" w:hAnsi="StobiSerif Regular"/>
          <w:b/>
          <w:bCs/>
          <w:sz w:val="22"/>
          <w:szCs w:val="22"/>
          <w:lang w:val="sq-AL"/>
        </w:rPr>
        <w:t xml:space="preserve"> për</w:t>
      </w:r>
      <w:r w:rsidRPr="00D816FB">
        <w:rPr>
          <w:rFonts w:ascii="StobiSerif Regular" w:hAnsi="StobiSerif Regular"/>
          <w:b/>
          <w:bCs/>
          <w:sz w:val="22"/>
          <w:szCs w:val="22"/>
        </w:rPr>
        <w:t xml:space="preserve"> detyrim të shmangin „financimin e dyfishtë“ gjatë </w:t>
      </w:r>
      <w:r w:rsidRPr="00D816FB">
        <w:rPr>
          <w:rFonts w:ascii="StobiSerif Regular" w:hAnsi="StobiSerif Regular"/>
          <w:b/>
          <w:bCs/>
          <w:sz w:val="22"/>
          <w:szCs w:val="22"/>
          <w:lang w:val="sq-AL"/>
        </w:rPr>
        <w:t>implementimit</w:t>
      </w:r>
      <w:r w:rsidRPr="00D816FB">
        <w:rPr>
          <w:rFonts w:ascii="StobiSerif Regular" w:hAnsi="StobiSerif Regular"/>
          <w:b/>
          <w:bCs/>
          <w:sz w:val="22"/>
          <w:szCs w:val="22"/>
        </w:rPr>
        <w:t xml:space="preserve"> të IRR-së.</w:t>
      </w:r>
      <w:r w:rsidRPr="00D816FB">
        <w:rPr>
          <w:rFonts w:ascii="StobiSerif Regular" w:hAnsi="StobiSerif Regular"/>
          <w:b/>
          <w:bCs/>
          <w:sz w:val="22"/>
          <w:szCs w:val="22"/>
          <w:lang w:val="sq-AL"/>
        </w:rPr>
        <w:t xml:space="preserve"> </w:t>
      </w:r>
      <w:r w:rsidRPr="00D816FB">
        <w:rPr>
          <w:rFonts w:ascii="StobiSerif Regular" w:hAnsi="StobiSerif Regular"/>
          <w:sz w:val="22"/>
          <w:szCs w:val="22"/>
        </w:rPr>
        <w:t xml:space="preserve">Në kuadër të Instrumentit për reforma dhe rritje, lejohet që mbështetja të kombinohet me mbështetje financiare nga programet e tjera të </w:t>
      </w:r>
      <w:r w:rsidRPr="00D816FB">
        <w:rPr>
          <w:rFonts w:ascii="StobiSerif Regular" w:hAnsi="StobiSerif Regular"/>
          <w:sz w:val="22"/>
          <w:szCs w:val="22"/>
          <w:lang w:val="sq-AL"/>
        </w:rPr>
        <w:t>Unionit</w:t>
      </w:r>
      <w:r w:rsidRPr="00D816FB">
        <w:rPr>
          <w:rFonts w:ascii="StobiSerif Regular" w:hAnsi="StobiSerif Regular"/>
          <w:sz w:val="22"/>
          <w:szCs w:val="22"/>
        </w:rPr>
        <w:t>, në p</w:t>
      </w:r>
      <w:r w:rsidRPr="00D816FB">
        <w:rPr>
          <w:rFonts w:ascii="StobiSerif Regular" w:hAnsi="StobiSerif Regular"/>
          <w:sz w:val="22"/>
          <w:szCs w:val="22"/>
          <w:lang w:val="sq-AL"/>
        </w:rPr>
        <w:t>ajtueshmëri</w:t>
      </w:r>
      <w:r w:rsidRPr="00D816FB">
        <w:rPr>
          <w:rFonts w:ascii="StobiSerif Regular" w:hAnsi="StobiSerif Regular"/>
          <w:sz w:val="22"/>
          <w:szCs w:val="22"/>
        </w:rPr>
        <w:t xml:space="preserve"> me nenin 4(3) të Rregullores për IRR-në, “me kusht që mbështetje </w:t>
      </w:r>
      <w:r w:rsidRPr="00D816FB">
        <w:rPr>
          <w:rFonts w:ascii="StobiSerif Regular" w:hAnsi="StobiSerif Regular"/>
          <w:sz w:val="22"/>
          <w:szCs w:val="22"/>
          <w:lang w:val="sq-AL"/>
        </w:rPr>
        <w:t xml:space="preserve">e tillë </w:t>
      </w:r>
      <w:r w:rsidRPr="00D816FB">
        <w:rPr>
          <w:rFonts w:ascii="StobiSerif Regular" w:hAnsi="StobiSerif Regular"/>
          <w:sz w:val="22"/>
          <w:szCs w:val="22"/>
        </w:rPr>
        <w:t xml:space="preserve">të mos mbulojë të njëjtat shpenzime dhe të sigurohet mbikëqyrje dhe kontroll buxhetor </w:t>
      </w:r>
      <w:r w:rsidRPr="00D816FB">
        <w:rPr>
          <w:rFonts w:ascii="StobiSerif Regular" w:hAnsi="StobiSerif Regular"/>
          <w:sz w:val="22"/>
          <w:szCs w:val="22"/>
          <w:lang w:val="sq-AL"/>
        </w:rPr>
        <w:t>përkatës</w:t>
      </w:r>
      <w:r w:rsidRPr="00D816FB">
        <w:rPr>
          <w:rFonts w:ascii="StobiSerif Regular" w:hAnsi="StobiSerif Regular"/>
          <w:sz w:val="22"/>
          <w:szCs w:val="22"/>
        </w:rPr>
        <w:t>.</w:t>
      </w:r>
      <w:r w:rsidRPr="00D816FB">
        <w:rPr>
          <w:rFonts w:ascii="StobiSerif Regular" w:hAnsi="StobiSerif Regular"/>
          <w:sz w:val="22"/>
          <w:szCs w:val="22"/>
          <w:lang w:val="sq-AL"/>
        </w:rPr>
        <w:t xml:space="preserve"> </w:t>
      </w:r>
      <w:r w:rsidRPr="00D816FB">
        <w:rPr>
          <w:rFonts w:ascii="StobiSerif Regular" w:hAnsi="StobiSerif Regular"/>
          <w:sz w:val="22"/>
          <w:szCs w:val="22"/>
        </w:rPr>
        <w:t xml:space="preserve">Kjo </w:t>
      </w:r>
      <w:r w:rsidRPr="00D816FB">
        <w:rPr>
          <w:rFonts w:ascii="StobiSerif Regular" w:hAnsi="StobiSerif Regular"/>
          <w:sz w:val="22"/>
          <w:szCs w:val="22"/>
          <w:lang w:val="sq-AL"/>
        </w:rPr>
        <w:t xml:space="preserve">në veçanti </w:t>
      </w:r>
      <w:r w:rsidRPr="00D816FB">
        <w:rPr>
          <w:rFonts w:ascii="StobiSerif Regular" w:hAnsi="StobiSerif Regular"/>
          <w:sz w:val="22"/>
          <w:szCs w:val="22"/>
        </w:rPr>
        <w:t>ka për qëllim të sigurojë komplementaritet ndërmjet financimit nga IPA III dhe burimeve të tjera, si dhe financimit të siguruar në kuadër të IRR-së</w:t>
      </w:r>
      <w:r w:rsidR="00C71B06" w:rsidRPr="00D816FB">
        <w:rPr>
          <w:rFonts w:ascii="StobiSerif Regular" w:hAnsi="StobiSerif Regular"/>
          <w:color w:val="000000"/>
          <w:sz w:val="22"/>
          <w:szCs w:val="22"/>
        </w:rPr>
        <w:t>.</w:t>
      </w:r>
    </w:p>
    <w:p w14:paraId="234E8DA2" w14:textId="6AF77618" w:rsidR="00C71B06" w:rsidRPr="00D816FB" w:rsidRDefault="0072300E" w:rsidP="00803AFB">
      <w:pPr>
        <w:shd w:val="clear" w:color="auto" w:fill="FFFFFF"/>
        <w:spacing w:before="120" w:after="120"/>
        <w:jc w:val="both"/>
        <w:rPr>
          <w:rFonts w:ascii="StobiSerif Regular" w:hAnsi="StobiSerif Regular"/>
          <w:sz w:val="22"/>
          <w:szCs w:val="22"/>
        </w:rPr>
      </w:pPr>
      <w:r w:rsidRPr="00D816FB">
        <w:rPr>
          <w:rFonts w:ascii="StobiSerif Regular" w:hAnsi="StobiSerif Regular"/>
          <w:b/>
          <w:bCs/>
          <w:sz w:val="22"/>
          <w:szCs w:val="22"/>
        </w:rPr>
        <w:t xml:space="preserve">Komisioni </w:t>
      </w:r>
      <w:r w:rsidRPr="00D816FB">
        <w:rPr>
          <w:rFonts w:ascii="StobiSerif Regular" w:hAnsi="StobiSerif Regular"/>
          <w:b/>
          <w:bCs/>
          <w:sz w:val="22"/>
          <w:szCs w:val="22"/>
          <w:lang w:val="sq-AL"/>
        </w:rPr>
        <w:t>bëri</w:t>
      </w:r>
      <w:r w:rsidRPr="00D816FB">
        <w:rPr>
          <w:rFonts w:ascii="StobiSerif Regular" w:hAnsi="StobiSerif Regular"/>
          <w:b/>
          <w:bCs/>
          <w:sz w:val="22"/>
          <w:szCs w:val="22"/>
        </w:rPr>
        <w:t xml:space="preserve"> vlerësim nëse mekanizmat e vendosur nga </w:t>
      </w:r>
      <w:r w:rsidRPr="00D816FB">
        <w:rPr>
          <w:rFonts w:ascii="StobiSerif Regular" w:hAnsi="StobiSerif Regular"/>
          <w:b/>
          <w:bCs/>
          <w:sz w:val="22"/>
          <w:szCs w:val="22"/>
          <w:lang w:val="sq-AL"/>
        </w:rPr>
        <w:t>shfrytëzuesit</w:t>
      </w:r>
      <w:r w:rsidRPr="00D816FB">
        <w:rPr>
          <w:rFonts w:ascii="StobiSerif Regular" w:hAnsi="StobiSerif Regular"/>
          <w:b/>
          <w:bCs/>
          <w:sz w:val="22"/>
          <w:szCs w:val="22"/>
        </w:rPr>
        <w:t xml:space="preserve"> për parandalimin e financimit të dyfishtë janë të kënaqshëm</w:t>
      </w:r>
      <w:r w:rsidRPr="00D816FB">
        <w:rPr>
          <w:rFonts w:ascii="StobiSerif Regular" w:hAnsi="StobiSerif Regular"/>
          <w:b/>
          <w:bCs/>
          <w:sz w:val="22"/>
          <w:szCs w:val="22"/>
          <w:lang w:val="sq-AL"/>
        </w:rPr>
        <w:t>e</w:t>
      </w:r>
      <w:r w:rsidRPr="00D816FB">
        <w:rPr>
          <w:rFonts w:ascii="StobiSerif Regular" w:hAnsi="StobiSerif Regular"/>
          <w:b/>
          <w:bCs/>
          <w:sz w:val="22"/>
          <w:szCs w:val="22"/>
        </w:rPr>
        <w:t>.</w:t>
      </w:r>
      <w:r w:rsidRPr="00D816FB">
        <w:rPr>
          <w:rFonts w:ascii="StobiSerif Regular" w:hAnsi="StobiSerif Regular"/>
          <w:sz w:val="22"/>
          <w:szCs w:val="22"/>
          <w:lang w:val="sq-AL"/>
        </w:rPr>
        <w:t xml:space="preserve"> </w:t>
      </w:r>
      <w:r w:rsidRPr="00D816FB">
        <w:rPr>
          <w:rFonts w:ascii="StobiSerif Regular" w:hAnsi="StobiSerif Regular"/>
          <w:sz w:val="22"/>
          <w:szCs w:val="22"/>
        </w:rPr>
        <w:t>Agjendat reform</w:t>
      </w:r>
      <w:r w:rsidRPr="00D816FB">
        <w:rPr>
          <w:rFonts w:ascii="StobiSerif Regular" w:hAnsi="StobiSerif Regular"/>
          <w:sz w:val="22"/>
          <w:szCs w:val="22"/>
          <w:lang w:val="sq-AL"/>
        </w:rPr>
        <w:t>uese</w:t>
      </w:r>
      <w:r w:rsidRPr="00D816FB">
        <w:rPr>
          <w:rFonts w:ascii="StobiSerif Regular" w:hAnsi="StobiSerif Regular"/>
          <w:sz w:val="22"/>
          <w:szCs w:val="22"/>
        </w:rPr>
        <w:t xml:space="preserve"> përmbajnë shpjegim </w:t>
      </w:r>
      <w:r w:rsidRPr="00D816FB">
        <w:rPr>
          <w:rFonts w:ascii="StobiSerif Regular" w:hAnsi="StobiSerif Regular"/>
          <w:sz w:val="22"/>
          <w:szCs w:val="22"/>
          <w:lang w:val="sq-AL"/>
        </w:rPr>
        <w:t>për</w:t>
      </w:r>
      <w:r w:rsidRPr="00D816FB">
        <w:rPr>
          <w:rFonts w:ascii="StobiSerif Regular" w:hAnsi="StobiSerif Regular"/>
          <w:sz w:val="22"/>
          <w:szCs w:val="22"/>
        </w:rPr>
        <w:t xml:space="preserve"> sistemi</w:t>
      </w:r>
      <w:r w:rsidRPr="00D816FB">
        <w:rPr>
          <w:rFonts w:ascii="StobiSerif Regular" w:hAnsi="StobiSerif Regular"/>
          <w:sz w:val="22"/>
          <w:szCs w:val="22"/>
          <w:lang w:val="sq-AL"/>
        </w:rPr>
        <w:t>n</w:t>
      </w:r>
      <w:r w:rsidRPr="00D816FB">
        <w:rPr>
          <w:rFonts w:ascii="StobiSerif Regular" w:hAnsi="StobiSerif Regular"/>
          <w:sz w:val="22"/>
          <w:szCs w:val="22"/>
        </w:rPr>
        <w:t xml:space="preserve"> </w:t>
      </w:r>
      <w:r w:rsidRPr="00D816FB">
        <w:rPr>
          <w:rFonts w:ascii="StobiSerif Regular" w:hAnsi="StobiSerif Regular"/>
          <w:sz w:val="22"/>
          <w:szCs w:val="22"/>
          <w:lang w:val="sq-AL"/>
        </w:rPr>
        <w:t>e</w:t>
      </w:r>
      <w:r w:rsidRPr="00D816FB">
        <w:rPr>
          <w:rFonts w:ascii="StobiSerif Regular" w:hAnsi="StobiSerif Regular"/>
          <w:sz w:val="22"/>
          <w:szCs w:val="22"/>
        </w:rPr>
        <w:t xml:space="preserve"> </w:t>
      </w:r>
      <w:r w:rsidRPr="00D816FB">
        <w:rPr>
          <w:rFonts w:ascii="StobiSerif Regular" w:hAnsi="StobiSerif Regular"/>
          <w:sz w:val="22"/>
          <w:szCs w:val="22"/>
          <w:lang w:val="sq-AL"/>
        </w:rPr>
        <w:t>Shfrytëzuesit</w:t>
      </w:r>
      <w:r w:rsidRPr="00D816FB">
        <w:rPr>
          <w:rFonts w:ascii="StobiSerif Regular" w:hAnsi="StobiSerif Regular"/>
          <w:sz w:val="22"/>
          <w:szCs w:val="22"/>
        </w:rPr>
        <w:t xml:space="preserve"> për parandalimin efikas, zbulimin dhe korrigjimin e parregullsive, si dhe mekanizma për </w:t>
      </w:r>
      <w:r w:rsidRPr="00D816FB">
        <w:rPr>
          <w:rFonts w:ascii="StobiSerif Regular" w:hAnsi="StobiSerif Regular"/>
          <w:sz w:val="22"/>
          <w:szCs w:val="22"/>
        </w:rPr>
        <w:lastRenderedPageBreak/>
        <w:t>shmangien e financimit të dyfishtë nga Instrumenti dhe programet e tjera të Bashkimit</w:t>
      </w:r>
      <w:r w:rsidRPr="00D816FB">
        <w:rPr>
          <w:rFonts w:ascii="StobiSerif Regular" w:hAnsi="StobiSerif Regular"/>
          <w:sz w:val="22"/>
          <w:szCs w:val="22"/>
          <w:lang w:val="sq-AL"/>
        </w:rPr>
        <w:t xml:space="preserve"> Evropian</w:t>
      </w:r>
      <w:r w:rsidRPr="00D816FB">
        <w:rPr>
          <w:rFonts w:ascii="StobiSerif Regular" w:hAnsi="StobiSerif Regular"/>
          <w:sz w:val="22"/>
          <w:szCs w:val="22"/>
        </w:rPr>
        <w:t>, si dhe nga donatorë të tjerë.</w:t>
      </w:r>
      <w:r w:rsidRPr="00D816FB">
        <w:rPr>
          <w:rFonts w:ascii="StobiSerif Regular" w:hAnsi="StobiSerif Regular"/>
          <w:sz w:val="22"/>
          <w:szCs w:val="22"/>
          <w:lang w:val="sq-AL"/>
        </w:rPr>
        <w:t xml:space="preserve"> </w:t>
      </w:r>
      <w:r w:rsidRPr="00D816FB">
        <w:rPr>
          <w:rFonts w:ascii="StobiSerif Regular" w:hAnsi="StobiSerif Regular"/>
          <w:sz w:val="22"/>
          <w:szCs w:val="22"/>
        </w:rPr>
        <w:t>Vlerësimi i Agjendës</w:t>
      </w:r>
      <w:r w:rsidRPr="00D816FB">
        <w:rPr>
          <w:rFonts w:ascii="StobiSerif Regular" w:hAnsi="StobiSerif Regular"/>
          <w:sz w:val="22"/>
          <w:szCs w:val="22"/>
          <w:lang w:val="sq-AL"/>
        </w:rPr>
        <w:t xml:space="preserve"> r</w:t>
      </w:r>
      <w:r w:rsidRPr="00D816FB">
        <w:rPr>
          <w:rFonts w:ascii="StobiSerif Regular" w:hAnsi="StobiSerif Regular"/>
          <w:sz w:val="22"/>
          <w:szCs w:val="22"/>
        </w:rPr>
        <w:t>efor</w:t>
      </w:r>
      <w:r w:rsidRPr="00D816FB">
        <w:rPr>
          <w:rFonts w:ascii="StobiSerif Regular" w:hAnsi="StobiSerif Regular"/>
          <w:sz w:val="22"/>
          <w:szCs w:val="22"/>
          <w:lang w:val="sq-AL"/>
        </w:rPr>
        <w:t>muese</w:t>
      </w:r>
      <w:r w:rsidRPr="00D816FB">
        <w:rPr>
          <w:rFonts w:ascii="StobiSerif Regular" w:hAnsi="StobiSerif Regular"/>
          <w:sz w:val="22"/>
          <w:szCs w:val="22"/>
        </w:rPr>
        <w:t xml:space="preserve"> nga ana e Komisionit përfshiu këtë aspekt</w:t>
      </w:r>
      <w:r w:rsidR="00C71B06" w:rsidRPr="00D816FB">
        <w:rPr>
          <w:rFonts w:ascii="StobiSerif Regular" w:hAnsi="StobiSerif Regular"/>
          <w:color w:val="000000"/>
          <w:sz w:val="22"/>
          <w:szCs w:val="22"/>
        </w:rPr>
        <w:t>.</w:t>
      </w:r>
    </w:p>
    <w:p w14:paraId="179C4A09" w14:textId="6CA66EA4" w:rsidR="00C71B06" w:rsidRPr="00D816FB" w:rsidRDefault="0072300E" w:rsidP="00803AFB">
      <w:pPr>
        <w:shd w:val="clear" w:color="auto" w:fill="FFFFFF"/>
        <w:spacing w:before="120" w:after="120"/>
        <w:jc w:val="both"/>
        <w:rPr>
          <w:rFonts w:ascii="StobiSerif Regular" w:hAnsi="StobiSerif Regular"/>
          <w:sz w:val="22"/>
          <w:szCs w:val="22"/>
        </w:rPr>
      </w:pPr>
      <w:r w:rsidRPr="00D816FB">
        <w:rPr>
          <w:rFonts w:ascii="StobiSerif Regular" w:hAnsi="StobiSerif Regular"/>
          <w:b/>
          <w:bCs/>
          <w:sz w:val="22"/>
          <w:szCs w:val="22"/>
          <w:lang w:val="sq-AL"/>
        </w:rPr>
        <w:t>K</w:t>
      </w:r>
      <w:r w:rsidRPr="00D816FB">
        <w:rPr>
          <w:rFonts w:ascii="StobiSerif Regular" w:hAnsi="StobiSerif Regular"/>
          <w:b/>
          <w:bCs/>
          <w:sz w:val="22"/>
          <w:szCs w:val="22"/>
        </w:rPr>
        <w:t>oncepti i</w:t>
      </w:r>
      <w:r w:rsidRPr="00D816FB">
        <w:rPr>
          <w:rFonts w:ascii="StobiSerif Regular" w:hAnsi="StobiSerif Regular"/>
          <w:b/>
          <w:bCs/>
          <w:sz w:val="22"/>
          <w:szCs w:val="22"/>
          <w:lang w:val="sq-AL"/>
        </w:rPr>
        <w:t xml:space="preserve"> </w:t>
      </w:r>
      <w:r w:rsidRPr="00D816FB">
        <w:rPr>
          <w:rFonts w:ascii="StobiSerif Regular" w:hAnsi="StobiSerif Regular"/>
          <w:b/>
          <w:bCs/>
          <w:sz w:val="22"/>
          <w:szCs w:val="22"/>
        </w:rPr>
        <w:t xml:space="preserve">„financimit të dyfishtë“ nuk është i lehtë për </w:t>
      </w:r>
      <w:r w:rsidRPr="00D816FB">
        <w:rPr>
          <w:rFonts w:ascii="StobiSerif Regular" w:hAnsi="StobiSerif Regular"/>
          <w:b/>
          <w:bCs/>
          <w:sz w:val="22"/>
          <w:szCs w:val="22"/>
          <w:lang w:val="sq-AL"/>
        </w:rPr>
        <w:t>t’u implementuar</w:t>
      </w:r>
      <w:r w:rsidRPr="00D816FB">
        <w:rPr>
          <w:rFonts w:ascii="StobiSerif Regular" w:hAnsi="StobiSerif Regular"/>
          <w:b/>
          <w:bCs/>
          <w:sz w:val="22"/>
          <w:szCs w:val="22"/>
        </w:rPr>
        <w:t xml:space="preserve">, </w:t>
      </w:r>
      <w:r w:rsidRPr="00D816FB">
        <w:rPr>
          <w:rFonts w:ascii="StobiSerif Regular" w:hAnsi="StobiSerif Regular"/>
          <w:b/>
          <w:bCs/>
          <w:sz w:val="22"/>
          <w:szCs w:val="22"/>
          <w:lang w:val="sq-AL"/>
        </w:rPr>
        <w:t>nëqoftëse merret</w:t>
      </w:r>
      <w:r w:rsidRPr="00D816FB">
        <w:rPr>
          <w:rFonts w:ascii="StobiSerif Regular" w:hAnsi="StobiSerif Regular"/>
          <w:b/>
          <w:bCs/>
          <w:sz w:val="22"/>
          <w:szCs w:val="22"/>
        </w:rPr>
        <w:t xml:space="preserve"> parasysh se IRR-ja është instrument i bazuar në performanc</w:t>
      </w:r>
      <w:r w:rsidRPr="00D816FB">
        <w:rPr>
          <w:rFonts w:ascii="StobiSerif Regular" w:hAnsi="StobiSerif Regular"/>
          <w:b/>
          <w:bCs/>
          <w:sz w:val="22"/>
          <w:szCs w:val="22"/>
          <w:lang w:val="sq-AL"/>
        </w:rPr>
        <w:t>a</w:t>
      </w:r>
      <w:r w:rsidRPr="00D816FB">
        <w:rPr>
          <w:rFonts w:ascii="StobiSerif Regular" w:hAnsi="StobiSerif Regular"/>
          <w:sz w:val="22"/>
          <w:szCs w:val="22"/>
        </w:rPr>
        <w:t>.</w:t>
      </w:r>
      <w:r w:rsidRPr="00D816FB">
        <w:rPr>
          <w:rFonts w:ascii="StobiSerif Regular" w:hAnsi="StobiSerif Regular"/>
          <w:sz w:val="22"/>
          <w:szCs w:val="22"/>
          <w:lang w:val="sq-AL"/>
        </w:rPr>
        <w:t xml:space="preserve"> </w:t>
      </w:r>
      <w:r w:rsidRPr="00D816FB">
        <w:rPr>
          <w:rFonts w:ascii="StobiSerif Regular" w:hAnsi="StobiSerif Regular"/>
          <w:sz w:val="22"/>
          <w:szCs w:val="22"/>
        </w:rPr>
        <w:t xml:space="preserve">Neni 4(3) </w:t>
      </w:r>
      <w:r w:rsidRPr="00D816FB">
        <w:rPr>
          <w:rFonts w:ascii="StobiSerif Regular" w:hAnsi="StobiSerif Regular"/>
          <w:sz w:val="22"/>
          <w:szCs w:val="22"/>
          <w:lang w:val="sq-AL"/>
        </w:rPr>
        <w:t>nga</w:t>
      </w:r>
      <w:r w:rsidRPr="00D816FB">
        <w:rPr>
          <w:rFonts w:ascii="StobiSerif Regular" w:hAnsi="StobiSerif Regular"/>
          <w:sz w:val="22"/>
          <w:szCs w:val="22"/>
        </w:rPr>
        <w:t xml:space="preserve"> Rregullor</w:t>
      </w:r>
      <w:r w:rsidRPr="00D816FB">
        <w:rPr>
          <w:rFonts w:ascii="StobiSerif Regular" w:hAnsi="StobiSerif Regular"/>
          <w:sz w:val="22"/>
          <w:szCs w:val="22"/>
          <w:lang w:val="sq-AL"/>
        </w:rPr>
        <w:t>ja</w:t>
      </w:r>
      <w:r w:rsidRPr="00D816FB">
        <w:rPr>
          <w:rFonts w:ascii="StobiSerif Regular" w:hAnsi="StobiSerif Regular"/>
          <w:sz w:val="22"/>
          <w:szCs w:val="22"/>
        </w:rPr>
        <w:t xml:space="preserve"> për IRR-në </w:t>
      </w:r>
      <w:r w:rsidRPr="00D816FB">
        <w:rPr>
          <w:rFonts w:ascii="StobiSerif Regular" w:hAnsi="StobiSerif Regular"/>
          <w:sz w:val="22"/>
          <w:szCs w:val="22"/>
          <w:lang w:val="sq-AL"/>
        </w:rPr>
        <w:t>vendos</w:t>
      </w:r>
      <w:r w:rsidRPr="00D816FB">
        <w:rPr>
          <w:rFonts w:ascii="StobiSerif Regular" w:hAnsi="StobiSerif Regular"/>
          <w:sz w:val="22"/>
          <w:szCs w:val="22"/>
        </w:rPr>
        <w:t xml:space="preserve"> qasje të bazuar në </w:t>
      </w:r>
      <w:r w:rsidRPr="00D816FB">
        <w:rPr>
          <w:rFonts w:ascii="StobiSerif Regular" w:hAnsi="StobiSerif Regular"/>
          <w:sz w:val="22"/>
          <w:szCs w:val="22"/>
          <w:lang w:val="sq-AL"/>
        </w:rPr>
        <w:t>shpenzime</w:t>
      </w:r>
      <w:r w:rsidRPr="00D816FB">
        <w:rPr>
          <w:rFonts w:ascii="StobiSerif Regular" w:hAnsi="StobiSerif Regular"/>
          <w:sz w:val="22"/>
          <w:szCs w:val="22"/>
        </w:rPr>
        <w:t xml:space="preserve"> për vlerësimin e financimit të dyfishtë. Megjithatë, IRR-ja është instrument i bazuar në performanc</w:t>
      </w:r>
      <w:r w:rsidRPr="00D816FB">
        <w:rPr>
          <w:rFonts w:ascii="StobiSerif Regular" w:hAnsi="StobiSerif Regular"/>
          <w:sz w:val="22"/>
          <w:szCs w:val="22"/>
          <w:lang w:val="sq-AL"/>
        </w:rPr>
        <w:t>a</w:t>
      </w:r>
      <w:r w:rsidRPr="00D816FB">
        <w:rPr>
          <w:rFonts w:ascii="StobiSerif Regular" w:hAnsi="StobiSerif Regular"/>
          <w:sz w:val="22"/>
          <w:szCs w:val="22"/>
        </w:rPr>
        <w:t xml:space="preserve">, ku financimi </w:t>
      </w:r>
      <w:r w:rsidRPr="00D816FB">
        <w:rPr>
          <w:rFonts w:ascii="StobiSerif Regular" w:hAnsi="StobiSerif Regular"/>
          <w:sz w:val="22"/>
          <w:szCs w:val="22"/>
          <w:lang w:val="sq-AL"/>
        </w:rPr>
        <w:t>është i lidhur</w:t>
      </w:r>
      <w:r w:rsidRPr="00D816FB">
        <w:rPr>
          <w:rFonts w:ascii="StobiSerif Regular" w:hAnsi="StobiSerif Regular"/>
          <w:sz w:val="22"/>
          <w:szCs w:val="22"/>
        </w:rPr>
        <w:t xml:space="preserve"> me rezultatet e arritura</w:t>
      </w:r>
      <w:r w:rsidRPr="00D816FB">
        <w:rPr>
          <w:rFonts w:ascii="StobiSerif Regular" w:hAnsi="StobiSerif Regular"/>
          <w:sz w:val="22"/>
          <w:szCs w:val="22"/>
          <w:lang w:val="sq-AL"/>
        </w:rPr>
        <w:t>, ndërsa</w:t>
      </w:r>
      <w:r w:rsidRPr="00D816FB">
        <w:rPr>
          <w:rFonts w:ascii="StobiSerif Regular" w:hAnsi="StobiSerif Regular"/>
          <w:sz w:val="22"/>
          <w:szCs w:val="22"/>
        </w:rPr>
        <w:t xml:space="preserve"> jo me </w:t>
      </w:r>
      <w:r w:rsidRPr="00D816FB">
        <w:rPr>
          <w:rFonts w:ascii="StobiSerif Regular" w:hAnsi="StobiSerif Regular"/>
          <w:sz w:val="22"/>
          <w:szCs w:val="22"/>
          <w:lang w:val="sq-AL"/>
        </w:rPr>
        <w:t>shpenzimet</w:t>
      </w:r>
      <w:r w:rsidRPr="00D816FB">
        <w:rPr>
          <w:rFonts w:ascii="StobiSerif Regular" w:hAnsi="StobiSerif Regular"/>
          <w:sz w:val="22"/>
          <w:szCs w:val="22"/>
        </w:rPr>
        <w:t xml:space="preserve"> e </w:t>
      </w:r>
      <w:r w:rsidRPr="00D816FB">
        <w:rPr>
          <w:rFonts w:ascii="StobiSerif Regular" w:hAnsi="StobiSerif Regular"/>
          <w:sz w:val="22"/>
          <w:szCs w:val="22"/>
          <w:lang w:val="sq-AL"/>
        </w:rPr>
        <w:t>bëra</w:t>
      </w:r>
      <w:r w:rsidRPr="00D816FB">
        <w:rPr>
          <w:rFonts w:ascii="StobiSerif Regular" w:hAnsi="StobiSerif Regular"/>
          <w:sz w:val="22"/>
          <w:szCs w:val="22"/>
        </w:rPr>
        <w:t>.</w:t>
      </w:r>
      <w:r w:rsidRPr="00D816FB">
        <w:rPr>
          <w:rFonts w:ascii="StobiSerif Regular" w:hAnsi="StobiSerif Regular"/>
          <w:sz w:val="22"/>
          <w:szCs w:val="22"/>
          <w:lang w:val="sq-AL"/>
        </w:rPr>
        <w:t xml:space="preserve"> Pagesat realizohen bazuar në përmbushjen e kënaqshme të një përmbledhjeje hapash kualitativ dhe kvantitativ. Si rrjedhojë, pagesat ndaj Shfyrtëzuesve </w:t>
      </w:r>
      <w:r w:rsidRPr="00D816FB">
        <w:rPr>
          <w:rFonts w:ascii="StobiSerif Regular" w:hAnsi="StobiSerif Regular"/>
          <w:b/>
          <w:bCs/>
          <w:sz w:val="22"/>
          <w:szCs w:val="22"/>
        </w:rPr>
        <w:t>nuk i nënshtrohen kontrolleve lidhur me shpenzimet e</w:t>
      </w:r>
      <w:r w:rsidRPr="00D816FB">
        <w:rPr>
          <w:rFonts w:ascii="StobiSerif Regular" w:hAnsi="StobiSerif Regular"/>
          <w:b/>
          <w:bCs/>
          <w:sz w:val="22"/>
          <w:szCs w:val="22"/>
          <w:lang w:val="sq-AL"/>
        </w:rPr>
        <w:t xml:space="preserve"> realizuara</w:t>
      </w:r>
      <w:r w:rsidRPr="00D816FB">
        <w:rPr>
          <w:rFonts w:ascii="StobiSerif Regular" w:hAnsi="StobiSerif Regular"/>
          <w:sz w:val="22"/>
          <w:szCs w:val="22"/>
        </w:rPr>
        <w:t xml:space="preserve"> për përmbushjen e këtyre hapave</w:t>
      </w:r>
      <w:r w:rsidR="00C71B06" w:rsidRPr="00D816FB">
        <w:rPr>
          <w:rFonts w:ascii="StobiSerif Regular" w:hAnsi="StobiSerif Regular"/>
          <w:color w:val="000000"/>
          <w:sz w:val="22"/>
          <w:szCs w:val="22"/>
        </w:rPr>
        <w:t>.</w:t>
      </w:r>
    </w:p>
    <w:p w14:paraId="61D0E800" w14:textId="622F9991" w:rsidR="00C71B06" w:rsidRPr="00D816FB" w:rsidRDefault="0072300E" w:rsidP="00803AFB">
      <w:pPr>
        <w:shd w:val="clear" w:color="auto" w:fill="FFFFFF"/>
        <w:spacing w:before="120" w:after="120"/>
        <w:jc w:val="both"/>
        <w:rPr>
          <w:rFonts w:ascii="StobiSerif Regular" w:hAnsi="StobiSerif Regular"/>
          <w:sz w:val="22"/>
          <w:szCs w:val="22"/>
        </w:rPr>
      </w:pPr>
      <w:r w:rsidRPr="00D816FB">
        <w:rPr>
          <w:rFonts w:ascii="StobiSerif Regular" w:hAnsi="StobiSerif Regular"/>
          <w:color w:val="000000"/>
          <w:sz w:val="22"/>
          <w:szCs w:val="22"/>
        </w:rPr>
        <w:t>Gjatë vlerësimit të rasteve potenciale të financimit të dyfishtë, është e rëndësishme të respektohen aspektet e Rregullores për IRR-në</w:t>
      </w:r>
      <w:r w:rsidRPr="00D816FB">
        <w:rPr>
          <w:rFonts w:ascii="StobiSerif Regular" w:hAnsi="StobiSerif Regular"/>
          <w:color w:val="000000"/>
          <w:sz w:val="22"/>
          <w:szCs w:val="22"/>
          <w:lang w:val="sq-AL"/>
        </w:rPr>
        <w:t xml:space="preserve"> të lidhura me shpenzimet si dhe me</w:t>
      </w:r>
      <w:r w:rsidRPr="00D816FB">
        <w:rPr>
          <w:rFonts w:ascii="StobiSerif Regular" w:hAnsi="StobiSerif Regular"/>
          <w:color w:val="000000"/>
          <w:sz w:val="22"/>
          <w:szCs w:val="22"/>
        </w:rPr>
        <w:t xml:space="preserve"> performanc</w:t>
      </w:r>
      <w:r w:rsidRPr="00D816FB">
        <w:rPr>
          <w:rFonts w:ascii="StobiSerif Regular" w:hAnsi="StobiSerif Regular"/>
          <w:color w:val="000000"/>
          <w:sz w:val="22"/>
          <w:szCs w:val="22"/>
          <w:lang w:val="sq-AL"/>
        </w:rPr>
        <w:t>at</w:t>
      </w:r>
      <w:r w:rsidRPr="00D816FB">
        <w:rPr>
          <w:rFonts w:ascii="StobiSerif Regular" w:hAnsi="StobiSerif Regular"/>
          <w:color w:val="000000"/>
          <w:sz w:val="22"/>
          <w:szCs w:val="22"/>
        </w:rPr>
        <w:t>.</w:t>
      </w:r>
      <w:r w:rsidRPr="00D816FB">
        <w:rPr>
          <w:rFonts w:ascii="StobiSerif Regular" w:hAnsi="StobiSerif Regular"/>
          <w:color w:val="000000"/>
          <w:sz w:val="22"/>
          <w:szCs w:val="22"/>
          <w:lang w:val="sq-AL"/>
        </w:rPr>
        <w:t xml:space="preserve"> </w:t>
      </w:r>
      <w:r w:rsidRPr="00D816FB">
        <w:rPr>
          <w:rFonts w:ascii="StobiSerif Regular" w:hAnsi="StobiSerif Regular"/>
          <w:color w:val="000000"/>
          <w:sz w:val="22"/>
          <w:szCs w:val="22"/>
        </w:rPr>
        <w:t xml:space="preserve">Prandaj, gjatë vlerësimit të rrezikut nga financimi i dyfishtë, Komisioni </w:t>
      </w:r>
      <w:r w:rsidRPr="00D816FB">
        <w:rPr>
          <w:rFonts w:ascii="StobiSerif Regular" w:hAnsi="StobiSerif Regular"/>
          <w:color w:val="000000"/>
          <w:sz w:val="22"/>
          <w:szCs w:val="22"/>
          <w:lang w:val="sq-AL"/>
        </w:rPr>
        <w:t xml:space="preserve">si </w:t>
      </w:r>
      <w:r w:rsidRPr="00D816FB">
        <w:rPr>
          <w:rFonts w:ascii="StobiSerif Regular" w:hAnsi="StobiSerif Regular"/>
          <w:color w:val="000000"/>
          <w:sz w:val="22"/>
          <w:szCs w:val="22"/>
        </w:rPr>
        <w:t xml:space="preserve">dhe </w:t>
      </w:r>
      <w:r w:rsidRPr="00D816FB">
        <w:rPr>
          <w:rFonts w:ascii="StobiSerif Regular" w:hAnsi="StobiSerif Regular"/>
          <w:color w:val="000000"/>
          <w:sz w:val="22"/>
          <w:szCs w:val="22"/>
          <w:lang w:val="sq-AL"/>
        </w:rPr>
        <w:t>Shfryrtëzuesi</w:t>
      </w:r>
      <w:r w:rsidRPr="00D816FB">
        <w:rPr>
          <w:rFonts w:ascii="StobiSerif Regular" w:hAnsi="StobiSerif Regular"/>
          <w:color w:val="000000"/>
          <w:sz w:val="22"/>
          <w:szCs w:val="22"/>
        </w:rPr>
        <w:t xml:space="preserve"> nuk duhet vetëm të marrin parasysh </w:t>
      </w:r>
      <w:r w:rsidRPr="00D816FB">
        <w:rPr>
          <w:rFonts w:ascii="StobiSerif Regular" w:hAnsi="StobiSerif Regular"/>
          <w:color w:val="000000"/>
          <w:sz w:val="22"/>
          <w:szCs w:val="22"/>
          <w:lang w:val="sq-AL"/>
        </w:rPr>
        <w:t>shpenzimet</w:t>
      </w:r>
      <w:r w:rsidRPr="00D816FB">
        <w:rPr>
          <w:rFonts w:ascii="StobiSerif Regular" w:hAnsi="StobiSerif Regular"/>
          <w:color w:val="000000"/>
          <w:sz w:val="22"/>
          <w:szCs w:val="22"/>
        </w:rPr>
        <w:t xml:space="preserve"> e </w:t>
      </w:r>
      <w:r w:rsidRPr="00D816FB">
        <w:rPr>
          <w:rFonts w:ascii="StobiSerif Regular" w:hAnsi="StobiSerif Regular"/>
          <w:color w:val="000000"/>
          <w:sz w:val="22"/>
          <w:szCs w:val="22"/>
          <w:lang w:val="sq-AL"/>
        </w:rPr>
        <w:t>realizuara</w:t>
      </w:r>
      <w:r w:rsidRPr="00D816FB">
        <w:rPr>
          <w:rFonts w:ascii="StobiSerif Regular" w:hAnsi="StobiSerif Regular"/>
          <w:color w:val="000000"/>
          <w:sz w:val="22"/>
          <w:szCs w:val="22"/>
        </w:rPr>
        <w:t xml:space="preserve">, por edhe të parandalojnë situata kur i njëjti rezultat konsiderohet (ose </w:t>
      </w:r>
      <w:r w:rsidRPr="00D816FB">
        <w:rPr>
          <w:rFonts w:ascii="StobiSerif Regular" w:hAnsi="StobiSerif Regular"/>
          <w:color w:val="000000"/>
          <w:sz w:val="22"/>
          <w:szCs w:val="22"/>
          <w:lang w:val="sq-AL"/>
        </w:rPr>
        <w:t>paraqitet</w:t>
      </w:r>
      <w:r w:rsidRPr="00D816FB">
        <w:rPr>
          <w:rFonts w:ascii="StobiSerif Regular" w:hAnsi="StobiSerif Regular"/>
          <w:color w:val="000000"/>
          <w:sz w:val="22"/>
          <w:szCs w:val="22"/>
        </w:rPr>
        <w:t>) dy herë në kuadër të aksioneve të ndryshme</w:t>
      </w:r>
      <w:r w:rsidR="00C71B06" w:rsidRPr="00D816FB">
        <w:rPr>
          <w:rFonts w:ascii="StobiSerif Regular" w:hAnsi="StobiSerif Regular"/>
          <w:color w:val="000000"/>
          <w:sz w:val="22"/>
          <w:szCs w:val="22"/>
        </w:rPr>
        <w:t>.</w:t>
      </w:r>
    </w:p>
    <w:p w14:paraId="66680C01" w14:textId="77777777" w:rsidR="0072300E" w:rsidRPr="00D816FB" w:rsidRDefault="0072300E" w:rsidP="0072300E">
      <w:pPr>
        <w:shd w:val="clear" w:color="auto" w:fill="FFFFFF"/>
        <w:spacing w:before="120" w:after="120"/>
        <w:jc w:val="both"/>
        <w:rPr>
          <w:rFonts w:ascii="StobiSerif Regular" w:hAnsi="StobiSerif Regular"/>
          <w:color w:val="000000"/>
          <w:sz w:val="22"/>
          <w:szCs w:val="22"/>
          <w:lang w:val="sq-AL"/>
        </w:rPr>
      </w:pPr>
      <w:r w:rsidRPr="00D816FB">
        <w:rPr>
          <w:rFonts w:ascii="StobiSerif Regular" w:hAnsi="StobiSerif Regular"/>
          <w:sz w:val="22"/>
          <w:szCs w:val="22"/>
        </w:rPr>
        <w:t xml:space="preserve">Në këtë </w:t>
      </w:r>
      <w:r w:rsidRPr="00D816FB">
        <w:rPr>
          <w:rFonts w:ascii="StobiSerif Regular" w:hAnsi="StobiSerif Regular"/>
          <w:sz w:val="22"/>
          <w:szCs w:val="22"/>
          <w:lang w:val="sq-AL"/>
        </w:rPr>
        <w:t>drejtim</w:t>
      </w:r>
      <w:r w:rsidRPr="00D816FB">
        <w:rPr>
          <w:rFonts w:ascii="StobiSerif Regular" w:hAnsi="StobiSerif Regular"/>
          <w:sz w:val="22"/>
          <w:szCs w:val="22"/>
        </w:rPr>
        <w:t xml:space="preserve">, nëse Komisioni </w:t>
      </w:r>
      <w:r w:rsidRPr="00D816FB">
        <w:rPr>
          <w:rFonts w:ascii="StobiSerif Regular" w:hAnsi="StobiSerif Regular"/>
          <w:sz w:val="22"/>
          <w:szCs w:val="22"/>
          <w:lang w:val="sq-AL"/>
        </w:rPr>
        <w:t>konstaton</w:t>
      </w:r>
      <w:r w:rsidRPr="00D816FB">
        <w:rPr>
          <w:rFonts w:ascii="StobiSerif Regular" w:hAnsi="StobiSerif Regular"/>
          <w:sz w:val="22"/>
          <w:szCs w:val="22"/>
        </w:rPr>
        <w:t xml:space="preserve"> se administrata e </w:t>
      </w:r>
      <w:r w:rsidRPr="00D816FB">
        <w:rPr>
          <w:rFonts w:ascii="StobiSerif Regular" w:hAnsi="StobiSerif Regular"/>
          <w:sz w:val="22"/>
          <w:szCs w:val="22"/>
          <w:lang w:val="sq-AL"/>
        </w:rPr>
        <w:t>Shfrytëzuesit</w:t>
      </w:r>
      <w:r w:rsidRPr="00D816FB">
        <w:rPr>
          <w:rFonts w:ascii="StobiSerif Regular" w:hAnsi="StobiSerif Regular"/>
          <w:sz w:val="22"/>
          <w:szCs w:val="22"/>
        </w:rPr>
        <w:t xml:space="preserve"> ka përfituar mbështetje për të njëjtin hap nga</w:t>
      </w:r>
      <w:r w:rsidRPr="00D816FB">
        <w:rPr>
          <w:rFonts w:ascii="StobiSerif Regular" w:hAnsi="StobiSerif Regular"/>
          <w:sz w:val="22"/>
          <w:szCs w:val="22"/>
          <w:lang w:val="sq-AL"/>
        </w:rPr>
        <w:t xml:space="preserve"> </w:t>
      </w:r>
      <w:r w:rsidRPr="00D816FB">
        <w:rPr>
          <w:rFonts w:ascii="StobiSerif Regular" w:hAnsi="StobiSerif Regular"/>
          <w:sz w:val="22"/>
          <w:szCs w:val="22"/>
        </w:rPr>
        <w:t>program tjetër (të BE-së ose donator tjetër), a</w:t>
      </w:r>
      <w:r w:rsidRPr="00D816FB">
        <w:rPr>
          <w:rFonts w:ascii="StobiSerif Regular" w:hAnsi="StobiSerif Regular"/>
          <w:sz w:val="22"/>
          <w:szCs w:val="22"/>
          <w:lang w:val="sq-AL"/>
        </w:rPr>
        <w:t>i</w:t>
      </w:r>
      <w:r w:rsidRPr="00D816FB">
        <w:rPr>
          <w:rFonts w:ascii="StobiSerif Regular" w:hAnsi="StobiSerif Regular"/>
          <w:sz w:val="22"/>
          <w:szCs w:val="22"/>
        </w:rPr>
        <w:t xml:space="preserve"> përcakton nivelin e kontributit </w:t>
      </w:r>
      <w:r w:rsidRPr="00D816FB">
        <w:rPr>
          <w:rFonts w:ascii="StobiSerif Regular" w:hAnsi="StobiSerif Regular"/>
          <w:color w:val="000000"/>
          <w:sz w:val="22"/>
          <w:szCs w:val="22"/>
        </w:rPr>
        <w:t xml:space="preserve">të donatorit tjetër në arritjen e rezultatit dhe </w:t>
      </w:r>
      <w:r w:rsidRPr="00D816FB">
        <w:rPr>
          <w:rFonts w:ascii="StobiSerif Regular" w:hAnsi="StobiSerif Regular"/>
          <w:color w:val="000000"/>
          <w:sz w:val="22"/>
          <w:szCs w:val="22"/>
          <w:lang w:val="sq-AL"/>
        </w:rPr>
        <w:t xml:space="preserve">e </w:t>
      </w:r>
      <w:r w:rsidRPr="00D816FB">
        <w:rPr>
          <w:rFonts w:ascii="StobiSerif Regular" w:hAnsi="StobiSerif Regular"/>
          <w:color w:val="000000"/>
          <w:sz w:val="22"/>
          <w:szCs w:val="22"/>
        </w:rPr>
        <w:t xml:space="preserve">përcakton </w:t>
      </w:r>
      <w:r w:rsidRPr="00D816FB">
        <w:rPr>
          <w:rFonts w:ascii="StobiSerif Regular" w:hAnsi="StobiSerif Regular"/>
          <w:color w:val="000000"/>
          <w:sz w:val="22"/>
          <w:szCs w:val="22"/>
          <w:lang w:val="sq-AL"/>
        </w:rPr>
        <w:t>vlerën</w:t>
      </w:r>
      <w:r w:rsidRPr="00D816FB">
        <w:rPr>
          <w:rFonts w:ascii="StobiSerif Regular" w:hAnsi="StobiSerif Regular"/>
          <w:color w:val="000000"/>
          <w:sz w:val="22"/>
          <w:szCs w:val="22"/>
        </w:rPr>
        <w:t xml:space="preserve"> përfundimtare të pagesës sipas metodologjisë </w:t>
      </w:r>
      <w:r w:rsidRPr="00D816FB">
        <w:rPr>
          <w:rFonts w:ascii="StobiSerif Regular" w:hAnsi="StobiSerif Regular"/>
          <w:color w:val="000000"/>
          <w:sz w:val="22"/>
          <w:szCs w:val="22"/>
          <w:lang w:val="sq-AL"/>
        </w:rPr>
        <w:t>vijuese:</w:t>
      </w:r>
    </w:p>
    <w:p w14:paraId="266132B3" w14:textId="4D846D40" w:rsidR="00C71B06" w:rsidRPr="00D816FB" w:rsidRDefault="00C71B06" w:rsidP="00803AFB">
      <w:pPr>
        <w:shd w:val="clear" w:color="auto" w:fill="FFFFFF"/>
        <w:spacing w:before="120" w:after="120"/>
        <w:jc w:val="both"/>
        <w:rPr>
          <w:rFonts w:ascii="StobiSerif Regular" w:hAnsi="StobiSerif Regular"/>
          <w:sz w:val="22"/>
          <w:szCs w:val="22"/>
          <w:lang w:val="sq-AL"/>
        </w:rPr>
      </w:pPr>
    </w:p>
    <w:p w14:paraId="79E2C9AD" w14:textId="3319A3D6" w:rsidR="00C71B06" w:rsidRPr="00D816FB" w:rsidRDefault="0072300E" w:rsidP="0026417A">
      <w:pPr>
        <w:shd w:val="clear" w:color="auto" w:fill="FFFFFF"/>
        <w:spacing w:before="120" w:after="120"/>
        <w:ind w:left="426"/>
        <w:jc w:val="both"/>
        <w:rPr>
          <w:rFonts w:ascii="StobiSerif Regular" w:hAnsi="StobiSerif Regular"/>
          <w:sz w:val="22"/>
          <w:szCs w:val="22"/>
        </w:rPr>
      </w:pPr>
      <w:r w:rsidRPr="00D816FB">
        <w:rPr>
          <w:rFonts w:ascii="StobiSerif Regular" w:hAnsi="StobiSerif Regular"/>
          <w:bCs/>
          <w:color w:val="000000"/>
          <w:sz w:val="22"/>
          <w:szCs w:val="22"/>
        </w:rPr>
        <w:t>Në lidhje me hapat kuantitativë</w:t>
      </w:r>
      <w:r w:rsidRPr="00D816FB">
        <w:rPr>
          <w:rFonts w:ascii="StobiSerif Regular" w:hAnsi="StobiSerif Regular"/>
          <w:sz w:val="22"/>
          <w:szCs w:val="22"/>
        </w:rPr>
        <w:t>, Komisioni do të</w:t>
      </w:r>
      <w:r w:rsidRPr="00D816FB">
        <w:rPr>
          <w:rFonts w:ascii="StobiSerif Regular" w:hAnsi="StobiSerif Regular"/>
          <w:sz w:val="22"/>
          <w:szCs w:val="22"/>
          <w:lang w:val="sq-AL"/>
        </w:rPr>
        <w:t xml:space="preserve"> realizon</w:t>
      </w:r>
      <w:r w:rsidRPr="00D816FB">
        <w:rPr>
          <w:rFonts w:ascii="StobiSerif Regular" w:hAnsi="StobiSerif Regular"/>
          <w:sz w:val="22"/>
          <w:szCs w:val="22"/>
        </w:rPr>
        <w:t xml:space="preserve"> vlerësim për secilin rast </w:t>
      </w:r>
      <w:r w:rsidRPr="00D816FB">
        <w:rPr>
          <w:rFonts w:ascii="StobiSerif Regular" w:hAnsi="StobiSerif Regular"/>
          <w:sz w:val="22"/>
          <w:szCs w:val="22"/>
          <w:lang w:val="sq-AL"/>
        </w:rPr>
        <w:t>veçmas</w:t>
      </w:r>
      <w:r w:rsidRPr="00D816FB">
        <w:rPr>
          <w:rFonts w:ascii="StobiSerif Regular" w:hAnsi="StobiSerif Regular"/>
          <w:sz w:val="22"/>
          <w:szCs w:val="22"/>
        </w:rPr>
        <w:t xml:space="preserve">, </w:t>
      </w:r>
      <w:r w:rsidRPr="00D816FB">
        <w:rPr>
          <w:rFonts w:ascii="StobiSerif Regular" w:hAnsi="StobiSerif Regular"/>
          <w:b/>
          <w:color w:val="000000"/>
          <w:sz w:val="22"/>
          <w:szCs w:val="22"/>
        </w:rPr>
        <w:t xml:space="preserve">për të përcaktuar </w:t>
      </w:r>
      <w:r w:rsidRPr="00D816FB">
        <w:rPr>
          <w:rFonts w:ascii="StobiSerif Regular" w:hAnsi="StobiSerif Regular"/>
          <w:b/>
          <w:color w:val="000000"/>
          <w:sz w:val="22"/>
          <w:szCs w:val="22"/>
          <w:lang w:val="sq-AL"/>
        </w:rPr>
        <w:t xml:space="preserve">se deri në cilën </w:t>
      </w:r>
      <w:r w:rsidRPr="00D816FB">
        <w:rPr>
          <w:rFonts w:ascii="StobiSerif Regular" w:hAnsi="StobiSerif Regular"/>
          <w:b/>
          <w:color w:val="000000"/>
          <w:sz w:val="22"/>
          <w:szCs w:val="22"/>
        </w:rPr>
        <w:t xml:space="preserve">shkallë veprimi komplementar ka </w:t>
      </w:r>
      <w:r w:rsidRPr="00D816FB">
        <w:rPr>
          <w:rFonts w:ascii="StobiSerif Regular" w:hAnsi="StobiSerif Regular"/>
          <w:b/>
          <w:color w:val="000000"/>
          <w:sz w:val="22"/>
          <w:szCs w:val="22"/>
          <w:lang w:val="sq-AL"/>
        </w:rPr>
        <w:t>kontribuar</w:t>
      </w:r>
      <w:r w:rsidRPr="00D816FB">
        <w:rPr>
          <w:rFonts w:ascii="StobiSerif Regular" w:hAnsi="StobiSerif Regular"/>
          <w:b/>
          <w:color w:val="000000"/>
          <w:sz w:val="22"/>
          <w:szCs w:val="22"/>
        </w:rPr>
        <w:t xml:space="preserve"> </w:t>
      </w:r>
      <w:r w:rsidRPr="00D816FB">
        <w:rPr>
          <w:rFonts w:ascii="StobiSerif Regular" w:hAnsi="StobiSerif Regular"/>
          <w:b/>
          <w:color w:val="000000"/>
          <w:sz w:val="22"/>
          <w:szCs w:val="22"/>
          <w:lang w:val="sq-AL"/>
        </w:rPr>
        <w:t>për</w:t>
      </w:r>
      <w:r w:rsidRPr="00D816FB">
        <w:rPr>
          <w:rFonts w:ascii="StobiSerif Regular" w:hAnsi="StobiSerif Regular"/>
          <w:b/>
          <w:color w:val="000000"/>
          <w:sz w:val="22"/>
          <w:szCs w:val="22"/>
        </w:rPr>
        <w:t xml:space="preserve"> përmbushjen e hapit ose sa</w:t>
      </w:r>
      <w:r w:rsidRPr="00D816FB">
        <w:rPr>
          <w:rFonts w:ascii="StobiSerif Regular" w:hAnsi="StobiSerif Regular"/>
          <w:b/>
          <w:color w:val="000000"/>
          <w:sz w:val="22"/>
          <w:szCs w:val="22"/>
          <w:lang w:val="sq-AL"/>
        </w:rPr>
        <w:t xml:space="preserve"> është shkalla e</w:t>
      </w:r>
      <w:r w:rsidRPr="00D816FB">
        <w:rPr>
          <w:rFonts w:ascii="StobiSerif Regular" w:hAnsi="StobiSerif Regular"/>
          <w:b/>
          <w:color w:val="000000"/>
          <w:sz w:val="22"/>
          <w:szCs w:val="22"/>
        </w:rPr>
        <w:t xml:space="preserve"> mbivendosje</w:t>
      </w:r>
      <w:r w:rsidRPr="00D816FB">
        <w:rPr>
          <w:rFonts w:ascii="StobiSerif Regular" w:hAnsi="StobiSerif Regular"/>
          <w:b/>
          <w:color w:val="000000"/>
          <w:sz w:val="22"/>
          <w:szCs w:val="22"/>
          <w:lang w:val="sq-AL"/>
        </w:rPr>
        <w:t>s</w:t>
      </w:r>
      <w:r w:rsidRPr="00D816FB">
        <w:rPr>
          <w:rFonts w:ascii="StobiSerif Regular" w:hAnsi="StobiSerif Regular"/>
          <w:b/>
          <w:color w:val="000000"/>
          <w:sz w:val="22"/>
          <w:szCs w:val="22"/>
        </w:rPr>
        <w:t xml:space="preserve"> </w:t>
      </w:r>
      <w:r w:rsidRPr="00D816FB">
        <w:rPr>
          <w:rFonts w:ascii="StobiSerif Regular" w:hAnsi="StobiSerif Regular"/>
          <w:b/>
          <w:color w:val="000000"/>
          <w:sz w:val="22"/>
          <w:szCs w:val="22"/>
          <w:lang w:val="sq-AL"/>
        </w:rPr>
        <w:t xml:space="preserve">në </w:t>
      </w:r>
      <w:r w:rsidRPr="00D816FB">
        <w:rPr>
          <w:rFonts w:ascii="StobiSerif Regular" w:hAnsi="StobiSerif Regular"/>
          <w:b/>
          <w:color w:val="000000"/>
          <w:sz w:val="22"/>
          <w:szCs w:val="22"/>
        </w:rPr>
        <w:t xml:space="preserve">mes </w:t>
      </w:r>
      <w:r w:rsidRPr="00D816FB">
        <w:rPr>
          <w:rFonts w:ascii="StobiSerif Regular" w:hAnsi="StobiSerif Regular"/>
          <w:b/>
          <w:color w:val="000000"/>
          <w:sz w:val="22"/>
          <w:szCs w:val="22"/>
          <w:lang w:val="sq-AL"/>
        </w:rPr>
        <w:t xml:space="preserve">të </w:t>
      </w:r>
      <w:r w:rsidRPr="00D816FB">
        <w:rPr>
          <w:rFonts w:ascii="StobiSerif Regular" w:hAnsi="StobiSerif Regular"/>
          <w:b/>
          <w:color w:val="000000"/>
          <w:sz w:val="22"/>
          <w:szCs w:val="22"/>
        </w:rPr>
        <w:t>hapit në Agjendën</w:t>
      </w:r>
      <w:r w:rsidRPr="00D816FB">
        <w:rPr>
          <w:rFonts w:ascii="StobiSerif Regular" w:hAnsi="StobiSerif Regular"/>
          <w:b/>
          <w:color w:val="000000"/>
          <w:sz w:val="22"/>
          <w:szCs w:val="22"/>
          <w:lang w:val="sq-AL"/>
        </w:rPr>
        <w:t xml:space="preserve"> r</w:t>
      </w:r>
      <w:r w:rsidRPr="00D816FB">
        <w:rPr>
          <w:rFonts w:ascii="StobiSerif Regular" w:hAnsi="StobiSerif Regular"/>
          <w:b/>
          <w:color w:val="000000"/>
          <w:sz w:val="22"/>
          <w:szCs w:val="22"/>
        </w:rPr>
        <w:t>eform</w:t>
      </w:r>
      <w:r w:rsidRPr="00D816FB">
        <w:rPr>
          <w:rFonts w:ascii="StobiSerif Regular" w:hAnsi="StobiSerif Regular"/>
          <w:b/>
          <w:color w:val="000000"/>
          <w:sz w:val="22"/>
          <w:szCs w:val="22"/>
          <w:lang w:val="sq-AL"/>
        </w:rPr>
        <w:t>uese</w:t>
      </w:r>
      <w:r w:rsidRPr="00D816FB">
        <w:rPr>
          <w:rFonts w:ascii="StobiSerif Regular" w:hAnsi="StobiSerif Regular"/>
          <w:b/>
          <w:color w:val="000000"/>
          <w:sz w:val="22"/>
          <w:szCs w:val="22"/>
        </w:rPr>
        <w:t xml:space="preserve"> dhe rezultatit </w:t>
      </w:r>
      <w:r w:rsidRPr="00D816FB">
        <w:rPr>
          <w:rFonts w:ascii="StobiSerif Regular" w:hAnsi="StobiSerif Regular"/>
          <w:b/>
          <w:color w:val="000000"/>
          <w:sz w:val="22"/>
          <w:szCs w:val="22"/>
          <w:lang w:val="sq-AL"/>
        </w:rPr>
        <w:t>të përmbushur</w:t>
      </w:r>
      <w:r w:rsidRPr="00D816FB">
        <w:rPr>
          <w:rFonts w:ascii="StobiSerif Regular" w:hAnsi="StobiSerif Regular"/>
          <w:b/>
          <w:color w:val="000000"/>
          <w:sz w:val="22"/>
          <w:szCs w:val="22"/>
        </w:rPr>
        <w:t xml:space="preserve"> në kuadër të veprimit komplementar</w:t>
      </w:r>
      <w:r w:rsidRPr="00D816FB">
        <w:rPr>
          <w:rFonts w:ascii="StobiSerif Regular" w:hAnsi="StobiSerif Regular"/>
          <w:bCs/>
          <w:color w:val="000000"/>
          <w:sz w:val="22"/>
          <w:szCs w:val="22"/>
        </w:rPr>
        <w:t>.</w:t>
      </w:r>
      <w:r w:rsidRPr="00D816FB">
        <w:rPr>
          <w:rFonts w:ascii="StobiSerif Regular" w:hAnsi="StobiSerif Regular"/>
          <w:bCs/>
          <w:color w:val="000000"/>
          <w:sz w:val="22"/>
          <w:szCs w:val="22"/>
          <w:lang w:val="sq-AL"/>
        </w:rPr>
        <w:t xml:space="preserve"> </w:t>
      </w:r>
      <w:r w:rsidRPr="00D816FB">
        <w:rPr>
          <w:rFonts w:ascii="StobiSerif Regular" w:hAnsi="StobiSerif Regular"/>
          <w:b/>
          <w:color w:val="000000"/>
          <w:sz w:val="22"/>
          <w:szCs w:val="22"/>
        </w:rPr>
        <w:t xml:space="preserve">Komisioni në vlerësimin e tij do t’i “llogarisë” ato rezultate që </w:t>
      </w:r>
      <w:r w:rsidRPr="00D816FB">
        <w:rPr>
          <w:rFonts w:ascii="StobiSerif Regular" w:hAnsi="StobiSerif Regular"/>
          <w:b/>
          <w:color w:val="000000"/>
          <w:sz w:val="22"/>
          <w:szCs w:val="22"/>
          <w:lang w:val="sq-AL"/>
        </w:rPr>
        <w:t>paraprakisht</w:t>
      </w:r>
      <w:r w:rsidRPr="00D816FB">
        <w:rPr>
          <w:rFonts w:ascii="StobiSerif Regular" w:hAnsi="StobiSerif Regular"/>
          <w:b/>
          <w:color w:val="000000"/>
          <w:sz w:val="22"/>
          <w:szCs w:val="22"/>
        </w:rPr>
        <w:t xml:space="preserve"> nuk janë financuar ose siguruar nga programe të tjera dhe do të përcaktojë </w:t>
      </w:r>
      <w:r w:rsidRPr="00D816FB">
        <w:rPr>
          <w:rFonts w:ascii="StobiSerif Regular" w:hAnsi="StobiSerif Regular"/>
          <w:b/>
          <w:color w:val="000000"/>
          <w:sz w:val="22"/>
          <w:szCs w:val="22"/>
          <w:lang w:val="sq-AL"/>
        </w:rPr>
        <w:t>vlerën</w:t>
      </w:r>
      <w:r w:rsidRPr="00D816FB">
        <w:rPr>
          <w:rFonts w:ascii="StobiSerif Regular" w:hAnsi="StobiSerif Regular"/>
          <w:b/>
          <w:color w:val="000000"/>
          <w:sz w:val="22"/>
          <w:szCs w:val="22"/>
        </w:rPr>
        <w:t xml:space="preserve"> për pagesë në p</w:t>
      </w:r>
      <w:r w:rsidRPr="00D816FB">
        <w:rPr>
          <w:rFonts w:ascii="StobiSerif Regular" w:hAnsi="StobiSerif Regular"/>
          <w:b/>
          <w:color w:val="000000"/>
          <w:sz w:val="22"/>
          <w:szCs w:val="22"/>
          <w:lang w:val="sq-AL"/>
        </w:rPr>
        <w:t>ajtim</w:t>
      </w:r>
      <w:r w:rsidRPr="00D816FB">
        <w:rPr>
          <w:rFonts w:ascii="StobiSerif Regular" w:hAnsi="StobiSerif Regular"/>
          <w:b/>
          <w:color w:val="000000"/>
          <w:sz w:val="22"/>
          <w:szCs w:val="22"/>
        </w:rPr>
        <w:t xml:space="preserve"> me dispozitat për pagesa të pjesshme </w:t>
      </w:r>
      <w:r w:rsidR="009F592F" w:rsidRPr="00D816FB">
        <w:rPr>
          <w:rStyle w:val="FootnoteReference"/>
          <w:rFonts w:ascii="StobiSerif Regular" w:hAnsi="StobiSerif Regular"/>
          <w:b/>
          <w:color w:val="000000"/>
          <w:sz w:val="22"/>
          <w:szCs w:val="22"/>
        </w:rPr>
        <w:footnoteReference w:id="1"/>
      </w:r>
      <w:r w:rsidRPr="00D816FB">
        <w:rPr>
          <w:rFonts w:ascii="StobiSerif Regular" w:hAnsi="StobiSerif Regular"/>
          <w:b/>
          <w:color w:val="000000"/>
          <w:sz w:val="22"/>
          <w:szCs w:val="22"/>
          <w:lang w:val="sq-AL"/>
        </w:rPr>
        <w:t xml:space="preserve"> </w:t>
      </w:r>
      <w:r w:rsidRPr="00D816FB">
        <w:rPr>
          <w:rFonts w:ascii="StobiSerif Regular" w:hAnsi="StobiSerif Regular"/>
          <w:b/>
          <w:color w:val="000000"/>
          <w:sz w:val="22"/>
          <w:szCs w:val="22"/>
        </w:rPr>
        <w:t>nga Marrëveshja Financiare</w:t>
      </w:r>
      <w:r w:rsidR="00C71B06" w:rsidRPr="00D816FB">
        <w:rPr>
          <w:rFonts w:ascii="StobiSerif Regular" w:hAnsi="StobiSerif Regular"/>
          <w:b/>
          <w:color w:val="000000"/>
          <w:sz w:val="22"/>
          <w:szCs w:val="22"/>
        </w:rPr>
        <w:t>.</w:t>
      </w:r>
    </w:p>
    <w:p w14:paraId="22D9BF8E" w14:textId="06ACCA3E" w:rsidR="0072300E" w:rsidRPr="00A27820" w:rsidRDefault="0072300E" w:rsidP="00B40F9D">
      <w:pPr>
        <w:shd w:val="clear" w:color="auto" w:fill="FFFFFF"/>
        <w:spacing w:before="120" w:after="120"/>
        <w:ind w:firstLine="426"/>
        <w:jc w:val="both"/>
        <w:rPr>
          <w:rFonts w:ascii="StobiSerif Regular" w:hAnsi="StobiSerif Regular"/>
          <w:sz w:val="24"/>
          <w:szCs w:val="24"/>
          <w:lang w:val="sq-AL"/>
        </w:rPr>
      </w:pPr>
      <w:bookmarkStart w:id="0" w:name="_Hlk200363183"/>
      <w:r w:rsidRPr="00D816FB">
        <w:rPr>
          <w:rFonts w:ascii="StobiSerif Regular" w:hAnsi="StobiSerif Regular"/>
          <w:sz w:val="22"/>
          <w:szCs w:val="22"/>
          <w:lang w:val="sq-AL"/>
        </w:rPr>
        <w:t>Në lidhje</w:t>
      </w:r>
      <w:r w:rsidRPr="00D816FB">
        <w:rPr>
          <w:rFonts w:ascii="StobiSerif Regular" w:hAnsi="StobiSerif Regular"/>
          <w:sz w:val="22"/>
          <w:szCs w:val="22"/>
        </w:rPr>
        <w:t xml:space="preserve"> </w:t>
      </w:r>
      <w:r w:rsidRPr="00D816FB">
        <w:rPr>
          <w:rFonts w:ascii="StobiSerif Regular" w:hAnsi="StobiSerif Regular"/>
          <w:sz w:val="22"/>
          <w:szCs w:val="22"/>
          <w:lang w:val="sq-AL"/>
        </w:rPr>
        <w:t xml:space="preserve">me </w:t>
      </w:r>
      <w:r w:rsidRPr="00D816FB">
        <w:rPr>
          <w:rFonts w:ascii="StobiSerif Regular" w:hAnsi="StobiSerif Regular"/>
          <w:sz w:val="22"/>
          <w:szCs w:val="22"/>
        </w:rPr>
        <w:t>hap</w:t>
      </w:r>
      <w:r w:rsidRPr="00D816FB">
        <w:rPr>
          <w:rFonts w:ascii="StobiSerif Regular" w:hAnsi="StobiSerif Regular"/>
          <w:sz w:val="22"/>
          <w:szCs w:val="22"/>
          <w:lang w:val="sq-AL"/>
        </w:rPr>
        <w:t>t</w:t>
      </w:r>
      <w:r w:rsidRPr="00D816FB">
        <w:rPr>
          <w:rFonts w:ascii="StobiSerif Regular" w:hAnsi="StobiSerif Regular"/>
          <w:sz w:val="22"/>
          <w:szCs w:val="22"/>
        </w:rPr>
        <w:t xml:space="preserve"> jo-kuantitativë (</w:t>
      </w:r>
      <w:r w:rsidRPr="00D816FB">
        <w:rPr>
          <w:rFonts w:ascii="StobiSerif Regular" w:hAnsi="StobiSerif Regular"/>
          <w:sz w:val="22"/>
          <w:szCs w:val="22"/>
          <w:lang w:val="sq-AL"/>
        </w:rPr>
        <w:t>kuantitativ</w:t>
      </w:r>
      <w:r w:rsidRPr="00D816FB">
        <w:rPr>
          <w:rFonts w:ascii="StobiSerif Regular" w:hAnsi="StobiSerif Regular"/>
          <w:sz w:val="22"/>
          <w:szCs w:val="22"/>
        </w:rPr>
        <w:t xml:space="preserve">), nëse </w:t>
      </w:r>
      <w:r w:rsidRPr="00D816FB">
        <w:rPr>
          <w:rFonts w:ascii="StobiSerif Regular" w:hAnsi="StobiSerif Regular"/>
          <w:b/>
          <w:bCs/>
          <w:sz w:val="22"/>
          <w:szCs w:val="22"/>
        </w:rPr>
        <w:t xml:space="preserve">hapi është plotësisht </w:t>
      </w:r>
      <w:r w:rsidRPr="00D816FB">
        <w:rPr>
          <w:rFonts w:ascii="StobiSerif Regular" w:hAnsi="StobiSerif Regular"/>
          <w:b/>
          <w:bCs/>
          <w:sz w:val="22"/>
          <w:szCs w:val="22"/>
          <w:lang w:val="sq-AL"/>
        </w:rPr>
        <w:t xml:space="preserve">i </w:t>
      </w:r>
      <w:r w:rsidRPr="00D816FB">
        <w:rPr>
          <w:rFonts w:ascii="StobiSerif Regular" w:hAnsi="StobiSerif Regular"/>
          <w:b/>
          <w:bCs/>
          <w:sz w:val="22"/>
          <w:szCs w:val="22"/>
        </w:rPr>
        <w:t xml:space="preserve">përmbushur </w:t>
      </w:r>
      <w:r w:rsidRPr="00A27820">
        <w:rPr>
          <w:rFonts w:ascii="StobiSerif Regular" w:hAnsi="StobiSerif Regular"/>
          <w:b/>
          <w:bCs/>
          <w:sz w:val="24"/>
          <w:szCs w:val="24"/>
        </w:rPr>
        <w:t>përmes programi</w:t>
      </w:r>
      <w:r w:rsidRPr="00A27820">
        <w:rPr>
          <w:rFonts w:ascii="StobiSerif Regular" w:hAnsi="StobiSerif Regular"/>
          <w:b/>
          <w:bCs/>
          <w:sz w:val="24"/>
          <w:szCs w:val="24"/>
          <w:lang w:val="sq-AL"/>
        </w:rPr>
        <w:t>t</w:t>
      </w:r>
      <w:r w:rsidRPr="00A27820">
        <w:rPr>
          <w:rFonts w:ascii="StobiSerif Regular" w:hAnsi="StobiSerif Regular"/>
          <w:b/>
          <w:bCs/>
          <w:sz w:val="24"/>
          <w:szCs w:val="24"/>
        </w:rPr>
        <w:t xml:space="preserve"> tjetër (të BE-së ose donatori</w:t>
      </w:r>
      <w:r w:rsidRPr="00A27820">
        <w:rPr>
          <w:rFonts w:ascii="StobiSerif Regular" w:hAnsi="StobiSerif Regular"/>
          <w:b/>
          <w:bCs/>
          <w:sz w:val="24"/>
          <w:szCs w:val="24"/>
          <w:lang w:val="sq-AL"/>
        </w:rPr>
        <w:t>t</w:t>
      </w:r>
      <w:r w:rsidRPr="00A27820">
        <w:rPr>
          <w:rFonts w:ascii="StobiSerif Regular" w:hAnsi="StobiSerif Regular"/>
          <w:b/>
          <w:bCs/>
          <w:sz w:val="24"/>
          <w:szCs w:val="24"/>
        </w:rPr>
        <w:t xml:space="preserve"> tjetër</w:t>
      </w:r>
      <w:r w:rsidRPr="00A27820">
        <w:rPr>
          <w:rFonts w:ascii="StobiSerif Regular" w:hAnsi="StobiSerif Regular"/>
          <w:sz w:val="24"/>
          <w:szCs w:val="24"/>
        </w:rPr>
        <w:t>), nuk do të ketë pagesë.</w:t>
      </w:r>
      <w:r w:rsidRPr="00A27820">
        <w:rPr>
          <w:rFonts w:ascii="StobiSerif Regular" w:hAnsi="StobiSerif Regular"/>
          <w:sz w:val="24"/>
          <w:szCs w:val="24"/>
          <w:lang w:val="sq-AL"/>
        </w:rPr>
        <w:t xml:space="preserve"> </w:t>
      </w:r>
      <w:r w:rsidRPr="00A27820">
        <w:rPr>
          <w:rFonts w:ascii="StobiSerif Regular" w:hAnsi="StobiSerif Regular"/>
          <w:sz w:val="24"/>
          <w:szCs w:val="24"/>
        </w:rPr>
        <w:t>Në</w:t>
      </w:r>
      <w:r w:rsidRPr="00A27820">
        <w:rPr>
          <w:rFonts w:ascii="StobiSerif Regular" w:hAnsi="StobiSerif Regular"/>
          <w:sz w:val="24"/>
          <w:szCs w:val="24"/>
          <w:lang w:val="sq-AL"/>
        </w:rPr>
        <w:t>qoftëse</w:t>
      </w:r>
      <w:r w:rsidRPr="00A27820">
        <w:rPr>
          <w:rFonts w:ascii="StobiSerif Regular" w:hAnsi="StobiSerif Regular"/>
          <w:sz w:val="24"/>
          <w:szCs w:val="24"/>
        </w:rPr>
        <w:t xml:space="preserve"> BE-ja ose programe të tjera kontribuojnë pjesërisht në </w:t>
      </w:r>
      <w:r w:rsidRPr="00A27820">
        <w:rPr>
          <w:rFonts w:ascii="StobiSerif Regular" w:hAnsi="StobiSerif Regular"/>
          <w:sz w:val="24"/>
          <w:szCs w:val="24"/>
          <w:lang w:val="sq-AL"/>
        </w:rPr>
        <w:t>përbushjen</w:t>
      </w:r>
      <w:r w:rsidRPr="00A27820">
        <w:rPr>
          <w:rFonts w:ascii="StobiSerif Regular" w:hAnsi="StobiSerif Regular"/>
          <w:sz w:val="24"/>
          <w:szCs w:val="24"/>
        </w:rPr>
        <w:t xml:space="preserve"> e hapit, është e </w:t>
      </w:r>
      <w:r w:rsidRPr="00A27820">
        <w:rPr>
          <w:rFonts w:ascii="StobiSerif Regular" w:hAnsi="StobiSerif Regular"/>
          <w:sz w:val="24"/>
          <w:szCs w:val="24"/>
          <w:lang w:val="sq-AL"/>
        </w:rPr>
        <w:t>domosdoshme</w:t>
      </w:r>
      <w:r w:rsidRPr="00A27820">
        <w:rPr>
          <w:rFonts w:ascii="StobiSerif Regular" w:hAnsi="StobiSerif Regular"/>
          <w:sz w:val="24"/>
          <w:szCs w:val="24"/>
        </w:rPr>
        <w:t xml:space="preserve"> të vlerësohet shkalla e kontributit.  </w:t>
      </w:r>
      <w:r w:rsidRPr="00A27820">
        <w:rPr>
          <w:rFonts w:ascii="StobiSerif Regular" w:hAnsi="StobiSerif Regular"/>
          <w:sz w:val="24"/>
          <w:szCs w:val="24"/>
          <w:lang w:val="sq-AL"/>
        </w:rPr>
        <w:t>K</w:t>
      </w:r>
      <w:r w:rsidRPr="00A27820">
        <w:rPr>
          <w:rFonts w:ascii="StobiSerif Regular" w:hAnsi="StobiSerif Regular"/>
          <w:sz w:val="24"/>
          <w:szCs w:val="24"/>
        </w:rPr>
        <w:t xml:space="preserve">ontribut „i </w:t>
      </w:r>
      <w:r w:rsidRPr="00A27820">
        <w:rPr>
          <w:rFonts w:ascii="StobiSerif Regular" w:hAnsi="StobiSerif Regular"/>
          <w:sz w:val="24"/>
          <w:szCs w:val="24"/>
          <w:lang w:val="sq-AL"/>
        </w:rPr>
        <w:t>K</w:t>
      </w:r>
      <w:r w:rsidRPr="00A27820">
        <w:rPr>
          <w:rFonts w:ascii="StobiSerif Regular" w:hAnsi="StobiSerif Regular"/>
          <w:sz w:val="24"/>
          <w:szCs w:val="24"/>
        </w:rPr>
        <w:t xml:space="preserve">onsiderueshëm“ gjithashtu mund të </w:t>
      </w:r>
      <w:r w:rsidRPr="00A27820">
        <w:rPr>
          <w:rFonts w:ascii="StobiSerif Regular" w:hAnsi="StobiSerif Regular"/>
          <w:sz w:val="24"/>
          <w:szCs w:val="24"/>
          <w:lang w:val="sq-AL"/>
        </w:rPr>
        <w:t>rezultojë</w:t>
      </w:r>
      <w:r w:rsidRPr="00A27820">
        <w:rPr>
          <w:rFonts w:ascii="StobiSerif Regular" w:hAnsi="StobiSerif Regular"/>
          <w:sz w:val="24"/>
          <w:szCs w:val="24"/>
        </w:rPr>
        <w:t xml:space="preserve"> në mospagesë, ndërsa interpretimi i asaj </w:t>
      </w:r>
      <w:r w:rsidRPr="00A27820">
        <w:rPr>
          <w:rFonts w:ascii="StobiSerif Regular" w:hAnsi="StobiSerif Regular"/>
          <w:sz w:val="24"/>
          <w:szCs w:val="24"/>
          <w:lang w:val="sq-AL"/>
        </w:rPr>
        <w:t>i cili llogaritet</w:t>
      </w:r>
      <w:r w:rsidRPr="00A27820">
        <w:rPr>
          <w:rFonts w:ascii="StobiSerif Regular" w:hAnsi="StobiSerif Regular"/>
          <w:sz w:val="24"/>
          <w:szCs w:val="24"/>
        </w:rPr>
        <w:t xml:space="preserve"> si kontribut „i konsiderueshëm“ jepet në shembujt </w:t>
      </w:r>
      <w:r w:rsidRPr="00A27820">
        <w:rPr>
          <w:rFonts w:ascii="StobiSerif Regular" w:hAnsi="StobiSerif Regular"/>
          <w:sz w:val="24"/>
          <w:szCs w:val="24"/>
          <w:lang w:val="sq-AL"/>
        </w:rPr>
        <w:t>në vijim</w:t>
      </w:r>
      <w:r w:rsidRPr="00A27820">
        <w:rPr>
          <w:rFonts w:ascii="StobiSerif Regular" w:hAnsi="StobiSerif Regular"/>
          <w:sz w:val="24"/>
          <w:szCs w:val="24"/>
        </w:rPr>
        <w:t xml:space="preserve"> (pika 3).</w:t>
      </w:r>
      <w:bookmarkEnd w:id="0"/>
    </w:p>
    <w:p w14:paraId="56CA5A92" w14:textId="5537BEEC" w:rsidR="00C71B06" w:rsidRPr="00A27820" w:rsidRDefault="0072300E" w:rsidP="00803AFB">
      <w:pPr>
        <w:shd w:val="clear" w:color="auto" w:fill="FFFFFF"/>
        <w:spacing w:before="120" w:after="120"/>
        <w:jc w:val="both"/>
        <w:rPr>
          <w:rFonts w:ascii="StobiSerif Regular" w:hAnsi="StobiSerif Regular"/>
          <w:sz w:val="24"/>
          <w:szCs w:val="24"/>
          <w:lang w:val="sq-AL"/>
        </w:rPr>
      </w:pPr>
      <w:r w:rsidRPr="00A27820">
        <w:rPr>
          <w:rFonts w:ascii="StobiSerif Regular" w:hAnsi="StobiSerif Regular"/>
          <w:sz w:val="24"/>
          <w:szCs w:val="24"/>
          <w:lang w:val="sq-AL"/>
        </w:rPr>
        <w:t xml:space="preserve">Për rastin konkret të </w:t>
      </w:r>
      <w:r w:rsidRPr="00A27820">
        <w:rPr>
          <w:rFonts w:ascii="StobiSerif Regular" w:hAnsi="StobiSerif Regular"/>
          <w:b/>
          <w:bCs/>
          <w:sz w:val="24"/>
          <w:szCs w:val="24"/>
          <w:lang w:val="sq-AL"/>
        </w:rPr>
        <w:t>mbështetjes nga IRR-ja për projekte investtuese të implementuara përmes IRRBP-së</w:t>
      </w:r>
      <w:r w:rsidRPr="00A27820">
        <w:rPr>
          <w:rFonts w:ascii="StobiSerif Regular" w:hAnsi="StobiSerif Regular"/>
          <w:sz w:val="24"/>
          <w:szCs w:val="24"/>
          <w:lang w:val="sq-AL"/>
        </w:rPr>
        <w:t>, neni 19(7) i Rregullores për IRR parasheh se projekte të tilla mund të arkëtojnë mjete nga dy burime të ndryshme financimi, me kusht që mbështetja e tillë „të sigurojë plotësim dhe të mos mbulojë të njëjtat shpenzime“.</w:t>
      </w:r>
    </w:p>
    <w:p w14:paraId="1374D821" w14:textId="77777777" w:rsidR="00E15989" w:rsidRDefault="00E15989" w:rsidP="00803AFB">
      <w:pPr>
        <w:shd w:val="clear" w:color="auto" w:fill="FFFFFF"/>
        <w:spacing w:before="120" w:after="120"/>
        <w:jc w:val="both"/>
        <w:rPr>
          <w:rFonts w:ascii="StobiSerif Regular" w:hAnsi="StobiSerif Regular"/>
          <w:sz w:val="24"/>
          <w:szCs w:val="24"/>
          <w:lang w:val="sq-AL"/>
        </w:rPr>
      </w:pPr>
    </w:p>
    <w:p w14:paraId="40975746" w14:textId="77777777" w:rsidR="00E15989" w:rsidRDefault="00E15989" w:rsidP="00803AFB">
      <w:pPr>
        <w:shd w:val="clear" w:color="auto" w:fill="FFFFFF"/>
        <w:spacing w:before="120" w:after="120"/>
        <w:jc w:val="both"/>
        <w:rPr>
          <w:rFonts w:ascii="StobiSerif Regular" w:hAnsi="StobiSerif Regular"/>
          <w:sz w:val="24"/>
          <w:szCs w:val="24"/>
          <w:lang w:val="sq-AL"/>
        </w:rPr>
      </w:pPr>
    </w:p>
    <w:p w14:paraId="452DEB5E" w14:textId="77777777" w:rsidR="00E15989" w:rsidRDefault="00E15989" w:rsidP="00803AFB">
      <w:pPr>
        <w:shd w:val="clear" w:color="auto" w:fill="FFFFFF"/>
        <w:spacing w:before="120" w:after="120"/>
        <w:jc w:val="both"/>
        <w:rPr>
          <w:rFonts w:ascii="StobiSerif Regular" w:hAnsi="StobiSerif Regular"/>
          <w:sz w:val="24"/>
          <w:szCs w:val="24"/>
          <w:lang w:val="sq-AL"/>
        </w:rPr>
      </w:pPr>
    </w:p>
    <w:p w14:paraId="2C0179FE" w14:textId="08FBF68B" w:rsidR="00C71B06" w:rsidRPr="00D816FB" w:rsidRDefault="0072300E" w:rsidP="00803AFB">
      <w:pPr>
        <w:shd w:val="clear" w:color="auto" w:fill="FFFFFF"/>
        <w:spacing w:before="120" w:after="120"/>
        <w:jc w:val="both"/>
        <w:rPr>
          <w:rFonts w:ascii="StobiSerif Regular" w:hAnsi="StobiSerif Regular"/>
          <w:sz w:val="22"/>
          <w:szCs w:val="22"/>
          <w:lang w:val="sq-AL"/>
        </w:rPr>
      </w:pPr>
      <w:r w:rsidRPr="00A27820">
        <w:rPr>
          <w:rFonts w:ascii="StobiSerif Regular" w:hAnsi="StobiSerif Regular"/>
          <w:sz w:val="24"/>
          <w:szCs w:val="24"/>
          <w:lang w:val="sq-AL"/>
        </w:rPr>
        <w:t xml:space="preserve">Përfundimisht, </w:t>
      </w:r>
      <w:r w:rsidRPr="00A27820">
        <w:rPr>
          <w:rFonts w:ascii="StobiSerif Regular" w:hAnsi="StobiSerif Regular"/>
          <w:sz w:val="24"/>
          <w:szCs w:val="24"/>
        </w:rPr>
        <w:t xml:space="preserve">financimi i dyfishtë dhe sinergjitë/plotësimet me programet e tjera të BE-së janë përfshirë edhe në raportin vjetor të </w:t>
      </w:r>
      <w:r w:rsidRPr="00A27820">
        <w:rPr>
          <w:rFonts w:ascii="StobiSerif Regular" w:hAnsi="StobiSerif Regular"/>
          <w:sz w:val="24"/>
          <w:szCs w:val="24"/>
          <w:lang w:val="sq-AL"/>
        </w:rPr>
        <w:t>progresit nga</w:t>
      </w:r>
      <w:r w:rsidRPr="00A27820">
        <w:rPr>
          <w:rFonts w:ascii="StobiSerif Regular" w:hAnsi="StobiSerif Regular"/>
          <w:sz w:val="24"/>
          <w:szCs w:val="24"/>
        </w:rPr>
        <w:t xml:space="preserve"> Komisioni </w:t>
      </w:r>
      <w:r w:rsidRPr="00A27820">
        <w:rPr>
          <w:rFonts w:ascii="StobiSerif Regular" w:hAnsi="StobiSerif Regular"/>
          <w:sz w:val="24"/>
          <w:szCs w:val="24"/>
          <w:lang w:val="sq-AL"/>
        </w:rPr>
        <w:t>deri te</w:t>
      </w:r>
      <w:r w:rsidRPr="00A27820">
        <w:rPr>
          <w:rFonts w:ascii="StobiSerif Regular" w:hAnsi="StobiSerif Regular"/>
          <w:sz w:val="24"/>
          <w:szCs w:val="24"/>
        </w:rPr>
        <w:t xml:space="preserve"> Parlamenti dhe</w:t>
      </w:r>
      <w:r w:rsidRPr="00A27820">
        <w:rPr>
          <w:rFonts w:ascii="StobiSerif Regular" w:hAnsi="StobiSerif Regular"/>
          <w:sz w:val="24"/>
          <w:szCs w:val="24"/>
          <w:lang w:val="sq-AL"/>
        </w:rPr>
        <w:t xml:space="preserve"> deri </w:t>
      </w:r>
      <w:r w:rsidRPr="00D816FB">
        <w:rPr>
          <w:rFonts w:ascii="StobiSerif Regular" w:hAnsi="StobiSerif Regular"/>
          <w:sz w:val="22"/>
          <w:szCs w:val="22"/>
          <w:lang w:val="sq-AL"/>
        </w:rPr>
        <w:t>te</w:t>
      </w:r>
      <w:r w:rsidRPr="00D816FB">
        <w:rPr>
          <w:rFonts w:ascii="StobiSerif Regular" w:hAnsi="StobiSerif Regular"/>
          <w:sz w:val="22"/>
          <w:szCs w:val="22"/>
        </w:rPr>
        <w:t xml:space="preserve"> Këshilli (siç </w:t>
      </w:r>
      <w:r w:rsidRPr="00D816FB">
        <w:rPr>
          <w:rFonts w:ascii="StobiSerif Regular" w:hAnsi="StobiSerif Regular"/>
          <w:sz w:val="22"/>
          <w:szCs w:val="22"/>
          <w:lang w:val="sq-AL"/>
        </w:rPr>
        <w:t>është shënuar</w:t>
      </w:r>
      <w:r w:rsidRPr="00D816FB">
        <w:rPr>
          <w:rFonts w:ascii="StobiSerif Regular" w:hAnsi="StobiSerif Regular"/>
          <w:sz w:val="22"/>
          <w:szCs w:val="22"/>
        </w:rPr>
        <w:t xml:space="preserve"> në nenin 25(3) të Rregullores për IRR</w:t>
      </w:r>
      <w:r w:rsidRPr="00D816FB">
        <w:rPr>
          <w:rFonts w:ascii="StobiSerif Regular" w:hAnsi="StobiSerif Regular"/>
          <w:sz w:val="22"/>
          <w:szCs w:val="22"/>
          <w:lang w:val="sq-AL"/>
        </w:rPr>
        <w:t>-në</w:t>
      </w:r>
      <w:r w:rsidRPr="00D816FB">
        <w:rPr>
          <w:rFonts w:ascii="StobiSerif Regular" w:hAnsi="StobiSerif Regular"/>
          <w:sz w:val="22"/>
          <w:szCs w:val="22"/>
        </w:rPr>
        <w:t>).</w:t>
      </w:r>
    </w:p>
    <w:p w14:paraId="4FB1CEC7" w14:textId="434ADD4C" w:rsidR="00C71B06" w:rsidRPr="00D816FB" w:rsidRDefault="00C71B06" w:rsidP="00C71B06">
      <w:pPr>
        <w:shd w:val="clear" w:color="auto" w:fill="FFFFFF"/>
        <w:spacing w:before="120" w:after="120"/>
        <w:ind w:left="709" w:hanging="425"/>
        <w:jc w:val="both"/>
        <w:rPr>
          <w:rFonts w:ascii="StobiSerif Regular" w:hAnsi="StobiSerif Regular"/>
          <w:sz w:val="22"/>
          <w:szCs w:val="22"/>
        </w:rPr>
      </w:pPr>
      <w:r w:rsidRPr="00D816FB">
        <w:rPr>
          <w:rFonts w:ascii="StobiSerif Regular" w:hAnsi="StobiSerif Regular"/>
          <w:b/>
          <w:color w:val="000000"/>
          <w:sz w:val="22"/>
          <w:szCs w:val="22"/>
        </w:rPr>
        <w:t>2</w:t>
      </w:r>
      <w:r w:rsidRPr="00D816FB">
        <w:rPr>
          <w:rFonts w:ascii="StobiSerif Regular" w:hAnsi="StobiSerif Regular"/>
          <w:b/>
          <w:color w:val="000000"/>
          <w:sz w:val="22"/>
          <w:szCs w:val="22"/>
        </w:rPr>
        <w:tab/>
      </w:r>
      <w:r w:rsidR="0072300E" w:rsidRPr="00D816FB">
        <w:rPr>
          <w:rFonts w:ascii="StobiSerif Regular" w:hAnsi="StobiSerif Regular"/>
          <w:b/>
          <w:bCs/>
          <w:sz w:val="22"/>
          <w:szCs w:val="22"/>
          <w:u w:val="single"/>
        </w:rPr>
        <w:t>Kornizë kontrolli për parandalimin, zbulimin dhe korrigjimin e financimit të dyfishtë në kuadër të IRR-së</w:t>
      </w:r>
    </w:p>
    <w:p w14:paraId="73568966" w14:textId="12FD577D" w:rsidR="00C71B06" w:rsidRPr="00D816FB" w:rsidRDefault="00C80FDB" w:rsidP="00803AFB">
      <w:pPr>
        <w:shd w:val="clear" w:color="auto" w:fill="FFFFFF"/>
        <w:spacing w:before="120" w:after="120"/>
        <w:jc w:val="both"/>
        <w:rPr>
          <w:rFonts w:ascii="StobiSerif Regular" w:hAnsi="StobiSerif Regular"/>
          <w:color w:val="000000"/>
          <w:sz w:val="22"/>
          <w:szCs w:val="22"/>
          <w:lang w:val="sq-AL"/>
        </w:rPr>
      </w:pPr>
      <w:r w:rsidRPr="00D816FB">
        <w:rPr>
          <w:rFonts w:ascii="StobiSerif Regular" w:hAnsi="StobiSerif Regular"/>
          <w:sz w:val="22"/>
          <w:szCs w:val="22"/>
          <w:lang w:val="sq-AL"/>
        </w:rPr>
        <w:t xml:space="preserve">Sipas </w:t>
      </w:r>
      <w:r w:rsidRPr="00D816FB">
        <w:rPr>
          <w:rFonts w:ascii="StobiSerif Regular" w:hAnsi="StobiSerif Regular"/>
          <w:sz w:val="22"/>
          <w:szCs w:val="22"/>
        </w:rPr>
        <w:t>Rregull</w:t>
      </w:r>
      <w:r w:rsidRPr="00D816FB">
        <w:rPr>
          <w:rFonts w:ascii="StobiSerif Regular" w:hAnsi="StobiSerif Regular"/>
          <w:sz w:val="22"/>
          <w:szCs w:val="22"/>
          <w:lang w:val="sq-AL"/>
        </w:rPr>
        <w:t>ativës</w:t>
      </w:r>
      <w:r w:rsidRPr="00D816FB">
        <w:rPr>
          <w:rFonts w:ascii="StobiSerif Regular" w:hAnsi="StobiSerif Regular"/>
          <w:sz w:val="22"/>
          <w:szCs w:val="22"/>
        </w:rPr>
        <w:t xml:space="preserve"> për IRR</w:t>
      </w:r>
      <w:r w:rsidRPr="00D816FB">
        <w:rPr>
          <w:rFonts w:ascii="StobiSerif Regular" w:hAnsi="StobiSerif Regular"/>
          <w:sz w:val="22"/>
          <w:szCs w:val="22"/>
          <w:lang w:val="sq-AL"/>
        </w:rPr>
        <w:t>-në</w:t>
      </w:r>
      <w:r w:rsidRPr="00D816FB">
        <w:rPr>
          <w:rFonts w:ascii="StobiSerif Regular" w:hAnsi="StobiSerif Regular"/>
          <w:sz w:val="22"/>
          <w:szCs w:val="22"/>
        </w:rPr>
        <w:t xml:space="preserve">, </w:t>
      </w:r>
      <w:r w:rsidRPr="00D816FB">
        <w:rPr>
          <w:rFonts w:ascii="StobiSerif Regular" w:hAnsi="StobiSerif Regular"/>
          <w:sz w:val="22"/>
          <w:szCs w:val="22"/>
          <w:lang w:val="sq-AL"/>
        </w:rPr>
        <w:t>secili</w:t>
      </w:r>
      <w:r w:rsidRPr="00D816FB">
        <w:rPr>
          <w:rFonts w:ascii="StobiSerif Regular" w:hAnsi="StobiSerif Regular"/>
          <w:sz w:val="22"/>
          <w:szCs w:val="22"/>
        </w:rPr>
        <w:t xml:space="preserve"> </w:t>
      </w:r>
      <w:r w:rsidRPr="00D816FB">
        <w:rPr>
          <w:rFonts w:ascii="StobiSerif Regular" w:hAnsi="StobiSerif Regular"/>
          <w:sz w:val="22"/>
          <w:szCs w:val="22"/>
          <w:lang w:val="sq-AL"/>
        </w:rPr>
        <w:t>Shfrytzëues</w:t>
      </w:r>
      <w:r w:rsidRPr="00D816FB">
        <w:rPr>
          <w:rFonts w:ascii="StobiSerif Regular" w:hAnsi="StobiSerif Regular"/>
          <w:sz w:val="22"/>
          <w:szCs w:val="22"/>
        </w:rPr>
        <w:t xml:space="preserve"> është i detyruar që </w:t>
      </w:r>
      <w:r w:rsidRPr="00D816FB">
        <w:rPr>
          <w:rFonts w:ascii="StobiSerif Regular" w:hAnsi="StobiSerif Regular"/>
          <w:b/>
          <w:bCs/>
          <w:sz w:val="22"/>
          <w:szCs w:val="22"/>
        </w:rPr>
        <w:t>në Agjendën e tij Reformuese të propozojë mekanizma</w:t>
      </w:r>
      <w:r w:rsidRPr="00D816FB">
        <w:rPr>
          <w:rFonts w:ascii="StobiSerif Regular" w:hAnsi="StobiSerif Regular"/>
          <w:b/>
          <w:bCs/>
          <w:sz w:val="22"/>
          <w:szCs w:val="22"/>
          <w:lang w:val="sq-AL"/>
        </w:rPr>
        <w:t>t e</w:t>
      </w:r>
      <w:r w:rsidRPr="00D816FB">
        <w:rPr>
          <w:rFonts w:ascii="StobiSerif Regular" w:hAnsi="StobiSerif Regular"/>
          <w:b/>
          <w:bCs/>
          <w:sz w:val="22"/>
          <w:szCs w:val="22"/>
        </w:rPr>
        <w:t xml:space="preserve"> kontrolli</w:t>
      </w:r>
      <w:r w:rsidRPr="00D816FB">
        <w:rPr>
          <w:rFonts w:ascii="StobiSerif Regular" w:hAnsi="StobiSerif Regular"/>
          <w:b/>
          <w:bCs/>
          <w:sz w:val="22"/>
          <w:szCs w:val="22"/>
          <w:lang w:val="sq-AL"/>
        </w:rPr>
        <w:t>t</w:t>
      </w:r>
      <w:r w:rsidRPr="00D816FB">
        <w:rPr>
          <w:rFonts w:ascii="StobiSerif Regular" w:hAnsi="StobiSerif Regular"/>
          <w:b/>
          <w:bCs/>
          <w:sz w:val="22"/>
          <w:szCs w:val="22"/>
        </w:rPr>
        <w:t xml:space="preserve"> për </w:t>
      </w:r>
      <w:r w:rsidRPr="00D816FB">
        <w:rPr>
          <w:rFonts w:ascii="StobiSerif Regular" w:hAnsi="StobiSerif Regular"/>
          <w:b/>
          <w:bCs/>
          <w:sz w:val="22"/>
          <w:szCs w:val="22"/>
          <w:lang w:val="sq-AL"/>
        </w:rPr>
        <w:t>identifkimin</w:t>
      </w:r>
      <w:r w:rsidRPr="00D816FB">
        <w:rPr>
          <w:rFonts w:ascii="StobiSerif Regular" w:hAnsi="StobiSerif Regular"/>
          <w:b/>
          <w:bCs/>
          <w:sz w:val="22"/>
          <w:szCs w:val="22"/>
        </w:rPr>
        <w:t xml:space="preserve"> dhe parandalimin e financimit të dyfishtë</w:t>
      </w:r>
      <w:r w:rsidRPr="00D816FB">
        <w:rPr>
          <w:rFonts w:ascii="StobiSerif Regular" w:hAnsi="StobiSerif Regular"/>
          <w:sz w:val="22"/>
          <w:szCs w:val="22"/>
        </w:rPr>
        <w:t xml:space="preserve">, </w:t>
      </w:r>
      <w:r w:rsidRPr="00D816FB">
        <w:rPr>
          <w:rFonts w:ascii="StobiSerif Regular" w:hAnsi="StobiSerif Regular"/>
          <w:sz w:val="22"/>
          <w:szCs w:val="22"/>
          <w:lang w:val="sq-AL"/>
        </w:rPr>
        <w:t>gjatë së cilës</w:t>
      </w:r>
      <w:r w:rsidRPr="00D816FB">
        <w:rPr>
          <w:rFonts w:ascii="StobiSerif Regular" w:hAnsi="StobiSerif Regular"/>
          <w:sz w:val="22"/>
          <w:szCs w:val="22"/>
        </w:rPr>
        <w:t xml:space="preserve"> këto masa i nënshtrohen vlerësimit </w:t>
      </w:r>
      <w:r w:rsidRPr="00D816FB">
        <w:rPr>
          <w:rFonts w:ascii="StobiSerif Regular" w:hAnsi="StobiSerif Regular"/>
          <w:sz w:val="22"/>
          <w:szCs w:val="22"/>
          <w:lang w:val="sq-AL"/>
        </w:rPr>
        <w:t>të</w:t>
      </w:r>
      <w:r w:rsidRPr="00D816FB">
        <w:rPr>
          <w:rFonts w:ascii="StobiSerif Regular" w:hAnsi="StobiSerif Regular"/>
          <w:sz w:val="22"/>
          <w:szCs w:val="22"/>
        </w:rPr>
        <w:t xml:space="preserve"> Komisioni</w:t>
      </w:r>
      <w:r w:rsidRPr="00D816FB">
        <w:rPr>
          <w:rFonts w:ascii="StobiSerif Regular" w:hAnsi="StobiSerif Regular"/>
          <w:sz w:val="22"/>
          <w:szCs w:val="22"/>
          <w:lang w:val="sq-AL"/>
        </w:rPr>
        <w:t>t</w:t>
      </w:r>
      <w:r w:rsidRPr="00D816FB">
        <w:rPr>
          <w:rFonts w:ascii="StobiSerif Regular" w:hAnsi="StobiSerif Regular"/>
          <w:sz w:val="22"/>
          <w:szCs w:val="22"/>
        </w:rPr>
        <w:t xml:space="preserve"> gjatë shqyrtimit të Agjendës </w:t>
      </w:r>
      <w:r w:rsidRPr="00D816FB">
        <w:rPr>
          <w:rFonts w:ascii="StobiSerif Regular" w:hAnsi="StobiSerif Regular"/>
          <w:sz w:val="22"/>
          <w:szCs w:val="22"/>
          <w:lang w:val="sq-AL"/>
        </w:rPr>
        <w:t>r</w:t>
      </w:r>
      <w:r w:rsidRPr="00D816FB">
        <w:rPr>
          <w:rFonts w:ascii="StobiSerif Regular" w:hAnsi="StobiSerif Regular"/>
          <w:sz w:val="22"/>
          <w:szCs w:val="22"/>
        </w:rPr>
        <w:t xml:space="preserve">eformuese, dhe duhet </w:t>
      </w:r>
      <w:r w:rsidRPr="00D816FB">
        <w:rPr>
          <w:rFonts w:ascii="StobiSerif Regular" w:hAnsi="StobiSerif Regular"/>
          <w:b/>
          <w:bCs/>
          <w:sz w:val="22"/>
          <w:szCs w:val="22"/>
        </w:rPr>
        <w:t>të konfirmo</w:t>
      </w:r>
      <w:r w:rsidRPr="00D816FB">
        <w:rPr>
          <w:rFonts w:ascii="StobiSerif Regular" w:hAnsi="StobiSerif Regular"/>
          <w:b/>
          <w:bCs/>
          <w:sz w:val="22"/>
          <w:szCs w:val="22"/>
          <w:lang w:val="sq-AL"/>
        </w:rPr>
        <w:t>jë</w:t>
      </w:r>
      <w:r w:rsidRPr="00D816FB">
        <w:rPr>
          <w:rFonts w:ascii="StobiSerif Regular" w:hAnsi="StobiSerif Regular"/>
          <w:b/>
          <w:bCs/>
          <w:sz w:val="22"/>
          <w:szCs w:val="22"/>
        </w:rPr>
        <w:t xml:space="preserve"> në deklaratën </w:t>
      </w:r>
      <w:r w:rsidRPr="00D816FB">
        <w:rPr>
          <w:rFonts w:ascii="StobiSerif Regular" w:hAnsi="StobiSerif Regular"/>
          <w:b/>
          <w:bCs/>
          <w:sz w:val="22"/>
          <w:szCs w:val="22"/>
          <w:lang w:val="sq-AL"/>
        </w:rPr>
        <w:t>për</w:t>
      </w:r>
      <w:r w:rsidRPr="00D816FB">
        <w:rPr>
          <w:rFonts w:ascii="StobiSerif Regular" w:hAnsi="StobiSerif Regular"/>
          <w:b/>
          <w:bCs/>
          <w:sz w:val="22"/>
          <w:szCs w:val="22"/>
        </w:rPr>
        <w:t xml:space="preserve"> garanc </w:t>
      </w:r>
      <w:r w:rsidRPr="00D816FB">
        <w:rPr>
          <w:rFonts w:ascii="StobiSerif Regular" w:hAnsi="StobiSerif Regular"/>
          <w:b/>
          <w:bCs/>
          <w:sz w:val="22"/>
          <w:szCs w:val="22"/>
          <w:lang w:val="sq-AL"/>
        </w:rPr>
        <w:t xml:space="preserve">e cila e shoqëron </w:t>
      </w:r>
      <w:r w:rsidRPr="00D816FB">
        <w:rPr>
          <w:rFonts w:ascii="StobiSerif Regular" w:hAnsi="StobiSerif Regular"/>
          <w:b/>
          <w:bCs/>
          <w:sz w:val="22"/>
          <w:szCs w:val="22"/>
        </w:rPr>
        <w:t>kërkesën për pagesë</w:t>
      </w:r>
      <w:r w:rsidRPr="00D816FB">
        <w:rPr>
          <w:rFonts w:ascii="StobiSerif Regular" w:hAnsi="StobiSerif Regular"/>
          <w:sz w:val="22"/>
          <w:szCs w:val="22"/>
        </w:rPr>
        <w:t xml:space="preserve"> se këto mekanizma zbatohen në mënyrë ef</w:t>
      </w:r>
      <w:r w:rsidRPr="00D816FB">
        <w:rPr>
          <w:rFonts w:ascii="StobiSerif Regular" w:hAnsi="StobiSerif Regular"/>
          <w:sz w:val="22"/>
          <w:szCs w:val="22"/>
          <w:lang w:val="sq-AL"/>
        </w:rPr>
        <w:t>ikase. Nëse hapat morën mbështetje dhe financim nga burime të tjera, kjo duhet të shënohet, duke edhe përfshirë vlerën përkatëse</w:t>
      </w:r>
      <w:r w:rsidR="009F592F" w:rsidRPr="00D816FB">
        <w:rPr>
          <w:rStyle w:val="FootnoteReference"/>
          <w:rFonts w:ascii="StobiSerif Regular" w:hAnsi="StobiSerif Regular"/>
          <w:color w:val="000000"/>
          <w:sz w:val="22"/>
          <w:szCs w:val="22"/>
        </w:rPr>
        <w:footnoteReference w:id="2"/>
      </w:r>
      <w:r w:rsidR="00C71B06" w:rsidRPr="00D816FB">
        <w:rPr>
          <w:rFonts w:ascii="StobiSerif Regular" w:hAnsi="StobiSerif Regular"/>
          <w:color w:val="000000"/>
          <w:sz w:val="22"/>
          <w:szCs w:val="22"/>
        </w:rPr>
        <w:t>.</w:t>
      </w:r>
    </w:p>
    <w:p w14:paraId="59E1F77A" w14:textId="199F3527" w:rsidR="00C71B06" w:rsidRPr="00D816FB" w:rsidRDefault="00153BED" w:rsidP="00803AFB">
      <w:pPr>
        <w:shd w:val="clear" w:color="auto" w:fill="FFFFFF"/>
        <w:spacing w:before="120" w:after="120"/>
        <w:jc w:val="both"/>
        <w:rPr>
          <w:rFonts w:ascii="StobiSerif Regular" w:hAnsi="StobiSerif Regular"/>
          <w:sz w:val="22"/>
          <w:szCs w:val="22"/>
        </w:rPr>
      </w:pPr>
      <w:r w:rsidRPr="00D816FB">
        <w:rPr>
          <w:rFonts w:ascii="StobiSerif Regular" w:hAnsi="StobiSerif Regular"/>
          <w:color w:val="000000"/>
          <w:sz w:val="22"/>
          <w:szCs w:val="22"/>
          <w:lang w:val="sq-AL"/>
        </w:rPr>
        <w:t>Në bazë të këtyre dispozitave, çështja për financim të dyfishtë duhet të zgjidhet përmes sërë masash të cilat duhet të ndërmerren si nga Shfrytëzuesi nga Ballkani Perëndimor, poashtu edhe nga Komisioni, në faza të ndryshme dhe në pajtueshmëri me përgjegjësitë e tyre, siç është sqaruar në vijim</w:t>
      </w:r>
      <w:r w:rsidR="00C71B06" w:rsidRPr="00D816FB">
        <w:rPr>
          <w:rFonts w:ascii="StobiSerif Regular" w:hAnsi="StobiSerif Regular"/>
          <w:color w:val="000000"/>
          <w:sz w:val="22"/>
          <w:szCs w:val="22"/>
        </w:rPr>
        <w:t>:</w:t>
      </w:r>
    </w:p>
    <w:p w14:paraId="57551EF3" w14:textId="779132BB" w:rsidR="00826B74" w:rsidRPr="00D816FB" w:rsidRDefault="00C71B06" w:rsidP="00826B74">
      <w:pPr>
        <w:shd w:val="clear" w:color="auto" w:fill="FFFFFF"/>
        <w:spacing w:before="120" w:after="120"/>
        <w:ind w:left="851"/>
        <w:jc w:val="both"/>
        <w:rPr>
          <w:rFonts w:ascii="StobiSerif Regular" w:hAnsi="StobiSerif Regular"/>
          <w:b/>
          <w:i/>
          <w:color w:val="000000"/>
          <w:sz w:val="22"/>
          <w:szCs w:val="22"/>
          <w:u w:val="single"/>
          <w:lang w:val="sq-AL"/>
        </w:rPr>
      </w:pPr>
      <w:r w:rsidRPr="00D816FB">
        <w:rPr>
          <w:rFonts w:ascii="StobiSerif Regular" w:hAnsi="StobiSerif Regular"/>
          <w:b/>
          <w:i/>
          <w:color w:val="000000"/>
          <w:sz w:val="22"/>
          <w:szCs w:val="22"/>
        </w:rPr>
        <w:t xml:space="preserve">а. </w:t>
      </w:r>
      <w:r w:rsidR="00826B74" w:rsidRPr="00D816FB">
        <w:rPr>
          <w:rFonts w:ascii="StobiSerif Regular" w:hAnsi="StobiSerif Regular"/>
          <w:b/>
          <w:bCs/>
          <w:i/>
          <w:iCs/>
          <w:color w:val="000000"/>
          <w:sz w:val="22"/>
          <w:szCs w:val="22"/>
        </w:rPr>
        <w:t>Hartimi dhe vlerësimi i Agjendës Ref</w:t>
      </w:r>
      <w:r w:rsidR="00826B74" w:rsidRPr="00D816FB">
        <w:rPr>
          <w:rFonts w:ascii="StobiSerif Regular" w:hAnsi="StobiSerif Regular"/>
          <w:b/>
          <w:bCs/>
          <w:i/>
          <w:iCs/>
          <w:color w:val="000000"/>
          <w:sz w:val="22"/>
          <w:szCs w:val="22"/>
          <w:lang w:val="sq-AL"/>
        </w:rPr>
        <w:t>ormuese</w:t>
      </w:r>
      <w:r w:rsidR="00826B74" w:rsidRPr="00D816FB">
        <w:rPr>
          <w:rFonts w:ascii="StobiSerif Regular" w:hAnsi="StobiSerif Regular"/>
          <w:b/>
          <w:bCs/>
          <w:i/>
          <w:iCs/>
          <w:color w:val="000000"/>
          <w:sz w:val="22"/>
          <w:szCs w:val="22"/>
        </w:rPr>
        <w:t xml:space="preserve"> (faza para zbatimit)</w:t>
      </w:r>
    </w:p>
    <w:p w14:paraId="2A5B6100" w14:textId="293A283A" w:rsidR="00826B74" w:rsidRPr="00D816FB" w:rsidRDefault="00826B74" w:rsidP="00826B74">
      <w:pPr>
        <w:shd w:val="clear" w:color="auto" w:fill="FFFFFF"/>
        <w:spacing w:before="120" w:after="120"/>
        <w:rPr>
          <w:rFonts w:ascii="StobiSerif Regular" w:hAnsi="StobiSerif Regular"/>
          <w:i/>
          <w:color w:val="000000"/>
          <w:sz w:val="22"/>
          <w:szCs w:val="22"/>
          <w:u w:val="single"/>
          <w:lang w:val="sq-AL"/>
        </w:rPr>
      </w:pPr>
      <w:r w:rsidRPr="00D816FB">
        <w:rPr>
          <w:rFonts w:ascii="StobiSerif Regular" w:hAnsi="StobiSerif Regular"/>
          <w:i/>
          <w:iCs/>
          <w:color w:val="000000"/>
          <w:sz w:val="22"/>
          <w:szCs w:val="22"/>
          <w:u w:val="single"/>
          <w:lang w:val="sq-AL"/>
        </w:rPr>
        <w:t>Shfrytëzues</w:t>
      </w:r>
    </w:p>
    <w:p w14:paraId="09808016" w14:textId="77777777" w:rsidR="00826B74" w:rsidRPr="00D816FB" w:rsidRDefault="00826B74" w:rsidP="00826B74">
      <w:pPr>
        <w:shd w:val="clear" w:color="auto" w:fill="FFFFFF"/>
        <w:spacing w:before="120" w:after="120"/>
        <w:jc w:val="both"/>
        <w:rPr>
          <w:rFonts w:ascii="StobiSerif Regular" w:hAnsi="StobiSerif Regular"/>
          <w:color w:val="000000"/>
          <w:sz w:val="22"/>
          <w:szCs w:val="22"/>
          <w:lang w:val="sq-AL"/>
        </w:rPr>
      </w:pPr>
      <w:r w:rsidRPr="00D816FB">
        <w:rPr>
          <w:rFonts w:ascii="StobiSerif Regular" w:hAnsi="StobiSerif Regular"/>
          <w:color w:val="000000"/>
          <w:sz w:val="22"/>
          <w:szCs w:val="22"/>
          <w:lang w:val="sq-AL"/>
        </w:rPr>
        <w:t>Shfrytëzuesi siguron që është vendosur sistem efektiv dhe efikas i kontrollit të brendshëm, duke implementuar parimet e njohura ndërkombëtare të kontrollit të brendshëm. Kjo përfshin sistem përkatës për parandalimin, zbulimin dhe zgjidhjen e problemeve lidhur me financimin e dyfishtë.</w:t>
      </w:r>
    </w:p>
    <w:p w14:paraId="3409F677" w14:textId="77777777" w:rsidR="00826B74" w:rsidRPr="00D816FB" w:rsidRDefault="00826B74" w:rsidP="00826B74">
      <w:pPr>
        <w:shd w:val="clear" w:color="auto" w:fill="FFFFFF"/>
        <w:spacing w:before="120" w:after="120"/>
        <w:jc w:val="both"/>
        <w:rPr>
          <w:rFonts w:ascii="StobiSerif Regular" w:hAnsi="StobiSerif Regular"/>
          <w:color w:val="000000"/>
          <w:sz w:val="22"/>
          <w:szCs w:val="22"/>
          <w:lang w:val="sq-AL"/>
        </w:rPr>
      </w:pPr>
      <w:r w:rsidRPr="00D816FB">
        <w:rPr>
          <w:rFonts w:ascii="StobiSerif Regular" w:hAnsi="StobiSerif Regular"/>
          <w:color w:val="000000"/>
          <w:sz w:val="22"/>
          <w:szCs w:val="22"/>
          <w:lang w:val="sq-AL"/>
        </w:rPr>
        <w:t>Shfrytëzuesi gjithashtu vendos sistem i cili siguron mbledhje, qasje dhe transferim të të dhënave për personat fizikë dhe subjekte juridike të cilat arrëktojnë mjete për zbatimin e masave në kuadër të Instrumentit (neni 5 i Marrëveshjes për Instrumentin).</w:t>
      </w:r>
    </w:p>
    <w:p w14:paraId="7D410293" w14:textId="77777777" w:rsidR="00826B74" w:rsidRPr="00D816FB" w:rsidRDefault="00826B74" w:rsidP="00826B74">
      <w:pPr>
        <w:shd w:val="clear" w:color="auto" w:fill="FFFFFF"/>
        <w:spacing w:before="120" w:after="120"/>
        <w:jc w:val="both"/>
        <w:rPr>
          <w:rFonts w:ascii="StobiSerif Regular" w:hAnsi="StobiSerif Regular"/>
          <w:color w:val="000000"/>
          <w:sz w:val="22"/>
          <w:szCs w:val="22"/>
          <w:lang w:val="sq-AL"/>
        </w:rPr>
      </w:pPr>
      <w:r w:rsidRPr="00D816FB">
        <w:rPr>
          <w:rFonts w:ascii="StobiSerif Regular" w:hAnsi="StobiSerif Regular"/>
          <w:color w:val="000000"/>
          <w:sz w:val="22"/>
          <w:szCs w:val="22"/>
          <w:u w:val="single"/>
          <w:lang w:val="sq-AL"/>
        </w:rPr>
        <w:t>Komisioni</w:t>
      </w:r>
      <w:r w:rsidRPr="00D816FB">
        <w:rPr>
          <w:rFonts w:ascii="StobiSerif Regular" w:hAnsi="StobiSerif Regular"/>
          <w:color w:val="000000"/>
          <w:sz w:val="22"/>
          <w:szCs w:val="22"/>
          <w:lang w:val="sq-AL"/>
        </w:rPr>
        <w:br/>
        <w:t>Komisioni, si pjesë e vlerësimit të tij të Agjendave Reformuese, i vlerëson mekanizmat e secilit nga shfrytëzuesit për parandalimin e financimit të dyfishtë. Për të gjitha Agjendat reformuese të dorëzuara, këto masa janë vlerësuar si të kënaqshme.</w:t>
      </w:r>
    </w:p>
    <w:p w14:paraId="7E067BFA" w14:textId="77777777" w:rsidR="0036639A" w:rsidRPr="00D816FB" w:rsidRDefault="00826B74" w:rsidP="0036639A">
      <w:pPr>
        <w:shd w:val="clear" w:color="auto" w:fill="FFFFFF"/>
        <w:spacing w:before="120" w:after="120"/>
        <w:jc w:val="both"/>
        <w:rPr>
          <w:rFonts w:ascii="StobiSerif Regular" w:hAnsi="StobiSerif Regular"/>
          <w:b/>
          <w:bCs/>
          <w:color w:val="333333"/>
          <w:sz w:val="22"/>
          <w:szCs w:val="22"/>
          <w:lang w:val="sq-AL"/>
        </w:rPr>
      </w:pPr>
      <w:r w:rsidRPr="00D816FB">
        <w:rPr>
          <w:rFonts w:ascii="StobiSerif Regular" w:hAnsi="StobiSerif Regular"/>
          <w:b/>
          <w:bCs/>
          <w:i/>
          <w:iCs/>
          <w:sz w:val="22"/>
          <w:szCs w:val="22"/>
          <w:lang w:val="sq-AL"/>
        </w:rPr>
        <w:t xml:space="preserve">           b. Faza e zbatimit</w:t>
      </w:r>
      <w:r w:rsidRPr="00D816FB">
        <w:rPr>
          <w:rFonts w:ascii="StobiSerif Regular" w:hAnsi="StobiSerif Regular"/>
          <w:b/>
          <w:i/>
          <w:sz w:val="22"/>
          <w:szCs w:val="22"/>
          <w:lang w:val="sq-AL"/>
        </w:rPr>
        <w:br/>
      </w:r>
      <w:r w:rsidRPr="00D816FB">
        <w:rPr>
          <w:rFonts w:ascii="StobiSerif Regular" w:hAnsi="StobiSerif Regular"/>
          <w:b/>
          <w:i/>
          <w:sz w:val="22"/>
          <w:szCs w:val="22"/>
          <w:u w:val="single"/>
        </w:rPr>
        <w:t xml:space="preserve"> </w:t>
      </w:r>
      <w:r w:rsidR="0036639A" w:rsidRPr="00D816FB">
        <w:rPr>
          <w:rFonts w:ascii="StobiSerif Regular" w:hAnsi="StobiSerif Regular"/>
          <w:b/>
          <w:bCs/>
          <w:color w:val="333333"/>
          <w:sz w:val="22"/>
          <w:szCs w:val="22"/>
          <w:u w:val="single"/>
          <w:lang w:val="sq-AL"/>
        </w:rPr>
        <w:t>Shfrytëzuesi</w:t>
      </w:r>
      <w:r w:rsidR="0036639A" w:rsidRPr="00D816FB">
        <w:rPr>
          <w:rFonts w:ascii="StobiSerif Regular" w:hAnsi="StobiSerif Regular"/>
          <w:color w:val="333333"/>
          <w:sz w:val="22"/>
          <w:szCs w:val="22"/>
          <w:u w:val="single"/>
          <w:lang w:val="sq-AL"/>
        </w:rPr>
        <w:br/>
      </w:r>
    </w:p>
    <w:p w14:paraId="4DA6902D" w14:textId="2DAA6C38" w:rsidR="00C71B06" w:rsidRPr="00D816FB" w:rsidRDefault="0036639A" w:rsidP="0036639A">
      <w:pPr>
        <w:shd w:val="clear" w:color="auto" w:fill="FFFFFF"/>
        <w:spacing w:before="120" w:after="120"/>
        <w:jc w:val="both"/>
        <w:rPr>
          <w:rFonts w:ascii="StobiSerif Regular" w:hAnsi="StobiSerif Regular"/>
          <w:sz w:val="22"/>
          <w:szCs w:val="22"/>
        </w:rPr>
      </w:pPr>
      <w:r w:rsidRPr="00D816FB">
        <w:rPr>
          <w:rFonts w:ascii="StobiSerif Regular" w:hAnsi="StobiSerif Regular"/>
          <w:b/>
          <w:bCs/>
          <w:color w:val="333333"/>
          <w:sz w:val="22"/>
          <w:szCs w:val="22"/>
          <w:lang w:val="sq-AL"/>
        </w:rPr>
        <w:t>Shfrytëzuesi</w:t>
      </w:r>
      <w:r w:rsidRPr="00D816FB">
        <w:rPr>
          <w:rFonts w:ascii="StobiSerif Regular" w:hAnsi="StobiSerif Regular"/>
          <w:color w:val="333333"/>
          <w:sz w:val="22"/>
          <w:szCs w:val="22"/>
          <w:lang w:val="sq-AL"/>
        </w:rPr>
        <w:t xml:space="preserve"> ndërmerr dhe zbaton masa p</w:t>
      </w:r>
      <w:r w:rsidRPr="00D816FB">
        <w:rPr>
          <w:rFonts w:ascii="StobiSerif Regular" w:hAnsi="StobiSerif Regular"/>
          <w:b/>
          <w:bCs/>
          <w:color w:val="333333"/>
          <w:sz w:val="22"/>
          <w:szCs w:val="22"/>
          <w:lang w:val="sq-AL"/>
        </w:rPr>
        <w:t xml:space="preserve">ër zbulimin dhe parandalimin e financimit të dyfishtë </w:t>
      </w:r>
      <w:r w:rsidRPr="00D816FB">
        <w:rPr>
          <w:rFonts w:ascii="StobiSerif Regular" w:hAnsi="StobiSerif Regular"/>
          <w:color w:val="333333"/>
          <w:sz w:val="22"/>
          <w:szCs w:val="22"/>
          <w:lang w:val="sq-AL"/>
        </w:rPr>
        <w:t xml:space="preserve">nga Instrumenti dhe nga programet e tjera të Unionit, si dhe nga donatorë të tjerë. Gjithashtu, në kërkesat për pagesë specifikon nëse disa hapa kvantitativë ose kualitativ (jo kvantitativë) kanë marrë mbështetje dhe financim nga burime të tjera, duke përfshirë shumën përkatëse, </w:t>
      </w:r>
      <w:r w:rsidRPr="00D816FB">
        <w:rPr>
          <w:rFonts w:ascii="StobiSerif Regular" w:hAnsi="StobiSerif Regular"/>
          <w:b/>
          <w:bCs/>
          <w:color w:val="333333"/>
          <w:sz w:val="22"/>
          <w:szCs w:val="22"/>
          <w:lang w:val="sq-AL"/>
        </w:rPr>
        <w:t>dhe i shpjegon mekanizmat të cilat janë vendosur për t’ju shmangur financimit të dyfishtë</w:t>
      </w:r>
      <w:r w:rsidRPr="00D816FB">
        <w:rPr>
          <w:rFonts w:ascii="StobiSerif Regular" w:hAnsi="StobiSerif Regular"/>
          <w:color w:val="333333"/>
          <w:sz w:val="22"/>
          <w:szCs w:val="22"/>
          <w:lang w:val="sq-AL"/>
        </w:rPr>
        <w:t>.</w:t>
      </w:r>
      <w:r w:rsidR="00C71B06" w:rsidRPr="00D816FB">
        <w:rPr>
          <w:rFonts w:ascii="StobiSerif Regular" w:hAnsi="StobiSerif Regular"/>
          <w:color w:val="000000"/>
          <w:sz w:val="22"/>
          <w:szCs w:val="22"/>
        </w:rPr>
        <w:t>.</w:t>
      </w:r>
    </w:p>
    <w:p w14:paraId="09F5E485" w14:textId="4087FA51" w:rsidR="00C71B06" w:rsidRPr="00D816FB" w:rsidRDefault="0036639A" w:rsidP="00803AFB">
      <w:pPr>
        <w:shd w:val="clear" w:color="auto" w:fill="FFFFFF"/>
        <w:spacing w:before="120" w:after="120"/>
        <w:jc w:val="both"/>
        <w:rPr>
          <w:rFonts w:ascii="StobiSerif Regular" w:hAnsi="StobiSerif Regular"/>
          <w:sz w:val="22"/>
          <w:szCs w:val="22"/>
        </w:rPr>
      </w:pPr>
      <w:r w:rsidRPr="00D816FB">
        <w:rPr>
          <w:rFonts w:ascii="StobiSerif Regular" w:hAnsi="StobiSerif Regular"/>
          <w:sz w:val="22"/>
          <w:szCs w:val="22"/>
        </w:rPr>
        <w:t xml:space="preserve">Në </w:t>
      </w:r>
      <w:r w:rsidRPr="00D816FB">
        <w:rPr>
          <w:rFonts w:ascii="StobiSerif Regular" w:hAnsi="StobiSerif Regular"/>
          <w:b/>
          <w:bCs/>
          <w:sz w:val="22"/>
          <w:szCs w:val="22"/>
        </w:rPr>
        <w:t>deklaratën për garanc</w:t>
      </w:r>
      <w:r w:rsidRPr="00D816FB">
        <w:rPr>
          <w:rFonts w:ascii="StobiSerif Regular" w:hAnsi="StobiSerif Regular"/>
          <w:sz w:val="22"/>
          <w:szCs w:val="22"/>
        </w:rPr>
        <w:t xml:space="preserve"> që i bashkangjet kërkesat për pagesë, Koordinatori nacional konfirmon se</w:t>
      </w:r>
      <w:r w:rsidR="00C71B06" w:rsidRPr="00D816FB">
        <w:rPr>
          <w:rFonts w:ascii="StobiSerif Regular" w:hAnsi="StobiSerif Regular"/>
          <w:sz w:val="22"/>
          <w:szCs w:val="22"/>
        </w:rPr>
        <w:t>:</w:t>
      </w:r>
    </w:p>
    <w:p w14:paraId="76966939" w14:textId="77777777" w:rsidR="0036639A" w:rsidRPr="00D816FB" w:rsidRDefault="00C71B06" w:rsidP="0036639A">
      <w:pPr>
        <w:shd w:val="clear" w:color="auto" w:fill="FFFFFF"/>
        <w:spacing w:before="120" w:after="120"/>
        <w:jc w:val="both"/>
        <w:rPr>
          <w:rFonts w:ascii="StobiSerif Regular" w:hAnsi="StobiSerif Regular"/>
          <w:color w:val="000000"/>
          <w:sz w:val="22"/>
          <w:szCs w:val="22"/>
        </w:rPr>
      </w:pPr>
      <w:r w:rsidRPr="00D816FB">
        <w:rPr>
          <w:rFonts w:ascii="StobiSerif Regular" w:hAnsi="StobiSerif Regular"/>
          <w:color w:val="000000"/>
          <w:sz w:val="22"/>
          <w:szCs w:val="22"/>
        </w:rPr>
        <w:t>-</w:t>
      </w:r>
      <w:r w:rsidRPr="00D816FB">
        <w:rPr>
          <w:rFonts w:ascii="StobiSerif Regular" w:hAnsi="StobiSerif Regular"/>
          <w:color w:val="000000"/>
          <w:sz w:val="22"/>
          <w:szCs w:val="22"/>
        </w:rPr>
        <w:tab/>
      </w:r>
      <w:r w:rsidR="0036639A" w:rsidRPr="00D816FB">
        <w:rPr>
          <w:rFonts w:ascii="StobiSerif Regular" w:hAnsi="StobiSerif Regular"/>
          <w:color w:val="000000"/>
          <w:sz w:val="22"/>
          <w:szCs w:val="22"/>
        </w:rPr>
        <w:t>Sistemet e kontrollit të vendosura i japin garancitë e nevojshme që financimi i siguruar shfrytëzohet në pajtim me të gjitha rregullat në fuqi, veçanërisht  lidhur me parandalimin, zbulimin dhe korrigjimin e mashtrimeve, korrupsionit, konfliktit të interesave dhe parregullsive.</w:t>
      </w:r>
    </w:p>
    <w:p w14:paraId="2CA090C0" w14:textId="77777777" w:rsidR="0036639A" w:rsidRPr="00D816FB" w:rsidRDefault="00C71B06" w:rsidP="0036639A">
      <w:pPr>
        <w:shd w:val="clear" w:color="auto" w:fill="FFFFFF"/>
        <w:spacing w:before="120" w:after="120"/>
        <w:jc w:val="both"/>
        <w:rPr>
          <w:rFonts w:ascii="StobiSerif Regular" w:hAnsi="StobiSerif Regular"/>
          <w:color w:val="000000"/>
          <w:sz w:val="22"/>
          <w:szCs w:val="22"/>
        </w:rPr>
      </w:pPr>
      <w:r w:rsidRPr="00D816FB">
        <w:rPr>
          <w:rFonts w:ascii="StobiSerif Regular" w:hAnsi="StobiSerif Regular"/>
          <w:color w:val="000000"/>
          <w:sz w:val="22"/>
          <w:szCs w:val="22"/>
        </w:rPr>
        <w:t>-</w:t>
      </w:r>
      <w:r w:rsidRPr="00D816FB">
        <w:rPr>
          <w:rFonts w:ascii="StobiSerif Regular" w:hAnsi="StobiSerif Regular"/>
          <w:color w:val="000000"/>
          <w:sz w:val="22"/>
          <w:szCs w:val="22"/>
        </w:rPr>
        <w:tab/>
      </w:r>
      <w:r w:rsidR="0036639A" w:rsidRPr="00D816FB">
        <w:rPr>
          <w:rFonts w:ascii="StobiSerif Regular" w:hAnsi="StobiSerif Regular"/>
          <w:color w:val="000000"/>
          <w:sz w:val="22"/>
          <w:szCs w:val="22"/>
        </w:rPr>
        <w:t xml:space="preserve">Mekanizmat e vendosura e japin garancën e nevojshme që financimi i siguruar nuk ka rezultuar me financim të dyfishtë nga Instrumenti, nga programet ose instrumentet e tjera të Unionit, </w:t>
      </w:r>
      <w:r w:rsidR="0036639A" w:rsidRPr="00D816FB">
        <w:rPr>
          <w:rFonts w:ascii="StobiSerif Regular" w:hAnsi="StobiSerif Regular"/>
          <w:color w:val="000000"/>
          <w:sz w:val="22"/>
          <w:szCs w:val="22"/>
        </w:rPr>
        <w:lastRenderedPageBreak/>
        <w:t>si dhe nga donatorë të tjerë.</w:t>
      </w:r>
    </w:p>
    <w:p w14:paraId="0B6A33E1" w14:textId="20DFA0BF" w:rsidR="00C71B06" w:rsidRPr="00D816FB" w:rsidRDefault="0036639A" w:rsidP="00803AFB">
      <w:pPr>
        <w:shd w:val="clear" w:color="auto" w:fill="FFFFFF"/>
        <w:spacing w:before="120" w:after="120"/>
        <w:jc w:val="both"/>
        <w:rPr>
          <w:rFonts w:ascii="StobiSerif Regular" w:hAnsi="StobiSerif Regular"/>
          <w:sz w:val="22"/>
          <w:szCs w:val="22"/>
          <w:lang w:val="sq-AL"/>
        </w:rPr>
      </w:pPr>
      <w:r w:rsidRPr="00D816FB">
        <w:rPr>
          <w:rFonts w:ascii="StobiSerif Regular" w:hAnsi="StobiSerif Regular"/>
          <w:sz w:val="22"/>
          <w:szCs w:val="22"/>
          <w:lang w:val="sq-AL"/>
        </w:rPr>
        <w:t>Nëse është e nevojshme, Komisioni mund ta mbështesë Koordinatorin nacional në mbledhjen e informatave lidhur me financimin nga programet dhe instrumentet e tjera të Unionit.</w:t>
      </w:r>
    </w:p>
    <w:p w14:paraId="5410D2FC" w14:textId="77777777" w:rsidR="0036639A" w:rsidRPr="00A27820" w:rsidRDefault="0036639A" w:rsidP="0036639A">
      <w:pPr>
        <w:shd w:val="clear" w:color="auto" w:fill="FFFFFF"/>
        <w:spacing w:before="120" w:after="120"/>
        <w:jc w:val="both"/>
        <w:rPr>
          <w:rFonts w:ascii="StobiSerif Regular" w:hAnsi="StobiSerif Regular"/>
          <w:color w:val="000000"/>
          <w:sz w:val="24"/>
          <w:szCs w:val="24"/>
          <w:u w:val="single"/>
          <w:lang w:val="sq-AL"/>
        </w:rPr>
      </w:pPr>
      <w:r w:rsidRPr="00D816FB">
        <w:rPr>
          <w:rFonts w:ascii="StobiSerif Regular" w:hAnsi="StobiSerif Regular"/>
          <w:color w:val="000000"/>
          <w:sz w:val="22"/>
          <w:szCs w:val="22"/>
          <w:lang w:val="sq-AL"/>
        </w:rPr>
        <w:t xml:space="preserve">Administrata e Shfrytëzuesit gjithashtu siguron </w:t>
      </w:r>
      <w:r w:rsidRPr="00D816FB">
        <w:rPr>
          <w:rFonts w:ascii="StobiSerif Regular" w:hAnsi="StobiSerif Regular"/>
          <w:b/>
          <w:bCs/>
          <w:color w:val="000000"/>
          <w:sz w:val="22"/>
          <w:szCs w:val="22"/>
          <w:lang w:val="sq-AL"/>
        </w:rPr>
        <w:t>përmbledhje të revizioneve të realizuara</w:t>
      </w:r>
      <w:r w:rsidRPr="00D816FB">
        <w:rPr>
          <w:rFonts w:ascii="StobiSerif Regular" w:hAnsi="StobiSerif Regular"/>
          <w:color w:val="000000"/>
          <w:sz w:val="22"/>
          <w:szCs w:val="22"/>
          <w:lang w:val="sq-AL"/>
        </w:rPr>
        <w:t>, duke përfshirë dobësitë e identifikuara dhe masat korrigjuese të ndërmarra.</w:t>
      </w:r>
      <w:r w:rsidRPr="00A27820">
        <w:rPr>
          <w:rFonts w:ascii="StobiSerif Regular" w:hAnsi="StobiSerif Regular"/>
          <w:color w:val="000000"/>
          <w:sz w:val="24"/>
          <w:szCs w:val="24"/>
          <w:u w:val="single"/>
          <w:lang w:val="sq-AL"/>
        </w:rPr>
        <w:br/>
      </w:r>
    </w:p>
    <w:p w14:paraId="08377079" w14:textId="2CA51484" w:rsidR="0036639A" w:rsidRPr="00A27820" w:rsidRDefault="0036639A" w:rsidP="0036639A">
      <w:pPr>
        <w:shd w:val="clear" w:color="auto" w:fill="FFFFFF"/>
        <w:spacing w:before="120" w:after="120"/>
        <w:jc w:val="both"/>
        <w:rPr>
          <w:rFonts w:ascii="StobiSerif Regular" w:hAnsi="StobiSerif Regular"/>
          <w:color w:val="000000"/>
          <w:sz w:val="24"/>
          <w:szCs w:val="24"/>
          <w:u w:val="single"/>
          <w:lang w:val="sq-AL"/>
        </w:rPr>
      </w:pPr>
      <w:r w:rsidRPr="00A27820">
        <w:rPr>
          <w:rFonts w:ascii="StobiSerif Regular" w:hAnsi="StobiSerif Regular"/>
          <w:color w:val="000000"/>
          <w:sz w:val="24"/>
          <w:szCs w:val="24"/>
          <w:u w:val="single"/>
          <w:lang w:val="sq-AL"/>
        </w:rPr>
        <w:t>Komisioni</w:t>
      </w:r>
    </w:p>
    <w:p w14:paraId="7D97FF92" w14:textId="77777777" w:rsidR="00B40F9D" w:rsidRPr="00B40F9D" w:rsidRDefault="00B40F9D" w:rsidP="00B40F9D">
      <w:pPr>
        <w:shd w:val="clear" w:color="auto" w:fill="FFFFFF"/>
        <w:spacing w:before="120" w:after="120"/>
        <w:jc w:val="both"/>
        <w:rPr>
          <w:rFonts w:ascii="StobiSerif Regular" w:hAnsi="StobiSerif Regular"/>
          <w:color w:val="000000"/>
          <w:sz w:val="24"/>
          <w:szCs w:val="24"/>
          <w:lang w:val="sq-AL"/>
        </w:rPr>
      </w:pPr>
      <w:r w:rsidRPr="00B40F9D">
        <w:rPr>
          <w:rFonts w:ascii="StobiSerif Regular" w:hAnsi="StobiSerif Regular"/>
          <w:color w:val="000000"/>
          <w:sz w:val="24"/>
          <w:szCs w:val="24"/>
        </w:rPr>
        <w:t>Në p</w:t>
      </w:r>
      <w:r w:rsidRPr="00B40F9D">
        <w:rPr>
          <w:rFonts w:ascii="StobiSerif Regular" w:hAnsi="StobiSerif Regular"/>
          <w:color w:val="000000"/>
          <w:sz w:val="24"/>
          <w:szCs w:val="24"/>
          <w:lang w:val="sq-AL"/>
        </w:rPr>
        <w:t>ajtim</w:t>
      </w:r>
      <w:r w:rsidRPr="00B40F9D">
        <w:rPr>
          <w:rFonts w:ascii="StobiSerif Regular" w:hAnsi="StobiSerif Regular"/>
          <w:color w:val="000000"/>
          <w:sz w:val="24"/>
          <w:szCs w:val="24"/>
        </w:rPr>
        <w:t xml:space="preserve"> me nenin 12.8 të Marrëveshjes për Instrumentin, kryhet </w:t>
      </w:r>
      <w:r w:rsidRPr="00B40F9D">
        <w:rPr>
          <w:rFonts w:ascii="StobiSerif Regular" w:hAnsi="StobiSerif Regular"/>
          <w:color w:val="000000"/>
          <w:sz w:val="24"/>
          <w:szCs w:val="24"/>
          <w:lang w:val="sq-AL"/>
        </w:rPr>
        <w:t xml:space="preserve">revision i </w:t>
      </w:r>
      <w:r w:rsidRPr="00B40F9D">
        <w:rPr>
          <w:rFonts w:ascii="StobiSerif Regular" w:hAnsi="StobiSerif Regular"/>
          <w:color w:val="000000"/>
          <w:sz w:val="24"/>
          <w:szCs w:val="24"/>
        </w:rPr>
        <w:t>sistem</w:t>
      </w:r>
      <w:r w:rsidRPr="00B40F9D">
        <w:rPr>
          <w:rFonts w:ascii="StobiSerif Regular" w:hAnsi="StobiSerif Regular"/>
          <w:color w:val="000000"/>
          <w:sz w:val="24"/>
          <w:szCs w:val="24"/>
          <w:lang w:val="sq-AL"/>
        </w:rPr>
        <w:t>it</w:t>
      </w:r>
      <w:r w:rsidRPr="00B40F9D">
        <w:rPr>
          <w:rFonts w:ascii="StobiSerif Regular" w:hAnsi="StobiSerif Regular"/>
          <w:color w:val="000000"/>
          <w:sz w:val="24"/>
          <w:szCs w:val="24"/>
        </w:rPr>
        <w:t xml:space="preserve"> më</w:t>
      </w:r>
      <w:r w:rsidRPr="00B40F9D">
        <w:rPr>
          <w:rFonts w:ascii="StobiSerif Regular" w:hAnsi="StobiSerif Regular"/>
          <w:color w:val="000000"/>
          <w:sz w:val="24"/>
          <w:szCs w:val="24"/>
          <w:lang w:val="sq-AL"/>
        </w:rPr>
        <w:t xml:space="preserve"> së</w:t>
      </w:r>
      <w:r w:rsidRPr="00B40F9D">
        <w:rPr>
          <w:rFonts w:ascii="StobiSerif Regular" w:hAnsi="StobiSerif Regular"/>
          <w:color w:val="000000"/>
          <w:sz w:val="24"/>
          <w:szCs w:val="24"/>
        </w:rPr>
        <w:t xml:space="preserve"> von</w:t>
      </w:r>
      <w:r w:rsidRPr="00B40F9D">
        <w:rPr>
          <w:rFonts w:ascii="StobiSerif Regular" w:hAnsi="StobiSerif Regular"/>
          <w:color w:val="000000"/>
          <w:sz w:val="24"/>
          <w:szCs w:val="24"/>
          <w:lang w:val="sq-AL"/>
        </w:rPr>
        <w:t xml:space="preserve">i deri </w:t>
      </w:r>
      <w:r w:rsidRPr="00B40F9D">
        <w:rPr>
          <w:rFonts w:ascii="StobiSerif Regular" w:hAnsi="StobiSerif Regular"/>
          <w:color w:val="000000"/>
          <w:sz w:val="24"/>
          <w:szCs w:val="24"/>
        </w:rPr>
        <w:t xml:space="preserve">në vitin 2025, me qëllim </w:t>
      </w:r>
      <w:r w:rsidRPr="00B40F9D">
        <w:rPr>
          <w:rFonts w:ascii="StobiSerif Regular" w:hAnsi="StobiSerif Regular"/>
          <w:color w:val="000000"/>
          <w:sz w:val="24"/>
          <w:szCs w:val="24"/>
          <w:lang w:val="sq-AL"/>
        </w:rPr>
        <w:t>që të</w:t>
      </w:r>
      <w:r w:rsidRPr="00B40F9D">
        <w:rPr>
          <w:rFonts w:ascii="StobiSerif Regular" w:hAnsi="StobiSerif Regular"/>
          <w:color w:val="000000"/>
          <w:sz w:val="24"/>
          <w:szCs w:val="24"/>
        </w:rPr>
        <w:t xml:space="preserve"> vlerës</w:t>
      </w:r>
      <w:r w:rsidRPr="00B40F9D">
        <w:rPr>
          <w:rFonts w:ascii="StobiSerif Regular" w:hAnsi="StobiSerif Regular"/>
          <w:color w:val="000000"/>
          <w:sz w:val="24"/>
          <w:szCs w:val="24"/>
          <w:lang w:val="sq-AL"/>
        </w:rPr>
        <w:t xml:space="preserve">ohen </w:t>
      </w:r>
      <w:r w:rsidRPr="00B40F9D">
        <w:rPr>
          <w:rFonts w:ascii="StobiSerif Regular" w:hAnsi="StobiSerif Regular"/>
          <w:color w:val="000000"/>
          <w:sz w:val="24"/>
          <w:szCs w:val="24"/>
        </w:rPr>
        <w:t>sisteme</w:t>
      </w:r>
      <w:r w:rsidRPr="00B40F9D">
        <w:rPr>
          <w:rFonts w:ascii="StobiSerif Regular" w:hAnsi="StobiSerif Regular"/>
          <w:color w:val="000000"/>
          <w:sz w:val="24"/>
          <w:szCs w:val="24"/>
          <w:lang w:val="sq-AL"/>
        </w:rPr>
        <w:t>t për</w:t>
      </w:r>
      <w:r w:rsidRPr="00B40F9D">
        <w:rPr>
          <w:rFonts w:ascii="StobiSerif Regular" w:hAnsi="StobiSerif Regular"/>
          <w:color w:val="000000"/>
          <w:sz w:val="24"/>
          <w:szCs w:val="24"/>
        </w:rPr>
        <w:t xml:space="preserve"> kontroll të brendshëm të </w:t>
      </w:r>
      <w:r w:rsidRPr="00B40F9D">
        <w:rPr>
          <w:rFonts w:ascii="StobiSerif Regular" w:hAnsi="StobiSerif Regular"/>
          <w:color w:val="000000"/>
          <w:sz w:val="24"/>
          <w:szCs w:val="24"/>
          <w:lang w:val="sq-AL"/>
        </w:rPr>
        <w:t>Shfrytëzuesit</w:t>
      </w:r>
      <w:r w:rsidRPr="00B40F9D">
        <w:rPr>
          <w:rFonts w:ascii="StobiSerif Regular" w:hAnsi="StobiSerif Regular"/>
          <w:color w:val="000000"/>
          <w:sz w:val="24"/>
          <w:szCs w:val="24"/>
        </w:rPr>
        <w:t>, duke përfshirë edhe aftësinë e tij për të parandaluar, zbuluar dhe korrigjuar financimin e dyfishtë. Në</w:t>
      </w:r>
      <w:r w:rsidRPr="00B40F9D">
        <w:rPr>
          <w:rFonts w:ascii="StobiSerif Regular" w:hAnsi="StobiSerif Regular"/>
          <w:color w:val="000000"/>
          <w:sz w:val="24"/>
          <w:szCs w:val="24"/>
          <w:lang w:val="sq-AL"/>
        </w:rPr>
        <w:t>qoftëse</w:t>
      </w:r>
      <w:r w:rsidRPr="00B40F9D">
        <w:rPr>
          <w:rFonts w:ascii="StobiSerif Regular" w:hAnsi="StobiSerif Regular"/>
          <w:color w:val="000000"/>
          <w:sz w:val="24"/>
          <w:szCs w:val="24"/>
        </w:rPr>
        <w:t xml:space="preserve"> konstatohet nevoj</w:t>
      </w:r>
      <w:r w:rsidRPr="00B40F9D">
        <w:rPr>
          <w:rFonts w:ascii="StobiSerif Regular" w:hAnsi="StobiSerif Regular"/>
          <w:color w:val="000000"/>
          <w:sz w:val="24"/>
          <w:szCs w:val="24"/>
          <w:lang w:val="sq-AL"/>
        </w:rPr>
        <w:t xml:space="preserve">a për </w:t>
      </w:r>
      <w:r w:rsidRPr="00B40F9D">
        <w:rPr>
          <w:rFonts w:ascii="StobiSerif Regular" w:hAnsi="StobiSerif Regular"/>
          <w:color w:val="000000"/>
          <w:sz w:val="24"/>
          <w:szCs w:val="24"/>
        </w:rPr>
        <w:t xml:space="preserve">gjatë </w:t>
      </w:r>
      <w:r w:rsidRPr="00B40F9D">
        <w:rPr>
          <w:rFonts w:ascii="StobiSerif Regular" w:hAnsi="StobiSerif Regular"/>
          <w:color w:val="000000"/>
          <w:sz w:val="24"/>
          <w:szCs w:val="24"/>
          <w:lang w:val="sq-AL"/>
        </w:rPr>
        <w:t>revizionit të</w:t>
      </w:r>
      <w:r w:rsidRPr="00B40F9D">
        <w:rPr>
          <w:rFonts w:ascii="StobiSerif Regular" w:hAnsi="StobiSerif Regular"/>
          <w:color w:val="000000"/>
          <w:sz w:val="24"/>
          <w:szCs w:val="24"/>
        </w:rPr>
        <w:t xml:space="preserve"> siste</w:t>
      </w:r>
      <w:r w:rsidRPr="00B40F9D">
        <w:rPr>
          <w:rFonts w:ascii="StobiSerif Regular" w:hAnsi="StobiSerif Regular"/>
          <w:color w:val="000000"/>
          <w:sz w:val="24"/>
          <w:szCs w:val="24"/>
          <w:lang w:val="sq-AL"/>
        </w:rPr>
        <w:t>mit</w:t>
      </w:r>
      <w:r w:rsidRPr="00B40F9D">
        <w:rPr>
          <w:rFonts w:ascii="StobiSerif Regular" w:hAnsi="StobiSerif Regular"/>
          <w:color w:val="000000"/>
          <w:sz w:val="24"/>
          <w:szCs w:val="24"/>
        </w:rPr>
        <w:t xml:space="preserve">, do të </w:t>
      </w:r>
      <w:r w:rsidRPr="00B40F9D">
        <w:rPr>
          <w:rFonts w:ascii="StobiSerif Regular" w:hAnsi="StobiSerif Regular"/>
          <w:color w:val="000000"/>
          <w:sz w:val="24"/>
          <w:szCs w:val="24"/>
          <w:lang w:val="sq-AL"/>
        </w:rPr>
        <w:t>jepen</w:t>
      </w:r>
      <w:r w:rsidRPr="00B40F9D">
        <w:rPr>
          <w:rFonts w:ascii="StobiSerif Regular" w:hAnsi="StobiSerif Regular"/>
          <w:color w:val="000000"/>
          <w:sz w:val="24"/>
          <w:szCs w:val="24"/>
        </w:rPr>
        <w:t xml:space="preserve"> rekomandime </w:t>
      </w:r>
      <w:r w:rsidRPr="00B40F9D">
        <w:rPr>
          <w:rFonts w:ascii="StobiSerif Regular" w:hAnsi="StobiSerif Regular"/>
          <w:color w:val="000000"/>
          <w:sz w:val="24"/>
          <w:szCs w:val="24"/>
          <w:lang w:val="sq-AL"/>
        </w:rPr>
        <w:t>që të ftohet Shfryrëzuesi</w:t>
      </w:r>
      <w:r w:rsidRPr="00B40F9D">
        <w:rPr>
          <w:rFonts w:ascii="StobiSerif Regular" w:hAnsi="StobiSerif Regular"/>
          <w:color w:val="000000"/>
          <w:sz w:val="24"/>
          <w:szCs w:val="24"/>
        </w:rPr>
        <w:t xml:space="preserve"> që të përmirësojë sistemin e tij të kontrollit në këtë drejtim.</w:t>
      </w:r>
    </w:p>
    <w:p w14:paraId="10E6DA47" w14:textId="77777777" w:rsidR="00B40F9D" w:rsidRPr="00A27820" w:rsidRDefault="00B40F9D" w:rsidP="00B40F9D">
      <w:pPr>
        <w:rPr>
          <w:rFonts w:ascii="StobiSerif Regular" w:hAnsi="StobiSerif Regular" w:cs="Aptos"/>
          <w:sz w:val="24"/>
          <w:szCs w:val="24"/>
          <w:lang w:val="sq-AL"/>
        </w:rPr>
      </w:pPr>
      <w:r w:rsidRPr="00A27820">
        <w:rPr>
          <w:rFonts w:ascii="StobiSerif Regular" w:hAnsi="StobiSerif Regular"/>
          <w:sz w:val="24"/>
          <w:szCs w:val="24"/>
          <w:lang w:val="sq-AL"/>
        </w:rPr>
        <w:t>Gjatë</w:t>
      </w:r>
      <w:r w:rsidRPr="00A27820">
        <w:rPr>
          <w:rFonts w:ascii="StobiSerif Regular" w:hAnsi="StobiSerif Regular"/>
          <w:sz w:val="24"/>
          <w:szCs w:val="24"/>
        </w:rPr>
        <w:t xml:space="preserve"> pranimi</w:t>
      </w:r>
      <w:r w:rsidRPr="00A27820">
        <w:rPr>
          <w:rFonts w:ascii="StobiSerif Regular" w:hAnsi="StobiSerif Regular"/>
          <w:sz w:val="24"/>
          <w:szCs w:val="24"/>
          <w:lang w:val="sq-AL"/>
        </w:rPr>
        <w:t>t të</w:t>
      </w:r>
      <w:r w:rsidRPr="00A27820">
        <w:rPr>
          <w:rFonts w:ascii="StobiSerif Regular" w:hAnsi="StobiSerif Regular"/>
          <w:sz w:val="24"/>
          <w:szCs w:val="24"/>
        </w:rPr>
        <w:t xml:space="preserve"> kërkesës për pagesë, KE (Komisioni Evropian) </w:t>
      </w:r>
      <w:r w:rsidRPr="00A27820">
        <w:rPr>
          <w:rFonts w:ascii="StobiSerif Regular" w:hAnsi="StobiSerif Regular"/>
          <w:sz w:val="24"/>
          <w:szCs w:val="24"/>
          <w:lang w:val="sq-AL"/>
        </w:rPr>
        <w:t xml:space="preserve">e </w:t>
      </w:r>
      <w:r w:rsidRPr="00A27820">
        <w:rPr>
          <w:rFonts w:ascii="StobiSerif Regular" w:hAnsi="StobiSerif Regular"/>
          <w:sz w:val="24"/>
          <w:szCs w:val="24"/>
        </w:rPr>
        <w:t>vlerëson shkallën e përmbushjes së hapave bazuar në informacionet e siguruara nga autoritetet përkatëse. Në raste të veçanta, KE mund të përdorë kontrolle e</w:t>
      </w:r>
      <w:r w:rsidRPr="00A27820">
        <w:rPr>
          <w:rFonts w:ascii="StobiSerif Regular" w:hAnsi="StobiSerif Regular"/>
          <w:sz w:val="24"/>
          <w:szCs w:val="24"/>
          <w:lang w:val="sq-AL"/>
        </w:rPr>
        <w:t>ks-</w:t>
      </w:r>
      <w:r w:rsidRPr="00A27820">
        <w:rPr>
          <w:rFonts w:ascii="StobiSerif Regular" w:hAnsi="StobiSerif Regular"/>
          <w:sz w:val="24"/>
          <w:szCs w:val="24"/>
        </w:rPr>
        <w:t>ante, si</w:t>
      </w:r>
      <w:r w:rsidRPr="00A27820">
        <w:rPr>
          <w:rFonts w:ascii="StobiSerif Regular" w:hAnsi="StobiSerif Regular"/>
          <w:sz w:val="24"/>
          <w:szCs w:val="24"/>
          <w:lang w:val="sq-AL"/>
        </w:rPr>
        <w:t>ç janë</w:t>
      </w:r>
      <w:r w:rsidRPr="00A27820">
        <w:rPr>
          <w:rFonts w:ascii="StobiSerif Regular" w:hAnsi="StobiSerif Regular"/>
          <w:sz w:val="24"/>
          <w:szCs w:val="24"/>
        </w:rPr>
        <w:t xml:space="preserve"> misione për verifikim, ose kontrolle e</w:t>
      </w:r>
      <w:r w:rsidRPr="00A27820">
        <w:rPr>
          <w:rFonts w:ascii="StobiSerif Regular" w:hAnsi="StobiSerif Regular"/>
          <w:sz w:val="24"/>
          <w:szCs w:val="24"/>
          <w:lang w:val="sq-AL"/>
        </w:rPr>
        <w:t>ks-</w:t>
      </w:r>
      <w:r w:rsidRPr="00A27820">
        <w:rPr>
          <w:rFonts w:ascii="StobiSerif Regular" w:hAnsi="StobiSerif Regular"/>
          <w:sz w:val="24"/>
          <w:szCs w:val="24"/>
        </w:rPr>
        <w:t>post në fazë të mëvonshme.</w:t>
      </w:r>
    </w:p>
    <w:p w14:paraId="5362F583" w14:textId="77777777" w:rsidR="00B40F9D" w:rsidRPr="00B40F9D" w:rsidRDefault="00B40F9D" w:rsidP="00B40F9D">
      <w:pPr>
        <w:shd w:val="clear" w:color="auto" w:fill="FFFFFF"/>
        <w:spacing w:before="120" w:after="120"/>
        <w:jc w:val="both"/>
        <w:rPr>
          <w:rFonts w:ascii="StobiSerif Regular" w:hAnsi="StobiSerif Regular"/>
          <w:color w:val="000000"/>
          <w:sz w:val="24"/>
          <w:szCs w:val="24"/>
          <w:lang w:val="sq-AL"/>
        </w:rPr>
      </w:pPr>
      <w:r w:rsidRPr="00B40F9D">
        <w:rPr>
          <w:rFonts w:ascii="StobiSerif Regular" w:hAnsi="StobiSerif Regular"/>
          <w:color w:val="000000"/>
          <w:sz w:val="24"/>
          <w:szCs w:val="24"/>
          <w:lang w:val="sq-AL"/>
        </w:rPr>
        <w:t>Konkretisht</w:t>
      </w:r>
      <w:r w:rsidRPr="00B40F9D">
        <w:rPr>
          <w:rFonts w:ascii="StobiSerif Regular" w:hAnsi="StobiSerif Regular"/>
          <w:color w:val="000000"/>
          <w:sz w:val="24"/>
          <w:szCs w:val="24"/>
        </w:rPr>
        <w:t xml:space="preserve">, Komisioni do të vlerësojë </w:t>
      </w:r>
      <w:r w:rsidRPr="00B40F9D">
        <w:rPr>
          <w:rFonts w:ascii="StobiSerif Regular" w:hAnsi="StobiSerif Regular"/>
          <w:b/>
          <w:bCs/>
          <w:color w:val="000000"/>
          <w:sz w:val="24"/>
          <w:szCs w:val="24"/>
          <w:lang w:val="sq-AL"/>
        </w:rPr>
        <w:t xml:space="preserve">se </w:t>
      </w:r>
      <w:r w:rsidRPr="00B40F9D">
        <w:rPr>
          <w:rFonts w:ascii="StobiSerif Regular" w:hAnsi="StobiSerif Regular"/>
          <w:b/>
          <w:bCs/>
          <w:color w:val="000000"/>
          <w:sz w:val="24"/>
          <w:szCs w:val="24"/>
        </w:rPr>
        <w:t xml:space="preserve">në </w:t>
      </w:r>
      <w:r w:rsidRPr="00B40F9D">
        <w:rPr>
          <w:rFonts w:ascii="StobiSerif Regular" w:hAnsi="StobiSerif Regular"/>
          <w:b/>
          <w:bCs/>
          <w:color w:val="000000"/>
          <w:sz w:val="24"/>
          <w:szCs w:val="24"/>
          <w:lang w:val="sq-AL"/>
        </w:rPr>
        <w:t xml:space="preserve">cilën shkallë </w:t>
      </w:r>
      <w:r w:rsidRPr="00B40F9D">
        <w:rPr>
          <w:rFonts w:ascii="StobiSerif Regular" w:hAnsi="StobiSerif Regular"/>
          <w:b/>
          <w:bCs/>
          <w:color w:val="000000"/>
          <w:sz w:val="24"/>
          <w:szCs w:val="24"/>
        </w:rPr>
        <w:t xml:space="preserve">veprimi plotësues ka kontribuar </w:t>
      </w:r>
      <w:r w:rsidRPr="00B40F9D">
        <w:rPr>
          <w:rFonts w:ascii="StobiSerif Regular" w:hAnsi="StobiSerif Regular"/>
          <w:b/>
          <w:bCs/>
          <w:color w:val="000000"/>
          <w:sz w:val="24"/>
          <w:szCs w:val="24"/>
          <w:lang w:val="sq-AL"/>
        </w:rPr>
        <w:t>për</w:t>
      </w:r>
      <w:r w:rsidRPr="00B40F9D">
        <w:rPr>
          <w:rFonts w:ascii="StobiSerif Regular" w:hAnsi="StobiSerif Regular"/>
          <w:b/>
          <w:bCs/>
          <w:color w:val="000000"/>
          <w:sz w:val="24"/>
          <w:szCs w:val="24"/>
        </w:rPr>
        <w:t xml:space="preserve"> arritjen e hapit ose </w:t>
      </w:r>
      <w:r w:rsidRPr="00B40F9D">
        <w:rPr>
          <w:rFonts w:ascii="StobiSerif Regular" w:hAnsi="StobiSerif Regular"/>
          <w:b/>
          <w:bCs/>
          <w:color w:val="000000"/>
          <w:sz w:val="24"/>
          <w:szCs w:val="24"/>
          <w:lang w:val="sq-AL"/>
        </w:rPr>
        <w:t xml:space="preserve">sa është </w:t>
      </w:r>
      <w:r w:rsidRPr="00B40F9D">
        <w:rPr>
          <w:rFonts w:ascii="StobiSerif Regular" w:hAnsi="StobiSerif Regular"/>
          <w:b/>
          <w:bCs/>
          <w:color w:val="000000"/>
          <w:sz w:val="24"/>
          <w:szCs w:val="24"/>
        </w:rPr>
        <w:t>shkall</w:t>
      </w:r>
      <w:r w:rsidRPr="00B40F9D">
        <w:rPr>
          <w:rFonts w:ascii="StobiSerif Regular" w:hAnsi="StobiSerif Regular"/>
          <w:b/>
          <w:bCs/>
          <w:color w:val="000000"/>
          <w:sz w:val="24"/>
          <w:szCs w:val="24"/>
          <w:lang w:val="sq-AL"/>
        </w:rPr>
        <w:t>a</w:t>
      </w:r>
      <w:r w:rsidRPr="00B40F9D">
        <w:rPr>
          <w:rFonts w:ascii="StobiSerif Regular" w:hAnsi="StobiSerif Regular"/>
          <w:b/>
          <w:bCs/>
          <w:color w:val="000000"/>
          <w:sz w:val="24"/>
          <w:szCs w:val="24"/>
        </w:rPr>
        <w:t xml:space="preserve"> e mbivendosjes </w:t>
      </w:r>
      <w:r w:rsidRPr="00B40F9D">
        <w:rPr>
          <w:rFonts w:ascii="StobiSerif Regular" w:hAnsi="StobiSerif Regular"/>
          <w:b/>
          <w:bCs/>
          <w:color w:val="000000"/>
          <w:sz w:val="24"/>
          <w:szCs w:val="24"/>
          <w:lang w:val="sq-AL"/>
        </w:rPr>
        <w:t>në mes të</w:t>
      </w:r>
      <w:r w:rsidRPr="00B40F9D">
        <w:rPr>
          <w:rFonts w:ascii="StobiSerif Regular" w:hAnsi="StobiSerif Regular"/>
          <w:b/>
          <w:bCs/>
          <w:color w:val="000000"/>
          <w:sz w:val="24"/>
          <w:szCs w:val="24"/>
        </w:rPr>
        <w:t xml:space="preserve"> hapit në Agjendën </w:t>
      </w:r>
      <w:r w:rsidRPr="00B40F9D">
        <w:rPr>
          <w:rFonts w:ascii="StobiSerif Regular" w:hAnsi="StobiSerif Regular"/>
          <w:b/>
          <w:bCs/>
          <w:color w:val="000000"/>
          <w:sz w:val="24"/>
          <w:szCs w:val="24"/>
          <w:lang w:val="sq-AL"/>
        </w:rPr>
        <w:t>reformuese</w:t>
      </w:r>
      <w:r w:rsidRPr="00B40F9D">
        <w:rPr>
          <w:rFonts w:ascii="StobiSerif Regular" w:hAnsi="StobiSerif Regular"/>
          <w:b/>
          <w:bCs/>
          <w:color w:val="000000"/>
          <w:sz w:val="24"/>
          <w:szCs w:val="24"/>
        </w:rPr>
        <w:t xml:space="preserve"> dhe rezultatit të arritur në kuadër të veprimit plotësues.</w:t>
      </w:r>
    </w:p>
    <w:p w14:paraId="6F514C6F" w14:textId="77777777" w:rsidR="00B40F9D" w:rsidRPr="00B40F9D" w:rsidRDefault="00B40F9D" w:rsidP="00B40F9D">
      <w:pPr>
        <w:shd w:val="clear" w:color="auto" w:fill="FFFFFF"/>
        <w:spacing w:before="120" w:after="120"/>
        <w:jc w:val="both"/>
        <w:rPr>
          <w:rFonts w:ascii="StobiSerif Regular" w:hAnsi="StobiSerif Regular"/>
          <w:sz w:val="24"/>
          <w:szCs w:val="24"/>
          <w:lang w:val="sq-AL"/>
        </w:rPr>
      </w:pPr>
      <w:r w:rsidRPr="00B40F9D">
        <w:rPr>
          <w:rFonts w:ascii="StobiSerif Regular" w:hAnsi="StobiSerif Regular"/>
          <w:sz w:val="24"/>
          <w:szCs w:val="24"/>
          <w:lang w:val="sq-AL"/>
        </w:rPr>
        <w:t>Kur Komisioni do të zbulon raste të mundshme të financimit të dyfishtë, ai do t’i drejtohet Shfrytëzuesit pa vonesa të panevojshme, i cili mund të dorëzojë informacione shtesë për t’i ndihmuar Komisionit në vlerësimin e tij nëse në rastet konkrete ka vërtet financim të dyfishtë.</w:t>
      </w:r>
    </w:p>
    <w:p w14:paraId="447FC743" w14:textId="556D4140" w:rsidR="00B40F9D" w:rsidRPr="00A27820" w:rsidRDefault="00B40F9D" w:rsidP="00803AFB">
      <w:pPr>
        <w:shd w:val="clear" w:color="auto" w:fill="FFFFFF"/>
        <w:spacing w:before="120" w:after="120"/>
        <w:jc w:val="both"/>
        <w:rPr>
          <w:rFonts w:ascii="StobiSerif Regular" w:hAnsi="StobiSerif Regular"/>
          <w:sz w:val="24"/>
          <w:szCs w:val="24"/>
          <w:lang w:val="sq-AL"/>
        </w:rPr>
      </w:pPr>
      <w:r w:rsidRPr="00B40F9D">
        <w:rPr>
          <w:rFonts w:ascii="StobiSerif Regular" w:hAnsi="StobiSerif Regular"/>
          <w:sz w:val="24"/>
          <w:szCs w:val="24"/>
        </w:rPr>
        <w:t xml:space="preserve">Në shembujt </w:t>
      </w:r>
      <w:r w:rsidRPr="00B40F9D">
        <w:rPr>
          <w:rFonts w:ascii="StobiSerif Regular" w:hAnsi="StobiSerif Regular"/>
          <w:sz w:val="24"/>
          <w:szCs w:val="24"/>
          <w:lang w:val="sq-AL"/>
        </w:rPr>
        <w:t>e s</w:t>
      </w:r>
      <w:r w:rsidRPr="00B40F9D">
        <w:rPr>
          <w:rFonts w:ascii="StobiSerif Regular" w:hAnsi="StobiSerif Regular"/>
          <w:sz w:val="24"/>
          <w:szCs w:val="24"/>
        </w:rPr>
        <w:t>eksioni</w:t>
      </w:r>
      <w:r w:rsidRPr="00B40F9D">
        <w:rPr>
          <w:rFonts w:ascii="StobiSerif Regular" w:hAnsi="StobiSerif Regular"/>
          <w:sz w:val="24"/>
          <w:szCs w:val="24"/>
          <w:lang w:val="sq-AL"/>
        </w:rPr>
        <w:t>t</w:t>
      </w:r>
      <w:r w:rsidRPr="00B40F9D">
        <w:rPr>
          <w:rFonts w:ascii="StobiSerif Regular" w:hAnsi="StobiSerif Regular"/>
          <w:sz w:val="24"/>
          <w:szCs w:val="24"/>
        </w:rPr>
        <w:t xml:space="preserve"> 3 më poshtë janë</w:t>
      </w:r>
      <w:r w:rsidRPr="00B40F9D">
        <w:rPr>
          <w:rFonts w:ascii="StobiSerif Regular" w:hAnsi="StobiSerif Regular"/>
          <w:sz w:val="24"/>
          <w:szCs w:val="24"/>
          <w:lang w:val="sq-AL"/>
        </w:rPr>
        <w:t xml:space="preserve"> shënuar</w:t>
      </w:r>
      <w:r w:rsidRPr="00B40F9D">
        <w:rPr>
          <w:rFonts w:ascii="StobiSerif Regular" w:hAnsi="StobiSerif Regular"/>
          <w:sz w:val="24"/>
          <w:szCs w:val="24"/>
        </w:rPr>
        <w:t xml:space="preserve"> rastet e pranueshme të veprimeve plotësuese. Si</w:t>
      </w:r>
      <w:r w:rsidRPr="00B40F9D">
        <w:rPr>
          <w:rFonts w:ascii="StobiSerif Regular" w:hAnsi="StobiSerif Regular"/>
          <w:sz w:val="24"/>
          <w:szCs w:val="24"/>
          <w:lang w:val="sq-AL"/>
        </w:rPr>
        <w:t>pas</w:t>
      </w:r>
      <w:r w:rsidRPr="00B40F9D">
        <w:rPr>
          <w:rFonts w:ascii="StobiSerif Regular" w:hAnsi="StobiSerif Regular"/>
          <w:sz w:val="24"/>
          <w:szCs w:val="24"/>
        </w:rPr>
        <w:t xml:space="preserve"> rregull</w:t>
      </w:r>
      <w:r w:rsidRPr="00B40F9D">
        <w:rPr>
          <w:rFonts w:ascii="StobiSerif Regular" w:hAnsi="StobiSerif Regular"/>
          <w:sz w:val="24"/>
          <w:szCs w:val="24"/>
          <w:lang w:val="sq-AL"/>
        </w:rPr>
        <w:t>it</w:t>
      </w:r>
      <w:r w:rsidRPr="00B40F9D">
        <w:rPr>
          <w:rFonts w:ascii="StobiSerif Regular" w:hAnsi="StobiSerif Regular"/>
          <w:sz w:val="24"/>
          <w:szCs w:val="24"/>
        </w:rPr>
        <w:t xml:space="preserve">, </w:t>
      </w:r>
      <w:r w:rsidRPr="00B40F9D">
        <w:rPr>
          <w:rFonts w:ascii="StobiSerif Regular" w:hAnsi="StobiSerif Regular"/>
          <w:sz w:val="24"/>
          <w:szCs w:val="24"/>
          <w:lang w:val="sq-AL"/>
        </w:rPr>
        <w:t>Shfryrëtzuesi</w:t>
      </w:r>
      <w:r w:rsidRPr="00B40F9D">
        <w:rPr>
          <w:rFonts w:ascii="StobiSerif Regular" w:hAnsi="StobiSerif Regular"/>
          <w:sz w:val="24"/>
          <w:szCs w:val="24"/>
        </w:rPr>
        <w:t xml:space="preserve"> duhet të mbajë të drejtën e pronësisë dhe të sigurojë qëndrueshmërinë e </w:t>
      </w:r>
      <w:r w:rsidRPr="00B40F9D">
        <w:rPr>
          <w:rFonts w:ascii="StobiSerif Regular" w:hAnsi="StobiSerif Regular"/>
          <w:sz w:val="24"/>
          <w:szCs w:val="24"/>
          <w:lang w:val="sq-AL"/>
        </w:rPr>
        <w:t>implementimin e</w:t>
      </w:r>
      <w:r w:rsidRPr="00B40F9D">
        <w:rPr>
          <w:rFonts w:ascii="StobiSerif Regular" w:hAnsi="StobiSerif Regular"/>
          <w:sz w:val="24"/>
          <w:szCs w:val="24"/>
        </w:rPr>
        <w:t xml:space="preserve"> hapave.</w:t>
      </w:r>
    </w:p>
    <w:p w14:paraId="1A4413F2" w14:textId="77777777" w:rsidR="00B40F9D" w:rsidRPr="00B40F9D" w:rsidRDefault="00B40F9D" w:rsidP="00B40F9D">
      <w:pPr>
        <w:shd w:val="clear" w:color="auto" w:fill="FFFFFF"/>
        <w:spacing w:before="120" w:after="120"/>
        <w:jc w:val="both"/>
        <w:rPr>
          <w:rFonts w:ascii="StobiSerif Regular" w:hAnsi="StobiSerif Regular"/>
          <w:sz w:val="24"/>
          <w:szCs w:val="24"/>
          <w:lang w:val="sq-AL"/>
        </w:rPr>
      </w:pPr>
      <w:r w:rsidRPr="00B40F9D">
        <w:rPr>
          <w:rFonts w:ascii="StobiSerif Regular" w:hAnsi="StobiSerif Regular"/>
          <w:sz w:val="24"/>
          <w:szCs w:val="24"/>
        </w:rPr>
        <w:t xml:space="preserve">Përmes shqyrtimit të deklaratës </w:t>
      </w:r>
      <w:r w:rsidRPr="00B40F9D">
        <w:rPr>
          <w:rFonts w:ascii="StobiSerif Regular" w:hAnsi="StobiSerif Regular"/>
          <w:sz w:val="24"/>
          <w:szCs w:val="24"/>
          <w:lang w:val="sq-AL"/>
        </w:rPr>
        <w:t>për udhëheqje</w:t>
      </w:r>
      <w:r w:rsidRPr="00B40F9D">
        <w:rPr>
          <w:rFonts w:ascii="StobiSerif Regular" w:hAnsi="StobiSerif Regular"/>
          <w:sz w:val="24"/>
          <w:szCs w:val="24"/>
        </w:rPr>
        <w:t xml:space="preserve"> dhe përmbledhjes së </w:t>
      </w:r>
      <w:r w:rsidRPr="00B40F9D">
        <w:rPr>
          <w:rFonts w:ascii="StobiSerif Regular" w:hAnsi="StobiSerif Regular"/>
          <w:sz w:val="24"/>
          <w:szCs w:val="24"/>
          <w:lang w:val="sq-AL"/>
        </w:rPr>
        <w:t xml:space="preserve">revizioneve </w:t>
      </w:r>
      <w:r w:rsidRPr="00B40F9D">
        <w:rPr>
          <w:rFonts w:ascii="StobiSerif Regular" w:hAnsi="StobiSerif Regular"/>
          <w:sz w:val="24"/>
          <w:szCs w:val="24"/>
        </w:rPr>
        <w:t xml:space="preserve">të kryera, Komisioni mund të kërkojë informacione </w:t>
      </w:r>
      <w:r w:rsidRPr="00B40F9D">
        <w:rPr>
          <w:rFonts w:ascii="StobiSerif Regular" w:hAnsi="StobiSerif Regular"/>
          <w:sz w:val="24"/>
          <w:szCs w:val="24"/>
          <w:lang w:val="sq-AL"/>
        </w:rPr>
        <w:t>plotësuese</w:t>
      </w:r>
      <w:r w:rsidRPr="00B40F9D">
        <w:rPr>
          <w:rFonts w:ascii="StobiSerif Regular" w:hAnsi="StobiSerif Regular"/>
          <w:sz w:val="24"/>
          <w:szCs w:val="24"/>
        </w:rPr>
        <w:t xml:space="preserve"> dhe/ose të kryejë </w:t>
      </w:r>
      <w:r w:rsidRPr="00B40F9D">
        <w:rPr>
          <w:rFonts w:ascii="StobiSerif Regular" w:hAnsi="StobiSerif Regular"/>
          <w:sz w:val="24"/>
          <w:szCs w:val="24"/>
          <w:lang w:val="sq-AL"/>
        </w:rPr>
        <w:t>revizione</w:t>
      </w:r>
      <w:r w:rsidRPr="00B40F9D">
        <w:rPr>
          <w:rFonts w:ascii="StobiSerif Regular" w:hAnsi="StobiSerif Regular"/>
          <w:sz w:val="24"/>
          <w:szCs w:val="24"/>
        </w:rPr>
        <w:t xml:space="preserve"> në vend</w:t>
      </w:r>
      <w:r w:rsidRPr="00B40F9D">
        <w:rPr>
          <w:rFonts w:ascii="StobiSerif Regular" w:hAnsi="StobiSerif Regular"/>
          <w:sz w:val="24"/>
          <w:szCs w:val="24"/>
          <w:lang w:val="sq-AL"/>
        </w:rPr>
        <w:t xml:space="preserve"> ngjarje</w:t>
      </w:r>
      <w:r w:rsidRPr="00B40F9D">
        <w:rPr>
          <w:rFonts w:ascii="StobiSerif Regular" w:hAnsi="StobiSerif Regular"/>
          <w:sz w:val="24"/>
          <w:szCs w:val="24"/>
        </w:rPr>
        <w:t xml:space="preserve"> nëse </w:t>
      </w:r>
      <w:r w:rsidRPr="00B40F9D">
        <w:rPr>
          <w:rFonts w:ascii="StobiSerif Regular" w:hAnsi="StobiSerif Regular"/>
          <w:sz w:val="24"/>
          <w:szCs w:val="24"/>
          <w:lang w:val="sq-AL"/>
        </w:rPr>
        <w:t>ekzistiojnë dyshime</w:t>
      </w:r>
      <w:r w:rsidRPr="00B40F9D">
        <w:rPr>
          <w:rFonts w:ascii="StobiSerif Regular" w:hAnsi="StobiSerif Regular"/>
          <w:sz w:val="24"/>
          <w:szCs w:val="24"/>
        </w:rPr>
        <w:t xml:space="preserve"> për rreziqe të mundshme </w:t>
      </w:r>
      <w:r w:rsidRPr="00B40F9D">
        <w:rPr>
          <w:rFonts w:ascii="StobiSerif Regular" w:hAnsi="StobiSerif Regular"/>
          <w:sz w:val="24"/>
          <w:szCs w:val="24"/>
          <w:lang w:val="sq-AL"/>
        </w:rPr>
        <w:t>nga</w:t>
      </w:r>
      <w:r w:rsidRPr="00B40F9D">
        <w:rPr>
          <w:rFonts w:ascii="StobiSerif Regular" w:hAnsi="StobiSerif Regular"/>
          <w:sz w:val="24"/>
          <w:szCs w:val="24"/>
        </w:rPr>
        <w:t xml:space="preserve"> financimi </w:t>
      </w:r>
      <w:r w:rsidRPr="00B40F9D">
        <w:rPr>
          <w:rFonts w:ascii="StobiSerif Regular" w:hAnsi="StobiSerif Regular"/>
          <w:sz w:val="24"/>
          <w:szCs w:val="24"/>
          <w:lang w:val="sq-AL"/>
        </w:rPr>
        <w:t>i</w:t>
      </w:r>
      <w:r w:rsidRPr="00B40F9D">
        <w:rPr>
          <w:rFonts w:ascii="StobiSerif Regular" w:hAnsi="StobiSerif Regular"/>
          <w:sz w:val="24"/>
          <w:szCs w:val="24"/>
        </w:rPr>
        <w:t xml:space="preserve"> dyfishtë.</w:t>
      </w:r>
    </w:p>
    <w:p w14:paraId="40BDF8C4" w14:textId="77777777" w:rsidR="00B40F9D" w:rsidRPr="00B40F9D" w:rsidRDefault="00B40F9D" w:rsidP="00B40F9D">
      <w:pPr>
        <w:shd w:val="clear" w:color="auto" w:fill="FFFFFF"/>
        <w:spacing w:before="120" w:after="120"/>
        <w:jc w:val="both"/>
        <w:rPr>
          <w:rFonts w:ascii="StobiSerif Regular" w:hAnsi="StobiSerif Regular"/>
          <w:sz w:val="24"/>
          <w:szCs w:val="24"/>
          <w:lang w:val="sq-AL"/>
        </w:rPr>
      </w:pPr>
    </w:p>
    <w:p w14:paraId="1150306E" w14:textId="1944BA26" w:rsidR="00B40F9D" w:rsidRPr="00A27820" w:rsidRDefault="00B40F9D" w:rsidP="00803AFB">
      <w:pPr>
        <w:shd w:val="clear" w:color="auto" w:fill="FFFFFF"/>
        <w:spacing w:before="120" w:after="120"/>
        <w:jc w:val="both"/>
        <w:rPr>
          <w:rFonts w:ascii="StobiSerif Regular" w:hAnsi="StobiSerif Regular"/>
          <w:sz w:val="24"/>
          <w:szCs w:val="24"/>
          <w:lang w:val="sq-AL"/>
        </w:rPr>
      </w:pPr>
      <w:r w:rsidRPr="00B40F9D">
        <w:rPr>
          <w:rFonts w:ascii="StobiSerif Regular" w:hAnsi="StobiSerif Regular"/>
          <w:sz w:val="24"/>
          <w:szCs w:val="24"/>
        </w:rPr>
        <w:t xml:space="preserve">Komisioni dhe </w:t>
      </w:r>
      <w:r w:rsidRPr="00B40F9D">
        <w:rPr>
          <w:rFonts w:ascii="StobiSerif Regular" w:hAnsi="StobiSerif Regular"/>
          <w:sz w:val="24"/>
          <w:szCs w:val="24"/>
          <w:lang w:val="sq-AL"/>
        </w:rPr>
        <w:t xml:space="preserve">trupat </w:t>
      </w:r>
      <w:r w:rsidRPr="00B40F9D">
        <w:rPr>
          <w:rFonts w:ascii="StobiSerif Regular" w:hAnsi="StobiSerif Regular"/>
          <w:sz w:val="24"/>
          <w:szCs w:val="24"/>
        </w:rPr>
        <w:t xml:space="preserve">e </w:t>
      </w:r>
      <w:r w:rsidRPr="00B40F9D">
        <w:rPr>
          <w:rFonts w:ascii="StobiSerif Regular" w:hAnsi="StobiSerif Regular"/>
          <w:sz w:val="24"/>
          <w:szCs w:val="24"/>
          <w:lang w:val="sq-AL"/>
        </w:rPr>
        <w:t>Shfrytëzuesve</w:t>
      </w:r>
      <w:r w:rsidRPr="00B40F9D">
        <w:rPr>
          <w:rFonts w:ascii="StobiSerif Regular" w:hAnsi="StobiSerif Regular"/>
          <w:sz w:val="24"/>
          <w:szCs w:val="24"/>
        </w:rPr>
        <w:t xml:space="preserve"> përgjegjës për </w:t>
      </w:r>
      <w:r w:rsidRPr="00B40F9D">
        <w:rPr>
          <w:rFonts w:ascii="StobiSerif Regular" w:hAnsi="StobiSerif Regular"/>
          <w:sz w:val="24"/>
          <w:szCs w:val="24"/>
          <w:lang w:val="sq-AL"/>
        </w:rPr>
        <w:t>udhëheqje</w:t>
      </w:r>
      <w:r w:rsidRPr="00B40F9D">
        <w:rPr>
          <w:rFonts w:ascii="StobiSerif Regular" w:hAnsi="StobiSerif Regular"/>
          <w:sz w:val="24"/>
          <w:szCs w:val="24"/>
        </w:rPr>
        <w:t xml:space="preserve"> dhe </w:t>
      </w:r>
      <w:r w:rsidRPr="00B40F9D">
        <w:rPr>
          <w:rFonts w:ascii="StobiSerif Regular" w:hAnsi="StobiSerif Regular"/>
          <w:sz w:val="24"/>
          <w:szCs w:val="24"/>
          <w:lang w:val="sq-AL"/>
        </w:rPr>
        <w:t xml:space="preserve">revizion </w:t>
      </w:r>
      <w:r w:rsidRPr="00B40F9D">
        <w:rPr>
          <w:rFonts w:ascii="StobiSerif Regular" w:hAnsi="StobiSerif Regular"/>
          <w:sz w:val="24"/>
          <w:szCs w:val="24"/>
        </w:rPr>
        <w:t>të</w:t>
      </w:r>
      <w:r w:rsidRPr="00B40F9D">
        <w:rPr>
          <w:rFonts w:ascii="StobiSerif Regular" w:hAnsi="StobiSerif Regular"/>
          <w:sz w:val="24"/>
          <w:szCs w:val="24"/>
          <w:lang w:val="sq-AL"/>
        </w:rPr>
        <w:t xml:space="preserve"> realizimit të</w:t>
      </w:r>
      <w:r w:rsidRPr="00B40F9D">
        <w:rPr>
          <w:rFonts w:ascii="StobiSerif Regular" w:hAnsi="StobiSerif Regular"/>
          <w:sz w:val="24"/>
          <w:szCs w:val="24"/>
        </w:rPr>
        <w:t xml:space="preserve"> financim</w:t>
      </w:r>
      <w:r w:rsidRPr="00B40F9D">
        <w:rPr>
          <w:rFonts w:ascii="StobiSerif Regular" w:hAnsi="StobiSerif Regular"/>
          <w:sz w:val="24"/>
          <w:szCs w:val="24"/>
          <w:lang w:val="sq-AL"/>
        </w:rPr>
        <w:t>it</w:t>
      </w:r>
      <w:r w:rsidRPr="00B40F9D">
        <w:rPr>
          <w:rFonts w:ascii="StobiSerif Regular" w:hAnsi="StobiSerif Regular"/>
          <w:sz w:val="24"/>
          <w:szCs w:val="24"/>
        </w:rPr>
        <w:t xml:space="preserve"> nga </w:t>
      </w:r>
      <w:r w:rsidR="00E15989">
        <w:rPr>
          <w:rFonts w:ascii="StobiSerif Regular" w:hAnsi="StobiSerif Regular"/>
          <w:sz w:val="24"/>
          <w:szCs w:val="24"/>
          <w:lang w:val="sq-AL"/>
        </w:rPr>
        <w:t>Unioni Evropian</w:t>
      </w:r>
      <w:r w:rsidRPr="00B40F9D">
        <w:rPr>
          <w:rFonts w:ascii="StobiSerif Regular" w:hAnsi="StobiSerif Regular"/>
          <w:sz w:val="24"/>
          <w:szCs w:val="24"/>
        </w:rPr>
        <w:t xml:space="preserve"> duhet të kenë</w:t>
      </w:r>
      <w:r w:rsidRPr="00B40F9D">
        <w:rPr>
          <w:rFonts w:ascii="StobiSerif Regular" w:hAnsi="StobiSerif Regular"/>
          <w:sz w:val="24"/>
          <w:szCs w:val="24"/>
          <w:lang w:val="sq-AL"/>
        </w:rPr>
        <w:t xml:space="preserve"> qasje deri te</w:t>
      </w:r>
      <w:r w:rsidR="00E15989">
        <w:rPr>
          <w:rFonts w:ascii="StobiSerif Regular" w:hAnsi="StobiSerif Regular"/>
          <w:sz w:val="24"/>
          <w:szCs w:val="24"/>
          <w:lang w:val="sq-AL"/>
        </w:rPr>
        <w:t>k</w:t>
      </w:r>
      <w:r w:rsidRPr="00B40F9D">
        <w:rPr>
          <w:rFonts w:ascii="StobiSerif Regular" w:hAnsi="StobiSerif Regular"/>
          <w:sz w:val="24"/>
          <w:szCs w:val="24"/>
          <w:lang w:val="sq-AL"/>
        </w:rPr>
        <w:t xml:space="preserve"> </w:t>
      </w:r>
      <w:r w:rsidRPr="00B40F9D">
        <w:rPr>
          <w:rFonts w:ascii="StobiSerif Regular" w:hAnsi="StobiSerif Regular"/>
          <w:sz w:val="24"/>
          <w:szCs w:val="24"/>
        </w:rPr>
        <w:t>të gjitha të dhënat relevante, në mënyrë që të mund të kryejnë verifikime të kryqëzuara të shpenzimeve që</w:t>
      </w:r>
      <w:r w:rsidRPr="00B40F9D">
        <w:rPr>
          <w:rFonts w:ascii="StobiSerif Regular" w:hAnsi="StobiSerif Regular"/>
          <w:sz w:val="24"/>
          <w:szCs w:val="24"/>
          <w:lang w:val="sq-AL"/>
        </w:rPr>
        <w:t xml:space="preserve"> ato</w:t>
      </w:r>
      <w:r w:rsidRPr="00B40F9D">
        <w:rPr>
          <w:rFonts w:ascii="StobiSerif Regular" w:hAnsi="StobiSerif Regular"/>
          <w:sz w:val="24"/>
          <w:szCs w:val="24"/>
        </w:rPr>
        <w:t xml:space="preserve"> planifikojnë t’i </w:t>
      </w:r>
      <w:r w:rsidRPr="00B40F9D">
        <w:rPr>
          <w:rFonts w:ascii="StobiSerif Regular" w:hAnsi="StobiSerif Regular"/>
          <w:sz w:val="24"/>
          <w:szCs w:val="24"/>
          <w:lang w:val="sq-AL"/>
        </w:rPr>
        <w:t>paraqesin</w:t>
      </w:r>
      <w:r w:rsidRPr="00B40F9D">
        <w:rPr>
          <w:rFonts w:ascii="StobiSerif Regular" w:hAnsi="StobiSerif Regular"/>
          <w:sz w:val="24"/>
          <w:szCs w:val="24"/>
        </w:rPr>
        <w:t xml:space="preserve"> si të pranueshme për </w:t>
      </w:r>
      <w:r w:rsidRPr="00B40F9D">
        <w:rPr>
          <w:rFonts w:ascii="StobiSerif Regular" w:hAnsi="StobiSerif Regular"/>
          <w:sz w:val="24"/>
          <w:szCs w:val="24"/>
          <w:lang w:val="sq-AL"/>
        </w:rPr>
        <w:t>kompensim</w:t>
      </w:r>
      <w:r w:rsidRPr="00B40F9D">
        <w:rPr>
          <w:rFonts w:ascii="StobiSerif Regular" w:hAnsi="StobiSerif Regular"/>
          <w:sz w:val="24"/>
          <w:szCs w:val="24"/>
        </w:rPr>
        <w:t xml:space="preserve"> nga </w:t>
      </w:r>
      <w:r w:rsidRPr="00B40F9D">
        <w:rPr>
          <w:rFonts w:ascii="StobiSerif Regular" w:hAnsi="StobiSerif Regular"/>
          <w:sz w:val="24"/>
          <w:szCs w:val="24"/>
          <w:lang w:val="sq-AL"/>
        </w:rPr>
        <w:t>Unioni</w:t>
      </w:r>
      <w:r w:rsidRPr="00B40F9D">
        <w:rPr>
          <w:rFonts w:ascii="StobiSerif Regular" w:hAnsi="StobiSerif Regular"/>
          <w:sz w:val="24"/>
          <w:szCs w:val="24"/>
        </w:rPr>
        <w:t xml:space="preserve"> përmes fondeve të tjera. Komisioni mund të kërkojë të</w:t>
      </w:r>
      <w:r w:rsidRPr="00B40F9D">
        <w:rPr>
          <w:rFonts w:ascii="StobiSerif Regular" w:hAnsi="StobiSerif Regular"/>
          <w:sz w:val="24"/>
          <w:szCs w:val="24"/>
          <w:lang w:val="sq-AL"/>
        </w:rPr>
        <w:t xml:space="preserve"> dhëna të</w:t>
      </w:r>
      <w:r w:rsidRPr="00B40F9D">
        <w:rPr>
          <w:rFonts w:ascii="StobiSerif Regular" w:hAnsi="StobiSerif Regular"/>
          <w:sz w:val="24"/>
          <w:szCs w:val="24"/>
        </w:rPr>
        <w:t xml:space="preserve"> tilla në kuadër të kontrolleve e</w:t>
      </w:r>
      <w:r w:rsidRPr="00B40F9D">
        <w:rPr>
          <w:rFonts w:ascii="StobiSerif Regular" w:hAnsi="StobiSerif Regular"/>
          <w:sz w:val="24"/>
          <w:szCs w:val="24"/>
          <w:lang w:val="sq-AL"/>
        </w:rPr>
        <w:t>ks</w:t>
      </w:r>
      <w:r w:rsidRPr="00B40F9D">
        <w:rPr>
          <w:rFonts w:ascii="StobiSerif Regular" w:hAnsi="StobiSerif Regular"/>
          <w:sz w:val="24"/>
          <w:szCs w:val="24"/>
        </w:rPr>
        <w:t xml:space="preserve">-ante dhe </w:t>
      </w:r>
      <w:r w:rsidRPr="00B40F9D">
        <w:rPr>
          <w:rFonts w:ascii="StobiSerif Regular" w:hAnsi="StobiSerif Regular"/>
          <w:sz w:val="24"/>
          <w:szCs w:val="24"/>
          <w:lang w:val="sq-AL"/>
        </w:rPr>
        <w:t>revizioneve</w:t>
      </w:r>
      <w:r w:rsidRPr="00B40F9D">
        <w:rPr>
          <w:rFonts w:ascii="StobiSerif Regular" w:hAnsi="StobiSerif Regular"/>
          <w:sz w:val="24"/>
          <w:szCs w:val="24"/>
        </w:rPr>
        <w:t xml:space="preserve"> të tij, dhe të </w:t>
      </w:r>
      <w:r w:rsidRPr="00B40F9D">
        <w:rPr>
          <w:rFonts w:ascii="StobiSerif Regular" w:hAnsi="StobiSerif Regular"/>
          <w:sz w:val="24"/>
          <w:szCs w:val="24"/>
          <w:lang w:val="sq-AL"/>
        </w:rPr>
        <w:t>kryejë</w:t>
      </w:r>
      <w:r w:rsidRPr="00B40F9D">
        <w:rPr>
          <w:rFonts w:ascii="StobiSerif Regular" w:hAnsi="StobiSerif Regular"/>
          <w:sz w:val="24"/>
          <w:szCs w:val="24"/>
        </w:rPr>
        <w:t xml:space="preserve"> rikthimin e shumës përkatëse në rast se administrata e </w:t>
      </w:r>
      <w:r w:rsidRPr="00B40F9D">
        <w:rPr>
          <w:rFonts w:ascii="StobiSerif Regular" w:hAnsi="StobiSerif Regular"/>
          <w:sz w:val="24"/>
          <w:szCs w:val="24"/>
          <w:lang w:val="sq-AL"/>
        </w:rPr>
        <w:t>Shfrytëzuesit</w:t>
      </w:r>
      <w:r w:rsidRPr="00B40F9D">
        <w:rPr>
          <w:rFonts w:ascii="StobiSerif Regular" w:hAnsi="StobiSerif Regular"/>
          <w:sz w:val="24"/>
          <w:szCs w:val="24"/>
        </w:rPr>
        <w:t xml:space="preserve"> nuk </w:t>
      </w:r>
      <w:r w:rsidRPr="00B40F9D">
        <w:rPr>
          <w:rFonts w:ascii="StobiSerif Regular" w:hAnsi="StobiSerif Regular"/>
          <w:sz w:val="24"/>
          <w:szCs w:val="24"/>
          <w:lang w:val="sq-AL"/>
        </w:rPr>
        <w:t xml:space="preserve"> e </w:t>
      </w:r>
      <w:r w:rsidRPr="00B40F9D">
        <w:rPr>
          <w:rFonts w:ascii="StobiSerif Regular" w:hAnsi="StobiSerif Regular"/>
          <w:sz w:val="24"/>
          <w:szCs w:val="24"/>
        </w:rPr>
        <w:t>korrigjon parregullsinë.</w:t>
      </w:r>
    </w:p>
    <w:p w14:paraId="2FCA182D" w14:textId="3570AB45" w:rsidR="00B40F9D" w:rsidRPr="00B40F9D" w:rsidRDefault="00B40F9D" w:rsidP="00B40F9D">
      <w:pPr>
        <w:shd w:val="clear" w:color="auto" w:fill="FFFFFF"/>
        <w:spacing w:before="120" w:after="120"/>
        <w:jc w:val="both"/>
        <w:rPr>
          <w:rFonts w:ascii="StobiSerif Regular" w:hAnsi="StobiSerif Regular"/>
          <w:sz w:val="24"/>
          <w:szCs w:val="24"/>
          <w:lang w:val="sq-AL"/>
        </w:rPr>
      </w:pPr>
      <w:r w:rsidRPr="00B40F9D">
        <w:rPr>
          <w:rFonts w:ascii="StobiSerif Regular" w:hAnsi="StobiSerif Regular"/>
          <w:sz w:val="24"/>
          <w:szCs w:val="24"/>
        </w:rPr>
        <w:t>Në rast</w:t>
      </w:r>
      <w:r w:rsidRPr="00B40F9D">
        <w:rPr>
          <w:rFonts w:ascii="StobiSerif Regular" w:hAnsi="StobiSerif Regular"/>
          <w:sz w:val="24"/>
          <w:szCs w:val="24"/>
          <w:lang w:val="sq-AL"/>
        </w:rPr>
        <w:t xml:space="preserve"> kur</w:t>
      </w:r>
      <w:r w:rsidRPr="00B40F9D">
        <w:rPr>
          <w:rFonts w:ascii="StobiSerif Regular" w:hAnsi="StobiSerif Regular"/>
          <w:sz w:val="24"/>
          <w:szCs w:val="24"/>
        </w:rPr>
        <w:t xml:space="preserve"> nuk ekziston ndarje e qartë </w:t>
      </w:r>
      <w:r w:rsidRPr="00B40F9D">
        <w:rPr>
          <w:rFonts w:ascii="StobiSerif Regular" w:hAnsi="StobiSerif Regular"/>
          <w:sz w:val="24"/>
          <w:szCs w:val="24"/>
          <w:lang w:val="sq-AL"/>
        </w:rPr>
        <w:t>në mes të</w:t>
      </w:r>
      <w:r w:rsidRPr="00B40F9D">
        <w:rPr>
          <w:rFonts w:ascii="StobiSerif Regular" w:hAnsi="StobiSerif Regular"/>
          <w:sz w:val="24"/>
          <w:szCs w:val="24"/>
        </w:rPr>
        <w:t xml:space="preserve"> sektorëve </w:t>
      </w:r>
      <w:r w:rsidRPr="00B40F9D">
        <w:rPr>
          <w:rFonts w:ascii="StobiSerif Regular" w:hAnsi="StobiSerif Regular"/>
          <w:sz w:val="24"/>
          <w:szCs w:val="24"/>
          <w:lang w:val="sq-AL"/>
        </w:rPr>
        <w:t xml:space="preserve">në kuadër të </w:t>
      </w:r>
      <w:r w:rsidRPr="00B40F9D">
        <w:rPr>
          <w:rFonts w:ascii="StobiSerif Regular" w:hAnsi="StobiSerif Regular"/>
          <w:sz w:val="24"/>
          <w:szCs w:val="24"/>
        </w:rPr>
        <w:t>(IRR</w:t>
      </w:r>
      <w:r w:rsidRPr="00B40F9D">
        <w:rPr>
          <w:rFonts w:ascii="StobiSerif Regular" w:hAnsi="StobiSerif Regular"/>
          <w:sz w:val="24"/>
          <w:szCs w:val="24"/>
          <w:lang w:val="sq-AL"/>
        </w:rPr>
        <w:t>-së</w:t>
      </w:r>
      <w:r w:rsidRPr="00B40F9D">
        <w:rPr>
          <w:rFonts w:ascii="StobiSerif Regular" w:hAnsi="StobiSerif Regular"/>
          <w:sz w:val="24"/>
          <w:szCs w:val="24"/>
        </w:rPr>
        <w:t>) dhe instrumenteve të tjera të financuara nga BE</w:t>
      </w:r>
      <w:r w:rsidRPr="00B40F9D">
        <w:rPr>
          <w:rFonts w:ascii="StobiSerif Regular" w:hAnsi="StobiSerif Regular"/>
          <w:sz w:val="24"/>
          <w:szCs w:val="24"/>
          <w:lang w:val="sq-AL"/>
        </w:rPr>
        <w:t>-ja</w:t>
      </w:r>
      <w:r w:rsidRPr="00B40F9D">
        <w:rPr>
          <w:rFonts w:ascii="StobiSerif Regular" w:hAnsi="StobiSerif Regular"/>
          <w:sz w:val="24"/>
          <w:szCs w:val="24"/>
        </w:rPr>
        <w:t xml:space="preserve">, veçanërisht IPA III, Komisioni duhet të </w:t>
      </w:r>
      <w:r w:rsidRPr="00B40F9D">
        <w:rPr>
          <w:rFonts w:ascii="StobiSerif Regular" w:hAnsi="StobiSerif Regular"/>
          <w:sz w:val="24"/>
          <w:szCs w:val="24"/>
          <w:lang w:val="sq-AL"/>
        </w:rPr>
        <w:t>zbatojë</w:t>
      </w:r>
      <w:r w:rsidRPr="00B40F9D">
        <w:rPr>
          <w:rFonts w:ascii="StobiSerif Regular" w:hAnsi="StobiSerif Regular"/>
          <w:sz w:val="24"/>
          <w:szCs w:val="24"/>
        </w:rPr>
        <w:t xml:space="preserve"> metodologjinë e </w:t>
      </w:r>
      <w:r w:rsidRPr="00B40F9D">
        <w:rPr>
          <w:rFonts w:ascii="StobiSerif Regular" w:hAnsi="StobiSerif Regular"/>
          <w:sz w:val="24"/>
          <w:szCs w:val="24"/>
          <w:lang w:val="sq-AL"/>
        </w:rPr>
        <w:t xml:space="preserve">lartëpërmendur </w:t>
      </w:r>
      <w:r w:rsidRPr="00B40F9D">
        <w:rPr>
          <w:rFonts w:ascii="StobiSerif Regular" w:hAnsi="StobiSerif Regular"/>
          <w:sz w:val="24"/>
          <w:szCs w:val="24"/>
        </w:rPr>
        <w:t>për çdo kërkesë</w:t>
      </w:r>
      <w:r w:rsidRPr="00B40F9D">
        <w:rPr>
          <w:rFonts w:ascii="StobiSerif Regular" w:hAnsi="StobiSerif Regular"/>
          <w:sz w:val="24"/>
          <w:szCs w:val="24"/>
          <w:lang w:val="sq-AL"/>
        </w:rPr>
        <w:t xml:space="preserve"> të dorëzuar</w:t>
      </w:r>
      <w:r w:rsidRPr="00B40F9D">
        <w:rPr>
          <w:rFonts w:ascii="StobiSerif Regular" w:hAnsi="StobiSerif Regular"/>
          <w:sz w:val="24"/>
          <w:szCs w:val="24"/>
        </w:rPr>
        <w:t xml:space="preserve"> për pagesë .</w:t>
      </w:r>
      <w:r w:rsidRPr="00B40F9D">
        <w:rPr>
          <w:rFonts w:ascii="StobiSerif Regular" w:hAnsi="StobiSerif Regular"/>
          <w:sz w:val="24"/>
          <w:szCs w:val="24"/>
        </w:rPr>
        <w:br/>
        <w:t>Investimet nga IR</w:t>
      </w:r>
      <w:r w:rsidRPr="00B40F9D">
        <w:rPr>
          <w:rFonts w:ascii="StobiSerif Regular" w:hAnsi="StobiSerif Regular"/>
          <w:sz w:val="24"/>
          <w:szCs w:val="24"/>
          <w:lang w:val="sq-AL"/>
        </w:rPr>
        <w:t>BP në kuadër të</w:t>
      </w:r>
      <w:r w:rsidRPr="00B40F9D">
        <w:rPr>
          <w:rFonts w:ascii="StobiSerif Regular" w:hAnsi="StobiSerif Regular"/>
          <w:sz w:val="24"/>
          <w:szCs w:val="24"/>
        </w:rPr>
        <w:t xml:space="preserve"> IRR</w:t>
      </w:r>
      <w:r w:rsidRPr="00B40F9D">
        <w:rPr>
          <w:rFonts w:ascii="StobiSerif Regular" w:hAnsi="StobiSerif Regular"/>
          <w:sz w:val="24"/>
          <w:szCs w:val="24"/>
          <w:lang w:val="sq-AL"/>
        </w:rPr>
        <w:t>-së</w:t>
      </w:r>
      <w:r w:rsidRPr="00B40F9D">
        <w:rPr>
          <w:rFonts w:ascii="StobiSerif Regular" w:hAnsi="StobiSerif Regular"/>
          <w:sz w:val="24"/>
          <w:szCs w:val="24"/>
        </w:rPr>
        <w:t xml:space="preserve"> do të vlerësohen nga </w:t>
      </w:r>
      <w:r w:rsidRPr="00B40F9D">
        <w:rPr>
          <w:rFonts w:ascii="StobiSerif Regular" w:hAnsi="StobiSerif Regular"/>
          <w:sz w:val="24"/>
          <w:szCs w:val="24"/>
          <w:lang w:val="sq-AL"/>
        </w:rPr>
        <w:t>Këshilli</w:t>
      </w:r>
      <w:r w:rsidRPr="00B40F9D">
        <w:rPr>
          <w:rFonts w:ascii="StobiSerif Regular" w:hAnsi="StobiSerif Regular"/>
          <w:sz w:val="24"/>
          <w:szCs w:val="24"/>
        </w:rPr>
        <w:t xml:space="preserve"> i IR</w:t>
      </w:r>
      <w:r w:rsidRPr="00B40F9D">
        <w:rPr>
          <w:rFonts w:ascii="StobiSerif Regular" w:hAnsi="StobiSerif Regular"/>
          <w:sz w:val="24"/>
          <w:szCs w:val="24"/>
          <w:lang w:val="sq-AL"/>
        </w:rPr>
        <w:t>BP-së</w:t>
      </w:r>
      <w:r w:rsidRPr="00B40F9D">
        <w:rPr>
          <w:rFonts w:ascii="StobiSerif Regular" w:hAnsi="StobiSerif Regular"/>
          <w:sz w:val="24"/>
          <w:szCs w:val="24"/>
        </w:rPr>
        <w:t xml:space="preserve"> në lidhje me investimet e financuara përmes IPA III (neni 3.01(</w:t>
      </w:r>
      <w:r w:rsidRPr="00A27820">
        <w:rPr>
          <w:rFonts w:ascii="StobiSerif Regular" w:hAnsi="StobiSerif Regular"/>
          <w:sz w:val="24"/>
          <w:szCs w:val="24"/>
          <w:lang w:val="sq-AL"/>
        </w:rPr>
        <w:t>v</w:t>
      </w:r>
      <w:r w:rsidRPr="00B40F9D">
        <w:rPr>
          <w:rFonts w:ascii="StobiSerif Regular" w:hAnsi="StobiSerif Regular"/>
          <w:sz w:val="24"/>
          <w:szCs w:val="24"/>
        </w:rPr>
        <w:t>) i Kushteve të Përgjithshme).</w:t>
      </w:r>
    </w:p>
    <w:p w14:paraId="04463D10" w14:textId="77777777" w:rsidR="00B40F9D" w:rsidRPr="00A27820" w:rsidRDefault="00B40F9D" w:rsidP="00803AFB">
      <w:pPr>
        <w:shd w:val="clear" w:color="auto" w:fill="FFFFFF"/>
        <w:spacing w:before="120" w:after="120"/>
        <w:jc w:val="both"/>
        <w:rPr>
          <w:rFonts w:ascii="StobiSerif Regular" w:hAnsi="StobiSerif Regular"/>
          <w:sz w:val="24"/>
          <w:szCs w:val="24"/>
          <w:lang w:val="sq-AL"/>
        </w:rPr>
      </w:pPr>
    </w:p>
    <w:p w14:paraId="4CAF3D20" w14:textId="7F7CEF7B" w:rsidR="00C71B06" w:rsidRPr="00A27820" w:rsidRDefault="00C71B06" w:rsidP="00B40F9D">
      <w:pPr>
        <w:shd w:val="clear" w:color="auto" w:fill="FFFFFF"/>
        <w:spacing w:before="120" w:after="120"/>
        <w:ind w:left="709" w:hanging="283"/>
        <w:jc w:val="both"/>
        <w:rPr>
          <w:rFonts w:ascii="StobiSerif Regular" w:hAnsi="StobiSerif Regular"/>
          <w:color w:val="000000"/>
          <w:sz w:val="24"/>
          <w:szCs w:val="24"/>
          <w:lang w:val="sq-AL"/>
        </w:rPr>
      </w:pPr>
      <w:r w:rsidRPr="00A27820">
        <w:rPr>
          <w:rFonts w:ascii="StobiSerif Regular" w:hAnsi="StobiSerif Regular"/>
          <w:color w:val="000000"/>
          <w:sz w:val="24"/>
          <w:szCs w:val="24"/>
        </w:rPr>
        <w:t>-</w:t>
      </w:r>
      <w:r w:rsidRPr="00A27820">
        <w:rPr>
          <w:rFonts w:ascii="StobiSerif Regular" w:hAnsi="StobiSerif Regular"/>
          <w:color w:val="000000"/>
          <w:sz w:val="24"/>
          <w:szCs w:val="24"/>
        </w:rPr>
        <w:tab/>
      </w:r>
      <w:r w:rsidR="00B40F9D" w:rsidRPr="00A27820">
        <w:rPr>
          <w:rFonts w:ascii="StobiSerif Regular" w:hAnsi="StobiSerif Regular"/>
          <w:color w:val="000000"/>
          <w:sz w:val="24"/>
          <w:szCs w:val="24"/>
          <w:lang w:val="sq-AL"/>
        </w:rPr>
        <w:t xml:space="preserve">Për mbështetjen e përzier, e cila kombinon huamarrje dhe grante, këto udhëzime zbatohen pa bërë dallim në mes të asaj që është paguar përmes huamarrjes dhe asaj që është paguar përmes grantit. Mbështetja e përgjithshme në kuadër të operacionit të financimit të përzier konsiderohet mbështetje plotësuese nga BE-ja dhe i nënshtrohet </w:t>
      </w:r>
      <w:r w:rsidR="00B40F9D" w:rsidRPr="00A27820">
        <w:rPr>
          <w:rFonts w:ascii="StobiSerif Regular" w:hAnsi="StobiSerif Regular"/>
          <w:color w:val="000000"/>
          <w:sz w:val="24"/>
          <w:szCs w:val="24"/>
        </w:rPr>
        <w:t>gamës së këtyre udhëzimeve për financimin e dyfishtë</w:t>
      </w:r>
      <w:r w:rsidR="00B40F9D" w:rsidRPr="00A27820">
        <w:rPr>
          <w:rFonts w:ascii="StobiSerif Regular" w:hAnsi="StobiSerif Regular"/>
          <w:color w:val="000000"/>
          <w:sz w:val="24"/>
          <w:szCs w:val="24"/>
          <w:lang w:val="sq-AL"/>
        </w:rPr>
        <w:t>;</w:t>
      </w:r>
    </w:p>
    <w:p w14:paraId="603E76BC" w14:textId="77777777" w:rsidR="00B40F9D" w:rsidRPr="00A27820" w:rsidRDefault="00C71B06" w:rsidP="00C71B06">
      <w:pPr>
        <w:shd w:val="clear" w:color="auto" w:fill="FFFFFF"/>
        <w:spacing w:before="120" w:after="120"/>
        <w:ind w:left="709" w:hanging="283"/>
        <w:jc w:val="both"/>
        <w:rPr>
          <w:rFonts w:ascii="StobiSerif Regular" w:hAnsi="StobiSerif Regular"/>
          <w:color w:val="000000"/>
          <w:sz w:val="24"/>
          <w:szCs w:val="24"/>
          <w:lang w:val="sq-AL"/>
        </w:rPr>
      </w:pPr>
      <w:r w:rsidRPr="00A27820">
        <w:rPr>
          <w:rFonts w:ascii="StobiSerif Regular" w:hAnsi="StobiSerif Regular"/>
          <w:color w:val="000000"/>
          <w:sz w:val="24"/>
          <w:szCs w:val="24"/>
        </w:rPr>
        <w:t>-</w:t>
      </w:r>
      <w:r w:rsidRPr="00A27820">
        <w:rPr>
          <w:rFonts w:ascii="StobiSerif Regular" w:hAnsi="StobiSerif Regular"/>
          <w:color w:val="000000"/>
          <w:sz w:val="24"/>
          <w:szCs w:val="24"/>
        </w:rPr>
        <w:tab/>
      </w:r>
      <w:r w:rsidR="00B40F9D" w:rsidRPr="00A27820">
        <w:rPr>
          <w:rFonts w:ascii="StobiSerif Regular" w:hAnsi="StobiSerif Regular"/>
          <w:color w:val="000000"/>
          <w:sz w:val="24"/>
          <w:szCs w:val="24"/>
        </w:rPr>
        <w:t xml:space="preserve">Prandaj, gjatë </w:t>
      </w:r>
      <w:r w:rsidR="00B40F9D" w:rsidRPr="00A27820">
        <w:rPr>
          <w:rFonts w:ascii="StobiSerif Regular" w:hAnsi="StobiSerif Regular"/>
          <w:color w:val="000000"/>
          <w:sz w:val="24"/>
          <w:szCs w:val="24"/>
          <w:lang w:val="sq-AL"/>
        </w:rPr>
        <w:t>pasqyrimit</w:t>
      </w:r>
      <w:r w:rsidR="00B40F9D" w:rsidRPr="00A27820">
        <w:rPr>
          <w:rFonts w:ascii="StobiSerif Regular" w:hAnsi="StobiSerif Regular"/>
          <w:color w:val="000000"/>
          <w:sz w:val="24"/>
          <w:szCs w:val="24"/>
        </w:rPr>
        <w:t xml:space="preserve"> të përmbushjes së hapit, KE</w:t>
      </w:r>
      <w:r w:rsidR="00B40F9D" w:rsidRPr="00A27820">
        <w:rPr>
          <w:rFonts w:ascii="StobiSerif Regular" w:hAnsi="StobiSerif Regular"/>
          <w:color w:val="000000"/>
          <w:sz w:val="24"/>
          <w:szCs w:val="24"/>
          <w:lang w:val="sq-AL"/>
        </w:rPr>
        <w:t>-ja</w:t>
      </w:r>
      <w:r w:rsidR="00B40F9D" w:rsidRPr="00A27820">
        <w:rPr>
          <w:rFonts w:ascii="StobiSerif Regular" w:hAnsi="StobiSerif Regular"/>
          <w:color w:val="000000"/>
          <w:sz w:val="24"/>
          <w:szCs w:val="24"/>
        </w:rPr>
        <w:t xml:space="preserve"> nuk e përfshin në rezultatin përfundimtar vlerën </w:t>
      </w:r>
      <w:r w:rsidR="00B40F9D" w:rsidRPr="00A27820">
        <w:rPr>
          <w:rFonts w:ascii="StobiSerif Regular" w:hAnsi="StobiSerif Regular"/>
          <w:color w:val="000000"/>
          <w:sz w:val="24"/>
          <w:szCs w:val="24"/>
          <w:lang w:val="sq-AL"/>
        </w:rPr>
        <w:t>e cila është</w:t>
      </w:r>
      <w:r w:rsidR="00B40F9D" w:rsidRPr="00A27820">
        <w:rPr>
          <w:rFonts w:ascii="StobiSerif Regular" w:hAnsi="StobiSerif Regular"/>
          <w:color w:val="000000"/>
          <w:sz w:val="24"/>
          <w:szCs w:val="24"/>
        </w:rPr>
        <w:t xml:space="preserve"> arritur përmes veprimit plotësues. Në këtë </w:t>
      </w:r>
      <w:r w:rsidR="00B40F9D" w:rsidRPr="00A27820">
        <w:rPr>
          <w:rFonts w:ascii="StobiSerif Regular" w:hAnsi="StobiSerif Regular"/>
          <w:color w:val="000000"/>
          <w:sz w:val="24"/>
          <w:szCs w:val="24"/>
          <w:lang w:val="sq-AL"/>
        </w:rPr>
        <w:t>pasqyrim</w:t>
      </w:r>
      <w:r w:rsidR="00B40F9D" w:rsidRPr="00A27820">
        <w:rPr>
          <w:rFonts w:ascii="StobiSerif Regular" w:hAnsi="StobiSerif Regular"/>
          <w:color w:val="000000"/>
          <w:sz w:val="24"/>
          <w:szCs w:val="24"/>
        </w:rPr>
        <w:t xml:space="preserve">, si rezultat përfundimtar do të merret ai që është arritur me burime </w:t>
      </w:r>
      <w:r w:rsidR="00B40F9D" w:rsidRPr="00A27820">
        <w:rPr>
          <w:rFonts w:ascii="StobiSerif Regular" w:hAnsi="StobiSerif Regular"/>
          <w:color w:val="000000"/>
          <w:sz w:val="24"/>
          <w:szCs w:val="24"/>
          <w:lang w:val="sq-AL"/>
        </w:rPr>
        <w:t>nacionale</w:t>
      </w:r>
      <w:r w:rsidR="00B40F9D" w:rsidRPr="00A27820">
        <w:rPr>
          <w:rFonts w:ascii="StobiSerif Regular" w:hAnsi="StobiSerif Regular"/>
          <w:color w:val="000000"/>
          <w:sz w:val="24"/>
          <w:szCs w:val="24"/>
        </w:rPr>
        <w:t xml:space="preserve"> ose me hua</w:t>
      </w:r>
      <w:r w:rsidR="00B40F9D" w:rsidRPr="00A27820">
        <w:rPr>
          <w:rFonts w:ascii="StobiSerif Regular" w:hAnsi="StobiSerif Regular"/>
          <w:color w:val="000000"/>
          <w:sz w:val="24"/>
          <w:szCs w:val="24"/>
          <w:lang w:val="sq-AL"/>
        </w:rPr>
        <w:t>marrje nacionale</w:t>
      </w:r>
      <w:r w:rsidR="00B40F9D" w:rsidRPr="00A27820">
        <w:rPr>
          <w:rFonts w:ascii="StobiSerif Regular" w:hAnsi="StobiSerif Regular"/>
          <w:color w:val="000000"/>
          <w:sz w:val="24"/>
          <w:szCs w:val="24"/>
        </w:rPr>
        <w:t xml:space="preserve"> (hu</w:t>
      </w:r>
      <w:r w:rsidR="00B40F9D" w:rsidRPr="00A27820">
        <w:rPr>
          <w:rFonts w:ascii="StobiSerif Regular" w:hAnsi="StobiSerif Regular"/>
          <w:color w:val="000000"/>
          <w:sz w:val="24"/>
          <w:szCs w:val="24"/>
          <w:lang w:val="sq-AL"/>
        </w:rPr>
        <w:t>amarrje të</w:t>
      </w:r>
      <w:r w:rsidR="00B40F9D" w:rsidRPr="00A27820">
        <w:rPr>
          <w:rFonts w:ascii="StobiSerif Regular" w:hAnsi="StobiSerif Regular"/>
          <w:color w:val="000000"/>
          <w:sz w:val="24"/>
          <w:szCs w:val="24"/>
        </w:rPr>
        <w:t xml:space="preserve"> pavarura</w:t>
      </w:r>
      <w:r w:rsidR="00B40F9D" w:rsidRPr="00A27820">
        <w:rPr>
          <w:rFonts w:ascii="StobiSerif Regular" w:hAnsi="StobiSerif Regular"/>
          <w:color w:val="000000"/>
          <w:sz w:val="24"/>
          <w:szCs w:val="24"/>
          <w:lang w:val="sq-AL"/>
        </w:rPr>
        <w:t xml:space="preserve"> të cilat</w:t>
      </w:r>
      <w:r w:rsidR="00B40F9D" w:rsidRPr="00A27820">
        <w:rPr>
          <w:rFonts w:ascii="StobiSerif Regular" w:hAnsi="StobiSerif Regular"/>
          <w:color w:val="000000"/>
          <w:sz w:val="24"/>
          <w:szCs w:val="24"/>
        </w:rPr>
        <w:t xml:space="preserve"> nuk janë pjesë e operacioneve të financimit të përzier);</w:t>
      </w:r>
    </w:p>
    <w:p w14:paraId="28B3BC36" w14:textId="25FC1317" w:rsidR="00C71B06" w:rsidRPr="00A27820" w:rsidRDefault="00C71B06" w:rsidP="00B40F9D">
      <w:pPr>
        <w:shd w:val="clear" w:color="auto" w:fill="FFFFFF"/>
        <w:spacing w:before="120" w:after="120"/>
        <w:ind w:left="709" w:hanging="283"/>
        <w:jc w:val="both"/>
        <w:rPr>
          <w:rFonts w:ascii="StobiSerif Regular" w:hAnsi="StobiSerif Regular"/>
          <w:color w:val="000000"/>
          <w:sz w:val="24"/>
          <w:szCs w:val="24"/>
          <w:lang w:val="sq-AL"/>
        </w:rPr>
      </w:pPr>
      <w:r w:rsidRPr="00A27820">
        <w:rPr>
          <w:rFonts w:ascii="StobiSerif Regular" w:hAnsi="StobiSerif Regular"/>
          <w:color w:val="000000"/>
          <w:sz w:val="24"/>
          <w:szCs w:val="24"/>
        </w:rPr>
        <w:t>-</w:t>
      </w:r>
      <w:r w:rsidRPr="00A27820">
        <w:rPr>
          <w:rFonts w:ascii="StobiSerif Regular" w:hAnsi="StobiSerif Regular"/>
          <w:color w:val="000000"/>
          <w:sz w:val="24"/>
          <w:szCs w:val="24"/>
        </w:rPr>
        <w:tab/>
      </w:r>
      <w:r w:rsidR="00B40F9D" w:rsidRPr="00A27820">
        <w:rPr>
          <w:rFonts w:ascii="StobiSerif Regular" w:hAnsi="StobiSerif Regular"/>
          <w:color w:val="000000"/>
          <w:sz w:val="24"/>
          <w:szCs w:val="24"/>
        </w:rPr>
        <w:t>Hart</w:t>
      </w:r>
      <w:r w:rsidR="00B40F9D" w:rsidRPr="00A27820">
        <w:rPr>
          <w:rFonts w:ascii="StobiSerif Regular" w:hAnsi="StobiSerif Regular"/>
          <w:color w:val="000000"/>
          <w:sz w:val="24"/>
          <w:szCs w:val="24"/>
          <w:lang w:val="sq-AL"/>
        </w:rPr>
        <w:t>ëzimi</w:t>
      </w:r>
      <w:r w:rsidR="00B40F9D" w:rsidRPr="00A27820">
        <w:rPr>
          <w:rFonts w:ascii="StobiSerif Regular" w:hAnsi="StobiSerif Regular"/>
          <w:color w:val="000000"/>
          <w:sz w:val="24"/>
          <w:szCs w:val="24"/>
        </w:rPr>
        <w:t xml:space="preserve"> i brendshëm i projekteve ekzistuese </w:t>
      </w:r>
      <w:r w:rsidR="00B40F9D" w:rsidRPr="00A27820">
        <w:rPr>
          <w:rFonts w:ascii="StobiSerif Regular" w:hAnsi="StobiSerif Regular"/>
          <w:color w:val="000000"/>
          <w:sz w:val="24"/>
          <w:szCs w:val="24"/>
          <w:lang w:val="sq-AL"/>
        </w:rPr>
        <w:t xml:space="preserve">komplementare </w:t>
      </w:r>
      <w:r w:rsidR="00B40F9D" w:rsidRPr="00A27820">
        <w:rPr>
          <w:rFonts w:ascii="StobiSerif Regular" w:hAnsi="StobiSerif Regular"/>
          <w:color w:val="000000"/>
          <w:sz w:val="24"/>
          <w:szCs w:val="24"/>
        </w:rPr>
        <w:t xml:space="preserve">të BE-së, të cilat kanë kontribut të caktuar në përmbushjen e hapave nga Agjenda </w:t>
      </w:r>
      <w:r w:rsidR="00B40F9D" w:rsidRPr="00A27820">
        <w:rPr>
          <w:rFonts w:ascii="StobiSerif Regular" w:hAnsi="StobiSerif Regular"/>
          <w:color w:val="000000"/>
          <w:sz w:val="24"/>
          <w:szCs w:val="24"/>
          <w:lang w:val="sq-AL"/>
        </w:rPr>
        <w:t>reformuese</w:t>
      </w:r>
      <w:r w:rsidR="00B40F9D" w:rsidRPr="00A27820">
        <w:rPr>
          <w:rFonts w:ascii="StobiSerif Regular" w:hAnsi="StobiSerif Regular"/>
          <w:color w:val="000000"/>
          <w:sz w:val="24"/>
          <w:szCs w:val="24"/>
        </w:rPr>
        <w:t xml:space="preserve"> (AR), ka treguar se ndikimi i tyre në mbivendosjen e hapave, që mund të rezultojë në uljen e </w:t>
      </w:r>
      <w:r w:rsidR="00B40F9D" w:rsidRPr="00A27820">
        <w:rPr>
          <w:rFonts w:ascii="StobiSerif Regular" w:hAnsi="StobiSerif Regular"/>
          <w:color w:val="000000"/>
          <w:sz w:val="24"/>
          <w:szCs w:val="24"/>
          <w:lang w:val="sq-AL"/>
        </w:rPr>
        <w:t>mjeteve të cilat</w:t>
      </w:r>
      <w:r w:rsidR="00B40F9D" w:rsidRPr="00A27820">
        <w:rPr>
          <w:rFonts w:ascii="StobiSerif Regular" w:hAnsi="StobiSerif Regular"/>
          <w:color w:val="000000"/>
          <w:sz w:val="24"/>
          <w:szCs w:val="24"/>
        </w:rPr>
        <w:t xml:space="preserve"> duhet të paguhen </w:t>
      </w:r>
      <w:r w:rsidR="00B40F9D" w:rsidRPr="00A27820">
        <w:rPr>
          <w:rFonts w:ascii="StobiSerif Regular" w:hAnsi="StobiSerif Regular"/>
          <w:color w:val="000000"/>
          <w:sz w:val="24"/>
          <w:szCs w:val="24"/>
          <w:lang w:val="sq-AL"/>
        </w:rPr>
        <w:t>në kuadër</w:t>
      </w:r>
      <w:r w:rsidR="00B40F9D" w:rsidRPr="00A27820">
        <w:rPr>
          <w:rFonts w:ascii="StobiSerif Regular" w:hAnsi="StobiSerif Regular"/>
          <w:color w:val="000000"/>
          <w:sz w:val="24"/>
          <w:szCs w:val="24"/>
        </w:rPr>
        <w:t xml:space="preserve"> IRR-së, është i vogël (</w:t>
      </w:r>
      <w:r w:rsidR="00B40F9D" w:rsidRPr="00A27820">
        <w:rPr>
          <w:rFonts w:ascii="StobiSerif Regular" w:hAnsi="StobiSerif Regular"/>
          <w:color w:val="000000"/>
          <w:sz w:val="24"/>
          <w:szCs w:val="24"/>
          <w:lang w:val="sq-AL"/>
        </w:rPr>
        <w:t>d.m.th</w:t>
      </w:r>
      <w:r w:rsidR="00B40F9D" w:rsidRPr="00A27820">
        <w:rPr>
          <w:rFonts w:ascii="StobiSerif Regular" w:hAnsi="StobiSerif Regular"/>
          <w:color w:val="000000"/>
          <w:sz w:val="24"/>
          <w:szCs w:val="24"/>
        </w:rPr>
        <w:t>, shkalla faktike</w:t>
      </w:r>
      <w:r w:rsidR="00B40F9D" w:rsidRPr="00A27820">
        <w:rPr>
          <w:rFonts w:ascii="StobiSerif Regular" w:hAnsi="StobiSerif Regular"/>
          <w:color w:val="000000"/>
          <w:sz w:val="24"/>
          <w:szCs w:val="24"/>
          <w:lang w:val="sq-AL"/>
        </w:rPr>
        <w:t xml:space="preserve"> ( e rreme)</w:t>
      </w:r>
      <w:r w:rsidR="00B40F9D" w:rsidRPr="00A27820">
        <w:rPr>
          <w:rFonts w:ascii="StobiSerif Regular" w:hAnsi="StobiSerif Regular"/>
          <w:color w:val="000000"/>
          <w:sz w:val="24"/>
          <w:szCs w:val="24"/>
        </w:rPr>
        <w:t xml:space="preserve"> e mbivendosjes është vlerësuar nën 10%, gjë që do të </w:t>
      </w:r>
      <w:r w:rsidR="00B40F9D" w:rsidRPr="00A27820">
        <w:rPr>
          <w:rFonts w:ascii="StobiSerif Regular" w:hAnsi="StobiSerif Regular"/>
          <w:color w:val="000000"/>
          <w:sz w:val="24"/>
          <w:szCs w:val="24"/>
          <w:lang w:val="sq-AL"/>
        </w:rPr>
        <w:t>mundësojë</w:t>
      </w:r>
      <w:r w:rsidR="00B40F9D" w:rsidRPr="00A27820">
        <w:rPr>
          <w:rFonts w:ascii="StobiSerif Regular" w:hAnsi="StobiSerif Regular"/>
          <w:color w:val="000000"/>
          <w:sz w:val="24"/>
          <w:szCs w:val="24"/>
        </w:rPr>
        <w:t xml:space="preserve"> pagesë </w:t>
      </w:r>
      <w:r w:rsidR="00B40F9D" w:rsidRPr="00A27820">
        <w:rPr>
          <w:rFonts w:ascii="StobiSerif Regular" w:hAnsi="StobiSerif Regular"/>
          <w:color w:val="000000"/>
          <w:sz w:val="24"/>
          <w:szCs w:val="24"/>
          <w:lang w:val="sq-AL"/>
        </w:rPr>
        <w:t>të</w:t>
      </w:r>
      <w:r w:rsidR="00B40F9D" w:rsidRPr="00A27820">
        <w:rPr>
          <w:rFonts w:ascii="StobiSerif Regular" w:hAnsi="StobiSerif Regular"/>
          <w:color w:val="000000"/>
          <w:sz w:val="24"/>
          <w:szCs w:val="24"/>
        </w:rPr>
        <w:t xml:space="preserve"> plotë të hapit në</w:t>
      </w:r>
      <w:r w:rsidR="00B40F9D" w:rsidRPr="00A27820">
        <w:rPr>
          <w:rFonts w:ascii="StobiSerif Regular" w:hAnsi="StobiSerif Regular"/>
          <w:color w:val="000000"/>
          <w:sz w:val="24"/>
          <w:szCs w:val="24"/>
          <w:lang w:val="sq-AL"/>
        </w:rPr>
        <w:t>qoftëse shfrytëzuesit</w:t>
      </w:r>
      <w:r w:rsidR="00B40F9D" w:rsidRPr="00A27820">
        <w:rPr>
          <w:rFonts w:ascii="StobiSerif Regular" w:hAnsi="StobiSerif Regular"/>
          <w:color w:val="000000"/>
          <w:sz w:val="24"/>
          <w:szCs w:val="24"/>
        </w:rPr>
        <w:t xml:space="preserve"> arrijnë pragun prej 90%).</w:t>
      </w:r>
    </w:p>
    <w:p w14:paraId="12483152" w14:textId="4A7ECCCA" w:rsidR="00C71B06" w:rsidRPr="00A27820" w:rsidRDefault="00C71B06" w:rsidP="00C71B06">
      <w:pPr>
        <w:shd w:val="clear" w:color="auto" w:fill="FFFFFF"/>
        <w:spacing w:before="120" w:after="120"/>
        <w:ind w:left="709" w:hanging="283"/>
        <w:jc w:val="both"/>
        <w:rPr>
          <w:rFonts w:ascii="StobiSerif Regular" w:hAnsi="StobiSerif Regular"/>
          <w:sz w:val="24"/>
          <w:szCs w:val="24"/>
        </w:rPr>
      </w:pPr>
      <w:r w:rsidRPr="00A27820">
        <w:rPr>
          <w:rFonts w:ascii="StobiSerif Regular" w:hAnsi="StobiSerif Regular"/>
          <w:sz w:val="24"/>
          <w:szCs w:val="24"/>
        </w:rPr>
        <w:t>-</w:t>
      </w:r>
      <w:r w:rsidRPr="00A27820">
        <w:rPr>
          <w:rFonts w:ascii="StobiSerif Regular" w:hAnsi="StobiSerif Regular"/>
          <w:sz w:val="24"/>
          <w:szCs w:val="24"/>
        </w:rPr>
        <w:tab/>
      </w:r>
      <w:r w:rsidR="00B40F9D" w:rsidRPr="00A27820">
        <w:rPr>
          <w:rFonts w:ascii="StobiSerif Regular" w:hAnsi="StobiSerif Regular"/>
          <w:sz w:val="24"/>
          <w:szCs w:val="24"/>
        </w:rPr>
        <w:t xml:space="preserve">Projektet </w:t>
      </w:r>
      <w:r w:rsidR="00B40F9D" w:rsidRPr="00A27820">
        <w:rPr>
          <w:rFonts w:ascii="StobiSerif Regular" w:hAnsi="StobiSerif Regular"/>
          <w:sz w:val="24"/>
          <w:szCs w:val="24"/>
          <w:lang w:val="sq-AL"/>
        </w:rPr>
        <w:t>në kuadër të</w:t>
      </w:r>
      <w:r w:rsidR="00B40F9D" w:rsidRPr="00A27820">
        <w:rPr>
          <w:rFonts w:ascii="StobiSerif Regular" w:hAnsi="StobiSerif Regular"/>
          <w:sz w:val="24"/>
          <w:szCs w:val="24"/>
        </w:rPr>
        <w:t xml:space="preserve"> Programit </w:t>
      </w:r>
      <w:r w:rsidR="00B40F9D" w:rsidRPr="00A27820">
        <w:rPr>
          <w:rFonts w:ascii="StobiSerif Regular" w:hAnsi="StobiSerif Regular"/>
          <w:sz w:val="24"/>
          <w:szCs w:val="24"/>
          <w:lang w:val="sq-AL"/>
        </w:rPr>
        <w:t>r</w:t>
      </w:r>
      <w:r w:rsidR="00B40F9D" w:rsidRPr="00A27820">
        <w:rPr>
          <w:rFonts w:ascii="StobiSerif Regular" w:hAnsi="StobiSerif Regular"/>
          <w:sz w:val="24"/>
          <w:szCs w:val="24"/>
        </w:rPr>
        <w:t xml:space="preserve">ajonal për </w:t>
      </w:r>
      <w:r w:rsidR="00B40F9D" w:rsidRPr="00A27820">
        <w:rPr>
          <w:rFonts w:ascii="StobiSerif Regular" w:hAnsi="StobiSerif Regular"/>
          <w:sz w:val="24"/>
          <w:szCs w:val="24"/>
          <w:lang w:val="sq-AL"/>
        </w:rPr>
        <w:t>e</w:t>
      </w:r>
      <w:r w:rsidR="00B40F9D" w:rsidRPr="00A27820">
        <w:rPr>
          <w:rFonts w:ascii="StobiSerif Regular" w:hAnsi="StobiSerif Regular"/>
          <w:sz w:val="24"/>
          <w:szCs w:val="24"/>
        </w:rPr>
        <w:t xml:space="preserve">fikasitet </w:t>
      </w:r>
      <w:r w:rsidR="00B40F9D" w:rsidRPr="00A27820">
        <w:rPr>
          <w:rFonts w:ascii="StobiSerif Regular" w:hAnsi="StobiSerif Regular"/>
          <w:sz w:val="24"/>
          <w:szCs w:val="24"/>
          <w:lang w:val="sq-AL"/>
        </w:rPr>
        <w:t>e</w:t>
      </w:r>
      <w:r w:rsidR="00B40F9D" w:rsidRPr="00A27820">
        <w:rPr>
          <w:rFonts w:ascii="StobiSerif Regular" w:hAnsi="StobiSerif Regular"/>
          <w:sz w:val="24"/>
          <w:szCs w:val="24"/>
        </w:rPr>
        <w:t>nergjitik (</w:t>
      </w:r>
      <w:r w:rsidR="00B40F9D" w:rsidRPr="00A27820">
        <w:rPr>
          <w:rFonts w:ascii="StobiSerif Regular" w:hAnsi="StobiSerif Regular"/>
          <w:sz w:val="24"/>
          <w:szCs w:val="24"/>
          <w:lang w:val="sq-AL"/>
        </w:rPr>
        <w:t>PREE-së</w:t>
      </w:r>
      <w:r w:rsidR="00B40F9D" w:rsidRPr="00A27820">
        <w:rPr>
          <w:rFonts w:ascii="StobiSerif Regular" w:hAnsi="StobiSerif Regular"/>
          <w:sz w:val="24"/>
          <w:szCs w:val="24"/>
        </w:rPr>
        <w:t xml:space="preserve">) mund të mbivendosen pjesërisht me hapat e Agjendës </w:t>
      </w:r>
      <w:r w:rsidR="00B40F9D" w:rsidRPr="00A27820">
        <w:rPr>
          <w:rFonts w:ascii="StobiSerif Regular" w:hAnsi="StobiSerif Regular"/>
          <w:sz w:val="24"/>
          <w:szCs w:val="24"/>
          <w:lang w:val="sq-AL"/>
        </w:rPr>
        <w:t>reformuese</w:t>
      </w:r>
      <w:r w:rsidR="00B40F9D" w:rsidRPr="00A27820">
        <w:rPr>
          <w:rFonts w:ascii="StobiSerif Regular" w:hAnsi="StobiSerif Regular"/>
          <w:sz w:val="24"/>
          <w:szCs w:val="24"/>
        </w:rPr>
        <w:t xml:space="preserve"> (AR). Në këtë fazë nuk është e mundur të parashikohe</w:t>
      </w:r>
      <w:r w:rsidR="00B40F9D" w:rsidRPr="00A27820">
        <w:rPr>
          <w:rFonts w:ascii="StobiSerif Regular" w:hAnsi="StobiSerif Regular"/>
          <w:sz w:val="24"/>
          <w:szCs w:val="24"/>
          <w:lang w:val="sq-AL"/>
        </w:rPr>
        <w:t>t</w:t>
      </w:r>
      <w:r w:rsidR="00B40F9D" w:rsidRPr="00A27820">
        <w:rPr>
          <w:rFonts w:ascii="StobiSerif Regular" w:hAnsi="StobiSerif Regular"/>
          <w:sz w:val="24"/>
          <w:szCs w:val="24"/>
        </w:rPr>
        <w:t xml:space="preserve"> se </w:t>
      </w:r>
      <w:r w:rsidR="00B40F9D" w:rsidRPr="00A27820">
        <w:rPr>
          <w:rFonts w:ascii="StobiSerif Regular" w:hAnsi="StobiSerif Regular"/>
          <w:sz w:val="24"/>
          <w:szCs w:val="24"/>
          <w:lang w:val="sq-AL"/>
        </w:rPr>
        <w:t xml:space="preserve">në cilën mënyr </w:t>
      </w:r>
      <w:r w:rsidR="00B40F9D" w:rsidRPr="00A27820">
        <w:rPr>
          <w:rFonts w:ascii="StobiSerif Regular" w:hAnsi="StobiSerif Regular"/>
          <w:sz w:val="24"/>
          <w:szCs w:val="24"/>
        </w:rPr>
        <w:t xml:space="preserve">rezultatet </w:t>
      </w:r>
      <w:r w:rsidR="00B40F9D" w:rsidRPr="00A27820">
        <w:rPr>
          <w:rFonts w:ascii="StobiSerif Regular" w:hAnsi="StobiSerif Regular"/>
          <w:sz w:val="24"/>
          <w:szCs w:val="24"/>
          <w:lang w:val="sq-AL"/>
        </w:rPr>
        <w:t xml:space="preserve">nga </w:t>
      </w:r>
      <w:r w:rsidR="00B40F9D" w:rsidRPr="00A27820">
        <w:rPr>
          <w:rFonts w:ascii="StobiSerif Regular" w:hAnsi="StobiSerif Regular"/>
          <w:sz w:val="24"/>
          <w:szCs w:val="24"/>
        </w:rPr>
        <w:t>projekte</w:t>
      </w:r>
      <w:r w:rsidR="00B40F9D" w:rsidRPr="00A27820">
        <w:rPr>
          <w:rFonts w:ascii="StobiSerif Regular" w:hAnsi="StobiSerif Regular"/>
          <w:sz w:val="24"/>
          <w:szCs w:val="24"/>
          <w:lang w:val="sq-AL"/>
        </w:rPr>
        <w:t>t e PREE-së</w:t>
      </w:r>
      <w:r w:rsidR="00B40F9D" w:rsidRPr="00A27820">
        <w:rPr>
          <w:rFonts w:ascii="StobiSerif Regular" w:hAnsi="StobiSerif Regular"/>
          <w:sz w:val="24"/>
          <w:szCs w:val="24"/>
        </w:rPr>
        <w:t xml:space="preserve"> do të kontribuoj në përmbushjen e hapave </w:t>
      </w:r>
      <w:r w:rsidR="00B40F9D" w:rsidRPr="00A27820">
        <w:rPr>
          <w:rFonts w:ascii="StobiSerif Regular" w:hAnsi="StobiSerif Regular"/>
          <w:sz w:val="24"/>
          <w:szCs w:val="24"/>
          <w:lang w:val="sq-AL"/>
        </w:rPr>
        <w:t>nga</w:t>
      </w:r>
      <w:r w:rsidR="00B40F9D" w:rsidRPr="00A27820">
        <w:rPr>
          <w:rFonts w:ascii="StobiSerif Regular" w:hAnsi="StobiSerif Regular"/>
          <w:sz w:val="24"/>
          <w:szCs w:val="24"/>
        </w:rPr>
        <w:t xml:space="preserve"> AR-</w:t>
      </w:r>
      <w:r w:rsidR="00B40F9D" w:rsidRPr="00A27820">
        <w:rPr>
          <w:rFonts w:ascii="StobiSerif Regular" w:hAnsi="StobiSerif Regular"/>
          <w:sz w:val="24"/>
          <w:szCs w:val="24"/>
          <w:lang w:val="sq-AL"/>
        </w:rPr>
        <w:t>ja</w:t>
      </w:r>
      <w:r w:rsidR="00B40F9D" w:rsidRPr="00A27820">
        <w:rPr>
          <w:rFonts w:ascii="StobiSerif Regular" w:hAnsi="StobiSerif Regular"/>
          <w:sz w:val="24"/>
          <w:szCs w:val="24"/>
        </w:rPr>
        <w:t xml:space="preserve">. Gjatë fazës së zbatimit, palët e përfshira duhet të koordinohen </w:t>
      </w:r>
      <w:r w:rsidR="00B40F9D" w:rsidRPr="00A27820">
        <w:rPr>
          <w:rFonts w:ascii="StobiSerif Regular" w:hAnsi="StobiSerif Regular"/>
          <w:sz w:val="24"/>
          <w:szCs w:val="24"/>
          <w:lang w:val="sq-AL"/>
        </w:rPr>
        <w:t>që</w:t>
      </w:r>
      <w:r w:rsidR="00B40F9D" w:rsidRPr="00A27820">
        <w:rPr>
          <w:rFonts w:ascii="StobiSerif Regular" w:hAnsi="StobiSerif Regular"/>
          <w:sz w:val="24"/>
          <w:szCs w:val="24"/>
        </w:rPr>
        <w:t xml:space="preserve"> të sigur</w:t>
      </w:r>
      <w:r w:rsidR="00B40F9D" w:rsidRPr="00A27820">
        <w:rPr>
          <w:rFonts w:ascii="StobiSerif Regular" w:hAnsi="StobiSerif Regular"/>
          <w:sz w:val="24"/>
          <w:szCs w:val="24"/>
          <w:lang w:val="sq-AL"/>
        </w:rPr>
        <w:t>ojnë</w:t>
      </w:r>
      <w:r w:rsidR="00B40F9D" w:rsidRPr="00A27820">
        <w:rPr>
          <w:rFonts w:ascii="StobiSerif Regular" w:hAnsi="StobiSerif Regular"/>
          <w:sz w:val="24"/>
          <w:szCs w:val="24"/>
        </w:rPr>
        <w:t xml:space="preserve"> qasje plotësuese ndaj AR-së.</w:t>
      </w:r>
      <w:r w:rsidR="00B40F9D" w:rsidRPr="00A27820">
        <w:rPr>
          <w:rFonts w:ascii="StobiSerif Regular" w:hAnsi="StobiSerif Regular"/>
          <w:sz w:val="24"/>
          <w:szCs w:val="24"/>
        </w:rPr>
        <w:br/>
        <w:t xml:space="preserve">Gjatë </w:t>
      </w:r>
      <w:r w:rsidR="00B40F9D" w:rsidRPr="00A27820">
        <w:rPr>
          <w:rFonts w:ascii="StobiSerif Regular" w:hAnsi="StobiSerif Regular"/>
          <w:sz w:val="24"/>
          <w:szCs w:val="24"/>
          <w:lang w:val="sq-AL"/>
        </w:rPr>
        <w:t>pasqyrimit</w:t>
      </w:r>
      <w:r w:rsidR="00B40F9D" w:rsidRPr="00A27820">
        <w:rPr>
          <w:rFonts w:ascii="StobiSerif Regular" w:hAnsi="StobiSerif Regular"/>
          <w:sz w:val="24"/>
          <w:szCs w:val="24"/>
        </w:rPr>
        <w:t xml:space="preserve"> të kërkesës për pagesë, Komisioni Evropian do t</w:t>
      </w:r>
      <w:r w:rsidR="00B40F9D" w:rsidRPr="00A27820">
        <w:rPr>
          <w:rFonts w:ascii="StobiSerif Regular" w:hAnsi="StobiSerif Regular"/>
          <w:sz w:val="24"/>
          <w:szCs w:val="24"/>
          <w:lang w:val="sq-AL"/>
        </w:rPr>
        <w:t>’i</w:t>
      </w:r>
      <w:r w:rsidR="00B40F9D" w:rsidRPr="00A27820">
        <w:rPr>
          <w:rFonts w:ascii="StobiSerif Regular" w:hAnsi="StobiSerif Regular"/>
          <w:sz w:val="24"/>
          <w:szCs w:val="24"/>
        </w:rPr>
        <w:t xml:space="preserve"> vlerësojë shkallën dhe masën e mbivendosjes </w:t>
      </w:r>
      <w:r w:rsidR="00B40F9D" w:rsidRPr="00A27820">
        <w:rPr>
          <w:rFonts w:ascii="StobiSerif Regular" w:hAnsi="StobiSerif Regular"/>
          <w:sz w:val="24"/>
          <w:szCs w:val="24"/>
          <w:lang w:val="sq-AL"/>
        </w:rPr>
        <w:t>në mes të</w:t>
      </w:r>
      <w:r w:rsidR="00B40F9D" w:rsidRPr="00A27820">
        <w:rPr>
          <w:rFonts w:ascii="StobiSerif Regular" w:hAnsi="StobiSerif Regular"/>
          <w:sz w:val="24"/>
          <w:szCs w:val="24"/>
        </w:rPr>
        <w:t xml:space="preserve"> hapave të AR-së dhe mbështetjes nga </w:t>
      </w:r>
      <w:r w:rsidR="00B40F9D" w:rsidRPr="00A27820">
        <w:rPr>
          <w:rFonts w:ascii="StobiSerif Regular" w:hAnsi="StobiSerif Regular"/>
          <w:sz w:val="24"/>
          <w:szCs w:val="24"/>
          <w:lang w:val="sq-AL"/>
        </w:rPr>
        <w:t>PREE-ja</w:t>
      </w:r>
      <w:r w:rsidR="00B40F9D" w:rsidRPr="00A27820">
        <w:rPr>
          <w:rFonts w:ascii="StobiSerif Regular" w:hAnsi="StobiSerif Regular"/>
          <w:sz w:val="24"/>
          <w:szCs w:val="24"/>
        </w:rPr>
        <w:t>.</w:t>
      </w:r>
    </w:p>
    <w:p w14:paraId="0EE42D29" w14:textId="77777777" w:rsidR="00B40F9D" w:rsidRPr="00B40F9D" w:rsidRDefault="00B40F9D" w:rsidP="00B40F9D">
      <w:pPr>
        <w:shd w:val="clear" w:color="auto" w:fill="FFFFFF"/>
        <w:spacing w:before="120" w:after="120"/>
        <w:jc w:val="both"/>
        <w:rPr>
          <w:rFonts w:ascii="StobiSerif Regular" w:hAnsi="StobiSerif Regular"/>
          <w:sz w:val="24"/>
          <w:szCs w:val="24"/>
          <w:lang w:val="sq-AL"/>
        </w:rPr>
      </w:pPr>
    </w:p>
    <w:p w14:paraId="62A52C80" w14:textId="77777777" w:rsidR="00B40F9D" w:rsidRPr="00B40F9D" w:rsidRDefault="00B40F9D" w:rsidP="00B40F9D">
      <w:pPr>
        <w:shd w:val="clear" w:color="auto" w:fill="FFFFFF"/>
        <w:spacing w:before="120" w:after="120"/>
        <w:jc w:val="both"/>
        <w:rPr>
          <w:rFonts w:ascii="StobiSerif Regular" w:hAnsi="StobiSerif Regular"/>
          <w:sz w:val="24"/>
          <w:szCs w:val="24"/>
        </w:rPr>
      </w:pPr>
      <w:r w:rsidRPr="00B40F9D">
        <w:rPr>
          <w:rFonts w:ascii="StobiSerif Regular" w:hAnsi="StobiSerif Regular"/>
          <w:b/>
          <w:bCs/>
          <w:sz w:val="24"/>
          <w:szCs w:val="24"/>
        </w:rPr>
        <w:t xml:space="preserve">3.            </w:t>
      </w:r>
      <w:r w:rsidRPr="00B40F9D">
        <w:rPr>
          <w:rFonts w:ascii="StobiSerif Regular" w:hAnsi="StobiSerif Regular"/>
          <w:b/>
          <w:bCs/>
          <w:sz w:val="24"/>
          <w:szCs w:val="24"/>
          <w:u w:val="single"/>
        </w:rPr>
        <w:t>Shembuj të hapave në agjendën reform</w:t>
      </w:r>
      <w:r w:rsidRPr="00B40F9D">
        <w:rPr>
          <w:rFonts w:ascii="StobiSerif Regular" w:hAnsi="StobiSerif Regular"/>
          <w:b/>
          <w:bCs/>
          <w:sz w:val="24"/>
          <w:szCs w:val="24"/>
          <w:u w:val="single"/>
          <w:lang w:val="sq-AL"/>
        </w:rPr>
        <w:t>uese</w:t>
      </w:r>
      <w:r w:rsidRPr="00B40F9D">
        <w:rPr>
          <w:rFonts w:ascii="StobiSerif Regular" w:hAnsi="StobiSerif Regular"/>
          <w:b/>
          <w:bCs/>
          <w:sz w:val="24"/>
          <w:szCs w:val="24"/>
          <w:u w:val="single"/>
        </w:rPr>
        <w:t xml:space="preserve"> dhe financimit plotësues nga burime të tjera dhe vlerësimi i lidhur i financimit të dyfishtë::</w:t>
      </w:r>
    </w:p>
    <w:p w14:paraId="75A90396" w14:textId="77777777" w:rsidR="00B40F9D" w:rsidRPr="00B40F9D" w:rsidRDefault="00B40F9D" w:rsidP="00B40F9D">
      <w:pPr>
        <w:shd w:val="clear" w:color="auto" w:fill="FFFFFF"/>
        <w:spacing w:before="120" w:after="120"/>
        <w:jc w:val="both"/>
        <w:rPr>
          <w:rFonts w:ascii="StobiSerif Regular" w:hAnsi="StobiSerif Regular"/>
          <w:sz w:val="24"/>
          <w:szCs w:val="24"/>
          <w:lang w:val="sq-AL"/>
        </w:rPr>
      </w:pPr>
      <w:r w:rsidRPr="00B40F9D">
        <w:rPr>
          <w:rFonts w:ascii="StobiSerif Regular" w:hAnsi="StobiSerif Regular"/>
          <w:b/>
          <w:bCs/>
          <w:sz w:val="24"/>
          <w:szCs w:val="24"/>
        </w:rPr>
        <w:t>3.1         Punë përgatitore në lidhje me:</w:t>
      </w:r>
    </w:p>
    <w:p w14:paraId="6FFB9091" w14:textId="77777777" w:rsidR="00B40F9D" w:rsidRPr="00B40F9D" w:rsidRDefault="00B40F9D" w:rsidP="00B40F9D">
      <w:pPr>
        <w:shd w:val="clear" w:color="auto" w:fill="FFFFFF"/>
        <w:spacing w:before="120" w:after="120"/>
        <w:jc w:val="both"/>
        <w:rPr>
          <w:rFonts w:ascii="StobiSerif Regular" w:hAnsi="StobiSerif Regular"/>
          <w:b/>
          <w:bCs/>
          <w:sz w:val="24"/>
          <w:szCs w:val="24"/>
        </w:rPr>
      </w:pPr>
      <w:r w:rsidRPr="00B40F9D">
        <w:rPr>
          <w:rFonts w:ascii="StobiSerif Regular" w:hAnsi="StobiSerif Regular"/>
          <w:b/>
          <w:bCs/>
          <w:sz w:val="24"/>
          <w:szCs w:val="24"/>
        </w:rPr>
        <w:t xml:space="preserve">а) </w:t>
      </w:r>
      <w:r w:rsidRPr="00B40F9D">
        <w:rPr>
          <w:rFonts w:ascii="StobiSerif Regular" w:hAnsi="StobiSerif Regular"/>
          <w:b/>
          <w:bCs/>
          <w:sz w:val="24"/>
          <w:szCs w:val="24"/>
          <w:lang w:val="sq-AL"/>
        </w:rPr>
        <w:t>Përgatitja e</w:t>
      </w:r>
      <w:r w:rsidRPr="00B40F9D">
        <w:rPr>
          <w:rFonts w:ascii="StobiSerif Regular" w:hAnsi="StobiSerif Regular"/>
          <w:b/>
          <w:bCs/>
          <w:sz w:val="24"/>
          <w:szCs w:val="24"/>
        </w:rPr>
        <w:t xml:space="preserve"> tekstit.</w:t>
      </w:r>
    </w:p>
    <w:p w14:paraId="20E60D47" w14:textId="77777777" w:rsidR="00B40F9D" w:rsidRPr="00B40F9D" w:rsidRDefault="00B40F9D" w:rsidP="00B40F9D">
      <w:pPr>
        <w:shd w:val="clear" w:color="auto" w:fill="FFFFFF"/>
        <w:spacing w:before="120" w:after="120"/>
        <w:jc w:val="both"/>
        <w:rPr>
          <w:rFonts w:ascii="StobiSerif Regular" w:hAnsi="StobiSerif Regular"/>
          <w:sz w:val="24"/>
          <w:szCs w:val="24"/>
        </w:rPr>
      </w:pPr>
      <w:r w:rsidRPr="00B40F9D">
        <w:rPr>
          <w:rFonts w:ascii="StobiSerif Regular" w:hAnsi="StobiSerif Regular"/>
          <w:sz w:val="24"/>
          <w:szCs w:val="24"/>
        </w:rPr>
        <w:t>Për shembull, hapa</w:t>
      </w:r>
      <w:r w:rsidRPr="00B40F9D">
        <w:rPr>
          <w:rFonts w:ascii="StobiSerif Regular" w:hAnsi="StobiSerif Regular"/>
          <w:sz w:val="24"/>
          <w:szCs w:val="24"/>
          <w:lang w:val="sq-AL"/>
        </w:rPr>
        <w:t>t të cilat</w:t>
      </w:r>
      <w:r w:rsidRPr="00B40F9D">
        <w:rPr>
          <w:rFonts w:ascii="StobiSerif Regular" w:hAnsi="StobiSerif Regular"/>
          <w:sz w:val="24"/>
          <w:szCs w:val="24"/>
        </w:rPr>
        <w:t xml:space="preserve"> përfshijnë përgatitjen/zhvillimin/evoluimin e udhëzimeve të shkruara/metodologji</w:t>
      </w:r>
      <w:r w:rsidRPr="00B40F9D">
        <w:rPr>
          <w:rFonts w:ascii="StobiSerif Regular" w:hAnsi="StobiSerif Regular"/>
          <w:sz w:val="24"/>
          <w:szCs w:val="24"/>
          <w:lang w:val="sq-AL"/>
        </w:rPr>
        <w:t>në</w:t>
      </w:r>
      <w:r w:rsidRPr="00B40F9D">
        <w:rPr>
          <w:rFonts w:ascii="StobiSerif Regular" w:hAnsi="StobiSerif Regular"/>
          <w:sz w:val="24"/>
          <w:szCs w:val="24"/>
        </w:rPr>
        <w:t>/analiz</w:t>
      </w:r>
      <w:r w:rsidRPr="00B40F9D">
        <w:rPr>
          <w:rFonts w:ascii="StobiSerif Regular" w:hAnsi="StobiSerif Regular"/>
          <w:sz w:val="24"/>
          <w:szCs w:val="24"/>
          <w:lang w:val="sq-AL"/>
        </w:rPr>
        <w:t>ën</w:t>
      </w:r>
      <w:r w:rsidRPr="00B40F9D">
        <w:rPr>
          <w:rFonts w:ascii="StobiSerif Regular" w:hAnsi="StobiSerif Regular"/>
          <w:sz w:val="24"/>
          <w:szCs w:val="24"/>
        </w:rPr>
        <w:t>/raporti</w:t>
      </w:r>
      <w:r w:rsidRPr="00B40F9D">
        <w:rPr>
          <w:rFonts w:ascii="StobiSerif Regular" w:hAnsi="StobiSerif Regular"/>
          <w:sz w:val="24"/>
          <w:szCs w:val="24"/>
          <w:lang w:val="sq-AL"/>
        </w:rPr>
        <w:t>n</w:t>
      </w:r>
      <w:r w:rsidRPr="00B40F9D">
        <w:rPr>
          <w:rFonts w:ascii="StobiSerif Regular" w:hAnsi="StobiSerif Regular"/>
          <w:sz w:val="24"/>
          <w:szCs w:val="24"/>
        </w:rPr>
        <w:t>/strategji</w:t>
      </w:r>
      <w:r w:rsidRPr="00B40F9D">
        <w:rPr>
          <w:rFonts w:ascii="StobiSerif Regular" w:hAnsi="StobiSerif Regular"/>
          <w:sz w:val="24"/>
          <w:szCs w:val="24"/>
          <w:lang w:val="sq-AL"/>
        </w:rPr>
        <w:t>në</w:t>
      </w:r>
      <w:r w:rsidRPr="00B40F9D">
        <w:rPr>
          <w:rFonts w:ascii="StobiSerif Regular" w:hAnsi="StobiSerif Regular"/>
          <w:sz w:val="24"/>
          <w:szCs w:val="24"/>
        </w:rPr>
        <w:t>/plan</w:t>
      </w:r>
      <w:r w:rsidRPr="00B40F9D">
        <w:rPr>
          <w:rFonts w:ascii="StobiSerif Regular" w:hAnsi="StobiSerif Regular"/>
          <w:sz w:val="24"/>
          <w:szCs w:val="24"/>
          <w:lang w:val="sq-AL"/>
        </w:rPr>
        <w:t>in e</w:t>
      </w:r>
      <w:r w:rsidRPr="00B40F9D">
        <w:rPr>
          <w:rFonts w:ascii="StobiSerif Regular" w:hAnsi="StobiSerif Regular"/>
          <w:sz w:val="24"/>
          <w:szCs w:val="24"/>
        </w:rPr>
        <w:t xml:space="preserve"> veprimit/ligji</w:t>
      </w:r>
      <w:r w:rsidRPr="00B40F9D">
        <w:rPr>
          <w:rFonts w:ascii="StobiSerif Regular" w:hAnsi="StobiSerif Regular"/>
          <w:sz w:val="24"/>
          <w:szCs w:val="24"/>
          <w:lang w:val="sq-AL"/>
        </w:rPr>
        <w:t>n</w:t>
      </w:r>
      <w:r w:rsidRPr="00B40F9D">
        <w:rPr>
          <w:rFonts w:ascii="StobiSerif Regular" w:hAnsi="StobiSerif Regular"/>
          <w:sz w:val="24"/>
          <w:szCs w:val="24"/>
        </w:rPr>
        <w:t>/aktet nënligjore.</w:t>
      </w:r>
    </w:p>
    <w:p w14:paraId="06F88463" w14:textId="77777777" w:rsidR="00B40F9D" w:rsidRPr="00A27820" w:rsidRDefault="00B40F9D" w:rsidP="00803AFB">
      <w:pPr>
        <w:shd w:val="clear" w:color="auto" w:fill="FFFFFF"/>
        <w:spacing w:before="120" w:after="120"/>
        <w:jc w:val="both"/>
        <w:rPr>
          <w:rFonts w:ascii="StobiSerif Regular" w:hAnsi="StobiSerif Regular"/>
          <w:sz w:val="24"/>
          <w:szCs w:val="24"/>
          <w:lang w:val="sq-AL"/>
        </w:rPr>
      </w:pPr>
    </w:p>
    <w:tbl>
      <w:tblPr>
        <w:tblW w:w="9010" w:type="dxa"/>
        <w:tblInd w:w="40" w:type="dxa"/>
        <w:tblLayout w:type="fixed"/>
        <w:tblCellMar>
          <w:left w:w="40" w:type="dxa"/>
          <w:right w:w="40" w:type="dxa"/>
        </w:tblCellMar>
        <w:tblLook w:val="0000" w:firstRow="0" w:lastRow="0" w:firstColumn="0" w:lastColumn="0" w:noHBand="0" w:noVBand="0"/>
      </w:tblPr>
      <w:tblGrid>
        <w:gridCol w:w="4355"/>
        <w:gridCol w:w="4655"/>
      </w:tblGrid>
      <w:tr w:rsidR="00C71B06" w:rsidRPr="00A27820" w14:paraId="2309BCD5" w14:textId="77777777" w:rsidTr="0068048D">
        <w:trPr>
          <w:trHeight w:val="192"/>
        </w:trPr>
        <w:tc>
          <w:tcPr>
            <w:tcW w:w="4355" w:type="dxa"/>
            <w:tcBorders>
              <w:top w:val="nil"/>
              <w:left w:val="nil"/>
              <w:bottom w:val="single" w:sz="6" w:space="0" w:color="auto"/>
              <w:right w:val="single" w:sz="6" w:space="0" w:color="auto"/>
            </w:tcBorders>
            <w:shd w:val="clear" w:color="auto" w:fill="FFFFFF"/>
          </w:tcPr>
          <w:p w14:paraId="6F74D95E" w14:textId="18991ADA" w:rsidR="00C71B06" w:rsidRPr="00A27820" w:rsidRDefault="00B40F9D" w:rsidP="00C71B06">
            <w:pPr>
              <w:shd w:val="clear" w:color="auto" w:fill="FFFFFF"/>
              <w:spacing w:before="120" w:after="120"/>
              <w:jc w:val="center"/>
              <w:rPr>
                <w:rFonts w:ascii="StobiSerif Regular" w:hAnsi="StobiSerif Regular"/>
                <w:sz w:val="24"/>
                <w:szCs w:val="24"/>
                <w:lang w:val="sq-AL"/>
              </w:rPr>
            </w:pPr>
            <w:r w:rsidRPr="00A27820">
              <w:rPr>
                <w:rFonts w:ascii="StobiSerif Regular" w:hAnsi="StobiSerif Regular"/>
                <w:color w:val="538135" w:themeColor="accent6" w:themeShade="BF"/>
                <w:sz w:val="24"/>
                <w:szCs w:val="24"/>
                <w:lang w:val="sq-AL"/>
              </w:rPr>
              <w:t>E</w:t>
            </w:r>
            <w:r w:rsidRPr="00A27820">
              <w:rPr>
                <w:rFonts w:ascii="StobiSerif Regular" w:hAnsi="StobiSerif Regular"/>
                <w:color w:val="538135" w:themeColor="accent6" w:themeShade="BF"/>
                <w:sz w:val="24"/>
                <w:szCs w:val="24"/>
              </w:rPr>
              <w:t xml:space="preserve"> pranueshme</w:t>
            </w:r>
            <w:r w:rsidRPr="00A27820">
              <w:rPr>
                <w:rFonts w:ascii="StobiSerif Regular" w:hAnsi="StobiSerif Regular"/>
                <w:color w:val="538135" w:themeColor="accent6" w:themeShade="BF"/>
                <w:sz w:val="24"/>
                <w:szCs w:val="24"/>
                <w:lang w:val="sq-AL"/>
              </w:rPr>
              <w:t>:</w:t>
            </w:r>
          </w:p>
        </w:tc>
        <w:tc>
          <w:tcPr>
            <w:tcW w:w="4655" w:type="dxa"/>
            <w:tcBorders>
              <w:top w:val="nil"/>
              <w:left w:val="single" w:sz="6" w:space="0" w:color="auto"/>
              <w:bottom w:val="single" w:sz="6" w:space="0" w:color="auto"/>
              <w:right w:val="nil"/>
            </w:tcBorders>
            <w:shd w:val="clear" w:color="auto" w:fill="FFFFFF"/>
          </w:tcPr>
          <w:p w14:paraId="70C3CFD9" w14:textId="3F4E175E" w:rsidR="00C71B06" w:rsidRPr="00A27820" w:rsidRDefault="00B40F9D" w:rsidP="00C71B06">
            <w:pPr>
              <w:shd w:val="clear" w:color="auto" w:fill="FFFFFF"/>
              <w:spacing w:before="120" w:after="120"/>
              <w:jc w:val="center"/>
              <w:rPr>
                <w:rFonts w:ascii="StobiSerif Regular" w:hAnsi="StobiSerif Regular"/>
                <w:sz w:val="24"/>
                <w:szCs w:val="24"/>
                <w:lang w:val="sq-AL"/>
              </w:rPr>
            </w:pPr>
            <w:r w:rsidRPr="00A27820">
              <w:rPr>
                <w:rFonts w:ascii="StobiSerif Regular" w:hAnsi="StobiSerif Regular"/>
                <w:color w:val="EE0000"/>
                <w:sz w:val="24"/>
                <w:szCs w:val="24"/>
              </w:rPr>
              <w:t>Nuk është e pranueshme</w:t>
            </w:r>
            <w:r w:rsidRPr="00A27820">
              <w:rPr>
                <w:rFonts w:ascii="StobiSerif Regular" w:hAnsi="StobiSerif Regular"/>
                <w:color w:val="EE0000"/>
                <w:sz w:val="24"/>
                <w:szCs w:val="24"/>
                <w:lang w:val="sq-AL"/>
              </w:rPr>
              <w:t>:</w:t>
            </w:r>
          </w:p>
        </w:tc>
      </w:tr>
      <w:tr w:rsidR="001E14E0" w:rsidRPr="00A27820" w14:paraId="79EA52A4" w14:textId="77777777" w:rsidTr="00D165F6">
        <w:trPr>
          <w:trHeight w:val="1764"/>
        </w:trPr>
        <w:tc>
          <w:tcPr>
            <w:tcW w:w="4355" w:type="dxa"/>
            <w:tcBorders>
              <w:top w:val="single" w:sz="6" w:space="0" w:color="auto"/>
              <w:left w:val="nil"/>
              <w:right w:val="single" w:sz="6" w:space="0" w:color="auto"/>
            </w:tcBorders>
            <w:shd w:val="clear" w:color="auto" w:fill="FFFFFF"/>
          </w:tcPr>
          <w:p w14:paraId="479DFABD" w14:textId="26C2382C" w:rsidR="001E14E0" w:rsidRPr="00A27820" w:rsidRDefault="001E14E0" w:rsidP="001E14E0">
            <w:pPr>
              <w:shd w:val="clear" w:color="auto" w:fill="FFFFFF"/>
              <w:spacing w:before="120" w:after="120"/>
              <w:jc w:val="both"/>
              <w:rPr>
                <w:rFonts w:ascii="StobiSerif Regular" w:hAnsi="StobiSerif Regular"/>
                <w:sz w:val="24"/>
                <w:szCs w:val="24"/>
              </w:rPr>
            </w:pPr>
            <w:r w:rsidRPr="00A27820">
              <w:rPr>
                <w:rFonts w:ascii="StobiSerif Regular" w:hAnsi="StobiSerif Regular"/>
                <w:sz w:val="24"/>
                <w:szCs w:val="24"/>
              </w:rPr>
              <w:t xml:space="preserve">Ndihmë teknike e financuar nga BE-ja </w:t>
            </w:r>
            <w:r w:rsidRPr="00A27820">
              <w:rPr>
                <w:rFonts w:ascii="StobiSerif Regular" w:hAnsi="StobiSerif Regular"/>
                <w:sz w:val="24"/>
                <w:szCs w:val="24"/>
                <w:lang w:val="sq-AL"/>
              </w:rPr>
              <w:t>e cila</w:t>
            </w:r>
            <w:r w:rsidRPr="00A27820">
              <w:rPr>
                <w:rFonts w:ascii="StobiSerif Regular" w:hAnsi="StobiSerif Regular"/>
                <w:sz w:val="24"/>
                <w:szCs w:val="24"/>
              </w:rPr>
              <w:t xml:space="preserve"> siguron zhvillim të kapaciteteve në aspektin e njohurive dhe </w:t>
            </w:r>
            <w:r w:rsidRPr="00A27820">
              <w:rPr>
                <w:rFonts w:ascii="StobiSerif Regular" w:hAnsi="StobiSerif Regular"/>
                <w:sz w:val="24"/>
                <w:szCs w:val="24"/>
                <w:lang w:val="sq-AL"/>
              </w:rPr>
              <w:t>përvojës</w:t>
            </w:r>
            <w:r w:rsidRPr="00A27820">
              <w:rPr>
                <w:rFonts w:ascii="StobiSerif Regular" w:hAnsi="StobiSerif Regular"/>
                <w:sz w:val="24"/>
                <w:szCs w:val="24"/>
              </w:rPr>
              <w:t xml:space="preserve"> (</w:t>
            </w:r>
            <w:r w:rsidRPr="00A27820">
              <w:rPr>
                <w:rFonts w:ascii="StobiSerif Regular" w:hAnsi="StobiSerif Regular"/>
                <w:sz w:val="24"/>
                <w:szCs w:val="24"/>
                <w:lang w:val="sq-AL"/>
              </w:rPr>
              <w:t>d.m.th</w:t>
            </w:r>
            <w:r w:rsidRPr="00A27820">
              <w:rPr>
                <w:rFonts w:ascii="StobiSerif Regular" w:hAnsi="StobiSerif Regular"/>
                <w:sz w:val="24"/>
                <w:szCs w:val="24"/>
              </w:rPr>
              <w:t xml:space="preserve"> praktika më të mira, mbështetje metodologjike, etj.). Gjatë përgatitjes së vetë tekstit mund të lejohet shkallë e caktuar mbështetjeje (</w:t>
            </w:r>
            <w:r w:rsidRPr="00A27820">
              <w:rPr>
                <w:rFonts w:ascii="StobiSerif Regular" w:hAnsi="StobiSerif Regular"/>
                <w:sz w:val="24"/>
                <w:szCs w:val="24"/>
                <w:lang w:val="sq-AL"/>
              </w:rPr>
              <w:t>ajo</w:t>
            </w:r>
            <w:r w:rsidRPr="00A27820">
              <w:rPr>
                <w:rFonts w:ascii="StobiSerif Regular" w:hAnsi="StobiSerif Regular"/>
                <w:sz w:val="24"/>
                <w:szCs w:val="24"/>
              </w:rPr>
              <w:t xml:space="preserve"> nuk duhet të tejkalojë 50% në lidhje me </w:t>
            </w:r>
            <w:r w:rsidRPr="00A27820">
              <w:rPr>
                <w:rFonts w:ascii="StobiSerif Regular" w:hAnsi="StobiSerif Regular"/>
                <w:sz w:val="24"/>
                <w:szCs w:val="24"/>
              </w:rPr>
              <w:lastRenderedPageBreak/>
              <w:t>përgatitjen e dokumentit përfundimtar).</w:t>
            </w:r>
          </w:p>
        </w:tc>
        <w:tc>
          <w:tcPr>
            <w:tcW w:w="4655" w:type="dxa"/>
            <w:tcBorders>
              <w:top w:val="single" w:sz="6" w:space="0" w:color="auto"/>
              <w:left w:val="single" w:sz="6" w:space="0" w:color="auto"/>
              <w:right w:val="nil"/>
            </w:tcBorders>
            <w:shd w:val="clear" w:color="auto" w:fill="FFFFFF"/>
          </w:tcPr>
          <w:p w14:paraId="12A909D1" w14:textId="2CDD2B3A" w:rsidR="001E14E0" w:rsidRPr="00A27820" w:rsidRDefault="001E14E0" w:rsidP="001E14E0">
            <w:pPr>
              <w:shd w:val="clear" w:color="auto" w:fill="FFFFFF"/>
              <w:spacing w:before="120" w:after="120"/>
              <w:jc w:val="both"/>
              <w:rPr>
                <w:rFonts w:ascii="StobiSerif Regular" w:hAnsi="StobiSerif Regular"/>
                <w:sz w:val="24"/>
                <w:szCs w:val="24"/>
              </w:rPr>
            </w:pPr>
            <w:r w:rsidRPr="00A27820">
              <w:rPr>
                <w:rFonts w:ascii="StobiSerif Regular" w:hAnsi="StobiSerif Regular"/>
                <w:sz w:val="24"/>
                <w:szCs w:val="24"/>
              </w:rPr>
              <w:lastRenderedPageBreak/>
              <w:t xml:space="preserve">Ndihmë teknike e financuar nga BE-ja / shtetet anëtare të BE-së / agjencitë e BE-së / donatorë të tjerë </w:t>
            </w:r>
            <w:r w:rsidRPr="00A27820">
              <w:rPr>
                <w:rFonts w:ascii="StobiSerif Regular" w:hAnsi="StobiSerif Regular"/>
                <w:sz w:val="24"/>
                <w:szCs w:val="24"/>
                <w:lang w:val="sq-AL"/>
              </w:rPr>
              <w:t xml:space="preserve">e </w:t>
            </w:r>
            <w:r w:rsidRPr="00A27820">
              <w:rPr>
                <w:rFonts w:ascii="StobiSerif Regular" w:hAnsi="StobiSerif Regular"/>
                <w:sz w:val="24"/>
                <w:szCs w:val="24"/>
              </w:rPr>
              <w:t>përgati</w:t>
            </w:r>
            <w:r w:rsidRPr="00A27820">
              <w:rPr>
                <w:rFonts w:ascii="StobiSerif Regular" w:hAnsi="StobiSerif Regular"/>
                <w:sz w:val="24"/>
                <w:szCs w:val="24"/>
                <w:lang w:val="sq-AL"/>
              </w:rPr>
              <w:t>tin</w:t>
            </w:r>
            <w:r w:rsidRPr="00A27820">
              <w:rPr>
                <w:rFonts w:ascii="StobiSerif Regular" w:hAnsi="StobiSerif Regular"/>
                <w:sz w:val="24"/>
                <w:szCs w:val="24"/>
              </w:rPr>
              <w:t xml:space="preserve"> tekstin për administratat e</w:t>
            </w:r>
            <w:r w:rsidRPr="00A27820">
              <w:rPr>
                <w:rFonts w:ascii="StobiSerif Regular" w:hAnsi="StobiSerif Regular"/>
                <w:sz w:val="24"/>
                <w:szCs w:val="24"/>
                <w:lang w:val="sq-AL"/>
              </w:rPr>
              <w:t xml:space="preserve"> Shfryrtëzuesit</w:t>
            </w:r>
            <w:r w:rsidRPr="00A27820">
              <w:rPr>
                <w:rFonts w:ascii="StobiSerif Regular" w:hAnsi="StobiSerif Regular"/>
                <w:sz w:val="24"/>
                <w:szCs w:val="24"/>
              </w:rPr>
              <w:t xml:space="preserve"> </w:t>
            </w:r>
            <w:r w:rsidRPr="00A27820">
              <w:rPr>
                <w:rFonts w:ascii="StobiSerif Regular" w:hAnsi="StobiSerif Regular"/>
                <w:sz w:val="24"/>
                <w:szCs w:val="24"/>
                <w:lang w:val="sq-AL"/>
              </w:rPr>
              <w:t xml:space="preserve">deri </w:t>
            </w:r>
            <w:r w:rsidRPr="00A27820">
              <w:rPr>
                <w:rFonts w:ascii="StobiSerif Regular" w:hAnsi="StobiSerif Regular"/>
                <w:sz w:val="24"/>
                <w:szCs w:val="24"/>
              </w:rPr>
              <w:t>në atë</w:t>
            </w:r>
            <w:r w:rsidRPr="00A27820">
              <w:rPr>
                <w:rFonts w:ascii="StobiSerif Regular" w:hAnsi="StobiSerif Regular"/>
                <w:sz w:val="24"/>
                <w:szCs w:val="24"/>
                <w:lang w:val="sq-AL"/>
              </w:rPr>
              <w:t xml:space="preserve"> shkallë</w:t>
            </w:r>
            <w:r w:rsidRPr="00A27820">
              <w:rPr>
                <w:rFonts w:ascii="StobiSerif Regular" w:hAnsi="StobiSerif Regular"/>
                <w:sz w:val="24"/>
                <w:szCs w:val="24"/>
              </w:rPr>
              <w:t xml:space="preserve"> sa ato bëhen përgatitës kryesor dhe</w:t>
            </w:r>
            <w:r w:rsidRPr="00A27820">
              <w:rPr>
                <w:rFonts w:ascii="StobiSerif Regular" w:hAnsi="StobiSerif Regular"/>
                <w:sz w:val="24"/>
                <w:szCs w:val="24"/>
                <w:lang w:val="sq-AL"/>
              </w:rPr>
              <w:t xml:space="preserve"> i </w:t>
            </w:r>
            <w:r w:rsidRPr="00A27820">
              <w:rPr>
                <w:rFonts w:ascii="StobiSerif Regular" w:hAnsi="StobiSerif Regular"/>
                <w:sz w:val="24"/>
                <w:szCs w:val="24"/>
              </w:rPr>
              <w:t xml:space="preserve"> zëvendësojnë organet lokale / palët e </w:t>
            </w:r>
            <w:r w:rsidRPr="00A27820">
              <w:rPr>
                <w:rFonts w:ascii="StobiSerif Regular" w:hAnsi="StobiSerif Regular"/>
                <w:sz w:val="24"/>
                <w:szCs w:val="24"/>
                <w:lang w:val="sq-AL"/>
              </w:rPr>
              <w:t>interesuara</w:t>
            </w:r>
            <w:r w:rsidRPr="00A27820">
              <w:rPr>
                <w:rFonts w:ascii="StobiSerif Regular" w:hAnsi="StobiSerif Regular"/>
                <w:sz w:val="24"/>
                <w:szCs w:val="24"/>
              </w:rPr>
              <w:t>.</w:t>
            </w:r>
          </w:p>
        </w:tc>
      </w:tr>
    </w:tbl>
    <w:p w14:paraId="3A8E90B5" w14:textId="77777777" w:rsidR="001E14E0" w:rsidRPr="00A27820" w:rsidRDefault="001E14E0" w:rsidP="001E14E0">
      <w:pPr>
        <w:shd w:val="clear" w:color="auto" w:fill="FFFFFF"/>
        <w:spacing w:before="120" w:after="120"/>
        <w:ind w:left="993"/>
        <w:jc w:val="both"/>
        <w:rPr>
          <w:rFonts w:ascii="StobiSerif Regular" w:hAnsi="StobiSerif Regular"/>
          <w:b/>
          <w:color w:val="000000"/>
          <w:sz w:val="24"/>
          <w:szCs w:val="24"/>
          <w:lang w:val="sq-AL"/>
        </w:rPr>
      </w:pPr>
      <w:r w:rsidRPr="00A27820">
        <w:rPr>
          <w:rFonts w:ascii="StobiSerif Regular" w:hAnsi="StobiSerif Regular"/>
          <w:b/>
          <w:color w:val="000000"/>
          <w:sz w:val="24"/>
          <w:szCs w:val="24"/>
          <w:lang w:val="sq-AL"/>
        </w:rPr>
        <w:t>6</w:t>
      </w:r>
      <w:r w:rsidRPr="00A27820">
        <w:rPr>
          <w:rFonts w:ascii="StobiSerif Regular" w:hAnsi="StobiSerif Regular"/>
          <w:b/>
          <w:color w:val="000000"/>
          <w:sz w:val="24"/>
          <w:szCs w:val="24"/>
        </w:rPr>
        <w:t xml:space="preserve">) </w:t>
      </w:r>
      <w:r w:rsidRPr="00A27820">
        <w:rPr>
          <w:rFonts w:ascii="StobiSerif Regular" w:hAnsi="StobiSerif Regular"/>
          <w:b/>
          <w:bCs/>
          <w:sz w:val="24"/>
          <w:szCs w:val="24"/>
          <w:lang w:val="sq-AL"/>
        </w:rPr>
        <w:t>Sjellja</w:t>
      </w:r>
      <w:r w:rsidRPr="00A27820">
        <w:rPr>
          <w:rFonts w:ascii="StobiSerif Regular" w:hAnsi="StobiSerif Regular"/>
          <w:b/>
          <w:bCs/>
          <w:sz w:val="24"/>
          <w:szCs w:val="24"/>
        </w:rPr>
        <w:t xml:space="preserve"> formal</w:t>
      </w:r>
      <w:r w:rsidRPr="00A27820">
        <w:rPr>
          <w:rFonts w:ascii="StobiSerif Regular" w:hAnsi="StobiSerif Regular"/>
          <w:b/>
          <w:bCs/>
          <w:sz w:val="24"/>
          <w:szCs w:val="24"/>
          <w:lang w:val="sq-AL"/>
        </w:rPr>
        <w:t>e</w:t>
      </w:r>
      <w:r w:rsidRPr="00A27820">
        <w:rPr>
          <w:rFonts w:ascii="StobiSerif Regular" w:hAnsi="StobiSerif Regular"/>
          <w:b/>
          <w:bCs/>
          <w:sz w:val="24"/>
          <w:szCs w:val="24"/>
        </w:rPr>
        <w:t xml:space="preserve"> </w:t>
      </w:r>
      <w:r w:rsidRPr="00A27820">
        <w:rPr>
          <w:rFonts w:ascii="StobiSerif Regular" w:hAnsi="StobiSerif Regular"/>
          <w:b/>
          <w:bCs/>
          <w:sz w:val="24"/>
          <w:szCs w:val="24"/>
          <w:lang w:val="sq-AL"/>
        </w:rPr>
        <w:t>e</w:t>
      </w:r>
      <w:r w:rsidRPr="00A27820">
        <w:rPr>
          <w:rFonts w:ascii="StobiSerif Regular" w:hAnsi="StobiSerif Regular"/>
          <w:b/>
          <w:bCs/>
          <w:sz w:val="24"/>
          <w:szCs w:val="24"/>
        </w:rPr>
        <w:t xml:space="preserve"> ligjit / aktit nënligjor / rregullores (tekst ligjërisht i detyrueshëm)</w:t>
      </w:r>
    </w:p>
    <w:p w14:paraId="17BA3F7C" w14:textId="77777777" w:rsidR="001E14E0" w:rsidRPr="00A27820" w:rsidRDefault="001E14E0" w:rsidP="00803AFB">
      <w:pPr>
        <w:shd w:val="clear" w:color="auto" w:fill="FFFFFF"/>
        <w:spacing w:before="120" w:after="120"/>
        <w:jc w:val="both"/>
        <w:rPr>
          <w:rFonts w:ascii="StobiSerif Regular" w:hAnsi="StobiSerif Regular"/>
          <w:sz w:val="24"/>
          <w:szCs w:val="24"/>
          <w:lang w:val="sq-AL"/>
        </w:rPr>
      </w:pPr>
      <w:r w:rsidRPr="00A27820">
        <w:rPr>
          <w:rFonts w:ascii="StobiSerif Regular" w:hAnsi="StobiSerif Regular"/>
          <w:sz w:val="24"/>
          <w:szCs w:val="24"/>
        </w:rPr>
        <w:t xml:space="preserve">Për shembull, hapa </w:t>
      </w:r>
      <w:r w:rsidRPr="00A27820">
        <w:rPr>
          <w:rFonts w:ascii="StobiSerif Regular" w:hAnsi="StobiSerif Regular"/>
          <w:sz w:val="24"/>
          <w:szCs w:val="24"/>
          <w:lang w:val="sq-AL"/>
        </w:rPr>
        <w:t>të cilët</w:t>
      </w:r>
      <w:r w:rsidRPr="00A27820">
        <w:rPr>
          <w:rFonts w:ascii="StobiSerif Regular" w:hAnsi="StobiSerif Regular"/>
          <w:sz w:val="24"/>
          <w:szCs w:val="24"/>
        </w:rPr>
        <w:t>, në kundërshtim me shembullin</w:t>
      </w:r>
      <w:r w:rsidRPr="00A27820">
        <w:rPr>
          <w:rFonts w:ascii="StobiSerif Regular" w:hAnsi="StobiSerif Regular"/>
          <w:sz w:val="24"/>
          <w:szCs w:val="24"/>
          <w:lang w:val="sq-AL"/>
        </w:rPr>
        <w:t xml:space="preserve"> paraprak</w:t>
      </w:r>
      <w:r w:rsidRPr="00A27820">
        <w:rPr>
          <w:rFonts w:ascii="StobiSerif Regular" w:hAnsi="StobiSerif Regular"/>
          <w:sz w:val="24"/>
          <w:szCs w:val="24"/>
        </w:rPr>
        <w:t>, tejkalojnë përgatitjen e dokumenteve dhe përfshijnë</w:t>
      </w:r>
      <w:r w:rsidRPr="00A27820">
        <w:rPr>
          <w:rFonts w:ascii="StobiSerif Regular" w:hAnsi="StobiSerif Regular"/>
          <w:sz w:val="24"/>
          <w:szCs w:val="24"/>
          <w:lang w:val="sq-AL"/>
        </w:rPr>
        <w:t xml:space="preserve"> miratimin</w:t>
      </w:r>
      <w:r w:rsidRPr="00A27820">
        <w:rPr>
          <w:rFonts w:ascii="StobiSerif Regular" w:hAnsi="StobiSerif Regular"/>
          <w:sz w:val="24"/>
          <w:szCs w:val="24"/>
        </w:rPr>
        <w:t>/</w:t>
      </w:r>
      <w:r w:rsidRPr="00A27820">
        <w:rPr>
          <w:rFonts w:ascii="StobiSerif Regular" w:hAnsi="StobiSerif Regular"/>
          <w:sz w:val="24"/>
          <w:szCs w:val="24"/>
          <w:lang w:val="sq-AL"/>
        </w:rPr>
        <w:t>revizionin</w:t>
      </w:r>
      <w:r w:rsidRPr="00A27820">
        <w:rPr>
          <w:rFonts w:ascii="StobiSerif Regular" w:hAnsi="StobiSerif Regular"/>
          <w:sz w:val="24"/>
          <w:szCs w:val="24"/>
        </w:rPr>
        <w:t>/ zbatimin/ harmonizimin/ ndryshimin / ratifikimin / transpozimin / përshtatjen me standardet e BE-së / hyrjen në fuqi të ligjeve / aktet nënligjore / konventat, etj.</w:t>
      </w:r>
    </w:p>
    <w:p w14:paraId="5F223F01" w14:textId="58D7495E" w:rsidR="001E14E0" w:rsidRPr="00A27820" w:rsidRDefault="001E14E0" w:rsidP="001E14E0">
      <w:pPr>
        <w:shd w:val="clear" w:color="auto" w:fill="FFFFFF"/>
        <w:spacing w:before="120" w:after="120"/>
        <w:jc w:val="both"/>
        <w:rPr>
          <w:rFonts w:ascii="StobiSerif Regular" w:hAnsi="StobiSerif Regular"/>
          <w:sz w:val="24"/>
          <w:szCs w:val="24"/>
          <w:lang w:val="sq-AL"/>
        </w:rPr>
      </w:pPr>
      <w:r w:rsidRPr="00A27820">
        <w:rPr>
          <w:rFonts w:ascii="StobiSerif Regular" w:hAnsi="StobiSerif Regular"/>
          <w:sz w:val="24"/>
          <w:szCs w:val="24"/>
        </w:rPr>
        <w:t xml:space="preserve">Për shembull: „Ligji për </w:t>
      </w:r>
      <w:r w:rsidRPr="00A27820">
        <w:rPr>
          <w:rFonts w:ascii="StobiSerif Regular" w:hAnsi="StobiSerif Regular"/>
          <w:sz w:val="24"/>
          <w:szCs w:val="24"/>
          <w:lang w:val="sq-AL"/>
        </w:rPr>
        <w:t>K</w:t>
      </w:r>
      <w:r w:rsidRPr="00A27820">
        <w:rPr>
          <w:rFonts w:ascii="StobiSerif Regular" w:hAnsi="StobiSerif Regular"/>
          <w:sz w:val="24"/>
          <w:szCs w:val="24"/>
        </w:rPr>
        <w:t xml:space="preserve">ontrollin </w:t>
      </w:r>
      <w:r w:rsidRPr="00A27820">
        <w:rPr>
          <w:rFonts w:ascii="StobiSerif Regular" w:hAnsi="StobiSerif Regular"/>
          <w:sz w:val="24"/>
          <w:szCs w:val="24"/>
          <w:lang w:val="sq-AL"/>
        </w:rPr>
        <w:t>Publik të B</w:t>
      </w:r>
      <w:r w:rsidRPr="00A27820">
        <w:rPr>
          <w:rFonts w:ascii="StobiSerif Regular" w:hAnsi="StobiSerif Regular"/>
          <w:sz w:val="24"/>
          <w:szCs w:val="24"/>
        </w:rPr>
        <w:t xml:space="preserve">rendshëm </w:t>
      </w:r>
      <w:r w:rsidRPr="00A27820">
        <w:rPr>
          <w:rFonts w:ascii="StobiSerif Regular" w:hAnsi="StobiSerif Regular"/>
          <w:sz w:val="24"/>
          <w:szCs w:val="24"/>
          <w:lang w:val="sq-AL"/>
        </w:rPr>
        <w:t>F</w:t>
      </w:r>
      <w:r w:rsidRPr="00A27820">
        <w:rPr>
          <w:rFonts w:ascii="StobiSerif Regular" w:hAnsi="StobiSerif Regular"/>
          <w:sz w:val="24"/>
          <w:szCs w:val="24"/>
        </w:rPr>
        <w:t>inanciar</w:t>
      </w:r>
      <w:r w:rsidRPr="00A27820">
        <w:rPr>
          <w:rFonts w:ascii="StobiSerif Regular" w:hAnsi="StobiSerif Regular"/>
          <w:sz w:val="24"/>
          <w:szCs w:val="24"/>
          <w:lang w:val="sq-AL"/>
        </w:rPr>
        <w:t xml:space="preserve"> </w:t>
      </w:r>
      <w:r w:rsidRPr="00A27820">
        <w:rPr>
          <w:rFonts w:ascii="StobiSerif Regular" w:hAnsi="StobiSerif Regular"/>
          <w:sz w:val="24"/>
          <w:szCs w:val="24"/>
        </w:rPr>
        <w:t>(</w:t>
      </w:r>
      <w:r w:rsidRPr="00A27820">
        <w:rPr>
          <w:rFonts w:ascii="StobiSerif Regular" w:hAnsi="StobiSerif Regular"/>
          <w:sz w:val="24"/>
          <w:szCs w:val="24"/>
          <w:lang w:val="sq-AL"/>
        </w:rPr>
        <w:t>KPBF</w:t>
      </w:r>
      <w:r w:rsidRPr="00A27820">
        <w:rPr>
          <w:rFonts w:ascii="StobiSerif Regular" w:hAnsi="StobiSerif Regular"/>
          <w:sz w:val="24"/>
          <w:szCs w:val="24"/>
        </w:rPr>
        <w:t xml:space="preserve">) </w:t>
      </w:r>
      <w:r w:rsidRPr="00A27820">
        <w:rPr>
          <w:rFonts w:ascii="StobiSerif Regular" w:hAnsi="StobiSerif Regular"/>
          <w:sz w:val="24"/>
          <w:szCs w:val="24"/>
          <w:lang w:val="sq-AL"/>
        </w:rPr>
        <w:t>e sjell</w:t>
      </w:r>
      <w:r w:rsidRPr="00A27820">
        <w:rPr>
          <w:rFonts w:ascii="StobiSerif Regular" w:hAnsi="StobiSerif Regular"/>
          <w:sz w:val="24"/>
          <w:szCs w:val="24"/>
        </w:rPr>
        <w:t xml:space="preserve"> Kuvendi“.</w:t>
      </w:r>
    </w:p>
    <w:p w14:paraId="6FD182B7" w14:textId="3349226B" w:rsidR="00C71B06" w:rsidRPr="00A27820" w:rsidRDefault="001E14E0" w:rsidP="00803AFB">
      <w:pPr>
        <w:shd w:val="clear" w:color="auto" w:fill="FFFFFF"/>
        <w:spacing w:before="120" w:after="120"/>
        <w:jc w:val="both"/>
        <w:rPr>
          <w:rFonts w:ascii="StobiSerif Regular" w:hAnsi="StobiSerif Regular"/>
          <w:sz w:val="24"/>
          <w:szCs w:val="24"/>
        </w:rPr>
      </w:pPr>
      <w:r w:rsidRPr="00A27820">
        <w:rPr>
          <w:rFonts w:ascii="StobiSerif Regular" w:hAnsi="StobiSerif Regular"/>
          <w:sz w:val="24"/>
          <w:szCs w:val="24"/>
        </w:rPr>
        <w:br/>
      </w:r>
    </w:p>
    <w:tbl>
      <w:tblPr>
        <w:tblW w:w="9033" w:type="dxa"/>
        <w:tblInd w:w="40" w:type="dxa"/>
        <w:tblLayout w:type="fixed"/>
        <w:tblCellMar>
          <w:left w:w="40" w:type="dxa"/>
          <w:right w:w="40" w:type="dxa"/>
        </w:tblCellMar>
        <w:tblLook w:val="0000" w:firstRow="0" w:lastRow="0" w:firstColumn="0" w:lastColumn="0" w:noHBand="0" w:noVBand="0"/>
      </w:tblPr>
      <w:tblGrid>
        <w:gridCol w:w="4355"/>
        <w:gridCol w:w="4678"/>
      </w:tblGrid>
      <w:tr w:rsidR="00C71B06" w:rsidRPr="00A27820" w14:paraId="1EDEF9D0" w14:textId="77777777" w:rsidTr="0068048D">
        <w:trPr>
          <w:trHeight w:val="230"/>
        </w:trPr>
        <w:tc>
          <w:tcPr>
            <w:tcW w:w="4355" w:type="dxa"/>
            <w:tcBorders>
              <w:top w:val="nil"/>
              <w:left w:val="nil"/>
              <w:bottom w:val="single" w:sz="6" w:space="0" w:color="auto"/>
              <w:right w:val="single" w:sz="6" w:space="0" w:color="auto"/>
            </w:tcBorders>
            <w:shd w:val="clear" w:color="auto" w:fill="FFFFFF"/>
          </w:tcPr>
          <w:p w14:paraId="53909DEA" w14:textId="29CFDBE1" w:rsidR="00C71B06" w:rsidRPr="00A27820" w:rsidRDefault="001E14E0" w:rsidP="002E69E5">
            <w:pPr>
              <w:shd w:val="clear" w:color="auto" w:fill="FFFFFF"/>
              <w:spacing w:before="120" w:after="120"/>
              <w:jc w:val="center"/>
              <w:rPr>
                <w:rFonts w:ascii="StobiSerif Regular" w:hAnsi="StobiSerif Regular"/>
                <w:sz w:val="24"/>
                <w:szCs w:val="24"/>
              </w:rPr>
            </w:pPr>
            <w:r w:rsidRPr="00A27820">
              <w:rPr>
                <w:rFonts w:ascii="StobiSerif Regular" w:hAnsi="StobiSerif Regular"/>
                <w:color w:val="388600"/>
                <w:sz w:val="24"/>
                <w:szCs w:val="24"/>
                <w:lang w:val="sq-AL"/>
              </w:rPr>
              <w:t>E</w:t>
            </w:r>
            <w:r w:rsidRPr="00A27820">
              <w:rPr>
                <w:rFonts w:ascii="StobiSerif Regular" w:hAnsi="StobiSerif Regular"/>
                <w:color w:val="388600"/>
                <w:sz w:val="24"/>
                <w:szCs w:val="24"/>
              </w:rPr>
              <w:t xml:space="preserve"> pranueshme</w:t>
            </w:r>
            <w:r w:rsidR="00C71B06" w:rsidRPr="00A27820">
              <w:rPr>
                <w:rFonts w:ascii="StobiSerif Regular" w:hAnsi="StobiSerif Regular"/>
                <w:b/>
                <w:color w:val="00B050"/>
                <w:sz w:val="24"/>
                <w:szCs w:val="24"/>
              </w:rPr>
              <w:t>:</w:t>
            </w:r>
          </w:p>
        </w:tc>
        <w:tc>
          <w:tcPr>
            <w:tcW w:w="4678" w:type="dxa"/>
            <w:tcBorders>
              <w:top w:val="nil"/>
              <w:left w:val="single" w:sz="6" w:space="0" w:color="auto"/>
              <w:bottom w:val="single" w:sz="6" w:space="0" w:color="auto"/>
              <w:right w:val="nil"/>
            </w:tcBorders>
            <w:shd w:val="clear" w:color="auto" w:fill="FFFFFF"/>
          </w:tcPr>
          <w:p w14:paraId="6E070886" w14:textId="6461532A" w:rsidR="00C71B06" w:rsidRPr="00A27820" w:rsidRDefault="001E14E0" w:rsidP="002E69E5">
            <w:pPr>
              <w:shd w:val="clear" w:color="auto" w:fill="FFFFFF"/>
              <w:spacing w:before="120" w:after="120"/>
              <w:jc w:val="center"/>
              <w:rPr>
                <w:rFonts w:ascii="StobiSerif Regular" w:hAnsi="StobiSerif Regular"/>
                <w:sz w:val="24"/>
                <w:szCs w:val="24"/>
              </w:rPr>
            </w:pPr>
            <w:r w:rsidRPr="00A27820">
              <w:rPr>
                <w:rFonts w:ascii="StobiSerif Regular" w:hAnsi="StobiSerif Regular"/>
                <w:color w:val="EE0000"/>
                <w:sz w:val="24"/>
                <w:szCs w:val="24"/>
              </w:rPr>
              <w:t>Nuk është e pranueshme</w:t>
            </w:r>
            <w:r w:rsidRPr="00A27820">
              <w:rPr>
                <w:rFonts w:ascii="StobiSerif Regular" w:hAnsi="StobiSerif Regular"/>
                <w:b/>
                <w:color w:val="FF0000"/>
                <w:sz w:val="24"/>
                <w:szCs w:val="24"/>
              </w:rPr>
              <w:t>:</w:t>
            </w:r>
          </w:p>
        </w:tc>
      </w:tr>
      <w:tr w:rsidR="001E14E0" w:rsidRPr="00A27820" w14:paraId="01B2B7A3" w14:textId="77777777" w:rsidTr="00D165F6">
        <w:trPr>
          <w:trHeight w:val="2290"/>
        </w:trPr>
        <w:tc>
          <w:tcPr>
            <w:tcW w:w="4355" w:type="dxa"/>
            <w:tcBorders>
              <w:top w:val="single" w:sz="6" w:space="0" w:color="auto"/>
              <w:left w:val="nil"/>
              <w:right w:val="single" w:sz="6" w:space="0" w:color="auto"/>
            </w:tcBorders>
            <w:shd w:val="clear" w:color="auto" w:fill="FFFFFF"/>
          </w:tcPr>
          <w:p w14:paraId="78431573" w14:textId="77777777" w:rsidR="001E14E0" w:rsidRPr="00A27820" w:rsidRDefault="001E14E0" w:rsidP="001E14E0">
            <w:pPr>
              <w:shd w:val="clear" w:color="auto" w:fill="FFFFFF"/>
              <w:spacing w:before="120" w:after="120"/>
              <w:jc w:val="both"/>
              <w:rPr>
                <w:rFonts w:ascii="StobiSerif Regular" w:hAnsi="StobiSerif Regular"/>
                <w:sz w:val="24"/>
                <w:szCs w:val="24"/>
              </w:rPr>
            </w:pPr>
            <w:r w:rsidRPr="00A27820">
              <w:rPr>
                <w:rFonts w:ascii="StobiSerif Regular" w:hAnsi="StobiSerif Regular"/>
                <w:sz w:val="24"/>
                <w:szCs w:val="24"/>
              </w:rPr>
              <w:t>Ndihmë teknike e financuar nga BE-ja e cila siguron zhvillim të kapaciteteve në aspektin e njohurive dhe përvojës (për shembull, udhëzime për praktika më të mira) dhe/ose e cila plotësisht ose në masë të madhe kontribuon në përgatitjen e tekstit.</w:t>
            </w:r>
          </w:p>
          <w:p w14:paraId="6B226139" w14:textId="4F75E0EF" w:rsidR="001E14E0" w:rsidRPr="00A27820" w:rsidRDefault="001E14E0" w:rsidP="001E14E0">
            <w:pPr>
              <w:shd w:val="clear" w:color="auto" w:fill="FFFFFF"/>
              <w:spacing w:before="120" w:after="120"/>
              <w:jc w:val="both"/>
              <w:rPr>
                <w:rFonts w:ascii="StobiSerif Regular" w:hAnsi="StobiSerif Regular"/>
                <w:sz w:val="24"/>
                <w:szCs w:val="24"/>
              </w:rPr>
            </w:pPr>
          </w:p>
        </w:tc>
        <w:tc>
          <w:tcPr>
            <w:tcW w:w="4678" w:type="dxa"/>
            <w:tcBorders>
              <w:top w:val="single" w:sz="6" w:space="0" w:color="auto"/>
              <w:left w:val="single" w:sz="6" w:space="0" w:color="auto"/>
              <w:right w:val="nil"/>
            </w:tcBorders>
            <w:shd w:val="clear" w:color="auto" w:fill="FFFFFF"/>
          </w:tcPr>
          <w:p w14:paraId="5AE9E095" w14:textId="77777777" w:rsidR="001E14E0" w:rsidRPr="00A27820" w:rsidRDefault="001E14E0" w:rsidP="001E14E0">
            <w:pPr>
              <w:shd w:val="clear" w:color="auto" w:fill="FFFFFF"/>
              <w:spacing w:before="120" w:after="120"/>
              <w:jc w:val="both"/>
              <w:rPr>
                <w:rFonts w:ascii="StobiSerif Regular" w:hAnsi="StobiSerif Regular"/>
                <w:sz w:val="24"/>
                <w:szCs w:val="24"/>
              </w:rPr>
            </w:pPr>
            <w:r w:rsidRPr="00A27820">
              <w:rPr>
                <w:rFonts w:ascii="StobiSerif Regular" w:hAnsi="StobiSerif Regular"/>
                <w:b/>
                <w:bCs/>
                <w:i/>
                <w:iCs/>
                <w:sz w:val="24"/>
                <w:szCs w:val="24"/>
              </w:rPr>
              <w:t>Nuk është relevante [të gjitha masat për mbështetje janë të pranueshme</w:t>
            </w:r>
            <w:r w:rsidRPr="00A27820">
              <w:rPr>
                <w:rFonts w:ascii="StobiSerif Regular" w:hAnsi="StobiSerif Regular"/>
                <w:i/>
                <w:iCs/>
                <w:sz w:val="24"/>
                <w:szCs w:val="24"/>
              </w:rPr>
              <w:t>].</w:t>
            </w:r>
            <w:r w:rsidRPr="00A27820">
              <w:rPr>
                <w:rFonts w:ascii="StobiSerif Regular" w:hAnsi="StobiSerif Regular"/>
                <w:sz w:val="24"/>
                <w:szCs w:val="24"/>
              </w:rPr>
              <w:t xml:space="preserve"> Meqenëse asnjë ofrues i jashtëm i ndihmës nuk mund të zëvendësojë organet në vetë procesin e sjelljes, i cili bazohet në akt politik dhe mund të kyç hapa të cilat nuk përshifjnë vetëm hartimin e tekstit, siç janë konsultimet publike, vlerësimet e ndikimit, miratim nga Kuvendi, etj., nuk ekziston rreziku i financimit të dyfishtë.</w:t>
            </w:r>
          </w:p>
          <w:p w14:paraId="20F8BE8C" w14:textId="0BBFDF65" w:rsidR="001E14E0" w:rsidRPr="00A27820" w:rsidRDefault="001E14E0" w:rsidP="001E14E0">
            <w:pPr>
              <w:shd w:val="clear" w:color="auto" w:fill="FFFFFF"/>
              <w:spacing w:before="120" w:after="120"/>
              <w:jc w:val="both"/>
              <w:rPr>
                <w:rFonts w:ascii="StobiSerif Regular" w:hAnsi="StobiSerif Regular"/>
                <w:sz w:val="24"/>
                <w:szCs w:val="24"/>
              </w:rPr>
            </w:pPr>
          </w:p>
        </w:tc>
      </w:tr>
    </w:tbl>
    <w:p w14:paraId="6014C1CF" w14:textId="77777777" w:rsidR="001E14E0" w:rsidRPr="00A27820" w:rsidRDefault="001E14E0" w:rsidP="002E69E5">
      <w:pPr>
        <w:shd w:val="clear" w:color="auto" w:fill="FFFFFF"/>
        <w:spacing w:before="120" w:after="120"/>
        <w:ind w:left="567" w:hanging="425"/>
        <w:jc w:val="both"/>
        <w:rPr>
          <w:rFonts w:ascii="StobiSerif Regular" w:hAnsi="StobiSerif Regular"/>
          <w:b/>
          <w:color w:val="1F1F1F"/>
          <w:sz w:val="24"/>
          <w:szCs w:val="24"/>
          <w:lang w:val="sq-AL"/>
        </w:rPr>
      </w:pPr>
    </w:p>
    <w:p w14:paraId="42B23156" w14:textId="77777777" w:rsidR="001E14E0" w:rsidRPr="00A27820" w:rsidRDefault="001E14E0" w:rsidP="002E69E5">
      <w:pPr>
        <w:shd w:val="clear" w:color="auto" w:fill="FFFFFF"/>
        <w:spacing w:before="120" w:after="120"/>
        <w:ind w:left="567" w:hanging="425"/>
        <w:jc w:val="both"/>
        <w:rPr>
          <w:rFonts w:ascii="StobiSerif Regular" w:hAnsi="StobiSerif Regular"/>
          <w:b/>
          <w:color w:val="1F1F1F"/>
          <w:sz w:val="24"/>
          <w:szCs w:val="24"/>
          <w:lang w:val="sq-AL"/>
        </w:rPr>
      </w:pPr>
    </w:p>
    <w:p w14:paraId="3D797CBD" w14:textId="77777777" w:rsidR="001E14E0" w:rsidRPr="00A27820" w:rsidRDefault="001E14E0" w:rsidP="002E69E5">
      <w:pPr>
        <w:shd w:val="clear" w:color="auto" w:fill="FFFFFF"/>
        <w:spacing w:before="120" w:after="120"/>
        <w:ind w:left="567" w:hanging="425"/>
        <w:jc w:val="both"/>
        <w:rPr>
          <w:rFonts w:ascii="StobiSerif Regular" w:hAnsi="StobiSerif Regular"/>
          <w:b/>
          <w:color w:val="1F1F1F"/>
          <w:sz w:val="24"/>
          <w:szCs w:val="24"/>
          <w:lang w:val="sq-AL"/>
        </w:rPr>
      </w:pPr>
    </w:p>
    <w:p w14:paraId="0B387E75" w14:textId="77777777" w:rsidR="001E14E0" w:rsidRPr="00A27820" w:rsidRDefault="001E14E0" w:rsidP="002E69E5">
      <w:pPr>
        <w:shd w:val="clear" w:color="auto" w:fill="FFFFFF"/>
        <w:spacing w:before="120" w:after="120"/>
        <w:ind w:left="567" w:hanging="425"/>
        <w:jc w:val="both"/>
        <w:rPr>
          <w:rFonts w:ascii="StobiSerif Regular" w:hAnsi="StobiSerif Regular"/>
          <w:b/>
          <w:color w:val="1F1F1F"/>
          <w:sz w:val="24"/>
          <w:szCs w:val="24"/>
          <w:lang w:val="sq-AL"/>
        </w:rPr>
      </w:pPr>
    </w:p>
    <w:p w14:paraId="771A59D2" w14:textId="77777777" w:rsidR="001E14E0" w:rsidRPr="00A27820" w:rsidRDefault="001E14E0" w:rsidP="002E69E5">
      <w:pPr>
        <w:shd w:val="clear" w:color="auto" w:fill="FFFFFF"/>
        <w:spacing w:before="120" w:after="120"/>
        <w:ind w:left="567" w:hanging="425"/>
        <w:jc w:val="both"/>
        <w:rPr>
          <w:rFonts w:ascii="StobiSerif Regular" w:hAnsi="StobiSerif Regular"/>
          <w:b/>
          <w:color w:val="1F1F1F"/>
          <w:sz w:val="24"/>
          <w:szCs w:val="24"/>
          <w:lang w:val="sq-AL"/>
        </w:rPr>
      </w:pPr>
    </w:p>
    <w:p w14:paraId="2E881C06" w14:textId="77777777" w:rsidR="001E14E0" w:rsidRPr="00A27820" w:rsidRDefault="001E14E0" w:rsidP="001E14E0">
      <w:pPr>
        <w:shd w:val="clear" w:color="auto" w:fill="FFFFFF"/>
        <w:spacing w:before="120" w:after="120"/>
        <w:ind w:left="567" w:hanging="425"/>
        <w:jc w:val="both"/>
        <w:rPr>
          <w:rFonts w:ascii="StobiSerif Regular" w:hAnsi="StobiSerif Regular"/>
          <w:b/>
          <w:bCs/>
          <w:color w:val="000000"/>
          <w:sz w:val="24"/>
          <w:szCs w:val="24"/>
          <w:lang w:val="sq-AL"/>
        </w:rPr>
      </w:pPr>
      <w:r w:rsidRPr="00A27820">
        <w:rPr>
          <w:rFonts w:ascii="StobiSerif Regular" w:hAnsi="StobiSerif Regular"/>
          <w:b/>
          <w:color w:val="1F1F1F"/>
          <w:sz w:val="24"/>
          <w:szCs w:val="24"/>
        </w:rPr>
        <w:t>3.2</w:t>
      </w:r>
      <w:r w:rsidRPr="00A27820">
        <w:rPr>
          <w:rFonts w:ascii="StobiSerif Regular" w:hAnsi="StobiSerif Regular"/>
          <w:b/>
          <w:color w:val="1F1F1F"/>
          <w:sz w:val="24"/>
          <w:szCs w:val="24"/>
        </w:rPr>
        <w:tab/>
        <w:t xml:space="preserve"> </w:t>
      </w:r>
      <w:r w:rsidRPr="00A27820">
        <w:rPr>
          <w:rFonts w:ascii="StobiSerif Regular" w:hAnsi="StobiSerif Regular"/>
          <w:b/>
          <w:bCs/>
          <w:color w:val="000000"/>
          <w:sz w:val="24"/>
          <w:szCs w:val="24"/>
          <w:lang w:val="sq-AL"/>
        </w:rPr>
        <w:t>Dërgim i mallrave / prodhime (rezultate konkrete ose të prekshme nga proces</w:t>
      </w:r>
    </w:p>
    <w:p w14:paraId="36A7DC96" w14:textId="77777777" w:rsidR="001E14E0" w:rsidRPr="00A27820" w:rsidRDefault="001E14E0" w:rsidP="001E14E0">
      <w:pPr>
        <w:shd w:val="clear" w:color="auto" w:fill="FFFFFF"/>
        <w:spacing w:before="120" w:after="120"/>
        <w:ind w:left="567" w:hanging="425"/>
        <w:jc w:val="both"/>
        <w:rPr>
          <w:rFonts w:ascii="StobiSerif Regular" w:hAnsi="StobiSerif Regular"/>
          <w:sz w:val="24"/>
          <w:szCs w:val="24"/>
          <w:lang w:val="sq-AL"/>
        </w:rPr>
      </w:pPr>
      <w:r w:rsidRPr="00A27820">
        <w:rPr>
          <w:rFonts w:ascii="StobiSerif Regular" w:hAnsi="StobiSerif Regular"/>
          <w:b/>
          <w:bCs/>
          <w:color w:val="000000"/>
          <w:sz w:val="24"/>
          <w:szCs w:val="24"/>
          <w:lang w:val="sq-AL"/>
        </w:rPr>
        <w:t xml:space="preserve">    i dhënë, projekt ose veprim i cili përfaqësojnë rezultate jo të</w:t>
      </w:r>
      <w:r w:rsidRPr="00A27820">
        <w:rPr>
          <w:rFonts w:ascii="StobiSerif Regular" w:hAnsi="StobiSerif Regular"/>
          <w:b/>
          <w:bCs/>
          <w:color w:val="000000"/>
          <w:sz w:val="24"/>
          <w:szCs w:val="24"/>
        </w:rPr>
        <w:t xml:space="preserve"> drejtpërdrejta</w:t>
      </w:r>
      <w:r w:rsidRPr="00A27820">
        <w:rPr>
          <w:rFonts w:ascii="StobiSerif Regular" w:hAnsi="StobiSerif Regular"/>
          <w:b/>
          <w:bCs/>
          <w:color w:val="000000"/>
          <w:sz w:val="24"/>
          <w:szCs w:val="24"/>
          <w:lang w:val="sq-AL"/>
        </w:rPr>
        <w:t>).</w:t>
      </w:r>
      <w:r w:rsidRPr="00A27820">
        <w:rPr>
          <w:rFonts w:ascii="StobiSerif Regular" w:hAnsi="StobiSerif Regular"/>
          <w:color w:val="000000"/>
          <w:sz w:val="24"/>
          <w:szCs w:val="24"/>
          <w:lang w:val="sq-AL"/>
        </w:rPr>
        <w:br/>
      </w:r>
    </w:p>
    <w:p w14:paraId="60C62821" w14:textId="77777777" w:rsidR="001E14E0" w:rsidRPr="00A27820" w:rsidRDefault="001E14E0" w:rsidP="001E14E0">
      <w:pPr>
        <w:shd w:val="clear" w:color="auto" w:fill="FFFFFF"/>
        <w:spacing w:before="120" w:after="120"/>
        <w:ind w:left="567" w:hanging="425"/>
        <w:jc w:val="both"/>
        <w:rPr>
          <w:rFonts w:ascii="StobiSerif Regular" w:hAnsi="StobiSerif Regular"/>
          <w:sz w:val="24"/>
          <w:szCs w:val="24"/>
        </w:rPr>
      </w:pPr>
      <w:r w:rsidRPr="00A27820">
        <w:rPr>
          <w:rFonts w:ascii="StobiSerif Regular" w:hAnsi="StobiSerif Regular"/>
          <w:color w:val="000000"/>
          <w:sz w:val="24"/>
          <w:szCs w:val="24"/>
          <w:lang w:val="sq-AL"/>
        </w:rPr>
        <w:t xml:space="preserve">    Për shembull:</w:t>
      </w:r>
    </w:p>
    <w:p w14:paraId="2CFE5853" w14:textId="77777777" w:rsidR="001E14E0" w:rsidRPr="00A27820" w:rsidRDefault="001E14E0" w:rsidP="001E14E0">
      <w:pPr>
        <w:shd w:val="clear" w:color="auto" w:fill="FFFFFF"/>
        <w:spacing w:before="120" w:after="120"/>
        <w:ind w:left="720"/>
        <w:jc w:val="both"/>
        <w:rPr>
          <w:rFonts w:ascii="StobiSerif Regular" w:hAnsi="StobiSerif Regular"/>
          <w:color w:val="000000"/>
          <w:sz w:val="24"/>
          <w:szCs w:val="24"/>
          <w:lang w:val="sq-AL"/>
        </w:rPr>
      </w:pPr>
      <w:r w:rsidRPr="00A27820">
        <w:rPr>
          <w:rFonts w:ascii="StobiSerif Regular" w:hAnsi="StobiSerif Regular"/>
          <w:color w:val="000000"/>
          <w:sz w:val="24"/>
          <w:szCs w:val="24"/>
          <w:lang w:val="sq-AL"/>
        </w:rPr>
        <w:t>-4 qendra të reja rajonale për arsim profesional dhe trajnime (QATP), të cilat janë të rinovuara, të pajisura dhe plotësisht funksionale.</w:t>
      </w:r>
    </w:p>
    <w:p w14:paraId="7B48AFAB" w14:textId="77777777" w:rsidR="001E14E0" w:rsidRPr="00A27820" w:rsidRDefault="001E14E0" w:rsidP="006D4DFA">
      <w:pPr>
        <w:shd w:val="clear" w:color="auto" w:fill="FFFFFF"/>
        <w:spacing w:before="120" w:after="120"/>
        <w:ind w:left="709" w:hanging="283"/>
        <w:jc w:val="both"/>
        <w:rPr>
          <w:rFonts w:ascii="StobiSerif Regular" w:hAnsi="StobiSerif Regular"/>
          <w:sz w:val="24"/>
          <w:szCs w:val="24"/>
          <w:lang w:val="sq-AL"/>
        </w:rPr>
      </w:pPr>
    </w:p>
    <w:tbl>
      <w:tblPr>
        <w:tblW w:w="9087" w:type="dxa"/>
        <w:tblInd w:w="40" w:type="dxa"/>
        <w:tblLayout w:type="fixed"/>
        <w:tblCellMar>
          <w:left w:w="40" w:type="dxa"/>
          <w:right w:w="40" w:type="dxa"/>
        </w:tblCellMar>
        <w:tblLook w:val="0000" w:firstRow="0" w:lastRow="0" w:firstColumn="0" w:lastColumn="0" w:noHBand="0" w:noVBand="0"/>
      </w:tblPr>
      <w:tblGrid>
        <w:gridCol w:w="4355"/>
        <w:gridCol w:w="4732"/>
      </w:tblGrid>
      <w:tr w:rsidR="00C71B06" w:rsidRPr="00A27820" w14:paraId="5D8FB9B0" w14:textId="77777777" w:rsidTr="001A60A9">
        <w:trPr>
          <w:trHeight w:val="283"/>
        </w:trPr>
        <w:tc>
          <w:tcPr>
            <w:tcW w:w="4355" w:type="dxa"/>
            <w:tcBorders>
              <w:top w:val="nil"/>
              <w:left w:val="nil"/>
              <w:bottom w:val="single" w:sz="6" w:space="0" w:color="auto"/>
              <w:right w:val="single" w:sz="6" w:space="0" w:color="auto"/>
            </w:tcBorders>
            <w:shd w:val="clear" w:color="auto" w:fill="FFFFFF"/>
          </w:tcPr>
          <w:p w14:paraId="569F9F71" w14:textId="0349DD63" w:rsidR="00C71B06" w:rsidRPr="00A27820" w:rsidRDefault="001E14E0" w:rsidP="002E69E5">
            <w:pPr>
              <w:shd w:val="clear" w:color="auto" w:fill="FFFFFF"/>
              <w:spacing w:before="120" w:after="120"/>
              <w:jc w:val="center"/>
              <w:rPr>
                <w:rFonts w:ascii="StobiSerif Regular" w:hAnsi="StobiSerif Regular"/>
                <w:sz w:val="24"/>
                <w:szCs w:val="24"/>
              </w:rPr>
            </w:pPr>
            <w:r w:rsidRPr="00A27820">
              <w:rPr>
                <w:rFonts w:ascii="StobiSerif Regular" w:hAnsi="StobiSerif Regular"/>
                <w:color w:val="388600"/>
                <w:sz w:val="24"/>
                <w:szCs w:val="24"/>
                <w:lang w:val="sq-AL"/>
              </w:rPr>
              <w:lastRenderedPageBreak/>
              <w:t>E</w:t>
            </w:r>
            <w:r w:rsidRPr="00A27820">
              <w:rPr>
                <w:rFonts w:ascii="StobiSerif Regular" w:hAnsi="StobiSerif Regular"/>
                <w:color w:val="388600"/>
                <w:sz w:val="24"/>
                <w:szCs w:val="24"/>
              </w:rPr>
              <w:t xml:space="preserve"> pranueshme</w:t>
            </w:r>
            <w:r w:rsidRPr="00A27820">
              <w:rPr>
                <w:rFonts w:ascii="StobiSerif Regular" w:hAnsi="StobiSerif Regular"/>
                <w:b/>
                <w:color w:val="00B050"/>
                <w:sz w:val="24"/>
                <w:szCs w:val="24"/>
              </w:rPr>
              <w:t>:</w:t>
            </w:r>
          </w:p>
        </w:tc>
        <w:tc>
          <w:tcPr>
            <w:tcW w:w="4732" w:type="dxa"/>
            <w:tcBorders>
              <w:top w:val="nil"/>
              <w:left w:val="single" w:sz="6" w:space="0" w:color="auto"/>
              <w:bottom w:val="single" w:sz="6" w:space="0" w:color="auto"/>
              <w:right w:val="nil"/>
            </w:tcBorders>
            <w:shd w:val="clear" w:color="auto" w:fill="FFFFFF"/>
          </w:tcPr>
          <w:p w14:paraId="44B48CF0" w14:textId="6692BB96" w:rsidR="00C71B06" w:rsidRPr="00A27820" w:rsidRDefault="001E14E0" w:rsidP="002E69E5">
            <w:pPr>
              <w:shd w:val="clear" w:color="auto" w:fill="FFFFFF"/>
              <w:spacing w:before="120" w:after="120"/>
              <w:jc w:val="center"/>
              <w:rPr>
                <w:rFonts w:ascii="StobiSerif Regular" w:hAnsi="StobiSerif Regular"/>
                <w:sz w:val="24"/>
                <w:szCs w:val="24"/>
              </w:rPr>
            </w:pPr>
            <w:r w:rsidRPr="00A27820">
              <w:rPr>
                <w:rFonts w:ascii="StobiSerif Regular" w:hAnsi="StobiSerif Regular"/>
                <w:color w:val="EE0000"/>
                <w:sz w:val="24"/>
                <w:szCs w:val="24"/>
              </w:rPr>
              <w:t>Nuk është e pranueshme</w:t>
            </w:r>
            <w:r w:rsidRPr="00A27820">
              <w:rPr>
                <w:rFonts w:ascii="StobiSerif Regular" w:hAnsi="StobiSerif Regular"/>
                <w:b/>
                <w:color w:val="FF0000"/>
                <w:sz w:val="24"/>
                <w:szCs w:val="24"/>
              </w:rPr>
              <w:t>:</w:t>
            </w:r>
          </w:p>
        </w:tc>
      </w:tr>
      <w:tr w:rsidR="002E69E5" w:rsidRPr="00E15989" w14:paraId="074F0728" w14:textId="77777777" w:rsidTr="001A60A9">
        <w:trPr>
          <w:trHeight w:val="1987"/>
        </w:trPr>
        <w:tc>
          <w:tcPr>
            <w:tcW w:w="4355" w:type="dxa"/>
            <w:tcBorders>
              <w:top w:val="single" w:sz="6" w:space="0" w:color="auto"/>
              <w:left w:val="nil"/>
              <w:right w:val="single" w:sz="6" w:space="0" w:color="auto"/>
            </w:tcBorders>
            <w:shd w:val="clear" w:color="auto" w:fill="FFFFFF"/>
          </w:tcPr>
          <w:p w14:paraId="2499E06B" w14:textId="752C5F63" w:rsidR="001E14E0" w:rsidRPr="00E15989" w:rsidRDefault="001E14E0" w:rsidP="001E14E0">
            <w:pPr>
              <w:shd w:val="clear" w:color="auto" w:fill="FFFFFF"/>
              <w:spacing w:before="120" w:after="120"/>
              <w:jc w:val="both"/>
              <w:rPr>
                <w:rFonts w:ascii="StobiSerif Regular" w:hAnsi="StobiSerif Regular"/>
                <w:sz w:val="22"/>
                <w:szCs w:val="22"/>
              </w:rPr>
            </w:pPr>
            <w:r w:rsidRPr="00E15989">
              <w:rPr>
                <w:rFonts w:ascii="StobiSerif Regular" w:hAnsi="StobiSerif Regular"/>
                <w:sz w:val="22"/>
                <w:szCs w:val="22"/>
              </w:rPr>
              <w:t>Investime/donacione të pjesshme mund të sigurohen përmes veprimeve komplementare të BE-së / vendeve anëtare të BE-së / agjencive të BE-së / donatorëve të tjerë / ndihmës teknik, që të koordohet rinovimi i qendrave. Megjithatë, mbështetja nuk duhet ta dërgojë rezultatin i cili pritet në kuadër të hapit.</w:t>
            </w:r>
          </w:p>
          <w:p w14:paraId="6DD3815B" w14:textId="37892D41" w:rsidR="002E69E5" w:rsidRPr="00E15989" w:rsidRDefault="002E69E5" w:rsidP="00674959">
            <w:pPr>
              <w:shd w:val="clear" w:color="auto" w:fill="FFFFFF"/>
              <w:spacing w:before="120" w:after="120"/>
              <w:jc w:val="both"/>
              <w:rPr>
                <w:rFonts w:ascii="StobiSerif Regular" w:hAnsi="StobiSerif Regular"/>
                <w:sz w:val="22"/>
                <w:szCs w:val="22"/>
              </w:rPr>
            </w:pPr>
          </w:p>
        </w:tc>
        <w:tc>
          <w:tcPr>
            <w:tcW w:w="4732" w:type="dxa"/>
            <w:tcBorders>
              <w:top w:val="single" w:sz="6" w:space="0" w:color="auto"/>
              <w:left w:val="single" w:sz="6" w:space="0" w:color="auto"/>
              <w:right w:val="nil"/>
            </w:tcBorders>
            <w:shd w:val="clear" w:color="auto" w:fill="FFFFFF"/>
          </w:tcPr>
          <w:p w14:paraId="661679E4" w14:textId="284C1D99" w:rsidR="002E69E5" w:rsidRPr="00E15989" w:rsidRDefault="001E14E0" w:rsidP="00FA1C83">
            <w:pPr>
              <w:shd w:val="clear" w:color="auto" w:fill="FFFFFF"/>
              <w:spacing w:before="120" w:after="120"/>
              <w:jc w:val="both"/>
              <w:rPr>
                <w:rFonts w:ascii="StobiSerif Regular" w:hAnsi="StobiSerif Regular"/>
                <w:sz w:val="22"/>
                <w:szCs w:val="22"/>
              </w:rPr>
            </w:pPr>
            <w:r w:rsidRPr="00E15989">
              <w:rPr>
                <w:rFonts w:ascii="StobiSerif Regular" w:hAnsi="StobiSerif Regular"/>
                <w:sz w:val="22"/>
                <w:szCs w:val="22"/>
              </w:rPr>
              <w:t xml:space="preserve">Veprimet komplementare të BE-së </w:t>
            </w:r>
            <w:r w:rsidRPr="00E15989">
              <w:rPr>
                <w:rFonts w:ascii="StobiSerif Regular" w:hAnsi="StobiSerif Regular"/>
                <w:sz w:val="22"/>
                <w:szCs w:val="22"/>
                <w:lang w:val="sq-AL"/>
              </w:rPr>
              <w:t>dërgojnë</w:t>
            </w:r>
            <w:r w:rsidRPr="00E15989">
              <w:rPr>
                <w:rFonts w:ascii="StobiSerif Regular" w:hAnsi="StobiSerif Regular"/>
                <w:sz w:val="22"/>
                <w:szCs w:val="22"/>
              </w:rPr>
              <w:t xml:space="preserve"> rinovim të plotë dhe/ose pajisje për n</w:t>
            </w:r>
            <w:r w:rsidRPr="00E15989">
              <w:rPr>
                <w:rFonts w:ascii="StobiSerif Regular" w:hAnsi="StobiSerif Regular"/>
                <w:sz w:val="22"/>
                <w:szCs w:val="22"/>
                <w:lang w:val="sq-AL"/>
              </w:rPr>
              <w:t xml:space="preserve">jë </w:t>
            </w:r>
            <w:r w:rsidRPr="00E15989">
              <w:rPr>
                <w:rFonts w:ascii="StobiSerif Regular" w:hAnsi="StobiSerif Regular"/>
                <w:sz w:val="22"/>
                <w:szCs w:val="22"/>
              </w:rPr>
              <w:t xml:space="preserve">ose më shumë qendra, </w:t>
            </w:r>
            <w:r w:rsidRPr="00E15989">
              <w:rPr>
                <w:rFonts w:ascii="StobiSerif Regular" w:hAnsi="StobiSerif Regular"/>
                <w:sz w:val="22"/>
                <w:szCs w:val="22"/>
                <w:lang w:val="sq-AL"/>
              </w:rPr>
              <w:t>ndërsa</w:t>
            </w:r>
            <w:r w:rsidRPr="00E15989">
              <w:rPr>
                <w:rFonts w:ascii="StobiSerif Regular" w:hAnsi="StobiSerif Regular"/>
                <w:sz w:val="22"/>
                <w:szCs w:val="22"/>
              </w:rPr>
              <w:t xml:space="preserve"> organet e </w:t>
            </w:r>
            <w:r w:rsidRPr="00E15989">
              <w:rPr>
                <w:rFonts w:ascii="StobiSerif Regular" w:hAnsi="StobiSerif Regular"/>
                <w:sz w:val="22"/>
                <w:szCs w:val="22"/>
                <w:lang w:val="sq-AL"/>
              </w:rPr>
              <w:t>paraqesin</w:t>
            </w:r>
            <w:r w:rsidRPr="00E15989">
              <w:rPr>
                <w:rFonts w:ascii="StobiSerif Regular" w:hAnsi="StobiSerif Regular"/>
                <w:sz w:val="22"/>
                <w:szCs w:val="22"/>
              </w:rPr>
              <w:t xml:space="preserve"> këtë në </w:t>
            </w:r>
            <w:r w:rsidRPr="00E15989">
              <w:rPr>
                <w:rFonts w:ascii="StobiSerif Regular" w:hAnsi="StobiSerif Regular"/>
                <w:sz w:val="22"/>
                <w:szCs w:val="22"/>
                <w:lang w:val="sq-AL"/>
              </w:rPr>
              <w:t>pasqyrën tabelare</w:t>
            </w:r>
            <w:r w:rsidRPr="00E15989">
              <w:rPr>
                <w:rFonts w:ascii="StobiSerif Regular" w:hAnsi="StobiSerif Regular"/>
                <w:sz w:val="22"/>
                <w:szCs w:val="22"/>
              </w:rPr>
              <w:t xml:space="preserve"> </w:t>
            </w:r>
            <w:r w:rsidRPr="00E15989">
              <w:rPr>
                <w:rFonts w:ascii="StobiSerif Regular" w:hAnsi="StobiSerif Regular"/>
                <w:sz w:val="22"/>
                <w:szCs w:val="22"/>
                <w:lang w:val="sq-AL"/>
              </w:rPr>
              <w:t>të</w:t>
            </w:r>
            <w:r w:rsidRPr="00E15989">
              <w:rPr>
                <w:rFonts w:ascii="StobiSerif Regular" w:hAnsi="StobiSerif Regular"/>
                <w:sz w:val="22"/>
                <w:szCs w:val="22"/>
              </w:rPr>
              <w:t xml:space="preserve"> hapit, gjë që </w:t>
            </w:r>
            <w:r w:rsidRPr="00E15989">
              <w:rPr>
                <w:rFonts w:ascii="StobiSerif Regular" w:hAnsi="StobiSerif Regular"/>
                <w:sz w:val="22"/>
                <w:szCs w:val="22"/>
                <w:lang w:val="sq-AL"/>
              </w:rPr>
              <w:t>sjell</w:t>
            </w:r>
            <w:r w:rsidRPr="00E15989">
              <w:rPr>
                <w:rFonts w:ascii="StobiSerif Regular" w:hAnsi="StobiSerif Regular"/>
                <w:sz w:val="22"/>
                <w:szCs w:val="22"/>
              </w:rPr>
              <w:t xml:space="preserve"> </w:t>
            </w:r>
            <w:r w:rsidRPr="00E15989">
              <w:rPr>
                <w:rFonts w:ascii="StobiSerif Regular" w:hAnsi="StobiSerif Regular"/>
                <w:sz w:val="22"/>
                <w:szCs w:val="22"/>
                <w:lang w:val="sq-AL"/>
              </w:rPr>
              <w:t xml:space="preserve">deri te </w:t>
            </w:r>
            <w:r w:rsidRPr="00E15989">
              <w:rPr>
                <w:rFonts w:ascii="StobiSerif Regular" w:hAnsi="StobiSerif Regular"/>
                <w:sz w:val="22"/>
                <w:szCs w:val="22"/>
              </w:rPr>
              <w:t>rezultat</w:t>
            </w:r>
            <w:r w:rsidRPr="00E15989">
              <w:rPr>
                <w:rFonts w:ascii="StobiSerif Regular" w:hAnsi="StobiSerif Regular"/>
                <w:sz w:val="22"/>
                <w:szCs w:val="22"/>
                <w:lang w:val="sq-AL"/>
              </w:rPr>
              <w:t>i</w:t>
            </w:r>
            <w:r w:rsidRPr="00E15989">
              <w:rPr>
                <w:rFonts w:ascii="StobiSerif Regular" w:hAnsi="StobiSerif Regular"/>
                <w:sz w:val="22"/>
                <w:szCs w:val="22"/>
              </w:rPr>
              <w:t xml:space="preserve"> të llogaritet dy herë – nga njëra anë </w:t>
            </w:r>
            <w:r w:rsidRPr="00E15989">
              <w:rPr>
                <w:rFonts w:ascii="StobiSerif Regular" w:hAnsi="StobiSerif Regular"/>
                <w:sz w:val="22"/>
                <w:szCs w:val="22"/>
                <w:lang w:val="sq-AL"/>
              </w:rPr>
              <w:t>në kuadër të</w:t>
            </w:r>
            <w:r w:rsidRPr="00E15989">
              <w:rPr>
                <w:rFonts w:ascii="StobiSerif Regular" w:hAnsi="StobiSerif Regular"/>
                <w:sz w:val="22"/>
                <w:szCs w:val="22"/>
              </w:rPr>
              <w:t xml:space="preserve"> hapit, </w:t>
            </w:r>
            <w:r w:rsidRPr="00E15989">
              <w:rPr>
                <w:rFonts w:ascii="StobiSerif Regular" w:hAnsi="StobiSerif Regular"/>
                <w:sz w:val="22"/>
                <w:szCs w:val="22"/>
                <w:lang w:val="sq-AL"/>
              </w:rPr>
              <w:t>ndërsa</w:t>
            </w:r>
            <w:r w:rsidRPr="00E15989">
              <w:rPr>
                <w:rFonts w:ascii="StobiSerif Regular" w:hAnsi="StobiSerif Regular"/>
                <w:sz w:val="22"/>
                <w:szCs w:val="22"/>
              </w:rPr>
              <w:t xml:space="preserve"> nga ana tjetër </w:t>
            </w:r>
            <w:r w:rsidRPr="00E15989">
              <w:rPr>
                <w:rFonts w:ascii="StobiSerif Regular" w:hAnsi="StobiSerif Regular"/>
                <w:sz w:val="22"/>
                <w:szCs w:val="22"/>
                <w:lang w:val="sq-AL"/>
              </w:rPr>
              <w:t>në kuadër</w:t>
            </w:r>
            <w:r w:rsidRPr="00E15989">
              <w:rPr>
                <w:rFonts w:ascii="StobiSerif Regular" w:hAnsi="StobiSerif Regular"/>
                <w:sz w:val="22"/>
                <w:szCs w:val="22"/>
              </w:rPr>
              <w:t xml:space="preserve"> </w:t>
            </w:r>
            <w:r w:rsidRPr="00E15989">
              <w:rPr>
                <w:rFonts w:ascii="StobiSerif Regular" w:hAnsi="StobiSerif Regular"/>
                <w:sz w:val="22"/>
                <w:szCs w:val="22"/>
                <w:lang w:val="sq-AL"/>
              </w:rPr>
              <w:t xml:space="preserve">të </w:t>
            </w:r>
            <w:r w:rsidRPr="00E15989">
              <w:rPr>
                <w:rFonts w:ascii="StobiSerif Regular" w:hAnsi="StobiSerif Regular"/>
                <w:sz w:val="22"/>
                <w:szCs w:val="22"/>
              </w:rPr>
              <w:t>mbështetjes komplementare.</w:t>
            </w:r>
          </w:p>
        </w:tc>
      </w:tr>
    </w:tbl>
    <w:p w14:paraId="7DD24F83" w14:textId="2486F0F7" w:rsidR="00C71B06" w:rsidRPr="00E15989" w:rsidRDefault="001E14E0" w:rsidP="00803AFB">
      <w:pPr>
        <w:shd w:val="clear" w:color="auto" w:fill="FFFFFF"/>
        <w:spacing w:before="120" w:after="120"/>
        <w:jc w:val="both"/>
        <w:rPr>
          <w:rFonts w:ascii="StobiSerif Regular" w:hAnsi="StobiSerif Regular"/>
          <w:sz w:val="22"/>
          <w:szCs w:val="22"/>
          <w:lang w:val="sq-AL"/>
        </w:rPr>
      </w:pPr>
      <w:r w:rsidRPr="00E15989">
        <w:rPr>
          <w:rFonts w:ascii="StobiSerif Regular" w:hAnsi="StobiSerif Regular"/>
          <w:color w:val="000000"/>
          <w:sz w:val="22"/>
          <w:szCs w:val="22"/>
          <w:lang w:val="sq-AL"/>
        </w:rPr>
        <w:t>ose</w:t>
      </w:r>
    </w:p>
    <w:p w14:paraId="0C5D97EA" w14:textId="341173E9" w:rsidR="001E14E0" w:rsidRPr="00E15989" w:rsidRDefault="006D4DFA" w:rsidP="001E14E0">
      <w:pPr>
        <w:shd w:val="clear" w:color="auto" w:fill="FFFFFF"/>
        <w:spacing w:before="120" w:after="120"/>
        <w:ind w:left="709" w:hanging="283"/>
        <w:jc w:val="both"/>
        <w:rPr>
          <w:rFonts w:ascii="StobiSerif Regular" w:hAnsi="StobiSerif Regular"/>
          <w:sz w:val="22"/>
          <w:szCs w:val="22"/>
        </w:rPr>
      </w:pPr>
      <w:r w:rsidRPr="00E15989">
        <w:rPr>
          <w:rFonts w:ascii="StobiSerif Regular" w:hAnsi="StobiSerif Regular"/>
          <w:color w:val="000000"/>
          <w:sz w:val="22"/>
          <w:szCs w:val="22"/>
        </w:rPr>
        <w:t>-</w:t>
      </w:r>
      <w:r w:rsidRPr="00E15989">
        <w:rPr>
          <w:rFonts w:ascii="StobiSerif Regular" w:hAnsi="StobiSerif Regular"/>
          <w:color w:val="000000"/>
          <w:sz w:val="22"/>
          <w:szCs w:val="22"/>
        </w:rPr>
        <w:tab/>
      </w:r>
      <w:r w:rsidR="001E14E0" w:rsidRPr="00E15989">
        <w:rPr>
          <w:rFonts w:ascii="StobiSerif Regular" w:hAnsi="StobiSerif Regular"/>
          <w:color w:val="000000"/>
          <w:sz w:val="22"/>
          <w:szCs w:val="22"/>
        </w:rPr>
        <w:t>-</w:t>
      </w:r>
      <w:r w:rsidR="001E14E0" w:rsidRPr="00E15989">
        <w:rPr>
          <w:rFonts w:ascii="StobiSerif Regular" w:hAnsi="StobiSerif Regular"/>
          <w:sz w:val="22"/>
          <w:szCs w:val="22"/>
        </w:rPr>
        <w:t>Më së paku 0.8 GW kapacitete të reja për energji të ripërtritshme (solare dhe</w:t>
      </w:r>
      <w:r w:rsidR="001E14E0" w:rsidRPr="00E15989">
        <w:rPr>
          <w:rFonts w:ascii="StobiSerif Regular" w:hAnsi="StobiSerif Regular"/>
          <w:sz w:val="22"/>
          <w:szCs w:val="22"/>
          <w:lang w:val="sq-AL"/>
        </w:rPr>
        <w:t xml:space="preserve"> </w:t>
      </w:r>
      <w:r w:rsidR="001E14E0" w:rsidRPr="00E15989">
        <w:rPr>
          <w:rFonts w:ascii="StobiSerif Regular" w:hAnsi="StobiSerif Regular"/>
          <w:sz w:val="22"/>
          <w:szCs w:val="22"/>
        </w:rPr>
        <w:t>e erës) të instaluara në pajtim me Planin nacional për energji dhe klimë (PNEK) dhe objektivat e dakorduara në kuadrët të Bashkësisë Energjetike.</w:t>
      </w:r>
    </w:p>
    <w:tbl>
      <w:tblPr>
        <w:tblW w:w="9087" w:type="dxa"/>
        <w:tblInd w:w="40" w:type="dxa"/>
        <w:tblLayout w:type="fixed"/>
        <w:tblCellMar>
          <w:left w:w="40" w:type="dxa"/>
          <w:right w:w="40" w:type="dxa"/>
        </w:tblCellMar>
        <w:tblLook w:val="0000" w:firstRow="0" w:lastRow="0" w:firstColumn="0" w:lastColumn="0" w:noHBand="0" w:noVBand="0"/>
      </w:tblPr>
      <w:tblGrid>
        <w:gridCol w:w="4355"/>
        <w:gridCol w:w="4732"/>
      </w:tblGrid>
      <w:tr w:rsidR="00C71B06" w:rsidRPr="00E15989" w14:paraId="143A215E" w14:textId="77777777" w:rsidTr="00D165F6">
        <w:trPr>
          <w:trHeight w:val="283"/>
        </w:trPr>
        <w:tc>
          <w:tcPr>
            <w:tcW w:w="4355" w:type="dxa"/>
            <w:tcBorders>
              <w:top w:val="nil"/>
              <w:left w:val="nil"/>
              <w:bottom w:val="single" w:sz="6" w:space="0" w:color="auto"/>
              <w:right w:val="single" w:sz="6" w:space="0" w:color="auto"/>
            </w:tcBorders>
            <w:shd w:val="clear" w:color="auto" w:fill="FFFFFF"/>
          </w:tcPr>
          <w:p w14:paraId="4B5F1883" w14:textId="1CEE67DD" w:rsidR="00C71B06" w:rsidRPr="00E15989" w:rsidRDefault="001E14E0" w:rsidP="002E69E5">
            <w:pPr>
              <w:shd w:val="clear" w:color="auto" w:fill="FFFFFF"/>
              <w:spacing w:before="120" w:after="120"/>
              <w:jc w:val="center"/>
              <w:rPr>
                <w:rFonts w:ascii="StobiSerif Regular" w:hAnsi="StobiSerif Regular"/>
                <w:sz w:val="22"/>
                <w:szCs w:val="22"/>
              </w:rPr>
            </w:pPr>
            <w:r w:rsidRPr="00E15989">
              <w:rPr>
                <w:rFonts w:ascii="StobiSerif Regular" w:hAnsi="StobiSerif Regular"/>
                <w:color w:val="388600"/>
                <w:sz w:val="22"/>
                <w:szCs w:val="22"/>
                <w:lang w:val="sq-AL"/>
              </w:rPr>
              <w:t>E</w:t>
            </w:r>
            <w:r w:rsidRPr="00E15989">
              <w:rPr>
                <w:rFonts w:ascii="StobiSerif Regular" w:hAnsi="StobiSerif Regular"/>
                <w:color w:val="388600"/>
                <w:sz w:val="22"/>
                <w:szCs w:val="22"/>
              </w:rPr>
              <w:t xml:space="preserve"> pranueshme</w:t>
            </w:r>
            <w:r w:rsidRPr="00E15989">
              <w:rPr>
                <w:rFonts w:ascii="StobiSerif Regular" w:hAnsi="StobiSerif Regular"/>
                <w:b/>
                <w:color w:val="00B050"/>
                <w:sz w:val="22"/>
                <w:szCs w:val="22"/>
              </w:rPr>
              <w:t>:</w:t>
            </w:r>
          </w:p>
        </w:tc>
        <w:tc>
          <w:tcPr>
            <w:tcW w:w="4732" w:type="dxa"/>
            <w:tcBorders>
              <w:top w:val="nil"/>
              <w:left w:val="single" w:sz="6" w:space="0" w:color="auto"/>
              <w:bottom w:val="single" w:sz="6" w:space="0" w:color="auto"/>
              <w:right w:val="nil"/>
            </w:tcBorders>
            <w:shd w:val="clear" w:color="auto" w:fill="FFFFFF"/>
          </w:tcPr>
          <w:p w14:paraId="1A3C3E99" w14:textId="2D5DD570" w:rsidR="00C71B06" w:rsidRPr="00E15989" w:rsidRDefault="001E14E0" w:rsidP="002E69E5">
            <w:pPr>
              <w:shd w:val="clear" w:color="auto" w:fill="FFFFFF"/>
              <w:spacing w:before="120" w:after="120"/>
              <w:jc w:val="center"/>
              <w:rPr>
                <w:rFonts w:ascii="StobiSerif Regular" w:hAnsi="StobiSerif Regular"/>
                <w:sz w:val="22"/>
                <w:szCs w:val="22"/>
              </w:rPr>
            </w:pPr>
            <w:r w:rsidRPr="00E15989">
              <w:rPr>
                <w:rFonts w:ascii="StobiSerif Regular" w:hAnsi="StobiSerif Regular"/>
                <w:color w:val="EE0000"/>
                <w:sz w:val="22"/>
                <w:szCs w:val="22"/>
              </w:rPr>
              <w:t>Nuk është e pranueshme</w:t>
            </w:r>
            <w:r w:rsidRPr="00E15989">
              <w:rPr>
                <w:rFonts w:ascii="StobiSerif Regular" w:hAnsi="StobiSerif Regular"/>
                <w:b/>
                <w:color w:val="FF0000"/>
                <w:sz w:val="22"/>
                <w:szCs w:val="22"/>
              </w:rPr>
              <w:t>:</w:t>
            </w:r>
          </w:p>
        </w:tc>
      </w:tr>
      <w:tr w:rsidR="002E69E5" w:rsidRPr="00E15989" w14:paraId="1488E77C" w14:textId="77777777" w:rsidTr="00D165F6">
        <w:trPr>
          <w:trHeight w:val="269"/>
        </w:trPr>
        <w:tc>
          <w:tcPr>
            <w:tcW w:w="4355" w:type="dxa"/>
            <w:tcBorders>
              <w:top w:val="single" w:sz="6" w:space="0" w:color="auto"/>
              <w:left w:val="nil"/>
              <w:right w:val="single" w:sz="6" w:space="0" w:color="auto"/>
            </w:tcBorders>
            <w:shd w:val="clear" w:color="auto" w:fill="FFFFFF"/>
          </w:tcPr>
          <w:p w14:paraId="3E47D46F" w14:textId="77777777" w:rsidR="001E14E0" w:rsidRPr="00E15989" w:rsidRDefault="001E14E0" w:rsidP="001E14E0">
            <w:pPr>
              <w:shd w:val="clear" w:color="auto" w:fill="FFFFFF"/>
              <w:spacing w:before="120" w:after="120"/>
              <w:jc w:val="both"/>
              <w:rPr>
                <w:rFonts w:ascii="StobiSerif Regular" w:hAnsi="StobiSerif Regular"/>
                <w:sz w:val="22"/>
                <w:szCs w:val="22"/>
              </w:rPr>
            </w:pPr>
            <w:r w:rsidRPr="00E15989">
              <w:rPr>
                <w:rFonts w:ascii="StobiSerif Regular" w:hAnsi="StobiSerif Regular"/>
                <w:sz w:val="22"/>
                <w:szCs w:val="22"/>
              </w:rPr>
              <w:t>Mbështetja komplementare e financuar nga BE-ja siguron njohuri dhe përvojë / dizajn / trajnim për menaxhimin dhe mirëmbajtjen e sistemeve të energjisë së ripërtritshme (ER-së).</w:t>
            </w:r>
          </w:p>
          <w:p w14:paraId="151EC5F4" w14:textId="3FC9DD9E" w:rsidR="002E69E5" w:rsidRPr="00E15989" w:rsidRDefault="002E69E5" w:rsidP="00803AFB">
            <w:pPr>
              <w:shd w:val="clear" w:color="auto" w:fill="FFFFFF"/>
              <w:spacing w:before="120" w:after="120"/>
              <w:jc w:val="both"/>
              <w:rPr>
                <w:rFonts w:ascii="StobiSerif Regular" w:hAnsi="StobiSerif Regular"/>
                <w:sz w:val="22"/>
                <w:szCs w:val="22"/>
              </w:rPr>
            </w:pPr>
          </w:p>
        </w:tc>
        <w:tc>
          <w:tcPr>
            <w:tcW w:w="4732" w:type="dxa"/>
            <w:tcBorders>
              <w:top w:val="single" w:sz="6" w:space="0" w:color="auto"/>
              <w:left w:val="single" w:sz="6" w:space="0" w:color="auto"/>
              <w:right w:val="nil"/>
            </w:tcBorders>
            <w:shd w:val="clear" w:color="auto" w:fill="FFFFFF"/>
          </w:tcPr>
          <w:p w14:paraId="589CDAF6" w14:textId="79D6CE9F" w:rsidR="002E69E5" w:rsidRPr="00E15989" w:rsidRDefault="001E14E0" w:rsidP="00803AFB">
            <w:pPr>
              <w:shd w:val="clear" w:color="auto" w:fill="FFFFFF"/>
              <w:spacing w:before="120" w:after="120"/>
              <w:jc w:val="both"/>
              <w:rPr>
                <w:rFonts w:ascii="StobiSerif Regular" w:hAnsi="StobiSerif Regular"/>
                <w:sz w:val="22"/>
                <w:szCs w:val="22"/>
              </w:rPr>
            </w:pPr>
            <w:r w:rsidRPr="00E15989">
              <w:rPr>
                <w:rFonts w:ascii="StobiSerif Regular" w:hAnsi="StobiSerif Regular"/>
                <w:sz w:val="22"/>
                <w:szCs w:val="22"/>
              </w:rPr>
              <w:t>Pajisj</w:t>
            </w:r>
            <w:r w:rsidRPr="00E15989">
              <w:rPr>
                <w:rFonts w:ascii="StobiSerif Regular" w:hAnsi="StobiSerif Regular"/>
                <w:sz w:val="22"/>
                <w:szCs w:val="22"/>
                <w:lang w:val="sq-AL"/>
              </w:rPr>
              <w:t>a</w:t>
            </w:r>
            <w:r w:rsidRPr="00E15989">
              <w:rPr>
                <w:rFonts w:ascii="StobiSerif Regular" w:hAnsi="StobiSerif Regular"/>
                <w:sz w:val="22"/>
                <w:szCs w:val="22"/>
              </w:rPr>
              <w:t xml:space="preserve"> për ER</w:t>
            </w:r>
            <w:r w:rsidRPr="00E15989">
              <w:rPr>
                <w:rFonts w:ascii="StobiSerif Regular" w:hAnsi="StobiSerif Regular"/>
                <w:sz w:val="22"/>
                <w:szCs w:val="22"/>
                <w:lang w:val="sq-AL"/>
              </w:rPr>
              <w:t>-në</w:t>
            </w:r>
            <w:r w:rsidRPr="00E15989">
              <w:rPr>
                <w:rFonts w:ascii="StobiSerif Regular" w:hAnsi="StobiSerif Regular"/>
                <w:sz w:val="22"/>
                <w:szCs w:val="22"/>
              </w:rPr>
              <w:t xml:space="preserve"> dhe instalimi </w:t>
            </w:r>
            <w:r w:rsidRPr="00E15989">
              <w:rPr>
                <w:rFonts w:ascii="StobiSerif Regular" w:hAnsi="StobiSerif Regular"/>
                <w:sz w:val="22"/>
                <w:szCs w:val="22"/>
                <w:lang w:val="sq-AL"/>
              </w:rPr>
              <w:t>prokurohen</w:t>
            </w:r>
            <w:r w:rsidRPr="00E15989">
              <w:rPr>
                <w:rFonts w:ascii="StobiSerif Regular" w:hAnsi="StobiSerif Regular"/>
                <w:sz w:val="22"/>
                <w:szCs w:val="22"/>
              </w:rPr>
              <w:t xml:space="preserve"> dhe instalohen përmes veprimeve komplementare të BE-së.</w:t>
            </w:r>
          </w:p>
        </w:tc>
      </w:tr>
    </w:tbl>
    <w:p w14:paraId="63254AE6" w14:textId="3B59F4E7" w:rsidR="00C71B06" w:rsidRPr="00E15989" w:rsidRDefault="001E14E0" w:rsidP="00803AFB">
      <w:pPr>
        <w:shd w:val="clear" w:color="auto" w:fill="FFFFFF"/>
        <w:spacing w:before="120" w:after="120"/>
        <w:jc w:val="both"/>
        <w:rPr>
          <w:rFonts w:ascii="StobiSerif Regular" w:hAnsi="StobiSerif Regular"/>
          <w:sz w:val="22"/>
          <w:szCs w:val="22"/>
          <w:lang w:val="sq-AL"/>
        </w:rPr>
      </w:pPr>
      <w:r w:rsidRPr="00E15989">
        <w:rPr>
          <w:rFonts w:ascii="StobiSerif Regular" w:hAnsi="StobiSerif Regular"/>
          <w:color w:val="000000"/>
          <w:sz w:val="22"/>
          <w:szCs w:val="22"/>
          <w:lang w:val="sq-AL"/>
        </w:rPr>
        <w:t>ose</w:t>
      </w:r>
    </w:p>
    <w:p w14:paraId="28B74501" w14:textId="1599290C" w:rsidR="00C71B06" w:rsidRPr="00E15989" w:rsidRDefault="006D4DFA" w:rsidP="006D4DFA">
      <w:pPr>
        <w:shd w:val="clear" w:color="auto" w:fill="FFFFFF"/>
        <w:spacing w:before="120" w:after="120"/>
        <w:ind w:left="709" w:hanging="283"/>
        <w:jc w:val="both"/>
        <w:rPr>
          <w:rFonts w:ascii="StobiSerif Regular" w:hAnsi="StobiSerif Regular"/>
          <w:sz w:val="22"/>
          <w:szCs w:val="22"/>
        </w:rPr>
      </w:pPr>
      <w:r w:rsidRPr="00E15989">
        <w:rPr>
          <w:rFonts w:ascii="StobiSerif Regular" w:hAnsi="StobiSerif Regular"/>
          <w:color w:val="000000"/>
          <w:sz w:val="22"/>
          <w:szCs w:val="22"/>
        </w:rPr>
        <w:t>-</w:t>
      </w:r>
      <w:r w:rsidRPr="00E15989">
        <w:rPr>
          <w:rFonts w:ascii="StobiSerif Regular" w:hAnsi="StobiSerif Regular"/>
          <w:color w:val="000000"/>
          <w:sz w:val="22"/>
          <w:szCs w:val="22"/>
        </w:rPr>
        <w:tab/>
      </w:r>
      <w:r w:rsidR="001E14E0" w:rsidRPr="00E15989">
        <w:rPr>
          <w:rFonts w:ascii="StobiSerif Regular" w:hAnsi="StobiSerif Regular"/>
          <w:sz w:val="22"/>
          <w:szCs w:val="22"/>
        </w:rPr>
        <w:t>Kornizat e vendosura me harmonizimin me Direktivën NIS 2 (korniza për zbulimin e koordinuar të cenueshmërisë – KZC (CVD), korniza për menaxhim me krizav) janë të vendosura dhe funksionale.</w:t>
      </w:r>
    </w:p>
    <w:tbl>
      <w:tblPr>
        <w:tblW w:w="9087" w:type="dxa"/>
        <w:tblInd w:w="40" w:type="dxa"/>
        <w:tblLayout w:type="fixed"/>
        <w:tblCellMar>
          <w:left w:w="40" w:type="dxa"/>
          <w:right w:w="40" w:type="dxa"/>
        </w:tblCellMar>
        <w:tblLook w:val="0000" w:firstRow="0" w:lastRow="0" w:firstColumn="0" w:lastColumn="0" w:noHBand="0" w:noVBand="0"/>
      </w:tblPr>
      <w:tblGrid>
        <w:gridCol w:w="4355"/>
        <w:gridCol w:w="4732"/>
      </w:tblGrid>
      <w:tr w:rsidR="00C71B06" w:rsidRPr="00E15989" w14:paraId="6134C439" w14:textId="77777777" w:rsidTr="00D165F6">
        <w:trPr>
          <w:trHeight w:val="288"/>
        </w:trPr>
        <w:tc>
          <w:tcPr>
            <w:tcW w:w="4355" w:type="dxa"/>
            <w:tcBorders>
              <w:top w:val="nil"/>
              <w:left w:val="nil"/>
              <w:bottom w:val="single" w:sz="6" w:space="0" w:color="auto"/>
              <w:right w:val="single" w:sz="6" w:space="0" w:color="auto"/>
            </w:tcBorders>
            <w:shd w:val="clear" w:color="auto" w:fill="FFFFFF"/>
          </w:tcPr>
          <w:p w14:paraId="19DEFCF9" w14:textId="3EE92269" w:rsidR="00C71B06" w:rsidRPr="00E15989" w:rsidRDefault="001E14E0" w:rsidP="002E69E5">
            <w:pPr>
              <w:shd w:val="clear" w:color="auto" w:fill="FFFFFF"/>
              <w:spacing w:before="120" w:after="120"/>
              <w:jc w:val="center"/>
              <w:rPr>
                <w:rFonts w:ascii="StobiSerif Regular" w:hAnsi="StobiSerif Regular"/>
                <w:sz w:val="22"/>
                <w:szCs w:val="22"/>
              </w:rPr>
            </w:pPr>
            <w:r w:rsidRPr="00E15989">
              <w:rPr>
                <w:rFonts w:ascii="StobiSerif Regular" w:hAnsi="StobiSerif Regular"/>
                <w:color w:val="388600"/>
                <w:sz w:val="22"/>
                <w:szCs w:val="22"/>
                <w:lang w:val="sq-AL"/>
              </w:rPr>
              <w:t>E</w:t>
            </w:r>
            <w:r w:rsidRPr="00E15989">
              <w:rPr>
                <w:rFonts w:ascii="StobiSerif Regular" w:hAnsi="StobiSerif Regular"/>
                <w:color w:val="388600"/>
                <w:sz w:val="22"/>
                <w:szCs w:val="22"/>
              </w:rPr>
              <w:t xml:space="preserve"> pranueshme</w:t>
            </w:r>
            <w:r w:rsidRPr="00E15989">
              <w:rPr>
                <w:rFonts w:ascii="StobiSerif Regular" w:hAnsi="StobiSerif Regular"/>
                <w:b/>
                <w:color w:val="00B050"/>
                <w:sz w:val="22"/>
                <w:szCs w:val="22"/>
              </w:rPr>
              <w:t>:</w:t>
            </w:r>
          </w:p>
        </w:tc>
        <w:tc>
          <w:tcPr>
            <w:tcW w:w="4732" w:type="dxa"/>
            <w:tcBorders>
              <w:top w:val="nil"/>
              <w:left w:val="single" w:sz="6" w:space="0" w:color="auto"/>
              <w:bottom w:val="single" w:sz="6" w:space="0" w:color="auto"/>
              <w:right w:val="nil"/>
            </w:tcBorders>
            <w:shd w:val="clear" w:color="auto" w:fill="FFFFFF"/>
          </w:tcPr>
          <w:p w14:paraId="1A9BAC7C" w14:textId="4122CC2B" w:rsidR="00C71B06" w:rsidRPr="00E15989" w:rsidRDefault="001E14E0" w:rsidP="002E69E5">
            <w:pPr>
              <w:shd w:val="clear" w:color="auto" w:fill="FFFFFF"/>
              <w:spacing w:before="120" w:after="120"/>
              <w:jc w:val="center"/>
              <w:rPr>
                <w:rFonts w:ascii="StobiSerif Regular" w:hAnsi="StobiSerif Regular"/>
                <w:sz w:val="22"/>
                <w:szCs w:val="22"/>
              </w:rPr>
            </w:pPr>
            <w:r w:rsidRPr="00E15989">
              <w:rPr>
                <w:rFonts w:ascii="StobiSerif Regular" w:hAnsi="StobiSerif Regular"/>
                <w:color w:val="EE0000"/>
                <w:sz w:val="22"/>
                <w:szCs w:val="22"/>
              </w:rPr>
              <w:t>Nuk është e pranueshme</w:t>
            </w:r>
            <w:r w:rsidRPr="00E15989">
              <w:rPr>
                <w:rFonts w:ascii="StobiSerif Regular" w:hAnsi="StobiSerif Regular"/>
                <w:b/>
                <w:color w:val="FF0000"/>
                <w:sz w:val="22"/>
                <w:szCs w:val="22"/>
              </w:rPr>
              <w:t>:</w:t>
            </w:r>
          </w:p>
        </w:tc>
      </w:tr>
      <w:tr w:rsidR="00C71B06" w:rsidRPr="00E15989" w14:paraId="2AFE8168" w14:textId="77777777" w:rsidTr="00D165F6">
        <w:trPr>
          <w:trHeight w:val="787"/>
        </w:trPr>
        <w:tc>
          <w:tcPr>
            <w:tcW w:w="4355" w:type="dxa"/>
            <w:tcBorders>
              <w:top w:val="single" w:sz="6" w:space="0" w:color="auto"/>
              <w:left w:val="nil"/>
              <w:bottom w:val="nil"/>
              <w:right w:val="single" w:sz="6" w:space="0" w:color="auto"/>
            </w:tcBorders>
            <w:shd w:val="clear" w:color="auto" w:fill="FFFFFF"/>
          </w:tcPr>
          <w:p w14:paraId="40589ADE" w14:textId="23C21FB9" w:rsidR="00C71B06" w:rsidRPr="00E15989" w:rsidRDefault="001E14E0" w:rsidP="0053105B">
            <w:pPr>
              <w:shd w:val="clear" w:color="auto" w:fill="FFFFFF"/>
              <w:spacing w:before="120" w:after="120"/>
              <w:jc w:val="both"/>
              <w:rPr>
                <w:rFonts w:ascii="StobiSerif Regular" w:hAnsi="StobiSerif Regular"/>
                <w:sz w:val="22"/>
                <w:szCs w:val="22"/>
              </w:rPr>
            </w:pPr>
            <w:r w:rsidRPr="00E15989">
              <w:rPr>
                <w:rFonts w:ascii="StobiSerif Regular" w:hAnsi="StobiSerif Regular"/>
                <w:sz w:val="22"/>
                <w:szCs w:val="22"/>
              </w:rPr>
              <w:t>Ndihma teknike e financuar nga BE-ja i mbështet organet në zhvillimin e kornizave, duke siguruar zhvillim të kapaciteteve, praktika më të mira, etj.</w:t>
            </w:r>
          </w:p>
        </w:tc>
        <w:tc>
          <w:tcPr>
            <w:tcW w:w="4732" w:type="dxa"/>
            <w:tcBorders>
              <w:top w:val="single" w:sz="6" w:space="0" w:color="auto"/>
              <w:left w:val="single" w:sz="6" w:space="0" w:color="auto"/>
              <w:bottom w:val="nil"/>
              <w:right w:val="nil"/>
            </w:tcBorders>
            <w:shd w:val="clear" w:color="auto" w:fill="FFFFFF"/>
          </w:tcPr>
          <w:p w14:paraId="223A2086" w14:textId="7766BB93" w:rsidR="00C71B06" w:rsidRPr="00E15989" w:rsidRDefault="001E14E0" w:rsidP="00803AFB">
            <w:pPr>
              <w:shd w:val="clear" w:color="auto" w:fill="FFFFFF"/>
              <w:spacing w:before="120" w:after="120"/>
              <w:jc w:val="both"/>
              <w:rPr>
                <w:rFonts w:ascii="StobiSerif Regular" w:hAnsi="StobiSerif Regular"/>
                <w:sz w:val="22"/>
                <w:szCs w:val="22"/>
              </w:rPr>
            </w:pPr>
            <w:r w:rsidRPr="00E15989">
              <w:rPr>
                <w:rFonts w:ascii="StobiSerif Regular" w:hAnsi="StobiSerif Regular"/>
                <w:color w:val="000000"/>
                <w:sz w:val="22"/>
                <w:szCs w:val="22"/>
              </w:rPr>
              <w:t>Ndihma komplementare e financuar nga BE-ja siguron k</w:t>
            </w:r>
            <w:r w:rsidRPr="00E15989">
              <w:rPr>
                <w:rFonts w:ascii="StobiSerif Regular" w:hAnsi="StobiSerif Regular"/>
                <w:color w:val="000000"/>
                <w:sz w:val="22"/>
                <w:szCs w:val="22"/>
                <w:lang w:val="sq-AL"/>
              </w:rPr>
              <w:t>orniza</w:t>
            </w:r>
            <w:r w:rsidRPr="00E15989">
              <w:rPr>
                <w:rFonts w:ascii="StobiSerif Regular" w:hAnsi="StobiSerif Regular"/>
                <w:color w:val="000000"/>
                <w:sz w:val="22"/>
                <w:szCs w:val="22"/>
              </w:rPr>
              <w:t xml:space="preserve"> të përgatitura paraprakisht.</w:t>
            </w:r>
          </w:p>
        </w:tc>
      </w:tr>
    </w:tbl>
    <w:p w14:paraId="00B74CA0" w14:textId="4C7F374F" w:rsidR="00C71B06" w:rsidRPr="00DA0383" w:rsidRDefault="00DA0383" w:rsidP="00803AFB">
      <w:pPr>
        <w:shd w:val="clear" w:color="auto" w:fill="FFFFFF"/>
        <w:spacing w:before="120" w:after="120"/>
        <w:jc w:val="both"/>
        <w:rPr>
          <w:rFonts w:ascii="StobiSerif Regular" w:hAnsi="StobiSerif Regular"/>
          <w:sz w:val="22"/>
          <w:szCs w:val="22"/>
          <w:lang w:val="sq-AL"/>
        </w:rPr>
      </w:pPr>
      <w:r>
        <w:rPr>
          <w:rFonts w:ascii="StobiSerif Regular" w:hAnsi="StobiSerif Regular"/>
          <w:color w:val="000000"/>
          <w:sz w:val="22"/>
          <w:szCs w:val="22"/>
          <w:lang w:val="sq-AL"/>
        </w:rPr>
        <w:t>ose</w:t>
      </w:r>
    </w:p>
    <w:p w14:paraId="13034170" w14:textId="6109241F" w:rsidR="00C71B06" w:rsidRPr="00E15989" w:rsidRDefault="006D4DFA" w:rsidP="006D4DFA">
      <w:pPr>
        <w:shd w:val="clear" w:color="auto" w:fill="FFFFFF"/>
        <w:spacing w:before="120" w:after="120"/>
        <w:ind w:left="709" w:hanging="283"/>
        <w:jc w:val="both"/>
        <w:rPr>
          <w:rFonts w:ascii="StobiSerif Regular" w:hAnsi="StobiSerif Regular"/>
          <w:sz w:val="22"/>
          <w:szCs w:val="22"/>
        </w:rPr>
      </w:pPr>
      <w:r w:rsidRPr="00E15989">
        <w:rPr>
          <w:rFonts w:ascii="StobiSerif Regular" w:hAnsi="StobiSerif Regular"/>
          <w:sz w:val="22"/>
          <w:szCs w:val="22"/>
        </w:rPr>
        <w:t>-</w:t>
      </w:r>
      <w:r w:rsidRPr="00E15989">
        <w:rPr>
          <w:rFonts w:ascii="StobiSerif Regular" w:hAnsi="StobiSerif Regular"/>
          <w:sz w:val="22"/>
          <w:szCs w:val="22"/>
        </w:rPr>
        <w:tab/>
      </w:r>
      <w:r w:rsidR="001E14E0" w:rsidRPr="00E15989">
        <w:rPr>
          <w:rFonts w:ascii="StobiSerif Regular" w:hAnsi="StobiSerif Regular"/>
          <w:sz w:val="22"/>
          <w:szCs w:val="22"/>
        </w:rPr>
        <w:t>Sistemi për e-Tregun</w:t>
      </w:r>
      <w:r w:rsidR="001E14E0" w:rsidRPr="00E15989">
        <w:rPr>
          <w:rFonts w:ascii="StobiSerif Regular" w:hAnsi="StobiSerif Regular"/>
          <w:sz w:val="22"/>
          <w:szCs w:val="22"/>
          <w:lang w:val="sq-AL"/>
        </w:rPr>
        <w:t xml:space="preserve"> (tregun elektronik)</w:t>
      </w:r>
      <w:r w:rsidR="001E14E0" w:rsidRPr="00E15989">
        <w:rPr>
          <w:rFonts w:ascii="StobiSerif Regular" w:hAnsi="StobiSerif Regular"/>
          <w:sz w:val="22"/>
          <w:szCs w:val="22"/>
        </w:rPr>
        <w:t xml:space="preserve"> shfrytëzohet për ndarjen e të paktën 800 procedurave  tenderiale në vitin fiskal 2026.</w:t>
      </w:r>
    </w:p>
    <w:tbl>
      <w:tblPr>
        <w:tblW w:w="9100" w:type="dxa"/>
        <w:tblInd w:w="40" w:type="dxa"/>
        <w:tblLayout w:type="fixed"/>
        <w:tblCellMar>
          <w:left w:w="40" w:type="dxa"/>
          <w:right w:w="40" w:type="dxa"/>
        </w:tblCellMar>
        <w:tblLook w:val="0000" w:firstRow="0" w:lastRow="0" w:firstColumn="0" w:lastColumn="0" w:noHBand="0" w:noVBand="0"/>
      </w:tblPr>
      <w:tblGrid>
        <w:gridCol w:w="4355"/>
        <w:gridCol w:w="4745"/>
      </w:tblGrid>
      <w:tr w:rsidR="00C71B06" w:rsidRPr="00E15989" w14:paraId="42E711B1" w14:textId="77777777" w:rsidTr="00D165F6">
        <w:trPr>
          <w:trHeight w:val="236"/>
        </w:trPr>
        <w:tc>
          <w:tcPr>
            <w:tcW w:w="4355" w:type="dxa"/>
            <w:tcBorders>
              <w:top w:val="nil"/>
              <w:left w:val="nil"/>
              <w:bottom w:val="single" w:sz="6" w:space="0" w:color="auto"/>
              <w:right w:val="single" w:sz="6" w:space="0" w:color="auto"/>
            </w:tcBorders>
            <w:shd w:val="clear" w:color="auto" w:fill="FFFFFF"/>
          </w:tcPr>
          <w:p w14:paraId="7EF218B6" w14:textId="3D5AAF3D" w:rsidR="00C71B06" w:rsidRPr="00E15989" w:rsidRDefault="001E14E0" w:rsidP="002E69E5">
            <w:pPr>
              <w:shd w:val="clear" w:color="auto" w:fill="FFFFFF"/>
              <w:spacing w:before="120" w:after="120"/>
              <w:jc w:val="center"/>
              <w:rPr>
                <w:rFonts w:ascii="StobiSerif Regular" w:hAnsi="StobiSerif Regular"/>
                <w:sz w:val="22"/>
                <w:szCs w:val="22"/>
              </w:rPr>
            </w:pPr>
            <w:r w:rsidRPr="00E15989">
              <w:rPr>
                <w:rFonts w:ascii="StobiSerif Regular" w:hAnsi="StobiSerif Regular"/>
                <w:color w:val="388600"/>
                <w:sz w:val="22"/>
                <w:szCs w:val="22"/>
                <w:lang w:val="sq-AL"/>
              </w:rPr>
              <w:t>E</w:t>
            </w:r>
            <w:r w:rsidRPr="00E15989">
              <w:rPr>
                <w:rFonts w:ascii="StobiSerif Regular" w:hAnsi="StobiSerif Regular"/>
                <w:color w:val="388600"/>
                <w:sz w:val="22"/>
                <w:szCs w:val="22"/>
              </w:rPr>
              <w:t xml:space="preserve"> pranueshme</w:t>
            </w:r>
            <w:r w:rsidRPr="00E15989">
              <w:rPr>
                <w:rFonts w:ascii="StobiSerif Regular" w:hAnsi="StobiSerif Regular"/>
                <w:b/>
                <w:color w:val="00B050"/>
                <w:sz w:val="22"/>
                <w:szCs w:val="22"/>
              </w:rPr>
              <w:t>:</w:t>
            </w:r>
          </w:p>
        </w:tc>
        <w:tc>
          <w:tcPr>
            <w:tcW w:w="4745" w:type="dxa"/>
            <w:tcBorders>
              <w:top w:val="nil"/>
              <w:left w:val="single" w:sz="6" w:space="0" w:color="auto"/>
              <w:bottom w:val="single" w:sz="6" w:space="0" w:color="auto"/>
              <w:right w:val="nil"/>
            </w:tcBorders>
            <w:shd w:val="clear" w:color="auto" w:fill="FFFFFF"/>
          </w:tcPr>
          <w:p w14:paraId="28AAFE35" w14:textId="14F37A25" w:rsidR="00C71B06" w:rsidRPr="00E15989" w:rsidRDefault="001E14E0" w:rsidP="002E69E5">
            <w:pPr>
              <w:shd w:val="clear" w:color="auto" w:fill="FFFFFF"/>
              <w:spacing w:before="120" w:after="120"/>
              <w:jc w:val="center"/>
              <w:rPr>
                <w:rFonts w:ascii="StobiSerif Regular" w:hAnsi="StobiSerif Regular"/>
                <w:sz w:val="22"/>
                <w:szCs w:val="22"/>
                <w:lang w:val="sq-AL"/>
              </w:rPr>
            </w:pPr>
            <w:r w:rsidRPr="00E15989">
              <w:rPr>
                <w:rFonts w:ascii="StobiSerif Regular" w:hAnsi="StobiSerif Regular"/>
                <w:color w:val="EE0000"/>
                <w:sz w:val="22"/>
                <w:szCs w:val="22"/>
              </w:rPr>
              <w:t>Nuk është e pranueshme</w:t>
            </w:r>
            <w:r w:rsidRPr="00E15989">
              <w:rPr>
                <w:rFonts w:ascii="StobiSerif Regular" w:hAnsi="StobiSerif Regular"/>
                <w:b/>
                <w:color w:val="FF0000"/>
                <w:sz w:val="22"/>
                <w:szCs w:val="22"/>
              </w:rPr>
              <w:t>:</w:t>
            </w:r>
          </w:p>
        </w:tc>
      </w:tr>
      <w:tr w:rsidR="001E14E0" w:rsidRPr="00E15989" w14:paraId="7B35D2B0" w14:textId="77777777" w:rsidTr="00D165F6">
        <w:trPr>
          <w:trHeight w:val="1664"/>
        </w:trPr>
        <w:tc>
          <w:tcPr>
            <w:tcW w:w="4355" w:type="dxa"/>
            <w:tcBorders>
              <w:top w:val="single" w:sz="6" w:space="0" w:color="auto"/>
              <w:left w:val="nil"/>
              <w:right w:val="single" w:sz="6" w:space="0" w:color="auto"/>
            </w:tcBorders>
            <w:shd w:val="clear" w:color="auto" w:fill="FFFFFF"/>
          </w:tcPr>
          <w:p w14:paraId="359E965B" w14:textId="747A926F" w:rsidR="001E14E0" w:rsidRPr="00E15989" w:rsidRDefault="001E14E0" w:rsidP="001E14E0">
            <w:pPr>
              <w:shd w:val="clear" w:color="auto" w:fill="FFFFFF"/>
              <w:spacing w:before="120" w:after="120"/>
              <w:jc w:val="both"/>
              <w:rPr>
                <w:rFonts w:ascii="StobiSerif Regular" w:hAnsi="StobiSerif Regular"/>
                <w:sz w:val="22"/>
                <w:szCs w:val="22"/>
              </w:rPr>
            </w:pPr>
            <w:r w:rsidRPr="00E15989">
              <w:rPr>
                <w:rFonts w:ascii="StobiSerif Regular" w:hAnsi="StobiSerif Regular"/>
                <w:sz w:val="22"/>
                <w:szCs w:val="22"/>
              </w:rPr>
              <w:t>Veprimet komplementare të BE-së i mbështesin organet në zhvillimin ose ofrimin e sistemit për e-tregun</w:t>
            </w:r>
            <w:r w:rsidRPr="00E15989">
              <w:rPr>
                <w:rFonts w:ascii="StobiSerif Regular" w:hAnsi="StobiSerif Regular"/>
                <w:sz w:val="22"/>
                <w:szCs w:val="22"/>
                <w:lang w:val="sq-AL"/>
              </w:rPr>
              <w:t xml:space="preserve"> (tregun elektronik), </w:t>
            </w:r>
            <w:r w:rsidRPr="00E15989">
              <w:rPr>
                <w:rFonts w:ascii="StobiSerif Regular" w:hAnsi="StobiSerif Regular"/>
                <w:sz w:val="22"/>
                <w:szCs w:val="22"/>
              </w:rPr>
              <w:t xml:space="preserve">(për shembull, ndarja e praktikave më të mira, zhvillimi i kapaciteteve ose trajnimi për </w:t>
            </w:r>
            <w:r w:rsidRPr="00E15989">
              <w:rPr>
                <w:rFonts w:ascii="StobiSerif Regular" w:hAnsi="StobiSerif Regular"/>
                <w:sz w:val="22"/>
                <w:szCs w:val="22"/>
                <w:lang w:val="sq-AL"/>
              </w:rPr>
              <w:t>shfrytëzimin</w:t>
            </w:r>
            <w:r w:rsidRPr="00E15989">
              <w:rPr>
                <w:rFonts w:ascii="StobiSerif Regular" w:hAnsi="StobiSerif Regular"/>
                <w:sz w:val="22"/>
                <w:szCs w:val="22"/>
              </w:rPr>
              <w:t xml:space="preserve"> e tij), megjithatë organet janë ato </w:t>
            </w:r>
            <w:r w:rsidRPr="00E15989">
              <w:rPr>
                <w:rFonts w:ascii="StobiSerif Regular" w:hAnsi="StobiSerif Regular"/>
                <w:sz w:val="22"/>
                <w:szCs w:val="22"/>
                <w:lang w:val="sq-AL"/>
              </w:rPr>
              <w:t>të cilat</w:t>
            </w:r>
            <w:r w:rsidRPr="00E15989">
              <w:rPr>
                <w:rFonts w:ascii="StobiSerif Regular" w:hAnsi="StobiSerif Regular"/>
                <w:sz w:val="22"/>
                <w:szCs w:val="22"/>
              </w:rPr>
              <w:t xml:space="preserve"> </w:t>
            </w:r>
            <w:r w:rsidRPr="00E15989">
              <w:rPr>
                <w:rFonts w:ascii="StobiSerif Regular" w:hAnsi="StobiSerif Regular"/>
                <w:sz w:val="22"/>
                <w:szCs w:val="22"/>
                <w:lang w:val="sq-AL"/>
              </w:rPr>
              <w:t xml:space="preserve">e </w:t>
            </w:r>
            <w:r w:rsidRPr="00E15989">
              <w:rPr>
                <w:rFonts w:ascii="StobiSerif Regular" w:hAnsi="StobiSerif Regular"/>
                <w:sz w:val="22"/>
                <w:szCs w:val="22"/>
              </w:rPr>
              <w:t xml:space="preserve">sigurojnë zbatimin dhe </w:t>
            </w:r>
            <w:r w:rsidRPr="00E15989">
              <w:rPr>
                <w:rFonts w:ascii="StobiSerif Regular" w:hAnsi="StobiSerif Regular"/>
                <w:sz w:val="22"/>
                <w:szCs w:val="22"/>
                <w:lang w:val="sq-AL"/>
              </w:rPr>
              <w:t>shfrytëzimin</w:t>
            </w:r>
            <w:r w:rsidRPr="00E15989">
              <w:rPr>
                <w:rFonts w:ascii="StobiSerif Regular" w:hAnsi="StobiSerif Regular"/>
                <w:sz w:val="22"/>
                <w:szCs w:val="22"/>
              </w:rPr>
              <w:t xml:space="preserve"> e këtij sistemi.</w:t>
            </w:r>
          </w:p>
        </w:tc>
        <w:tc>
          <w:tcPr>
            <w:tcW w:w="4745" w:type="dxa"/>
            <w:tcBorders>
              <w:top w:val="single" w:sz="6" w:space="0" w:color="auto"/>
              <w:left w:val="single" w:sz="6" w:space="0" w:color="auto"/>
              <w:right w:val="nil"/>
            </w:tcBorders>
            <w:shd w:val="clear" w:color="auto" w:fill="FFFFFF"/>
          </w:tcPr>
          <w:p w14:paraId="1FFAFFD8" w14:textId="4A1AC569" w:rsidR="001E14E0" w:rsidRPr="00E15989" w:rsidRDefault="001E14E0" w:rsidP="001E14E0">
            <w:pPr>
              <w:shd w:val="clear" w:color="auto" w:fill="FFFFFF"/>
              <w:spacing w:before="120" w:after="120"/>
              <w:jc w:val="both"/>
              <w:rPr>
                <w:rFonts w:ascii="StobiSerif Regular" w:hAnsi="StobiSerif Regular"/>
                <w:sz w:val="22"/>
                <w:szCs w:val="22"/>
              </w:rPr>
            </w:pPr>
            <w:r w:rsidRPr="00E15989">
              <w:rPr>
                <w:rFonts w:ascii="StobiSerif Regular" w:hAnsi="StobiSerif Regular"/>
                <w:sz w:val="22"/>
                <w:szCs w:val="22"/>
              </w:rPr>
              <w:t>Sistemi për e-tregun</w:t>
            </w:r>
            <w:r w:rsidRPr="00E15989">
              <w:rPr>
                <w:rFonts w:ascii="StobiSerif Regular" w:hAnsi="StobiSerif Regular"/>
                <w:sz w:val="22"/>
                <w:szCs w:val="22"/>
                <w:lang w:val="sq-AL"/>
              </w:rPr>
              <w:t xml:space="preserve"> (tregun elektronik)</w:t>
            </w:r>
            <w:r w:rsidRPr="00E15989">
              <w:rPr>
                <w:rFonts w:ascii="StobiSerif Regular" w:hAnsi="StobiSerif Regular"/>
                <w:sz w:val="22"/>
                <w:szCs w:val="22"/>
              </w:rPr>
              <w:t xml:space="preserve"> është ofruar përmes veprimi</w:t>
            </w:r>
            <w:r w:rsidRPr="00E15989">
              <w:rPr>
                <w:rFonts w:ascii="StobiSerif Regular" w:hAnsi="StobiSerif Regular"/>
                <w:sz w:val="22"/>
                <w:szCs w:val="22"/>
                <w:lang w:val="sq-AL"/>
              </w:rPr>
              <w:t xml:space="preserve">t </w:t>
            </w:r>
            <w:r w:rsidRPr="00E15989">
              <w:rPr>
                <w:rFonts w:ascii="StobiSerif Regular" w:hAnsi="StobiSerif Regular"/>
                <w:sz w:val="22"/>
                <w:szCs w:val="22"/>
              </w:rPr>
              <w:t xml:space="preserve">të financuar nga BE-ja, ndërsa procedura </w:t>
            </w:r>
            <w:r w:rsidRPr="00E15989">
              <w:rPr>
                <w:rFonts w:ascii="StobiSerif Regular" w:hAnsi="StobiSerif Regular"/>
                <w:sz w:val="22"/>
                <w:szCs w:val="22"/>
                <w:lang w:val="sq-AL"/>
              </w:rPr>
              <w:t>tenderiale</w:t>
            </w:r>
            <w:r w:rsidRPr="00E15989">
              <w:rPr>
                <w:rFonts w:ascii="StobiSerif Regular" w:hAnsi="StobiSerif Regular"/>
                <w:sz w:val="22"/>
                <w:szCs w:val="22"/>
              </w:rPr>
              <w:t xml:space="preserve"> i është besuar</w:t>
            </w:r>
            <w:r w:rsidRPr="00E15989">
              <w:rPr>
                <w:rFonts w:ascii="StobiSerif Regular" w:hAnsi="StobiSerif Regular"/>
                <w:sz w:val="22"/>
                <w:szCs w:val="22"/>
                <w:lang w:val="sq-AL"/>
              </w:rPr>
              <w:t xml:space="preserve"> </w:t>
            </w:r>
            <w:r w:rsidRPr="00E15989">
              <w:rPr>
                <w:rFonts w:ascii="StobiSerif Regular" w:hAnsi="StobiSerif Regular"/>
                <w:sz w:val="22"/>
                <w:szCs w:val="22"/>
              </w:rPr>
              <w:t>pal</w:t>
            </w:r>
            <w:r w:rsidRPr="00E15989">
              <w:rPr>
                <w:rFonts w:ascii="StobiSerif Regular" w:hAnsi="StobiSerif Regular"/>
                <w:sz w:val="22"/>
                <w:szCs w:val="22"/>
                <w:lang w:val="sq-AL"/>
              </w:rPr>
              <w:t>ës</w:t>
            </w:r>
            <w:r w:rsidRPr="00E15989">
              <w:rPr>
                <w:rFonts w:ascii="StobiSerif Regular" w:hAnsi="StobiSerif Regular"/>
                <w:sz w:val="22"/>
                <w:szCs w:val="22"/>
              </w:rPr>
              <w:t xml:space="preserve"> të tretë </w:t>
            </w:r>
            <w:r w:rsidRPr="00E15989">
              <w:rPr>
                <w:rFonts w:ascii="StobiSerif Regular" w:hAnsi="StobiSerif Regular"/>
                <w:sz w:val="22"/>
                <w:szCs w:val="22"/>
                <w:lang w:val="sq-AL"/>
              </w:rPr>
              <w:t>e cila</w:t>
            </w:r>
            <w:r w:rsidRPr="00E15989">
              <w:rPr>
                <w:rFonts w:ascii="StobiSerif Regular" w:hAnsi="StobiSerif Regular"/>
                <w:sz w:val="22"/>
                <w:szCs w:val="22"/>
              </w:rPr>
              <w:t xml:space="preserve"> është paguar përmes ndihmës komplementare nga BE-ja.</w:t>
            </w:r>
          </w:p>
        </w:tc>
      </w:tr>
    </w:tbl>
    <w:p w14:paraId="5AE0A63E" w14:textId="62D85E81" w:rsidR="00C71B06" w:rsidRPr="00E15989" w:rsidRDefault="001E14E0" w:rsidP="00803AFB">
      <w:pPr>
        <w:shd w:val="clear" w:color="auto" w:fill="FFFFFF"/>
        <w:spacing w:before="120" w:after="120"/>
        <w:jc w:val="both"/>
        <w:rPr>
          <w:rFonts w:ascii="StobiSerif Regular" w:hAnsi="StobiSerif Regular"/>
          <w:sz w:val="22"/>
          <w:szCs w:val="22"/>
          <w:lang w:val="sq-AL"/>
        </w:rPr>
      </w:pPr>
      <w:r w:rsidRPr="00E15989">
        <w:rPr>
          <w:rFonts w:ascii="StobiSerif Regular" w:hAnsi="StobiSerif Regular"/>
          <w:color w:val="000000"/>
          <w:sz w:val="22"/>
          <w:szCs w:val="22"/>
          <w:lang w:val="sq-AL"/>
        </w:rPr>
        <w:t>ose</w:t>
      </w:r>
    </w:p>
    <w:p w14:paraId="77567F8C" w14:textId="1A801E5E" w:rsidR="00C71B06" w:rsidRPr="000D257F" w:rsidRDefault="006D4DFA" w:rsidP="006D4DFA">
      <w:pPr>
        <w:shd w:val="clear" w:color="auto" w:fill="FFFFFF"/>
        <w:spacing w:before="120" w:after="120"/>
        <w:ind w:left="709" w:hanging="283"/>
        <w:jc w:val="both"/>
        <w:rPr>
          <w:rFonts w:ascii="StobiSerif Regular" w:hAnsi="StobiSerif Regular"/>
          <w:sz w:val="22"/>
          <w:szCs w:val="22"/>
        </w:rPr>
      </w:pPr>
      <w:r w:rsidRPr="00E15989">
        <w:rPr>
          <w:rFonts w:ascii="StobiSerif Regular" w:hAnsi="StobiSerif Regular"/>
          <w:color w:val="000000"/>
          <w:sz w:val="22"/>
          <w:szCs w:val="22"/>
        </w:rPr>
        <w:lastRenderedPageBreak/>
        <w:t>-</w:t>
      </w:r>
      <w:r w:rsidRPr="00E15989">
        <w:rPr>
          <w:rFonts w:ascii="StobiSerif Regular" w:hAnsi="StobiSerif Regular"/>
          <w:color w:val="000000"/>
          <w:sz w:val="22"/>
          <w:szCs w:val="22"/>
        </w:rPr>
        <w:tab/>
      </w:r>
      <w:r w:rsidR="001E14E0" w:rsidRPr="00E15989">
        <w:rPr>
          <w:rFonts w:ascii="StobiSerif Regular" w:hAnsi="StobiSerif Regular"/>
          <w:sz w:val="22"/>
          <w:szCs w:val="22"/>
        </w:rPr>
        <w:t xml:space="preserve">Krijimin </w:t>
      </w:r>
      <w:r w:rsidR="001E14E0" w:rsidRPr="000D257F">
        <w:rPr>
          <w:rFonts w:ascii="StobiSerif Regular" w:hAnsi="StobiSerif Regular"/>
          <w:sz w:val="22"/>
          <w:szCs w:val="22"/>
        </w:rPr>
        <w:t>e regjistrit gjithëpërfshirës të konsumatorëve të cenueshëm/ 10 regjistra publikë të standardizuar dhe digjitalizuar nga administrata që të përmisohet parimi "vetëm një herë" / Materiale digjitale mësimore të zhvilluara dhe prodhuara për arsimin fillor dhe të mesëm, dhe të shpërndara me të gjitha shkollat.</w:t>
      </w:r>
    </w:p>
    <w:tbl>
      <w:tblPr>
        <w:tblW w:w="9055" w:type="dxa"/>
        <w:tblInd w:w="40" w:type="dxa"/>
        <w:tblLayout w:type="fixed"/>
        <w:tblCellMar>
          <w:left w:w="40" w:type="dxa"/>
          <w:right w:w="40" w:type="dxa"/>
        </w:tblCellMar>
        <w:tblLook w:val="0000" w:firstRow="0" w:lastRow="0" w:firstColumn="0" w:lastColumn="0" w:noHBand="0" w:noVBand="0"/>
      </w:tblPr>
      <w:tblGrid>
        <w:gridCol w:w="4355"/>
        <w:gridCol w:w="4700"/>
      </w:tblGrid>
      <w:tr w:rsidR="001E14E0" w:rsidRPr="000D257F" w14:paraId="175A02D9" w14:textId="77777777" w:rsidTr="00D165F6">
        <w:trPr>
          <w:trHeight w:val="154"/>
        </w:trPr>
        <w:tc>
          <w:tcPr>
            <w:tcW w:w="4355" w:type="dxa"/>
            <w:tcBorders>
              <w:top w:val="nil"/>
              <w:left w:val="nil"/>
              <w:bottom w:val="single" w:sz="6" w:space="0" w:color="auto"/>
              <w:right w:val="single" w:sz="6" w:space="0" w:color="auto"/>
            </w:tcBorders>
            <w:shd w:val="clear" w:color="auto" w:fill="FFFFFF"/>
          </w:tcPr>
          <w:p w14:paraId="4C6814B2" w14:textId="565ED262" w:rsidR="001E14E0" w:rsidRPr="000D257F" w:rsidRDefault="001E14E0" w:rsidP="001E14E0">
            <w:pPr>
              <w:shd w:val="clear" w:color="auto" w:fill="FFFFFF"/>
              <w:spacing w:before="120" w:after="120"/>
              <w:jc w:val="center"/>
              <w:rPr>
                <w:rFonts w:ascii="StobiSerif Regular" w:hAnsi="StobiSerif Regular"/>
                <w:sz w:val="22"/>
                <w:szCs w:val="22"/>
              </w:rPr>
            </w:pPr>
            <w:r w:rsidRPr="000D257F">
              <w:rPr>
                <w:rFonts w:ascii="StobiSerif Regular" w:hAnsi="StobiSerif Regular"/>
                <w:color w:val="388600"/>
                <w:sz w:val="22"/>
                <w:szCs w:val="22"/>
                <w:lang w:val="sq-AL"/>
              </w:rPr>
              <w:t>E</w:t>
            </w:r>
            <w:r w:rsidRPr="000D257F">
              <w:rPr>
                <w:rFonts w:ascii="StobiSerif Regular" w:hAnsi="StobiSerif Regular"/>
                <w:color w:val="388600"/>
                <w:sz w:val="22"/>
                <w:szCs w:val="22"/>
              </w:rPr>
              <w:t xml:space="preserve"> pranueshme</w:t>
            </w:r>
            <w:r w:rsidRPr="000D257F">
              <w:rPr>
                <w:rFonts w:ascii="StobiSerif Regular" w:hAnsi="StobiSerif Regular"/>
                <w:b/>
                <w:color w:val="00B050"/>
                <w:sz w:val="22"/>
                <w:szCs w:val="22"/>
              </w:rPr>
              <w:t>:</w:t>
            </w:r>
          </w:p>
        </w:tc>
        <w:tc>
          <w:tcPr>
            <w:tcW w:w="4700" w:type="dxa"/>
            <w:tcBorders>
              <w:top w:val="nil"/>
              <w:left w:val="single" w:sz="6" w:space="0" w:color="auto"/>
              <w:bottom w:val="single" w:sz="6" w:space="0" w:color="auto"/>
              <w:right w:val="nil"/>
            </w:tcBorders>
            <w:shd w:val="clear" w:color="auto" w:fill="FFFFFF"/>
          </w:tcPr>
          <w:p w14:paraId="4FEECDCD" w14:textId="349E916B" w:rsidR="001E14E0" w:rsidRPr="000D257F" w:rsidRDefault="001E14E0" w:rsidP="001E14E0">
            <w:pPr>
              <w:shd w:val="clear" w:color="auto" w:fill="FFFFFF"/>
              <w:spacing w:before="120" w:after="120"/>
              <w:jc w:val="center"/>
              <w:rPr>
                <w:rFonts w:ascii="StobiSerif Regular" w:hAnsi="StobiSerif Regular"/>
                <w:sz w:val="22"/>
                <w:szCs w:val="22"/>
              </w:rPr>
            </w:pPr>
            <w:r w:rsidRPr="000D257F">
              <w:rPr>
                <w:rFonts w:ascii="StobiSerif Regular" w:hAnsi="StobiSerif Regular"/>
                <w:color w:val="EE0000"/>
                <w:sz w:val="22"/>
                <w:szCs w:val="22"/>
              </w:rPr>
              <w:t>Nuk është e pranueshme</w:t>
            </w:r>
            <w:r w:rsidRPr="000D257F">
              <w:rPr>
                <w:rFonts w:ascii="StobiSerif Regular" w:hAnsi="StobiSerif Regular"/>
                <w:b/>
                <w:color w:val="FF0000"/>
                <w:sz w:val="22"/>
                <w:szCs w:val="22"/>
              </w:rPr>
              <w:t>: (</w:t>
            </w:r>
            <w:r w:rsidRPr="000D257F">
              <w:rPr>
                <w:rFonts w:ascii="StobiSerif Regular" w:hAnsi="StobiSerif Regular"/>
                <w:b/>
                <w:color w:val="FF0000"/>
                <w:sz w:val="22"/>
                <w:szCs w:val="22"/>
                <w:lang w:val="sq-AL"/>
              </w:rPr>
              <w:t>financim i dyfishtë</w:t>
            </w:r>
            <w:r w:rsidRPr="000D257F">
              <w:rPr>
                <w:rFonts w:ascii="StobiSerif Regular" w:hAnsi="StobiSerif Regular"/>
                <w:b/>
                <w:color w:val="FF0000"/>
                <w:sz w:val="22"/>
                <w:szCs w:val="22"/>
              </w:rPr>
              <w:t>):</w:t>
            </w:r>
          </w:p>
        </w:tc>
      </w:tr>
      <w:tr w:rsidR="001E14E0" w:rsidRPr="000D257F" w14:paraId="42068D40" w14:textId="77777777" w:rsidTr="00D165F6">
        <w:trPr>
          <w:trHeight w:val="2295"/>
        </w:trPr>
        <w:tc>
          <w:tcPr>
            <w:tcW w:w="4355" w:type="dxa"/>
            <w:tcBorders>
              <w:top w:val="single" w:sz="6" w:space="0" w:color="auto"/>
              <w:left w:val="nil"/>
              <w:right w:val="single" w:sz="6" w:space="0" w:color="auto"/>
            </w:tcBorders>
            <w:shd w:val="clear" w:color="auto" w:fill="FFFFFF"/>
          </w:tcPr>
          <w:p w14:paraId="732BFC58" w14:textId="45EF3092" w:rsidR="001E14E0" w:rsidRPr="000D257F" w:rsidRDefault="001E14E0" w:rsidP="001E14E0">
            <w:p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t>Zhvillim i kapaciteteve, siç janë shkëmbimi i praktikave më të mira, vizitat studimore në vendet partnere etj. (administratë publike digjitale / di</w:t>
            </w:r>
            <w:r w:rsidRPr="000D257F">
              <w:rPr>
                <w:rFonts w:ascii="StobiSerif Regular" w:hAnsi="StobiSerif Regular"/>
                <w:sz w:val="22"/>
                <w:szCs w:val="22"/>
                <w:lang w:val="sq-AL"/>
              </w:rPr>
              <w:t>gj</w:t>
            </w:r>
            <w:r w:rsidRPr="000D257F">
              <w:rPr>
                <w:rFonts w:ascii="StobiSerif Regular" w:hAnsi="StobiSerif Regular"/>
                <w:sz w:val="22"/>
                <w:szCs w:val="22"/>
              </w:rPr>
              <w:t>italizimi i shkollave publike). Mbështetje për krijimin e regjistrit / mbështetje për zhvillimin e materialeve digjitale mësimore (shpërndarja e tyre nëpër shkolla dhe zbatimi i tyre janë kompetencë e qeverisë).</w:t>
            </w:r>
          </w:p>
        </w:tc>
        <w:tc>
          <w:tcPr>
            <w:tcW w:w="4700" w:type="dxa"/>
            <w:tcBorders>
              <w:top w:val="single" w:sz="6" w:space="0" w:color="auto"/>
              <w:left w:val="single" w:sz="6" w:space="0" w:color="auto"/>
              <w:right w:val="nil"/>
            </w:tcBorders>
            <w:shd w:val="clear" w:color="auto" w:fill="FFFFFF"/>
          </w:tcPr>
          <w:p w14:paraId="797CC10A" w14:textId="23EB3F5F" w:rsidR="001E14E0" w:rsidRPr="000D257F" w:rsidRDefault="001E14E0" w:rsidP="001E14E0">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sz w:val="22"/>
                <w:szCs w:val="22"/>
              </w:rPr>
              <w:t>D</w:t>
            </w:r>
            <w:r w:rsidRPr="000D257F">
              <w:rPr>
                <w:rFonts w:ascii="StobiSerif Regular" w:hAnsi="StobiSerif Regular"/>
                <w:sz w:val="22"/>
                <w:szCs w:val="22"/>
                <w:lang w:val="sq-AL"/>
              </w:rPr>
              <w:t>ërgimi</w:t>
            </w:r>
            <w:r w:rsidRPr="000D257F">
              <w:rPr>
                <w:rFonts w:ascii="StobiSerif Regular" w:hAnsi="StobiSerif Regular"/>
                <w:sz w:val="22"/>
                <w:szCs w:val="22"/>
              </w:rPr>
              <w:t xml:space="preserve"> i regjistrit për konsumatorët </w:t>
            </w:r>
            <w:r w:rsidRPr="000D257F">
              <w:rPr>
                <w:rFonts w:ascii="StobiSerif Regular" w:hAnsi="StobiSerif Regular"/>
                <w:sz w:val="22"/>
                <w:szCs w:val="22"/>
                <w:lang w:val="sq-AL"/>
              </w:rPr>
              <w:t>e cenueshëm</w:t>
            </w:r>
            <w:r w:rsidRPr="000D257F">
              <w:rPr>
                <w:rFonts w:ascii="StobiSerif Regular" w:hAnsi="StobiSerif Regular"/>
                <w:sz w:val="22"/>
                <w:szCs w:val="22"/>
              </w:rPr>
              <w:t xml:space="preserve"> dhe futja e të dhënave janë realizuar me ndihmë komplementare (e financuar nga BE-ja ose nga burime të tjera). Krijimi i regjistrave publikë është realizuar/financuar me ndihmë komplementare (nga BE-ja ose nga burime të tjera). (Kjo përfaqëson mbivendosje të plotë</w:t>
            </w:r>
            <w:r w:rsidRPr="000D257F">
              <w:rPr>
                <w:rFonts w:ascii="StobiSerif Regular" w:hAnsi="StobiSerif Regular"/>
                <w:sz w:val="22"/>
                <w:szCs w:val="22"/>
                <w:lang w:val="sq-AL"/>
              </w:rPr>
              <w:t xml:space="preserve"> në mes të </w:t>
            </w:r>
            <w:r w:rsidRPr="000D257F">
              <w:rPr>
                <w:rFonts w:ascii="StobiSerif Regular" w:hAnsi="StobiSerif Regular"/>
                <w:sz w:val="22"/>
                <w:szCs w:val="22"/>
              </w:rPr>
              <w:t xml:space="preserve">hapit dhe rezultatit të dorëzuar nga </w:t>
            </w:r>
            <w:r w:rsidRPr="000D257F">
              <w:rPr>
                <w:rFonts w:ascii="StobiSerif Regular" w:hAnsi="StobiSerif Regular"/>
                <w:sz w:val="22"/>
                <w:szCs w:val="22"/>
                <w:lang w:val="sq-AL"/>
              </w:rPr>
              <w:t>siguruesit</w:t>
            </w:r>
            <w:r w:rsidRPr="000D257F">
              <w:rPr>
                <w:rFonts w:ascii="StobiSerif Regular" w:hAnsi="StobiSerif Regular"/>
                <w:sz w:val="22"/>
                <w:szCs w:val="22"/>
              </w:rPr>
              <w:t xml:space="preserve"> e jashtëm të ndihmës).</w:t>
            </w:r>
          </w:p>
        </w:tc>
      </w:tr>
    </w:tbl>
    <w:p w14:paraId="75BCBF27" w14:textId="77777777" w:rsidR="001E14E0" w:rsidRPr="000D257F" w:rsidRDefault="001E14E0" w:rsidP="00072540">
      <w:pPr>
        <w:shd w:val="clear" w:color="auto" w:fill="FFFFFF"/>
        <w:spacing w:before="120" w:after="120"/>
        <w:jc w:val="both"/>
        <w:rPr>
          <w:rFonts w:ascii="StobiSerif Regular" w:hAnsi="StobiSerif Regular"/>
          <w:sz w:val="22"/>
          <w:szCs w:val="22"/>
        </w:rPr>
      </w:pPr>
      <w:r w:rsidRPr="000D257F">
        <w:rPr>
          <w:rFonts w:ascii="StobiSerif Regular" w:hAnsi="StobiSerif Regular"/>
          <w:b/>
          <w:color w:val="000000"/>
          <w:sz w:val="22"/>
          <w:szCs w:val="22"/>
        </w:rPr>
        <w:t xml:space="preserve">3.3 </w:t>
      </w:r>
      <w:r w:rsidRPr="000D257F">
        <w:rPr>
          <w:rFonts w:ascii="StobiSerif Regular" w:hAnsi="StobiSerif Regular"/>
          <w:b/>
          <w:bCs/>
          <w:sz w:val="22"/>
          <w:szCs w:val="22"/>
          <w:lang w:val="sq-AL"/>
        </w:rPr>
        <w:t>Efekte kualitative</w:t>
      </w:r>
    </w:p>
    <w:p w14:paraId="64FE2D0F" w14:textId="77777777" w:rsidR="001E14E0" w:rsidRPr="000D257F" w:rsidRDefault="001E14E0" w:rsidP="001E14E0">
      <w:pPr>
        <w:shd w:val="clear" w:color="auto" w:fill="FFFFFF"/>
        <w:spacing w:before="120" w:after="120"/>
        <w:ind w:left="426" w:hanging="283"/>
        <w:jc w:val="both"/>
        <w:rPr>
          <w:rFonts w:ascii="StobiSerif Regular" w:hAnsi="StobiSerif Regular"/>
          <w:sz w:val="22"/>
          <w:szCs w:val="22"/>
          <w:lang w:val="sq-AL"/>
        </w:rPr>
      </w:pPr>
      <w:r w:rsidRPr="000D257F">
        <w:rPr>
          <w:rFonts w:ascii="StobiSerif Regular" w:hAnsi="StobiSerif Regular"/>
          <w:sz w:val="22"/>
          <w:szCs w:val="22"/>
        </w:rPr>
        <w:t>-</w:t>
      </w:r>
      <w:r w:rsidRPr="000D257F">
        <w:rPr>
          <w:rFonts w:ascii="StobiSerif Regular" w:hAnsi="StobiSerif Regular"/>
          <w:sz w:val="22"/>
          <w:szCs w:val="22"/>
        </w:rPr>
        <w:tab/>
      </w:r>
      <w:r w:rsidRPr="000D257F">
        <w:rPr>
          <w:rFonts w:ascii="StobiSerif Regular" w:hAnsi="StobiSerif Regular"/>
          <w:sz w:val="22"/>
          <w:szCs w:val="22"/>
          <w:lang w:val="sq-AL"/>
        </w:rPr>
        <w:t>Rritja e përgjegjësisë së kryetarëve të gjykatave dhe kryeprokurorëve në funksionimin dhe udhëheqjen e gjykatave dhe prokurorive, duke përfshirë edhe futjen e ndjekjes së përpunimit të rasteve gjyqësore, analizave të punës së gjykatave dhe prokurorive, si dhe raporte për nevojat buxhetore dhe kadrovike.</w:t>
      </w:r>
    </w:p>
    <w:tbl>
      <w:tblPr>
        <w:tblW w:w="9032" w:type="dxa"/>
        <w:tblInd w:w="40" w:type="dxa"/>
        <w:tblLayout w:type="fixed"/>
        <w:tblCellMar>
          <w:left w:w="40" w:type="dxa"/>
          <w:right w:w="40" w:type="dxa"/>
        </w:tblCellMar>
        <w:tblLook w:val="0000" w:firstRow="0" w:lastRow="0" w:firstColumn="0" w:lastColumn="0" w:noHBand="0" w:noVBand="0"/>
      </w:tblPr>
      <w:tblGrid>
        <w:gridCol w:w="4355"/>
        <w:gridCol w:w="4677"/>
      </w:tblGrid>
      <w:tr w:rsidR="00C71B06" w:rsidRPr="000D257F" w14:paraId="7BA6C9F3" w14:textId="77777777" w:rsidTr="006D4DFA">
        <w:trPr>
          <w:trHeight w:val="245"/>
        </w:trPr>
        <w:tc>
          <w:tcPr>
            <w:tcW w:w="4355" w:type="dxa"/>
            <w:tcBorders>
              <w:top w:val="nil"/>
              <w:left w:val="nil"/>
              <w:bottom w:val="single" w:sz="6" w:space="0" w:color="auto"/>
              <w:right w:val="single" w:sz="6" w:space="0" w:color="auto"/>
            </w:tcBorders>
            <w:shd w:val="clear" w:color="auto" w:fill="FFFFFF"/>
          </w:tcPr>
          <w:p w14:paraId="577CBB7E" w14:textId="194F6928" w:rsidR="00C71B06" w:rsidRPr="000D257F" w:rsidRDefault="00A27820" w:rsidP="000A441A">
            <w:pPr>
              <w:shd w:val="clear" w:color="auto" w:fill="FFFFFF"/>
              <w:spacing w:before="120" w:after="120"/>
              <w:jc w:val="center"/>
              <w:rPr>
                <w:rFonts w:ascii="StobiSerif Regular" w:hAnsi="StobiSerif Regular"/>
                <w:sz w:val="22"/>
                <w:szCs w:val="22"/>
              </w:rPr>
            </w:pPr>
            <w:r w:rsidRPr="000D257F">
              <w:rPr>
                <w:rFonts w:ascii="StobiSerif Regular" w:hAnsi="StobiSerif Regular"/>
                <w:b/>
                <w:color w:val="00B050"/>
                <w:sz w:val="22"/>
                <w:szCs w:val="22"/>
                <w:lang w:val="sq-AL"/>
              </w:rPr>
              <w:t>E pranueshme</w:t>
            </w:r>
            <w:r w:rsidRPr="000D257F">
              <w:rPr>
                <w:rFonts w:ascii="StobiSerif Regular" w:hAnsi="StobiSerif Regular"/>
                <w:b/>
                <w:color w:val="00B050"/>
                <w:sz w:val="22"/>
                <w:szCs w:val="22"/>
              </w:rPr>
              <w:t xml:space="preserve"> (Nuk ka financim të dyfisht</w:t>
            </w:r>
            <w:r w:rsidRPr="000D257F">
              <w:rPr>
                <w:rFonts w:ascii="StobiSerif Regular" w:hAnsi="StobiSerif Regular"/>
                <w:b/>
                <w:color w:val="00B050"/>
                <w:sz w:val="22"/>
                <w:szCs w:val="22"/>
                <w:lang w:val="sq-AL"/>
              </w:rPr>
              <w:t>ë</w:t>
            </w:r>
            <w:r w:rsidRPr="000D257F">
              <w:rPr>
                <w:rFonts w:ascii="StobiSerif Regular" w:hAnsi="StobiSerif Regular"/>
                <w:b/>
                <w:color w:val="00B050"/>
                <w:sz w:val="22"/>
                <w:szCs w:val="22"/>
              </w:rPr>
              <w:t>):</w:t>
            </w:r>
          </w:p>
        </w:tc>
        <w:tc>
          <w:tcPr>
            <w:tcW w:w="4677" w:type="dxa"/>
            <w:tcBorders>
              <w:top w:val="nil"/>
              <w:left w:val="single" w:sz="6" w:space="0" w:color="auto"/>
              <w:bottom w:val="single" w:sz="6" w:space="0" w:color="auto"/>
              <w:right w:val="nil"/>
            </w:tcBorders>
            <w:shd w:val="clear" w:color="auto" w:fill="FFFFFF"/>
          </w:tcPr>
          <w:p w14:paraId="6731C6DC" w14:textId="645ACDB2" w:rsidR="00C71B06" w:rsidRPr="000D257F" w:rsidRDefault="00A27820" w:rsidP="00CE17F9">
            <w:pPr>
              <w:shd w:val="clear" w:color="auto" w:fill="FFFFFF"/>
              <w:spacing w:before="120" w:after="120"/>
              <w:jc w:val="center"/>
              <w:rPr>
                <w:rFonts w:ascii="StobiSerif Regular" w:hAnsi="StobiSerif Regular"/>
                <w:sz w:val="22"/>
                <w:szCs w:val="22"/>
                <w:lang w:val="sq-AL"/>
              </w:rPr>
            </w:pPr>
            <w:r w:rsidRPr="000D257F">
              <w:rPr>
                <w:rFonts w:ascii="StobiSerif Regular" w:hAnsi="StobiSerif Regular"/>
                <w:b/>
                <w:color w:val="FF0000"/>
                <w:sz w:val="22"/>
                <w:szCs w:val="22"/>
                <w:lang w:val="sq-AL"/>
              </w:rPr>
              <w:t>Nuk është e pranueshme</w:t>
            </w:r>
            <w:r w:rsidRPr="000D257F">
              <w:rPr>
                <w:rFonts w:ascii="StobiSerif Regular" w:hAnsi="StobiSerif Regular"/>
                <w:b/>
                <w:color w:val="FF0000"/>
                <w:sz w:val="22"/>
                <w:szCs w:val="22"/>
              </w:rPr>
              <w:t>:</w:t>
            </w:r>
          </w:p>
        </w:tc>
      </w:tr>
      <w:tr w:rsidR="00CE17F9" w:rsidRPr="000D257F" w14:paraId="7888ADB9" w14:textId="77777777" w:rsidTr="006D4DFA">
        <w:trPr>
          <w:trHeight w:val="1687"/>
        </w:trPr>
        <w:tc>
          <w:tcPr>
            <w:tcW w:w="4355" w:type="dxa"/>
            <w:tcBorders>
              <w:top w:val="single" w:sz="6" w:space="0" w:color="auto"/>
              <w:left w:val="nil"/>
              <w:right w:val="single" w:sz="6" w:space="0" w:color="auto"/>
            </w:tcBorders>
            <w:shd w:val="clear" w:color="auto" w:fill="FFFFFF"/>
          </w:tcPr>
          <w:p w14:paraId="489E5BEC" w14:textId="221E9A1F" w:rsidR="00CE17F9" w:rsidRPr="000D257F" w:rsidRDefault="00A27820"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t xml:space="preserve">Veprimet komplementare të BE-së ofrojnë trajnime për kryetarët e gjykatave dhe prokurorive. Ndihma komplementare nga BE-ja mundëson zhvillimin e kapaciteteve për përpunimin e </w:t>
            </w:r>
            <w:r w:rsidRPr="000D257F">
              <w:rPr>
                <w:rFonts w:ascii="StobiSerif Regular" w:hAnsi="StobiSerif Regular"/>
                <w:sz w:val="22"/>
                <w:szCs w:val="22"/>
                <w:lang w:val="sq-AL"/>
              </w:rPr>
              <w:t>lëndëve</w:t>
            </w:r>
            <w:r w:rsidRPr="000D257F">
              <w:rPr>
                <w:rFonts w:ascii="StobiSerif Regular" w:hAnsi="StobiSerif Regular"/>
                <w:sz w:val="22"/>
                <w:szCs w:val="22"/>
              </w:rPr>
              <w:t xml:space="preserve"> gjyqësore dhe analizën e performancës.</w:t>
            </w:r>
          </w:p>
        </w:tc>
        <w:tc>
          <w:tcPr>
            <w:tcW w:w="4677" w:type="dxa"/>
            <w:tcBorders>
              <w:top w:val="single" w:sz="6" w:space="0" w:color="auto"/>
              <w:left w:val="single" w:sz="6" w:space="0" w:color="auto"/>
              <w:right w:val="nil"/>
            </w:tcBorders>
            <w:shd w:val="clear" w:color="auto" w:fill="FFFFFF"/>
          </w:tcPr>
          <w:p w14:paraId="7E395542" w14:textId="48CC5C16" w:rsidR="00CE17F9" w:rsidRPr="000D257F" w:rsidRDefault="00A27820"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color w:val="000000"/>
                <w:sz w:val="22"/>
                <w:szCs w:val="22"/>
                <w:lang w:val="sq-AL"/>
              </w:rPr>
              <w:t>Nuk ka të dhëna</w:t>
            </w:r>
          </w:p>
        </w:tc>
      </w:tr>
    </w:tbl>
    <w:p w14:paraId="2E7D9003" w14:textId="04A30281" w:rsidR="00C71B06" w:rsidRPr="000D257F" w:rsidRDefault="00A27820" w:rsidP="00803AFB">
      <w:pPr>
        <w:shd w:val="clear" w:color="auto" w:fill="FFFFFF"/>
        <w:spacing w:before="120" w:after="120"/>
        <w:jc w:val="both"/>
        <w:rPr>
          <w:rFonts w:ascii="StobiSerif Regular" w:hAnsi="StobiSerif Regular"/>
          <w:color w:val="242424"/>
          <w:sz w:val="22"/>
          <w:szCs w:val="22"/>
          <w:lang w:val="sq-AL"/>
        </w:rPr>
      </w:pPr>
      <w:r w:rsidRPr="000D257F">
        <w:rPr>
          <w:rFonts w:ascii="StobiSerif Regular" w:hAnsi="StobiSerif Regular"/>
          <w:color w:val="242424"/>
          <w:sz w:val="22"/>
          <w:szCs w:val="22"/>
          <w:lang w:val="sq-AL"/>
        </w:rPr>
        <w:t>Ose</w:t>
      </w:r>
    </w:p>
    <w:p w14:paraId="37790F77" w14:textId="77777777" w:rsidR="00A27820" w:rsidRPr="000D257F" w:rsidRDefault="00A27820" w:rsidP="00803AFB">
      <w:pPr>
        <w:shd w:val="clear" w:color="auto" w:fill="FFFFFF"/>
        <w:spacing w:before="120" w:after="120"/>
        <w:jc w:val="both"/>
        <w:rPr>
          <w:rFonts w:ascii="StobiSerif Regular" w:hAnsi="StobiSerif Regular"/>
          <w:color w:val="242424"/>
          <w:sz w:val="22"/>
          <w:szCs w:val="22"/>
          <w:lang w:val="sq-AL"/>
        </w:rPr>
      </w:pPr>
    </w:p>
    <w:p w14:paraId="5F76E121" w14:textId="77777777" w:rsidR="00A27820" w:rsidRPr="000D257F" w:rsidRDefault="00A27820" w:rsidP="00803AFB">
      <w:pPr>
        <w:shd w:val="clear" w:color="auto" w:fill="FFFFFF"/>
        <w:spacing w:before="120" w:after="120"/>
        <w:jc w:val="both"/>
        <w:rPr>
          <w:rFonts w:ascii="StobiSerif Regular" w:hAnsi="StobiSerif Regular"/>
          <w:sz w:val="22"/>
          <w:szCs w:val="22"/>
          <w:lang w:val="sq-AL"/>
        </w:rPr>
      </w:pPr>
    </w:p>
    <w:p w14:paraId="7FAD5604" w14:textId="77777777" w:rsidR="00A27820" w:rsidRPr="000D257F" w:rsidRDefault="00A27820" w:rsidP="00A27820">
      <w:pPr>
        <w:numPr>
          <w:ilvl w:val="0"/>
          <w:numId w:val="1"/>
        </w:num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t>Të sigurohet kontroll i</w:t>
      </w:r>
      <w:r w:rsidRPr="000D257F">
        <w:rPr>
          <w:rFonts w:ascii="StobiSerif Regular" w:hAnsi="StobiSerif Regular"/>
          <w:sz w:val="22"/>
          <w:szCs w:val="22"/>
          <w:lang w:val="sq-AL"/>
        </w:rPr>
        <w:t xml:space="preserve"> plotë i</w:t>
      </w:r>
      <w:r w:rsidRPr="000D257F">
        <w:rPr>
          <w:rFonts w:ascii="StobiSerif Regular" w:hAnsi="StobiSerif Regular"/>
          <w:sz w:val="22"/>
          <w:szCs w:val="22"/>
        </w:rPr>
        <w:t xml:space="preserve"> rregullt dhe efikas </w:t>
      </w:r>
      <w:r w:rsidRPr="000D257F">
        <w:rPr>
          <w:rFonts w:ascii="StobiSerif Regular" w:hAnsi="StobiSerif Regular"/>
          <w:sz w:val="22"/>
          <w:szCs w:val="22"/>
          <w:lang w:val="sq-AL"/>
        </w:rPr>
        <w:t>i</w:t>
      </w:r>
      <w:r w:rsidRPr="000D257F">
        <w:rPr>
          <w:rFonts w:ascii="StobiSerif Regular" w:hAnsi="StobiSerif Regular"/>
          <w:sz w:val="22"/>
          <w:szCs w:val="22"/>
        </w:rPr>
        <w:t xml:space="preserve"> </w:t>
      </w:r>
      <w:r w:rsidRPr="000D257F">
        <w:rPr>
          <w:rFonts w:ascii="StobiSerif Regular" w:hAnsi="StobiSerif Regular"/>
          <w:sz w:val="22"/>
          <w:szCs w:val="22"/>
          <w:lang w:val="sq-AL"/>
        </w:rPr>
        <w:t>letrave të pronësisë t</w:t>
      </w:r>
      <w:r w:rsidRPr="000D257F">
        <w:rPr>
          <w:rFonts w:ascii="StobiSerif Regular" w:hAnsi="StobiSerif Regular"/>
          <w:sz w:val="22"/>
          <w:szCs w:val="22"/>
        </w:rPr>
        <w:t xml:space="preserve">ë gjyqtarëve dhe prokurorëve nga Komisioni Shtetëror për Parandalimin e Korrupsionit, duke përfshirë kontrollin </w:t>
      </w:r>
      <w:r w:rsidRPr="000D257F">
        <w:rPr>
          <w:rFonts w:ascii="StobiSerif Regular" w:hAnsi="StobiSerif Regular"/>
          <w:sz w:val="22"/>
          <w:szCs w:val="22"/>
          <w:lang w:val="sq-AL"/>
        </w:rPr>
        <w:t xml:space="preserve">e </w:t>
      </w:r>
      <w:r w:rsidRPr="000D257F">
        <w:rPr>
          <w:rFonts w:ascii="StobiSerif Regular" w:hAnsi="StobiSerif Regular"/>
          <w:sz w:val="22"/>
          <w:szCs w:val="22"/>
        </w:rPr>
        <w:t>kryq</w:t>
      </w:r>
      <w:r w:rsidRPr="000D257F">
        <w:rPr>
          <w:rFonts w:ascii="StobiSerif Regular" w:hAnsi="StobiSerif Regular"/>
          <w:sz w:val="22"/>
          <w:szCs w:val="22"/>
          <w:lang w:val="sq-AL"/>
        </w:rPr>
        <w:t>ëzuar</w:t>
      </w:r>
      <w:r w:rsidRPr="000D257F">
        <w:rPr>
          <w:rFonts w:ascii="StobiSerif Regular" w:hAnsi="StobiSerif Regular"/>
          <w:sz w:val="22"/>
          <w:szCs w:val="22"/>
        </w:rPr>
        <w:t xml:space="preserve"> </w:t>
      </w:r>
      <w:r w:rsidRPr="000D257F">
        <w:rPr>
          <w:rFonts w:ascii="StobiSerif Regular" w:hAnsi="StobiSerif Regular"/>
          <w:sz w:val="22"/>
          <w:szCs w:val="22"/>
          <w:lang w:val="sq-AL"/>
        </w:rPr>
        <w:t>të</w:t>
      </w:r>
      <w:r w:rsidRPr="000D257F">
        <w:rPr>
          <w:rFonts w:ascii="StobiSerif Regular" w:hAnsi="StobiSerif Regular"/>
          <w:sz w:val="22"/>
          <w:szCs w:val="22"/>
        </w:rPr>
        <w:t xml:space="preserve"> inform</w:t>
      </w:r>
      <w:r w:rsidRPr="000D257F">
        <w:rPr>
          <w:rFonts w:ascii="StobiSerif Regular" w:hAnsi="StobiSerif Regular"/>
          <w:sz w:val="22"/>
          <w:szCs w:val="22"/>
          <w:lang w:val="sq-AL"/>
        </w:rPr>
        <w:t>atave</w:t>
      </w:r>
      <w:r w:rsidRPr="000D257F">
        <w:rPr>
          <w:rFonts w:ascii="StobiSerif Regular" w:hAnsi="StobiSerif Regular"/>
          <w:sz w:val="22"/>
          <w:szCs w:val="22"/>
        </w:rPr>
        <w:t xml:space="preserve"> me institucionet përkatëse; ndryshime në Ligjin për </w:t>
      </w:r>
      <w:r w:rsidRPr="000D257F">
        <w:rPr>
          <w:rFonts w:ascii="StobiSerif Regular" w:hAnsi="StobiSerif Regular"/>
          <w:sz w:val="22"/>
          <w:szCs w:val="22"/>
          <w:lang w:val="sq-AL"/>
        </w:rPr>
        <w:t>P</w:t>
      </w:r>
      <w:r w:rsidRPr="000D257F">
        <w:rPr>
          <w:rFonts w:ascii="StobiSerif Regular" w:hAnsi="StobiSerif Regular"/>
          <w:sz w:val="22"/>
          <w:szCs w:val="22"/>
        </w:rPr>
        <w:t xml:space="preserve">ërgjegjësi </w:t>
      </w:r>
      <w:r w:rsidRPr="000D257F">
        <w:rPr>
          <w:rFonts w:ascii="StobiSerif Regular" w:hAnsi="StobiSerif Regular"/>
          <w:sz w:val="22"/>
          <w:szCs w:val="22"/>
          <w:lang w:val="sq-AL"/>
        </w:rPr>
        <w:t>D</w:t>
      </w:r>
      <w:r w:rsidRPr="000D257F">
        <w:rPr>
          <w:rFonts w:ascii="StobiSerif Regular" w:hAnsi="StobiSerif Regular"/>
          <w:sz w:val="22"/>
          <w:szCs w:val="22"/>
        </w:rPr>
        <w:t xml:space="preserve">isiplinore të </w:t>
      </w:r>
      <w:r w:rsidRPr="000D257F">
        <w:rPr>
          <w:rFonts w:ascii="StobiSerif Regular" w:hAnsi="StobiSerif Regular"/>
          <w:sz w:val="22"/>
          <w:szCs w:val="22"/>
          <w:lang w:val="sq-AL"/>
        </w:rPr>
        <w:t>G</w:t>
      </w:r>
      <w:r w:rsidRPr="000D257F">
        <w:rPr>
          <w:rFonts w:ascii="StobiSerif Regular" w:hAnsi="StobiSerif Regular"/>
          <w:sz w:val="22"/>
          <w:szCs w:val="22"/>
        </w:rPr>
        <w:t xml:space="preserve">jyqtarëve dhe </w:t>
      </w:r>
      <w:r w:rsidRPr="000D257F">
        <w:rPr>
          <w:rFonts w:ascii="StobiSerif Regular" w:hAnsi="StobiSerif Regular"/>
          <w:sz w:val="22"/>
          <w:szCs w:val="22"/>
          <w:lang w:val="sq-AL"/>
        </w:rPr>
        <w:t>P</w:t>
      </w:r>
      <w:r w:rsidRPr="000D257F">
        <w:rPr>
          <w:rFonts w:ascii="StobiSerif Regular" w:hAnsi="StobiSerif Regular"/>
          <w:sz w:val="22"/>
          <w:szCs w:val="22"/>
        </w:rPr>
        <w:t xml:space="preserve">rokurorëve në </w:t>
      </w:r>
      <w:r w:rsidRPr="000D257F">
        <w:rPr>
          <w:rFonts w:ascii="StobiSerif Regular" w:hAnsi="StobiSerif Regular"/>
          <w:sz w:val="22"/>
          <w:szCs w:val="22"/>
          <w:lang w:val="sq-AL"/>
        </w:rPr>
        <w:t>pajtim</w:t>
      </w:r>
      <w:r w:rsidRPr="000D257F">
        <w:rPr>
          <w:rFonts w:ascii="StobiSerif Regular" w:hAnsi="StobiSerif Regular"/>
          <w:sz w:val="22"/>
          <w:szCs w:val="22"/>
        </w:rPr>
        <w:t xml:space="preserve"> me </w:t>
      </w:r>
      <w:r w:rsidRPr="000D257F">
        <w:rPr>
          <w:rFonts w:ascii="StobiSerif Regular" w:hAnsi="StobiSerif Regular"/>
          <w:sz w:val="22"/>
          <w:szCs w:val="22"/>
          <w:lang w:val="sq-AL"/>
        </w:rPr>
        <w:t>konstatimet</w:t>
      </w:r>
      <w:r w:rsidRPr="000D257F">
        <w:rPr>
          <w:rFonts w:ascii="StobiSerif Regular" w:hAnsi="StobiSerif Regular"/>
          <w:sz w:val="22"/>
          <w:szCs w:val="22"/>
        </w:rPr>
        <w:t xml:space="preserve"> e misionit vlerësues TAIEX, duke përfshirë edhe trupi</w:t>
      </w:r>
      <w:r w:rsidRPr="000D257F">
        <w:rPr>
          <w:rFonts w:ascii="StobiSerif Regular" w:hAnsi="StobiSerif Regular"/>
          <w:sz w:val="22"/>
          <w:szCs w:val="22"/>
          <w:lang w:val="sq-AL"/>
        </w:rPr>
        <w:t>n hulumtues</w:t>
      </w:r>
      <w:r w:rsidRPr="000D257F">
        <w:rPr>
          <w:rFonts w:ascii="StobiSerif Regular" w:hAnsi="StobiSerif Regular"/>
          <w:sz w:val="22"/>
          <w:szCs w:val="22"/>
        </w:rPr>
        <w:t xml:space="preserve"> të specializuar; të përmirësohet sistemi i punësimit përmes </w:t>
      </w:r>
      <w:r w:rsidRPr="000D257F">
        <w:rPr>
          <w:rFonts w:ascii="StobiSerif Regular" w:hAnsi="StobiSerif Regular"/>
          <w:sz w:val="22"/>
          <w:szCs w:val="22"/>
          <w:lang w:val="sq-AL"/>
        </w:rPr>
        <w:t>për</w:t>
      </w:r>
      <w:r w:rsidRPr="000D257F">
        <w:rPr>
          <w:rFonts w:ascii="StobiSerif Regular" w:hAnsi="StobiSerif Regular"/>
          <w:sz w:val="22"/>
          <w:szCs w:val="22"/>
        </w:rPr>
        <w:t xml:space="preserve">forcimit të mekanizmave ekzistues </w:t>
      </w:r>
      <w:r w:rsidRPr="000D257F">
        <w:rPr>
          <w:rFonts w:ascii="StobiSerif Regular" w:hAnsi="StobiSerif Regular"/>
          <w:sz w:val="22"/>
          <w:szCs w:val="22"/>
          <w:lang w:val="sq-AL"/>
        </w:rPr>
        <w:t>për kontroll</w:t>
      </w:r>
      <w:r w:rsidRPr="000D257F">
        <w:rPr>
          <w:rFonts w:ascii="StobiSerif Regular" w:hAnsi="StobiSerif Regular"/>
          <w:sz w:val="22"/>
          <w:szCs w:val="22"/>
        </w:rPr>
        <w:t xml:space="preserve"> të kandidatëve, duke përfshirë edhe qartësimin e fushëveprimit dhe procedurave të tij.</w:t>
      </w:r>
    </w:p>
    <w:p w14:paraId="15AF4316" w14:textId="77777777" w:rsidR="00A27820" w:rsidRPr="000D257F" w:rsidRDefault="00A27820" w:rsidP="00A27820">
      <w:pPr>
        <w:shd w:val="clear" w:color="auto" w:fill="FFFFFF"/>
        <w:spacing w:before="120" w:after="120"/>
        <w:ind w:left="720"/>
        <w:jc w:val="both"/>
        <w:rPr>
          <w:rFonts w:ascii="StobiSerif Regular" w:hAnsi="StobiSerif Regular"/>
          <w:sz w:val="22"/>
          <w:szCs w:val="22"/>
        </w:rPr>
      </w:pPr>
    </w:p>
    <w:tbl>
      <w:tblPr>
        <w:tblW w:w="9174" w:type="dxa"/>
        <w:tblInd w:w="40" w:type="dxa"/>
        <w:tblLayout w:type="fixed"/>
        <w:tblCellMar>
          <w:left w:w="40" w:type="dxa"/>
          <w:right w:w="40" w:type="dxa"/>
        </w:tblCellMar>
        <w:tblLook w:val="0000" w:firstRow="0" w:lastRow="0" w:firstColumn="0" w:lastColumn="0" w:noHBand="0" w:noVBand="0"/>
      </w:tblPr>
      <w:tblGrid>
        <w:gridCol w:w="4355"/>
        <w:gridCol w:w="4819"/>
      </w:tblGrid>
      <w:tr w:rsidR="00C71B06" w:rsidRPr="000D257F" w14:paraId="239279D1" w14:textId="77777777" w:rsidTr="00844274">
        <w:trPr>
          <w:trHeight w:val="146"/>
        </w:trPr>
        <w:tc>
          <w:tcPr>
            <w:tcW w:w="4355" w:type="dxa"/>
            <w:tcBorders>
              <w:top w:val="nil"/>
              <w:left w:val="nil"/>
              <w:bottom w:val="single" w:sz="6" w:space="0" w:color="auto"/>
              <w:right w:val="single" w:sz="6" w:space="0" w:color="auto"/>
            </w:tcBorders>
            <w:shd w:val="clear" w:color="auto" w:fill="FFFFFF"/>
          </w:tcPr>
          <w:p w14:paraId="0C10A9B0" w14:textId="504CE6E5" w:rsidR="00C71B06" w:rsidRPr="000D257F" w:rsidRDefault="00A27820" w:rsidP="000A441A">
            <w:pPr>
              <w:shd w:val="clear" w:color="auto" w:fill="FFFFFF"/>
              <w:spacing w:before="120" w:after="120"/>
              <w:jc w:val="center"/>
              <w:rPr>
                <w:rFonts w:ascii="StobiSerif Regular" w:hAnsi="StobiSerif Regular"/>
                <w:sz w:val="22"/>
                <w:szCs w:val="22"/>
              </w:rPr>
            </w:pPr>
            <w:r w:rsidRPr="000D257F">
              <w:rPr>
                <w:rFonts w:ascii="StobiSerif Regular" w:hAnsi="StobiSerif Regular"/>
                <w:b/>
                <w:color w:val="00B050"/>
                <w:sz w:val="22"/>
                <w:szCs w:val="22"/>
                <w:lang w:val="sq-AL"/>
              </w:rPr>
              <w:t>E pranueshme</w:t>
            </w:r>
            <w:r w:rsidRPr="000D257F">
              <w:rPr>
                <w:rFonts w:ascii="StobiSerif Regular" w:hAnsi="StobiSerif Regular"/>
                <w:b/>
                <w:color w:val="00B050"/>
                <w:sz w:val="22"/>
                <w:szCs w:val="22"/>
              </w:rPr>
              <w:t xml:space="preserve"> (Nuk ka financim të dyfisht</w:t>
            </w:r>
            <w:r w:rsidRPr="000D257F">
              <w:rPr>
                <w:rFonts w:ascii="StobiSerif Regular" w:hAnsi="StobiSerif Regular"/>
                <w:b/>
                <w:color w:val="00B050"/>
                <w:sz w:val="22"/>
                <w:szCs w:val="22"/>
                <w:lang w:val="sq-AL"/>
              </w:rPr>
              <w:t>ë</w:t>
            </w:r>
            <w:r w:rsidRPr="000D257F">
              <w:rPr>
                <w:rFonts w:ascii="StobiSerif Regular" w:hAnsi="StobiSerif Regular"/>
                <w:b/>
                <w:color w:val="00B050"/>
                <w:sz w:val="22"/>
                <w:szCs w:val="22"/>
              </w:rPr>
              <w:t>):</w:t>
            </w:r>
          </w:p>
        </w:tc>
        <w:tc>
          <w:tcPr>
            <w:tcW w:w="4819" w:type="dxa"/>
            <w:tcBorders>
              <w:top w:val="nil"/>
              <w:left w:val="single" w:sz="6" w:space="0" w:color="auto"/>
              <w:bottom w:val="single" w:sz="6" w:space="0" w:color="auto"/>
              <w:right w:val="nil"/>
            </w:tcBorders>
            <w:shd w:val="clear" w:color="auto" w:fill="FFFFFF"/>
          </w:tcPr>
          <w:p w14:paraId="764A830D" w14:textId="4F60C432" w:rsidR="00C71B06" w:rsidRPr="000D257F" w:rsidRDefault="00A27820" w:rsidP="00CE17F9">
            <w:pPr>
              <w:shd w:val="clear" w:color="auto" w:fill="FFFFFF"/>
              <w:spacing w:before="120" w:after="120"/>
              <w:jc w:val="center"/>
              <w:rPr>
                <w:rFonts w:ascii="StobiSerif Regular" w:hAnsi="StobiSerif Regular"/>
                <w:sz w:val="22"/>
                <w:szCs w:val="22"/>
              </w:rPr>
            </w:pPr>
            <w:r w:rsidRPr="000D257F">
              <w:rPr>
                <w:rFonts w:ascii="StobiSerif Regular" w:hAnsi="StobiSerif Regular"/>
                <w:b/>
                <w:color w:val="FF0000"/>
                <w:sz w:val="22"/>
                <w:szCs w:val="22"/>
                <w:lang w:val="sq-AL"/>
              </w:rPr>
              <w:t>Nuk është e pranueshme</w:t>
            </w:r>
            <w:r w:rsidRPr="000D257F">
              <w:rPr>
                <w:rFonts w:ascii="StobiSerif Regular" w:hAnsi="StobiSerif Regular"/>
                <w:b/>
                <w:color w:val="FF0000"/>
                <w:sz w:val="22"/>
                <w:szCs w:val="22"/>
              </w:rPr>
              <w:t>:</w:t>
            </w:r>
          </w:p>
        </w:tc>
      </w:tr>
      <w:tr w:rsidR="00A27820" w:rsidRPr="000D257F" w14:paraId="090AB9A3" w14:textId="77777777" w:rsidTr="00844274">
        <w:trPr>
          <w:trHeight w:val="2109"/>
        </w:trPr>
        <w:tc>
          <w:tcPr>
            <w:tcW w:w="4355" w:type="dxa"/>
            <w:tcBorders>
              <w:top w:val="single" w:sz="6" w:space="0" w:color="auto"/>
              <w:left w:val="nil"/>
              <w:right w:val="single" w:sz="6" w:space="0" w:color="auto"/>
            </w:tcBorders>
            <w:shd w:val="clear" w:color="auto" w:fill="FFFFFF"/>
          </w:tcPr>
          <w:p w14:paraId="45581693" w14:textId="6443DFB0" w:rsidR="00A27820" w:rsidRPr="000D257F" w:rsidRDefault="00A27820" w:rsidP="00A27820">
            <w:p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lastRenderedPageBreak/>
              <w:t>Veprimet komplementare të BE-së ofrojnë trajnime ose organizim</w:t>
            </w:r>
            <w:r w:rsidRPr="000D257F">
              <w:rPr>
                <w:rFonts w:ascii="StobiSerif Regular" w:hAnsi="StobiSerif Regular"/>
                <w:sz w:val="22"/>
                <w:szCs w:val="22"/>
                <w:lang w:val="sq-AL"/>
              </w:rPr>
              <w:t>e</w:t>
            </w:r>
            <w:r w:rsidRPr="000D257F">
              <w:rPr>
                <w:rFonts w:ascii="StobiSerif Regular" w:hAnsi="StobiSerif Regular"/>
                <w:sz w:val="22"/>
                <w:szCs w:val="22"/>
              </w:rPr>
              <w:t xml:space="preserve"> të vizitave studimo</w:t>
            </w:r>
            <w:r w:rsidRPr="000D257F">
              <w:rPr>
                <w:rFonts w:ascii="StobiSerif Regular" w:hAnsi="StobiSerif Regular"/>
                <w:sz w:val="22"/>
                <w:szCs w:val="22"/>
                <w:lang w:val="sq-AL"/>
              </w:rPr>
              <w:t>re</w:t>
            </w:r>
            <w:r w:rsidRPr="000D257F">
              <w:rPr>
                <w:rFonts w:ascii="StobiSerif Regular" w:hAnsi="StobiSerif Regular"/>
                <w:sz w:val="22"/>
                <w:szCs w:val="22"/>
              </w:rPr>
              <w:t xml:space="preserve"> për </w:t>
            </w:r>
            <w:r w:rsidRPr="000D257F">
              <w:rPr>
                <w:rFonts w:ascii="StobiSerif Regular" w:hAnsi="StobiSerif Regular"/>
                <w:sz w:val="22"/>
                <w:szCs w:val="22"/>
                <w:lang w:val="sq-AL"/>
              </w:rPr>
              <w:t>kuadrin</w:t>
            </w:r>
            <w:r w:rsidRPr="000D257F">
              <w:rPr>
                <w:rFonts w:ascii="StobiSerif Regular" w:hAnsi="StobiSerif Regular"/>
                <w:sz w:val="22"/>
                <w:szCs w:val="22"/>
              </w:rPr>
              <w:t xml:space="preserve"> përkatës në Komisionin Shtetëror për Parandalimin e Korrupsionit, ose sigurojnë aktivitete për zhvillimin e kapaciteteve të Komisionit Shtetëror për Parandalimin e Korrupsionit apo elementëve të tjerë të përmendur</w:t>
            </w:r>
            <w:r w:rsidRPr="000D257F">
              <w:rPr>
                <w:rFonts w:ascii="StobiSerif Regular" w:hAnsi="StobiSerif Regular"/>
                <w:sz w:val="22"/>
                <w:szCs w:val="22"/>
                <w:lang w:val="sq-AL"/>
              </w:rPr>
              <w:t>a</w:t>
            </w:r>
            <w:r w:rsidRPr="000D257F">
              <w:rPr>
                <w:rFonts w:ascii="StobiSerif Regular" w:hAnsi="StobiSerif Regular"/>
                <w:sz w:val="22"/>
                <w:szCs w:val="22"/>
              </w:rPr>
              <w:t xml:space="preserve"> në hap (</w:t>
            </w:r>
            <w:r w:rsidRPr="000D257F">
              <w:rPr>
                <w:rFonts w:ascii="StobiSerif Regular" w:hAnsi="StobiSerif Regular"/>
                <w:sz w:val="22"/>
                <w:szCs w:val="22"/>
                <w:lang w:val="sq-AL"/>
              </w:rPr>
              <w:t>d.m.th.</w:t>
            </w:r>
            <w:r w:rsidRPr="000D257F">
              <w:rPr>
                <w:rFonts w:ascii="StobiSerif Regular" w:hAnsi="StobiSerif Regular"/>
                <w:sz w:val="22"/>
                <w:szCs w:val="22"/>
              </w:rPr>
              <w:t xml:space="preserve"> sistem </w:t>
            </w:r>
            <w:r w:rsidRPr="000D257F">
              <w:rPr>
                <w:rFonts w:ascii="StobiSerif Regular" w:hAnsi="StobiSerif Regular"/>
                <w:sz w:val="22"/>
                <w:szCs w:val="22"/>
                <w:lang w:val="sq-AL"/>
              </w:rPr>
              <w:t>për</w:t>
            </w:r>
            <w:r w:rsidRPr="000D257F">
              <w:rPr>
                <w:rFonts w:ascii="StobiSerif Regular" w:hAnsi="StobiSerif Regular"/>
                <w:sz w:val="22"/>
                <w:szCs w:val="22"/>
              </w:rPr>
              <w:t xml:space="preserve"> punësim).</w:t>
            </w:r>
          </w:p>
        </w:tc>
        <w:tc>
          <w:tcPr>
            <w:tcW w:w="4819" w:type="dxa"/>
            <w:tcBorders>
              <w:top w:val="single" w:sz="6" w:space="0" w:color="auto"/>
              <w:left w:val="single" w:sz="6" w:space="0" w:color="auto"/>
              <w:right w:val="nil"/>
            </w:tcBorders>
            <w:shd w:val="clear" w:color="auto" w:fill="FFFFFF"/>
          </w:tcPr>
          <w:p w14:paraId="5F66E276" w14:textId="147D72FF" w:rsidR="00A27820" w:rsidRPr="000D257F" w:rsidRDefault="00A27820" w:rsidP="00A27820">
            <w:pPr>
              <w:shd w:val="clear" w:color="auto" w:fill="FFFFFF"/>
              <w:spacing w:before="120" w:after="120"/>
              <w:jc w:val="both"/>
              <w:rPr>
                <w:rFonts w:ascii="StobiSerif Regular" w:hAnsi="StobiSerif Regular"/>
                <w:sz w:val="22"/>
                <w:szCs w:val="22"/>
              </w:rPr>
            </w:pPr>
            <w:r w:rsidRPr="000D257F">
              <w:rPr>
                <w:rFonts w:ascii="StobiSerif Regular" w:hAnsi="StobiSerif Regular"/>
                <w:color w:val="000000"/>
                <w:sz w:val="22"/>
                <w:szCs w:val="22"/>
                <w:lang w:val="sq-AL"/>
              </w:rPr>
              <w:t>Nuk ka të dhëna</w:t>
            </w:r>
          </w:p>
        </w:tc>
      </w:tr>
    </w:tbl>
    <w:p w14:paraId="468ABBEB" w14:textId="14EAF1C2" w:rsidR="00A27820" w:rsidRPr="000D257F" w:rsidRDefault="00A27820" w:rsidP="00803AFB">
      <w:pPr>
        <w:shd w:val="clear" w:color="auto" w:fill="FFFFFF"/>
        <w:spacing w:before="120" w:after="120"/>
        <w:jc w:val="both"/>
        <w:rPr>
          <w:rFonts w:ascii="StobiSerif Regular" w:hAnsi="StobiSerif Regular"/>
          <w:color w:val="242424"/>
          <w:sz w:val="22"/>
          <w:szCs w:val="22"/>
          <w:lang w:val="sq-AL"/>
        </w:rPr>
      </w:pPr>
      <w:r w:rsidRPr="000D257F">
        <w:rPr>
          <w:rFonts w:ascii="StobiSerif Regular" w:hAnsi="StobiSerif Regular"/>
          <w:color w:val="242424"/>
          <w:sz w:val="22"/>
          <w:szCs w:val="22"/>
          <w:lang w:val="sq-AL"/>
        </w:rPr>
        <w:t>Ose</w:t>
      </w:r>
    </w:p>
    <w:p w14:paraId="780DACAE" w14:textId="3CCE7A74" w:rsidR="00A27820" w:rsidRPr="000D257F" w:rsidRDefault="00A27820" w:rsidP="00A27820">
      <w:pPr>
        <w:pStyle w:val="ListParagraph"/>
        <w:numPr>
          <w:ilvl w:val="0"/>
          <w:numId w:val="1"/>
        </w:num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sz w:val="22"/>
          <w:szCs w:val="22"/>
        </w:rPr>
        <w:t>Agjencia për Investime të Huaja dhe Promovim të Eksportit dhe Agjencia për Mbështetje të Sipërm</w:t>
      </w:r>
      <w:r w:rsidRPr="000D257F">
        <w:rPr>
          <w:rFonts w:ascii="StobiSerif Regular" w:hAnsi="StobiSerif Regular"/>
          <w:sz w:val="22"/>
          <w:szCs w:val="22"/>
          <w:lang w:val="sq-AL"/>
        </w:rPr>
        <w:t>arrësisë</w:t>
      </w:r>
      <w:r w:rsidRPr="000D257F">
        <w:rPr>
          <w:rFonts w:ascii="StobiSerif Regular" w:hAnsi="StobiSerif Regular"/>
          <w:sz w:val="22"/>
          <w:szCs w:val="22"/>
        </w:rPr>
        <w:t xml:space="preserve"> janë </w:t>
      </w:r>
      <w:r w:rsidRPr="000D257F">
        <w:rPr>
          <w:rFonts w:ascii="StobiSerif Regular" w:hAnsi="StobiSerif Regular"/>
          <w:sz w:val="22"/>
          <w:szCs w:val="22"/>
          <w:lang w:val="sq-AL"/>
        </w:rPr>
        <w:t>formuar</w:t>
      </w:r>
      <w:r w:rsidRPr="000D257F">
        <w:rPr>
          <w:rFonts w:ascii="StobiSerif Regular" w:hAnsi="StobiSerif Regular"/>
          <w:sz w:val="22"/>
          <w:szCs w:val="22"/>
        </w:rPr>
        <w:t xml:space="preserve"> dhe plotësisht opera</w:t>
      </w:r>
      <w:r w:rsidRPr="000D257F">
        <w:rPr>
          <w:rFonts w:ascii="StobiSerif Regular" w:hAnsi="StobiSerif Regular"/>
          <w:sz w:val="22"/>
          <w:szCs w:val="22"/>
          <w:lang w:val="sq-AL"/>
        </w:rPr>
        <w:t>tive</w:t>
      </w:r>
      <w:r w:rsidRPr="000D257F">
        <w:rPr>
          <w:rFonts w:ascii="StobiSerif Regular" w:hAnsi="StobiSerif Regular"/>
          <w:sz w:val="22"/>
          <w:szCs w:val="22"/>
        </w:rPr>
        <w:t xml:space="preserve"> </w:t>
      </w:r>
      <w:r w:rsidRPr="000D257F">
        <w:rPr>
          <w:rStyle w:val="FootnoteReference"/>
          <w:rFonts w:ascii="StobiSerif Regular" w:hAnsi="StobiSerif Regular"/>
          <w:color w:val="242424"/>
          <w:sz w:val="22"/>
          <w:szCs w:val="22"/>
        </w:rPr>
        <w:footnoteReference w:id="3"/>
      </w:r>
      <w:r w:rsidRPr="000D257F">
        <w:rPr>
          <w:rFonts w:ascii="StobiSerif Regular" w:hAnsi="StobiSerif Regular"/>
          <w:sz w:val="22"/>
          <w:szCs w:val="22"/>
        </w:rPr>
        <w:t xml:space="preserve"> (përshkrimi i hapit i referohet vetëm v</w:t>
      </w:r>
      <w:r w:rsidRPr="000D257F">
        <w:rPr>
          <w:rFonts w:ascii="StobiSerif Regular" w:hAnsi="StobiSerif Regular"/>
          <w:sz w:val="22"/>
          <w:szCs w:val="22"/>
          <w:lang w:val="sq-AL"/>
        </w:rPr>
        <w:t>ënies</w:t>
      </w:r>
      <w:r w:rsidRPr="000D257F">
        <w:rPr>
          <w:rFonts w:ascii="StobiSerif Regular" w:hAnsi="StobiSerif Regular"/>
          <w:sz w:val="22"/>
          <w:szCs w:val="22"/>
        </w:rPr>
        <w:t xml:space="preserve"> në përdorim </w:t>
      </w:r>
      <w:r w:rsidRPr="000D257F">
        <w:rPr>
          <w:rFonts w:ascii="StobiSerif Regular" w:hAnsi="StobiSerif Regular"/>
          <w:sz w:val="22"/>
          <w:szCs w:val="22"/>
          <w:lang w:val="sq-AL"/>
        </w:rPr>
        <w:t>eksepsionalisht</w:t>
      </w:r>
      <w:r w:rsidRPr="000D257F">
        <w:rPr>
          <w:rFonts w:ascii="StobiSerif Regular" w:hAnsi="StobiSerif Regular"/>
          <w:sz w:val="22"/>
          <w:szCs w:val="22"/>
        </w:rPr>
        <w:t xml:space="preserve"> </w:t>
      </w:r>
      <w:r w:rsidRPr="000D257F">
        <w:rPr>
          <w:rFonts w:ascii="StobiSerif Regular" w:hAnsi="StobiSerif Regular"/>
          <w:sz w:val="22"/>
          <w:szCs w:val="22"/>
          <w:lang w:val="sq-AL"/>
        </w:rPr>
        <w:t>si vënien në dispozicion të</w:t>
      </w:r>
      <w:r w:rsidRPr="000D257F">
        <w:rPr>
          <w:rFonts w:ascii="StobiSerif Regular" w:hAnsi="StobiSerif Regular"/>
          <w:sz w:val="22"/>
          <w:szCs w:val="22"/>
        </w:rPr>
        <w:t xml:space="preserve"> </w:t>
      </w:r>
      <w:r w:rsidRPr="000D257F">
        <w:rPr>
          <w:rFonts w:ascii="StobiSerif Regular" w:hAnsi="StobiSerif Regular"/>
          <w:sz w:val="22"/>
          <w:szCs w:val="22"/>
          <w:lang w:val="sq-AL"/>
        </w:rPr>
        <w:t>paisjesë së</w:t>
      </w:r>
      <w:r w:rsidRPr="000D257F">
        <w:rPr>
          <w:rFonts w:ascii="StobiSerif Regular" w:hAnsi="StobiSerif Regular"/>
          <w:sz w:val="22"/>
          <w:szCs w:val="22"/>
        </w:rPr>
        <w:t xml:space="preserve"> IT</w:t>
      </w:r>
      <w:r w:rsidRPr="000D257F">
        <w:rPr>
          <w:rFonts w:ascii="StobiSerif Regular" w:hAnsi="StobiSerif Regular"/>
          <w:sz w:val="22"/>
          <w:szCs w:val="22"/>
          <w:lang w:val="sq-AL"/>
        </w:rPr>
        <w:t>-së</w:t>
      </w:r>
      <w:r w:rsidRPr="000D257F">
        <w:rPr>
          <w:rFonts w:ascii="StobiSerif Regular" w:hAnsi="StobiSerif Regular"/>
          <w:sz w:val="22"/>
          <w:szCs w:val="22"/>
        </w:rPr>
        <w:t>, trajni</w:t>
      </w:r>
      <w:r w:rsidRPr="000D257F">
        <w:rPr>
          <w:rFonts w:ascii="StobiSerif Regular" w:hAnsi="StobiSerif Regular"/>
          <w:sz w:val="22"/>
          <w:szCs w:val="22"/>
          <w:lang w:val="sq-AL"/>
        </w:rPr>
        <w:t>mit</w:t>
      </w:r>
      <w:r w:rsidRPr="000D257F">
        <w:rPr>
          <w:rFonts w:ascii="StobiSerif Regular" w:hAnsi="StobiSerif Regular"/>
          <w:sz w:val="22"/>
          <w:szCs w:val="22"/>
        </w:rPr>
        <w:t>, etj.).</w:t>
      </w:r>
    </w:p>
    <w:p w14:paraId="6B310B17" w14:textId="77777777" w:rsidR="00A27820" w:rsidRPr="000D257F" w:rsidRDefault="00A27820" w:rsidP="00A27820">
      <w:pPr>
        <w:pStyle w:val="ListParagraph"/>
        <w:shd w:val="clear" w:color="auto" w:fill="FFFFFF"/>
        <w:spacing w:before="120" w:after="120"/>
        <w:jc w:val="both"/>
        <w:rPr>
          <w:rFonts w:ascii="StobiSerif Regular" w:hAnsi="StobiSerif Regular"/>
          <w:sz w:val="22"/>
          <w:szCs w:val="22"/>
          <w:lang w:val="sq-AL"/>
        </w:rPr>
      </w:pPr>
    </w:p>
    <w:tbl>
      <w:tblPr>
        <w:tblW w:w="0" w:type="auto"/>
        <w:tblInd w:w="40" w:type="dxa"/>
        <w:tblLayout w:type="fixed"/>
        <w:tblCellMar>
          <w:left w:w="40" w:type="dxa"/>
          <w:right w:w="40" w:type="dxa"/>
        </w:tblCellMar>
        <w:tblLook w:val="0000" w:firstRow="0" w:lastRow="0" w:firstColumn="0" w:lastColumn="0" w:noHBand="0" w:noVBand="0"/>
      </w:tblPr>
      <w:tblGrid>
        <w:gridCol w:w="4282"/>
        <w:gridCol w:w="4805"/>
      </w:tblGrid>
      <w:tr w:rsidR="00C71B06" w:rsidRPr="000D257F" w14:paraId="1039E5D6" w14:textId="77777777">
        <w:trPr>
          <w:trHeight w:val="288"/>
        </w:trPr>
        <w:tc>
          <w:tcPr>
            <w:tcW w:w="4282" w:type="dxa"/>
            <w:tcBorders>
              <w:top w:val="nil"/>
              <w:left w:val="nil"/>
              <w:bottom w:val="single" w:sz="6" w:space="0" w:color="auto"/>
              <w:right w:val="single" w:sz="6" w:space="0" w:color="auto"/>
            </w:tcBorders>
            <w:shd w:val="clear" w:color="auto" w:fill="FFFFFF"/>
          </w:tcPr>
          <w:p w14:paraId="5AE6AF41" w14:textId="3685C1AE" w:rsidR="00C71B06" w:rsidRPr="000D257F" w:rsidRDefault="00A27820" w:rsidP="000A441A">
            <w:pPr>
              <w:shd w:val="clear" w:color="auto" w:fill="FFFFFF"/>
              <w:spacing w:before="120" w:after="120"/>
              <w:jc w:val="center"/>
              <w:rPr>
                <w:rFonts w:ascii="StobiSerif Regular" w:hAnsi="StobiSerif Regular"/>
                <w:sz w:val="22"/>
                <w:szCs w:val="22"/>
              </w:rPr>
            </w:pPr>
            <w:r w:rsidRPr="000D257F">
              <w:rPr>
                <w:rFonts w:ascii="StobiSerif Regular" w:hAnsi="StobiSerif Regular"/>
                <w:b/>
                <w:color w:val="00B050"/>
                <w:sz w:val="22"/>
                <w:szCs w:val="22"/>
                <w:lang w:val="sq-AL"/>
              </w:rPr>
              <w:t>E pranueshme</w:t>
            </w:r>
            <w:r w:rsidRPr="000D257F">
              <w:rPr>
                <w:rFonts w:ascii="StobiSerif Regular" w:hAnsi="StobiSerif Regular"/>
                <w:b/>
                <w:color w:val="00B050"/>
                <w:sz w:val="22"/>
                <w:szCs w:val="22"/>
              </w:rPr>
              <w:t xml:space="preserve"> (Nuk ka financim të dyfisht</w:t>
            </w:r>
            <w:r w:rsidRPr="000D257F">
              <w:rPr>
                <w:rFonts w:ascii="StobiSerif Regular" w:hAnsi="StobiSerif Regular"/>
                <w:b/>
                <w:color w:val="00B050"/>
                <w:sz w:val="22"/>
                <w:szCs w:val="22"/>
                <w:lang w:val="sq-AL"/>
              </w:rPr>
              <w:t>ë</w:t>
            </w:r>
            <w:r w:rsidRPr="000D257F">
              <w:rPr>
                <w:rFonts w:ascii="StobiSerif Regular" w:hAnsi="StobiSerif Regular"/>
                <w:b/>
                <w:color w:val="00B050"/>
                <w:sz w:val="22"/>
                <w:szCs w:val="22"/>
              </w:rPr>
              <w:t>):</w:t>
            </w:r>
          </w:p>
        </w:tc>
        <w:tc>
          <w:tcPr>
            <w:tcW w:w="4805" w:type="dxa"/>
            <w:tcBorders>
              <w:top w:val="nil"/>
              <w:left w:val="single" w:sz="6" w:space="0" w:color="auto"/>
              <w:bottom w:val="single" w:sz="6" w:space="0" w:color="auto"/>
              <w:right w:val="nil"/>
            </w:tcBorders>
            <w:shd w:val="clear" w:color="auto" w:fill="FFFFFF"/>
          </w:tcPr>
          <w:p w14:paraId="5EDE4640" w14:textId="0C4F529C" w:rsidR="00C71B06" w:rsidRPr="000D257F" w:rsidRDefault="00A27820" w:rsidP="00CE17F9">
            <w:pPr>
              <w:shd w:val="clear" w:color="auto" w:fill="FFFFFF"/>
              <w:spacing w:before="120" w:after="120"/>
              <w:jc w:val="center"/>
              <w:rPr>
                <w:rFonts w:ascii="StobiSerif Regular" w:hAnsi="StobiSerif Regular"/>
                <w:sz w:val="22"/>
                <w:szCs w:val="22"/>
                <w:lang w:val="sq-AL"/>
              </w:rPr>
            </w:pPr>
            <w:r w:rsidRPr="000D257F">
              <w:rPr>
                <w:rFonts w:ascii="StobiSerif Regular" w:hAnsi="StobiSerif Regular"/>
                <w:b/>
                <w:color w:val="FF0000"/>
                <w:sz w:val="22"/>
                <w:szCs w:val="22"/>
                <w:lang w:val="sq-AL"/>
              </w:rPr>
              <w:t>Nuk është e pranueshme</w:t>
            </w:r>
            <w:r w:rsidRPr="000D257F">
              <w:rPr>
                <w:rFonts w:ascii="StobiSerif Regular" w:hAnsi="StobiSerif Regular"/>
                <w:b/>
                <w:color w:val="EE0000"/>
                <w:sz w:val="22"/>
                <w:szCs w:val="22"/>
              </w:rPr>
              <w:t xml:space="preserve">: (financim </w:t>
            </w:r>
            <w:r w:rsidRPr="000D257F">
              <w:rPr>
                <w:rFonts w:ascii="StobiSerif Regular" w:hAnsi="StobiSerif Regular"/>
                <w:b/>
                <w:color w:val="EE0000"/>
                <w:sz w:val="22"/>
                <w:szCs w:val="22"/>
                <w:lang w:val="sq-AL"/>
              </w:rPr>
              <w:t>i</w:t>
            </w:r>
            <w:r w:rsidRPr="000D257F">
              <w:rPr>
                <w:rFonts w:ascii="StobiSerif Regular" w:hAnsi="StobiSerif Regular"/>
                <w:b/>
                <w:color w:val="EE0000"/>
                <w:sz w:val="22"/>
                <w:szCs w:val="22"/>
              </w:rPr>
              <w:t xml:space="preserve"> dyfisht</w:t>
            </w:r>
            <w:r w:rsidRPr="000D257F">
              <w:rPr>
                <w:rFonts w:ascii="StobiSerif Regular" w:hAnsi="StobiSerif Regular"/>
                <w:b/>
                <w:color w:val="EE0000"/>
                <w:sz w:val="22"/>
                <w:szCs w:val="22"/>
                <w:lang w:val="sq-AL"/>
              </w:rPr>
              <w:t>ë</w:t>
            </w:r>
            <w:r w:rsidRPr="000D257F">
              <w:rPr>
                <w:rFonts w:ascii="StobiSerif Regular" w:hAnsi="StobiSerif Regular"/>
                <w:b/>
                <w:color w:val="EE0000"/>
                <w:sz w:val="22"/>
                <w:szCs w:val="22"/>
              </w:rPr>
              <w:t>):</w:t>
            </w:r>
          </w:p>
        </w:tc>
      </w:tr>
      <w:tr w:rsidR="00C71B06" w:rsidRPr="000D257F" w14:paraId="7A61C14C" w14:textId="77777777" w:rsidTr="00D165F6">
        <w:trPr>
          <w:trHeight w:val="1198"/>
        </w:trPr>
        <w:tc>
          <w:tcPr>
            <w:tcW w:w="4282" w:type="dxa"/>
            <w:tcBorders>
              <w:top w:val="single" w:sz="6" w:space="0" w:color="auto"/>
              <w:left w:val="nil"/>
              <w:bottom w:val="nil"/>
              <w:right w:val="single" w:sz="6" w:space="0" w:color="auto"/>
            </w:tcBorders>
            <w:shd w:val="clear" w:color="auto" w:fill="FFFFFF"/>
          </w:tcPr>
          <w:p w14:paraId="1832FB64" w14:textId="4FB7B2D6" w:rsidR="00C71B06" w:rsidRPr="000D257F" w:rsidRDefault="00A27820"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t>Zhvillim i kapaciteteve/ndërtim i kapaciteteve të punonjësve, si trajnime, vizita studimore etj.</w:t>
            </w:r>
          </w:p>
        </w:tc>
        <w:tc>
          <w:tcPr>
            <w:tcW w:w="4805" w:type="dxa"/>
            <w:tcBorders>
              <w:top w:val="single" w:sz="6" w:space="0" w:color="auto"/>
              <w:left w:val="single" w:sz="6" w:space="0" w:color="auto"/>
              <w:bottom w:val="nil"/>
              <w:right w:val="nil"/>
            </w:tcBorders>
            <w:shd w:val="clear" w:color="auto" w:fill="FFFFFF"/>
          </w:tcPr>
          <w:p w14:paraId="76E2EB17" w14:textId="5DE275D9" w:rsidR="00C71B06" w:rsidRPr="000D257F" w:rsidRDefault="00A27820"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t xml:space="preserve">Ndihma komplementare nga BE-ja </w:t>
            </w:r>
            <w:r w:rsidRPr="000D257F">
              <w:rPr>
                <w:rFonts w:ascii="StobiSerif Regular" w:hAnsi="StobiSerif Regular"/>
                <w:sz w:val="22"/>
                <w:szCs w:val="22"/>
                <w:lang w:val="sq-AL"/>
              </w:rPr>
              <w:t xml:space="preserve">i </w:t>
            </w:r>
            <w:r w:rsidRPr="000D257F">
              <w:rPr>
                <w:rFonts w:ascii="StobiSerif Regular" w:hAnsi="StobiSerif Regular"/>
                <w:sz w:val="22"/>
                <w:szCs w:val="22"/>
              </w:rPr>
              <w:t xml:space="preserve">siguron të gjitha burimet e </w:t>
            </w:r>
            <w:r w:rsidRPr="000D257F">
              <w:rPr>
                <w:rFonts w:ascii="StobiSerif Regular" w:hAnsi="StobiSerif Regular"/>
                <w:sz w:val="22"/>
                <w:szCs w:val="22"/>
                <w:lang w:val="sq-AL"/>
              </w:rPr>
              <w:t>domosdoshme</w:t>
            </w:r>
            <w:r w:rsidRPr="000D257F">
              <w:rPr>
                <w:rFonts w:ascii="StobiSerif Regular" w:hAnsi="StobiSerif Regular"/>
                <w:sz w:val="22"/>
                <w:szCs w:val="22"/>
              </w:rPr>
              <w:t xml:space="preserve"> për v</w:t>
            </w:r>
            <w:r w:rsidRPr="000D257F">
              <w:rPr>
                <w:rFonts w:ascii="StobiSerif Regular" w:hAnsi="StobiSerif Regular"/>
                <w:sz w:val="22"/>
                <w:szCs w:val="22"/>
                <w:lang w:val="sq-AL"/>
              </w:rPr>
              <w:t>ënien</w:t>
            </w:r>
            <w:r w:rsidRPr="000D257F">
              <w:rPr>
                <w:rFonts w:ascii="StobiSerif Regular" w:hAnsi="StobiSerif Regular"/>
                <w:sz w:val="22"/>
                <w:szCs w:val="22"/>
              </w:rPr>
              <w:t xml:space="preserve"> në përdorim të agjencisë (pajisj</w:t>
            </w:r>
            <w:r w:rsidRPr="000D257F">
              <w:rPr>
                <w:rFonts w:ascii="StobiSerif Regular" w:hAnsi="StobiSerif Regular"/>
                <w:sz w:val="22"/>
                <w:szCs w:val="22"/>
                <w:lang w:val="sq-AL"/>
              </w:rPr>
              <w:t>e të</w:t>
            </w:r>
            <w:r w:rsidRPr="000D257F">
              <w:rPr>
                <w:rFonts w:ascii="StobiSerif Regular" w:hAnsi="StobiSerif Regular"/>
                <w:sz w:val="22"/>
                <w:szCs w:val="22"/>
              </w:rPr>
              <w:t xml:space="preserve"> IT</w:t>
            </w:r>
            <w:r w:rsidRPr="000D257F">
              <w:rPr>
                <w:rFonts w:ascii="StobiSerif Regular" w:hAnsi="StobiSerif Regular"/>
                <w:sz w:val="22"/>
                <w:szCs w:val="22"/>
                <w:lang w:val="sq-AL"/>
              </w:rPr>
              <w:t>-së</w:t>
            </w:r>
            <w:r w:rsidRPr="000D257F">
              <w:rPr>
                <w:rFonts w:ascii="StobiSerif Regular" w:hAnsi="StobiSerif Regular"/>
                <w:sz w:val="22"/>
                <w:szCs w:val="22"/>
              </w:rPr>
              <w:t>, trajnime).</w:t>
            </w:r>
          </w:p>
        </w:tc>
      </w:tr>
    </w:tbl>
    <w:p w14:paraId="134168D6" w14:textId="77777777" w:rsidR="00D165F6" w:rsidRPr="000D257F" w:rsidRDefault="00D165F6" w:rsidP="00D165F6">
      <w:pPr>
        <w:shd w:val="clear" w:color="auto" w:fill="FFFFFF"/>
        <w:spacing w:before="120" w:after="120"/>
        <w:ind w:left="720"/>
        <w:jc w:val="both"/>
        <w:rPr>
          <w:rFonts w:ascii="StobiSerif Regular" w:hAnsi="StobiSerif Regular"/>
          <w:sz w:val="22"/>
          <w:szCs w:val="22"/>
        </w:rPr>
      </w:pPr>
    </w:p>
    <w:p w14:paraId="54320466" w14:textId="77777777" w:rsidR="00A27820" w:rsidRPr="000D257F" w:rsidRDefault="00A27820" w:rsidP="00A27820">
      <w:pPr>
        <w:numPr>
          <w:ilvl w:val="0"/>
          <w:numId w:val="1"/>
        </w:numPr>
        <w:shd w:val="clear" w:color="auto" w:fill="FFFFFF"/>
        <w:spacing w:before="120" w:after="120"/>
        <w:jc w:val="both"/>
        <w:rPr>
          <w:rFonts w:ascii="StobiSerif Regular" w:hAnsi="StobiSerif Regular"/>
          <w:color w:val="242424"/>
          <w:sz w:val="22"/>
          <w:szCs w:val="22"/>
          <w:lang w:val="sq-AL"/>
        </w:rPr>
      </w:pPr>
      <w:r w:rsidRPr="000D257F">
        <w:rPr>
          <w:rFonts w:ascii="StobiSerif Regular" w:hAnsi="StobiSerif Regular"/>
          <w:color w:val="242424"/>
          <w:sz w:val="22"/>
          <w:szCs w:val="22"/>
        </w:rPr>
        <w:t>50 punonjës në Ministrinë e Financave do të marrin trajnim për</w:t>
      </w:r>
      <w:r w:rsidRPr="000D257F">
        <w:rPr>
          <w:rFonts w:ascii="StobiSerif Regular" w:hAnsi="StobiSerif Regular"/>
          <w:color w:val="242424"/>
          <w:sz w:val="22"/>
          <w:szCs w:val="22"/>
          <w:lang w:val="sq-AL"/>
        </w:rPr>
        <w:t xml:space="preserve"> udhëheqjen</w:t>
      </w:r>
      <w:r w:rsidRPr="000D257F">
        <w:rPr>
          <w:rFonts w:ascii="StobiSerif Regular" w:hAnsi="StobiSerif Regular"/>
          <w:color w:val="242424"/>
          <w:sz w:val="22"/>
          <w:szCs w:val="22"/>
        </w:rPr>
        <w:t xml:space="preserve"> </w:t>
      </w:r>
      <w:r w:rsidRPr="000D257F">
        <w:rPr>
          <w:rFonts w:ascii="StobiSerif Regular" w:hAnsi="StobiSerif Regular"/>
          <w:color w:val="242424"/>
          <w:sz w:val="22"/>
          <w:szCs w:val="22"/>
          <w:lang w:val="sq-AL"/>
        </w:rPr>
        <w:t>me</w:t>
      </w:r>
      <w:r w:rsidRPr="000D257F">
        <w:rPr>
          <w:rFonts w:ascii="StobiSerif Regular" w:hAnsi="StobiSerif Regular"/>
          <w:color w:val="242424"/>
          <w:sz w:val="22"/>
          <w:szCs w:val="22"/>
        </w:rPr>
        <w:t xml:space="preserve"> investime</w:t>
      </w:r>
      <w:r w:rsidRPr="000D257F">
        <w:rPr>
          <w:rFonts w:ascii="StobiSerif Regular" w:hAnsi="StobiSerif Regular"/>
          <w:color w:val="242424"/>
          <w:sz w:val="22"/>
          <w:szCs w:val="22"/>
          <w:lang w:val="sq-AL"/>
        </w:rPr>
        <w:t>t</w:t>
      </w:r>
      <w:r w:rsidRPr="000D257F">
        <w:rPr>
          <w:rFonts w:ascii="StobiSerif Regular" w:hAnsi="StobiSerif Regular"/>
          <w:color w:val="242424"/>
          <w:sz w:val="22"/>
          <w:szCs w:val="22"/>
        </w:rPr>
        <w:t xml:space="preserve"> publike.</w:t>
      </w:r>
    </w:p>
    <w:tbl>
      <w:tblPr>
        <w:tblW w:w="8936" w:type="dxa"/>
        <w:tblInd w:w="40" w:type="dxa"/>
        <w:tblLayout w:type="fixed"/>
        <w:tblCellMar>
          <w:left w:w="40" w:type="dxa"/>
          <w:right w:w="40" w:type="dxa"/>
        </w:tblCellMar>
        <w:tblLook w:val="0000" w:firstRow="0" w:lastRow="0" w:firstColumn="0" w:lastColumn="0" w:noHBand="0" w:noVBand="0"/>
      </w:tblPr>
      <w:tblGrid>
        <w:gridCol w:w="4211"/>
        <w:gridCol w:w="4725"/>
      </w:tblGrid>
      <w:tr w:rsidR="00C71B06" w:rsidRPr="000D257F" w14:paraId="6FE142A2" w14:textId="77777777" w:rsidTr="001A60A9">
        <w:trPr>
          <w:trHeight w:val="156"/>
        </w:trPr>
        <w:tc>
          <w:tcPr>
            <w:tcW w:w="4211" w:type="dxa"/>
            <w:tcBorders>
              <w:top w:val="nil"/>
              <w:left w:val="nil"/>
              <w:bottom w:val="single" w:sz="6" w:space="0" w:color="auto"/>
              <w:right w:val="single" w:sz="6" w:space="0" w:color="auto"/>
            </w:tcBorders>
            <w:shd w:val="clear" w:color="auto" w:fill="FFFFFF"/>
          </w:tcPr>
          <w:p w14:paraId="238AC30C" w14:textId="6AB5801F" w:rsidR="00C71B06" w:rsidRPr="000D257F" w:rsidRDefault="00A27820" w:rsidP="000A441A">
            <w:pPr>
              <w:shd w:val="clear" w:color="auto" w:fill="FFFFFF"/>
              <w:spacing w:before="120" w:after="120"/>
              <w:jc w:val="center"/>
              <w:rPr>
                <w:rFonts w:ascii="StobiSerif Regular" w:hAnsi="StobiSerif Regular"/>
                <w:sz w:val="22"/>
                <w:szCs w:val="22"/>
              </w:rPr>
            </w:pPr>
            <w:r w:rsidRPr="000D257F">
              <w:rPr>
                <w:rFonts w:ascii="StobiSerif Regular" w:hAnsi="StobiSerif Regular"/>
                <w:b/>
                <w:color w:val="00B050"/>
                <w:sz w:val="22"/>
                <w:szCs w:val="22"/>
                <w:lang w:val="sq-AL"/>
              </w:rPr>
              <w:t>E pranueshme</w:t>
            </w:r>
            <w:r w:rsidRPr="000D257F">
              <w:rPr>
                <w:rFonts w:ascii="StobiSerif Regular" w:hAnsi="StobiSerif Regular"/>
                <w:b/>
                <w:color w:val="00B050"/>
                <w:sz w:val="22"/>
                <w:szCs w:val="22"/>
              </w:rPr>
              <w:t xml:space="preserve"> (Nuk ka financim të dyfisht</w:t>
            </w:r>
            <w:r w:rsidRPr="000D257F">
              <w:rPr>
                <w:rFonts w:ascii="StobiSerif Regular" w:hAnsi="StobiSerif Regular"/>
                <w:b/>
                <w:color w:val="00B050"/>
                <w:sz w:val="22"/>
                <w:szCs w:val="22"/>
                <w:lang w:val="sq-AL"/>
              </w:rPr>
              <w:t>ë</w:t>
            </w:r>
            <w:r w:rsidRPr="000D257F">
              <w:rPr>
                <w:rFonts w:ascii="StobiSerif Regular" w:hAnsi="StobiSerif Regular"/>
                <w:b/>
                <w:color w:val="00B050"/>
                <w:sz w:val="22"/>
                <w:szCs w:val="22"/>
              </w:rPr>
              <w:t>):</w:t>
            </w:r>
          </w:p>
        </w:tc>
        <w:tc>
          <w:tcPr>
            <w:tcW w:w="4725" w:type="dxa"/>
            <w:tcBorders>
              <w:top w:val="nil"/>
              <w:left w:val="single" w:sz="6" w:space="0" w:color="auto"/>
              <w:bottom w:val="single" w:sz="6" w:space="0" w:color="auto"/>
              <w:right w:val="nil"/>
            </w:tcBorders>
            <w:shd w:val="clear" w:color="auto" w:fill="FFFFFF"/>
          </w:tcPr>
          <w:p w14:paraId="1D6968AC" w14:textId="52E646C8" w:rsidR="00C71B06" w:rsidRPr="000D257F" w:rsidRDefault="00A27820" w:rsidP="00CE17F9">
            <w:pPr>
              <w:shd w:val="clear" w:color="auto" w:fill="FFFFFF"/>
              <w:spacing w:before="120" w:after="120"/>
              <w:jc w:val="center"/>
              <w:rPr>
                <w:rFonts w:ascii="StobiSerif Regular" w:hAnsi="StobiSerif Regular"/>
                <w:sz w:val="22"/>
                <w:szCs w:val="22"/>
              </w:rPr>
            </w:pPr>
            <w:r w:rsidRPr="000D257F">
              <w:rPr>
                <w:rFonts w:ascii="StobiSerif Regular" w:hAnsi="StobiSerif Regular"/>
                <w:b/>
                <w:color w:val="FF0000"/>
                <w:sz w:val="22"/>
                <w:szCs w:val="22"/>
                <w:lang w:val="sq-AL"/>
              </w:rPr>
              <w:t>Nuk është e pranueshme</w:t>
            </w:r>
            <w:r w:rsidRPr="000D257F">
              <w:rPr>
                <w:rFonts w:ascii="StobiSerif Regular" w:hAnsi="StobiSerif Regular"/>
                <w:b/>
                <w:color w:val="EE0000"/>
                <w:sz w:val="22"/>
                <w:szCs w:val="22"/>
              </w:rPr>
              <w:t xml:space="preserve">: (financim </w:t>
            </w:r>
            <w:r w:rsidRPr="000D257F">
              <w:rPr>
                <w:rFonts w:ascii="StobiSerif Regular" w:hAnsi="StobiSerif Regular"/>
                <w:b/>
                <w:color w:val="EE0000"/>
                <w:sz w:val="22"/>
                <w:szCs w:val="22"/>
                <w:lang w:val="sq-AL"/>
              </w:rPr>
              <w:t>i</w:t>
            </w:r>
            <w:r w:rsidRPr="000D257F">
              <w:rPr>
                <w:rFonts w:ascii="StobiSerif Regular" w:hAnsi="StobiSerif Regular"/>
                <w:b/>
                <w:color w:val="EE0000"/>
                <w:sz w:val="22"/>
                <w:szCs w:val="22"/>
              </w:rPr>
              <w:t xml:space="preserve"> dyfisht</w:t>
            </w:r>
            <w:r w:rsidRPr="000D257F">
              <w:rPr>
                <w:rFonts w:ascii="StobiSerif Regular" w:hAnsi="StobiSerif Regular"/>
                <w:b/>
                <w:color w:val="EE0000"/>
                <w:sz w:val="22"/>
                <w:szCs w:val="22"/>
                <w:lang w:val="sq-AL"/>
              </w:rPr>
              <w:t>ë</w:t>
            </w:r>
            <w:r w:rsidRPr="000D257F">
              <w:rPr>
                <w:rFonts w:ascii="StobiSerif Regular" w:hAnsi="StobiSerif Regular"/>
                <w:b/>
                <w:color w:val="EE0000"/>
                <w:sz w:val="22"/>
                <w:szCs w:val="22"/>
              </w:rPr>
              <w:t>):</w:t>
            </w:r>
          </w:p>
        </w:tc>
      </w:tr>
      <w:tr w:rsidR="00CE17F9" w:rsidRPr="000D257F" w14:paraId="048F671B" w14:textId="77777777" w:rsidTr="001A60A9">
        <w:trPr>
          <w:trHeight w:val="1691"/>
        </w:trPr>
        <w:tc>
          <w:tcPr>
            <w:tcW w:w="4211" w:type="dxa"/>
            <w:tcBorders>
              <w:top w:val="single" w:sz="6" w:space="0" w:color="auto"/>
              <w:left w:val="nil"/>
              <w:right w:val="single" w:sz="6" w:space="0" w:color="auto"/>
            </w:tcBorders>
            <w:shd w:val="clear" w:color="auto" w:fill="FFFFFF"/>
          </w:tcPr>
          <w:p w14:paraId="2FC62AE0" w14:textId="44A14DC4" w:rsidR="00CE17F9" w:rsidRPr="000D257F" w:rsidRDefault="00A27820"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t>Zhvillim i kapaciteteve përmes „trajnim</w:t>
            </w:r>
            <w:r w:rsidRPr="000D257F">
              <w:rPr>
                <w:rFonts w:ascii="StobiSerif Regular" w:hAnsi="StobiSerif Regular"/>
                <w:sz w:val="22"/>
                <w:szCs w:val="22"/>
                <w:lang w:val="sq-AL"/>
              </w:rPr>
              <w:t>it</w:t>
            </w:r>
            <w:r w:rsidRPr="000D257F">
              <w:rPr>
                <w:rFonts w:ascii="StobiSerif Regular" w:hAnsi="StobiSerif Regular"/>
                <w:sz w:val="22"/>
                <w:szCs w:val="22"/>
              </w:rPr>
              <w:t xml:space="preserve"> për </w:t>
            </w:r>
            <w:r w:rsidRPr="000D257F">
              <w:rPr>
                <w:rFonts w:ascii="StobiSerif Regular" w:hAnsi="StobiSerif Regular"/>
                <w:sz w:val="22"/>
                <w:szCs w:val="22"/>
                <w:lang w:val="sq-AL"/>
              </w:rPr>
              <w:t>trajnuesit</w:t>
            </w:r>
            <w:r w:rsidRPr="000D257F">
              <w:rPr>
                <w:rFonts w:ascii="StobiSerif Regular" w:hAnsi="StobiSerif Regular"/>
                <w:sz w:val="22"/>
                <w:szCs w:val="22"/>
              </w:rPr>
              <w:t>“, vizita studimore, si dhe mbulimi nga BE-ja ose donatorë të tjerë</w:t>
            </w:r>
            <w:r w:rsidRPr="000D257F">
              <w:rPr>
                <w:rFonts w:ascii="StobiSerif Regular" w:hAnsi="StobiSerif Regular"/>
                <w:sz w:val="22"/>
                <w:szCs w:val="22"/>
                <w:lang w:val="sq-AL"/>
              </w:rPr>
              <w:t xml:space="preserve"> të kompensimeve</w:t>
            </w:r>
            <w:r w:rsidRPr="000D257F">
              <w:rPr>
                <w:rFonts w:ascii="StobiSerif Regular" w:hAnsi="StobiSerif Regular"/>
                <w:sz w:val="22"/>
                <w:szCs w:val="22"/>
              </w:rPr>
              <w:t xml:space="preserve"> dhe/ose shpenzimeve të udhëtimit të ekspertëve/traj</w:t>
            </w:r>
            <w:r w:rsidRPr="000D257F">
              <w:rPr>
                <w:rFonts w:ascii="StobiSerif Regular" w:hAnsi="StobiSerif Regular"/>
                <w:sz w:val="22"/>
                <w:szCs w:val="22"/>
                <w:lang w:val="sq-AL"/>
              </w:rPr>
              <w:t>nuesve</w:t>
            </w:r>
            <w:r w:rsidRPr="000D257F">
              <w:rPr>
                <w:rFonts w:ascii="StobiSerif Regular" w:hAnsi="StobiSerif Regular"/>
                <w:sz w:val="22"/>
                <w:szCs w:val="22"/>
              </w:rPr>
              <w:t>.</w:t>
            </w:r>
          </w:p>
        </w:tc>
        <w:tc>
          <w:tcPr>
            <w:tcW w:w="4725" w:type="dxa"/>
            <w:tcBorders>
              <w:top w:val="single" w:sz="6" w:space="0" w:color="auto"/>
              <w:left w:val="single" w:sz="6" w:space="0" w:color="auto"/>
              <w:right w:val="nil"/>
            </w:tcBorders>
            <w:shd w:val="clear" w:color="auto" w:fill="FFFFFF"/>
          </w:tcPr>
          <w:p w14:paraId="6067AE1D" w14:textId="0D189D62" w:rsidR="00CE17F9" w:rsidRPr="000D257F" w:rsidRDefault="00A27820"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sz w:val="22"/>
                <w:szCs w:val="22"/>
              </w:rPr>
              <w:t>Ndihma komplementare nga BE-ja ose nga donatorë të tjerë financojnë organizimin e plotë të trajnimit, duke përfshirë honoraret e traj</w:t>
            </w:r>
            <w:r w:rsidRPr="000D257F">
              <w:rPr>
                <w:rFonts w:ascii="StobiSerif Regular" w:hAnsi="StobiSerif Regular"/>
                <w:sz w:val="22"/>
                <w:szCs w:val="22"/>
                <w:lang w:val="sq-AL"/>
              </w:rPr>
              <w:t>nuesve</w:t>
            </w:r>
            <w:r w:rsidRPr="000D257F">
              <w:rPr>
                <w:rFonts w:ascii="StobiSerif Regular" w:hAnsi="StobiSerif Regular"/>
                <w:sz w:val="22"/>
                <w:szCs w:val="22"/>
              </w:rPr>
              <w:t>, qiranë e</w:t>
            </w:r>
            <w:r w:rsidRPr="000D257F">
              <w:rPr>
                <w:rFonts w:ascii="StobiSerif Regular" w:hAnsi="StobiSerif Regular"/>
                <w:sz w:val="22"/>
                <w:szCs w:val="22"/>
                <w:lang w:val="sq-AL"/>
              </w:rPr>
              <w:t xml:space="preserve"> hapsirës</w:t>
            </w:r>
            <w:r w:rsidRPr="000D257F">
              <w:rPr>
                <w:rFonts w:ascii="StobiSerif Regular" w:hAnsi="StobiSerif Regular"/>
                <w:sz w:val="22"/>
                <w:szCs w:val="22"/>
              </w:rPr>
              <w:t xml:space="preserve">, </w:t>
            </w:r>
            <w:r w:rsidRPr="000D257F">
              <w:rPr>
                <w:rFonts w:ascii="StobiSerif Regular" w:hAnsi="StobiSerif Regular"/>
                <w:sz w:val="22"/>
                <w:szCs w:val="22"/>
                <w:lang w:val="sq-AL"/>
              </w:rPr>
              <w:t>mëditjet</w:t>
            </w:r>
            <w:r w:rsidRPr="000D257F">
              <w:rPr>
                <w:rFonts w:ascii="StobiSerif Regular" w:hAnsi="StobiSerif Regular"/>
                <w:sz w:val="22"/>
                <w:szCs w:val="22"/>
              </w:rPr>
              <w:t xml:space="preserve"> e pjesëmarrësve,</w:t>
            </w:r>
            <w:r w:rsidRPr="000D257F">
              <w:rPr>
                <w:rFonts w:ascii="StobiSerif Regular" w:hAnsi="StobiSerif Regular"/>
                <w:sz w:val="22"/>
                <w:szCs w:val="22"/>
                <w:lang w:val="sq-AL"/>
              </w:rPr>
              <w:t xml:space="preserve"> </w:t>
            </w:r>
            <w:r w:rsidRPr="000D257F">
              <w:rPr>
                <w:rFonts w:ascii="StobiSerif Regular" w:hAnsi="StobiSerif Regular"/>
                <w:sz w:val="22"/>
                <w:szCs w:val="22"/>
              </w:rPr>
              <w:t>gjithë materiali</w:t>
            </w:r>
            <w:r w:rsidRPr="000D257F">
              <w:rPr>
                <w:rFonts w:ascii="StobiSerif Regular" w:hAnsi="StobiSerif Regular"/>
                <w:sz w:val="22"/>
                <w:szCs w:val="22"/>
                <w:lang w:val="sq-AL"/>
              </w:rPr>
              <w:t>n</w:t>
            </w:r>
            <w:r w:rsidRPr="000D257F">
              <w:rPr>
                <w:rFonts w:ascii="StobiSerif Regular" w:hAnsi="StobiSerif Regular"/>
                <w:sz w:val="22"/>
                <w:szCs w:val="22"/>
              </w:rPr>
              <w:t xml:space="preserve"> </w:t>
            </w:r>
            <w:r w:rsidRPr="000D257F">
              <w:rPr>
                <w:rFonts w:ascii="StobiSerif Regular" w:hAnsi="StobiSerif Regular"/>
                <w:sz w:val="22"/>
                <w:szCs w:val="22"/>
                <w:lang w:val="sq-AL"/>
              </w:rPr>
              <w:t>e</w:t>
            </w:r>
            <w:r w:rsidRPr="000D257F">
              <w:rPr>
                <w:rFonts w:ascii="StobiSerif Regular" w:hAnsi="StobiSerif Regular"/>
                <w:sz w:val="22"/>
                <w:szCs w:val="22"/>
              </w:rPr>
              <w:t xml:space="preserve"> nevojshëm për trajnim, etj.</w:t>
            </w:r>
          </w:p>
        </w:tc>
      </w:tr>
    </w:tbl>
    <w:p w14:paraId="0C731EC0" w14:textId="6C6A6FCC" w:rsidR="00AB15B4" w:rsidRPr="000D257F" w:rsidRDefault="00A27820" w:rsidP="00AB15B4">
      <w:pPr>
        <w:shd w:val="clear" w:color="auto" w:fill="FFFFFF"/>
        <w:spacing w:before="120" w:after="120"/>
        <w:jc w:val="both"/>
        <w:rPr>
          <w:rFonts w:ascii="StobiSerif Regular" w:hAnsi="StobiSerif Regular"/>
          <w:color w:val="000000"/>
          <w:sz w:val="22"/>
          <w:szCs w:val="22"/>
          <w:lang w:val="sq-AL"/>
        </w:rPr>
      </w:pPr>
      <w:r w:rsidRPr="000D257F">
        <w:rPr>
          <w:rFonts w:ascii="StobiSerif Regular" w:hAnsi="StobiSerif Regular"/>
          <w:color w:val="000000"/>
          <w:sz w:val="22"/>
          <w:szCs w:val="22"/>
          <w:lang w:val="sq-AL"/>
        </w:rPr>
        <w:t>ose</w:t>
      </w:r>
    </w:p>
    <w:p w14:paraId="224CE37A" w14:textId="3FBF41C3" w:rsidR="00A27820" w:rsidRPr="000D257F" w:rsidRDefault="00AB15B4" w:rsidP="00A27820">
      <w:pPr>
        <w:shd w:val="clear" w:color="auto" w:fill="FFFFFF"/>
        <w:spacing w:before="120" w:after="120"/>
        <w:ind w:left="709" w:hanging="425"/>
        <w:jc w:val="both"/>
        <w:rPr>
          <w:rFonts w:ascii="StobiSerif Regular" w:hAnsi="StobiSerif Regular"/>
          <w:color w:val="000000"/>
          <w:sz w:val="22"/>
          <w:szCs w:val="22"/>
          <w:lang w:val="sq-AL"/>
        </w:rPr>
      </w:pPr>
      <w:r w:rsidRPr="000D257F">
        <w:rPr>
          <w:rFonts w:ascii="StobiSerif Regular" w:hAnsi="StobiSerif Regular"/>
          <w:color w:val="000000"/>
          <w:sz w:val="22"/>
          <w:szCs w:val="22"/>
        </w:rPr>
        <w:t>-</w:t>
      </w:r>
      <w:r w:rsidRPr="000D257F">
        <w:rPr>
          <w:rFonts w:ascii="StobiSerif Regular" w:hAnsi="StobiSerif Regular"/>
          <w:color w:val="000000"/>
          <w:sz w:val="22"/>
          <w:szCs w:val="22"/>
        </w:rPr>
        <w:tab/>
      </w:r>
      <w:r w:rsidR="00A27820" w:rsidRPr="000D257F">
        <w:rPr>
          <w:rFonts w:ascii="StobiSerif Regular" w:hAnsi="StobiSerif Regular"/>
          <w:color w:val="000000"/>
          <w:sz w:val="22"/>
          <w:szCs w:val="22"/>
          <w:lang w:val="sq-AL"/>
        </w:rPr>
        <w:t>Forcimi i ndërveprimit të regjistrit qendror të popullsisë me regjistrat tjerë shtetërorë (Regjistri Qendror, Administrata Tatimore e Kosovës, Regjistri i Adresave (RAIS).</w:t>
      </w:r>
    </w:p>
    <w:p w14:paraId="376F581C" w14:textId="7ABF8FF1" w:rsidR="00AB15B4" w:rsidRPr="000D257F" w:rsidRDefault="00AB15B4" w:rsidP="000A441A">
      <w:pPr>
        <w:shd w:val="clear" w:color="auto" w:fill="FFFFFF"/>
        <w:spacing w:before="120" w:after="120"/>
        <w:ind w:left="709" w:hanging="425"/>
        <w:jc w:val="both"/>
        <w:rPr>
          <w:rFonts w:ascii="StobiSerif Regular" w:hAnsi="StobiSerif Regular"/>
          <w:color w:val="000000"/>
          <w:sz w:val="22"/>
          <w:szCs w:val="22"/>
          <w:lang w:val="sq-AL"/>
        </w:rPr>
      </w:pPr>
    </w:p>
    <w:p w14:paraId="4593F207" w14:textId="77777777" w:rsidR="00AB15B4" w:rsidRPr="000D257F" w:rsidRDefault="00AB15B4" w:rsidP="00AB15B4">
      <w:pPr>
        <w:shd w:val="clear" w:color="auto" w:fill="FFFFFF"/>
        <w:spacing w:before="120" w:after="120"/>
        <w:jc w:val="both"/>
        <w:rPr>
          <w:rFonts w:ascii="StobiSerif Regular" w:hAnsi="StobiSerif Regular"/>
          <w:color w:val="000000"/>
          <w:sz w:val="22"/>
          <w:szCs w:val="22"/>
        </w:rPr>
      </w:pPr>
    </w:p>
    <w:tbl>
      <w:tblPr>
        <w:tblW w:w="8891" w:type="dxa"/>
        <w:tblInd w:w="40" w:type="dxa"/>
        <w:tblLayout w:type="fixed"/>
        <w:tblCellMar>
          <w:left w:w="40" w:type="dxa"/>
          <w:right w:w="40" w:type="dxa"/>
        </w:tblCellMar>
        <w:tblLook w:val="0000" w:firstRow="0" w:lastRow="0" w:firstColumn="0" w:lastColumn="0" w:noHBand="0" w:noVBand="0"/>
      </w:tblPr>
      <w:tblGrid>
        <w:gridCol w:w="4213"/>
        <w:gridCol w:w="4678"/>
      </w:tblGrid>
      <w:tr w:rsidR="00A27820" w:rsidRPr="000D257F" w14:paraId="302176FF" w14:textId="77777777" w:rsidTr="0048640E">
        <w:trPr>
          <w:trHeight w:hRule="exact" w:val="670"/>
        </w:trPr>
        <w:tc>
          <w:tcPr>
            <w:tcW w:w="4213" w:type="dxa"/>
            <w:tcBorders>
              <w:top w:val="nil"/>
              <w:left w:val="nil"/>
              <w:bottom w:val="single" w:sz="6" w:space="0" w:color="auto"/>
              <w:right w:val="single" w:sz="6" w:space="0" w:color="auto"/>
            </w:tcBorders>
            <w:shd w:val="clear" w:color="auto" w:fill="FFFFFF"/>
          </w:tcPr>
          <w:p w14:paraId="57B8D7CC" w14:textId="5E3FA6E9" w:rsidR="00A27820" w:rsidRPr="000D257F" w:rsidRDefault="00A27820" w:rsidP="00A27820">
            <w:pPr>
              <w:shd w:val="clear" w:color="auto" w:fill="FFFFFF"/>
              <w:spacing w:before="120" w:after="120"/>
              <w:jc w:val="center"/>
              <w:rPr>
                <w:rFonts w:ascii="StobiSerif Regular" w:hAnsi="StobiSerif Regular"/>
                <w:color w:val="000000"/>
                <w:sz w:val="22"/>
                <w:szCs w:val="22"/>
              </w:rPr>
            </w:pPr>
            <w:r w:rsidRPr="000D257F">
              <w:rPr>
                <w:rFonts w:ascii="StobiSerif Regular" w:hAnsi="StobiSerif Regular"/>
                <w:b/>
                <w:color w:val="00B050"/>
                <w:sz w:val="22"/>
                <w:szCs w:val="22"/>
                <w:lang w:val="sq-AL"/>
              </w:rPr>
              <w:t>E pranueshme</w:t>
            </w:r>
            <w:r w:rsidRPr="000D257F">
              <w:rPr>
                <w:rFonts w:ascii="StobiSerif Regular" w:hAnsi="StobiSerif Regular"/>
                <w:b/>
                <w:color w:val="00B050"/>
                <w:sz w:val="22"/>
                <w:szCs w:val="22"/>
              </w:rPr>
              <w:t xml:space="preserve"> (Nuk ka financim të dyfisht</w:t>
            </w:r>
            <w:r w:rsidRPr="000D257F">
              <w:rPr>
                <w:rFonts w:ascii="StobiSerif Regular" w:hAnsi="StobiSerif Regular"/>
                <w:b/>
                <w:color w:val="00B050"/>
                <w:sz w:val="22"/>
                <w:szCs w:val="22"/>
                <w:lang w:val="sq-AL"/>
              </w:rPr>
              <w:t>ë</w:t>
            </w:r>
            <w:r w:rsidRPr="000D257F">
              <w:rPr>
                <w:rFonts w:ascii="StobiSerif Regular" w:hAnsi="StobiSerif Regular"/>
                <w:b/>
                <w:color w:val="00B050"/>
                <w:sz w:val="22"/>
                <w:szCs w:val="22"/>
              </w:rPr>
              <w:t>):</w:t>
            </w:r>
          </w:p>
        </w:tc>
        <w:tc>
          <w:tcPr>
            <w:tcW w:w="4678" w:type="dxa"/>
            <w:tcBorders>
              <w:top w:val="nil"/>
              <w:left w:val="single" w:sz="6" w:space="0" w:color="auto"/>
              <w:bottom w:val="single" w:sz="6" w:space="0" w:color="auto"/>
              <w:right w:val="nil"/>
            </w:tcBorders>
            <w:shd w:val="clear" w:color="auto" w:fill="FFFFFF"/>
          </w:tcPr>
          <w:p w14:paraId="693BA478" w14:textId="28294B79" w:rsidR="00A27820" w:rsidRPr="000D257F" w:rsidRDefault="00A27820" w:rsidP="00A27820">
            <w:pPr>
              <w:shd w:val="clear" w:color="auto" w:fill="FFFFFF"/>
              <w:spacing w:before="120" w:after="120"/>
              <w:jc w:val="center"/>
              <w:rPr>
                <w:rFonts w:ascii="StobiSerif Regular" w:hAnsi="StobiSerif Regular"/>
                <w:color w:val="000000"/>
                <w:sz w:val="22"/>
                <w:szCs w:val="22"/>
              </w:rPr>
            </w:pPr>
            <w:r w:rsidRPr="000D257F">
              <w:rPr>
                <w:rFonts w:ascii="StobiSerif Regular" w:hAnsi="StobiSerif Regular"/>
                <w:b/>
                <w:color w:val="FF0000"/>
                <w:sz w:val="22"/>
                <w:szCs w:val="22"/>
                <w:lang w:val="sq-AL"/>
              </w:rPr>
              <w:t>Nuk është e pranueshme</w:t>
            </w:r>
            <w:r w:rsidRPr="000D257F">
              <w:rPr>
                <w:rFonts w:ascii="StobiSerif Regular" w:hAnsi="StobiSerif Regular"/>
                <w:b/>
                <w:color w:val="EE0000"/>
                <w:sz w:val="22"/>
                <w:szCs w:val="22"/>
              </w:rPr>
              <w:t xml:space="preserve">: (financim </w:t>
            </w:r>
            <w:r w:rsidRPr="000D257F">
              <w:rPr>
                <w:rFonts w:ascii="StobiSerif Regular" w:hAnsi="StobiSerif Regular"/>
                <w:b/>
                <w:color w:val="EE0000"/>
                <w:sz w:val="22"/>
                <w:szCs w:val="22"/>
                <w:lang w:val="sq-AL"/>
              </w:rPr>
              <w:t>i</w:t>
            </w:r>
            <w:r w:rsidRPr="000D257F">
              <w:rPr>
                <w:rFonts w:ascii="StobiSerif Regular" w:hAnsi="StobiSerif Regular"/>
                <w:b/>
                <w:color w:val="EE0000"/>
                <w:sz w:val="22"/>
                <w:szCs w:val="22"/>
              </w:rPr>
              <w:t xml:space="preserve"> dyfisht</w:t>
            </w:r>
            <w:r w:rsidRPr="000D257F">
              <w:rPr>
                <w:rFonts w:ascii="StobiSerif Regular" w:hAnsi="StobiSerif Regular"/>
                <w:b/>
                <w:color w:val="EE0000"/>
                <w:sz w:val="22"/>
                <w:szCs w:val="22"/>
                <w:lang w:val="sq-AL"/>
              </w:rPr>
              <w:t>ë</w:t>
            </w:r>
            <w:r w:rsidRPr="000D257F">
              <w:rPr>
                <w:rFonts w:ascii="StobiSerif Regular" w:hAnsi="StobiSerif Regular"/>
                <w:b/>
                <w:color w:val="EE0000"/>
                <w:sz w:val="22"/>
                <w:szCs w:val="22"/>
              </w:rPr>
              <w:t>):</w:t>
            </w:r>
          </w:p>
        </w:tc>
      </w:tr>
      <w:tr w:rsidR="00A27820" w:rsidRPr="000D257F" w14:paraId="50A4B778" w14:textId="77777777" w:rsidTr="00DF226C">
        <w:trPr>
          <w:trHeight w:hRule="exact" w:val="1433"/>
        </w:trPr>
        <w:tc>
          <w:tcPr>
            <w:tcW w:w="4213" w:type="dxa"/>
            <w:tcBorders>
              <w:top w:val="single" w:sz="6" w:space="0" w:color="auto"/>
              <w:left w:val="nil"/>
              <w:bottom w:val="nil"/>
              <w:right w:val="single" w:sz="6" w:space="0" w:color="auto"/>
            </w:tcBorders>
            <w:shd w:val="clear" w:color="auto" w:fill="FFFFFF"/>
          </w:tcPr>
          <w:p w14:paraId="0EDEE197" w14:textId="03FE0652" w:rsidR="00A27820" w:rsidRPr="000D257F" w:rsidRDefault="00A27820" w:rsidP="00A27820">
            <w:pPr>
              <w:shd w:val="clear" w:color="auto" w:fill="FFFFFF"/>
              <w:spacing w:before="120" w:after="120"/>
              <w:ind w:right="102"/>
              <w:jc w:val="both"/>
              <w:rPr>
                <w:rFonts w:ascii="StobiSerif Regular" w:hAnsi="StobiSerif Regular"/>
                <w:color w:val="000000"/>
                <w:sz w:val="22"/>
                <w:szCs w:val="22"/>
              </w:rPr>
            </w:pPr>
            <w:r w:rsidRPr="000D257F">
              <w:rPr>
                <w:rFonts w:ascii="StobiSerif Regular" w:hAnsi="StobiSerif Regular"/>
                <w:color w:val="000000"/>
                <w:sz w:val="22"/>
                <w:szCs w:val="22"/>
              </w:rPr>
              <w:lastRenderedPageBreak/>
              <w:t>Zhvillim i kapaciteteve për ndërveprim</w:t>
            </w:r>
            <w:r w:rsidRPr="000D257F">
              <w:rPr>
                <w:rFonts w:ascii="StobiSerif Regular" w:hAnsi="StobiSerif Regular"/>
                <w:color w:val="000000"/>
                <w:sz w:val="22"/>
                <w:szCs w:val="22"/>
                <w:lang w:val="sq-AL"/>
              </w:rPr>
              <w:t xml:space="preserve"> (interkoneksion) për</w:t>
            </w:r>
            <w:r w:rsidRPr="000D257F">
              <w:rPr>
                <w:rFonts w:ascii="StobiSerif Regular" w:hAnsi="StobiSerif Regular"/>
                <w:color w:val="000000"/>
                <w:sz w:val="22"/>
                <w:szCs w:val="22"/>
              </w:rPr>
              <w:t xml:space="preserve"> IT ose përgatitj</w:t>
            </w:r>
            <w:r w:rsidRPr="000D257F">
              <w:rPr>
                <w:rFonts w:ascii="StobiSerif Regular" w:hAnsi="StobiSerif Regular"/>
                <w:color w:val="000000"/>
                <w:sz w:val="22"/>
                <w:szCs w:val="22"/>
                <w:lang w:val="sq-AL"/>
              </w:rPr>
              <w:t>a</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e</w:t>
            </w:r>
            <w:r w:rsidRPr="000D257F">
              <w:rPr>
                <w:rFonts w:ascii="StobiSerif Regular" w:hAnsi="StobiSerif Regular"/>
                <w:color w:val="000000"/>
                <w:sz w:val="22"/>
                <w:szCs w:val="22"/>
              </w:rPr>
              <w:t xml:space="preserve"> procesit për realizimin e ndërveprimeve</w:t>
            </w:r>
            <w:r w:rsidRPr="000D257F">
              <w:rPr>
                <w:rFonts w:ascii="StobiSerif Regular" w:hAnsi="StobiSerif Regular"/>
                <w:color w:val="000000"/>
                <w:sz w:val="22"/>
                <w:szCs w:val="22"/>
                <w:lang w:val="sq-AL"/>
              </w:rPr>
              <w:t xml:space="preserve"> (interkoneksioneve)</w:t>
            </w:r>
            <w:r w:rsidRPr="000D257F">
              <w:rPr>
                <w:rFonts w:ascii="StobiSerif Regular" w:hAnsi="StobiSerif Regular"/>
                <w:color w:val="000000"/>
                <w:sz w:val="22"/>
                <w:szCs w:val="22"/>
              </w:rPr>
              <w:t>.</w:t>
            </w:r>
          </w:p>
        </w:tc>
        <w:tc>
          <w:tcPr>
            <w:tcW w:w="4678" w:type="dxa"/>
            <w:tcBorders>
              <w:top w:val="single" w:sz="6" w:space="0" w:color="auto"/>
              <w:left w:val="single" w:sz="6" w:space="0" w:color="auto"/>
              <w:bottom w:val="nil"/>
              <w:right w:val="nil"/>
            </w:tcBorders>
            <w:shd w:val="clear" w:color="auto" w:fill="FFFFFF"/>
          </w:tcPr>
          <w:p w14:paraId="1781263D" w14:textId="34A69D85" w:rsidR="00A27820" w:rsidRPr="000D257F" w:rsidRDefault="00A27820" w:rsidP="00A27820">
            <w:pPr>
              <w:shd w:val="clear" w:color="auto" w:fill="FFFFFF"/>
              <w:spacing w:before="120" w:after="120"/>
              <w:jc w:val="both"/>
              <w:rPr>
                <w:rFonts w:ascii="StobiSerif Regular" w:hAnsi="StobiSerif Regular"/>
                <w:color w:val="000000"/>
                <w:sz w:val="22"/>
                <w:szCs w:val="22"/>
              </w:rPr>
            </w:pPr>
            <w:r w:rsidRPr="000D257F">
              <w:rPr>
                <w:rFonts w:ascii="StobiSerif Regular" w:hAnsi="StobiSerif Regular"/>
                <w:color w:val="000000"/>
                <w:sz w:val="22"/>
                <w:szCs w:val="22"/>
              </w:rPr>
              <w:t>De fa</w:t>
            </w:r>
            <w:r w:rsidRPr="000D257F">
              <w:rPr>
                <w:rFonts w:ascii="StobiSerif Regular" w:hAnsi="StobiSerif Regular"/>
                <w:color w:val="000000"/>
                <w:sz w:val="22"/>
                <w:szCs w:val="22"/>
                <w:lang w:val="sq-AL"/>
              </w:rPr>
              <w:t>k</w:t>
            </w:r>
            <w:r w:rsidRPr="000D257F">
              <w:rPr>
                <w:rFonts w:ascii="StobiSerif Regular" w:hAnsi="StobiSerif Regular"/>
                <w:color w:val="000000"/>
                <w:sz w:val="22"/>
                <w:szCs w:val="22"/>
              </w:rPr>
              <w:t xml:space="preserve">to </w:t>
            </w:r>
            <w:r w:rsidRPr="000D257F">
              <w:rPr>
                <w:rFonts w:ascii="StobiSerif Regular" w:hAnsi="StobiSerif Regular"/>
                <w:color w:val="000000"/>
                <w:sz w:val="22"/>
                <w:szCs w:val="22"/>
                <w:lang w:val="sq-AL"/>
              </w:rPr>
              <w:t>ofrimi</w:t>
            </w:r>
            <w:r w:rsidRPr="000D257F">
              <w:rPr>
                <w:rFonts w:ascii="StobiSerif Regular" w:hAnsi="StobiSerif Regular"/>
                <w:color w:val="000000"/>
                <w:sz w:val="22"/>
                <w:szCs w:val="22"/>
              </w:rPr>
              <w:t xml:space="preserve"> i </w:t>
            </w:r>
            <w:r w:rsidRPr="000D257F">
              <w:rPr>
                <w:rFonts w:ascii="StobiSerif Regular" w:hAnsi="StobiSerif Regular"/>
                <w:color w:val="000000"/>
                <w:sz w:val="22"/>
                <w:szCs w:val="22"/>
                <w:lang w:val="sq-AL"/>
              </w:rPr>
              <w:t xml:space="preserve">IT </w:t>
            </w:r>
            <w:r w:rsidRPr="000D257F">
              <w:rPr>
                <w:rFonts w:ascii="StobiSerif Regular" w:hAnsi="StobiSerif Regular"/>
                <w:color w:val="000000"/>
                <w:sz w:val="22"/>
                <w:szCs w:val="22"/>
              </w:rPr>
              <w:t xml:space="preserve">sistemit për vënien në </w:t>
            </w:r>
            <w:r w:rsidRPr="000D257F">
              <w:rPr>
                <w:rFonts w:ascii="StobiSerif Regular" w:hAnsi="StobiSerif Regular"/>
                <w:color w:val="000000"/>
                <w:sz w:val="22"/>
                <w:szCs w:val="22"/>
                <w:lang w:val="sq-AL"/>
              </w:rPr>
              <w:t>përdorim</w:t>
            </w:r>
            <w:r w:rsidRPr="000D257F">
              <w:rPr>
                <w:rFonts w:ascii="StobiSerif Regular" w:hAnsi="StobiSerif Regular"/>
                <w:color w:val="000000"/>
                <w:sz w:val="22"/>
                <w:szCs w:val="22"/>
              </w:rPr>
              <w:t xml:space="preserve"> të ndërveprimit</w:t>
            </w:r>
            <w:r w:rsidRPr="000D257F">
              <w:rPr>
                <w:rFonts w:ascii="StobiSerif Regular" w:hAnsi="StobiSerif Regular"/>
                <w:color w:val="000000"/>
                <w:sz w:val="22"/>
                <w:szCs w:val="22"/>
                <w:lang w:val="sq-AL"/>
              </w:rPr>
              <w:t xml:space="preserve">((interkoneksionit) </w:t>
            </w:r>
            <w:r w:rsidRPr="000D257F">
              <w:rPr>
                <w:rFonts w:ascii="StobiSerif Regular" w:hAnsi="StobiSerif Regular"/>
                <w:color w:val="000000"/>
                <w:sz w:val="22"/>
                <w:szCs w:val="22"/>
              </w:rPr>
              <w:t xml:space="preserve"> (de fa</w:t>
            </w:r>
            <w:r w:rsidRPr="000D257F">
              <w:rPr>
                <w:rFonts w:ascii="StobiSerif Regular" w:hAnsi="StobiSerif Regular"/>
                <w:color w:val="000000"/>
                <w:sz w:val="22"/>
                <w:szCs w:val="22"/>
                <w:lang w:val="sq-AL"/>
              </w:rPr>
              <w:t>kto</w:t>
            </w:r>
            <w:r w:rsidRPr="000D257F">
              <w:rPr>
                <w:rFonts w:ascii="StobiSerif Regular" w:hAnsi="StobiSerif Regular"/>
                <w:color w:val="000000"/>
                <w:sz w:val="22"/>
                <w:szCs w:val="22"/>
              </w:rPr>
              <w:t xml:space="preserve"> krijimi</w:t>
            </w:r>
            <w:r w:rsidRPr="000D257F">
              <w:rPr>
                <w:rFonts w:ascii="StobiSerif Regular" w:hAnsi="StobiSerif Regular"/>
                <w:color w:val="000000"/>
                <w:sz w:val="22"/>
                <w:szCs w:val="22"/>
                <w:lang w:val="sq-AL"/>
              </w:rPr>
              <w:t>n</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e</w:t>
            </w:r>
            <w:r w:rsidRPr="000D257F">
              <w:rPr>
                <w:rFonts w:ascii="StobiSerif Regular" w:hAnsi="StobiSerif Regular"/>
                <w:color w:val="000000"/>
                <w:sz w:val="22"/>
                <w:szCs w:val="22"/>
              </w:rPr>
              <w:t xml:space="preserve"> regjistrave dhe ndërveprimeve)</w:t>
            </w:r>
            <w:r w:rsidRPr="000D257F">
              <w:rPr>
                <w:rFonts w:ascii="StobiSerif Regular" w:hAnsi="StobiSerif Regular"/>
                <w:color w:val="000000"/>
                <w:sz w:val="22"/>
                <w:szCs w:val="22"/>
                <w:lang w:val="sq-AL"/>
              </w:rPr>
              <w:t xml:space="preserve"> (interkoneksioneve)</w:t>
            </w:r>
            <w:r w:rsidRPr="000D257F">
              <w:rPr>
                <w:rFonts w:ascii="StobiSerif Regular" w:hAnsi="StobiSerif Regular"/>
                <w:color w:val="000000"/>
                <w:sz w:val="22"/>
                <w:szCs w:val="22"/>
              </w:rPr>
              <w:t>.</w:t>
            </w:r>
          </w:p>
        </w:tc>
      </w:tr>
    </w:tbl>
    <w:p w14:paraId="5A1F511B" w14:textId="4DB2B907" w:rsidR="00AB15B4" w:rsidRPr="000D257F" w:rsidRDefault="0036639A" w:rsidP="00AB15B4">
      <w:pPr>
        <w:shd w:val="clear" w:color="auto" w:fill="FFFFFF"/>
        <w:spacing w:before="120" w:after="120"/>
        <w:jc w:val="both"/>
        <w:rPr>
          <w:rFonts w:ascii="StobiSerif Regular" w:hAnsi="StobiSerif Regular"/>
          <w:color w:val="000000"/>
          <w:sz w:val="22"/>
          <w:szCs w:val="22"/>
          <w:u w:val="single"/>
        </w:rPr>
      </w:pPr>
      <w:r w:rsidRPr="000D257F">
        <w:rPr>
          <w:rFonts w:ascii="StobiSerif Regular" w:hAnsi="StobiSerif Regular"/>
          <w:b/>
          <w:bCs/>
          <w:color w:val="000000"/>
          <w:sz w:val="22"/>
          <w:szCs w:val="22"/>
        </w:rPr>
        <w:t xml:space="preserve">4. </w:t>
      </w:r>
      <w:r w:rsidRPr="000D257F">
        <w:rPr>
          <w:rFonts w:ascii="StobiSerif Regular" w:hAnsi="StobiSerif Regular"/>
          <w:b/>
          <w:bCs/>
          <w:color w:val="000000"/>
          <w:sz w:val="22"/>
          <w:szCs w:val="22"/>
          <w:u w:val="single"/>
        </w:rPr>
        <w:t>Kthimi i mjeteve</w:t>
      </w:r>
    </w:p>
    <w:p w14:paraId="7E7762D4" w14:textId="7A875226" w:rsidR="00AB15B4" w:rsidRPr="000D257F" w:rsidRDefault="0036639A" w:rsidP="00AB15B4">
      <w:pPr>
        <w:shd w:val="clear" w:color="auto" w:fill="FFFFFF"/>
        <w:spacing w:before="120" w:after="120"/>
        <w:jc w:val="both"/>
        <w:rPr>
          <w:rFonts w:ascii="StobiSerif Regular" w:hAnsi="StobiSerif Regular"/>
          <w:color w:val="000000"/>
          <w:sz w:val="22"/>
          <w:szCs w:val="22"/>
          <w:lang w:val="sq-AL"/>
        </w:rPr>
      </w:pPr>
      <w:r w:rsidRPr="000D257F">
        <w:rPr>
          <w:rFonts w:ascii="StobiSerif Regular" w:hAnsi="StobiSerif Regular"/>
          <w:color w:val="000000"/>
          <w:sz w:val="22"/>
          <w:szCs w:val="22"/>
        </w:rPr>
        <w:t>Në rast të financimit të dyfishtë, duhet të vërtetohet sipas cilit program apo rregullore të BE-së duhet të bëhet kthimi i mjeteve.</w:t>
      </w:r>
    </w:p>
    <w:p w14:paraId="022F7D57" w14:textId="77777777" w:rsidR="0036639A" w:rsidRPr="000D257F" w:rsidRDefault="0036639A" w:rsidP="00AB15B4">
      <w:pPr>
        <w:shd w:val="clear" w:color="auto" w:fill="FFFFFF"/>
        <w:spacing w:before="120" w:after="120"/>
        <w:jc w:val="both"/>
        <w:rPr>
          <w:rFonts w:ascii="StobiSerif Regular" w:hAnsi="StobiSerif Regular"/>
          <w:color w:val="000000"/>
          <w:sz w:val="22"/>
          <w:szCs w:val="22"/>
          <w:lang w:val="sq-AL"/>
        </w:rPr>
      </w:pPr>
    </w:p>
    <w:p w14:paraId="783D7BBF" w14:textId="77777777" w:rsidR="0036639A" w:rsidRPr="000D257F" w:rsidRDefault="0036639A" w:rsidP="0036639A">
      <w:pPr>
        <w:pStyle w:val="ListParagraph"/>
        <w:numPr>
          <w:ilvl w:val="0"/>
          <w:numId w:val="2"/>
        </w:numPr>
        <w:shd w:val="clear" w:color="auto" w:fill="FFFFFF"/>
        <w:spacing w:before="120" w:after="120"/>
        <w:jc w:val="both"/>
        <w:rPr>
          <w:rFonts w:ascii="StobiSerif Regular" w:hAnsi="StobiSerif Regular"/>
          <w:color w:val="000000"/>
          <w:sz w:val="22"/>
          <w:szCs w:val="22"/>
          <w:lang w:val="sq-AL"/>
        </w:rPr>
      </w:pPr>
      <w:r w:rsidRPr="000D257F">
        <w:rPr>
          <w:rFonts w:ascii="StobiSerif Regular" w:hAnsi="StobiSerif Regular"/>
          <w:color w:val="000000"/>
          <w:sz w:val="22"/>
          <w:szCs w:val="22"/>
        </w:rPr>
        <w:t>Kur financimi i dyfishtë është rezultat i një marrëveshjeje për grant të lidhur në kuadër të një</w:t>
      </w:r>
      <w:r w:rsidRPr="000D257F">
        <w:rPr>
          <w:rFonts w:ascii="StobiSerif Regular" w:hAnsi="StobiSerif Regular"/>
          <w:color w:val="000000"/>
          <w:sz w:val="22"/>
          <w:szCs w:val="22"/>
          <w:lang w:val="sq-AL"/>
        </w:rPr>
        <w:t xml:space="preserve"> </w:t>
      </w:r>
      <w:r w:rsidRPr="000D257F">
        <w:rPr>
          <w:rFonts w:ascii="StobiSerif Regular" w:hAnsi="StobiSerif Regular"/>
          <w:color w:val="000000"/>
          <w:sz w:val="22"/>
          <w:szCs w:val="22"/>
        </w:rPr>
        <w:t xml:space="preserve">programi tjetër të </w:t>
      </w:r>
      <w:r w:rsidRPr="000D257F">
        <w:rPr>
          <w:rFonts w:ascii="StobiSerif Regular" w:hAnsi="StobiSerif Regular"/>
          <w:color w:val="000000"/>
          <w:sz w:val="22"/>
          <w:szCs w:val="22"/>
          <w:lang w:val="sq-AL"/>
        </w:rPr>
        <w:t>Unionit</w:t>
      </w:r>
      <w:r w:rsidRPr="000D257F">
        <w:rPr>
          <w:rFonts w:ascii="StobiSerif Regular" w:hAnsi="StobiSerif Regular"/>
          <w:color w:val="000000"/>
          <w:sz w:val="22"/>
          <w:szCs w:val="22"/>
        </w:rPr>
        <w:t xml:space="preserve"> </w:t>
      </w:r>
      <w:r w:rsidRPr="000D257F">
        <w:rPr>
          <w:rFonts w:ascii="StobiSerif Regular" w:hAnsi="StobiSerif Regular"/>
          <w:b/>
          <w:bCs/>
          <w:color w:val="000000"/>
          <w:sz w:val="22"/>
          <w:szCs w:val="22"/>
        </w:rPr>
        <w:t>para</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sjelljes</w:t>
      </w:r>
      <w:r w:rsidRPr="000D257F">
        <w:rPr>
          <w:rFonts w:ascii="StobiSerif Regular" w:hAnsi="StobiSerif Regular"/>
          <w:color w:val="000000"/>
          <w:sz w:val="22"/>
          <w:szCs w:val="22"/>
        </w:rPr>
        <w:t xml:space="preserve"> ë Vendimit </w:t>
      </w:r>
      <w:r w:rsidRPr="000D257F">
        <w:rPr>
          <w:rFonts w:ascii="StobiSerif Regular" w:hAnsi="StobiSerif Regular"/>
          <w:color w:val="000000"/>
          <w:sz w:val="22"/>
          <w:szCs w:val="22"/>
          <w:lang w:val="sq-AL"/>
        </w:rPr>
        <w:t>për implementimin e</w:t>
      </w:r>
      <w:r w:rsidRPr="000D257F">
        <w:rPr>
          <w:rFonts w:ascii="StobiSerif Regular" w:hAnsi="StobiSerif Regular"/>
          <w:color w:val="000000"/>
          <w:sz w:val="22"/>
          <w:szCs w:val="22"/>
        </w:rPr>
        <w:t xml:space="preserve"> Komisionit (O</w:t>
      </w:r>
      <w:r w:rsidRPr="000D257F">
        <w:rPr>
          <w:rFonts w:ascii="StobiSerif Regular" w:hAnsi="StobiSerif Regular"/>
          <w:color w:val="000000"/>
          <w:sz w:val="22"/>
          <w:szCs w:val="22"/>
          <w:lang w:val="sq-AL"/>
        </w:rPr>
        <w:t>S</w:t>
      </w:r>
      <w:r w:rsidRPr="000D257F">
        <w:rPr>
          <w:rFonts w:ascii="StobiSerif Regular" w:hAnsi="StobiSerif Regular"/>
          <w:color w:val="000000"/>
          <w:sz w:val="22"/>
          <w:szCs w:val="22"/>
        </w:rPr>
        <w:t>K për IRR</w:t>
      </w:r>
      <w:r w:rsidRPr="000D257F">
        <w:rPr>
          <w:rFonts w:ascii="StobiSerif Regular" w:hAnsi="StobiSerif Regular"/>
          <w:color w:val="000000"/>
          <w:sz w:val="22"/>
          <w:szCs w:val="22"/>
          <w:lang w:val="sq-AL"/>
        </w:rPr>
        <w:t>-in</w:t>
      </w:r>
      <w:r w:rsidRPr="000D257F">
        <w:rPr>
          <w:rFonts w:ascii="StobiSerif Regular" w:hAnsi="StobiSerif Regular"/>
          <w:color w:val="000000"/>
          <w:sz w:val="22"/>
          <w:szCs w:val="22"/>
        </w:rPr>
        <w:t xml:space="preserve">) për </w:t>
      </w:r>
      <w:r w:rsidRPr="000D257F">
        <w:rPr>
          <w:rFonts w:ascii="StobiSerif Regular" w:hAnsi="StobiSerif Regular"/>
          <w:color w:val="000000"/>
          <w:sz w:val="22"/>
          <w:szCs w:val="22"/>
          <w:lang w:val="sq-AL"/>
        </w:rPr>
        <w:t>sjellje</w:t>
      </w:r>
      <w:r w:rsidRPr="000D257F">
        <w:rPr>
          <w:rFonts w:ascii="StobiSerif Regular" w:hAnsi="StobiSerif Regular"/>
          <w:color w:val="000000"/>
          <w:sz w:val="22"/>
          <w:szCs w:val="22"/>
        </w:rPr>
        <w:t>n e IRR-</w:t>
      </w:r>
      <w:r w:rsidRPr="000D257F">
        <w:rPr>
          <w:rFonts w:ascii="StobiSerif Regular" w:hAnsi="StobiSerif Regular"/>
          <w:color w:val="000000"/>
          <w:sz w:val="22"/>
          <w:szCs w:val="22"/>
          <w:lang w:val="sq-AL"/>
        </w:rPr>
        <w:t>it</w:t>
      </w:r>
      <w:r w:rsidRPr="000D257F">
        <w:rPr>
          <w:rFonts w:ascii="StobiSerif Regular" w:hAnsi="StobiSerif Regular"/>
          <w:color w:val="000000"/>
          <w:sz w:val="22"/>
          <w:szCs w:val="22"/>
        </w:rPr>
        <w:t xml:space="preserve">, </w:t>
      </w:r>
      <w:r w:rsidRPr="000D257F">
        <w:rPr>
          <w:rFonts w:ascii="StobiSerif Regular" w:hAnsi="StobiSerif Regular"/>
          <w:b/>
          <w:bCs/>
          <w:color w:val="000000"/>
          <w:sz w:val="22"/>
          <w:szCs w:val="22"/>
        </w:rPr>
        <w:t>atëherë</w:t>
      </w:r>
      <w:r w:rsidRPr="000D257F">
        <w:rPr>
          <w:rFonts w:ascii="StobiSerif Regular" w:hAnsi="StobiSerif Regular"/>
          <w:b/>
          <w:bCs/>
          <w:color w:val="000000"/>
          <w:sz w:val="22"/>
          <w:szCs w:val="22"/>
          <w:lang w:val="sq-AL"/>
        </w:rPr>
        <w:t xml:space="preserve"> mjet</w:t>
      </w:r>
      <w:r w:rsidRPr="000D257F">
        <w:rPr>
          <w:rFonts w:ascii="StobiSerif Regular" w:hAnsi="StobiSerif Regular"/>
          <w:b/>
          <w:bCs/>
          <w:color w:val="000000"/>
          <w:sz w:val="22"/>
          <w:szCs w:val="22"/>
        </w:rPr>
        <w:t>et nga IRR</w:t>
      </w:r>
      <w:r w:rsidRPr="000D257F">
        <w:rPr>
          <w:rFonts w:ascii="StobiSerif Regular" w:hAnsi="StobiSerif Regular"/>
          <w:b/>
          <w:bCs/>
          <w:color w:val="000000"/>
          <w:sz w:val="22"/>
          <w:szCs w:val="22"/>
          <w:lang w:val="sq-AL"/>
        </w:rPr>
        <w:t xml:space="preserve">-ja </w:t>
      </w:r>
      <w:r w:rsidRPr="000D257F">
        <w:rPr>
          <w:rFonts w:ascii="StobiSerif Regular" w:hAnsi="StobiSerif Regular"/>
          <w:b/>
          <w:bCs/>
          <w:color w:val="000000"/>
          <w:sz w:val="22"/>
          <w:szCs w:val="22"/>
        </w:rPr>
        <w:t>duhet të kthehen</w:t>
      </w:r>
      <w:r w:rsidRPr="000D257F">
        <w:rPr>
          <w:rFonts w:ascii="StobiSerif Regular" w:hAnsi="StobiSerif Regular"/>
          <w:color w:val="000000"/>
          <w:sz w:val="22"/>
          <w:szCs w:val="22"/>
        </w:rPr>
        <w:t xml:space="preserve">, pasi masat që tashmë janë </w:t>
      </w:r>
      <w:r w:rsidRPr="000D257F">
        <w:rPr>
          <w:rFonts w:ascii="StobiSerif Regular" w:hAnsi="StobiSerif Regular"/>
          <w:color w:val="000000"/>
          <w:sz w:val="22"/>
          <w:szCs w:val="22"/>
          <w:lang w:val="sq-AL"/>
        </w:rPr>
        <w:t>përmbajtur</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me</w:t>
      </w:r>
      <w:r w:rsidRPr="000D257F">
        <w:rPr>
          <w:rFonts w:ascii="StobiSerif Regular" w:hAnsi="StobiSerif Regular"/>
          <w:color w:val="000000"/>
          <w:sz w:val="22"/>
          <w:szCs w:val="22"/>
        </w:rPr>
        <w:t xml:space="preserve"> fonde të tjera të </w:t>
      </w:r>
      <w:r w:rsidRPr="000D257F">
        <w:rPr>
          <w:rFonts w:ascii="StobiSerif Regular" w:hAnsi="StobiSerif Regular"/>
          <w:color w:val="000000"/>
          <w:sz w:val="22"/>
          <w:szCs w:val="22"/>
          <w:lang w:val="sq-AL"/>
        </w:rPr>
        <w:t>Unionit</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 xml:space="preserve">fare </w:t>
      </w:r>
      <w:r w:rsidRPr="000D257F">
        <w:rPr>
          <w:rFonts w:ascii="StobiSerif Regular" w:hAnsi="StobiSerif Regular"/>
          <w:color w:val="000000"/>
          <w:sz w:val="22"/>
          <w:szCs w:val="22"/>
        </w:rPr>
        <w:t xml:space="preserve">nuk duhet të përfshihen në Agjendën </w:t>
      </w:r>
      <w:r w:rsidRPr="000D257F">
        <w:rPr>
          <w:rFonts w:ascii="StobiSerif Regular" w:hAnsi="StobiSerif Regular"/>
          <w:color w:val="000000"/>
          <w:sz w:val="22"/>
          <w:szCs w:val="22"/>
          <w:lang w:val="sq-AL"/>
        </w:rPr>
        <w:t>r</w:t>
      </w:r>
      <w:r w:rsidRPr="000D257F">
        <w:rPr>
          <w:rFonts w:ascii="StobiSerif Regular" w:hAnsi="StobiSerif Regular"/>
          <w:color w:val="000000"/>
          <w:sz w:val="22"/>
          <w:szCs w:val="22"/>
        </w:rPr>
        <w:t>eform</w:t>
      </w:r>
      <w:r w:rsidRPr="000D257F">
        <w:rPr>
          <w:rFonts w:ascii="StobiSerif Regular" w:hAnsi="StobiSerif Regular"/>
          <w:color w:val="000000"/>
          <w:sz w:val="22"/>
          <w:szCs w:val="22"/>
          <w:lang w:val="sq-AL"/>
        </w:rPr>
        <w:t>uese</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ndërsa</w:t>
      </w:r>
      <w:r w:rsidRPr="000D257F">
        <w:rPr>
          <w:rFonts w:ascii="StobiSerif Regular" w:hAnsi="StobiSerif Regular"/>
          <w:color w:val="000000"/>
          <w:sz w:val="22"/>
          <w:szCs w:val="22"/>
        </w:rPr>
        <w:t xml:space="preserve"> kjo është dashur të </w:t>
      </w:r>
      <w:r w:rsidRPr="000D257F">
        <w:rPr>
          <w:rFonts w:ascii="StobiSerif Regular" w:hAnsi="StobiSerif Regular"/>
          <w:color w:val="000000"/>
          <w:sz w:val="22"/>
          <w:szCs w:val="22"/>
          <w:lang w:val="sq-AL"/>
        </w:rPr>
        <w:t>njoftohet</w:t>
      </w:r>
      <w:r w:rsidRPr="000D257F">
        <w:rPr>
          <w:rFonts w:ascii="StobiSerif Regular" w:hAnsi="StobiSerif Regular"/>
          <w:color w:val="000000"/>
          <w:sz w:val="22"/>
          <w:szCs w:val="22"/>
        </w:rPr>
        <w:t xml:space="preserve"> në fazën e hartimit dhe vlerësimit</w:t>
      </w:r>
      <w:r w:rsidRPr="000D257F">
        <w:rPr>
          <w:rFonts w:ascii="StobiSerif Regular" w:hAnsi="StobiSerif Regular"/>
          <w:color w:val="000000"/>
          <w:sz w:val="22"/>
          <w:szCs w:val="22"/>
          <w:lang w:val="sq-AL"/>
        </w:rPr>
        <w:t>.</w:t>
      </w:r>
    </w:p>
    <w:p w14:paraId="1885A5AA" w14:textId="77777777" w:rsidR="00F722A0" w:rsidRPr="000D257F" w:rsidRDefault="00F722A0" w:rsidP="00F722A0">
      <w:pPr>
        <w:pStyle w:val="ListParagraph"/>
        <w:numPr>
          <w:ilvl w:val="0"/>
          <w:numId w:val="2"/>
        </w:numPr>
        <w:shd w:val="clear" w:color="auto" w:fill="FFFFFF"/>
        <w:spacing w:before="120" w:after="120"/>
        <w:jc w:val="both"/>
        <w:rPr>
          <w:rFonts w:ascii="StobiSerif Regular" w:hAnsi="StobiSerif Regular"/>
          <w:color w:val="000000"/>
          <w:sz w:val="22"/>
          <w:szCs w:val="22"/>
        </w:rPr>
      </w:pPr>
      <w:r w:rsidRPr="000D257F">
        <w:rPr>
          <w:rFonts w:ascii="StobiSerif Regular" w:hAnsi="StobiSerif Regular"/>
          <w:color w:val="000000"/>
          <w:sz w:val="22"/>
          <w:szCs w:val="22"/>
        </w:rPr>
        <w:t>Kur financimi i dyfishtë është rezultat i marrëveshje</w:t>
      </w:r>
      <w:r w:rsidRPr="000D257F">
        <w:rPr>
          <w:rFonts w:ascii="StobiSerif Regular" w:hAnsi="StobiSerif Regular"/>
          <w:color w:val="000000"/>
          <w:sz w:val="22"/>
          <w:szCs w:val="22"/>
          <w:lang w:val="sq-AL"/>
        </w:rPr>
        <w:t>s</w:t>
      </w:r>
      <w:r w:rsidRPr="000D257F">
        <w:rPr>
          <w:rFonts w:ascii="StobiSerif Regular" w:hAnsi="StobiSerif Regular"/>
          <w:color w:val="000000"/>
          <w:sz w:val="22"/>
          <w:szCs w:val="22"/>
        </w:rPr>
        <w:t xml:space="preserve"> për grant të lidhur në kuadër të një programi tjetër të </w:t>
      </w:r>
      <w:r w:rsidRPr="000D257F">
        <w:rPr>
          <w:rFonts w:ascii="StobiSerif Regular" w:hAnsi="StobiSerif Regular"/>
          <w:color w:val="000000"/>
          <w:sz w:val="22"/>
          <w:szCs w:val="22"/>
          <w:lang w:val="sq-AL"/>
        </w:rPr>
        <w:t>Unionit</w:t>
      </w:r>
      <w:r w:rsidRPr="000D257F">
        <w:rPr>
          <w:rFonts w:ascii="StobiSerif Regular" w:hAnsi="StobiSerif Regular"/>
          <w:color w:val="000000"/>
          <w:sz w:val="22"/>
          <w:szCs w:val="22"/>
        </w:rPr>
        <w:t xml:space="preserve"> pas miratimit të OSK-së për IRR</w:t>
      </w:r>
      <w:r w:rsidRPr="000D257F">
        <w:rPr>
          <w:rFonts w:ascii="StobiSerif Regular" w:hAnsi="StobiSerif Regular"/>
          <w:color w:val="000000"/>
          <w:sz w:val="22"/>
          <w:szCs w:val="22"/>
          <w:lang w:val="sq-AL"/>
        </w:rPr>
        <w:t>-në</w:t>
      </w:r>
      <w:r w:rsidRPr="000D257F">
        <w:rPr>
          <w:rFonts w:ascii="StobiSerif Regular" w:hAnsi="StobiSerif Regular"/>
          <w:color w:val="000000"/>
          <w:sz w:val="22"/>
          <w:szCs w:val="22"/>
        </w:rPr>
        <w:t xml:space="preserve">, </w:t>
      </w:r>
      <w:r w:rsidRPr="000D257F">
        <w:rPr>
          <w:rFonts w:ascii="StobiSerif Regular" w:hAnsi="StobiSerif Regular"/>
          <w:b/>
          <w:bCs/>
          <w:color w:val="000000"/>
          <w:sz w:val="22"/>
          <w:szCs w:val="22"/>
        </w:rPr>
        <w:t xml:space="preserve">atëherë </w:t>
      </w:r>
      <w:r w:rsidRPr="000D257F">
        <w:rPr>
          <w:rFonts w:ascii="StobiSerif Regular" w:hAnsi="StobiSerif Regular"/>
          <w:b/>
          <w:bCs/>
          <w:color w:val="000000"/>
          <w:sz w:val="22"/>
          <w:szCs w:val="22"/>
          <w:lang w:val="sq-AL"/>
        </w:rPr>
        <w:t>mjet</w:t>
      </w:r>
      <w:r w:rsidRPr="000D257F">
        <w:rPr>
          <w:rFonts w:ascii="StobiSerif Regular" w:hAnsi="StobiSerif Regular"/>
          <w:b/>
          <w:bCs/>
          <w:color w:val="000000"/>
          <w:sz w:val="22"/>
          <w:szCs w:val="22"/>
        </w:rPr>
        <w:t>et e paguara përmes programit tjetër të BE-së duhet t</w:t>
      </w:r>
      <w:r w:rsidRPr="000D257F">
        <w:rPr>
          <w:rFonts w:ascii="StobiSerif Regular" w:hAnsi="StobiSerif Regular"/>
          <w:b/>
          <w:bCs/>
          <w:color w:val="000000"/>
          <w:sz w:val="22"/>
          <w:szCs w:val="22"/>
          <w:lang w:val="sq-AL"/>
        </w:rPr>
        <w:t>’i</w:t>
      </w:r>
      <w:r w:rsidRPr="000D257F">
        <w:rPr>
          <w:rFonts w:ascii="StobiSerif Regular" w:hAnsi="StobiSerif Regular"/>
          <w:b/>
          <w:bCs/>
          <w:color w:val="000000"/>
          <w:sz w:val="22"/>
          <w:szCs w:val="22"/>
        </w:rPr>
        <w:t xml:space="preserve"> kthe</w:t>
      </w:r>
      <w:r w:rsidRPr="000D257F">
        <w:rPr>
          <w:rFonts w:ascii="StobiSerif Regular" w:hAnsi="StobiSerif Regular"/>
          <w:b/>
          <w:bCs/>
          <w:color w:val="000000"/>
          <w:sz w:val="22"/>
          <w:szCs w:val="22"/>
          <w:lang w:val="sq-AL"/>
        </w:rPr>
        <w:t>n</w:t>
      </w:r>
      <w:r w:rsidRPr="000D257F">
        <w:rPr>
          <w:rFonts w:ascii="StobiSerif Regular" w:hAnsi="StobiSerif Regular"/>
          <w:color w:val="000000"/>
          <w:sz w:val="22"/>
          <w:szCs w:val="22"/>
          <w:lang w:val="sq-AL"/>
        </w:rPr>
        <w:t xml:space="preserve"> trupi</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përgjegjës i</w:t>
      </w:r>
      <w:r w:rsidRPr="000D257F">
        <w:rPr>
          <w:rFonts w:ascii="StobiSerif Regular" w:hAnsi="StobiSerif Regular"/>
          <w:color w:val="000000"/>
          <w:sz w:val="22"/>
          <w:szCs w:val="22"/>
        </w:rPr>
        <w:t xml:space="preserve"> BE-</w:t>
      </w:r>
      <w:r w:rsidRPr="000D257F">
        <w:rPr>
          <w:rFonts w:ascii="StobiSerif Regular" w:hAnsi="StobiSerif Regular"/>
          <w:color w:val="000000"/>
          <w:sz w:val="22"/>
          <w:szCs w:val="22"/>
          <w:lang w:val="sq-AL"/>
        </w:rPr>
        <w:t>së.</w:t>
      </w:r>
    </w:p>
    <w:p w14:paraId="73F5C89B" w14:textId="77777777" w:rsidR="00F722A0" w:rsidRPr="000D257F" w:rsidRDefault="00F722A0" w:rsidP="00F722A0">
      <w:pPr>
        <w:shd w:val="clear" w:color="auto" w:fill="FFFFFF"/>
        <w:spacing w:before="120" w:after="120"/>
        <w:jc w:val="both"/>
        <w:rPr>
          <w:rFonts w:ascii="StobiSerif Regular" w:hAnsi="StobiSerif Regular"/>
          <w:color w:val="000000"/>
          <w:sz w:val="22"/>
          <w:szCs w:val="22"/>
          <w:lang w:val="sq-AL"/>
        </w:rPr>
      </w:pPr>
    </w:p>
    <w:p w14:paraId="2C23E876" w14:textId="77777777" w:rsidR="00F722A0" w:rsidRPr="000D257F" w:rsidRDefault="00F722A0" w:rsidP="00F722A0">
      <w:pPr>
        <w:shd w:val="clear" w:color="auto" w:fill="FFFFFF"/>
        <w:spacing w:before="120" w:after="120"/>
        <w:jc w:val="both"/>
        <w:rPr>
          <w:rFonts w:ascii="StobiSerif Regular" w:hAnsi="StobiSerif Regular"/>
          <w:b/>
          <w:bCs/>
          <w:color w:val="000000"/>
          <w:sz w:val="22"/>
          <w:szCs w:val="22"/>
        </w:rPr>
      </w:pPr>
      <w:r w:rsidRPr="000D257F">
        <w:rPr>
          <w:rFonts w:ascii="StobiSerif Regular" w:hAnsi="StobiSerif Regular"/>
          <w:b/>
          <w:bCs/>
          <w:color w:val="000000"/>
          <w:sz w:val="22"/>
          <w:szCs w:val="22"/>
        </w:rPr>
        <w:t>Aneksi I – Studime të rreme</w:t>
      </w:r>
      <w:r w:rsidRPr="000D257F">
        <w:rPr>
          <w:rFonts w:ascii="StobiSerif Regular" w:hAnsi="StobiSerif Regular"/>
          <w:b/>
          <w:bCs/>
          <w:color w:val="000000"/>
          <w:sz w:val="22"/>
          <w:szCs w:val="22"/>
          <w:lang w:val="sq-AL"/>
        </w:rPr>
        <w:t xml:space="preserve"> (fiktive)</w:t>
      </w:r>
      <w:r w:rsidRPr="000D257F">
        <w:rPr>
          <w:rFonts w:ascii="StobiSerif Regular" w:hAnsi="StobiSerif Regular"/>
          <w:b/>
          <w:bCs/>
          <w:color w:val="000000"/>
          <w:sz w:val="22"/>
          <w:szCs w:val="22"/>
        </w:rPr>
        <w:t xml:space="preserve"> të rast</w:t>
      </w:r>
      <w:r w:rsidRPr="000D257F">
        <w:rPr>
          <w:rFonts w:ascii="StobiSerif Regular" w:hAnsi="StobiSerif Regular"/>
          <w:b/>
          <w:bCs/>
          <w:color w:val="000000"/>
          <w:sz w:val="22"/>
          <w:szCs w:val="22"/>
          <w:lang w:val="sq-AL"/>
        </w:rPr>
        <w:t>it</w:t>
      </w:r>
      <w:r w:rsidRPr="000D257F">
        <w:rPr>
          <w:rFonts w:ascii="StobiSerif Regular" w:hAnsi="StobiSerif Regular"/>
          <w:b/>
          <w:bCs/>
          <w:color w:val="000000"/>
          <w:sz w:val="22"/>
          <w:szCs w:val="22"/>
        </w:rPr>
        <w:t xml:space="preserve"> për financim të dyfishtë</w:t>
      </w:r>
    </w:p>
    <w:p w14:paraId="107B463A" w14:textId="77777777" w:rsidR="00F722A0" w:rsidRPr="000D257F" w:rsidRDefault="00F722A0" w:rsidP="00F722A0">
      <w:pPr>
        <w:shd w:val="clear" w:color="auto" w:fill="FFFFFF"/>
        <w:spacing w:before="120" w:after="120"/>
        <w:jc w:val="both"/>
        <w:rPr>
          <w:rFonts w:ascii="StobiSerif Regular" w:hAnsi="StobiSerif Regular"/>
          <w:b/>
          <w:bCs/>
          <w:i/>
          <w:iCs/>
          <w:color w:val="000000"/>
          <w:sz w:val="22"/>
          <w:szCs w:val="22"/>
        </w:rPr>
      </w:pPr>
      <w:r w:rsidRPr="000D257F">
        <w:rPr>
          <w:rFonts w:ascii="StobiSerif Regular" w:hAnsi="StobiSerif Regular"/>
          <w:b/>
          <w:bCs/>
          <w:i/>
          <w:iCs/>
          <w:color w:val="000000"/>
          <w:sz w:val="22"/>
          <w:szCs w:val="22"/>
        </w:rPr>
        <w:t>Financim i dyfishtë në nivelin e p</w:t>
      </w:r>
      <w:proofErr w:type="spellStart"/>
      <w:r w:rsidRPr="000D257F">
        <w:rPr>
          <w:rFonts w:ascii="StobiSerif Regular" w:hAnsi="StobiSerif Regular"/>
          <w:b/>
          <w:bCs/>
          <w:i/>
          <w:iCs/>
          <w:color w:val="000000"/>
          <w:sz w:val="22"/>
          <w:szCs w:val="22"/>
          <w:lang w:val="pt-PT"/>
        </w:rPr>
        <w:t>ran</w:t>
      </w:r>
      <w:proofErr w:type="spellEnd"/>
      <w:r w:rsidRPr="000D257F">
        <w:rPr>
          <w:rFonts w:ascii="StobiSerif Regular" w:hAnsi="StobiSerif Regular"/>
          <w:b/>
          <w:bCs/>
          <w:i/>
          <w:iCs/>
          <w:color w:val="000000"/>
          <w:sz w:val="22"/>
          <w:szCs w:val="22"/>
        </w:rPr>
        <w:t>uesit përfundimtar</w:t>
      </w:r>
    </w:p>
    <w:p w14:paraId="37837A80" w14:textId="44FADA78" w:rsidR="00F722A0" w:rsidRPr="000D257F" w:rsidRDefault="00F722A0" w:rsidP="00F722A0">
      <w:pPr>
        <w:shd w:val="clear" w:color="auto" w:fill="FFFFFF"/>
        <w:spacing w:before="120" w:after="120"/>
        <w:jc w:val="both"/>
        <w:rPr>
          <w:rFonts w:ascii="StobiSerif Regular" w:hAnsi="StobiSerif Regular"/>
          <w:color w:val="000000"/>
          <w:sz w:val="22"/>
          <w:szCs w:val="22"/>
        </w:rPr>
      </w:pPr>
      <w:r w:rsidRPr="000D257F">
        <w:rPr>
          <w:rFonts w:ascii="StobiSerif Regular" w:hAnsi="StobiSerif Regular"/>
          <w:b/>
          <w:bCs/>
          <w:color w:val="000000"/>
          <w:sz w:val="22"/>
          <w:szCs w:val="22"/>
          <w:u w:val="single"/>
        </w:rPr>
        <w:t>Rasti 1</w:t>
      </w:r>
      <w:r w:rsidRPr="000D257F">
        <w:rPr>
          <w:rFonts w:ascii="StobiSerif Regular" w:hAnsi="StobiSerif Regular"/>
          <w:color w:val="000000"/>
          <w:sz w:val="22"/>
          <w:szCs w:val="22"/>
        </w:rPr>
        <w:t xml:space="preserve">: </w:t>
      </w:r>
      <w:r w:rsidRPr="000D257F">
        <w:rPr>
          <w:rFonts w:ascii="StobiSerif Regular" w:hAnsi="StobiSerif Regular"/>
          <w:i/>
          <w:iCs/>
          <w:color w:val="000000"/>
          <w:sz w:val="22"/>
          <w:szCs w:val="22"/>
        </w:rPr>
        <w:t>Një nga pranuesit përfundimtarë (p.sh. shkollë publike, ndërmarrje e vogël ose e mesme, individ)</w:t>
      </w:r>
      <w:r w:rsidRPr="000D257F">
        <w:rPr>
          <w:rFonts w:ascii="StobiSerif Regular" w:hAnsi="StobiSerif Regular"/>
          <w:i/>
          <w:iCs/>
          <w:color w:val="000000"/>
          <w:sz w:val="22"/>
          <w:szCs w:val="22"/>
          <w:lang w:val="sq-AL"/>
        </w:rPr>
        <w:t xml:space="preserve"> </w:t>
      </w:r>
      <w:r w:rsidRPr="000D257F">
        <w:rPr>
          <w:rFonts w:ascii="StobiSerif Regular" w:hAnsi="StobiSerif Regular"/>
          <w:i/>
          <w:iCs/>
          <w:color w:val="000000"/>
          <w:sz w:val="22"/>
          <w:szCs w:val="22"/>
        </w:rPr>
        <w:t>që merr mjete në kuadër të një hapi të caktuar nga AR</w:t>
      </w:r>
      <w:r w:rsidRPr="000D257F">
        <w:rPr>
          <w:rFonts w:ascii="StobiSerif Regular" w:hAnsi="StobiSerif Regular"/>
          <w:i/>
          <w:iCs/>
          <w:color w:val="000000"/>
          <w:sz w:val="22"/>
          <w:szCs w:val="22"/>
          <w:lang w:val="sq-AL"/>
        </w:rPr>
        <w:t>-ja</w:t>
      </w:r>
      <w:r w:rsidRPr="000D257F">
        <w:rPr>
          <w:rFonts w:ascii="StobiSerif Regular" w:hAnsi="StobiSerif Regular"/>
          <w:i/>
          <w:iCs/>
          <w:color w:val="000000"/>
          <w:sz w:val="22"/>
          <w:szCs w:val="22"/>
        </w:rPr>
        <w:t>, njëkohësisht merr mbështetje financiare edhe nga një program tjetër i BE-së ose nga donator tjetër [kjo do të thotë që pranuesi përfundimtar për të njëjtën veprim merr dy subvencione që mbivendosen]</w:t>
      </w:r>
    </w:p>
    <w:p w14:paraId="6FD346DC" w14:textId="77777777" w:rsidR="00F722A0" w:rsidRPr="000D257F" w:rsidRDefault="00F722A0" w:rsidP="00F722A0">
      <w:pPr>
        <w:pStyle w:val="ListParagraph"/>
        <w:numPr>
          <w:ilvl w:val="0"/>
          <w:numId w:val="3"/>
        </w:numPr>
        <w:shd w:val="clear" w:color="auto" w:fill="FFFFFF"/>
        <w:spacing w:before="120" w:after="120"/>
        <w:jc w:val="both"/>
        <w:rPr>
          <w:rFonts w:ascii="StobiSerif Regular" w:hAnsi="StobiSerif Regular"/>
          <w:color w:val="000000"/>
          <w:sz w:val="22"/>
          <w:szCs w:val="22"/>
        </w:rPr>
      </w:pPr>
      <w:r w:rsidRPr="000D257F">
        <w:rPr>
          <w:rFonts w:ascii="StobiSerif Regular" w:hAnsi="StobiSerif Regular"/>
          <w:color w:val="000000"/>
          <w:sz w:val="22"/>
          <w:szCs w:val="22"/>
        </w:rPr>
        <w:t>Shfrutëzuesi është ai i cili është përgjegjës për zbulimin, korrigjimin ose kthimin e mjeteve nga shfrytëzuesit përfundimtarë, me qëllim të harmonizimit me Rregulloren për IRR-në.</w:t>
      </w:r>
    </w:p>
    <w:p w14:paraId="12B532F1" w14:textId="24C2C71B" w:rsidR="00F722A0" w:rsidRPr="000D257F" w:rsidRDefault="00F722A0" w:rsidP="00F722A0">
      <w:pPr>
        <w:pStyle w:val="ListParagraph"/>
        <w:numPr>
          <w:ilvl w:val="0"/>
          <w:numId w:val="3"/>
        </w:numPr>
        <w:shd w:val="clear" w:color="auto" w:fill="FFFFFF"/>
        <w:spacing w:before="120" w:after="120"/>
        <w:jc w:val="both"/>
        <w:rPr>
          <w:rFonts w:ascii="StobiSerif Regular" w:hAnsi="StobiSerif Regular"/>
          <w:color w:val="000000"/>
          <w:sz w:val="22"/>
          <w:szCs w:val="22"/>
        </w:rPr>
      </w:pPr>
      <w:r w:rsidRPr="000D257F">
        <w:rPr>
          <w:rFonts w:ascii="StobiSerif Regular" w:hAnsi="StobiSerif Regular"/>
          <w:color w:val="000000"/>
          <w:sz w:val="22"/>
          <w:szCs w:val="22"/>
        </w:rPr>
        <w:t>Për Komisionin, vetë shuma që do duhej të kthehet/kompensohet</w:t>
      </w:r>
      <w:r w:rsidRPr="000D257F">
        <w:rPr>
          <w:rFonts w:ascii="StobiSerif Regular" w:hAnsi="StobiSerif Regular"/>
          <w:color w:val="000000"/>
          <w:sz w:val="22"/>
          <w:szCs w:val="22"/>
          <w:lang w:val="sq-AL"/>
        </w:rPr>
        <w:t>,</w:t>
      </w:r>
      <w:r w:rsidRPr="000D257F">
        <w:rPr>
          <w:rFonts w:ascii="StobiSerif Regular" w:hAnsi="StobiSerif Regular"/>
          <w:color w:val="000000"/>
          <w:sz w:val="22"/>
          <w:szCs w:val="22"/>
        </w:rPr>
        <w:t xml:space="preserve"> nuk do të lidhet drejtpërdrejt me shpenzimet. Gjatë përcaktimit të shumës e cila duhet të kthehet, Komisioni do të shqyrtojë shkallën e përmbushjes së hapit konkret dhe do ta ulë nga rezultati i përgjithshëm i </w:t>
      </w:r>
      <w:r w:rsidRPr="000D257F">
        <w:rPr>
          <w:rFonts w:ascii="StobiSerif Regular" w:hAnsi="StobiSerif Regular"/>
          <w:color w:val="000000"/>
          <w:sz w:val="22"/>
          <w:szCs w:val="22"/>
          <w:lang w:val="sq-AL"/>
        </w:rPr>
        <w:t>njoftuar</w:t>
      </w:r>
      <w:r w:rsidRPr="000D257F">
        <w:rPr>
          <w:rFonts w:ascii="StobiSerif Regular" w:hAnsi="StobiSerif Regular"/>
          <w:color w:val="000000"/>
          <w:sz w:val="22"/>
          <w:szCs w:val="22"/>
        </w:rPr>
        <w:t xml:space="preserve"> për arrit</w:t>
      </w:r>
      <w:r w:rsidRPr="000D257F">
        <w:rPr>
          <w:rFonts w:ascii="StobiSerif Regular" w:hAnsi="StobiSerif Regular"/>
          <w:color w:val="000000"/>
          <w:sz w:val="22"/>
          <w:szCs w:val="22"/>
          <w:lang w:val="sq-AL"/>
        </w:rPr>
        <w:t>jen e asaj</w:t>
      </w:r>
      <w:r w:rsidRPr="000D257F">
        <w:rPr>
          <w:rFonts w:ascii="StobiSerif Regular" w:hAnsi="StobiSerif Regular"/>
          <w:color w:val="000000"/>
          <w:sz w:val="22"/>
          <w:szCs w:val="22"/>
        </w:rPr>
        <w:t xml:space="preserve"> pjesë që është financuar dy herë me mjete nga BE-ja.</w:t>
      </w:r>
      <w:r w:rsidRPr="000D257F">
        <w:rPr>
          <w:rFonts w:ascii="StobiSerif Regular" w:hAnsi="StobiSerif Regular"/>
          <w:color w:val="000000"/>
          <w:sz w:val="22"/>
          <w:szCs w:val="22"/>
          <w:lang w:val="sq-AL"/>
        </w:rPr>
        <w:t xml:space="preserve"> </w:t>
      </w:r>
      <w:r w:rsidRPr="000D257F">
        <w:rPr>
          <w:rFonts w:ascii="StobiSerif Regular" w:hAnsi="StobiSerif Regular"/>
          <w:color w:val="000000"/>
          <w:sz w:val="22"/>
          <w:szCs w:val="22"/>
        </w:rPr>
        <w:t>Do të zbatohen dispozitat për pagesë të pjesshme, ashtu siç është definuar në Marrëveshjen për Instrumentin.</w:t>
      </w:r>
    </w:p>
    <w:p w14:paraId="4C017283" w14:textId="77777777" w:rsidR="00F722A0" w:rsidRPr="000D257F" w:rsidRDefault="00F722A0" w:rsidP="00F722A0">
      <w:pPr>
        <w:shd w:val="clear" w:color="auto" w:fill="FFFFFF"/>
        <w:spacing w:before="120" w:after="120"/>
        <w:ind w:left="720"/>
        <w:jc w:val="both"/>
        <w:rPr>
          <w:rFonts w:ascii="StobiSerif Regular" w:hAnsi="StobiSerif Regular"/>
          <w:color w:val="000000"/>
          <w:sz w:val="22"/>
          <w:szCs w:val="22"/>
          <w:lang w:val="sq-AL"/>
        </w:rPr>
      </w:pPr>
    </w:p>
    <w:p w14:paraId="17F9A14E" w14:textId="5EADE71B" w:rsidR="00F722A0" w:rsidRPr="000D257F" w:rsidRDefault="00F722A0" w:rsidP="00AB15B4">
      <w:pPr>
        <w:shd w:val="clear" w:color="auto" w:fill="FFFFFF"/>
        <w:spacing w:before="120" w:after="120"/>
        <w:jc w:val="both"/>
        <w:rPr>
          <w:rFonts w:ascii="StobiSerif Regular" w:hAnsi="StobiSerif Regular"/>
          <w:b/>
          <w:color w:val="000000"/>
          <w:sz w:val="22"/>
          <w:szCs w:val="22"/>
          <w:u w:val="single"/>
          <w:lang w:val="sq-AL"/>
        </w:rPr>
      </w:pPr>
      <w:r w:rsidRPr="000D257F">
        <w:rPr>
          <w:rFonts w:ascii="StobiSerif Regular" w:hAnsi="StobiSerif Regular"/>
          <w:b/>
          <w:bCs/>
          <w:i/>
          <w:iCs/>
          <w:color w:val="000000"/>
          <w:sz w:val="22"/>
          <w:szCs w:val="22"/>
        </w:rPr>
        <w:t xml:space="preserve">Financim i dyfishtë në nivel të </w:t>
      </w:r>
      <w:r w:rsidRPr="000D257F">
        <w:rPr>
          <w:rFonts w:ascii="StobiSerif Regular" w:hAnsi="StobiSerif Regular"/>
          <w:b/>
          <w:bCs/>
          <w:i/>
          <w:iCs/>
          <w:color w:val="000000"/>
          <w:sz w:val="22"/>
          <w:szCs w:val="22"/>
          <w:lang w:val="sq-AL"/>
        </w:rPr>
        <w:t>Shfytëzuesit</w:t>
      </w:r>
    </w:p>
    <w:p w14:paraId="572B0309" w14:textId="7E1A46DD" w:rsidR="00F722A0" w:rsidRPr="000D257F" w:rsidRDefault="00F722A0" w:rsidP="00F722A0">
      <w:pPr>
        <w:shd w:val="clear" w:color="auto" w:fill="FFFFFF"/>
        <w:spacing w:before="120" w:after="120"/>
        <w:jc w:val="both"/>
        <w:rPr>
          <w:rFonts w:ascii="StobiSerif Regular" w:hAnsi="StobiSerif Regular"/>
          <w:color w:val="000000"/>
          <w:sz w:val="22"/>
          <w:szCs w:val="22"/>
        </w:rPr>
      </w:pPr>
      <w:r w:rsidRPr="000D257F">
        <w:rPr>
          <w:rFonts w:ascii="StobiSerif Regular" w:hAnsi="StobiSerif Regular"/>
          <w:b/>
          <w:bCs/>
          <w:color w:val="000000"/>
          <w:sz w:val="22"/>
          <w:szCs w:val="22"/>
        </w:rPr>
        <w:t>Rasti 2</w:t>
      </w:r>
      <w:r w:rsidRPr="000D257F">
        <w:rPr>
          <w:rFonts w:ascii="StobiSerif Regular" w:hAnsi="StobiSerif Regular"/>
          <w:color w:val="000000"/>
          <w:sz w:val="22"/>
          <w:szCs w:val="22"/>
        </w:rPr>
        <w:t xml:space="preserve">: </w:t>
      </w:r>
      <w:r w:rsidRPr="000D257F">
        <w:rPr>
          <w:rFonts w:ascii="StobiSerif Regular" w:hAnsi="StobiSerif Regular"/>
          <w:i/>
          <w:iCs/>
          <w:color w:val="000000"/>
          <w:sz w:val="22"/>
          <w:szCs w:val="22"/>
        </w:rPr>
        <w:t>AR (Agjenda Reform</w:t>
      </w:r>
      <w:r w:rsidRPr="000D257F">
        <w:rPr>
          <w:rFonts w:ascii="StobiSerif Regular" w:hAnsi="StobiSerif Regular"/>
          <w:i/>
          <w:iCs/>
          <w:color w:val="000000"/>
          <w:sz w:val="22"/>
          <w:szCs w:val="22"/>
          <w:lang w:val="sq-AL"/>
        </w:rPr>
        <w:t>uese</w:t>
      </w:r>
      <w:r w:rsidRPr="000D257F">
        <w:rPr>
          <w:rFonts w:ascii="StobiSerif Regular" w:hAnsi="StobiSerif Regular"/>
          <w:i/>
          <w:iCs/>
          <w:color w:val="000000"/>
          <w:sz w:val="22"/>
          <w:szCs w:val="22"/>
        </w:rPr>
        <w:t>) parashikon formimin (ose vënien në funksion)</w:t>
      </w:r>
      <w:r w:rsidR="00AB15B4" w:rsidRPr="000D257F">
        <w:rPr>
          <w:rStyle w:val="FootnoteReference"/>
          <w:rFonts w:ascii="StobiSerif Regular" w:hAnsi="StobiSerif Regular"/>
          <w:i/>
          <w:iCs/>
          <w:color w:val="000000"/>
          <w:sz w:val="22"/>
          <w:szCs w:val="22"/>
        </w:rPr>
        <w:footnoteReference w:id="4"/>
      </w:r>
      <w:r w:rsidR="00AB15B4" w:rsidRPr="000D257F">
        <w:rPr>
          <w:rFonts w:ascii="StobiSerif Regular" w:hAnsi="StobiSerif Regular"/>
          <w:i/>
          <w:iCs/>
          <w:color w:val="000000"/>
          <w:sz w:val="22"/>
          <w:szCs w:val="22"/>
        </w:rPr>
        <w:t xml:space="preserve"> </w:t>
      </w:r>
      <w:r w:rsidRPr="000D257F">
        <w:rPr>
          <w:rFonts w:ascii="StobiSerif Regular" w:hAnsi="StobiSerif Regular"/>
          <w:i/>
          <w:iCs/>
          <w:color w:val="000000"/>
          <w:sz w:val="22"/>
          <w:szCs w:val="22"/>
          <w:lang w:val="sq-AL"/>
        </w:rPr>
        <w:t xml:space="preserve">të </w:t>
      </w:r>
      <w:r w:rsidRPr="000D257F">
        <w:rPr>
          <w:rFonts w:ascii="StobiSerif Regular" w:hAnsi="StobiSerif Regular"/>
          <w:i/>
          <w:iCs/>
          <w:color w:val="000000"/>
          <w:sz w:val="22"/>
          <w:szCs w:val="22"/>
        </w:rPr>
        <w:t>Q</w:t>
      </w:r>
      <w:r w:rsidRPr="000D257F">
        <w:rPr>
          <w:rFonts w:ascii="StobiSerif Regular" w:hAnsi="StobiSerif Regular"/>
          <w:i/>
          <w:iCs/>
          <w:color w:val="000000"/>
          <w:sz w:val="22"/>
          <w:szCs w:val="22"/>
          <w:lang w:val="sq-AL"/>
        </w:rPr>
        <w:t>ATP</w:t>
      </w:r>
      <w:r w:rsidRPr="000D257F">
        <w:rPr>
          <w:rFonts w:ascii="StobiSerif Regular" w:hAnsi="StobiSerif Regular"/>
          <w:i/>
          <w:iCs/>
          <w:color w:val="000000"/>
          <w:sz w:val="22"/>
          <w:szCs w:val="22"/>
        </w:rPr>
        <w:t>-së (Zyr</w:t>
      </w:r>
      <w:r w:rsidRPr="000D257F">
        <w:rPr>
          <w:rFonts w:ascii="StobiSerif Regular" w:hAnsi="StobiSerif Regular"/>
          <w:i/>
          <w:iCs/>
          <w:color w:val="000000"/>
          <w:sz w:val="22"/>
          <w:szCs w:val="22"/>
          <w:lang w:val="sq-AL"/>
        </w:rPr>
        <w:t>ë</w:t>
      </w:r>
      <w:r w:rsidRPr="000D257F">
        <w:rPr>
          <w:rFonts w:ascii="StobiSerif Regular" w:hAnsi="StobiSerif Regular"/>
          <w:i/>
          <w:iCs/>
          <w:color w:val="000000"/>
          <w:sz w:val="22"/>
          <w:szCs w:val="22"/>
        </w:rPr>
        <w:t xml:space="preserve"> për Kthim, etj.).</w:t>
      </w:r>
      <w:r w:rsidRPr="000D257F">
        <w:rPr>
          <w:rFonts w:ascii="StobiSerif Regular" w:hAnsi="StobiSerif Regular"/>
          <w:color w:val="000000"/>
          <w:sz w:val="22"/>
          <w:szCs w:val="22"/>
        </w:rPr>
        <w:t xml:space="preserve"> </w:t>
      </w:r>
      <w:r w:rsidRPr="000D257F">
        <w:rPr>
          <w:rFonts w:ascii="StobiSerif Regular" w:hAnsi="StobiSerif Regular"/>
          <w:i/>
          <w:iCs/>
          <w:color w:val="000000"/>
          <w:sz w:val="22"/>
          <w:szCs w:val="22"/>
        </w:rPr>
        <w:t>Qendra është</w:t>
      </w:r>
      <w:r w:rsidRPr="000D257F">
        <w:rPr>
          <w:rFonts w:ascii="StobiSerif Regular" w:hAnsi="StobiSerif Regular"/>
          <w:i/>
          <w:iCs/>
          <w:color w:val="000000"/>
          <w:sz w:val="22"/>
          <w:szCs w:val="22"/>
          <w:lang w:val="sq-AL"/>
        </w:rPr>
        <w:t xml:space="preserve"> formuar</w:t>
      </w:r>
      <w:r w:rsidRPr="000D257F">
        <w:rPr>
          <w:rFonts w:ascii="StobiSerif Regular" w:hAnsi="StobiSerif Regular"/>
          <w:i/>
          <w:iCs/>
          <w:color w:val="000000"/>
          <w:sz w:val="22"/>
          <w:szCs w:val="22"/>
        </w:rPr>
        <w:t xml:space="preserve"> </w:t>
      </w:r>
      <w:r w:rsidRPr="000D257F">
        <w:rPr>
          <w:rFonts w:ascii="StobiSerif Regular" w:hAnsi="StobiSerif Regular"/>
          <w:i/>
          <w:iCs/>
          <w:color w:val="000000"/>
          <w:sz w:val="22"/>
          <w:szCs w:val="22"/>
          <w:lang w:val="sq-AL"/>
        </w:rPr>
        <w:t xml:space="preserve">(është </w:t>
      </w:r>
      <w:r w:rsidRPr="000D257F">
        <w:rPr>
          <w:rFonts w:ascii="StobiSerif Regular" w:hAnsi="StobiSerif Regular"/>
          <w:i/>
          <w:iCs/>
          <w:color w:val="000000"/>
          <w:sz w:val="22"/>
          <w:szCs w:val="22"/>
        </w:rPr>
        <w:t>operative</w:t>
      </w:r>
      <w:r w:rsidRPr="000D257F">
        <w:rPr>
          <w:rFonts w:ascii="StobiSerif Regular" w:hAnsi="StobiSerif Regular"/>
          <w:i/>
          <w:iCs/>
          <w:color w:val="000000"/>
          <w:sz w:val="22"/>
          <w:szCs w:val="22"/>
          <w:lang w:val="sq-AL"/>
        </w:rPr>
        <w:t>)</w:t>
      </w:r>
      <w:r w:rsidRPr="000D257F">
        <w:rPr>
          <w:rFonts w:ascii="StobiSerif Regular" w:hAnsi="StobiSerif Regular"/>
          <w:i/>
          <w:iCs/>
          <w:color w:val="000000"/>
          <w:sz w:val="22"/>
          <w:szCs w:val="22"/>
        </w:rPr>
        <w:t xml:space="preserve">, por administrata e Shfrytëzuesit në të njëjtën kohë ka </w:t>
      </w:r>
      <w:r w:rsidRPr="000D257F">
        <w:rPr>
          <w:rFonts w:ascii="StobiSerif Regular" w:hAnsi="StobiSerif Regular"/>
          <w:i/>
          <w:iCs/>
          <w:color w:val="000000"/>
          <w:sz w:val="22"/>
          <w:szCs w:val="22"/>
          <w:lang w:val="sq-AL"/>
        </w:rPr>
        <w:t>arkëtuar</w:t>
      </w:r>
      <w:r w:rsidRPr="000D257F">
        <w:rPr>
          <w:rFonts w:ascii="StobiSerif Regular" w:hAnsi="StobiSerif Regular"/>
          <w:i/>
          <w:iCs/>
          <w:color w:val="000000"/>
          <w:sz w:val="22"/>
          <w:szCs w:val="22"/>
        </w:rPr>
        <w:t xml:space="preserve"> edhe mjete të tjera nga BE-ja [ose nga donatorë të tjerë] për të mbuluar një pjesë të shpenzimeve për ndërtimin e asaj qendre</w:t>
      </w:r>
    </w:p>
    <w:p w14:paraId="221C9891" w14:textId="511D8212" w:rsidR="00AB15B4" w:rsidRPr="000D257F" w:rsidRDefault="00AB15B4" w:rsidP="00AB15B4">
      <w:pPr>
        <w:shd w:val="clear" w:color="auto" w:fill="FFFFFF"/>
        <w:spacing w:before="120" w:after="120"/>
        <w:jc w:val="both"/>
        <w:rPr>
          <w:rFonts w:ascii="StobiSerif Regular" w:hAnsi="StobiSerif Regular"/>
          <w:color w:val="000000"/>
          <w:sz w:val="22"/>
          <w:szCs w:val="22"/>
          <w:lang w:val="sq-AL"/>
        </w:rPr>
      </w:pPr>
    </w:p>
    <w:p w14:paraId="229C9476" w14:textId="77777777" w:rsidR="00DA0383" w:rsidRPr="000D257F" w:rsidRDefault="00DA0383" w:rsidP="00AB15B4">
      <w:pPr>
        <w:shd w:val="clear" w:color="auto" w:fill="FFFFFF"/>
        <w:spacing w:before="120" w:after="120"/>
        <w:jc w:val="both"/>
        <w:rPr>
          <w:rFonts w:ascii="StobiSerif Regular" w:hAnsi="StobiSerif Regular"/>
          <w:color w:val="000000"/>
          <w:sz w:val="22"/>
          <w:szCs w:val="22"/>
          <w:lang w:val="sq-AL"/>
        </w:rPr>
      </w:pPr>
    </w:p>
    <w:p w14:paraId="2C287585" w14:textId="77777777" w:rsidR="00DA0383" w:rsidRPr="000D257F" w:rsidRDefault="00DA0383" w:rsidP="00AB15B4">
      <w:pPr>
        <w:shd w:val="clear" w:color="auto" w:fill="FFFFFF"/>
        <w:spacing w:before="120" w:after="120"/>
        <w:jc w:val="both"/>
        <w:rPr>
          <w:rFonts w:ascii="StobiSerif Regular" w:hAnsi="StobiSerif Regular"/>
          <w:color w:val="000000"/>
          <w:sz w:val="22"/>
          <w:szCs w:val="22"/>
          <w:lang w:val="sq-AL"/>
        </w:rPr>
      </w:pPr>
    </w:p>
    <w:p w14:paraId="24BA0448" w14:textId="77777777" w:rsidR="00DA0383" w:rsidRPr="000D257F" w:rsidRDefault="00DA0383" w:rsidP="00AB15B4">
      <w:pPr>
        <w:shd w:val="clear" w:color="auto" w:fill="FFFFFF"/>
        <w:spacing w:before="120" w:after="120"/>
        <w:jc w:val="both"/>
        <w:rPr>
          <w:rFonts w:ascii="StobiSerif Regular" w:hAnsi="StobiSerif Regular"/>
          <w:color w:val="000000"/>
          <w:sz w:val="22"/>
          <w:szCs w:val="22"/>
          <w:lang w:val="sq-AL"/>
        </w:rPr>
      </w:pPr>
    </w:p>
    <w:p w14:paraId="16C0DF94" w14:textId="77777777" w:rsidR="00DA0383" w:rsidRPr="000D257F" w:rsidRDefault="00DA0383" w:rsidP="00AB15B4">
      <w:pPr>
        <w:shd w:val="clear" w:color="auto" w:fill="FFFFFF"/>
        <w:spacing w:before="120" w:after="120"/>
        <w:jc w:val="both"/>
        <w:rPr>
          <w:rFonts w:ascii="StobiSerif Regular" w:hAnsi="StobiSerif Regular"/>
          <w:color w:val="000000"/>
          <w:sz w:val="22"/>
          <w:szCs w:val="22"/>
          <w:lang w:val="sq-AL"/>
        </w:rPr>
      </w:pPr>
    </w:p>
    <w:p w14:paraId="5E1A1601" w14:textId="77777777" w:rsidR="00F722A0" w:rsidRPr="000D257F" w:rsidRDefault="00AB15B4" w:rsidP="00F722A0">
      <w:pPr>
        <w:shd w:val="clear" w:color="auto" w:fill="FFFFFF"/>
        <w:spacing w:before="120" w:after="120"/>
        <w:jc w:val="both"/>
        <w:rPr>
          <w:rFonts w:ascii="StobiSerif Regular" w:hAnsi="StobiSerif Regular"/>
          <w:color w:val="000000"/>
          <w:sz w:val="22"/>
          <w:szCs w:val="22"/>
          <w:lang w:val="sq-AL"/>
        </w:rPr>
      </w:pPr>
      <w:r w:rsidRPr="000D257F">
        <w:rPr>
          <w:rFonts w:ascii="StobiSerif Regular" w:hAnsi="StobiSerif Regular"/>
          <w:color w:val="000000"/>
          <w:sz w:val="22"/>
          <w:szCs w:val="22"/>
        </w:rPr>
        <w:t>•</w:t>
      </w:r>
      <w:r w:rsidRPr="000D257F">
        <w:rPr>
          <w:rFonts w:ascii="StobiSerif Regular" w:hAnsi="StobiSerif Regular"/>
          <w:color w:val="000000"/>
          <w:sz w:val="22"/>
          <w:szCs w:val="22"/>
        </w:rPr>
        <w:tab/>
      </w:r>
      <w:r w:rsidR="00F722A0" w:rsidRPr="000D257F">
        <w:rPr>
          <w:rFonts w:ascii="StobiSerif Regular" w:hAnsi="StobiSerif Regular"/>
          <w:color w:val="000000"/>
          <w:sz w:val="22"/>
          <w:szCs w:val="22"/>
          <w:lang w:val="sq-AL"/>
        </w:rPr>
        <w:t>Kombinimi</w:t>
      </w:r>
      <w:r w:rsidR="00F722A0" w:rsidRPr="000D257F">
        <w:rPr>
          <w:rFonts w:ascii="StobiSerif Regular" w:hAnsi="StobiSerif Regular"/>
          <w:color w:val="000000"/>
          <w:sz w:val="22"/>
          <w:szCs w:val="22"/>
        </w:rPr>
        <w:t xml:space="preserve"> </w:t>
      </w:r>
      <w:r w:rsidR="00F722A0" w:rsidRPr="000D257F">
        <w:rPr>
          <w:rFonts w:ascii="StobiSerif Regular" w:hAnsi="StobiSerif Regular"/>
          <w:color w:val="000000"/>
          <w:sz w:val="22"/>
          <w:szCs w:val="22"/>
          <w:lang w:val="sq-AL"/>
        </w:rPr>
        <w:t>i</w:t>
      </w:r>
      <w:r w:rsidR="00F722A0" w:rsidRPr="000D257F">
        <w:rPr>
          <w:rFonts w:ascii="StobiSerif Regular" w:hAnsi="StobiSerif Regular"/>
          <w:color w:val="000000"/>
          <w:sz w:val="22"/>
          <w:szCs w:val="22"/>
        </w:rPr>
        <w:t xml:space="preserve"> financimit duhet të</w:t>
      </w:r>
      <w:r w:rsidR="00F722A0" w:rsidRPr="000D257F">
        <w:rPr>
          <w:rFonts w:ascii="StobiSerif Regular" w:hAnsi="StobiSerif Regular"/>
          <w:color w:val="000000"/>
          <w:sz w:val="22"/>
          <w:szCs w:val="22"/>
          <w:lang w:val="sq-AL"/>
        </w:rPr>
        <w:t xml:space="preserve"> shënohet</w:t>
      </w:r>
      <w:r w:rsidR="00F722A0" w:rsidRPr="000D257F">
        <w:rPr>
          <w:rFonts w:ascii="StobiSerif Regular" w:hAnsi="StobiSerif Regular"/>
          <w:color w:val="000000"/>
          <w:sz w:val="22"/>
          <w:szCs w:val="22"/>
        </w:rPr>
        <w:t xml:space="preserve"> saktë në përshkrimin e </w:t>
      </w:r>
      <w:r w:rsidR="00F722A0" w:rsidRPr="000D257F">
        <w:rPr>
          <w:rFonts w:ascii="StobiSerif Regular" w:hAnsi="StobiSerif Regular"/>
          <w:color w:val="000000"/>
          <w:sz w:val="22"/>
          <w:szCs w:val="22"/>
          <w:lang w:val="sq-AL"/>
        </w:rPr>
        <w:t>implementimit</w:t>
      </w:r>
      <w:r w:rsidR="00F722A0" w:rsidRPr="000D257F">
        <w:rPr>
          <w:rFonts w:ascii="StobiSerif Regular" w:hAnsi="StobiSerif Regular"/>
          <w:color w:val="000000"/>
          <w:sz w:val="22"/>
          <w:szCs w:val="22"/>
        </w:rPr>
        <w:t xml:space="preserve"> të hapit, në mënyrë që të vlerësohe</w:t>
      </w:r>
      <w:r w:rsidR="00F722A0" w:rsidRPr="000D257F">
        <w:rPr>
          <w:rFonts w:ascii="StobiSerif Regular" w:hAnsi="StobiSerif Regular"/>
          <w:color w:val="000000"/>
          <w:sz w:val="22"/>
          <w:szCs w:val="22"/>
          <w:lang w:val="sq-AL"/>
        </w:rPr>
        <w:t>t</w:t>
      </w:r>
      <w:r w:rsidR="00F722A0" w:rsidRPr="000D257F">
        <w:rPr>
          <w:rFonts w:ascii="StobiSerif Regular" w:hAnsi="StobiSerif Regular"/>
          <w:color w:val="000000"/>
          <w:sz w:val="22"/>
          <w:szCs w:val="22"/>
        </w:rPr>
        <w:t xml:space="preserve"> roli dhe mundësia e përputhshmërisë së kontributeve të ndryshme (p.sh., infrastrukturë e financuar nga IRR</w:t>
      </w:r>
      <w:r w:rsidR="00F722A0" w:rsidRPr="000D257F">
        <w:rPr>
          <w:rFonts w:ascii="StobiSerif Regular" w:hAnsi="StobiSerif Regular"/>
          <w:color w:val="000000"/>
          <w:sz w:val="22"/>
          <w:szCs w:val="22"/>
          <w:lang w:val="sq-AL"/>
        </w:rPr>
        <w:t>-ja)</w:t>
      </w:r>
      <w:r w:rsidR="00F722A0" w:rsidRPr="000D257F">
        <w:rPr>
          <w:rFonts w:ascii="StobiSerif Regular" w:hAnsi="StobiSerif Regular"/>
          <w:color w:val="000000"/>
          <w:sz w:val="22"/>
          <w:szCs w:val="22"/>
        </w:rPr>
        <w:t xml:space="preserve"> në krahasim me pajisjet </w:t>
      </w:r>
      <w:r w:rsidR="00F722A0" w:rsidRPr="000D257F">
        <w:rPr>
          <w:rFonts w:ascii="StobiSerif Regular" w:hAnsi="StobiSerif Regular"/>
          <w:color w:val="000000"/>
          <w:sz w:val="22"/>
          <w:szCs w:val="22"/>
          <w:lang w:val="sq-AL"/>
        </w:rPr>
        <w:t>(</w:t>
      </w:r>
      <w:r w:rsidR="00F722A0" w:rsidRPr="000D257F">
        <w:rPr>
          <w:rFonts w:ascii="StobiSerif Regular" w:hAnsi="StobiSerif Regular"/>
          <w:color w:val="000000"/>
          <w:sz w:val="22"/>
          <w:szCs w:val="22"/>
        </w:rPr>
        <w:t>e financuara nga Banka Botërore</w:t>
      </w:r>
      <w:r w:rsidR="00F722A0" w:rsidRPr="000D257F">
        <w:rPr>
          <w:rFonts w:ascii="StobiSerif Regular" w:hAnsi="StobiSerif Regular"/>
          <w:color w:val="000000"/>
          <w:sz w:val="22"/>
          <w:szCs w:val="22"/>
          <w:lang w:val="sq-AL"/>
        </w:rPr>
        <w:t>)</w:t>
      </w:r>
      <w:r w:rsidR="00F722A0" w:rsidRPr="000D257F">
        <w:rPr>
          <w:rFonts w:ascii="StobiSerif Regular" w:hAnsi="StobiSerif Regular"/>
          <w:color w:val="000000"/>
          <w:sz w:val="22"/>
          <w:szCs w:val="22"/>
        </w:rPr>
        <w:t xml:space="preserve"> për një spital</w:t>
      </w:r>
      <w:r w:rsidR="00F722A0" w:rsidRPr="000D257F">
        <w:rPr>
          <w:rFonts w:ascii="StobiSerif Regular" w:hAnsi="StobiSerif Regular"/>
          <w:color w:val="000000"/>
          <w:sz w:val="22"/>
          <w:szCs w:val="22"/>
          <w:lang w:val="sq-AL"/>
        </w:rPr>
        <w:t>.</w:t>
      </w:r>
    </w:p>
    <w:p w14:paraId="5F4EFAF1" w14:textId="36E74348" w:rsidR="00C71B06" w:rsidRPr="000D257F" w:rsidRDefault="00AB15B4" w:rsidP="004B5BA6">
      <w:pPr>
        <w:shd w:val="clear" w:color="auto" w:fill="FFFFFF"/>
        <w:spacing w:before="120" w:after="120"/>
        <w:jc w:val="both"/>
        <w:rPr>
          <w:rFonts w:ascii="StobiSerif Regular" w:hAnsi="StobiSerif Regular"/>
          <w:sz w:val="22"/>
          <w:szCs w:val="22"/>
        </w:rPr>
      </w:pPr>
      <w:r w:rsidRPr="000D257F">
        <w:rPr>
          <w:rFonts w:ascii="StobiSerif Regular" w:hAnsi="StobiSerif Regular"/>
          <w:color w:val="000000"/>
          <w:sz w:val="22"/>
          <w:szCs w:val="22"/>
        </w:rPr>
        <w:t>•</w:t>
      </w:r>
      <w:r w:rsidRPr="000D257F">
        <w:rPr>
          <w:rFonts w:ascii="StobiSerif Regular" w:hAnsi="StobiSerif Regular"/>
          <w:color w:val="000000"/>
          <w:sz w:val="22"/>
          <w:szCs w:val="22"/>
        </w:rPr>
        <w:tab/>
      </w:r>
      <w:r w:rsidR="004B5BA6" w:rsidRPr="000D257F">
        <w:rPr>
          <w:rFonts w:ascii="StobiSerif Regular" w:hAnsi="StobiSerif Regular"/>
          <w:sz w:val="22"/>
          <w:szCs w:val="22"/>
        </w:rPr>
        <w:t>Si instrument i bazuar në performanc</w:t>
      </w:r>
      <w:r w:rsidR="004B5BA6" w:rsidRPr="000D257F">
        <w:rPr>
          <w:rFonts w:ascii="StobiSerif Regular" w:hAnsi="StobiSerif Regular"/>
          <w:sz w:val="22"/>
          <w:szCs w:val="22"/>
          <w:lang w:val="sq-AL"/>
        </w:rPr>
        <w:t>a</w:t>
      </w:r>
      <w:r w:rsidR="004B5BA6" w:rsidRPr="000D257F">
        <w:rPr>
          <w:rFonts w:ascii="StobiSerif Regular" w:hAnsi="StobiSerif Regular"/>
          <w:sz w:val="22"/>
          <w:szCs w:val="22"/>
        </w:rPr>
        <w:t xml:space="preserve">, shuma që duhet të lirohet </w:t>
      </w:r>
      <w:r w:rsidR="004B5BA6" w:rsidRPr="000D257F">
        <w:rPr>
          <w:rFonts w:ascii="StobiSerif Regular" w:hAnsi="StobiSerif Regular"/>
          <w:sz w:val="22"/>
          <w:szCs w:val="22"/>
          <w:lang w:val="sq-AL"/>
        </w:rPr>
        <w:t xml:space="preserve">është </w:t>
      </w:r>
      <w:r w:rsidR="004B5BA6" w:rsidRPr="000D257F">
        <w:rPr>
          <w:rFonts w:ascii="StobiSerif Regular" w:hAnsi="StobiSerif Regular"/>
          <w:sz w:val="22"/>
          <w:szCs w:val="22"/>
        </w:rPr>
        <w:t>përcakt</w:t>
      </w:r>
      <w:r w:rsidR="004B5BA6" w:rsidRPr="000D257F">
        <w:rPr>
          <w:rFonts w:ascii="StobiSerif Regular" w:hAnsi="StobiSerif Regular"/>
          <w:sz w:val="22"/>
          <w:szCs w:val="22"/>
          <w:lang w:val="sq-AL"/>
        </w:rPr>
        <w:t>uar</w:t>
      </w:r>
      <w:r w:rsidR="004B5BA6" w:rsidRPr="000D257F">
        <w:rPr>
          <w:rFonts w:ascii="StobiSerif Regular" w:hAnsi="StobiSerif Regular"/>
          <w:sz w:val="22"/>
          <w:szCs w:val="22"/>
        </w:rPr>
        <w:t xml:space="preserve"> në Aneksin I </w:t>
      </w:r>
      <w:r w:rsidR="004B5BA6" w:rsidRPr="000D257F">
        <w:rPr>
          <w:rFonts w:ascii="StobiSerif Regular" w:hAnsi="StobiSerif Regular"/>
          <w:sz w:val="22"/>
          <w:szCs w:val="22"/>
          <w:lang w:val="sq-AL"/>
        </w:rPr>
        <w:t>ndaj</w:t>
      </w:r>
      <w:r w:rsidR="004B5BA6" w:rsidRPr="000D257F">
        <w:rPr>
          <w:rFonts w:ascii="StobiSerif Regular" w:hAnsi="StobiSerif Regular"/>
          <w:sz w:val="22"/>
          <w:szCs w:val="22"/>
        </w:rPr>
        <w:t xml:space="preserve"> A</w:t>
      </w:r>
      <w:r w:rsidR="004B5BA6" w:rsidRPr="000D257F">
        <w:rPr>
          <w:rFonts w:ascii="StobiSerif Regular" w:hAnsi="StobiSerif Regular"/>
          <w:sz w:val="22"/>
          <w:szCs w:val="22"/>
          <w:lang w:val="sq-AL"/>
        </w:rPr>
        <w:t>R</w:t>
      </w:r>
      <w:r w:rsidR="004B5BA6" w:rsidRPr="000D257F">
        <w:rPr>
          <w:rFonts w:ascii="StobiSerif Regular" w:hAnsi="StobiSerif Regular"/>
          <w:sz w:val="22"/>
          <w:szCs w:val="22"/>
        </w:rPr>
        <w:t xml:space="preserve">-së dhe nuk varet nga </w:t>
      </w:r>
      <w:r w:rsidR="004B5BA6" w:rsidRPr="000D257F">
        <w:rPr>
          <w:rFonts w:ascii="StobiSerif Regular" w:hAnsi="StobiSerif Regular"/>
          <w:sz w:val="22"/>
          <w:szCs w:val="22"/>
          <w:lang w:val="sq-AL"/>
        </w:rPr>
        <w:t>shpenzimet</w:t>
      </w:r>
      <w:r w:rsidR="004B5BA6" w:rsidRPr="000D257F">
        <w:rPr>
          <w:rFonts w:ascii="StobiSerif Regular" w:hAnsi="StobiSerif Regular"/>
          <w:sz w:val="22"/>
          <w:szCs w:val="22"/>
        </w:rPr>
        <w:t xml:space="preserve"> reale të investimeve. Megjithatë, </w:t>
      </w:r>
      <w:r w:rsidR="004B5BA6" w:rsidRPr="000D257F">
        <w:rPr>
          <w:rFonts w:ascii="StobiSerif Regular" w:hAnsi="StobiSerif Regular"/>
          <w:sz w:val="22"/>
          <w:szCs w:val="22"/>
          <w:lang w:val="sq-AL"/>
        </w:rPr>
        <w:t xml:space="preserve">propozimi </w:t>
      </w:r>
      <w:r w:rsidR="004B5BA6" w:rsidRPr="000D257F">
        <w:rPr>
          <w:rFonts w:ascii="StobiSerif Regular" w:hAnsi="StobiSerif Regular"/>
          <w:sz w:val="22"/>
          <w:szCs w:val="22"/>
        </w:rPr>
        <w:t xml:space="preserve">nga ana e </w:t>
      </w:r>
      <w:r w:rsidR="004B5BA6" w:rsidRPr="000D257F">
        <w:rPr>
          <w:rFonts w:ascii="StobiSerif Regular" w:hAnsi="StobiSerif Regular"/>
          <w:sz w:val="22"/>
          <w:szCs w:val="22"/>
          <w:lang w:val="sq-AL"/>
        </w:rPr>
        <w:t>Shfrytëyuesit</w:t>
      </w:r>
      <w:r w:rsidR="004B5BA6" w:rsidRPr="000D257F">
        <w:rPr>
          <w:rFonts w:ascii="StobiSerif Regular" w:hAnsi="StobiSerif Regular"/>
          <w:sz w:val="22"/>
          <w:szCs w:val="22"/>
        </w:rPr>
        <w:t xml:space="preserve"> dhe </w:t>
      </w:r>
      <w:r w:rsidR="004B5BA6" w:rsidRPr="000D257F">
        <w:rPr>
          <w:rFonts w:ascii="StobiSerif Regular" w:hAnsi="StobiSerif Regular"/>
          <w:sz w:val="22"/>
          <w:szCs w:val="22"/>
          <w:lang w:val="sq-AL"/>
        </w:rPr>
        <w:t>të</w:t>
      </w:r>
      <w:r w:rsidR="004B5BA6" w:rsidRPr="000D257F">
        <w:rPr>
          <w:rFonts w:ascii="StobiSerif Regular" w:hAnsi="StobiSerif Regular"/>
          <w:sz w:val="22"/>
          <w:szCs w:val="22"/>
        </w:rPr>
        <w:t xml:space="preserve"> BE-së lidhur me </w:t>
      </w:r>
      <w:r w:rsidR="004B5BA6" w:rsidRPr="000D257F">
        <w:rPr>
          <w:rFonts w:ascii="StobiSerif Regular" w:hAnsi="StobiSerif Regular"/>
          <w:sz w:val="22"/>
          <w:szCs w:val="22"/>
          <w:lang w:val="sq-AL"/>
        </w:rPr>
        <w:t>implementimin</w:t>
      </w:r>
      <w:r w:rsidR="004B5BA6" w:rsidRPr="000D257F">
        <w:rPr>
          <w:rFonts w:ascii="StobiSerif Regular" w:hAnsi="StobiSerif Regular"/>
          <w:sz w:val="22"/>
          <w:szCs w:val="22"/>
        </w:rPr>
        <w:t xml:space="preserve"> e hapit duhet të konfirmojë se hapi (në këtë rast ndërtimi i Q</w:t>
      </w:r>
      <w:r w:rsidR="004B5BA6" w:rsidRPr="000D257F">
        <w:rPr>
          <w:rFonts w:ascii="StobiSerif Regular" w:hAnsi="StobiSerif Regular"/>
          <w:sz w:val="22"/>
          <w:szCs w:val="22"/>
          <w:lang w:val="sq-AL"/>
        </w:rPr>
        <w:t>ATP</w:t>
      </w:r>
      <w:r w:rsidR="004B5BA6" w:rsidRPr="000D257F">
        <w:rPr>
          <w:rFonts w:ascii="StobiSerif Regular" w:hAnsi="StobiSerif Regular"/>
          <w:sz w:val="22"/>
          <w:szCs w:val="22"/>
        </w:rPr>
        <w:t>-së) nuk i atribuohet kryesisht ofruesi</w:t>
      </w:r>
      <w:r w:rsidR="004B5BA6" w:rsidRPr="000D257F">
        <w:rPr>
          <w:rFonts w:ascii="StobiSerif Regular" w:hAnsi="StobiSerif Regular"/>
          <w:sz w:val="22"/>
          <w:szCs w:val="22"/>
          <w:lang w:val="sq-AL"/>
        </w:rPr>
        <w:t>t</w:t>
      </w:r>
      <w:r w:rsidR="004B5BA6" w:rsidRPr="000D257F">
        <w:rPr>
          <w:rFonts w:ascii="StobiSerif Regular" w:hAnsi="StobiSerif Regular"/>
          <w:sz w:val="22"/>
          <w:szCs w:val="22"/>
        </w:rPr>
        <w:t xml:space="preserve"> të jashtëm të ndihmës, pavarësisht nëse bëhet fjalë për BE-në apo për donatorë të tjerë</w:t>
      </w:r>
      <w:r w:rsidR="00847C44" w:rsidRPr="000D257F">
        <w:rPr>
          <w:rStyle w:val="FootnoteReference"/>
          <w:rFonts w:ascii="StobiSerif Regular" w:hAnsi="StobiSerif Regular"/>
          <w:color w:val="000000"/>
          <w:sz w:val="22"/>
          <w:szCs w:val="22"/>
        </w:rPr>
        <w:footnoteReference w:id="5"/>
      </w:r>
      <w:r w:rsidRPr="000D257F">
        <w:rPr>
          <w:rFonts w:ascii="StobiSerif Regular" w:hAnsi="StobiSerif Regular"/>
          <w:color w:val="000000"/>
          <w:sz w:val="22"/>
          <w:szCs w:val="22"/>
        </w:rPr>
        <w:t xml:space="preserve">. </w:t>
      </w:r>
      <w:r w:rsidR="004B5BA6" w:rsidRPr="000D257F">
        <w:rPr>
          <w:rFonts w:ascii="StobiSerif Regular" w:hAnsi="StobiSerif Regular"/>
          <w:sz w:val="22"/>
          <w:szCs w:val="22"/>
        </w:rPr>
        <w:t xml:space="preserve">Ky atribuim nuk bazohet </w:t>
      </w:r>
      <w:r w:rsidR="004B5BA6" w:rsidRPr="000D257F">
        <w:rPr>
          <w:rFonts w:ascii="StobiSerif Regular" w:hAnsi="StobiSerif Regular"/>
          <w:sz w:val="22"/>
          <w:szCs w:val="22"/>
          <w:lang w:val="sq-AL"/>
        </w:rPr>
        <w:t>ekskluzivisht në shpenzimet</w:t>
      </w:r>
      <w:r w:rsidR="004B5BA6" w:rsidRPr="000D257F">
        <w:rPr>
          <w:rFonts w:ascii="StobiSerif Regular" w:hAnsi="StobiSerif Regular"/>
          <w:sz w:val="22"/>
          <w:szCs w:val="22"/>
        </w:rPr>
        <w:t>.</w:t>
      </w:r>
    </w:p>
    <w:p w14:paraId="73FDDF1E" w14:textId="2CB13079" w:rsidR="00C71B06" w:rsidRPr="000D257F" w:rsidRDefault="004B5BA6" w:rsidP="004B5BA6">
      <w:pPr>
        <w:shd w:val="clear" w:color="auto" w:fill="FFFFFF"/>
        <w:tabs>
          <w:tab w:val="left" w:pos="426"/>
        </w:tabs>
        <w:spacing w:before="120" w:after="120"/>
        <w:jc w:val="both"/>
        <w:rPr>
          <w:rFonts w:ascii="StobiSerif Regular" w:hAnsi="StobiSerif Regular"/>
          <w:color w:val="000000"/>
          <w:sz w:val="22"/>
          <w:szCs w:val="22"/>
          <w:lang w:val="sq-AL"/>
        </w:rPr>
      </w:pPr>
      <w:r w:rsidRPr="000D257F">
        <w:rPr>
          <w:rFonts w:ascii="StobiSerif Regular" w:hAnsi="StobiSerif Regular"/>
          <w:b/>
          <w:bCs/>
          <w:color w:val="000000"/>
          <w:sz w:val="22"/>
          <w:szCs w:val="22"/>
          <w:u w:val="single"/>
        </w:rPr>
        <w:t>Rasti 3</w:t>
      </w:r>
      <w:r w:rsidRPr="000D257F">
        <w:rPr>
          <w:rFonts w:ascii="StobiSerif Regular" w:hAnsi="StobiSerif Regular"/>
          <w:color w:val="000000"/>
          <w:sz w:val="22"/>
          <w:szCs w:val="22"/>
        </w:rPr>
        <w:t>: A</w:t>
      </w:r>
      <w:r w:rsidRPr="000D257F">
        <w:rPr>
          <w:rFonts w:ascii="StobiSerif Regular" w:hAnsi="StobiSerif Regular"/>
          <w:color w:val="000000"/>
          <w:sz w:val="22"/>
          <w:szCs w:val="22"/>
          <w:lang w:val="sq-AL"/>
        </w:rPr>
        <w:t>R</w:t>
      </w:r>
      <w:r w:rsidRPr="000D257F">
        <w:rPr>
          <w:rFonts w:ascii="StobiSerif Regular" w:hAnsi="StobiSerif Regular"/>
          <w:color w:val="000000"/>
          <w:sz w:val="22"/>
          <w:szCs w:val="22"/>
        </w:rPr>
        <w:t xml:space="preserve">-ja parashikon hap për </w:t>
      </w:r>
      <w:r w:rsidRPr="000D257F">
        <w:rPr>
          <w:rFonts w:ascii="StobiSerif Regular" w:hAnsi="StobiSerif Regular"/>
          <w:color w:val="000000"/>
          <w:sz w:val="22"/>
          <w:szCs w:val="22"/>
          <w:lang w:val="sq-AL"/>
        </w:rPr>
        <w:t>mbindërtim të</w:t>
      </w:r>
      <w:r w:rsidRPr="000D257F">
        <w:rPr>
          <w:rFonts w:ascii="StobiSerif Regular" w:hAnsi="StobiSerif Regular"/>
          <w:color w:val="000000"/>
          <w:sz w:val="22"/>
          <w:szCs w:val="22"/>
        </w:rPr>
        <w:t xml:space="preserve"> lidhjes digjitale në shkolla, </w:t>
      </w:r>
      <w:r w:rsidRPr="000D257F">
        <w:rPr>
          <w:rFonts w:ascii="StobiSerif Regular" w:hAnsi="StobiSerif Regular"/>
          <w:color w:val="000000"/>
          <w:sz w:val="22"/>
          <w:szCs w:val="22"/>
          <w:lang w:val="sq-AL"/>
        </w:rPr>
        <w:t xml:space="preserve">më saktësisht </w:t>
      </w:r>
      <w:r w:rsidRPr="000D257F">
        <w:rPr>
          <w:rFonts w:ascii="StobiSerif Regular" w:hAnsi="StobiSerif Regular"/>
          <w:color w:val="000000"/>
          <w:sz w:val="22"/>
          <w:szCs w:val="22"/>
        </w:rPr>
        <w:t xml:space="preserve">konkretisht </w:t>
      </w:r>
      <w:r w:rsidRPr="000D257F">
        <w:rPr>
          <w:rFonts w:ascii="StobiSerif Regular" w:hAnsi="StobiSerif Regular"/>
          <w:color w:val="000000"/>
          <w:sz w:val="22"/>
          <w:szCs w:val="22"/>
          <w:lang w:val="sq-AL"/>
        </w:rPr>
        <w:t>prokurimin</w:t>
      </w:r>
      <w:r w:rsidRPr="000D257F">
        <w:rPr>
          <w:rFonts w:ascii="StobiSerif Regular" w:hAnsi="StobiSerif Regular"/>
          <w:color w:val="000000"/>
          <w:sz w:val="22"/>
          <w:szCs w:val="22"/>
        </w:rPr>
        <w:t xml:space="preserve"> e 1 000 000 kompjuterëve </w:t>
      </w:r>
      <w:r w:rsidRPr="000D257F">
        <w:rPr>
          <w:rFonts w:ascii="StobiSerif Regular" w:hAnsi="StobiSerif Regular"/>
          <w:color w:val="000000"/>
          <w:sz w:val="22"/>
          <w:szCs w:val="22"/>
          <w:lang w:val="sq-AL"/>
        </w:rPr>
        <w:t>n</w:t>
      </w:r>
      <w:r w:rsidRPr="000D257F">
        <w:rPr>
          <w:rFonts w:ascii="StobiSerif Regular" w:hAnsi="StobiSerif Regular"/>
          <w:color w:val="000000"/>
          <w:sz w:val="22"/>
          <w:szCs w:val="22"/>
        </w:rPr>
        <w:t>ë shkolla. Një program tjetër i BE-së [donatorë të tjerë] ka mbuluar financiarisht [ose ka dhuruar] 500 000 kompjuterë.</w:t>
      </w:r>
    </w:p>
    <w:p w14:paraId="6D656D7E" w14:textId="10B7EC0D" w:rsidR="00C71B06" w:rsidRPr="000D257F" w:rsidRDefault="004B5BA6" w:rsidP="004B5BA6">
      <w:pPr>
        <w:pStyle w:val="ListParagraph"/>
        <w:numPr>
          <w:ilvl w:val="0"/>
          <w:numId w:val="9"/>
        </w:numPr>
        <w:shd w:val="clear" w:color="auto" w:fill="FFFFFF"/>
        <w:tabs>
          <w:tab w:val="left" w:pos="426"/>
        </w:tabs>
        <w:spacing w:before="120" w:after="120"/>
        <w:jc w:val="both"/>
        <w:rPr>
          <w:rFonts w:ascii="StobiSerif Regular" w:hAnsi="StobiSerif Regular"/>
          <w:color w:val="000000"/>
          <w:sz w:val="22"/>
          <w:szCs w:val="22"/>
          <w:lang w:val="sq-AL"/>
        </w:rPr>
      </w:pPr>
      <w:r w:rsidRPr="000D257F">
        <w:rPr>
          <w:rFonts w:ascii="StobiSerif Regular" w:hAnsi="StobiSerif Regular"/>
          <w:color w:val="000000"/>
          <w:sz w:val="22"/>
          <w:szCs w:val="22"/>
          <w:lang w:val="sq-AL"/>
        </w:rPr>
        <w:t>Kombinimi i financimit/burimit duhet të specifikohet qartë në përshkrimin e implementimit të hapit, në mënyrë që të dallohen kontributet e ndryshme.</w:t>
      </w:r>
    </w:p>
    <w:p w14:paraId="672674AE" w14:textId="0E51DF12" w:rsidR="00C71B06" w:rsidRPr="000D257F" w:rsidRDefault="00C71B06" w:rsidP="0068048D">
      <w:pPr>
        <w:shd w:val="clear" w:color="auto" w:fill="FFFFFF"/>
        <w:tabs>
          <w:tab w:val="left" w:pos="426"/>
        </w:tabs>
        <w:spacing w:before="120" w:after="120"/>
        <w:ind w:left="426"/>
        <w:jc w:val="both"/>
        <w:rPr>
          <w:rFonts w:ascii="StobiSerif Regular" w:hAnsi="StobiSerif Regular"/>
          <w:sz w:val="22"/>
          <w:szCs w:val="22"/>
          <w:lang w:val="sq-AL"/>
        </w:rPr>
      </w:pPr>
      <w:r w:rsidRPr="000D257F">
        <w:rPr>
          <w:rFonts w:ascii="StobiSerif Regular" w:hAnsi="StobiSerif Regular"/>
          <w:color w:val="000000"/>
          <w:sz w:val="22"/>
          <w:szCs w:val="22"/>
        </w:rPr>
        <w:t>•</w:t>
      </w:r>
      <w:r w:rsidRPr="000D257F">
        <w:rPr>
          <w:rFonts w:ascii="StobiSerif Regular" w:hAnsi="StobiSerif Regular"/>
          <w:color w:val="000000"/>
          <w:sz w:val="22"/>
          <w:szCs w:val="22"/>
        </w:rPr>
        <w:tab/>
      </w:r>
      <w:r w:rsidR="004B5BA6" w:rsidRPr="000D257F">
        <w:rPr>
          <w:rFonts w:ascii="StobiSerif Regular" w:hAnsi="StobiSerif Regular"/>
          <w:color w:val="000000"/>
          <w:sz w:val="22"/>
          <w:szCs w:val="22"/>
          <w:lang w:val="sq-AL"/>
        </w:rPr>
        <w:t xml:space="preserve">Në këtë rast, janë të mundshme dy skenarë: </w:t>
      </w:r>
      <w:r w:rsidR="004B5BA6" w:rsidRPr="000D257F">
        <w:rPr>
          <w:rFonts w:ascii="StobiSerif Regular" w:hAnsi="StobiSerif Regular"/>
          <w:b/>
          <w:bCs/>
          <w:color w:val="000000"/>
          <w:sz w:val="22"/>
          <w:szCs w:val="22"/>
          <w:lang w:val="sq-AL"/>
        </w:rPr>
        <w:t>I</w:t>
      </w:r>
      <w:r w:rsidR="004B5BA6" w:rsidRPr="000D257F">
        <w:rPr>
          <w:rFonts w:ascii="StobiSerif Regular" w:hAnsi="StobiSerif Regular"/>
          <w:color w:val="000000"/>
          <w:sz w:val="22"/>
          <w:szCs w:val="22"/>
          <w:lang w:val="sq-AL"/>
        </w:rPr>
        <w:t xml:space="preserve">) A janë ato 500 000 kompjuterë shtesë ndaj atyre 1 000 000 kompjuterëve të parapara në hapin e AR-së? </w:t>
      </w:r>
      <w:r w:rsidR="004B5BA6" w:rsidRPr="000D257F">
        <w:rPr>
          <w:rFonts w:ascii="StobiSerif Regular" w:hAnsi="StobiSerif Regular"/>
          <w:b/>
          <w:bCs/>
          <w:color w:val="000000"/>
          <w:sz w:val="22"/>
          <w:szCs w:val="22"/>
          <w:lang w:val="sq-AL"/>
        </w:rPr>
        <w:t>II</w:t>
      </w:r>
      <w:r w:rsidR="004B5BA6" w:rsidRPr="000D257F">
        <w:rPr>
          <w:rFonts w:ascii="StobiSerif Regular" w:hAnsi="StobiSerif Regular"/>
          <w:color w:val="000000"/>
          <w:sz w:val="22"/>
          <w:szCs w:val="22"/>
          <w:lang w:val="sq-AL"/>
        </w:rPr>
        <w:t>) nëse duhet që ata 500 000 kompjuterë të llogariten si pjesë e përmbushjes së hapit nga AR-ja?</w:t>
      </w:r>
    </w:p>
    <w:p w14:paraId="418B98D3" w14:textId="20FE10AF" w:rsidR="004B5BA6" w:rsidRPr="000D257F" w:rsidRDefault="004B5BA6" w:rsidP="004B5BA6">
      <w:pPr>
        <w:pStyle w:val="ListParagraph"/>
        <w:numPr>
          <w:ilvl w:val="0"/>
          <w:numId w:val="9"/>
        </w:numPr>
        <w:shd w:val="clear" w:color="auto" w:fill="FFFFFF"/>
        <w:tabs>
          <w:tab w:val="left" w:pos="426"/>
        </w:tabs>
        <w:spacing w:before="120" w:after="120"/>
        <w:jc w:val="both"/>
        <w:rPr>
          <w:rFonts w:ascii="StobiSerif Regular" w:hAnsi="StobiSerif Regular"/>
          <w:color w:val="000000"/>
          <w:sz w:val="22"/>
          <w:szCs w:val="22"/>
          <w:lang w:val="sq-AL"/>
        </w:rPr>
      </w:pPr>
      <w:r w:rsidRPr="000D257F">
        <w:rPr>
          <w:rFonts w:ascii="StobiSerif Regular" w:hAnsi="StobiSerif Regular"/>
          <w:color w:val="000000"/>
          <w:sz w:val="22"/>
          <w:szCs w:val="22"/>
          <w:lang w:val="sq-AL"/>
        </w:rPr>
        <w:t>Në rastin I, nëse Shfrytëzuesi paraqet rezultat përfundimtar prej 1 500 000 kompjuterësh (tejkalim i objektivit), atëherë Komisioni do të konsiderojë se dorëzimi i atyre 1 000 000 kompjuterëve nga administrata nacionale është relevante për përmbushjen e hapit dhe ky rezultat do të konsiderohet i përmbushur plotësisht.</w:t>
      </w:r>
    </w:p>
    <w:p w14:paraId="08209AF5" w14:textId="77777777" w:rsidR="004B5BA6" w:rsidRPr="000D257F" w:rsidRDefault="004B5BA6" w:rsidP="004B5BA6">
      <w:pPr>
        <w:shd w:val="clear" w:color="auto" w:fill="FFFFFF"/>
        <w:tabs>
          <w:tab w:val="left" w:pos="426"/>
        </w:tabs>
        <w:spacing w:before="120" w:after="120"/>
        <w:jc w:val="both"/>
        <w:rPr>
          <w:rFonts w:ascii="StobiSerif Regular" w:hAnsi="StobiSerif Regular"/>
          <w:color w:val="000000"/>
          <w:sz w:val="22"/>
          <w:szCs w:val="22"/>
          <w:lang w:val="sq-AL"/>
        </w:rPr>
      </w:pPr>
      <w:r w:rsidRPr="000D257F">
        <w:rPr>
          <w:rFonts w:ascii="StobiSerif Regular" w:hAnsi="StobiSerif Regular"/>
          <w:color w:val="000000"/>
          <w:sz w:val="22"/>
          <w:szCs w:val="22"/>
        </w:rPr>
        <w:t xml:space="preserve">Në rastin II, </w:t>
      </w:r>
      <w:r w:rsidRPr="000D257F">
        <w:rPr>
          <w:rFonts w:ascii="StobiSerif Regular" w:hAnsi="StobiSerif Regular"/>
          <w:color w:val="000000"/>
          <w:sz w:val="22"/>
          <w:szCs w:val="22"/>
          <w:lang w:val="sq-AL"/>
        </w:rPr>
        <w:t>Shfrytëzuesi</w:t>
      </w:r>
      <w:r w:rsidRPr="000D257F">
        <w:rPr>
          <w:rFonts w:ascii="StobiSerif Regular" w:hAnsi="StobiSerif Regular"/>
          <w:color w:val="000000"/>
          <w:sz w:val="22"/>
          <w:szCs w:val="22"/>
        </w:rPr>
        <w:t xml:space="preserve"> dhe BE-ja duhet të vlerësojnë shkallën e mbështetjes nga ofruesi tjetër i ndihmës / program i BE-së [ose donator tjetër] në arritjen e objektivit prej 1 000 000 kompjuterësh. Në këtë rast, 50% e përmbushjes së hapit i atribuohet donatorit ose një programi tjetër të BE-së. Nëse kjo mbështetje është siguruar në kuadër të një programi tjetër të BE-së, atëherë Komisioni do të konsideronte dy herë të njëjtin rezultat të arritur në kuadër të veprimeve të ndryshme. Prandaj, gjatë vlerësimit të hapit, Komisioni do të marrë parasysh, pra do të përfshijë në llogaritje, vetëm ato kompjuterë që janë shpërndarë nga administrata </w:t>
      </w:r>
      <w:r w:rsidRPr="000D257F">
        <w:rPr>
          <w:rFonts w:ascii="StobiSerif Regular" w:hAnsi="StobiSerif Regular"/>
          <w:color w:val="000000"/>
          <w:sz w:val="22"/>
          <w:szCs w:val="22"/>
          <w:lang w:val="sq-AL"/>
        </w:rPr>
        <w:t>nacionale</w:t>
      </w:r>
      <w:r w:rsidRPr="000D257F">
        <w:rPr>
          <w:rFonts w:ascii="StobiSerif Regular" w:hAnsi="StobiSerif Regular"/>
          <w:color w:val="000000"/>
          <w:sz w:val="22"/>
          <w:szCs w:val="22"/>
        </w:rPr>
        <w:t xml:space="preserve"> dhe, </w:t>
      </w:r>
      <w:r w:rsidRPr="000D257F">
        <w:rPr>
          <w:rFonts w:ascii="StobiSerif Regular" w:hAnsi="StobiSerif Regular"/>
          <w:color w:val="000000"/>
          <w:sz w:val="22"/>
          <w:szCs w:val="22"/>
          <w:lang w:val="sq-AL"/>
        </w:rPr>
        <w:t>gjatë</w:t>
      </w:r>
      <w:r w:rsidRPr="000D257F">
        <w:rPr>
          <w:rFonts w:ascii="StobiSerif Regular" w:hAnsi="StobiSerif Regular"/>
          <w:color w:val="000000"/>
          <w:sz w:val="22"/>
          <w:szCs w:val="22"/>
        </w:rPr>
        <w:t xml:space="preserve"> përcaktimi</w:t>
      </w:r>
      <w:r w:rsidRPr="000D257F">
        <w:rPr>
          <w:rFonts w:ascii="StobiSerif Regular" w:hAnsi="StobiSerif Regular"/>
          <w:color w:val="000000"/>
          <w:sz w:val="22"/>
          <w:szCs w:val="22"/>
          <w:lang w:val="sq-AL"/>
        </w:rPr>
        <w:t>t të</w:t>
      </w:r>
      <w:r w:rsidRPr="000D257F">
        <w:rPr>
          <w:rFonts w:ascii="StobiSerif Regular" w:hAnsi="StobiSerif Regular"/>
          <w:color w:val="000000"/>
          <w:sz w:val="22"/>
          <w:szCs w:val="22"/>
        </w:rPr>
        <w:t xml:space="preserve"> shkallës së përmbushjes, do të zbatojë dispozitat e pjesshme të Marrëveshjes për Instrumentin (dmth. KE do të marrë parasysh 500 000 kompjuterë, </w:t>
      </w:r>
      <w:r w:rsidRPr="000D257F">
        <w:rPr>
          <w:rFonts w:ascii="StobiSerif Regular" w:hAnsi="StobiSerif Regular"/>
          <w:color w:val="000000"/>
          <w:sz w:val="22"/>
          <w:szCs w:val="22"/>
          <w:lang w:val="sq-AL"/>
        </w:rPr>
        <w:t xml:space="preserve">gjë </w:t>
      </w:r>
      <w:r w:rsidRPr="000D257F">
        <w:rPr>
          <w:rFonts w:ascii="StobiSerif Regular" w:hAnsi="StobiSerif Regular"/>
          <w:color w:val="000000"/>
          <w:sz w:val="22"/>
          <w:szCs w:val="22"/>
        </w:rPr>
        <w:t>që përfaqësojnë  shkallë përmbushjeje prej 50% për këtë hap, që do të thotë se do të lirohe</w:t>
      </w:r>
      <w:r w:rsidRPr="000D257F">
        <w:rPr>
          <w:rFonts w:ascii="StobiSerif Regular" w:hAnsi="StobiSerif Regular"/>
          <w:color w:val="000000"/>
          <w:sz w:val="22"/>
          <w:szCs w:val="22"/>
          <w:lang w:val="sq-AL"/>
        </w:rPr>
        <w:t>n</w:t>
      </w:r>
      <w:r w:rsidRPr="000D257F">
        <w:rPr>
          <w:rFonts w:ascii="StobiSerif Regular" w:hAnsi="StobiSerif Regular"/>
          <w:color w:val="000000"/>
          <w:sz w:val="22"/>
          <w:szCs w:val="22"/>
        </w:rPr>
        <w:t xml:space="preserve"> 50% e </w:t>
      </w:r>
      <w:r w:rsidRPr="000D257F">
        <w:rPr>
          <w:rFonts w:ascii="StobiSerif Regular" w:hAnsi="StobiSerif Regular"/>
          <w:color w:val="000000"/>
          <w:sz w:val="22"/>
          <w:szCs w:val="22"/>
          <w:lang w:val="sq-AL"/>
        </w:rPr>
        <w:t>mjeteve</w:t>
      </w:r>
      <w:r w:rsidRPr="000D257F">
        <w:rPr>
          <w:rFonts w:ascii="StobiSerif Regular" w:hAnsi="StobiSerif Regular"/>
          <w:color w:val="000000"/>
          <w:sz w:val="22"/>
          <w:szCs w:val="22"/>
        </w:rPr>
        <w:t xml:space="preserve"> të ndara për këtë hap </w:t>
      </w:r>
      <w:r w:rsidRPr="000D257F">
        <w:rPr>
          <w:rFonts w:ascii="StobiSerif Regular" w:hAnsi="StobiSerif Regular"/>
          <w:color w:val="000000"/>
          <w:sz w:val="22"/>
          <w:szCs w:val="22"/>
          <w:lang w:val="sq-AL"/>
        </w:rPr>
        <w:t>konkret</w:t>
      </w:r>
      <w:r w:rsidRPr="000D257F">
        <w:rPr>
          <w:rFonts w:ascii="StobiSerif Regular" w:hAnsi="StobiSerif Regular"/>
          <w:color w:val="000000"/>
          <w:sz w:val="22"/>
          <w:szCs w:val="22"/>
        </w:rPr>
        <w:t>).</w:t>
      </w:r>
    </w:p>
    <w:p w14:paraId="7B3599A0" w14:textId="77777777" w:rsidR="004B5BA6" w:rsidRPr="000D257F" w:rsidRDefault="004B5BA6" w:rsidP="004B5BA6">
      <w:pPr>
        <w:shd w:val="clear" w:color="auto" w:fill="FFFFFF"/>
        <w:spacing w:before="120" w:after="120"/>
        <w:jc w:val="both"/>
        <w:rPr>
          <w:rFonts w:ascii="StobiSerif Regular" w:hAnsi="StobiSerif Regular"/>
          <w:b/>
          <w:bCs/>
          <w:sz w:val="22"/>
          <w:szCs w:val="22"/>
          <w:u w:val="single"/>
          <w:lang w:val="sq-AL"/>
        </w:rPr>
      </w:pPr>
      <w:r w:rsidRPr="000D257F">
        <w:rPr>
          <w:rFonts w:ascii="StobiSerif Regular" w:hAnsi="StobiSerif Regular"/>
          <w:b/>
          <w:bCs/>
          <w:sz w:val="22"/>
          <w:szCs w:val="22"/>
          <w:u w:val="single"/>
          <w:lang w:val="sq-AL"/>
        </w:rPr>
        <w:t>Aneksi II – Baza – IRR-ë për BP-në – dispozita për financim të dyfishtë</w:t>
      </w:r>
    </w:p>
    <w:p w14:paraId="52537F4B" w14:textId="77777777" w:rsidR="004B5BA6" w:rsidRPr="000D257F" w:rsidRDefault="004B5BA6" w:rsidP="004B5BA6">
      <w:pPr>
        <w:shd w:val="clear" w:color="auto" w:fill="FFFFFF"/>
        <w:spacing w:before="120" w:after="120"/>
        <w:jc w:val="both"/>
        <w:rPr>
          <w:rFonts w:ascii="StobiSerif Regular" w:hAnsi="StobiSerif Regular"/>
          <w:b/>
          <w:bCs/>
          <w:sz w:val="22"/>
          <w:szCs w:val="22"/>
          <w:lang w:val="sq-AL"/>
        </w:rPr>
      </w:pPr>
      <w:r w:rsidRPr="000D257F">
        <w:rPr>
          <w:rFonts w:ascii="StobiSerif Regular" w:hAnsi="StobiSerif Regular"/>
          <w:b/>
          <w:bCs/>
          <w:sz w:val="22"/>
          <w:szCs w:val="22"/>
          <w:lang w:val="sq-AL"/>
        </w:rPr>
        <w:t>Referenca nga Rregullorja</w:t>
      </w:r>
    </w:p>
    <w:p w14:paraId="734A49AD" w14:textId="016F4336" w:rsidR="00C71B06" w:rsidRPr="000D257F" w:rsidRDefault="0068048D" w:rsidP="00803AFB">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b/>
          <w:color w:val="000000"/>
          <w:sz w:val="22"/>
          <w:szCs w:val="22"/>
        </w:rPr>
        <w:t>(37)</w:t>
      </w:r>
      <w:r w:rsidRPr="000D257F">
        <w:rPr>
          <w:rFonts w:ascii="StobiSerif Regular" w:hAnsi="StobiSerif Regular"/>
          <w:b/>
          <w:color w:val="000000"/>
          <w:sz w:val="22"/>
          <w:szCs w:val="22"/>
        </w:rPr>
        <w:tab/>
      </w:r>
      <w:r w:rsidR="004B5BA6" w:rsidRPr="000D257F">
        <w:rPr>
          <w:rFonts w:ascii="StobiSerif Regular" w:hAnsi="StobiSerif Regular"/>
          <w:sz w:val="22"/>
          <w:szCs w:val="22"/>
          <w:lang w:val="sq-AL"/>
        </w:rPr>
        <w:t>Agjendat Reformuese duhet të përfshijnë shpjegim të sistemit të shfrytëzuesit për parandalimin, zbulimin dhe korrigjimin efikas të parregullsive, korrupsionit – përfshirë korrupsionin në nivel të lartë – mashtrimit dhe konflikteve të interesit gjatë shfrytëzimit të mjeteve të siguruara në kuadër të Instrumentit, dhe mekanizmat për të shmangur financimin e dyfishtë nga Instrumenti dhe programet e tjera të Unionit, si edhe nga donatorë të tjerë</w:t>
      </w:r>
      <w:r w:rsidRPr="000D257F">
        <w:rPr>
          <w:rFonts w:ascii="StobiSerif Regular" w:hAnsi="StobiSerif Regular"/>
          <w:color w:val="000000"/>
          <w:sz w:val="22"/>
          <w:szCs w:val="22"/>
        </w:rPr>
        <w:t>.</w:t>
      </w:r>
    </w:p>
    <w:p w14:paraId="477EED17" w14:textId="77777777" w:rsidR="00DA0383" w:rsidRPr="000D257F" w:rsidRDefault="00DA0383" w:rsidP="00803AFB">
      <w:pPr>
        <w:shd w:val="clear" w:color="auto" w:fill="FFFFFF"/>
        <w:spacing w:before="120" w:after="120"/>
        <w:jc w:val="both"/>
        <w:rPr>
          <w:rFonts w:ascii="StobiSerif Regular" w:hAnsi="StobiSerif Regular"/>
          <w:b/>
          <w:color w:val="000000"/>
          <w:sz w:val="22"/>
          <w:szCs w:val="22"/>
          <w:lang w:val="sq-AL"/>
        </w:rPr>
      </w:pPr>
    </w:p>
    <w:p w14:paraId="0844B411" w14:textId="77777777" w:rsidR="00DA0383" w:rsidRPr="000D257F" w:rsidRDefault="00DA0383" w:rsidP="00803AFB">
      <w:pPr>
        <w:shd w:val="clear" w:color="auto" w:fill="FFFFFF"/>
        <w:spacing w:before="120" w:after="120"/>
        <w:jc w:val="both"/>
        <w:rPr>
          <w:rFonts w:ascii="StobiSerif Regular" w:hAnsi="StobiSerif Regular"/>
          <w:b/>
          <w:color w:val="000000"/>
          <w:sz w:val="22"/>
          <w:szCs w:val="22"/>
          <w:lang w:val="sq-AL"/>
        </w:rPr>
      </w:pPr>
    </w:p>
    <w:p w14:paraId="379F7B2A" w14:textId="77777777" w:rsidR="00DA0383" w:rsidRPr="000D257F" w:rsidRDefault="00DA0383" w:rsidP="00803AFB">
      <w:pPr>
        <w:shd w:val="clear" w:color="auto" w:fill="FFFFFF"/>
        <w:spacing w:before="120" w:after="120"/>
        <w:jc w:val="both"/>
        <w:rPr>
          <w:rFonts w:ascii="StobiSerif Regular" w:hAnsi="StobiSerif Regular"/>
          <w:b/>
          <w:color w:val="000000"/>
          <w:sz w:val="22"/>
          <w:szCs w:val="22"/>
          <w:lang w:val="sq-AL"/>
        </w:rPr>
      </w:pPr>
    </w:p>
    <w:p w14:paraId="78DCC57E" w14:textId="77777777" w:rsidR="00DA0383" w:rsidRPr="000D257F" w:rsidRDefault="00DA0383" w:rsidP="00803AFB">
      <w:pPr>
        <w:shd w:val="clear" w:color="auto" w:fill="FFFFFF"/>
        <w:spacing w:before="120" w:after="120"/>
        <w:jc w:val="both"/>
        <w:rPr>
          <w:rFonts w:ascii="StobiSerif Regular" w:hAnsi="StobiSerif Regular"/>
          <w:b/>
          <w:color w:val="000000"/>
          <w:sz w:val="22"/>
          <w:szCs w:val="22"/>
          <w:lang w:val="sq-AL"/>
        </w:rPr>
      </w:pPr>
    </w:p>
    <w:p w14:paraId="03F960AC" w14:textId="7C44DCEF" w:rsidR="00C71B06" w:rsidRPr="000D257F" w:rsidRDefault="0068048D"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b/>
          <w:color w:val="000000"/>
          <w:sz w:val="22"/>
          <w:szCs w:val="22"/>
        </w:rPr>
        <w:t>(59)</w:t>
      </w:r>
      <w:r w:rsidRPr="000D257F">
        <w:rPr>
          <w:rFonts w:ascii="StobiSerif Regular" w:hAnsi="StobiSerif Regular"/>
          <w:b/>
          <w:color w:val="000000"/>
          <w:sz w:val="22"/>
          <w:szCs w:val="22"/>
        </w:rPr>
        <w:tab/>
      </w:r>
      <w:r w:rsidR="004B5BA6" w:rsidRPr="000D257F">
        <w:rPr>
          <w:rFonts w:ascii="StobiSerif Regular" w:hAnsi="StobiSerif Regular"/>
          <w:color w:val="000000"/>
          <w:sz w:val="22"/>
          <w:szCs w:val="22"/>
        </w:rPr>
        <w:t>Në p</w:t>
      </w:r>
      <w:r w:rsidR="004B5BA6" w:rsidRPr="000D257F">
        <w:rPr>
          <w:rFonts w:ascii="StobiSerif Regular" w:hAnsi="StobiSerif Regular"/>
          <w:color w:val="000000"/>
          <w:sz w:val="22"/>
          <w:szCs w:val="22"/>
          <w:lang w:val="sq-AL"/>
        </w:rPr>
        <w:t>ajtim</w:t>
      </w:r>
      <w:r w:rsidR="004B5BA6" w:rsidRPr="000D257F">
        <w:rPr>
          <w:rFonts w:ascii="StobiSerif Regular" w:hAnsi="StobiSerif Regular"/>
          <w:color w:val="000000"/>
          <w:sz w:val="22"/>
          <w:szCs w:val="22"/>
        </w:rPr>
        <w:t xml:space="preserve"> me Rregulloren Financiare, Rregulloren </w:t>
      </w:r>
      <w:r w:rsidR="004B5BA6" w:rsidRPr="000D257F">
        <w:rPr>
          <w:rFonts w:ascii="StobiSerif Regular" w:hAnsi="StobiSerif Regular"/>
          <w:color w:val="000000"/>
          <w:sz w:val="22"/>
          <w:szCs w:val="22"/>
          <w:lang w:val="sq-AL"/>
        </w:rPr>
        <w:t xml:space="preserve">e </w:t>
      </w:r>
      <w:r w:rsidR="004B5BA6" w:rsidRPr="000D257F">
        <w:rPr>
          <w:rFonts w:ascii="StobiSerif Regular" w:hAnsi="StobiSerif Regular"/>
          <w:color w:val="000000"/>
          <w:sz w:val="22"/>
          <w:szCs w:val="22"/>
        </w:rPr>
        <w:t>(BE</w:t>
      </w:r>
      <w:r w:rsidR="004B5BA6" w:rsidRPr="000D257F">
        <w:rPr>
          <w:rFonts w:ascii="StobiSerif Regular" w:hAnsi="StobiSerif Regular"/>
          <w:color w:val="000000"/>
          <w:sz w:val="22"/>
          <w:szCs w:val="22"/>
          <w:lang w:val="sq-AL"/>
        </w:rPr>
        <w:t>-së</w:t>
      </w:r>
      <w:r w:rsidR="004B5BA6" w:rsidRPr="000D257F">
        <w:rPr>
          <w:rFonts w:ascii="StobiSerif Regular" w:hAnsi="StobiSerif Regular"/>
          <w:color w:val="000000"/>
          <w:sz w:val="22"/>
          <w:szCs w:val="22"/>
        </w:rPr>
        <w:t>, Euratom) nr. 883/2013 të Parlamentit dhe të Këshillit</w:t>
      </w:r>
      <w:r w:rsidR="004B5BA6" w:rsidRPr="000D257F">
        <w:rPr>
          <w:rFonts w:ascii="StobiSerif Regular" w:hAnsi="StobiSerif Regular"/>
          <w:color w:val="000000"/>
          <w:sz w:val="22"/>
          <w:szCs w:val="22"/>
          <w:lang w:val="sq-AL"/>
        </w:rPr>
        <w:t xml:space="preserve"> Evropian</w:t>
      </w:r>
      <w:r w:rsidR="004B5BA6" w:rsidRPr="000D257F">
        <w:rPr>
          <w:rFonts w:ascii="StobiSerif Regular" w:hAnsi="StobiSerif Regular"/>
          <w:color w:val="000000"/>
          <w:sz w:val="22"/>
          <w:szCs w:val="22"/>
        </w:rPr>
        <w:t xml:space="preserve"> dhe Rregulloret (KE, Euratom) nr. 2988/95, (Euratom, KE) nr. 2185/96 dhe (BE) 2017/1939 të Këshillit, interesat financiare të </w:t>
      </w:r>
      <w:r w:rsidR="004B5BA6" w:rsidRPr="000D257F">
        <w:rPr>
          <w:rFonts w:ascii="StobiSerif Regular" w:hAnsi="StobiSerif Regular"/>
          <w:color w:val="000000"/>
          <w:sz w:val="22"/>
          <w:szCs w:val="22"/>
          <w:lang w:val="sq-AL"/>
        </w:rPr>
        <w:t>Unionit</w:t>
      </w:r>
      <w:r w:rsidR="004B5BA6" w:rsidRPr="000D257F">
        <w:rPr>
          <w:rFonts w:ascii="StobiSerif Regular" w:hAnsi="StobiSerif Regular"/>
          <w:color w:val="000000"/>
          <w:sz w:val="22"/>
          <w:szCs w:val="22"/>
        </w:rPr>
        <w:t xml:space="preserve"> duhet të mbrohen</w:t>
      </w:r>
      <w:r w:rsidR="004B5BA6" w:rsidRPr="000D257F">
        <w:rPr>
          <w:rFonts w:ascii="StobiSerif Regular" w:hAnsi="StobiSerif Regular"/>
          <w:color w:val="000000"/>
          <w:sz w:val="22"/>
          <w:szCs w:val="22"/>
          <w:lang w:val="sq-AL"/>
        </w:rPr>
        <w:t xml:space="preserve"> me</w:t>
      </w:r>
      <w:r w:rsidR="004B5BA6" w:rsidRPr="000D257F">
        <w:rPr>
          <w:rFonts w:ascii="StobiSerif Regular" w:hAnsi="StobiSerif Regular"/>
          <w:color w:val="000000"/>
          <w:sz w:val="22"/>
          <w:szCs w:val="22"/>
        </w:rPr>
        <w:t xml:space="preserve"> masa proporcionale, duke përfshirë masa për parandalimin, zbulimin, korrigjimin dhe h</w:t>
      </w:r>
      <w:r w:rsidR="004B5BA6" w:rsidRPr="000D257F">
        <w:rPr>
          <w:rFonts w:ascii="StobiSerif Regular" w:hAnsi="StobiSerif Regular"/>
          <w:color w:val="000000"/>
          <w:sz w:val="22"/>
          <w:szCs w:val="22"/>
          <w:lang w:val="sq-AL"/>
        </w:rPr>
        <w:t>ulumtimin</w:t>
      </w:r>
      <w:r w:rsidR="004B5BA6" w:rsidRPr="000D257F">
        <w:rPr>
          <w:rFonts w:ascii="StobiSerif Regular" w:hAnsi="StobiSerif Regular"/>
          <w:color w:val="000000"/>
          <w:sz w:val="22"/>
          <w:szCs w:val="22"/>
        </w:rPr>
        <w:t xml:space="preserve"> e parregullsive, mashtrimit, korrupsionit, konfliktit të interesit, financimit të dyfishtë, si dhe për </w:t>
      </w:r>
      <w:r w:rsidR="004B5BA6" w:rsidRPr="000D257F">
        <w:rPr>
          <w:rFonts w:ascii="StobiSerif Regular" w:hAnsi="StobiSerif Regular"/>
          <w:color w:val="000000"/>
          <w:sz w:val="22"/>
          <w:szCs w:val="22"/>
          <w:lang w:val="sq-AL"/>
        </w:rPr>
        <w:t>kth</w:t>
      </w:r>
      <w:r w:rsidR="004B5BA6" w:rsidRPr="000D257F">
        <w:rPr>
          <w:rFonts w:ascii="StobiSerif Regular" w:hAnsi="StobiSerif Regular"/>
          <w:color w:val="000000"/>
          <w:sz w:val="22"/>
          <w:szCs w:val="22"/>
        </w:rPr>
        <w:t xml:space="preserve">imin e </w:t>
      </w:r>
      <w:r w:rsidR="004B5BA6" w:rsidRPr="000D257F">
        <w:rPr>
          <w:rFonts w:ascii="StobiSerif Regular" w:hAnsi="StobiSerif Regular"/>
          <w:color w:val="000000"/>
          <w:sz w:val="22"/>
          <w:szCs w:val="22"/>
          <w:lang w:val="sq-AL"/>
        </w:rPr>
        <w:t>mjeteve</w:t>
      </w:r>
      <w:r w:rsidR="004B5BA6" w:rsidRPr="000D257F">
        <w:rPr>
          <w:rFonts w:ascii="StobiSerif Regular" w:hAnsi="StobiSerif Regular"/>
          <w:color w:val="000000"/>
          <w:sz w:val="22"/>
          <w:szCs w:val="22"/>
        </w:rPr>
        <w:t xml:space="preserve"> të humbura, të paguara gabimisht apo të </w:t>
      </w:r>
      <w:r w:rsidR="004B5BA6" w:rsidRPr="000D257F">
        <w:rPr>
          <w:rFonts w:ascii="StobiSerif Regular" w:hAnsi="StobiSerif Regular"/>
          <w:color w:val="000000"/>
          <w:sz w:val="22"/>
          <w:szCs w:val="22"/>
          <w:lang w:val="sq-AL"/>
        </w:rPr>
        <w:t>shfrytëzuara</w:t>
      </w:r>
      <w:r w:rsidR="004B5BA6" w:rsidRPr="000D257F">
        <w:rPr>
          <w:rFonts w:ascii="StobiSerif Regular" w:hAnsi="StobiSerif Regular"/>
          <w:color w:val="000000"/>
          <w:sz w:val="22"/>
          <w:szCs w:val="22"/>
        </w:rPr>
        <w:t xml:space="preserve"> në mënyrë të parregullt</w:t>
      </w:r>
      <w:r w:rsidRPr="000D257F">
        <w:rPr>
          <w:rFonts w:ascii="StobiSerif Regular" w:hAnsi="StobiSerif Regular"/>
          <w:color w:val="000000"/>
          <w:sz w:val="22"/>
          <w:szCs w:val="22"/>
        </w:rPr>
        <w:t>.</w:t>
      </w:r>
    </w:p>
    <w:p w14:paraId="10FE4C7A" w14:textId="09FABE1B" w:rsidR="00C71B06" w:rsidRPr="000D257F" w:rsidRDefault="0068048D"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b/>
          <w:color w:val="000000"/>
          <w:sz w:val="22"/>
          <w:szCs w:val="22"/>
        </w:rPr>
        <w:t>(66)</w:t>
      </w:r>
      <w:r w:rsidRPr="000D257F">
        <w:rPr>
          <w:rFonts w:ascii="StobiSerif Regular" w:hAnsi="StobiSerif Regular"/>
          <w:b/>
          <w:color w:val="000000"/>
          <w:sz w:val="22"/>
          <w:szCs w:val="22"/>
        </w:rPr>
        <w:tab/>
      </w:r>
      <w:r w:rsidR="004B5BA6" w:rsidRPr="000D257F">
        <w:rPr>
          <w:rFonts w:ascii="StobiSerif Regular" w:hAnsi="StobiSerif Regular"/>
          <w:sz w:val="22"/>
          <w:szCs w:val="22"/>
        </w:rPr>
        <w:t xml:space="preserve">Komisioni duhet të </w:t>
      </w:r>
      <w:r w:rsidR="004B5BA6" w:rsidRPr="000D257F">
        <w:rPr>
          <w:rFonts w:ascii="StobiSerif Regular" w:hAnsi="StobiSerif Regular"/>
          <w:sz w:val="22"/>
          <w:szCs w:val="22"/>
          <w:lang w:val="sq-AL"/>
        </w:rPr>
        <w:t>dorëzojë</w:t>
      </w:r>
      <w:r w:rsidR="004B5BA6" w:rsidRPr="000D257F">
        <w:rPr>
          <w:rFonts w:ascii="StobiSerif Regular" w:hAnsi="StobiSerif Regular"/>
          <w:sz w:val="22"/>
          <w:szCs w:val="22"/>
        </w:rPr>
        <w:t xml:space="preserve"> raport vjetor</w:t>
      </w:r>
      <w:r w:rsidR="004B5BA6" w:rsidRPr="000D257F">
        <w:rPr>
          <w:rFonts w:ascii="StobiSerif Regular" w:hAnsi="StobiSerif Regular"/>
          <w:sz w:val="22"/>
          <w:szCs w:val="22"/>
          <w:lang w:val="sq-AL"/>
        </w:rPr>
        <w:t xml:space="preserve"> deri në</w:t>
      </w:r>
      <w:r w:rsidR="004B5BA6" w:rsidRPr="000D257F">
        <w:rPr>
          <w:rFonts w:ascii="StobiSerif Regular" w:hAnsi="StobiSerif Regular"/>
          <w:sz w:val="22"/>
          <w:szCs w:val="22"/>
        </w:rPr>
        <w:t xml:space="preserve"> Parlamenti</w:t>
      </w:r>
      <w:r w:rsidR="004B5BA6" w:rsidRPr="000D257F">
        <w:rPr>
          <w:rFonts w:ascii="StobiSerif Regular" w:hAnsi="StobiSerif Regular"/>
          <w:sz w:val="22"/>
          <w:szCs w:val="22"/>
          <w:lang w:val="sq-AL"/>
        </w:rPr>
        <w:t>n</w:t>
      </w:r>
      <w:r w:rsidR="004B5BA6" w:rsidRPr="000D257F">
        <w:rPr>
          <w:rFonts w:ascii="StobiSerif Regular" w:hAnsi="StobiSerif Regular"/>
          <w:sz w:val="22"/>
          <w:szCs w:val="22"/>
        </w:rPr>
        <w:t xml:space="preserve"> dhe Këshill</w:t>
      </w:r>
      <w:r w:rsidR="004B5BA6" w:rsidRPr="000D257F">
        <w:rPr>
          <w:rFonts w:ascii="StobiSerif Regular" w:hAnsi="StobiSerif Regular"/>
          <w:sz w:val="22"/>
          <w:szCs w:val="22"/>
          <w:lang w:val="sq-AL"/>
        </w:rPr>
        <w:t>in Evropian për</w:t>
      </w:r>
      <w:r w:rsidR="004B5BA6" w:rsidRPr="000D257F">
        <w:rPr>
          <w:rFonts w:ascii="StobiSerif Regular" w:hAnsi="StobiSerif Regular"/>
          <w:sz w:val="22"/>
          <w:szCs w:val="22"/>
        </w:rPr>
        <w:t xml:space="preserve"> p</w:t>
      </w:r>
      <w:r w:rsidR="004B5BA6" w:rsidRPr="000D257F">
        <w:rPr>
          <w:rFonts w:ascii="StobiSerif Regular" w:hAnsi="StobiSerif Regular"/>
          <w:sz w:val="22"/>
          <w:szCs w:val="22"/>
          <w:lang w:val="sq-AL"/>
        </w:rPr>
        <w:t>rogresin</w:t>
      </w:r>
      <w:r w:rsidR="004B5BA6" w:rsidRPr="000D257F">
        <w:rPr>
          <w:rFonts w:ascii="StobiSerif Regular" w:hAnsi="StobiSerif Regular"/>
          <w:sz w:val="22"/>
          <w:szCs w:val="22"/>
        </w:rPr>
        <w:t xml:space="preserve"> drejt arritjes së objektivave të kësaj rregulloreje,</w:t>
      </w:r>
      <w:r w:rsidR="004B5BA6" w:rsidRPr="000D257F">
        <w:rPr>
          <w:rFonts w:ascii="StobiSerif Regular" w:hAnsi="StobiSerif Regular"/>
          <w:sz w:val="22"/>
          <w:szCs w:val="22"/>
          <w:lang w:val="sq-AL"/>
        </w:rPr>
        <w:t xml:space="preserve"> gjithashtu</w:t>
      </w:r>
      <w:r w:rsidR="004B5BA6" w:rsidRPr="000D257F">
        <w:rPr>
          <w:rFonts w:ascii="StobiSerif Regular" w:hAnsi="StobiSerif Regular"/>
          <w:sz w:val="22"/>
          <w:szCs w:val="22"/>
        </w:rPr>
        <w:t xml:space="preserve"> edhe në lidhje me sinergjitë dhe plotësimet me programet e tjera të </w:t>
      </w:r>
      <w:r w:rsidR="004B5BA6" w:rsidRPr="000D257F">
        <w:rPr>
          <w:rFonts w:ascii="StobiSerif Regular" w:hAnsi="StobiSerif Regular"/>
          <w:sz w:val="22"/>
          <w:szCs w:val="22"/>
          <w:lang w:val="sq-AL"/>
        </w:rPr>
        <w:t>Unionit</w:t>
      </w:r>
      <w:r w:rsidR="004B5BA6" w:rsidRPr="000D257F">
        <w:rPr>
          <w:rFonts w:ascii="StobiSerif Regular" w:hAnsi="StobiSerif Regular"/>
          <w:sz w:val="22"/>
          <w:szCs w:val="22"/>
        </w:rPr>
        <w:t>, veçanërisht mbështetjen e siguruar në p</w:t>
      </w:r>
      <w:r w:rsidR="004B5BA6" w:rsidRPr="000D257F">
        <w:rPr>
          <w:rFonts w:ascii="StobiSerif Regular" w:hAnsi="StobiSerif Regular"/>
          <w:sz w:val="22"/>
          <w:szCs w:val="22"/>
          <w:lang w:val="sq-AL"/>
        </w:rPr>
        <w:t>ajtim</w:t>
      </w:r>
      <w:r w:rsidR="004B5BA6" w:rsidRPr="000D257F">
        <w:rPr>
          <w:rFonts w:ascii="StobiSerif Regular" w:hAnsi="StobiSerif Regular"/>
          <w:sz w:val="22"/>
          <w:szCs w:val="22"/>
        </w:rPr>
        <w:t xml:space="preserve"> me Rregulloren </w:t>
      </w:r>
      <w:r w:rsidR="004B5BA6" w:rsidRPr="000D257F">
        <w:rPr>
          <w:rFonts w:ascii="StobiSerif Regular" w:hAnsi="StobiSerif Regular"/>
          <w:sz w:val="22"/>
          <w:szCs w:val="22"/>
          <w:lang w:val="sq-AL"/>
        </w:rPr>
        <w:t xml:space="preserve">e </w:t>
      </w:r>
      <w:r w:rsidR="004B5BA6" w:rsidRPr="000D257F">
        <w:rPr>
          <w:rFonts w:ascii="StobiSerif Regular" w:hAnsi="StobiSerif Regular"/>
          <w:sz w:val="22"/>
          <w:szCs w:val="22"/>
        </w:rPr>
        <w:t>(BE</w:t>
      </w:r>
      <w:r w:rsidR="004B5BA6" w:rsidRPr="000D257F">
        <w:rPr>
          <w:rFonts w:ascii="StobiSerif Regular" w:hAnsi="StobiSerif Regular"/>
          <w:sz w:val="22"/>
          <w:szCs w:val="22"/>
          <w:lang w:val="sq-AL"/>
        </w:rPr>
        <w:t>-së</w:t>
      </w:r>
      <w:r w:rsidR="004B5BA6" w:rsidRPr="000D257F">
        <w:rPr>
          <w:rFonts w:ascii="StobiSerif Regular" w:hAnsi="StobiSerif Regular"/>
          <w:sz w:val="22"/>
          <w:szCs w:val="22"/>
        </w:rPr>
        <w:t>) 2021/1529, me qëllim që të shmanget dyfishimi i ndihmës dhe financimi i dyfishtë</w:t>
      </w:r>
      <w:r w:rsidRPr="000D257F">
        <w:rPr>
          <w:rFonts w:ascii="StobiSerif Regular" w:hAnsi="StobiSerif Regular"/>
          <w:color w:val="000000"/>
          <w:sz w:val="22"/>
          <w:szCs w:val="22"/>
        </w:rPr>
        <w:t>.</w:t>
      </w:r>
    </w:p>
    <w:p w14:paraId="115D7B99" w14:textId="77777777" w:rsidR="004B5BA6" w:rsidRPr="000D257F" w:rsidRDefault="004B5BA6" w:rsidP="004B5BA6">
      <w:pPr>
        <w:shd w:val="clear" w:color="auto" w:fill="FFFFFF"/>
        <w:spacing w:before="120" w:after="120"/>
        <w:jc w:val="both"/>
        <w:rPr>
          <w:rFonts w:ascii="StobiSerif Regular" w:hAnsi="StobiSerif Regular"/>
          <w:b/>
          <w:bCs/>
          <w:sz w:val="22"/>
          <w:szCs w:val="22"/>
        </w:rPr>
      </w:pPr>
      <w:r w:rsidRPr="000D257F">
        <w:rPr>
          <w:rFonts w:ascii="StobiSerif Regular" w:hAnsi="StobiSerif Regular"/>
          <w:b/>
          <w:bCs/>
          <w:sz w:val="22"/>
          <w:szCs w:val="22"/>
        </w:rPr>
        <w:t>Neni 4(3) – Parimet e përgjithshme (gjithashtu t</w:t>
      </w:r>
      <w:r w:rsidRPr="000D257F">
        <w:rPr>
          <w:rFonts w:ascii="StobiSerif Regular" w:hAnsi="StobiSerif Regular"/>
          <w:b/>
          <w:bCs/>
          <w:sz w:val="22"/>
          <w:szCs w:val="22"/>
          <w:lang w:val="sq-AL"/>
        </w:rPr>
        <w:t>ë</w:t>
      </w:r>
      <w:r w:rsidRPr="000D257F">
        <w:rPr>
          <w:rFonts w:ascii="StobiSerif Regular" w:hAnsi="StobiSerif Regular"/>
          <w:b/>
          <w:bCs/>
          <w:sz w:val="22"/>
          <w:szCs w:val="22"/>
        </w:rPr>
        <w:t xml:space="preserve"> shënuar në nenin 3(2)(v) dhe nenin 14(10) dhe (12) të Marrëveshjes për Instrumentin)</w:t>
      </w:r>
    </w:p>
    <w:p w14:paraId="58FB58B4" w14:textId="7077A308" w:rsidR="00C71B06" w:rsidRPr="000D257F" w:rsidRDefault="00C71B06" w:rsidP="00803AFB">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color w:val="000000"/>
          <w:sz w:val="22"/>
          <w:szCs w:val="22"/>
        </w:rPr>
        <w:t xml:space="preserve">3. </w:t>
      </w:r>
      <w:r w:rsidR="004B5BA6" w:rsidRPr="000D257F">
        <w:rPr>
          <w:rFonts w:ascii="StobiSerif Regular" w:hAnsi="StobiSerif Regular"/>
          <w:sz w:val="22"/>
          <w:szCs w:val="22"/>
        </w:rPr>
        <w:t>Mbështetja nga Instrumenti është plotësuese dhe komplementare ndaj mbështetjes të siguruar në kuadër të programeve dhe instrumenteve të tjera të Unionit. Aktivitetet që janë të pranueshme për financim sipas kësaj rregulloreje mund të marrin mbështetje edhe nga programe dhe instrumente të tjera të Unionit, me kusht që mbështetja e tillë të mos i mbulojë të njëjtat shpenzime dhe të sigurohet mbikëqyrje dhe kontroll përkatës i buxhetit. Komisioni siguron plotësim dhe sinergji ndërmjet Instrumentit dhe programeve të tjera të Unionit, me qëllim që të shmanget dyfishimi i ndihmës dhe financimi i dyfishtë. Nuk guxon të ketë mbivendosje ndërmjet mbështetjes së siguruar në pajtim me këtë rregullore dhe Rregullores së (BE-së) 2021/1529.</w:t>
      </w:r>
    </w:p>
    <w:p w14:paraId="20C241E0" w14:textId="77777777" w:rsidR="004B5BA6" w:rsidRPr="000D257F" w:rsidRDefault="004B5BA6" w:rsidP="004B5BA6">
      <w:pPr>
        <w:shd w:val="clear" w:color="auto" w:fill="FFFFFF"/>
        <w:spacing w:before="120" w:after="120"/>
        <w:jc w:val="both"/>
        <w:rPr>
          <w:rFonts w:ascii="StobiSerif Regular" w:hAnsi="StobiSerif Regular"/>
          <w:b/>
          <w:bCs/>
          <w:color w:val="000000"/>
          <w:sz w:val="22"/>
          <w:szCs w:val="22"/>
          <w:lang w:val="sq-AL"/>
        </w:rPr>
      </w:pPr>
      <w:r w:rsidRPr="000D257F">
        <w:rPr>
          <w:rFonts w:ascii="StobiSerif Regular" w:hAnsi="StobiSerif Regular"/>
          <w:b/>
          <w:bCs/>
          <w:color w:val="000000"/>
          <w:sz w:val="22"/>
          <w:szCs w:val="22"/>
          <w:lang w:val="sq-AL"/>
        </w:rPr>
        <w:t>Neni 14(4)(z) – Vlerësimi i Agjendave Reformuese nga ana e Komisionit</w:t>
      </w:r>
    </w:p>
    <w:p w14:paraId="76D64C1D" w14:textId="67F4581B" w:rsidR="00C71B06" w:rsidRPr="000D257F" w:rsidRDefault="004B5BA6"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b/>
          <w:bCs/>
          <w:color w:val="000000"/>
          <w:sz w:val="22"/>
          <w:szCs w:val="22"/>
          <w:lang w:val="sq-AL"/>
        </w:rPr>
        <w:t>(z)</w:t>
      </w:r>
      <w:r w:rsidRPr="000D257F">
        <w:rPr>
          <w:rFonts w:ascii="StobiSerif Regular" w:hAnsi="StobiSerif Regular"/>
          <w:color w:val="000000"/>
          <w:sz w:val="22"/>
          <w:szCs w:val="22"/>
          <w:lang w:val="sq-AL"/>
        </w:rPr>
        <w:t xml:space="preserve"> Nëse mekanizmat e propozuar nga shfrztëyuesi pritet të parandalojnë, zbulojnë dhe korrigjojnë në mënyrë efektive parregullsitë, mashtrimet, korrupsionin dhe konfliktet e interesit, krimin e organizuar dhe larjen e parave, si dhe të mundësojnë hetim dhe ndjekje penale efikase të veprave penale që ndikojnë në mjetet në kuadër të Instrumentit, dhe të sigurojnë që nuk ka financim të dyfishtë nga Instrumenti dhe nga programet e tjera të Unionit, veçanërisht mbështetja e siguruar në pajtim me Rregulloren e (BE-së) 2021/1529, si dhe mbështetje nga donatorë të tjerë prej Instrumentit dhe programet e tjera të Unionit si dhe nga donatorë të tjerë</w:t>
      </w:r>
      <w:r w:rsidR="00C71B06" w:rsidRPr="000D257F">
        <w:rPr>
          <w:rFonts w:ascii="StobiSerif Regular" w:hAnsi="StobiSerif Regular"/>
          <w:color w:val="000000"/>
          <w:sz w:val="22"/>
          <w:szCs w:val="22"/>
        </w:rPr>
        <w:t>;</w:t>
      </w:r>
    </w:p>
    <w:p w14:paraId="38E206E5" w14:textId="77777777" w:rsidR="004B5BA6" w:rsidRPr="000D257F" w:rsidRDefault="004B5BA6" w:rsidP="004B5BA6">
      <w:pPr>
        <w:shd w:val="clear" w:color="auto" w:fill="FFFFFF"/>
        <w:spacing w:before="120" w:after="120"/>
        <w:jc w:val="both"/>
        <w:rPr>
          <w:rFonts w:ascii="StobiSerif Regular" w:hAnsi="StobiSerif Regular"/>
          <w:color w:val="000000"/>
          <w:sz w:val="22"/>
          <w:szCs w:val="22"/>
          <w:lang w:val="sq-AL"/>
        </w:rPr>
      </w:pPr>
    </w:p>
    <w:p w14:paraId="647CB8BE" w14:textId="3C8CA5BC" w:rsidR="004B5BA6" w:rsidRPr="000D257F" w:rsidRDefault="004B5BA6" w:rsidP="00803AFB">
      <w:pPr>
        <w:shd w:val="clear" w:color="auto" w:fill="FFFFFF"/>
        <w:spacing w:before="120" w:after="120"/>
        <w:jc w:val="both"/>
        <w:rPr>
          <w:rFonts w:ascii="StobiSerif Regular" w:hAnsi="StobiSerif Regular"/>
          <w:b/>
          <w:bCs/>
          <w:sz w:val="22"/>
          <w:szCs w:val="22"/>
          <w:lang w:val="sq-AL"/>
        </w:rPr>
      </w:pPr>
      <w:r w:rsidRPr="000D257F">
        <w:rPr>
          <w:rFonts w:ascii="StobiSerif Regular" w:hAnsi="StobiSerif Regular"/>
          <w:b/>
          <w:bCs/>
          <w:sz w:val="22"/>
          <w:szCs w:val="22"/>
          <w:lang w:val="sq-AL"/>
        </w:rPr>
        <w:t>Neni 19 (7) – Realizimi i projekteve dhe programeve investuese në kuadër të IRBP-së</w:t>
      </w:r>
    </w:p>
    <w:p w14:paraId="37F8959E" w14:textId="60308A25" w:rsidR="00C71B06" w:rsidRPr="000D257F" w:rsidRDefault="00C71B06" w:rsidP="00803AFB">
      <w:pPr>
        <w:shd w:val="clear" w:color="auto" w:fill="FFFFFF"/>
        <w:spacing w:before="120" w:after="120"/>
        <w:jc w:val="both"/>
        <w:rPr>
          <w:rFonts w:ascii="StobiSerif Regular" w:hAnsi="StobiSerif Regular"/>
          <w:sz w:val="22"/>
          <w:szCs w:val="22"/>
        </w:rPr>
      </w:pPr>
      <w:r w:rsidRPr="000D257F">
        <w:rPr>
          <w:rFonts w:ascii="StobiSerif Regular" w:hAnsi="StobiSerif Regular"/>
          <w:color w:val="000000"/>
          <w:sz w:val="22"/>
          <w:szCs w:val="22"/>
        </w:rPr>
        <w:t xml:space="preserve">7. </w:t>
      </w:r>
      <w:r w:rsidR="004B5BA6" w:rsidRPr="000D257F">
        <w:rPr>
          <w:rFonts w:ascii="StobiSerif Regular" w:hAnsi="StobiSerif Regular"/>
          <w:sz w:val="22"/>
          <w:szCs w:val="22"/>
          <w:lang w:val="sq-AL"/>
        </w:rPr>
        <w:t>Financimi në kuadër të Instrumentit, i siguruar përmes huamarrjeve siç është shënuar në nenin 6(5) të kësaj rregulloreje, vihet në dispozicion përmes IRBP-së në pajtim me marrëveshjen për huamarrje ndërmjet Komisionit dhe shfrztëzuesve, në pajtim me nenin 17(2) të kësaj rregulloreje. Për të gjitha marrëveshjet për huamarrje, udhëheqësit e fondeve të fondit të përbashkët të shënuar në nenin 12(2) të kësaj rregulloreje, deri te Komisioni parashtrojnë më së shumti deri në dymbëdhjetë kërkesa për pagesa në vit</w:t>
      </w:r>
      <w:r w:rsidR="0068048D" w:rsidRPr="000D257F">
        <w:rPr>
          <w:rStyle w:val="FootnoteReference"/>
          <w:rFonts w:ascii="StobiSerif Regular" w:hAnsi="StobiSerif Regular"/>
          <w:color w:val="000000"/>
          <w:sz w:val="22"/>
          <w:szCs w:val="22"/>
        </w:rPr>
        <w:footnoteReference w:id="6"/>
      </w:r>
      <w:r w:rsidRPr="000D257F">
        <w:rPr>
          <w:rFonts w:ascii="StobiSerif Regular" w:hAnsi="StobiSerif Regular"/>
          <w:color w:val="000000"/>
          <w:sz w:val="22"/>
          <w:szCs w:val="22"/>
        </w:rPr>
        <w:t xml:space="preserve">. </w:t>
      </w:r>
      <w:r w:rsidR="00FA5650" w:rsidRPr="000D257F">
        <w:rPr>
          <w:rFonts w:ascii="StobiSerif Regular" w:hAnsi="StobiSerif Regular"/>
          <w:sz w:val="22"/>
          <w:szCs w:val="22"/>
        </w:rPr>
        <w:t xml:space="preserve">Projektet dhe programet investuese mund të marrin mbështetje nga dy burime financimi, siç është shënuar në paragrafët 2 dhe 3 të nenit 6 të kësaj rregulloreje, si dhe nga programe </w:t>
      </w:r>
      <w:r w:rsidR="00FA5650" w:rsidRPr="000D257F">
        <w:rPr>
          <w:rFonts w:ascii="StobiSerif Regular" w:hAnsi="StobiSerif Regular"/>
          <w:sz w:val="22"/>
          <w:szCs w:val="22"/>
        </w:rPr>
        <w:lastRenderedPageBreak/>
        <w:t>dhe instrumente të tjera të Unionit, me kusht që mbështetja e tillë nga burime, programe dhe instrumente të ndryshme të sigurojë plotësim dhe të mos i mbulojë shpenzimet e njëjta. Për çdo projekt ose program investimi, Komisioni dorëzon vlerësim deri te Bordit Operativ të IRBP-së, duke përfshirë edhe sinergjitë dhe plotësimet me programet tjera të Unionit, veçanërisht mbështetjen e siguruar në p</w:t>
      </w:r>
      <w:r w:rsidR="00FA5650" w:rsidRPr="000D257F">
        <w:rPr>
          <w:rFonts w:ascii="StobiSerif Regular" w:hAnsi="StobiSerif Regular"/>
          <w:sz w:val="22"/>
          <w:szCs w:val="22"/>
          <w:lang w:val="sq-AL"/>
        </w:rPr>
        <w:t>ajtim</w:t>
      </w:r>
      <w:r w:rsidR="00FA5650" w:rsidRPr="000D257F">
        <w:rPr>
          <w:rFonts w:ascii="StobiSerif Regular" w:hAnsi="StobiSerif Regular"/>
          <w:sz w:val="22"/>
          <w:szCs w:val="22"/>
        </w:rPr>
        <w:t xml:space="preserve"> me Rregulloren </w:t>
      </w:r>
      <w:r w:rsidR="00FA5650" w:rsidRPr="000D257F">
        <w:rPr>
          <w:rFonts w:ascii="StobiSerif Regular" w:hAnsi="StobiSerif Regular"/>
          <w:sz w:val="22"/>
          <w:szCs w:val="22"/>
          <w:lang w:val="sq-AL"/>
        </w:rPr>
        <w:t xml:space="preserve">e </w:t>
      </w:r>
      <w:r w:rsidR="00FA5650" w:rsidRPr="000D257F">
        <w:rPr>
          <w:rFonts w:ascii="StobiSerif Regular" w:hAnsi="StobiSerif Regular"/>
          <w:sz w:val="22"/>
          <w:szCs w:val="22"/>
        </w:rPr>
        <w:t>(BE</w:t>
      </w:r>
      <w:r w:rsidR="00FA5650" w:rsidRPr="000D257F">
        <w:rPr>
          <w:rFonts w:ascii="StobiSerif Regular" w:hAnsi="StobiSerif Regular"/>
          <w:sz w:val="22"/>
          <w:szCs w:val="22"/>
          <w:lang w:val="sq-AL"/>
        </w:rPr>
        <w:t>-së</w:t>
      </w:r>
      <w:r w:rsidR="00FA5650" w:rsidRPr="000D257F">
        <w:rPr>
          <w:rFonts w:ascii="StobiSerif Regular" w:hAnsi="StobiSerif Regular"/>
          <w:sz w:val="22"/>
          <w:szCs w:val="22"/>
        </w:rPr>
        <w:t>) 2021/1529, me qëllim që të shmanget dyfishimi i ndihmës dhe financimi i dyfishtë</w:t>
      </w:r>
      <w:r w:rsidRPr="000D257F">
        <w:rPr>
          <w:rFonts w:ascii="StobiSerif Regular" w:hAnsi="StobiSerif Regular"/>
          <w:color w:val="000000"/>
          <w:sz w:val="22"/>
          <w:szCs w:val="22"/>
        </w:rPr>
        <w:t>.</w:t>
      </w:r>
    </w:p>
    <w:p w14:paraId="6BF54FFD" w14:textId="77777777" w:rsidR="00FA5650" w:rsidRPr="000D257F" w:rsidRDefault="00FA5650" w:rsidP="00FA5650">
      <w:pPr>
        <w:shd w:val="clear" w:color="auto" w:fill="FFFFFF"/>
        <w:spacing w:before="120" w:after="120"/>
        <w:jc w:val="both"/>
        <w:rPr>
          <w:rFonts w:ascii="StobiSerif Regular" w:hAnsi="StobiSerif Regular"/>
          <w:b/>
          <w:bCs/>
          <w:color w:val="000000"/>
          <w:sz w:val="22"/>
          <w:szCs w:val="22"/>
          <w:lang w:val="sq-AL"/>
        </w:rPr>
      </w:pPr>
      <w:r w:rsidRPr="000D257F">
        <w:rPr>
          <w:rFonts w:ascii="StobiSerif Regular" w:hAnsi="StobiSerif Regular"/>
          <w:b/>
          <w:color w:val="000000"/>
          <w:sz w:val="22"/>
          <w:szCs w:val="22"/>
          <w:lang w:val="sq-AL"/>
        </w:rPr>
        <w:t>Neni</w:t>
      </w:r>
      <w:r w:rsidRPr="000D257F">
        <w:rPr>
          <w:rFonts w:ascii="StobiSerif Regular" w:hAnsi="StobiSerif Regular"/>
          <w:b/>
          <w:color w:val="000000"/>
          <w:sz w:val="22"/>
          <w:szCs w:val="22"/>
        </w:rPr>
        <w:t xml:space="preserve"> 23(2)(</w:t>
      </w:r>
      <w:r w:rsidRPr="000D257F">
        <w:rPr>
          <w:rFonts w:ascii="StobiSerif Regular" w:hAnsi="StobiSerif Regular"/>
          <w:b/>
          <w:color w:val="000000"/>
          <w:sz w:val="22"/>
          <w:szCs w:val="22"/>
          <w:lang w:val="sq-AL"/>
        </w:rPr>
        <w:t>v</w:t>
      </w:r>
      <w:r w:rsidRPr="000D257F">
        <w:rPr>
          <w:rFonts w:ascii="StobiSerif Regular" w:hAnsi="StobiSerif Regular"/>
          <w:b/>
          <w:color w:val="000000"/>
          <w:sz w:val="22"/>
          <w:szCs w:val="22"/>
        </w:rPr>
        <w:t xml:space="preserve">) – </w:t>
      </w:r>
      <w:r w:rsidRPr="000D257F">
        <w:rPr>
          <w:rFonts w:ascii="StobiSerif Regular" w:hAnsi="StobiSerif Regular"/>
          <w:b/>
          <w:color w:val="000000"/>
          <w:sz w:val="22"/>
          <w:szCs w:val="22"/>
          <w:lang w:val="sq-AL"/>
        </w:rPr>
        <w:t xml:space="preserve">Mbrojtja e interesave financiare të Unionit (gjithashtu i shënuar në nenin 8 dhe nenin </w:t>
      </w:r>
      <w:r w:rsidRPr="000D257F">
        <w:rPr>
          <w:rFonts w:ascii="StobiSerif Regular" w:hAnsi="StobiSerif Regular"/>
          <w:b/>
          <w:bCs/>
          <w:color w:val="000000"/>
          <w:sz w:val="22"/>
          <w:szCs w:val="22"/>
        </w:rPr>
        <w:t>14(10) dhe (12) i Marrëveshjes për Instrumentin</w:t>
      </w:r>
    </w:p>
    <w:p w14:paraId="05AA2850" w14:textId="2B50EEA0" w:rsidR="00C71B06" w:rsidRPr="000D257F" w:rsidRDefault="00FA5650" w:rsidP="00FA5650">
      <w:pPr>
        <w:shd w:val="clear" w:color="auto" w:fill="FFFFFF"/>
        <w:spacing w:before="120" w:after="120"/>
        <w:jc w:val="both"/>
        <w:rPr>
          <w:rFonts w:ascii="StobiSerif Regular" w:hAnsi="StobiSerif Regular"/>
          <w:sz w:val="22"/>
          <w:szCs w:val="22"/>
        </w:rPr>
      </w:pPr>
      <w:r w:rsidRPr="000D257F">
        <w:rPr>
          <w:rFonts w:ascii="StobiSerif Regular" w:hAnsi="StobiSerif Regular"/>
          <w:color w:val="000000"/>
          <w:sz w:val="22"/>
          <w:szCs w:val="22"/>
        </w:rPr>
        <w:br/>
      </w:r>
      <w:r w:rsidR="0044384A" w:rsidRPr="000D257F">
        <w:rPr>
          <w:rFonts w:ascii="StobiSerif Regular" w:hAnsi="StobiSerif Regular"/>
          <w:color w:val="000000"/>
          <w:sz w:val="22"/>
          <w:szCs w:val="22"/>
        </w:rPr>
        <w:t xml:space="preserve">2. </w:t>
      </w:r>
      <w:r w:rsidRPr="000D257F">
        <w:rPr>
          <w:rFonts w:ascii="StobiSerif Regular" w:hAnsi="StobiSerif Regular"/>
          <w:color w:val="000000"/>
          <w:sz w:val="22"/>
          <w:szCs w:val="22"/>
        </w:rPr>
        <w:t xml:space="preserve">Marrëveshja për Instrumentin parashikon detyrimet e mëposhtme të </w:t>
      </w:r>
      <w:r w:rsidRPr="000D257F">
        <w:rPr>
          <w:rFonts w:ascii="StobiSerif Regular" w:hAnsi="StobiSerif Regular"/>
          <w:color w:val="000000"/>
          <w:sz w:val="22"/>
          <w:szCs w:val="22"/>
          <w:lang w:val="sq-AL"/>
        </w:rPr>
        <w:t>Shfrytëz</w:t>
      </w:r>
      <w:r w:rsidRPr="000D257F">
        <w:rPr>
          <w:rFonts w:ascii="StobiSerif Regular" w:hAnsi="StobiSerif Regular"/>
          <w:color w:val="000000"/>
          <w:sz w:val="22"/>
          <w:szCs w:val="22"/>
        </w:rPr>
        <w:t>uesit:</w:t>
      </w:r>
      <w:r w:rsidRPr="000D257F">
        <w:rPr>
          <w:rFonts w:ascii="StobiSerif Regular" w:hAnsi="StobiSerif Regular"/>
          <w:color w:val="000000"/>
          <w:sz w:val="22"/>
          <w:szCs w:val="22"/>
        </w:rPr>
        <w:br/>
      </w:r>
      <w:r w:rsidRPr="000D257F">
        <w:rPr>
          <w:rFonts w:ascii="StobiSerif Regular" w:hAnsi="StobiSerif Regular"/>
          <w:b/>
          <w:bCs/>
          <w:color w:val="000000"/>
          <w:sz w:val="22"/>
          <w:szCs w:val="22"/>
        </w:rPr>
        <w:t>(v)</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T</w:t>
      </w:r>
      <w:r w:rsidRPr="000D257F">
        <w:rPr>
          <w:rFonts w:ascii="StobiSerif Regular" w:hAnsi="StobiSerif Regular"/>
          <w:color w:val="000000"/>
          <w:sz w:val="22"/>
          <w:szCs w:val="22"/>
        </w:rPr>
        <w:t>ë ndërmarrë masa të për</w:t>
      </w:r>
      <w:r w:rsidRPr="000D257F">
        <w:rPr>
          <w:rFonts w:ascii="StobiSerif Regular" w:hAnsi="StobiSerif Regular"/>
          <w:color w:val="000000"/>
          <w:sz w:val="22"/>
          <w:szCs w:val="22"/>
          <w:lang w:val="sq-AL"/>
        </w:rPr>
        <w:t>katëse</w:t>
      </w:r>
      <w:r w:rsidRPr="000D257F">
        <w:rPr>
          <w:rFonts w:ascii="StobiSerif Regular" w:hAnsi="StobiSerif Regular"/>
          <w:color w:val="000000"/>
          <w:sz w:val="22"/>
          <w:szCs w:val="22"/>
        </w:rPr>
        <w:t xml:space="preserve"> për parandal</w:t>
      </w:r>
      <w:r w:rsidRPr="000D257F">
        <w:rPr>
          <w:rFonts w:ascii="StobiSerif Regular" w:hAnsi="StobiSerif Regular"/>
          <w:color w:val="000000"/>
          <w:sz w:val="22"/>
          <w:szCs w:val="22"/>
          <w:lang w:val="sq-AL"/>
        </w:rPr>
        <w:t>imin,</w:t>
      </w:r>
      <w:r w:rsidRPr="000D257F">
        <w:rPr>
          <w:rFonts w:ascii="StobiSerif Regular" w:hAnsi="StobiSerif Regular"/>
          <w:color w:val="000000"/>
          <w:sz w:val="22"/>
          <w:szCs w:val="22"/>
        </w:rPr>
        <w:t xml:space="preserve"> zbul</w:t>
      </w:r>
      <w:r w:rsidRPr="000D257F">
        <w:rPr>
          <w:rFonts w:ascii="StobiSerif Regular" w:hAnsi="StobiSerif Regular"/>
          <w:color w:val="000000"/>
          <w:sz w:val="22"/>
          <w:szCs w:val="22"/>
          <w:lang w:val="sq-AL"/>
        </w:rPr>
        <w:t>imin,</w:t>
      </w:r>
      <w:r w:rsidRPr="000D257F">
        <w:rPr>
          <w:rFonts w:ascii="StobiSerif Regular" w:hAnsi="StobiSerif Regular"/>
          <w:color w:val="000000"/>
          <w:sz w:val="22"/>
          <w:szCs w:val="22"/>
        </w:rPr>
        <w:t xml:space="preserve"> dhe korrigj</w:t>
      </w:r>
      <w:r w:rsidRPr="000D257F">
        <w:rPr>
          <w:rFonts w:ascii="StobiSerif Regular" w:hAnsi="StobiSerif Regular"/>
          <w:color w:val="000000"/>
          <w:sz w:val="22"/>
          <w:szCs w:val="22"/>
          <w:lang w:val="sq-AL"/>
        </w:rPr>
        <w:t>imin e</w:t>
      </w:r>
      <w:r w:rsidRPr="000D257F">
        <w:rPr>
          <w:rFonts w:ascii="StobiSerif Regular" w:hAnsi="StobiSerif Regular"/>
          <w:color w:val="000000"/>
          <w:sz w:val="22"/>
          <w:szCs w:val="22"/>
        </w:rPr>
        <w:t xml:space="preserve"> mashtrimi</w:t>
      </w:r>
      <w:r w:rsidRPr="000D257F">
        <w:rPr>
          <w:rFonts w:ascii="StobiSerif Regular" w:hAnsi="StobiSerif Regular"/>
          <w:color w:val="000000"/>
          <w:sz w:val="22"/>
          <w:szCs w:val="22"/>
          <w:lang w:val="sq-AL"/>
        </w:rPr>
        <w:t>t</w:t>
      </w:r>
      <w:r w:rsidRPr="000D257F">
        <w:rPr>
          <w:rFonts w:ascii="StobiSerif Regular" w:hAnsi="StobiSerif Regular"/>
          <w:color w:val="000000"/>
          <w:sz w:val="22"/>
          <w:szCs w:val="22"/>
        </w:rPr>
        <w:t>, korrupsionin, konfliktin e interesit dhe parregullsitë, si dhe të h</w:t>
      </w:r>
      <w:r w:rsidRPr="000D257F">
        <w:rPr>
          <w:rFonts w:ascii="StobiSerif Regular" w:hAnsi="StobiSerif Regular"/>
          <w:color w:val="000000"/>
          <w:sz w:val="22"/>
          <w:szCs w:val="22"/>
          <w:lang w:val="sq-AL"/>
        </w:rPr>
        <w:t>ulumtojë</w:t>
      </w:r>
      <w:r w:rsidRPr="000D257F">
        <w:rPr>
          <w:rFonts w:ascii="StobiSerif Regular" w:hAnsi="StobiSerif Regular"/>
          <w:color w:val="000000"/>
          <w:sz w:val="22"/>
          <w:szCs w:val="22"/>
        </w:rPr>
        <w:t xml:space="preserve"> dhe ndjekë penalisht veprat penale </w:t>
      </w:r>
      <w:r w:rsidRPr="000D257F">
        <w:rPr>
          <w:rFonts w:ascii="StobiSerif Regular" w:hAnsi="StobiSerif Regular"/>
          <w:color w:val="000000"/>
          <w:sz w:val="22"/>
          <w:szCs w:val="22"/>
          <w:lang w:val="sq-AL"/>
        </w:rPr>
        <w:t>t</w:t>
      </w:r>
      <w:r w:rsidRPr="000D257F">
        <w:rPr>
          <w:rFonts w:ascii="StobiSerif Regular" w:hAnsi="StobiSerif Regular"/>
          <w:color w:val="000000"/>
          <w:sz w:val="22"/>
          <w:szCs w:val="22"/>
        </w:rPr>
        <w:t>ë</w:t>
      </w:r>
      <w:r w:rsidRPr="000D257F">
        <w:rPr>
          <w:rFonts w:ascii="StobiSerif Regular" w:hAnsi="StobiSerif Regular"/>
          <w:color w:val="000000"/>
          <w:sz w:val="22"/>
          <w:szCs w:val="22"/>
          <w:lang w:val="sq-AL"/>
        </w:rPr>
        <w:t xml:space="preserve"> cilat</w:t>
      </w:r>
      <w:r w:rsidRPr="000D257F">
        <w:rPr>
          <w:rFonts w:ascii="StobiSerif Regular" w:hAnsi="StobiSerif Regular"/>
          <w:color w:val="000000"/>
          <w:sz w:val="22"/>
          <w:szCs w:val="22"/>
        </w:rPr>
        <w:t xml:space="preserve"> ndikojnë në interesat financiare të </w:t>
      </w:r>
      <w:r w:rsidRPr="000D257F">
        <w:rPr>
          <w:rFonts w:ascii="StobiSerif Regular" w:hAnsi="StobiSerif Regular"/>
          <w:color w:val="000000"/>
          <w:sz w:val="22"/>
          <w:szCs w:val="22"/>
          <w:lang w:val="sq-AL"/>
        </w:rPr>
        <w:t>Unionit</w:t>
      </w:r>
      <w:r w:rsidRPr="000D257F">
        <w:rPr>
          <w:rFonts w:ascii="StobiSerif Regular" w:hAnsi="StobiSerif Regular"/>
          <w:color w:val="000000"/>
          <w:sz w:val="22"/>
          <w:szCs w:val="22"/>
        </w:rPr>
        <w:t>; të zbulojë dhe shmangë financimin e dyfishtë; dhe të ndërmarrë veprime ligjore për</w:t>
      </w:r>
      <w:r w:rsidRPr="000D257F">
        <w:rPr>
          <w:rFonts w:ascii="StobiSerif Regular" w:hAnsi="StobiSerif Regular"/>
          <w:color w:val="000000"/>
          <w:sz w:val="22"/>
          <w:szCs w:val="22"/>
          <w:lang w:val="sq-AL"/>
        </w:rPr>
        <w:t xml:space="preserve"> kthimin e</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mjeteve të</w:t>
      </w:r>
      <w:r w:rsidRPr="000D257F">
        <w:rPr>
          <w:rFonts w:ascii="StobiSerif Regular" w:hAnsi="StobiSerif Regular"/>
          <w:color w:val="000000"/>
          <w:sz w:val="22"/>
          <w:szCs w:val="22"/>
        </w:rPr>
        <w:t xml:space="preserve"> </w:t>
      </w:r>
      <w:r w:rsidRPr="000D257F">
        <w:rPr>
          <w:rFonts w:ascii="StobiSerif Regular" w:hAnsi="StobiSerif Regular"/>
          <w:color w:val="000000"/>
          <w:sz w:val="22"/>
          <w:szCs w:val="22"/>
          <w:lang w:val="sq-AL"/>
        </w:rPr>
        <w:t>shfrztëzuara</w:t>
      </w:r>
      <w:r w:rsidRPr="000D257F">
        <w:rPr>
          <w:rFonts w:ascii="StobiSerif Regular" w:hAnsi="StobiSerif Regular"/>
          <w:color w:val="000000"/>
          <w:sz w:val="22"/>
          <w:szCs w:val="22"/>
        </w:rPr>
        <w:t xml:space="preserve"> në mënyrë të parregullt, </w:t>
      </w:r>
      <w:r w:rsidRPr="000D257F">
        <w:rPr>
          <w:rFonts w:ascii="StobiSerif Regular" w:hAnsi="StobiSerif Regular"/>
          <w:color w:val="000000"/>
          <w:sz w:val="22"/>
          <w:szCs w:val="22"/>
          <w:lang w:val="sq-AL"/>
        </w:rPr>
        <w:t xml:space="preserve">duke </w:t>
      </w:r>
      <w:r w:rsidRPr="000D257F">
        <w:rPr>
          <w:rFonts w:ascii="StobiSerif Regular" w:hAnsi="StobiSerif Regular"/>
          <w:color w:val="000000"/>
          <w:sz w:val="22"/>
          <w:szCs w:val="22"/>
        </w:rPr>
        <w:t xml:space="preserve">përfshirë </w:t>
      </w:r>
      <w:r w:rsidRPr="000D257F">
        <w:rPr>
          <w:rFonts w:ascii="StobiSerif Regular" w:hAnsi="StobiSerif Regular"/>
          <w:color w:val="000000"/>
          <w:sz w:val="22"/>
          <w:szCs w:val="22"/>
          <w:lang w:val="sq-AL"/>
        </w:rPr>
        <w:t xml:space="preserve">dhe </w:t>
      </w:r>
      <w:r w:rsidRPr="000D257F">
        <w:rPr>
          <w:rFonts w:ascii="StobiSerif Regular" w:hAnsi="StobiSerif Regular"/>
          <w:color w:val="000000"/>
          <w:sz w:val="22"/>
          <w:szCs w:val="22"/>
        </w:rPr>
        <w:t xml:space="preserve">në lidhje me </w:t>
      </w:r>
      <w:r w:rsidRPr="000D257F">
        <w:rPr>
          <w:rFonts w:ascii="StobiSerif Regular" w:hAnsi="StobiSerif Regular"/>
          <w:color w:val="000000"/>
          <w:sz w:val="22"/>
          <w:szCs w:val="22"/>
          <w:lang w:val="sq-AL"/>
        </w:rPr>
        <w:t>cil</w:t>
      </w:r>
      <w:r w:rsidRPr="000D257F">
        <w:rPr>
          <w:rFonts w:ascii="StobiSerif Regular" w:hAnsi="StobiSerif Regular" w:cs="Calibri"/>
          <w:color w:val="000000"/>
          <w:sz w:val="22"/>
          <w:szCs w:val="22"/>
          <w:lang w:val="sq-AL"/>
        </w:rPr>
        <w:t>ën do qoftë</w:t>
      </w:r>
      <w:r w:rsidRPr="000D257F">
        <w:rPr>
          <w:rFonts w:ascii="StobiSerif Regular" w:hAnsi="StobiSerif Regular"/>
          <w:color w:val="000000"/>
          <w:sz w:val="22"/>
          <w:szCs w:val="22"/>
        </w:rPr>
        <w:t xml:space="preserve"> masë për </w:t>
      </w:r>
      <w:r w:rsidRPr="000D257F">
        <w:rPr>
          <w:rFonts w:ascii="StobiSerif Regular" w:hAnsi="StobiSerif Regular"/>
          <w:color w:val="000000"/>
          <w:sz w:val="22"/>
          <w:szCs w:val="22"/>
          <w:lang w:val="sq-AL"/>
        </w:rPr>
        <w:t xml:space="preserve">implementimin </w:t>
      </w:r>
      <w:r w:rsidRPr="000D257F">
        <w:rPr>
          <w:rFonts w:ascii="StobiSerif Regular" w:hAnsi="StobiSerif Regular"/>
          <w:color w:val="000000"/>
          <w:sz w:val="22"/>
          <w:szCs w:val="22"/>
        </w:rPr>
        <w:t>e reformave dhe projekteve ose programeve investuese në kuadër të Agjendave Reform</w:t>
      </w:r>
      <w:r w:rsidRPr="000D257F">
        <w:rPr>
          <w:rFonts w:ascii="StobiSerif Regular" w:hAnsi="StobiSerif Regular"/>
          <w:color w:val="000000"/>
          <w:sz w:val="22"/>
          <w:szCs w:val="22"/>
          <w:lang w:val="sq-AL"/>
        </w:rPr>
        <w:t>uese</w:t>
      </w:r>
      <w:r w:rsidRPr="000D257F">
        <w:rPr>
          <w:rFonts w:ascii="StobiSerif Regular" w:hAnsi="StobiSerif Regular"/>
          <w:color w:val="000000"/>
          <w:sz w:val="22"/>
          <w:szCs w:val="22"/>
        </w:rPr>
        <w:t xml:space="preserve">; si dhe të ndërmarrë masa </w:t>
      </w:r>
      <w:r w:rsidRPr="000D257F">
        <w:rPr>
          <w:rFonts w:ascii="StobiSerif Regular" w:hAnsi="StobiSerif Regular"/>
          <w:color w:val="000000"/>
          <w:sz w:val="22"/>
          <w:szCs w:val="22"/>
          <w:lang w:val="sq-AL"/>
        </w:rPr>
        <w:t>përkatëse</w:t>
      </w:r>
      <w:r w:rsidRPr="000D257F">
        <w:rPr>
          <w:rFonts w:ascii="StobiSerif Regular" w:hAnsi="StobiSerif Regular"/>
          <w:color w:val="000000"/>
          <w:sz w:val="22"/>
          <w:szCs w:val="22"/>
        </w:rPr>
        <w:t xml:space="preserve"> për të vepruar ndaj kërkesave për ndihmë të ndërsjellë ligjore nga Prokuroria Publike Evropiane (EPPO) dhe </w:t>
      </w:r>
      <w:r w:rsidRPr="000D257F">
        <w:rPr>
          <w:rFonts w:ascii="StobiSerif Regular" w:hAnsi="StobiSerif Regular"/>
          <w:color w:val="000000"/>
          <w:sz w:val="22"/>
          <w:szCs w:val="22"/>
          <w:lang w:val="sq-AL"/>
        </w:rPr>
        <w:t>organet</w:t>
      </w:r>
      <w:r w:rsidRPr="000D257F">
        <w:rPr>
          <w:rFonts w:ascii="StobiSerif Regular" w:hAnsi="StobiSerif Regular"/>
          <w:color w:val="000000"/>
          <w:sz w:val="22"/>
          <w:szCs w:val="22"/>
        </w:rPr>
        <w:t xml:space="preserve"> kompetente të </w:t>
      </w:r>
      <w:r w:rsidRPr="000D257F">
        <w:rPr>
          <w:rFonts w:ascii="StobiSerif Regular" w:hAnsi="StobiSerif Regular"/>
          <w:color w:val="000000"/>
          <w:sz w:val="22"/>
          <w:szCs w:val="22"/>
          <w:lang w:val="sq-AL"/>
        </w:rPr>
        <w:t>vendev</w:t>
      </w:r>
      <w:r w:rsidRPr="000D257F">
        <w:rPr>
          <w:rFonts w:ascii="StobiSerif Regular" w:hAnsi="StobiSerif Regular"/>
          <w:color w:val="000000"/>
          <w:sz w:val="22"/>
          <w:szCs w:val="22"/>
        </w:rPr>
        <w:t xml:space="preserve">e anëtare, </w:t>
      </w:r>
      <w:r w:rsidRPr="000D257F">
        <w:rPr>
          <w:rFonts w:ascii="StobiSerif Regular" w:hAnsi="StobiSerif Regular"/>
          <w:color w:val="000000"/>
          <w:sz w:val="22"/>
          <w:szCs w:val="22"/>
          <w:lang w:val="sq-AL"/>
        </w:rPr>
        <w:t xml:space="preserve">në </w:t>
      </w:r>
      <w:r w:rsidRPr="000D257F">
        <w:rPr>
          <w:rFonts w:ascii="StobiSerif Regular" w:hAnsi="StobiSerif Regular"/>
          <w:color w:val="000000"/>
          <w:sz w:val="22"/>
          <w:szCs w:val="22"/>
        </w:rPr>
        <w:t>lidh</w:t>
      </w:r>
      <w:r w:rsidRPr="000D257F">
        <w:rPr>
          <w:rFonts w:ascii="StobiSerif Regular" w:hAnsi="StobiSerif Regular"/>
          <w:color w:val="000000"/>
          <w:sz w:val="22"/>
          <w:szCs w:val="22"/>
          <w:lang w:val="sq-AL"/>
        </w:rPr>
        <w:t>je</w:t>
      </w:r>
      <w:r w:rsidRPr="000D257F">
        <w:rPr>
          <w:rFonts w:ascii="StobiSerif Regular" w:hAnsi="StobiSerif Regular"/>
          <w:color w:val="000000"/>
          <w:sz w:val="22"/>
          <w:szCs w:val="22"/>
        </w:rPr>
        <w:t xml:space="preserve"> me veprat penale </w:t>
      </w:r>
      <w:r w:rsidRPr="000D257F">
        <w:rPr>
          <w:rFonts w:ascii="StobiSerif Regular" w:hAnsi="StobiSerif Regular"/>
          <w:color w:val="000000"/>
          <w:sz w:val="22"/>
          <w:szCs w:val="22"/>
          <w:lang w:val="sq-AL"/>
        </w:rPr>
        <w:t>t</w:t>
      </w:r>
      <w:r w:rsidRPr="000D257F">
        <w:rPr>
          <w:rFonts w:ascii="StobiSerif Regular" w:hAnsi="StobiSerif Regular"/>
          <w:color w:val="000000"/>
          <w:sz w:val="22"/>
          <w:szCs w:val="22"/>
        </w:rPr>
        <w:t>ë</w:t>
      </w:r>
      <w:r w:rsidRPr="000D257F">
        <w:rPr>
          <w:rFonts w:ascii="StobiSerif Regular" w:hAnsi="StobiSerif Regular"/>
          <w:color w:val="000000"/>
          <w:sz w:val="22"/>
          <w:szCs w:val="22"/>
          <w:lang w:val="sq-AL"/>
        </w:rPr>
        <w:t xml:space="preserve"> cilat ndikojnë në mjetet</w:t>
      </w:r>
      <w:r w:rsidRPr="000D257F">
        <w:rPr>
          <w:rFonts w:ascii="StobiSerif Regular" w:hAnsi="StobiSerif Regular"/>
          <w:color w:val="000000"/>
          <w:sz w:val="22"/>
          <w:szCs w:val="22"/>
        </w:rPr>
        <w:t xml:space="preserve"> në kuadër të Instrumentit, ku është e zbatueshme dhe pa vonesë</w:t>
      </w:r>
      <w:r w:rsidR="00C71B06" w:rsidRPr="000D257F">
        <w:rPr>
          <w:rFonts w:ascii="StobiSerif Regular" w:hAnsi="StobiSerif Regular"/>
          <w:color w:val="000000"/>
          <w:sz w:val="22"/>
          <w:szCs w:val="22"/>
        </w:rPr>
        <w:t>;</w:t>
      </w:r>
    </w:p>
    <w:p w14:paraId="6DE70C50" w14:textId="77777777" w:rsidR="00FA5650" w:rsidRPr="000D257F" w:rsidRDefault="00FA5650" w:rsidP="00FA5650">
      <w:pPr>
        <w:shd w:val="clear" w:color="auto" w:fill="FFFFFF"/>
        <w:spacing w:before="120" w:after="120"/>
        <w:jc w:val="both"/>
        <w:rPr>
          <w:rFonts w:ascii="StobiSerif Regular" w:hAnsi="StobiSerif Regular"/>
          <w:b/>
          <w:bCs/>
          <w:sz w:val="22"/>
          <w:szCs w:val="22"/>
        </w:rPr>
      </w:pPr>
      <w:r w:rsidRPr="000D257F">
        <w:rPr>
          <w:rFonts w:ascii="StobiSerif Regular" w:hAnsi="StobiSerif Regular"/>
          <w:b/>
          <w:bCs/>
          <w:sz w:val="22"/>
          <w:szCs w:val="22"/>
        </w:rPr>
        <w:t>Neni (25)(3) – Monitorimi dhe njoftimi</w:t>
      </w:r>
    </w:p>
    <w:p w14:paraId="0591CC5F" w14:textId="71D32DB0" w:rsidR="00C71B06" w:rsidRPr="000D257F" w:rsidRDefault="00C71B06" w:rsidP="00803AFB">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color w:val="000000"/>
          <w:sz w:val="22"/>
          <w:szCs w:val="22"/>
        </w:rPr>
        <w:t xml:space="preserve">3. </w:t>
      </w:r>
      <w:r w:rsidR="00FA5650" w:rsidRPr="000D257F">
        <w:rPr>
          <w:rFonts w:ascii="StobiSerif Regular" w:hAnsi="StobiSerif Regular"/>
          <w:sz w:val="22"/>
          <w:szCs w:val="22"/>
        </w:rPr>
        <w:t>Komisioni dorëzon raport vjetor deri te Parlamentit Evropian edhe deri te Këshilli për progresin në arritjen e objektivave të kësaj rregulloreje. Me atë raport vjetor gjithashtu shqyrtohen sinergjitë dhe plotësimet e Instrumentit me programet tjera të Unionit, veçanërisht me mbështetjen e siguruar në pajtim me Rregulloren (BE) 2021/1529, me qëllim që të shmanget dyfishimi i ndihmës dhe financimi i dyfishtë. Raporti vjetor plotësohet me prezantime mbi gjendjen e realizimit të Instrumentit, dy herë në vit.</w:t>
      </w:r>
    </w:p>
    <w:p w14:paraId="2B202665" w14:textId="77777777" w:rsidR="00FA5650" w:rsidRPr="000D257F" w:rsidRDefault="00FA5650" w:rsidP="00FA5650">
      <w:pPr>
        <w:shd w:val="clear" w:color="auto" w:fill="FFFFFF"/>
        <w:spacing w:before="120" w:after="120"/>
        <w:jc w:val="both"/>
        <w:rPr>
          <w:rFonts w:ascii="StobiSerif Regular" w:hAnsi="StobiSerif Regular"/>
          <w:b/>
          <w:bCs/>
          <w:sz w:val="22"/>
          <w:szCs w:val="22"/>
          <w:lang w:val="sq-AL"/>
        </w:rPr>
      </w:pPr>
      <w:r w:rsidRPr="000D257F">
        <w:rPr>
          <w:rFonts w:ascii="StobiSerif Regular" w:hAnsi="StobiSerif Regular"/>
          <w:b/>
          <w:bCs/>
          <w:sz w:val="22"/>
          <w:szCs w:val="22"/>
        </w:rPr>
        <w:t>Marrëveshja për Instrumentin</w:t>
      </w:r>
    </w:p>
    <w:p w14:paraId="6E932CE8" w14:textId="77777777" w:rsidR="00FA5650" w:rsidRPr="000D257F" w:rsidRDefault="00FA5650" w:rsidP="00FA5650">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b/>
          <w:color w:val="000000"/>
          <w:sz w:val="22"/>
          <w:szCs w:val="22"/>
          <w:lang w:val="sq-AL"/>
        </w:rPr>
        <w:t>Neni 14 – Rregulla për lirimin e mjeteve – pargrafi 10</w:t>
      </w:r>
    </w:p>
    <w:p w14:paraId="6B87A85E" w14:textId="15C57B6C" w:rsidR="00FA5650" w:rsidRPr="000D257F" w:rsidRDefault="00FA5650" w:rsidP="00FA5650">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sz w:val="22"/>
          <w:szCs w:val="22"/>
        </w:rPr>
        <w:t xml:space="preserve">Nëse është e përshtatshme, </w:t>
      </w:r>
      <w:r w:rsidRPr="000D257F">
        <w:rPr>
          <w:rFonts w:ascii="StobiSerif Regular" w:hAnsi="StobiSerif Regular"/>
          <w:sz w:val="22"/>
          <w:szCs w:val="22"/>
          <w:lang w:val="sq-AL"/>
        </w:rPr>
        <w:t>Shfrytëzuesi</w:t>
      </w:r>
      <w:r w:rsidRPr="000D257F">
        <w:rPr>
          <w:rFonts w:ascii="StobiSerif Regular" w:hAnsi="StobiSerif Regular"/>
          <w:sz w:val="22"/>
          <w:szCs w:val="22"/>
        </w:rPr>
        <w:t xml:space="preserve"> në kërkesën për lirimin e </w:t>
      </w:r>
      <w:r w:rsidRPr="000D257F">
        <w:rPr>
          <w:rFonts w:ascii="StobiSerif Regular" w:hAnsi="StobiSerif Regular"/>
          <w:sz w:val="22"/>
          <w:szCs w:val="22"/>
          <w:lang w:val="sq-AL"/>
        </w:rPr>
        <w:t>mjet</w:t>
      </w:r>
      <w:r w:rsidRPr="000D257F">
        <w:rPr>
          <w:rFonts w:ascii="StobiSerif Regular" w:hAnsi="StobiSerif Regular"/>
          <w:sz w:val="22"/>
          <w:szCs w:val="22"/>
        </w:rPr>
        <w:t xml:space="preserve">eve duhet të </w:t>
      </w:r>
      <w:r w:rsidRPr="000D257F">
        <w:rPr>
          <w:rFonts w:ascii="StobiSerif Regular" w:hAnsi="StobiSerif Regular"/>
          <w:sz w:val="22"/>
          <w:szCs w:val="22"/>
          <w:lang w:val="sq-AL"/>
        </w:rPr>
        <w:t>specifikojë</w:t>
      </w:r>
      <w:r w:rsidRPr="000D257F">
        <w:rPr>
          <w:rFonts w:ascii="StobiSerif Regular" w:hAnsi="StobiSerif Regular"/>
          <w:sz w:val="22"/>
          <w:szCs w:val="22"/>
        </w:rPr>
        <w:t xml:space="preserve"> nëse disa hapa cilësorë dhe sasior</w:t>
      </w:r>
      <w:r w:rsidRPr="000D257F">
        <w:rPr>
          <w:rFonts w:ascii="StobiSerif Regular" w:hAnsi="StobiSerif Regular"/>
          <w:sz w:val="22"/>
          <w:szCs w:val="22"/>
          <w:lang w:val="sq-AL"/>
        </w:rPr>
        <w:t>ë</w:t>
      </w:r>
      <w:r w:rsidRPr="000D257F">
        <w:rPr>
          <w:rFonts w:ascii="StobiSerif Regular" w:hAnsi="StobiSerif Regular"/>
          <w:sz w:val="22"/>
          <w:szCs w:val="22"/>
        </w:rPr>
        <w:t xml:space="preserve"> kanë marrë mbështetje dhe financim, duke përfshirë edhe shumën përkatëse, nga programe dhe instrumente të tjera të </w:t>
      </w:r>
      <w:r w:rsidRPr="000D257F">
        <w:rPr>
          <w:rFonts w:ascii="StobiSerif Regular" w:hAnsi="StobiSerif Regular"/>
          <w:sz w:val="22"/>
          <w:szCs w:val="22"/>
          <w:lang w:val="sq-AL"/>
        </w:rPr>
        <w:t>Unionit</w:t>
      </w:r>
      <w:r w:rsidRPr="000D257F">
        <w:rPr>
          <w:rFonts w:ascii="StobiSerif Regular" w:hAnsi="StobiSerif Regular"/>
          <w:sz w:val="22"/>
          <w:szCs w:val="22"/>
        </w:rPr>
        <w:t xml:space="preserve"> ose nga programe </w:t>
      </w:r>
      <w:r w:rsidRPr="000D257F">
        <w:rPr>
          <w:rFonts w:ascii="StobiSerif Regular" w:hAnsi="StobiSerif Regular"/>
          <w:sz w:val="22"/>
          <w:szCs w:val="22"/>
          <w:lang w:val="sq-AL"/>
        </w:rPr>
        <w:t>prej</w:t>
      </w:r>
      <w:r w:rsidRPr="000D257F">
        <w:rPr>
          <w:rFonts w:ascii="StobiSerif Regular" w:hAnsi="StobiSerif Regular"/>
          <w:sz w:val="22"/>
          <w:szCs w:val="22"/>
        </w:rPr>
        <w:t xml:space="preserve"> donatorëve të tjerë, dhe t</w:t>
      </w:r>
      <w:r w:rsidRPr="000D257F">
        <w:rPr>
          <w:rFonts w:ascii="StobiSerif Regular" w:hAnsi="StobiSerif Regular"/>
          <w:sz w:val="22"/>
          <w:szCs w:val="22"/>
          <w:lang w:val="sq-AL"/>
        </w:rPr>
        <w:t xml:space="preserve">’i </w:t>
      </w:r>
      <w:r w:rsidRPr="000D257F">
        <w:rPr>
          <w:rFonts w:ascii="StobiSerif Regular" w:hAnsi="StobiSerif Regular"/>
          <w:sz w:val="22"/>
          <w:szCs w:val="22"/>
        </w:rPr>
        <w:t>shpjegojë mekanizmat që janë vendosur</w:t>
      </w:r>
      <w:r w:rsidRPr="000D257F">
        <w:rPr>
          <w:rFonts w:ascii="StobiSerif Regular" w:hAnsi="StobiSerif Regular"/>
          <w:sz w:val="22"/>
          <w:szCs w:val="22"/>
          <w:lang w:val="sq-AL"/>
        </w:rPr>
        <w:t xml:space="preserve"> me qëllim q</w:t>
      </w:r>
      <w:r w:rsidRPr="000D257F">
        <w:rPr>
          <w:rFonts w:ascii="StobiSerif Regular" w:hAnsi="StobiSerif Regular"/>
          <w:sz w:val="22"/>
          <w:szCs w:val="22"/>
        </w:rPr>
        <w:t>ë të shmang</w:t>
      </w:r>
      <w:r w:rsidRPr="000D257F">
        <w:rPr>
          <w:rFonts w:ascii="StobiSerif Regular" w:hAnsi="StobiSerif Regular"/>
          <w:sz w:val="22"/>
          <w:szCs w:val="22"/>
          <w:lang w:val="sq-AL"/>
        </w:rPr>
        <w:t>et</w:t>
      </w:r>
      <w:r w:rsidRPr="000D257F">
        <w:rPr>
          <w:rFonts w:ascii="StobiSerif Regular" w:hAnsi="StobiSerif Regular"/>
          <w:sz w:val="22"/>
          <w:szCs w:val="22"/>
        </w:rPr>
        <w:t xml:space="preserve"> financimi </w:t>
      </w:r>
      <w:r w:rsidRPr="000D257F">
        <w:rPr>
          <w:rFonts w:ascii="StobiSerif Regular" w:hAnsi="StobiSerif Regular"/>
          <w:sz w:val="22"/>
          <w:szCs w:val="22"/>
          <w:lang w:val="sq-AL"/>
        </w:rPr>
        <w:t>i</w:t>
      </w:r>
      <w:r w:rsidRPr="000D257F">
        <w:rPr>
          <w:rFonts w:ascii="StobiSerif Regular" w:hAnsi="StobiSerif Regular"/>
          <w:sz w:val="22"/>
          <w:szCs w:val="22"/>
        </w:rPr>
        <w:t xml:space="preserve"> dyfishtë</w:t>
      </w:r>
      <w:r w:rsidRPr="000D257F">
        <w:rPr>
          <w:rFonts w:ascii="StobiSerif Regular" w:hAnsi="StobiSerif Regular"/>
          <w:sz w:val="22"/>
          <w:szCs w:val="22"/>
          <w:lang w:val="sq-AL"/>
        </w:rPr>
        <w:t>.</w:t>
      </w:r>
    </w:p>
    <w:p w14:paraId="290BA395" w14:textId="23E92D50" w:rsidR="00C71B06" w:rsidRPr="000D257F" w:rsidRDefault="00C71B06" w:rsidP="00803AFB">
      <w:pPr>
        <w:shd w:val="clear" w:color="auto" w:fill="FFFFFF"/>
        <w:spacing w:before="120" w:after="120"/>
        <w:jc w:val="both"/>
        <w:rPr>
          <w:rFonts w:ascii="StobiSerif Regular" w:hAnsi="StobiSerif Regular"/>
          <w:sz w:val="22"/>
          <w:szCs w:val="22"/>
          <w:lang w:val="sq-AL"/>
        </w:rPr>
      </w:pPr>
    </w:p>
    <w:p w14:paraId="347208B9" w14:textId="77777777" w:rsidR="00FA5650" w:rsidRPr="000D257F" w:rsidRDefault="00FA5650" w:rsidP="00FA5650">
      <w:pPr>
        <w:shd w:val="clear" w:color="auto" w:fill="FFFFFF"/>
        <w:spacing w:before="120" w:after="120"/>
        <w:ind w:left="284" w:hanging="284"/>
        <w:jc w:val="both"/>
        <w:rPr>
          <w:rFonts w:ascii="StobiSerif Regular" w:hAnsi="StobiSerif Regular"/>
          <w:b/>
          <w:color w:val="000000"/>
          <w:sz w:val="22"/>
          <w:szCs w:val="22"/>
          <w:lang w:val="sq-AL"/>
        </w:rPr>
      </w:pPr>
    </w:p>
    <w:p w14:paraId="7890C2E5" w14:textId="4A9E42B5" w:rsidR="00FA5650" w:rsidRPr="000D257F" w:rsidRDefault="00FA5650" w:rsidP="00FA5650">
      <w:pPr>
        <w:shd w:val="clear" w:color="auto" w:fill="FFFFFF"/>
        <w:spacing w:before="120" w:after="120"/>
        <w:ind w:left="284" w:hanging="284"/>
        <w:jc w:val="both"/>
        <w:rPr>
          <w:rFonts w:ascii="StobiSerif Regular" w:hAnsi="StobiSerif Regular"/>
          <w:b/>
          <w:bCs/>
          <w:sz w:val="22"/>
          <w:szCs w:val="22"/>
          <w:lang w:val="sq-AL"/>
        </w:rPr>
      </w:pPr>
      <w:r w:rsidRPr="000D257F">
        <w:rPr>
          <w:rFonts w:ascii="StobiSerif Regular" w:hAnsi="StobiSerif Regular"/>
          <w:b/>
          <w:bCs/>
          <w:sz w:val="22"/>
          <w:szCs w:val="22"/>
        </w:rPr>
        <w:t xml:space="preserve">Dispozita nga Kushtet e </w:t>
      </w:r>
      <w:r w:rsidRPr="000D257F">
        <w:rPr>
          <w:rFonts w:ascii="StobiSerif Regular" w:hAnsi="StobiSerif Regular"/>
          <w:b/>
          <w:bCs/>
          <w:sz w:val="22"/>
          <w:szCs w:val="22"/>
          <w:lang w:val="sq-AL"/>
        </w:rPr>
        <w:t>p</w:t>
      </w:r>
      <w:r w:rsidRPr="000D257F">
        <w:rPr>
          <w:rFonts w:ascii="StobiSerif Regular" w:hAnsi="StobiSerif Regular"/>
          <w:b/>
          <w:bCs/>
          <w:sz w:val="22"/>
          <w:szCs w:val="22"/>
        </w:rPr>
        <w:t>ërgjithshme të BEF</w:t>
      </w:r>
      <w:r w:rsidRPr="000D257F">
        <w:rPr>
          <w:rFonts w:ascii="StobiSerif Regular" w:hAnsi="StobiSerif Regular"/>
          <w:b/>
          <w:bCs/>
          <w:sz w:val="22"/>
          <w:szCs w:val="22"/>
          <w:lang w:val="sq-AL"/>
        </w:rPr>
        <w:t>BP</w:t>
      </w:r>
      <w:r w:rsidRPr="000D257F">
        <w:rPr>
          <w:rFonts w:ascii="StobiSerif Regular" w:hAnsi="StobiSerif Regular"/>
          <w:b/>
          <w:bCs/>
          <w:sz w:val="22"/>
          <w:szCs w:val="22"/>
        </w:rPr>
        <w:t>-së, për vlerësimin e investimeve</w:t>
      </w:r>
      <w:r w:rsidRPr="000D257F">
        <w:rPr>
          <w:rFonts w:ascii="StobiSerif Regular" w:hAnsi="StobiSerif Regular"/>
          <w:b/>
          <w:bCs/>
          <w:sz w:val="22"/>
          <w:szCs w:val="22"/>
          <w:lang w:val="sq-AL"/>
        </w:rPr>
        <w:t xml:space="preserve"> </w:t>
      </w:r>
      <w:r w:rsidRPr="000D257F">
        <w:rPr>
          <w:rFonts w:ascii="StobiSerif Regular" w:hAnsi="StobiSerif Regular"/>
          <w:b/>
          <w:bCs/>
          <w:sz w:val="22"/>
          <w:szCs w:val="22"/>
        </w:rPr>
        <w:t xml:space="preserve">individuale </w:t>
      </w:r>
      <w:r w:rsidRPr="000D257F">
        <w:rPr>
          <w:rFonts w:ascii="StobiSerif Regular" w:hAnsi="StobiSerif Regular"/>
          <w:b/>
          <w:bCs/>
          <w:sz w:val="22"/>
          <w:szCs w:val="22"/>
          <w:lang w:val="sq-AL"/>
        </w:rPr>
        <w:t>nga ana e</w:t>
      </w:r>
      <w:r w:rsidRPr="000D257F">
        <w:rPr>
          <w:rFonts w:ascii="StobiSerif Regular" w:hAnsi="StobiSerif Regular"/>
          <w:b/>
          <w:bCs/>
          <w:sz w:val="22"/>
          <w:szCs w:val="22"/>
        </w:rPr>
        <w:t xml:space="preserve"> Bordi</w:t>
      </w:r>
      <w:r w:rsidRPr="000D257F">
        <w:rPr>
          <w:rFonts w:ascii="StobiSerif Regular" w:hAnsi="StobiSerif Regular"/>
          <w:b/>
          <w:bCs/>
          <w:sz w:val="22"/>
          <w:szCs w:val="22"/>
          <w:lang w:val="sq-AL"/>
        </w:rPr>
        <w:t>t të</w:t>
      </w:r>
      <w:r w:rsidRPr="000D257F">
        <w:rPr>
          <w:rFonts w:ascii="StobiSerif Regular" w:hAnsi="StobiSerif Regular"/>
          <w:b/>
          <w:bCs/>
          <w:sz w:val="22"/>
          <w:szCs w:val="22"/>
        </w:rPr>
        <w:t xml:space="preserve"> IRB</w:t>
      </w:r>
      <w:r w:rsidRPr="000D257F">
        <w:rPr>
          <w:rFonts w:ascii="StobiSerif Regular" w:hAnsi="StobiSerif Regular"/>
          <w:b/>
          <w:bCs/>
          <w:sz w:val="22"/>
          <w:szCs w:val="22"/>
          <w:lang w:val="sq-AL"/>
        </w:rPr>
        <w:t>P</w:t>
      </w:r>
      <w:r w:rsidRPr="000D257F">
        <w:rPr>
          <w:rFonts w:ascii="StobiSerif Regular" w:hAnsi="StobiSerif Regular"/>
          <w:b/>
          <w:bCs/>
          <w:sz w:val="22"/>
          <w:szCs w:val="22"/>
        </w:rPr>
        <w:t>-së</w:t>
      </w:r>
      <w:r w:rsidRPr="000D257F">
        <w:rPr>
          <w:rFonts w:ascii="StobiSerif Regular" w:hAnsi="StobiSerif Regular"/>
          <w:b/>
          <w:bCs/>
          <w:sz w:val="22"/>
          <w:szCs w:val="22"/>
          <w:lang w:val="sq-AL"/>
        </w:rPr>
        <w:t>:</w:t>
      </w:r>
    </w:p>
    <w:p w14:paraId="6491BBBB" w14:textId="77777777" w:rsidR="00FA5650" w:rsidRPr="000D257F" w:rsidRDefault="00FA5650" w:rsidP="00FA5650">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b/>
          <w:color w:val="000000"/>
          <w:sz w:val="22"/>
          <w:szCs w:val="22"/>
          <w:lang w:val="sq-AL"/>
        </w:rPr>
        <w:t>Neni 3.01 (v)</w:t>
      </w:r>
    </w:p>
    <w:p w14:paraId="45DBEE8B" w14:textId="77777777" w:rsidR="00FA5650" w:rsidRPr="000D257F" w:rsidRDefault="00FA5650" w:rsidP="00FA5650">
      <w:pPr>
        <w:shd w:val="clear" w:color="auto" w:fill="FFFFFF"/>
        <w:spacing w:before="120" w:after="120"/>
        <w:jc w:val="both"/>
        <w:rPr>
          <w:rFonts w:ascii="StobiSerif Regular" w:hAnsi="StobiSerif Regular"/>
          <w:sz w:val="22"/>
          <w:szCs w:val="22"/>
          <w:lang w:val="sq-AL"/>
        </w:rPr>
      </w:pPr>
      <w:r w:rsidRPr="000D257F">
        <w:rPr>
          <w:rFonts w:ascii="StobiSerif Regular" w:hAnsi="StobiSerif Regular"/>
          <w:sz w:val="22"/>
          <w:szCs w:val="22"/>
        </w:rPr>
        <w:t>Bordi Operativ i IRB</w:t>
      </w:r>
      <w:r w:rsidRPr="000D257F">
        <w:rPr>
          <w:rFonts w:ascii="StobiSerif Regular" w:hAnsi="StobiSerif Regular"/>
          <w:sz w:val="22"/>
          <w:szCs w:val="22"/>
          <w:lang w:val="sq-AL"/>
        </w:rPr>
        <w:t>P</w:t>
      </w:r>
      <w:r w:rsidRPr="000D257F">
        <w:rPr>
          <w:rFonts w:ascii="StobiSerif Regular" w:hAnsi="StobiSerif Regular"/>
          <w:sz w:val="22"/>
          <w:szCs w:val="22"/>
        </w:rPr>
        <w:t>-së do të përzgjedhë veprimet që janë të përshtatshme për mbështetje përmes</w:t>
      </w:r>
      <w:r w:rsidRPr="000D257F">
        <w:rPr>
          <w:rFonts w:ascii="StobiSerif Regular" w:hAnsi="StobiSerif Regular"/>
          <w:sz w:val="22"/>
          <w:szCs w:val="22"/>
          <w:lang w:val="sq-AL"/>
        </w:rPr>
        <w:t xml:space="preserve"> një</w:t>
      </w:r>
      <w:r w:rsidRPr="000D257F">
        <w:rPr>
          <w:rFonts w:ascii="StobiSerif Regular" w:hAnsi="StobiSerif Regular"/>
          <w:sz w:val="22"/>
          <w:szCs w:val="22"/>
        </w:rPr>
        <w:t xml:space="preserve"> granti në kuadër të IRB</w:t>
      </w:r>
      <w:r w:rsidRPr="000D257F">
        <w:rPr>
          <w:rFonts w:ascii="StobiSerif Regular" w:hAnsi="StobiSerif Regular"/>
          <w:sz w:val="22"/>
          <w:szCs w:val="22"/>
          <w:lang w:val="sq-AL"/>
        </w:rPr>
        <w:t>P</w:t>
      </w:r>
      <w:r w:rsidRPr="000D257F">
        <w:rPr>
          <w:rFonts w:ascii="StobiSerif Regular" w:hAnsi="StobiSerif Regular"/>
          <w:sz w:val="22"/>
          <w:szCs w:val="22"/>
        </w:rPr>
        <w:t>-së. Më pas, ose, nëse është e përshtatshme, njëkohësisht me përzgjedhjen e këtyre veprimeve nga Bordi Operativ i IRBP-së, Kuvendi i kontribuesve do të sjell vendim, në pajtim me procedurat për sjelljen e vendimeve të përcaktuara në paragrafin 3.02 ose (s), (sipas zbatimit) sipas rastit, nëse mjetet e Fondit do të shfrytëzohen</w:t>
      </w:r>
      <w:r w:rsidRPr="000D257F">
        <w:rPr>
          <w:rFonts w:ascii="StobiSerif Regular" w:hAnsi="StobiSerif Regular"/>
          <w:sz w:val="22"/>
          <w:szCs w:val="22"/>
          <w:lang w:val="sq-AL"/>
        </w:rPr>
        <w:t xml:space="preserve"> </w:t>
      </w:r>
      <w:r w:rsidRPr="000D257F">
        <w:rPr>
          <w:rFonts w:ascii="StobiSerif Regular" w:hAnsi="StobiSerif Regular"/>
          <w:sz w:val="22"/>
          <w:szCs w:val="22"/>
        </w:rPr>
        <w:t>për financimin e këtyre veprimeve</w:t>
      </w:r>
      <w:r w:rsidRPr="000D257F">
        <w:rPr>
          <w:rFonts w:ascii="StobiSerif Regular" w:hAnsi="StobiSerif Regular"/>
          <w:sz w:val="22"/>
          <w:szCs w:val="22"/>
          <w:lang w:val="sq-AL"/>
        </w:rPr>
        <w:t>.</w:t>
      </w:r>
    </w:p>
    <w:p w14:paraId="563CE101" w14:textId="77777777" w:rsidR="00FA5650" w:rsidRPr="000D257F" w:rsidRDefault="00FA5650" w:rsidP="002E69E5">
      <w:pPr>
        <w:shd w:val="clear" w:color="auto" w:fill="FFFFFF"/>
        <w:spacing w:before="120" w:after="120"/>
        <w:ind w:left="284" w:hanging="284"/>
        <w:jc w:val="both"/>
        <w:rPr>
          <w:rFonts w:ascii="StobiSerif Regular" w:hAnsi="StobiSerif Regular"/>
          <w:sz w:val="22"/>
          <w:szCs w:val="22"/>
          <w:lang w:val="sq-AL"/>
        </w:rPr>
      </w:pPr>
    </w:p>
    <w:p w14:paraId="43DE42DC" w14:textId="67DDFF76" w:rsidR="00C71B06" w:rsidRPr="000D257F" w:rsidRDefault="00C71B06" w:rsidP="00803AFB">
      <w:pPr>
        <w:shd w:val="clear" w:color="auto" w:fill="FFFFFF"/>
        <w:spacing w:before="120" w:after="120"/>
        <w:jc w:val="both"/>
        <w:rPr>
          <w:rFonts w:ascii="StobiSerif Regular" w:hAnsi="StobiSerif Regular"/>
          <w:sz w:val="22"/>
          <w:szCs w:val="22"/>
        </w:rPr>
      </w:pPr>
    </w:p>
    <w:sectPr w:rsidR="00C71B06" w:rsidRPr="000D257F">
      <w:type w:val="continuous"/>
      <w:pgSz w:w="11909"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45A9" w14:textId="77777777" w:rsidR="00726B0B" w:rsidRDefault="00726B0B" w:rsidP="00C71B06">
      <w:r>
        <w:separator/>
      </w:r>
    </w:p>
  </w:endnote>
  <w:endnote w:type="continuationSeparator" w:id="0">
    <w:p w14:paraId="3701AE72" w14:textId="77777777" w:rsidR="00726B0B" w:rsidRDefault="00726B0B" w:rsidP="00C7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STobiiserif 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58D2" w14:textId="77777777" w:rsidR="00726B0B" w:rsidRDefault="00726B0B" w:rsidP="00C71B06">
      <w:r>
        <w:separator/>
      </w:r>
    </w:p>
  </w:footnote>
  <w:footnote w:type="continuationSeparator" w:id="0">
    <w:p w14:paraId="167A1BD6" w14:textId="77777777" w:rsidR="00726B0B" w:rsidRDefault="00726B0B" w:rsidP="00C71B06">
      <w:r>
        <w:continuationSeparator/>
      </w:r>
    </w:p>
  </w:footnote>
  <w:footnote w:id="1">
    <w:p w14:paraId="0E53F98C" w14:textId="5F7293A1" w:rsidR="009F592F" w:rsidRPr="00B56C97" w:rsidRDefault="009F592F" w:rsidP="009F592F">
      <w:pPr>
        <w:pStyle w:val="FootnoteText"/>
        <w:jc w:val="both"/>
      </w:pPr>
      <w:r>
        <w:rPr>
          <w:rStyle w:val="FootnoteReference"/>
        </w:rPr>
        <w:footnoteRef/>
      </w:r>
      <w:r>
        <w:t xml:space="preserve"> </w:t>
      </w:r>
      <w:r w:rsidR="00153BED" w:rsidRPr="00153BED">
        <w:t xml:space="preserve">Për shembull, nëse hapi thotë "100 kompjuterë janë siguruar për shkollat në rajonin Y", por Komisioni konstaton se 30 kompjuterë janë dhuruar nga donator tjetër, atëherë Komisioni do të numërojë vetëm 70 kompjuterë në rezultatin përfundimtar. Ky rezultat do të ketë </w:t>
      </w:r>
      <w:r w:rsidR="00153BED">
        <w:rPr>
          <w:lang w:val="sq-AL"/>
        </w:rPr>
        <w:t>normë</w:t>
      </w:r>
      <w:r w:rsidR="00153BED" w:rsidRPr="00153BED">
        <w:t xml:space="preserve"> harmonizimi prej 70% dhe në pajtim me dispozitat për pagesa të pjesshme të Marrëveshjes për Instrumentin, Komisioni do të propozojë pagesën e </w:t>
      </w:r>
      <w:r w:rsidR="00153BED">
        <w:rPr>
          <w:lang w:val="sq-AL"/>
        </w:rPr>
        <w:t>vlerës</w:t>
      </w:r>
      <w:r w:rsidR="00153BED" w:rsidRPr="00153BED">
        <w:t xml:space="preserve"> së pjesshme ose 50% të vlerës së ndarë për hapin konkret. Rast tjetër do të ishte nëqoftëse shfrytëzuesi porosit</w:t>
      </w:r>
      <w:r w:rsidR="00826B74">
        <w:rPr>
          <w:lang w:val="sq-AL"/>
        </w:rPr>
        <w:t>ë</w:t>
      </w:r>
      <w:r w:rsidR="00153BED" w:rsidRPr="00153BED">
        <w:t xml:space="preserve"> 100 kompjuterë, gjërsa donator tjetër dhuron 20 kompjuterë. Komisioni në vlerësimin e tij do t'i numërojë ata 100 kompjuterë në rezultatin përfundimtar dhe do ta konsiderojë hapin të ketë </w:t>
      </w:r>
      <w:r w:rsidR="00153BED">
        <w:rPr>
          <w:lang w:val="sq-AL"/>
        </w:rPr>
        <w:t>normë</w:t>
      </w:r>
      <w:r w:rsidR="00153BED" w:rsidRPr="00153BED">
        <w:t xml:space="preserve"> harmonzimi prej 100% dhe do të paguajë 100% të </w:t>
      </w:r>
      <w:r w:rsidR="00826B74">
        <w:rPr>
          <w:lang w:val="sq-AL"/>
        </w:rPr>
        <w:t>vlerës së ndarë për</w:t>
      </w:r>
      <w:r w:rsidR="00153BED" w:rsidRPr="00153BED">
        <w:t xml:space="preserve"> për hapin konkret</w:t>
      </w:r>
      <w:r w:rsidRPr="00B56C97">
        <w:t>.</w:t>
      </w:r>
    </w:p>
  </w:footnote>
  <w:footnote w:id="2">
    <w:p w14:paraId="4699176C" w14:textId="2A942AC1" w:rsidR="009F592F" w:rsidRPr="009F592F" w:rsidRDefault="009F592F" w:rsidP="009F592F">
      <w:pPr>
        <w:pStyle w:val="FootnoteText"/>
        <w:jc w:val="both"/>
      </w:pPr>
      <w:r>
        <w:rPr>
          <w:rStyle w:val="FootnoteReference"/>
        </w:rPr>
        <w:footnoteRef/>
      </w:r>
      <w:r>
        <w:t xml:space="preserve"> </w:t>
      </w:r>
      <w:r w:rsidR="0036639A">
        <w:rPr>
          <w:lang w:val="sq-AL"/>
        </w:rPr>
        <w:t>Neni</w:t>
      </w:r>
      <w:r>
        <w:t xml:space="preserve"> 23(2)(</w:t>
      </w:r>
      <w:r w:rsidR="0036639A">
        <w:rPr>
          <w:lang w:val="sq-AL"/>
        </w:rPr>
        <w:t>v</w:t>
      </w:r>
      <w:r>
        <w:t xml:space="preserve">) – </w:t>
      </w:r>
      <w:r w:rsidR="0036639A">
        <w:rPr>
          <w:lang w:val="sq-AL"/>
        </w:rPr>
        <w:t xml:space="preserve">Mbrojtja e interesave financiare të Unionit Evropian </w:t>
      </w:r>
      <w:r>
        <w:t>(</w:t>
      </w:r>
      <w:r w:rsidR="0036639A">
        <w:rPr>
          <w:lang w:val="sq-AL"/>
        </w:rPr>
        <w:t xml:space="preserve"> gjithashtu e shënuar në nenin </w:t>
      </w:r>
      <w:r>
        <w:t xml:space="preserve">9 </w:t>
      </w:r>
      <w:r w:rsidR="0036639A">
        <w:rPr>
          <w:lang w:val="sq-AL"/>
        </w:rPr>
        <w:t xml:space="preserve">dhe nenin </w:t>
      </w:r>
      <w:r>
        <w:t>14(10)</w:t>
      </w:r>
      <w:r w:rsidR="0036639A">
        <w:rPr>
          <w:lang w:val="sq-AL"/>
        </w:rPr>
        <w:t xml:space="preserve"> dhe</w:t>
      </w:r>
      <w:r>
        <w:t xml:space="preserve"> (12)</w:t>
      </w:r>
      <w:r w:rsidR="0036639A">
        <w:rPr>
          <w:lang w:val="sq-AL"/>
        </w:rPr>
        <w:t xml:space="preserve"> të Marrëveshjes për Instrumentin</w:t>
      </w:r>
      <w:r>
        <w:t>)</w:t>
      </w:r>
    </w:p>
  </w:footnote>
  <w:footnote w:id="3">
    <w:p w14:paraId="3FA68E24" w14:textId="73868DFE" w:rsidR="00A27820" w:rsidRPr="00A27820" w:rsidRDefault="00A27820" w:rsidP="00A27820">
      <w:pPr>
        <w:pStyle w:val="FootnoteText"/>
        <w:jc w:val="both"/>
        <w:rPr>
          <w:rFonts w:ascii="STobiiserif regular" w:hAnsi="STobiiserif regular"/>
        </w:rPr>
      </w:pPr>
      <w:r w:rsidRPr="00A27820">
        <w:rPr>
          <w:rStyle w:val="FootnoteReference"/>
          <w:rFonts w:ascii="STobiiserif regular" w:hAnsi="STobiiserif regular"/>
        </w:rPr>
        <w:footnoteRef/>
      </w:r>
      <w:r w:rsidRPr="00A27820">
        <w:rPr>
          <w:rFonts w:ascii="STobiiserif regular" w:hAnsi="STobiiserif regular"/>
        </w:rPr>
        <w:t xml:space="preserve"> </w:t>
      </w:r>
      <w:r w:rsidRPr="00D816FB">
        <w:rPr>
          <w:rFonts w:ascii="STobiiserif regular" w:hAnsi="STobiiserif regular"/>
          <w:sz w:val="22"/>
          <w:szCs w:val="22"/>
        </w:rPr>
        <w:t>Interpretimi do të varet nga mënyra se si është definuar termi „operativ“(ose „themeluar“) në AR. Nëse termi „operativ“ interpretohet si kornizë ligjore dhe rregullatore (ligj, mandat, buxhet, etj.) dhe burime fizike (ndërtesa, pajisje IT, etj.), atëherë ndihma komplementare nuk mund të zëvendësojë rolin e organeve, dhe nga këtu edhe rreziku nga financimi i dyfishtë është i vogël, sepse kjo ndihmë nuk përkon në mënyrë të konsiderueshme me punën e administrates nacionale.</w:t>
      </w:r>
    </w:p>
    <w:p w14:paraId="73A7C986" w14:textId="77777777" w:rsidR="00A27820" w:rsidRPr="009F592F" w:rsidRDefault="00A27820" w:rsidP="00A27820">
      <w:pPr>
        <w:pStyle w:val="FootnoteText"/>
        <w:jc w:val="both"/>
      </w:pPr>
      <w:r w:rsidRPr="00D816FB">
        <w:t>.</w:t>
      </w:r>
      <w:r w:rsidRPr="009C3FB5">
        <w:rPr>
          <w:color w:val="000000"/>
          <w:sz w:val="22"/>
        </w:rPr>
        <w:t xml:space="preserve"> </w:t>
      </w:r>
    </w:p>
  </w:footnote>
  <w:footnote w:id="4">
    <w:p w14:paraId="609604C8" w14:textId="6097CCC9" w:rsidR="00AB15B4" w:rsidRPr="00D816FB" w:rsidRDefault="00AB15B4" w:rsidP="0068048D">
      <w:pPr>
        <w:pStyle w:val="FootnoteText"/>
        <w:tabs>
          <w:tab w:val="left" w:pos="284"/>
        </w:tabs>
        <w:jc w:val="both"/>
        <w:rPr>
          <w:lang w:val="sq-AL"/>
        </w:rPr>
      </w:pPr>
      <w:r>
        <w:rPr>
          <w:rStyle w:val="FootnoteReference"/>
        </w:rPr>
        <w:footnoteRef/>
      </w:r>
      <w:r>
        <w:tab/>
      </w:r>
      <w:r w:rsidR="00D816FB" w:rsidRPr="00D816FB">
        <w:t>Në këtë shembull, termat “formimi” ose “operativi” nënkuptojnë ndërtimin ose rikonstruimi i QATP-së – se çfarë përfshin saktësisht ky hap duhet të kuptohet nga përshkrimi i hapit në Agjendën reformuese.</w:t>
      </w:r>
    </w:p>
  </w:footnote>
  <w:footnote w:id="5">
    <w:p w14:paraId="76424C30" w14:textId="716A398C" w:rsidR="00847C44" w:rsidRPr="000D257F" w:rsidRDefault="00847C44" w:rsidP="00847C44">
      <w:pPr>
        <w:pStyle w:val="FootnoteText"/>
        <w:tabs>
          <w:tab w:val="left" w:pos="284"/>
        </w:tabs>
        <w:jc w:val="both"/>
        <w:rPr>
          <w:lang w:val="en-GB"/>
        </w:rPr>
      </w:pPr>
      <w:r>
        <w:rPr>
          <w:rStyle w:val="FootnoteReference"/>
        </w:rPr>
        <w:footnoteRef/>
      </w:r>
      <w:r>
        <w:tab/>
      </w:r>
      <w:r w:rsidR="0096200C" w:rsidRPr="0096200C">
        <w:t>I atribuohet në masën më të madhe' në këtë kontekst do të thotë që QATP-së e cila është shënuarsi rezultat në këtë hap të veçantë është ndërtuar plotësisht ose rinovuar plotësisht nga donator paralel i BE-së / donator tjetër ose tanimë është shënuar si rezultat në kuadër të  programit tjetër të BE-së (p.sh. program për mbështetje buxhetor qëllimi i së cilës ishte ndërtimi i  QATP-së, ndërsa e njëjta QATP është shënuar edhe aty  por edhe në hapin konkret nga ky shembull).</w:t>
      </w:r>
    </w:p>
  </w:footnote>
  <w:footnote w:id="6">
    <w:p w14:paraId="4AD9A23C" w14:textId="77777777" w:rsidR="00FA5650" w:rsidRPr="00B40F9D" w:rsidRDefault="0068048D" w:rsidP="00FA5650">
      <w:pPr>
        <w:pStyle w:val="FootnoteText"/>
        <w:tabs>
          <w:tab w:val="left" w:pos="284"/>
        </w:tabs>
        <w:jc w:val="both"/>
      </w:pPr>
      <w:r>
        <w:rPr>
          <w:rStyle w:val="FootnoteReference"/>
        </w:rPr>
        <w:footnoteRef/>
      </w:r>
      <w:r>
        <w:tab/>
      </w:r>
      <w:r w:rsidR="00FA5650" w:rsidRPr="00FA5650">
        <w:t xml:space="preserve">Në </w:t>
      </w:r>
      <w:r w:rsidR="00FA5650" w:rsidRPr="00FA5650">
        <w:t>praktikë, pjesa e disbursimeve të kredisë që i është caktuar IRB</w:t>
      </w:r>
      <w:r w:rsidR="00FA5650" w:rsidRPr="00B40F9D">
        <w:t>P</w:t>
      </w:r>
      <w:r w:rsidR="00FA5650" w:rsidRPr="00FA5650">
        <w:t xml:space="preserve">-së do t’i paguhet </w:t>
      </w:r>
      <w:r w:rsidR="00FA5650" w:rsidRPr="00B40F9D">
        <w:t>Shfrytëzuesit</w:t>
      </w:r>
      <w:r w:rsidR="00FA5650" w:rsidRPr="00FA5650">
        <w:t>, i cili ka detyrimin t’i derdhë ato në BEFZH</w:t>
      </w:r>
      <w:r w:rsidR="00FA5650" w:rsidRPr="00B40F9D">
        <w:t>BP-ë</w:t>
      </w:r>
      <w:r w:rsidR="00FA5650" w:rsidRPr="00FA5650">
        <w:t xml:space="preserve"> në p</w:t>
      </w:r>
      <w:r w:rsidR="00FA5650" w:rsidRPr="00B40F9D">
        <w:t>ajtueshmëri</w:t>
      </w:r>
      <w:r w:rsidR="00FA5650" w:rsidRPr="00FA5650">
        <w:t xml:space="preserve"> me marrëveshjet</w:t>
      </w:r>
      <w:r w:rsidR="00FA5650" w:rsidRPr="00B40F9D">
        <w:t xml:space="preserve"> për</w:t>
      </w:r>
      <w:r w:rsidR="00FA5650" w:rsidRPr="00FA5650">
        <w:t xml:space="preserve"> kontribut</w:t>
      </w:r>
      <w:r w:rsidR="00FA5650" w:rsidRPr="00B40F9D">
        <w:t xml:space="preserve">e </w:t>
      </w:r>
      <w:r w:rsidR="00FA5650" w:rsidRPr="00FA5650">
        <w:t>të lidhura ndërmjet BEFZH</w:t>
      </w:r>
      <w:r w:rsidR="00FA5650" w:rsidRPr="00B40F9D">
        <w:t>BP</w:t>
      </w:r>
      <w:r w:rsidR="00FA5650" w:rsidRPr="00FA5650">
        <w:t xml:space="preserve">-së dhe </w:t>
      </w:r>
      <w:r w:rsidR="00FA5650" w:rsidRPr="00B40F9D">
        <w:t>shfrytëzuesit</w:t>
      </w:r>
      <w:r w:rsidR="00FA5650" w:rsidRPr="00FA5650">
        <w:t>.</w:t>
      </w:r>
    </w:p>
    <w:p w14:paraId="6871BDFA" w14:textId="1A31C472" w:rsidR="0068048D" w:rsidRPr="0068048D" w:rsidRDefault="0068048D" w:rsidP="0068048D">
      <w:pPr>
        <w:pStyle w:val="FootnoteText"/>
        <w:tabs>
          <w:tab w:val="left" w:pos="284"/>
        </w:tab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9B8FCD8"/>
    <w:lvl w:ilvl="0">
      <w:numFmt w:val="bullet"/>
      <w:lvlText w:val="*"/>
      <w:lvlJc w:val="left"/>
    </w:lvl>
  </w:abstractNum>
  <w:abstractNum w:abstractNumId="1" w15:restartNumberingAfterBreak="0">
    <w:nsid w:val="09342FBB"/>
    <w:multiLevelType w:val="hybridMultilevel"/>
    <w:tmpl w:val="257C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5418"/>
    <w:multiLevelType w:val="hybridMultilevel"/>
    <w:tmpl w:val="B4F00FB0"/>
    <w:lvl w:ilvl="0" w:tplc="0A3041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C13FB"/>
    <w:multiLevelType w:val="singleLevel"/>
    <w:tmpl w:val="96EC5570"/>
    <w:lvl w:ilvl="0">
      <w:start w:val="1"/>
      <w:numFmt w:val="decimal"/>
      <w:lvlText w:val="(%1)"/>
      <w:legacy w:legacy="1" w:legacySpace="0" w:legacyIndent="710"/>
      <w:lvlJc w:val="left"/>
      <w:rPr>
        <w:rFonts w:ascii="Arial" w:hAnsi="Arial" w:cs="Arial" w:hint="default"/>
      </w:rPr>
    </w:lvl>
  </w:abstractNum>
  <w:abstractNum w:abstractNumId="4" w15:restartNumberingAfterBreak="0">
    <w:nsid w:val="6CD441D1"/>
    <w:multiLevelType w:val="hybridMultilevel"/>
    <w:tmpl w:val="8118E782"/>
    <w:lvl w:ilvl="0" w:tplc="DB7809B4">
      <w:start w:val="3"/>
      <w:numFmt w:val="bullet"/>
      <w:lvlText w:val="-"/>
      <w:lvlJc w:val="left"/>
      <w:pPr>
        <w:ind w:left="720" w:hanging="360"/>
      </w:pPr>
      <w:rPr>
        <w:rFonts w:ascii="Arial" w:eastAsiaTheme="minorEastAsia" w:hAnsi="Arial" w:cs="Arial" w:hint="default"/>
        <w:color w:val="24242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628CD"/>
    <w:multiLevelType w:val="hybridMultilevel"/>
    <w:tmpl w:val="756C433E"/>
    <w:lvl w:ilvl="0" w:tplc="985A1F0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B30C8"/>
    <w:multiLevelType w:val="hybridMultilevel"/>
    <w:tmpl w:val="4FC6E1A6"/>
    <w:lvl w:ilvl="0" w:tplc="E9B8FCD8">
      <w:start w:val="65535"/>
      <w:numFmt w:val="bullet"/>
      <w:lvlText w:val="•"/>
      <w:lvlJc w:val="left"/>
      <w:pPr>
        <w:ind w:left="1866" w:hanging="360"/>
      </w:pPr>
      <w:rPr>
        <w:rFonts w:ascii="Arial" w:hAnsi="Arial" w:cs="Aria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75535072"/>
    <w:multiLevelType w:val="multilevel"/>
    <w:tmpl w:val="B3B0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95DED"/>
    <w:multiLevelType w:val="hybridMultilevel"/>
    <w:tmpl w:val="E832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125">
    <w:abstractNumId w:val="4"/>
  </w:num>
  <w:num w:numId="2" w16cid:durableId="316999469">
    <w:abstractNumId w:val="3"/>
  </w:num>
  <w:num w:numId="3" w16cid:durableId="712995975">
    <w:abstractNumId w:val="0"/>
    <w:lvlOverride w:ilvl="0">
      <w:lvl w:ilvl="0">
        <w:start w:val="65535"/>
        <w:numFmt w:val="bullet"/>
        <w:lvlText w:val="•"/>
        <w:legacy w:legacy="1" w:legacySpace="0" w:legacyIndent="360"/>
        <w:lvlJc w:val="left"/>
        <w:rPr>
          <w:rFonts w:ascii="Arial" w:hAnsi="Arial" w:cs="Arial" w:hint="default"/>
        </w:rPr>
      </w:lvl>
    </w:lvlOverride>
  </w:num>
  <w:num w:numId="4" w16cid:durableId="1417286115">
    <w:abstractNumId w:val="8"/>
  </w:num>
  <w:num w:numId="5" w16cid:durableId="248780554">
    <w:abstractNumId w:val="7"/>
  </w:num>
  <w:num w:numId="6" w16cid:durableId="1743915760">
    <w:abstractNumId w:val="5"/>
  </w:num>
  <w:num w:numId="7" w16cid:durableId="801774266">
    <w:abstractNumId w:val="2"/>
  </w:num>
  <w:num w:numId="8" w16cid:durableId="1614824711">
    <w:abstractNumId w:val="6"/>
  </w:num>
  <w:num w:numId="9" w16cid:durableId="88278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FB"/>
    <w:rsid w:val="000035E8"/>
    <w:rsid w:val="00015285"/>
    <w:rsid w:val="00026DE1"/>
    <w:rsid w:val="00044A55"/>
    <w:rsid w:val="0006504E"/>
    <w:rsid w:val="00077A33"/>
    <w:rsid w:val="000A441A"/>
    <w:rsid w:val="000D257F"/>
    <w:rsid w:val="000F328C"/>
    <w:rsid w:val="00120121"/>
    <w:rsid w:val="001375A9"/>
    <w:rsid w:val="00152E74"/>
    <w:rsid w:val="00153BED"/>
    <w:rsid w:val="00180922"/>
    <w:rsid w:val="001819D0"/>
    <w:rsid w:val="00192531"/>
    <w:rsid w:val="001A4B4A"/>
    <w:rsid w:val="001A60A9"/>
    <w:rsid w:val="001D534E"/>
    <w:rsid w:val="001E14E0"/>
    <w:rsid w:val="001F2E1A"/>
    <w:rsid w:val="00204ED0"/>
    <w:rsid w:val="002167E9"/>
    <w:rsid w:val="002248B3"/>
    <w:rsid w:val="0026417A"/>
    <w:rsid w:val="00267C46"/>
    <w:rsid w:val="002A50DA"/>
    <w:rsid w:val="002B74CD"/>
    <w:rsid w:val="002D50B0"/>
    <w:rsid w:val="002D7FC8"/>
    <w:rsid w:val="002E1FF1"/>
    <w:rsid w:val="002E69E5"/>
    <w:rsid w:val="002F6A02"/>
    <w:rsid w:val="00325E18"/>
    <w:rsid w:val="00335D56"/>
    <w:rsid w:val="00343418"/>
    <w:rsid w:val="00352040"/>
    <w:rsid w:val="0036639A"/>
    <w:rsid w:val="00394FFE"/>
    <w:rsid w:val="003A0712"/>
    <w:rsid w:val="00405AA4"/>
    <w:rsid w:val="00412747"/>
    <w:rsid w:val="0044384A"/>
    <w:rsid w:val="00445114"/>
    <w:rsid w:val="00454905"/>
    <w:rsid w:val="0048640E"/>
    <w:rsid w:val="00492E3A"/>
    <w:rsid w:val="004A49F2"/>
    <w:rsid w:val="004B5BA6"/>
    <w:rsid w:val="004C7C17"/>
    <w:rsid w:val="005006F4"/>
    <w:rsid w:val="0051341E"/>
    <w:rsid w:val="0053105B"/>
    <w:rsid w:val="0057034E"/>
    <w:rsid w:val="00585619"/>
    <w:rsid w:val="005C32C6"/>
    <w:rsid w:val="005E52DA"/>
    <w:rsid w:val="006019B0"/>
    <w:rsid w:val="00612D18"/>
    <w:rsid w:val="00635A8B"/>
    <w:rsid w:val="00646167"/>
    <w:rsid w:val="00663489"/>
    <w:rsid w:val="006722EA"/>
    <w:rsid w:val="00674959"/>
    <w:rsid w:val="0068048D"/>
    <w:rsid w:val="00693F6C"/>
    <w:rsid w:val="006A65E8"/>
    <w:rsid w:val="006A67AD"/>
    <w:rsid w:val="006C21FC"/>
    <w:rsid w:val="006C7398"/>
    <w:rsid w:val="006D4DFA"/>
    <w:rsid w:val="006F29A5"/>
    <w:rsid w:val="006F5C11"/>
    <w:rsid w:val="00712DC7"/>
    <w:rsid w:val="0072300E"/>
    <w:rsid w:val="00726B0B"/>
    <w:rsid w:val="007351EF"/>
    <w:rsid w:val="00773CD5"/>
    <w:rsid w:val="007743EB"/>
    <w:rsid w:val="00786CC1"/>
    <w:rsid w:val="007F024E"/>
    <w:rsid w:val="00803AFB"/>
    <w:rsid w:val="00826B74"/>
    <w:rsid w:val="0083164D"/>
    <w:rsid w:val="00832822"/>
    <w:rsid w:val="00844274"/>
    <w:rsid w:val="00847C44"/>
    <w:rsid w:val="00881D05"/>
    <w:rsid w:val="008E4228"/>
    <w:rsid w:val="00955BA9"/>
    <w:rsid w:val="0096200C"/>
    <w:rsid w:val="009C3FB5"/>
    <w:rsid w:val="009D0C75"/>
    <w:rsid w:val="009F592F"/>
    <w:rsid w:val="00A002DE"/>
    <w:rsid w:val="00A01EC4"/>
    <w:rsid w:val="00A10AD6"/>
    <w:rsid w:val="00A16DEE"/>
    <w:rsid w:val="00A27820"/>
    <w:rsid w:val="00AB15B4"/>
    <w:rsid w:val="00AF178F"/>
    <w:rsid w:val="00B40F9D"/>
    <w:rsid w:val="00B559B8"/>
    <w:rsid w:val="00B56C97"/>
    <w:rsid w:val="00B576A1"/>
    <w:rsid w:val="00B6228B"/>
    <w:rsid w:val="00B71F17"/>
    <w:rsid w:val="00BA7DAA"/>
    <w:rsid w:val="00BC473E"/>
    <w:rsid w:val="00BC71F6"/>
    <w:rsid w:val="00BE2C2A"/>
    <w:rsid w:val="00BF5B98"/>
    <w:rsid w:val="00C002E6"/>
    <w:rsid w:val="00C243EB"/>
    <w:rsid w:val="00C3196B"/>
    <w:rsid w:val="00C55CCA"/>
    <w:rsid w:val="00C71B06"/>
    <w:rsid w:val="00C75016"/>
    <w:rsid w:val="00C80FDB"/>
    <w:rsid w:val="00CB46DF"/>
    <w:rsid w:val="00CB6C97"/>
    <w:rsid w:val="00CD1EC1"/>
    <w:rsid w:val="00CE17F9"/>
    <w:rsid w:val="00D06E86"/>
    <w:rsid w:val="00D165F6"/>
    <w:rsid w:val="00D30831"/>
    <w:rsid w:val="00D34964"/>
    <w:rsid w:val="00D53AFA"/>
    <w:rsid w:val="00D62746"/>
    <w:rsid w:val="00D816FB"/>
    <w:rsid w:val="00DA0383"/>
    <w:rsid w:val="00DC0090"/>
    <w:rsid w:val="00DE15FD"/>
    <w:rsid w:val="00DF226C"/>
    <w:rsid w:val="00E14BB3"/>
    <w:rsid w:val="00E15989"/>
    <w:rsid w:val="00E3608F"/>
    <w:rsid w:val="00E902DD"/>
    <w:rsid w:val="00EA6A68"/>
    <w:rsid w:val="00F07A72"/>
    <w:rsid w:val="00F4107C"/>
    <w:rsid w:val="00F541AD"/>
    <w:rsid w:val="00F722A0"/>
    <w:rsid w:val="00F741B6"/>
    <w:rsid w:val="00F9342E"/>
    <w:rsid w:val="00FA1C83"/>
    <w:rsid w:val="00FA5650"/>
    <w:rsid w:val="00FE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A3515"/>
  <w14:defaultImageDpi w14:val="0"/>
  <w15:docId w15:val="{4C889629-F0BA-4F3A-ABF6-AD627257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B06"/>
  </w:style>
  <w:style w:type="character" w:customStyle="1" w:styleId="FootnoteTextChar">
    <w:name w:val="Footnote Text Char"/>
    <w:basedOn w:val="DefaultParagraphFont"/>
    <w:link w:val="FootnoteText"/>
    <w:uiPriority w:val="99"/>
    <w:semiHidden/>
    <w:rsid w:val="00C71B06"/>
    <w:rPr>
      <w:rFonts w:ascii="Arial" w:hAnsi="Arial" w:cs="Arial"/>
      <w:sz w:val="20"/>
      <w:szCs w:val="20"/>
    </w:rPr>
  </w:style>
  <w:style w:type="character" w:styleId="FootnoteReference">
    <w:name w:val="footnote reference"/>
    <w:basedOn w:val="DefaultParagraphFont"/>
    <w:uiPriority w:val="99"/>
    <w:semiHidden/>
    <w:unhideWhenUsed/>
    <w:rsid w:val="00C71B06"/>
    <w:rPr>
      <w:vertAlign w:val="superscript"/>
    </w:rPr>
  </w:style>
  <w:style w:type="table" w:styleId="TableGrid">
    <w:name w:val="Table Grid"/>
    <w:basedOn w:val="TableNormal"/>
    <w:uiPriority w:val="39"/>
    <w:rsid w:val="001A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4DFA"/>
    <w:rPr>
      <w:sz w:val="16"/>
      <w:szCs w:val="16"/>
    </w:rPr>
  </w:style>
  <w:style w:type="paragraph" w:styleId="CommentText">
    <w:name w:val="annotation text"/>
    <w:basedOn w:val="Normal"/>
    <w:link w:val="CommentTextChar"/>
    <w:uiPriority w:val="99"/>
    <w:semiHidden/>
    <w:unhideWhenUsed/>
    <w:rsid w:val="006D4DFA"/>
  </w:style>
  <w:style w:type="character" w:customStyle="1" w:styleId="CommentTextChar">
    <w:name w:val="Comment Text Char"/>
    <w:basedOn w:val="DefaultParagraphFont"/>
    <w:link w:val="CommentText"/>
    <w:uiPriority w:val="99"/>
    <w:semiHidden/>
    <w:rsid w:val="006D4D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D4DFA"/>
    <w:rPr>
      <w:b/>
      <w:bCs/>
    </w:rPr>
  </w:style>
  <w:style w:type="character" w:customStyle="1" w:styleId="CommentSubjectChar">
    <w:name w:val="Comment Subject Char"/>
    <w:basedOn w:val="CommentTextChar"/>
    <w:link w:val="CommentSubject"/>
    <w:uiPriority w:val="99"/>
    <w:semiHidden/>
    <w:rsid w:val="006D4DFA"/>
    <w:rPr>
      <w:rFonts w:ascii="Arial" w:hAnsi="Arial" w:cs="Arial"/>
      <w:b/>
      <w:bCs/>
      <w:sz w:val="20"/>
      <w:szCs w:val="20"/>
    </w:rPr>
  </w:style>
  <w:style w:type="paragraph" w:styleId="BalloonText">
    <w:name w:val="Balloon Text"/>
    <w:basedOn w:val="Normal"/>
    <w:link w:val="BalloonTextChar"/>
    <w:uiPriority w:val="99"/>
    <w:semiHidden/>
    <w:unhideWhenUsed/>
    <w:rsid w:val="006D4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DFA"/>
    <w:rPr>
      <w:rFonts w:ascii="Segoe UI" w:hAnsi="Segoe UI" w:cs="Segoe UI"/>
      <w:sz w:val="18"/>
      <w:szCs w:val="18"/>
    </w:rPr>
  </w:style>
  <w:style w:type="paragraph" w:styleId="Revision">
    <w:name w:val="Revision"/>
    <w:hidden/>
    <w:uiPriority w:val="99"/>
    <w:semiHidden/>
    <w:rsid w:val="00B56C97"/>
    <w:pPr>
      <w:spacing w:after="0" w:line="240" w:lineRule="auto"/>
    </w:pPr>
    <w:rPr>
      <w:rFonts w:ascii="Arial" w:hAnsi="Arial" w:cs="Arial"/>
      <w:sz w:val="20"/>
      <w:szCs w:val="20"/>
    </w:rPr>
  </w:style>
  <w:style w:type="paragraph" w:styleId="ListParagraph">
    <w:name w:val="List Paragraph"/>
    <w:basedOn w:val="Normal"/>
    <w:uiPriority w:val="34"/>
    <w:qFormat/>
    <w:rsid w:val="0072300E"/>
    <w:pPr>
      <w:ind w:left="720"/>
      <w:contextualSpacing/>
    </w:pPr>
  </w:style>
  <w:style w:type="paragraph" w:styleId="Header">
    <w:name w:val="header"/>
    <w:basedOn w:val="Normal"/>
    <w:link w:val="HeaderChar"/>
    <w:uiPriority w:val="99"/>
    <w:unhideWhenUsed/>
    <w:rsid w:val="00A27820"/>
    <w:pPr>
      <w:tabs>
        <w:tab w:val="center" w:pos="4680"/>
        <w:tab w:val="right" w:pos="9360"/>
      </w:tabs>
    </w:pPr>
  </w:style>
  <w:style w:type="character" w:customStyle="1" w:styleId="HeaderChar">
    <w:name w:val="Header Char"/>
    <w:basedOn w:val="DefaultParagraphFont"/>
    <w:link w:val="Header"/>
    <w:uiPriority w:val="99"/>
    <w:rsid w:val="00A27820"/>
    <w:rPr>
      <w:rFonts w:ascii="Arial" w:hAnsi="Arial" w:cs="Arial"/>
      <w:sz w:val="20"/>
      <w:szCs w:val="20"/>
    </w:rPr>
  </w:style>
  <w:style w:type="paragraph" w:styleId="Footer">
    <w:name w:val="footer"/>
    <w:basedOn w:val="Normal"/>
    <w:link w:val="FooterChar"/>
    <w:uiPriority w:val="99"/>
    <w:unhideWhenUsed/>
    <w:rsid w:val="00A27820"/>
    <w:pPr>
      <w:tabs>
        <w:tab w:val="center" w:pos="4680"/>
        <w:tab w:val="right" w:pos="9360"/>
      </w:tabs>
    </w:pPr>
  </w:style>
  <w:style w:type="character" w:customStyle="1" w:styleId="FooterChar">
    <w:name w:val="Footer Char"/>
    <w:basedOn w:val="DefaultParagraphFont"/>
    <w:link w:val="Footer"/>
    <w:uiPriority w:val="99"/>
    <w:rsid w:val="00A2782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0794">
      <w:bodyDiv w:val="1"/>
      <w:marLeft w:val="0"/>
      <w:marRight w:val="0"/>
      <w:marTop w:val="0"/>
      <w:marBottom w:val="0"/>
      <w:divBdr>
        <w:top w:val="none" w:sz="0" w:space="0" w:color="auto"/>
        <w:left w:val="none" w:sz="0" w:space="0" w:color="auto"/>
        <w:bottom w:val="none" w:sz="0" w:space="0" w:color="auto"/>
        <w:right w:val="none" w:sz="0" w:space="0" w:color="auto"/>
      </w:divBdr>
    </w:div>
    <w:div w:id="107816856">
      <w:bodyDiv w:val="1"/>
      <w:marLeft w:val="0"/>
      <w:marRight w:val="0"/>
      <w:marTop w:val="0"/>
      <w:marBottom w:val="0"/>
      <w:divBdr>
        <w:top w:val="none" w:sz="0" w:space="0" w:color="auto"/>
        <w:left w:val="none" w:sz="0" w:space="0" w:color="auto"/>
        <w:bottom w:val="none" w:sz="0" w:space="0" w:color="auto"/>
        <w:right w:val="none" w:sz="0" w:space="0" w:color="auto"/>
      </w:divBdr>
    </w:div>
    <w:div w:id="146408653">
      <w:bodyDiv w:val="1"/>
      <w:marLeft w:val="0"/>
      <w:marRight w:val="0"/>
      <w:marTop w:val="0"/>
      <w:marBottom w:val="0"/>
      <w:divBdr>
        <w:top w:val="none" w:sz="0" w:space="0" w:color="auto"/>
        <w:left w:val="none" w:sz="0" w:space="0" w:color="auto"/>
        <w:bottom w:val="none" w:sz="0" w:space="0" w:color="auto"/>
        <w:right w:val="none" w:sz="0" w:space="0" w:color="auto"/>
      </w:divBdr>
    </w:div>
    <w:div w:id="161119147">
      <w:bodyDiv w:val="1"/>
      <w:marLeft w:val="0"/>
      <w:marRight w:val="0"/>
      <w:marTop w:val="0"/>
      <w:marBottom w:val="0"/>
      <w:divBdr>
        <w:top w:val="none" w:sz="0" w:space="0" w:color="auto"/>
        <w:left w:val="none" w:sz="0" w:space="0" w:color="auto"/>
        <w:bottom w:val="none" w:sz="0" w:space="0" w:color="auto"/>
        <w:right w:val="none" w:sz="0" w:space="0" w:color="auto"/>
      </w:divBdr>
    </w:div>
    <w:div w:id="184172385">
      <w:bodyDiv w:val="1"/>
      <w:marLeft w:val="0"/>
      <w:marRight w:val="0"/>
      <w:marTop w:val="0"/>
      <w:marBottom w:val="0"/>
      <w:divBdr>
        <w:top w:val="none" w:sz="0" w:space="0" w:color="auto"/>
        <w:left w:val="none" w:sz="0" w:space="0" w:color="auto"/>
        <w:bottom w:val="none" w:sz="0" w:space="0" w:color="auto"/>
        <w:right w:val="none" w:sz="0" w:space="0" w:color="auto"/>
      </w:divBdr>
    </w:div>
    <w:div w:id="184831934">
      <w:bodyDiv w:val="1"/>
      <w:marLeft w:val="0"/>
      <w:marRight w:val="0"/>
      <w:marTop w:val="0"/>
      <w:marBottom w:val="0"/>
      <w:divBdr>
        <w:top w:val="none" w:sz="0" w:space="0" w:color="auto"/>
        <w:left w:val="none" w:sz="0" w:space="0" w:color="auto"/>
        <w:bottom w:val="none" w:sz="0" w:space="0" w:color="auto"/>
        <w:right w:val="none" w:sz="0" w:space="0" w:color="auto"/>
      </w:divBdr>
    </w:div>
    <w:div w:id="304745891">
      <w:bodyDiv w:val="1"/>
      <w:marLeft w:val="0"/>
      <w:marRight w:val="0"/>
      <w:marTop w:val="0"/>
      <w:marBottom w:val="0"/>
      <w:divBdr>
        <w:top w:val="none" w:sz="0" w:space="0" w:color="auto"/>
        <w:left w:val="none" w:sz="0" w:space="0" w:color="auto"/>
        <w:bottom w:val="none" w:sz="0" w:space="0" w:color="auto"/>
        <w:right w:val="none" w:sz="0" w:space="0" w:color="auto"/>
      </w:divBdr>
    </w:div>
    <w:div w:id="333343115">
      <w:bodyDiv w:val="1"/>
      <w:marLeft w:val="0"/>
      <w:marRight w:val="0"/>
      <w:marTop w:val="0"/>
      <w:marBottom w:val="0"/>
      <w:divBdr>
        <w:top w:val="none" w:sz="0" w:space="0" w:color="auto"/>
        <w:left w:val="none" w:sz="0" w:space="0" w:color="auto"/>
        <w:bottom w:val="none" w:sz="0" w:space="0" w:color="auto"/>
        <w:right w:val="none" w:sz="0" w:space="0" w:color="auto"/>
      </w:divBdr>
    </w:div>
    <w:div w:id="406223180">
      <w:bodyDiv w:val="1"/>
      <w:marLeft w:val="0"/>
      <w:marRight w:val="0"/>
      <w:marTop w:val="0"/>
      <w:marBottom w:val="0"/>
      <w:divBdr>
        <w:top w:val="none" w:sz="0" w:space="0" w:color="auto"/>
        <w:left w:val="none" w:sz="0" w:space="0" w:color="auto"/>
        <w:bottom w:val="none" w:sz="0" w:space="0" w:color="auto"/>
        <w:right w:val="none" w:sz="0" w:space="0" w:color="auto"/>
      </w:divBdr>
    </w:div>
    <w:div w:id="488329885">
      <w:bodyDiv w:val="1"/>
      <w:marLeft w:val="0"/>
      <w:marRight w:val="0"/>
      <w:marTop w:val="0"/>
      <w:marBottom w:val="0"/>
      <w:divBdr>
        <w:top w:val="none" w:sz="0" w:space="0" w:color="auto"/>
        <w:left w:val="none" w:sz="0" w:space="0" w:color="auto"/>
        <w:bottom w:val="none" w:sz="0" w:space="0" w:color="auto"/>
        <w:right w:val="none" w:sz="0" w:space="0" w:color="auto"/>
      </w:divBdr>
    </w:div>
    <w:div w:id="546650310">
      <w:bodyDiv w:val="1"/>
      <w:marLeft w:val="0"/>
      <w:marRight w:val="0"/>
      <w:marTop w:val="0"/>
      <w:marBottom w:val="0"/>
      <w:divBdr>
        <w:top w:val="none" w:sz="0" w:space="0" w:color="auto"/>
        <w:left w:val="none" w:sz="0" w:space="0" w:color="auto"/>
        <w:bottom w:val="none" w:sz="0" w:space="0" w:color="auto"/>
        <w:right w:val="none" w:sz="0" w:space="0" w:color="auto"/>
      </w:divBdr>
    </w:div>
    <w:div w:id="559945345">
      <w:bodyDiv w:val="1"/>
      <w:marLeft w:val="0"/>
      <w:marRight w:val="0"/>
      <w:marTop w:val="0"/>
      <w:marBottom w:val="0"/>
      <w:divBdr>
        <w:top w:val="none" w:sz="0" w:space="0" w:color="auto"/>
        <w:left w:val="none" w:sz="0" w:space="0" w:color="auto"/>
        <w:bottom w:val="none" w:sz="0" w:space="0" w:color="auto"/>
        <w:right w:val="none" w:sz="0" w:space="0" w:color="auto"/>
      </w:divBdr>
    </w:div>
    <w:div w:id="560604959">
      <w:bodyDiv w:val="1"/>
      <w:marLeft w:val="0"/>
      <w:marRight w:val="0"/>
      <w:marTop w:val="0"/>
      <w:marBottom w:val="0"/>
      <w:divBdr>
        <w:top w:val="none" w:sz="0" w:space="0" w:color="auto"/>
        <w:left w:val="none" w:sz="0" w:space="0" w:color="auto"/>
        <w:bottom w:val="none" w:sz="0" w:space="0" w:color="auto"/>
        <w:right w:val="none" w:sz="0" w:space="0" w:color="auto"/>
      </w:divBdr>
    </w:div>
    <w:div w:id="599069440">
      <w:bodyDiv w:val="1"/>
      <w:marLeft w:val="0"/>
      <w:marRight w:val="0"/>
      <w:marTop w:val="0"/>
      <w:marBottom w:val="0"/>
      <w:divBdr>
        <w:top w:val="none" w:sz="0" w:space="0" w:color="auto"/>
        <w:left w:val="none" w:sz="0" w:space="0" w:color="auto"/>
        <w:bottom w:val="none" w:sz="0" w:space="0" w:color="auto"/>
        <w:right w:val="none" w:sz="0" w:space="0" w:color="auto"/>
      </w:divBdr>
    </w:div>
    <w:div w:id="696660117">
      <w:bodyDiv w:val="1"/>
      <w:marLeft w:val="0"/>
      <w:marRight w:val="0"/>
      <w:marTop w:val="0"/>
      <w:marBottom w:val="0"/>
      <w:divBdr>
        <w:top w:val="none" w:sz="0" w:space="0" w:color="auto"/>
        <w:left w:val="none" w:sz="0" w:space="0" w:color="auto"/>
        <w:bottom w:val="none" w:sz="0" w:space="0" w:color="auto"/>
        <w:right w:val="none" w:sz="0" w:space="0" w:color="auto"/>
      </w:divBdr>
    </w:div>
    <w:div w:id="787427601">
      <w:bodyDiv w:val="1"/>
      <w:marLeft w:val="0"/>
      <w:marRight w:val="0"/>
      <w:marTop w:val="0"/>
      <w:marBottom w:val="0"/>
      <w:divBdr>
        <w:top w:val="none" w:sz="0" w:space="0" w:color="auto"/>
        <w:left w:val="none" w:sz="0" w:space="0" w:color="auto"/>
        <w:bottom w:val="none" w:sz="0" w:space="0" w:color="auto"/>
        <w:right w:val="none" w:sz="0" w:space="0" w:color="auto"/>
      </w:divBdr>
    </w:div>
    <w:div w:id="850531686">
      <w:bodyDiv w:val="1"/>
      <w:marLeft w:val="0"/>
      <w:marRight w:val="0"/>
      <w:marTop w:val="0"/>
      <w:marBottom w:val="0"/>
      <w:divBdr>
        <w:top w:val="none" w:sz="0" w:space="0" w:color="auto"/>
        <w:left w:val="none" w:sz="0" w:space="0" w:color="auto"/>
        <w:bottom w:val="none" w:sz="0" w:space="0" w:color="auto"/>
        <w:right w:val="none" w:sz="0" w:space="0" w:color="auto"/>
      </w:divBdr>
    </w:div>
    <w:div w:id="941307240">
      <w:bodyDiv w:val="1"/>
      <w:marLeft w:val="0"/>
      <w:marRight w:val="0"/>
      <w:marTop w:val="0"/>
      <w:marBottom w:val="0"/>
      <w:divBdr>
        <w:top w:val="none" w:sz="0" w:space="0" w:color="auto"/>
        <w:left w:val="none" w:sz="0" w:space="0" w:color="auto"/>
        <w:bottom w:val="none" w:sz="0" w:space="0" w:color="auto"/>
        <w:right w:val="none" w:sz="0" w:space="0" w:color="auto"/>
      </w:divBdr>
    </w:div>
    <w:div w:id="988634252">
      <w:bodyDiv w:val="1"/>
      <w:marLeft w:val="0"/>
      <w:marRight w:val="0"/>
      <w:marTop w:val="0"/>
      <w:marBottom w:val="0"/>
      <w:divBdr>
        <w:top w:val="none" w:sz="0" w:space="0" w:color="auto"/>
        <w:left w:val="none" w:sz="0" w:space="0" w:color="auto"/>
        <w:bottom w:val="none" w:sz="0" w:space="0" w:color="auto"/>
        <w:right w:val="none" w:sz="0" w:space="0" w:color="auto"/>
      </w:divBdr>
    </w:div>
    <w:div w:id="998197148">
      <w:bodyDiv w:val="1"/>
      <w:marLeft w:val="0"/>
      <w:marRight w:val="0"/>
      <w:marTop w:val="0"/>
      <w:marBottom w:val="0"/>
      <w:divBdr>
        <w:top w:val="none" w:sz="0" w:space="0" w:color="auto"/>
        <w:left w:val="none" w:sz="0" w:space="0" w:color="auto"/>
        <w:bottom w:val="none" w:sz="0" w:space="0" w:color="auto"/>
        <w:right w:val="none" w:sz="0" w:space="0" w:color="auto"/>
      </w:divBdr>
    </w:div>
    <w:div w:id="1016224663">
      <w:bodyDiv w:val="1"/>
      <w:marLeft w:val="0"/>
      <w:marRight w:val="0"/>
      <w:marTop w:val="0"/>
      <w:marBottom w:val="0"/>
      <w:divBdr>
        <w:top w:val="none" w:sz="0" w:space="0" w:color="auto"/>
        <w:left w:val="none" w:sz="0" w:space="0" w:color="auto"/>
        <w:bottom w:val="none" w:sz="0" w:space="0" w:color="auto"/>
        <w:right w:val="none" w:sz="0" w:space="0" w:color="auto"/>
      </w:divBdr>
    </w:div>
    <w:div w:id="1034647891">
      <w:bodyDiv w:val="1"/>
      <w:marLeft w:val="0"/>
      <w:marRight w:val="0"/>
      <w:marTop w:val="0"/>
      <w:marBottom w:val="0"/>
      <w:divBdr>
        <w:top w:val="none" w:sz="0" w:space="0" w:color="auto"/>
        <w:left w:val="none" w:sz="0" w:space="0" w:color="auto"/>
        <w:bottom w:val="none" w:sz="0" w:space="0" w:color="auto"/>
        <w:right w:val="none" w:sz="0" w:space="0" w:color="auto"/>
      </w:divBdr>
    </w:div>
    <w:div w:id="1046027214">
      <w:bodyDiv w:val="1"/>
      <w:marLeft w:val="0"/>
      <w:marRight w:val="0"/>
      <w:marTop w:val="0"/>
      <w:marBottom w:val="0"/>
      <w:divBdr>
        <w:top w:val="none" w:sz="0" w:space="0" w:color="auto"/>
        <w:left w:val="none" w:sz="0" w:space="0" w:color="auto"/>
        <w:bottom w:val="none" w:sz="0" w:space="0" w:color="auto"/>
        <w:right w:val="none" w:sz="0" w:space="0" w:color="auto"/>
      </w:divBdr>
    </w:div>
    <w:div w:id="1091043544">
      <w:bodyDiv w:val="1"/>
      <w:marLeft w:val="0"/>
      <w:marRight w:val="0"/>
      <w:marTop w:val="0"/>
      <w:marBottom w:val="0"/>
      <w:divBdr>
        <w:top w:val="none" w:sz="0" w:space="0" w:color="auto"/>
        <w:left w:val="none" w:sz="0" w:space="0" w:color="auto"/>
        <w:bottom w:val="none" w:sz="0" w:space="0" w:color="auto"/>
        <w:right w:val="none" w:sz="0" w:space="0" w:color="auto"/>
      </w:divBdr>
    </w:div>
    <w:div w:id="1141193651">
      <w:bodyDiv w:val="1"/>
      <w:marLeft w:val="0"/>
      <w:marRight w:val="0"/>
      <w:marTop w:val="0"/>
      <w:marBottom w:val="0"/>
      <w:divBdr>
        <w:top w:val="none" w:sz="0" w:space="0" w:color="auto"/>
        <w:left w:val="none" w:sz="0" w:space="0" w:color="auto"/>
        <w:bottom w:val="none" w:sz="0" w:space="0" w:color="auto"/>
        <w:right w:val="none" w:sz="0" w:space="0" w:color="auto"/>
      </w:divBdr>
    </w:div>
    <w:div w:id="1390689338">
      <w:bodyDiv w:val="1"/>
      <w:marLeft w:val="0"/>
      <w:marRight w:val="0"/>
      <w:marTop w:val="0"/>
      <w:marBottom w:val="0"/>
      <w:divBdr>
        <w:top w:val="none" w:sz="0" w:space="0" w:color="auto"/>
        <w:left w:val="none" w:sz="0" w:space="0" w:color="auto"/>
        <w:bottom w:val="none" w:sz="0" w:space="0" w:color="auto"/>
        <w:right w:val="none" w:sz="0" w:space="0" w:color="auto"/>
      </w:divBdr>
    </w:div>
    <w:div w:id="1429081783">
      <w:bodyDiv w:val="1"/>
      <w:marLeft w:val="0"/>
      <w:marRight w:val="0"/>
      <w:marTop w:val="0"/>
      <w:marBottom w:val="0"/>
      <w:divBdr>
        <w:top w:val="none" w:sz="0" w:space="0" w:color="auto"/>
        <w:left w:val="none" w:sz="0" w:space="0" w:color="auto"/>
        <w:bottom w:val="none" w:sz="0" w:space="0" w:color="auto"/>
        <w:right w:val="none" w:sz="0" w:space="0" w:color="auto"/>
      </w:divBdr>
    </w:div>
    <w:div w:id="1514220478">
      <w:bodyDiv w:val="1"/>
      <w:marLeft w:val="0"/>
      <w:marRight w:val="0"/>
      <w:marTop w:val="0"/>
      <w:marBottom w:val="0"/>
      <w:divBdr>
        <w:top w:val="none" w:sz="0" w:space="0" w:color="auto"/>
        <w:left w:val="none" w:sz="0" w:space="0" w:color="auto"/>
        <w:bottom w:val="none" w:sz="0" w:space="0" w:color="auto"/>
        <w:right w:val="none" w:sz="0" w:space="0" w:color="auto"/>
      </w:divBdr>
    </w:div>
    <w:div w:id="1551845558">
      <w:bodyDiv w:val="1"/>
      <w:marLeft w:val="0"/>
      <w:marRight w:val="0"/>
      <w:marTop w:val="0"/>
      <w:marBottom w:val="0"/>
      <w:divBdr>
        <w:top w:val="none" w:sz="0" w:space="0" w:color="auto"/>
        <w:left w:val="none" w:sz="0" w:space="0" w:color="auto"/>
        <w:bottom w:val="none" w:sz="0" w:space="0" w:color="auto"/>
        <w:right w:val="none" w:sz="0" w:space="0" w:color="auto"/>
      </w:divBdr>
    </w:div>
    <w:div w:id="1570191487">
      <w:bodyDiv w:val="1"/>
      <w:marLeft w:val="0"/>
      <w:marRight w:val="0"/>
      <w:marTop w:val="0"/>
      <w:marBottom w:val="0"/>
      <w:divBdr>
        <w:top w:val="none" w:sz="0" w:space="0" w:color="auto"/>
        <w:left w:val="none" w:sz="0" w:space="0" w:color="auto"/>
        <w:bottom w:val="none" w:sz="0" w:space="0" w:color="auto"/>
        <w:right w:val="none" w:sz="0" w:space="0" w:color="auto"/>
      </w:divBdr>
    </w:div>
    <w:div w:id="1689064805">
      <w:bodyDiv w:val="1"/>
      <w:marLeft w:val="0"/>
      <w:marRight w:val="0"/>
      <w:marTop w:val="0"/>
      <w:marBottom w:val="0"/>
      <w:divBdr>
        <w:top w:val="none" w:sz="0" w:space="0" w:color="auto"/>
        <w:left w:val="none" w:sz="0" w:space="0" w:color="auto"/>
        <w:bottom w:val="none" w:sz="0" w:space="0" w:color="auto"/>
        <w:right w:val="none" w:sz="0" w:space="0" w:color="auto"/>
      </w:divBdr>
    </w:div>
    <w:div w:id="1747147719">
      <w:bodyDiv w:val="1"/>
      <w:marLeft w:val="0"/>
      <w:marRight w:val="0"/>
      <w:marTop w:val="0"/>
      <w:marBottom w:val="0"/>
      <w:divBdr>
        <w:top w:val="none" w:sz="0" w:space="0" w:color="auto"/>
        <w:left w:val="none" w:sz="0" w:space="0" w:color="auto"/>
        <w:bottom w:val="none" w:sz="0" w:space="0" w:color="auto"/>
        <w:right w:val="none" w:sz="0" w:space="0" w:color="auto"/>
      </w:divBdr>
    </w:div>
    <w:div w:id="1933926622">
      <w:bodyDiv w:val="1"/>
      <w:marLeft w:val="0"/>
      <w:marRight w:val="0"/>
      <w:marTop w:val="0"/>
      <w:marBottom w:val="0"/>
      <w:divBdr>
        <w:top w:val="none" w:sz="0" w:space="0" w:color="auto"/>
        <w:left w:val="none" w:sz="0" w:space="0" w:color="auto"/>
        <w:bottom w:val="none" w:sz="0" w:space="0" w:color="auto"/>
        <w:right w:val="none" w:sz="0" w:space="0" w:color="auto"/>
      </w:divBdr>
    </w:div>
    <w:div w:id="2068526268">
      <w:bodyDiv w:val="1"/>
      <w:marLeft w:val="0"/>
      <w:marRight w:val="0"/>
      <w:marTop w:val="0"/>
      <w:marBottom w:val="0"/>
      <w:divBdr>
        <w:top w:val="none" w:sz="0" w:space="0" w:color="auto"/>
        <w:left w:val="none" w:sz="0" w:space="0" w:color="auto"/>
        <w:bottom w:val="none" w:sz="0" w:space="0" w:color="auto"/>
        <w:right w:val="none" w:sz="0" w:space="0" w:color="auto"/>
      </w:divBdr>
    </w:div>
    <w:div w:id="211558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6779-57F5-4375-ABE3-B8B6CC0C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5478</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ZECCA Giorgio (NEAR)</dc:creator>
  <cp:keywords/>
  <dc:description/>
  <cp:lastModifiedBy>Nezir Luzha</cp:lastModifiedBy>
  <cp:revision>2</cp:revision>
  <dcterms:created xsi:type="dcterms:W3CDTF">2025-06-12T07:24:00Z</dcterms:created>
  <dcterms:modified xsi:type="dcterms:W3CDTF">2025-06-12T07:24:00Z</dcterms:modified>
</cp:coreProperties>
</file>