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1A97" w14:textId="77777777" w:rsidR="00C71B06" w:rsidRPr="004C7C17" w:rsidRDefault="00C55CCA" w:rsidP="00803AFB">
      <w:pPr>
        <w:spacing w:before="120" w:after="120"/>
        <w:ind w:left="5954"/>
        <w:rPr>
          <w:rFonts w:ascii="StobiSerif Regular" w:hAnsi="StobiSerif Regular"/>
          <w:sz w:val="24"/>
          <w:szCs w:val="24"/>
        </w:rPr>
      </w:pPr>
      <w:r w:rsidRPr="004C7C17">
        <w:rPr>
          <w:rFonts w:ascii="StobiSerif Regular" w:hAnsi="StobiSerif Regular"/>
          <w:noProof/>
          <w:sz w:val="24"/>
          <w:lang w:val="en-US"/>
        </w:rPr>
        <w:drawing>
          <wp:inline distT="0" distB="0" distL="0" distR="0" wp14:anchorId="40B7C983" wp14:editId="65BA8D64">
            <wp:extent cx="2286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52425"/>
                    </a:xfrm>
                    <a:prstGeom prst="rect">
                      <a:avLst/>
                    </a:prstGeom>
                    <a:noFill/>
                    <a:ln>
                      <a:noFill/>
                    </a:ln>
                  </pic:spPr>
                </pic:pic>
              </a:graphicData>
            </a:graphic>
          </wp:inline>
        </w:drawing>
      </w:r>
    </w:p>
    <w:p w14:paraId="5CC10618" w14:textId="77777777" w:rsidR="00C71B06" w:rsidRPr="004C7C17" w:rsidRDefault="00C71B06" w:rsidP="00803AFB">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0000"/>
          <w:sz w:val="22"/>
        </w:rPr>
        <w:t>Дијалог за Инструментот за реформи и раст за Западен Балкан</w:t>
      </w:r>
    </w:p>
    <w:p w14:paraId="7413AE7E" w14:textId="77777777" w:rsidR="00C71B06" w:rsidRPr="004C7C17" w:rsidRDefault="00C71B06" w:rsidP="00803AFB">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0000"/>
          <w:sz w:val="22"/>
        </w:rPr>
        <w:t>Нацрт-упатство за двојно финансирање</w:t>
      </w:r>
    </w:p>
    <w:p w14:paraId="68AF4C62" w14:textId="77777777" w:rsidR="004C7C17" w:rsidRDefault="004C7C17" w:rsidP="00803AFB">
      <w:pPr>
        <w:shd w:val="clear" w:color="auto" w:fill="FFFFFF"/>
        <w:spacing w:before="120" w:after="120"/>
        <w:jc w:val="both"/>
        <w:rPr>
          <w:rFonts w:ascii="StobiSerif Regular" w:hAnsi="StobiSerif Regular"/>
          <w:color w:val="000000"/>
          <w:sz w:val="22"/>
          <w:lang w:val="en-US"/>
        </w:rPr>
      </w:pPr>
    </w:p>
    <w:p w14:paraId="321A0791" w14:textId="3950B7FE" w:rsidR="00C71B06" w:rsidRPr="004C7C17" w:rsidRDefault="00343418"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Со о</w:t>
      </w:r>
      <w:r w:rsidR="00C71B06" w:rsidRPr="004C7C17">
        <w:rPr>
          <w:rFonts w:ascii="StobiSerif Regular" w:hAnsi="StobiSerif Regular"/>
          <w:color w:val="000000"/>
          <w:sz w:val="22"/>
        </w:rPr>
        <w:t xml:space="preserve">ва упатство </w:t>
      </w:r>
      <w:r w:rsidRPr="004C7C17">
        <w:rPr>
          <w:rFonts w:ascii="StobiSerif Regular" w:hAnsi="StobiSerif Regular"/>
          <w:color w:val="000000"/>
          <w:sz w:val="22"/>
        </w:rPr>
        <w:t xml:space="preserve">се </w:t>
      </w:r>
      <w:r w:rsidR="00AF178F" w:rsidRPr="004C7C17">
        <w:rPr>
          <w:rFonts w:ascii="StobiSerif Regular" w:hAnsi="StobiSerif Regular"/>
          <w:color w:val="000000"/>
          <w:sz w:val="22"/>
        </w:rPr>
        <w:t>разгледува</w:t>
      </w:r>
      <w:r w:rsidR="00192531" w:rsidRPr="004C7C17">
        <w:rPr>
          <w:rFonts w:ascii="StobiSerif Regular" w:hAnsi="StobiSerif Regular"/>
          <w:color w:val="000000"/>
          <w:sz w:val="22"/>
        </w:rPr>
        <w:t xml:space="preserve"> прашањето за „двојно</w:t>
      </w:r>
      <w:r w:rsidR="00C71B06" w:rsidRPr="004C7C17">
        <w:rPr>
          <w:rFonts w:ascii="StobiSerif Regular" w:hAnsi="StobiSerif Regular"/>
          <w:color w:val="000000"/>
          <w:sz w:val="22"/>
        </w:rPr>
        <w:t xml:space="preserve"> финансирање“ </w:t>
      </w:r>
      <w:r w:rsidR="002E1FF1" w:rsidRPr="004C7C17">
        <w:rPr>
          <w:rFonts w:ascii="StobiSerif Regular" w:hAnsi="StobiSerif Regular"/>
          <w:color w:val="000000"/>
          <w:sz w:val="22"/>
        </w:rPr>
        <w:t>помеѓу</w:t>
      </w:r>
      <w:r w:rsidR="00C71B06" w:rsidRPr="004C7C17">
        <w:rPr>
          <w:rFonts w:ascii="StobiSerif Regular" w:hAnsi="StobiSerif Regular"/>
          <w:color w:val="000000"/>
          <w:sz w:val="22"/>
        </w:rPr>
        <w:t xml:space="preserve"> Инструментот за реформи и раст (ИРР) за Западен Балкан (ЗБ) и други</w:t>
      </w:r>
      <w:r w:rsidR="002E1FF1" w:rsidRPr="004C7C17">
        <w:rPr>
          <w:rFonts w:ascii="StobiSerif Regular" w:hAnsi="StobiSerif Regular"/>
          <w:color w:val="000000"/>
          <w:sz w:val="22"/>
        </w:rPr>
        <w:t>те</w:t>
      </w:r>
      <w:r w:rsidR="00C71B06" w:rsidRPr="004C7C17">
        <w:rPr>
          <w:rFonts w:ascii="StobiSerif Regular" w:hAnsi="StobiSerif Regular"/>
          <w:color w:val="000000"/>
          <w:sz w:val="22"/>
        </w:rPr>
        <w:t xml:space="preserve"> фондови </w:t>
      </w:r>
      <w:r w:rsidR="00F541AD" w:rsidRPr="004C7C17">
        <w:rPr>
          <w:rFonts w:ascii="StobiSerif Regular" w:hAnsi="StobiSerif Regular"/>
          <w:color w:val="000000"/>
          <w:sz w:val="22"/>
        </w:rPr>
        <w:t>од</w:t>
      </w:r>
      <w:r w:rsidR="00C71B06" w:rsidRPr="004C7C17">
        <w:rPr>
          <w:rFonts w:ascii="StobiSerif Regular" w:hAnsi="StobiSerif Regular"/>
          <w:color w:val="000000"/>
          <w:sz w:val="22"/>
        </w:rPr>
        <w:t xml:space="preserve"> ЕУ и/или </w:t>
      </w:r>
      <w:r w:rsidR="00F541AD" w:rsidRPr="004C7C17">
        <w:rPr>
          <w:rFonts w:ascii="StobiSerif Regular" w:hAnsi="StobiSerif Regular"/>
          <w:color w:val="000000"/>
          <w:sz w:val="22"/>
        </w:rPr>
        <w:t>од</w:t>
      </w:r>
      <w:r w:rsidR="002E1FF1" w:rsidRPr="004C7C17">
        <w:rPr>
          <w:rFonts w:ascii="StobiSerif Regular" w:hAnsi="StobiSerif Regular"/>
          <w:color w:val="000000"/>
          <w:sz w:val="22"/>
        </w:rPr>
        <w:t xml:space="preserve"> </w:t>
      </w:r>
      <w:r w:rsidR="00C71B06" w:rsidRPr="004C7C17">
        <w:rPr>
          <w:rFonts w:ascii="StobiSerif Regular" w:hAnsi="StobiSerif Regular"/>
          <w:color w:val="000000"/>
          <w:sz w:val="22"/>
        </w:rPr>
        <w:t xml:space="preserve">други донатори. </w:t>
      </w:r>
      <w:r w:rsidR="006A67AD" w:rsidRPr="004C7C17">
        <w:rPr>
          <w:rFonts w:ascii="StobiSerif Regular" w:hAnsi="StobiSerif Regular"/>
          <w:color w:val="000000"/>
          <w:sz w:val="22"/>
        </w:rPr>
        <w:t xml:space="preserve">Под двојно </w:t>
      </w:r>
      <w:r w:rsidR="00C71B06" w:rsidRPr="004C7C17">
        <w:rPr>
          <w:rFonts w:ascii="StobiSerif Regular" w:hAnsi="StobiSerif Regular"/>
          <w:color w:val="000000"/>
          <w:sz w:val="22"/>
        </w:rPr>
        <w:t xml:space="preserve">финансирање </w:t>
      </w:r>
      <w:r w:rsidR="006A67AD" w:rsidRPr="004C7C17">
        <w:rPr>
          <w:rFonts w:ascii="StobiSerif Regular" w:hAnsi="StobiSerif Regular"/>
          <w:color w:val="000000"/>
          <w:sz w:val="22"/>
        </w:rPr>
        <w:t xml:space="preserve">се </w:t>
      </w:r>
      <w:r w:rsidR="00C71B06" w:rsidRPr="004C7C17">
        <w:rPr>
          <w:rFonts w:ascii="StobiSerif Regular" w:hAnsi="StobiSerif Regular"/>
          <w:color w:val="000000"/>
          <w:sz w:val="22"/>
        </w:rPr>
        <w:t xml:space="preserve">подразбира дека барем еден дел од </w:t>
      </w:r>
      <w:r w:rsidR="00192531" w:rsidRPr="004C7C17">
        <w:rPr>
          <w:rFonts w:ascii="StobiSerif Regular" w:hAnsi="StobiSerif Regular"/>
          <w:color w:val="000000"/>
          <w:sz w:val="22"/>
        </w:rPr>
        <w:t>финансирањето</w:t>
      </w:r>
      <w:r w:rsidR="00C71B06" w:rsidRPr="004C7C17">
        <w:rPr>
          <w:rFonts w:ascii="StobiSerif Regular" w:hAnsi="StobiSerif Regular"/>
          <w:color w:val="000000"/>
          <w:sz w:val="22"/>
        </w:rPr>
        <w:t xml:space="preserve"> за исполнување на даден чекор </w:t>
      </w:r>
      <w:r w:rsidR="00192531" w:rsidRPr="004C7C17">
        <w:rPr>
          <w:rFonts w:ascii="StobiSerif Regular" w:hAnsi="StobiSerif Regular"/>
          <w:color w:val="000000"/>
          <w:sz w:val="22"/>
        </w:rPr>
        <w:t>е обезбеден</w:t>
      </w:r>
      <w:r w:rsidR="002E1FF1" w:rsidRPr="004C7C17">
        <w:rPr>
          <w:rFonts w:ascii="StobiSerif Regular" w:hAnsi="StobiSerif Regular"/>
          <w:color w:val="000000"/>
          <w:sz w:val="22"/>
        </w:rPr>
        <w:t>о</w:t>
      </w:r>
      <w:r w:rsidR="00C71B06" w:rsidRPr="004C7C17">
        <w:rPr>
          <w:rFonts w:ascii="StobiSerif Regular" w:hAnsi="StobiSerif Regular"/>
          <w:color w:val="000000"/>
          <w:sz w:val="22"/>
        </w:rPr>
        <w:t xml:space="preserve"> во форма на грант. Според тоа, </w:t>
      </w:r>
      <w:r w:rsidR="00AF178F" w:rsidRPr="004C7C17">
        <w:rPr>
          <w:rFonts w:ascii="StobiSerif Regular" w:hAnsi="StobiSerif Regular"/>
          <w:color w:val="000000"/>
          <w:sz w:val="22"/>
        </w:rPr>
        <w:t xml:space="preserve">ова упатство </w:t>
      </w:r>
      <w:r w:rsidR="002E1FF1" w:rsidRPr="004C7C17">
        <w:rPr>
          <w:rFonts w:ascii="StobiSerif Regular" w:hAnsi="StobiSerif Regular"/>
          <w:color w:val="000000"/>
          <w:sz w:val="22"/>
        </w:rPr>
        <w:t xml:space="preserve">не </w:t>
      </w:r>
      <w:r w:rsidR="00352040" w:rsidRPr="004C7C17">
        <w:rPr>
          <w:rFonts w:ascii="StobiSerif Regular" w:hAnsi="StobiSerif Regular"/>
          <w:color w:val="000000"/>
          <w:sz w:val="22"/>
        </w:rPr>
        <w:t>се однесува на</w:t>
      </w:r>
      <w:r w:rsidR="00C71B06" w:rsidRPr="004C7C17">
        <w:rPr>
          <w:rFonts w:ascii="StobiSerif Regular" w:hAnsi="StobiSerif Regular"/>
          <w:color w:val="000000"/>
          <w:sz w:val="22"/>
        </w:rPr>
        <w:t xml:space="preserve"> случаи</w:t>
      </w:r>
      <w:r w:rsidR="002E1FF1" w:rsidRPr="004C7C17">
        <w:rPr>
          <w:rFonts w:ascii="StobiSerif Regular" w:hAnsi="StobiSerif Regular"/>
          <w:color w:val="000000"/>
          <w:sz w:val="22"/>
        </w:rPr>
        <w:t>те</w:t>
      </w:r>
      <w:r w:rsidR="00C71B06" w:rsidRPr="004C7C17">
        <w:rPr>
          <w:rFonts w:ascii="StobiSerif Regular" w:hAnsi="StobiSerif Regular"/>
          <w:color w:val="000000"/>
          <w:sz w:val="22"/>
        </w:rPr>
        <w:t xml:space="preserve"> кога сите извори на финансирање вклучени во исполнувањето на чекорот се заеми.</w:t>
      </w:r>
    </w:p>
    <w:p w14:paraId="2BA11FD1" w14:textId="2BAEFA98" w:rsidR="00C71B06" w:rsidRPr="004C7C17" w:rsidRDefault="00343418" w:rsidP="00803AFB">
      <w:pPr>
        <w:shd w:val="clear" w:color="auto" w:fill="FFFFFF"/>
        <w:spacing w:before="120" w:after="120"/>
        <w:jc w:val="both"/>
        <w:rPr>
          <w:rFonts w:ascii="StobiSerif Regular" w:eastAsia="Times New Roman" w:hAnsi="StobiSerif Regular"/>
          <w:color w:val="000000"/>
          <w:sz w:val="22"/>
          <w:szCs w:val="22"/>
        </w:rPr>
      </w:pPr>
      <w:r w:rsidRPr="004C7C17">
        <w:rPr>
          <w:rFonts w:ascii="StobiSerif Regular" w:hAnsi="StobiSerif Regular"/>
          <w:color w:val="000000"/>
          <w:sz w:val="22"/>
        </w:rPr>
        <w:t>Со о</w:t>
      </w:r>
      <w:r w:rsidR="00C71B06" w:rsidRPr="004C7C17">
        <w:rPr>
          <w:rFonts w:ascii="StobiSerif Regular" w:hAnsi="StobiSerif Regular"/>
          <w:color w:val="000000"/>
          <w:sz w:val="22"/>
        </w:rPr>
        <w:t xml:space="preserve">ва упатството </w:t>
      </w:r>
      <w:r w:rsidRPr="004C7C17">
        <w:rPr>
          <w:rFonts w:ascii="StobiSerif Regular" w:hAnsi="StobiSerif Regular"/>
          <w:color w:val="000000"/>
          <w:sz w:val="22"/>
        </w:rPr>
        <w:t xml:space="preserve">се </w:t>
      </w:r>
      <w:r w:rsidR="00C71B06" w:rsidRPr="004C7C17">
        <w:rPr>
          <w:rFonts w:ascii="StobiSerif Regular" w:hAnsi="StobiSerif Regular"/>
          <w:color w:val="000000"/>
          <w:sz w:val="22"/>
        </w:rPr>
        <w:t>објаснува како да се спречи, открие и реши проблемот со двојното финансирање од страна на корисниците од Западен Балкан и Комисијата. Целта н</w:t>
      </w:r>
      <w:r w:rsidR="00352040" w:rsidRPr="004C7C17">
        <w:rPr>
          <w:rFonts w:ascii="StobiSerif Regular" w:hAnsi="StobiSerif Regular"/>
          <w:color w:val="000000"/>
          <w:sz w:val="22"/>
        </w:rPr>
        <w:t xml:space="preserve">а овој документ е да им </w:t>
      </w:r>
      <w:r w:rsidRPr="004C7C17">
        <w:rPr>
          <w:rFonts w:ascii="StobiSerif Regular" w:hAnsi="StobiSerif Regular"/>
          <w:color w:val="000000"/>
          <w:sz w:val="22"/>
        </w:rPr>
        <w:t xml:space="preserve">се </w:t>
      </w:r>
      <w:r w:rsidR="00352040" w:rsidRPr="004C7C17">
        <w:rPr>
          <w:rFonts w:ascii="StobiSerif Regular" w:hAnsi="StobiSerif Regular"/>
          <w:color w:val="000000"/>
          <w:sz w:val="22"/>
        </w:rPr>
        <w:t>обезбедат</w:t>
      </w:r>
      <w:r w:rsidR="00C71B06" w:rsidRPr="004C7C17">
        <w:rPr>
          <w:rFonts w:ascii="StobiSerif Regular" w:hAnsi="StobiSerif Regular"/>
          <w:color w:val="000000"/>
          <w:sz w:val="22"/>
        </w:rPr>
        <w:t xml:space="preserve"> на Корисникот и на службите на Комисијата </w:t>
      </w:r>
      <w:r w:rsidR="002E1FF1" w:rsidRPr="004C7C17">
        <w:rPr>
          <w:rFonts w:ascii="StobiSerif Regular" w:hAnsi="StobiSerif Regular"/>
          <w:color w:val="000000"/>
          <w:sz w:val="22"/>
        </w:rPr>
        <w:t>јасни насоки</w:t>
      </w:r>
      <w:r w:rsidR="00C71B06" w:rsidRPr="004C7C17">
        <w:rPr>
          <w:rFonts w:ascii="StobiSerif Regular" w:hAnsi="StobiSerif Regular"/>
          <w:color w:val="000000"/>
          <w:sz w:val="22"/>
        </w:rPr>
        <w:t xml:space="preserve"> и толкувања </w:t>
      </w:r>
      <w:r w:rsidR="00AF178F" w:rsidRPr="004C7C17">
        <w:rPr>
          <w:rFonts w:ascii="StobiSerif Regular" w:hAnsi="StobiSerif Regular"/>
          <w:color w:val="000000"/>
          <w:sz w:val="22"/>
        </w:rPr>
        <w:t xml:space="preserve">во врска со </w:t>
      </w:r>
      <w:r w:rsidR="00C71B06" w:rsidRPr="004C7C17">
        <w:rPr>
          <w:rFonts w:ascii="StobiSerif Regular" w:hAnsi="StobiSerif Regular"/>
          <w:color w:val="000000"/>
          <w:sz w:val="22"/>
        </w:rPr>
        <w:t xml:space="preserve">двојното финансирање, со цел да се олесни спроведувањето на Инструментот за реформи и раст за Западен Балкан во согласност со начелата </w:t>
      </w:r>
      <w:r w:rsidR="00AF178F" w:rsidRPr="004C7C17">
        <w:rPr>
          <w:rFonts w:ascii="StobiSerif Regular" w:hAnsi="StobiSerif Regular"/>
          <w:color w:val="000000"/>
          <w:sz w:val="22"/>
        </w:rPr>
        <w:t>на добро финансиско управување.</w:t>
      </w:r>
    </w:p>
    <w:tbl>
      <w:tblPr>
        <w:tblStyle w:val="TableGrid"/>
        <w:tblW w:w="0" w:type="auto"/>
        <w:tblLook w:val="04A0" w:firstRow="1" w:lastRow="0" w:firstColumn="1" w:lastColumn="0" w:noHBand="0" w:noVBand="1"/>
      </w:tblPr>
      <w:tblGrid>
        <w:gridCol w:w="9019"/>
      </w:tblGrid>
      <w:tr w:rsidR="001A60A9" w:rsidRPr="004C7C17" w14:paraId="3F9082F1" w14:textId="77777777" w:rsidTr="001A60A9">
        <w:tc>
          <w:tcPr>
            <w:tcW w:w="9019" w:type="dxa"/>
          </w:tcPr>
          <w:p w14:paraId="5F4E5C1B" w14:textId="11BF0A41" w:rsidR="001A60A9" w:rsidRPr="004C7C17" w:rsidRDefault="001A60A9" w:rsidP="001A60A9">
            <w:pPr>
              <w:spacing w:before="120" w:after="120"/>
              <w:ind w:left="313" w:hanging="313"/>
              <w:jc w:val="both"/>
              <w:rPr>
                <w:rFonts w:ascii="StobiSerif Regular" w:hAnsi="StobiSerif Regular"/>
                <w:sz w:val="22"/>
                <w:szCs w:val="22"/>
              </w:rPr>
            </w:pPr>
            <w:r w:rsidRPr="004C7C17">
              <w:rPr>
                <w:rFonts w:ascii="StobiSerif Regular" w:hAnsi="StobiSerif Regular"/>
                <w:sz w:val="24"/>
              </w:rPr>
              <w:t>•</w:t>
            </w:r>
            <w:r w:rsidRPr="004C7C17">
              <w:rPr>
                <w:rFonts w:ascii="StobiSerif Regular" w:hAnsi="StobiSerif Regular"/>
                <w:sz w:val="24"/>
              </w:rPr>
              <w:tab/>
            </w:r>
            <w:r w:rsidR="002E1FF1" w:rsidRPr="004C7C17">
              <w:rPr>
                <w:rFonts w:ascii="StobiSerif Regular" w:hAnsi="StobiSerif Regular"/>
                <w:sz w:val="22"/>
                <w:szCs w:val="22"/>
              </w:rPr>
              <w:t>Генерално</w:t>
            </w:r>
            <w:r w:rsidRPr="004C7C17">
              <w:rPr>
                <w:rFonts w:ascii="StobiSerif Regular" w:hAnsi="StobiSerif Regular"/>
                <w:sz w:val="22"/>
                <w:szCs w:val="22"/>
              </w:rPr>
              <w:t xml:space="preserve">, </w:t>
            </w:r>
            <w:r w:rsidR="00343418" w:rsidRPr="004C7C17">
              <w:rPr>
                <w:rFonts w:ascii="StobiSerif Regular" w:hAnsi="StobiSerif Regular"/>
                <w:sz w:val="22"/>
                <w:szCs w:val="22"/>
              </w:rPr>
              <w:t xml:space="preserve">под </w:t>
            </w:r>
            <w:r w:rsidRPr="004C7C17">
              <w:rPr>
                <w:rFonts w:ascii="StobiSerif Regular" w:hAnsi="StobiSerif Regular"/>
                <w:sz w:val="22"/>
                <w:szCs w:val="22"/>
              </w:rPr>
              <w:t xml:space="preserve">„двојното финансирање“ </w:t>
            </w:r>
            <w:r w:rsidR="00343418" w:rsidRPr="004C7C17">
              <w:rPr>
                <w:rFonts w:ascii="StobiSerif Regular" w:hAnsi="StobiSerif Regular"/>
                <w:sz w:val="22"/>
                <w:szCs w:val="22"/>
              </w:rPr>
              <w:t xml:space="preserve">се </w:t>
            </w:r>
            <w:r w:rsidRPr="004C7C17">
              <w:rPr>
                <w:rFonts w:ascii="StobiSerif Regular" w:hAnsi="StobiSerif Regular"/>
                <w:sz w:val="22"/>
                <w:szCs w:val="22"/>
              </w:rPr>
              <w:t xml:space="preserve">подразбира ситуација во која </w:t>
            </w:r>
            <w:r w:rsidRPr="004C7C17">
              <w:rPr>
                <w:rFonts w:ascii="StobiSerif Regular" w:hAnsi="StobiSerif Regular"/>
                <w:b/>
                <w:sz w:val="22"/>
                <w:szCs w:val="22"/>
              </w:rPr>
              <w:t>истите трошоци за иста активност се финансираат двапати</w:t>
            </w:r>
            <w:r w:rsidRPr="004C7C17">
              <w:rPr>
                <w:rFonts w:ascii="StobiSerif Regular" w:hAnsi="StobiSerif Regular"/>
                <w:sz w:val="22"/>
                <w:szCs w:val="22"/>
              </w:rPr>
              <w:t xml:space="preserve">, преку користење фондови од ЕУ и/или од други донатори (што не е во согласност со начелата на добро финансиско управување). Кај финансирањето засновано на перформанси, како </w:t>
            </w:r>
            <w:r w:rsidR="002E1FF1" w:rsidRPr="004C7C17">
              <w:rPr>
                <w:rFonts w:ascii="StobiSerif Regular" w:hAnsi="StobiSerif Regular"/>
                <w:sz w:val="22"/>
                <w:szCs w:val="22"/>
              </w:rPr>
              <w:t>на пример во</w:t>
            </w:r>
            <w:r w:rsidRPr="004C7C17">
              <w:rPr>
                <w:rFonts w:ascii="StobiSerif Regular" w:hAnsi="StobiSerif Regular"/>
                <w:sz w:val="22"/>
                <w:szCs w:val="22"/>
              </w:rPr>
              <w:t xml:space="preserve"> рамките на Инструме</w:t>
            </w:r>
            <w:r w:rsidR="00F541AD" w:rsidRPr="004C7C17">
              <w:rPr>
                <w:rFonts w:ascii="StobiSerif Regular" w:hAnsi="StobiSerif Regular"/>
                <w:sz w:val="22"/>
                <w:szCs w:val="22"/>
              </w:rPr>
              <w:t>нтот за реформи и раст, двојно</w:t>
            </w:r>
            <w:r w:rsidRPr="004C7C17">
              <w:rPr>
                <w:rFonts w:ascii="StobiSerif Regular" w:hAnsi="StobiSerif Regular"/>
                <w:sz w:val="22"/>
                <w:szCs w:val="22"/>
              </w:rPr>
              <w:t xml:space="preserve"> финансирање </w:t>
            </w:r>
            <w:r w:rsidR="002E1FF1" w:rsidRPr="004C7C17">
              <w:rPr>
                <w:rFonts w:ascii="StobiSerif Regular" w:hAnsi="StobiSerif Regular"/>
                <w:sz w:val="22"/>
                <w:szCs w:val="22"/>
              </w:rPr>
              <w:t>може да се појави кога</w:t>
            </w:r>
            <w:r w:rsidRPr="004C7C17">
              <w:rPr>
                <w:rFonts w:ascii="StobiSerif Regular" w:hAnsi="StobiSerif Regular"/>
                <w:sz w:val="22"/>
                <w:szCs w:val="22"/>
              </w:rPr>
              <w:t xml:space="preserve"> </w:t>
            </w:r>
            <w:r w:rsidR="002E1FF1" w:rsidRPr="004C7C17">
              <w:rPr>
                <w:rFonts w:ascii="StobiSerif Regular" w:hAnsi="StobiSerif Regular"/>
                <w:b/>
                <w:sz w:val="22"/>
                <w:szCs w:val="22"/>
              </w:rPr>
              <w:t xml:space="preserve">финансираните </w:t>
            </w:r>
            <w:r w:rsidRPr="004C7C17">
              <w:rPr>
                <w:rFonts w:ascii="StobiSerif Regular" w:hAnsi="StobiSerif Regular"/>
                <w:b/>
                <w:sz w:val="22"/>
                <w:szCs w:val="22"/>
              </w:rPr>
              <w:t>комплем</w:t>
            </w:r>
            <w:r w:rsidR="002E1FF1" w:rsidRPr="004C7C17">
              <w:rPr>
                <w:rFonts w:ascii="StobiSerif Regular" w:hAnsi="StobiSerif Regular"/>
                <w:b/>
                <w:sz w:val="22"/>
                <w:szCs w:val="22"/>
              </w:rPr>
              <w:t>ентарни</w:t>
            </w:r>
            <w:r w:rsidRPr="004C7C17">
              <w:rPr>
                <w:rFonts w:ascii="StobiSerif Regular" w:hAnsi="StobiSerif Regular"/>
                <w:b/>
                <w:sz w:val="22"/>
                <w:szCs w:val="22"/>
              </w:rPr>
              <w:t xml:space="preserve"> акции придонесуваат</w:t>
            </w:r>
            <w:r w:rsidR="00F541AD" w:rsidRPr="004C7C17">
              <w:rPr>
                <w:rFonts w:ascii="StobiSerif Regular" w:hAnsi="StobiSerif Regular"/>
                <w:b/>
                <w:sz w:val="22"/>
                <w:szCs w:val="22"/>
              </w:rPr>
              <w:t xml:space="preserve"> во голема мера</w:t>
            </w:r>
            <w:r w:rsidRPr="004C7C17">
              <w:rPr>
                <w:rFonts w:ascii="StobiSerif Regular" w:hAnsi="StobiSerif Regular"/>
                <w:sz w:val="22"/>
                <w:szCs w:val="22"/>
              </w:rPr>
              <w:t xml:space="preserve"> </w:t>
            </w:r>
            <w:r w:rsidR="00BC473E" w:rsidRPr="004C7C17">
              <w:rPr>
                <w:rFonts w:ascii="StobiSerif Regular" w:hAnsi="StobiSerif Regular"/>
                <w:sz w:val="22"/>
                <w:szCs w:val="22"/>
              </w:rPr>
              <w:t>во</w:t>
            </w:r>
            <w:r w:rsidRPr="004C7C17">
              <w:rPr>
                <w:rFonts w:ascii="StobiSerif Regular" w:hAnsi="StobiSerif Regular"/>
                <w:sz w:val="22"/>
                <w:szCs w:val="22"/>
              </w:rPr>
              <w:t xml:space="preserve"> испорачувањето на договорениот резултат или пак, кога </w:t>
            </w:r>
            <w:r w:rsidR="00BC473E" w:rsidRPr="004C7C17">
              <w:rPr>
                <w:rFonts w:ascii="StobiSerif Regular" w:hAnsi="StobiSerif Regular"/>
                <w:b/>
                <w:sz w:val="22"/>
                <w:szCs w:val="22"/>
              </w:rPr>
              <w:t>исти</w:t>
            </w:r>
            <w:r w:rsidRPr="004C7C17">
              <w:rPr>
                <w:rFonts w:ascii="StobiSerif Regular" w:hAnsi="StobiSerif Regular"/>
                <w:b/>
                <w:sz w:val="22"/>
                <w:szCs w:val="22"/>
              </w:rPr>
              <w:t xml:space="preserve"> активности се пријавуваат како резултати во рамките на други фондови </w:t>
            </w:r>
            <w:r w:rsidR="005E52DA" w:rsidRPr="004C7C17">
              <w:rPr>
                <w:rFonts w:ascii="StobiSerif Regular" w:hAnsi="StobiSerif Regular"/>
                <w:b/>
                <w:sz w:val="22"/>
                <w:szCs w:val="22"/>
              </w:rPr>
              <w:t>од</w:t>
            </w:r>
            <w:r w:rsidRPr="004C7C17">
              <w:rPr>
                <w:rFonts w:ascii="StobiSerif Regular" w:hAnsi="StobiSerif Regular"/>
                <w:b/>
                <w:sz w:val="22"/>
                <w:szCs w:val="22"/>
              </w:rPr>
              <w:t xml:space="preserve"> ЕУ и/или </w:t>
            </w:r>
            <w:r w:rsidR="005E52DA" w:rsidRPr="004C7C17">
              <w:rPr>
                <w:rFonts w:ascii="StobiSerif Regular" w:hAnsi="StobiSerif Regular"/>
                <w:b/>
                <w:sz w:val="22"/>
                <w:szCs w:val="22"/>
              </w:rPr>
              <w:t xml:space="preserve">од </w:t>
            </w:r>
            <w:r w:rsidRPr="004C7C17">
              <w:rPr>
                <w:rFonts w:ascii="StobiSerif Regular" w:hAnsi="StobiSerif Regular"/>
                <w:b/>
                <w:sz w:val="22"/>
                <w:szCs w:val="22"/>
              </w:rPr>
              <w:t>други донатори</w:t>
            </w:r>
            <w:r w:rsidRPr="004C7C17">
              <w:rPr>
                <w:rFonts w:ascii="StobiSerif Regular" w:hAnsi="StobiSerif Regular"/>
                <w:sz w:val="22"/>
                <w:szCs w:val="22"/>
              </w:rPr>
              <w:t>.</w:t>
            </w:r>
          </w:p>
          <w:p w14:paraId="5C306713" w14:textId="07B8874B" w:rsidR="001A60A9" w:rsidRPr="004C7C17" w:rsidRDefault="001A60A9" w:rsidP="001A60A9">
            <w:pPr>
              <w:spacing w:before="120" w:after="120"/>
              <w:ind w:left="313" w:hanging="313"/>
              <w:jc w:val="both"/>
              <w:rPr>
                <w:rFonts w:ascii="StobiSerif Regular" w:hAnsi="StobiSerif Regular"/>
                <w:sz w:val="22"/>
                <w:szCs w:val="22"/>
              </w:rPr>
            </w:pPr>
            <w:r w:rsidRPr="004C7C17">
              <w:rPr>
                <w:rFonts w:ascii="StobiSerif Regular" w:hAnsi="StobiSerif Regular"/>
                <w:sz w:val="22"/>
                <w:szCs w:val="22"/>
              </w:rPr>
              <w:t>•</w:t>
            </w:r>
            <w:r w:rsidRPr="004C7C17">
              <w:rPr>
                <w:rFonts w:ascii="StobiSerif Regular" w:hAnsi="StobiSerif Regular"/>
                <w:sz w:val="22"/>
                <w:szCs w:val="22"/>
              </w:rPr>
              <w:tab/>
            </w:r>
            <w:r w:rsidR="00A10AD6" w:rsidRPr="004C7C17">
              <w:rPr>
                <w:rFonts w:ascii="StobiSerif Regular" w:hAnsi="StobiSerif Regular"/>
                <w:sz w:val="22"/>
                <w:szCs w:val="22"/>
              </w:rPr>
              <w:t>Во рамките на</w:t>
            </w:r>
            <w:r w:rsidRPr="004C7C17">
              <w:rPr>
                <w:rFonts w:ascii="StobiSerif Regular" w:hAnsi="StobiSerif Regular"/>
                <w:sz w:val="22"/>
                <w:szCs w:val="22"/>
              </w:rPr>
              <w:t xml:space="preserve"> Инструментот за реформи и раст за Западен Балкан, корисниците </w:t>
            </w:r>
            <w:r w:rsidR="002248B3" w:rsidRPr="004C7C17">
              <w:rPr>
                <w:rFonts w:ascii="StobiSerif Regular" w:hAnsi="StobiSerif Regular"/>
                <w:sz w:val="22"/>
                <w:szCs w:val="22"/>
              </w:rPr>
              <w:t xml:space="preserve">се </w:t>
            </w:r>
            <w:r w:rsidR="002248B3" w:rsidRPr="004C7C17">
              <w:rPr>
                <w:rFonts w:ascii="StobiSerif Regular" w:hAnsi="StobiSerif Regular"/>
                <w:b/>
                <w:sz w:val="22"/>
                <w:szCs w:val="22"/>
              </w:rPr>
              <w:t>одговорни за спречување</w:t>
            </w:r>
            <w:r w:rsidRPr="004C7C17">
              <w:rPr>
                <w:rFonts w:ascii="StobiSerif Regular" w:hAnsi="StobiSerif Regular"/>
                <w:b/>
                <w:sz w:val="22"/>
                <w:szCs w:val="22"/>
              </w:rPr>
              <w:t xml:space="preserve"> </w:t>
            </w:r>
            <w:r w:rsidR="002248B3" w:rsidRPr="004C7C17">
              <w:rPr>
                <w:rFonts w:ascii="StobiSerif Regular" w:hAnsi="StobiSerif Regular"/>
                <w:b/>
                <w:sz w:val="22"/>
                <w:szCs w:val="22"/>
              </w:rPr>
              <w:t xml:space="preserve">на </w:t>
            </w:r>
            <w:r w:rsidRPr="004C7C17">
              <w:rPr>
                <w:rFonts w:ascii="StobiSerif Regular" w:hAnsi="StobiSerif Regular"/>
                <w:b/>
                <w:sz w:val="22"/>
                <w:szCs w:val="22"/>
              </w:rPr>
              <w:t>двојно финансирање</w:t>
            </w:r>
            <w:r w:rsidRPr="004C7C17">
              <w:rPr>
                <w:rFonts w:ascii="StobiSerif Regular" w:hAnsi="StobiSerif Regular"/>
                <w:sz w:val="22"/>
                <w:szCs w:val="22"/>
              </w:rPr>
              <w:t xml:space="preserve"> (т.е. изјава за гаранција), идеално преку централизиран ИТ-систем кој овозмож</w:t>
            </w:r>
            <w:r w:rsidR="00A10AD6" w:rsidRPr="004C7C17">
              <w:rPr>
                <w:rFonts w:ascii="StobiSerif Regular" w:hAnsi="StobiSerif Regular"/>
                <w:sz w:val="22"/>
                <w:szCs w:val="22"/>
              </w:rPr>
              <w:t>ува идентификација на различни</w:t>
            </w:r>
            <w:r w:rsidRPr="004C7C17">
              <w:rPr>
                <w:rFonts w:ascii="StobiSerif Regular" w:hAnsi="StobiSerif Regular"/>
                <w:sz w:val="22"/>
                <w:szCs w:val="22"/>
              </w:rPr>
              <w:t xml:space="preserve"> извори на финансирање. Комисијата и делегациите на ЕУ исто така преземаат соодветни мерки за спречување на двојното финансирање.</w:t>
            </w:r>
          </w:p>
          <w:p w14:paraId="47EF39FD" w14:textId="72D05755" w:rsidR="001A60A9" w:rsidRPr="004C7C17" w:rsidRDefault="001A60A9" w:rsidP="008E4228">
            <w:pPr>
              <w:spacing w:before="120" w:after="120"/>
              <w:ind w:left="313" w:hanging="313"/>
              <w:jc w:val="both"/>
              <w:rPr>
                <w:rFonts w:ascii="StobiSerif Regular" w:hAnsi="StobiSerif Regular"/>
                <w:sz w:val="24"/>
                <w:szCs w:val="24"/>
              </w:rPr>
            </w:pPr>
            <w:r w:rsidRPr="004C7C17">
              <w:rPr>
                <w:rFonts w:ascii="StobiSerif Regular" w:hAnsi="StobiSerif Regular"/>
                <w:sz w:val="22"/>
                <w:szCs w:val="22"/>
              </w:rPr>
              <w:t>•</w:t>
            </w:r>
            <w:r w:rsidRPr="004C7C17">
              <w:rPr>
                <w:rFonts w:ascii="StobiSerif Regular" w:hAnsi="StobiSerif Regular"/>
                <w:sz w:val="22"/>
                <w:szCs w:val="22"/>
              </w:rPr>
              <w:tab/>
              <w:t xml:space="preserve">Во пракса, ова значи дека не треба да има преклопување </w:t>
            </w:r>
            <w:r w:rsidR="002248B3" w:rsidRPr="004C7C17">
              <w:rPr>
                <w:rFonts w:ascii="StobiSerif Regular" w:hAnsi="StobiSerif Regular"/>
                <w:sz w:val="22"/>
                <w:szCs w:val="22"/>
              </w:rPr>
              <w:t>во</w:t>
            </w:r>
            <w:r w:rsidRPr="004C7C17">
              <w:rPr>
                <w:rFonts w:ascii="StobiSerif Regular" w:hAnsi="StobiSerif Regular"/>
                <w:sz w:val="22"/>
                <w:szCs w:val="22"/>
              </w:rPr>
              <w:t xml:space="preserve"> крајните резултати постигнати со финансирање од </w:t>
            </w:r>
            <w:r w:rsidR="002248B3" w:rsidRPr="004C7C17">
              <w:rPr>
                <w:rFonts w:ascii="StobiSerif Regular" w:hAnsi="StobiSerif Regular"/>
                <w:sz w:val="22"/>
                <w:szCs w:val="22"/>
              </w:rPr>
              <w:t xml:space="preserve">други фондови на </w:t>
            </w:r>
            <w:r w:rsidRPr="004C7C17">
              <w:rPr>
                <w:rFonts w:ascii="StobiSerif Regular" w:hAnsi="StobiSerif Regular"/>
                <w:sz w:val="22"/>
                <w:szCs w:val="22"/>
              </w:rPr>
              <w:t xml:space="preserve">ЕУ или </w:t>
            </w:r>
            <w:r w:rsidR="00152E74" w:rsidRPr="004C7C17">
              <w:rPr>
                <w:rFonts w:ascii="StobiSerif Regular" w:hAnsi="StobiSerif Regular"/>
                <w:sz w:val="22"/>
                <w:szCs w:val="22"/>
              </w:rPr>
              <w:t xml:space="preserve">од </w:t>
            </w:r>
            <w:r w:rsidRPr="004C7C17">
              <w:rPr>
                <w:rFonts w:ascii="StobiSerif Regular" w:hAnsi="StobiSerif Regular"/>
                <w:sz w:val="22"/>
                <w:szCs w:val="22"/>
              </w:rPr>
              <w:t xml:space="preserve">други донатори, освен ако </w:t>
            </w:r>
            <w:r w:rsidR="00A10AD6" w:rsidRPr="004C7C17">
              <w:rPr>
                <w:rFonts w:ascii="StobiSerif Regular" w:hAnsi="StobiSerif Regular"/>
                <w:sz w:val="22"/>
                <w:szCs w:val="22"/>
              </w:rPr>
              <w:t>постои</w:t>
            </w:r>
            <w:r w:rsidRPr="004C7C17">
              <w:rPr>
                <w:rFonts w:ascii="StobiSerif Regular" w:hAnsi="StobiSerif Regular"/>
                <w:sz w:val="22"/>
                <w:szCs w:val="22"/>
              </w:rPr>
              <w:t xml:space="preserve"> јасно разграничување на резултатите и раздвојување на средствата (на ниво на крајни </w:t>
            </w:r>
            <w:r w:rsidR="002248B3" w:rsidRPr="004C7C17">
              <w:rPr>
                <w:rFonts w:ascii="StobiSerif Regular" w:hAnsi="StobiSerif Regular"/>
                <w:sz w:val="22"/>
                <w:szCs w:val="22"/>
              </w:rPr>
              <w:t>приматели</w:t>
            </w:r>
            <w:r w:rsidRPr="004C7C17">
              <w:rPr>
                <w:rFonts w:ascii="StobiSerif Regular" w:hAnsi="StobiSerif Regular"/>
                <w:sz w:val="22"/>
                <w:szCs w:val="22"/>
              </w:rPr>
              <w:t xml:space="preserve">). Исто така, тоа </w:t>
            </w:r>
            <w:r w:rsidR="002248B3" w:rsidRPr="004C7C17">
              <w:rPr>
                <w:rFonts w:ascii="StobiSerif Regular" w:hAnsi="StobiSerif Regular"/>
                <w:sz w:val="22"/>
                <w:szCs w:val="22"/>
              </w:rPr>
              <w:t xml:space="preserve">значи дека резултатите </w:t>
            </w:r>
            <w:r w:rsidR="00832822" w:rsidRPr="004C7C17">
              <w:rPr>
                <w:rFonts w:ascii="StobiSerif Regular" w:hAnsi="StobiSerif Regular"/>
                <w:sz w:val="22"/>
                <w:szCs w:val="22"/>
              </w:rPr>
              <w:t xml:space="preserve">што се </w:t>
            </w:r>
            <w:r w:rsidR="00A01EC4" w:rsidRPr="004C7C17">
              <w:rPr>
                <w:rFonts w:ascii="StobiSerif Regular" w:hAnsi="StobiSerif Regular"/>
                <w:sz w:val="22"/>
                <w:szCs w:val="22"/>
              </w:rPr>
              <w:t xml:space="preserve">пријавени </w:t>
            </w:r>
            <w:r w:rsidRPr="004C7C17">
              <w:rPr>
                <w:rFonts w:ascii="StobiSerif Regular" w:hAnsi="StobiSerif Regular"/>
                <w:sz w:val="22"/>
                <w:szCs w:val="22"/>
              </w:rPr>
              <w:t xml:space="preserve">во рамките на друга интервенција не треба повторно да се </w:t>
            </w:r>
            <w:r w:rsidR="002D7FC8" w:rsidRPr="004C7C17">
              <w:rPr>
                <w:rFonts w:ascii="StobiSerif Regular" w:hAnsi="StobiSerif Regular"/>
                <w:sz w:val="22"/>
                <w:szCs w:val="22"/>
              </w:rPr>
              <w:t>бројат</w:t>
            </w:r>
            <w:r w:rsidRPr="004C7C17">
              <w:rPr>
                <w:rFonts w:ascii="StobiSerif Regular" w:hAnsi="StobiSerif Regular"/>
                <w:sz w:val="22"/>
                <w:szCs w:val="22"/>
              </w:rPr>
              <w:t xml:space="preserve"> </w:t>
            </w:r>
            <w:r w:rsidR="002248B3" w:rsidRPr="004C7C17">
              <w:rPr>
                <w:rFonts w:ascii="StobiSerif Regular" w:hAnsi="StobiSerif Regular"/>
                <w:sz w:val="22"/>
                <w:szCs w:val="22"/>
              </w:rPr>
              <w:t>при</w:t>
            </w:r>
            <w:r w:rsidRPr="004C7C17">
              <w:rPr>
                <w:rFonts w:ascii="StobiSerif Regular" w:hAnsi="StobiSerif Regular"/>
                <w:sz w:val="22"/>
                <w:szCs w:val="22"/>
              </w:rPr>
              <w:t xml:space="preserve"> прегледот на исполнувањето на чекорот во договорените реформски агенди.</w:t>
            </w:r>
          </w:p>
        </w:tc>
      </w:tr>
    </w:tbl>
    <w:p w14:paraId="25FC1DD6" w14:textId="77777777" w:rsidR="001A60A9" w:rsidRPr="004C7C17" w:rsidRDefault="001A60A9" w:rsidP="00803AFB">
      <w:pPr>
        <w:shd w:val="clear" w:color="auto" w:fill="FFFFFF"/>
        <w:spacing w:before="120" w:after="120"/>
        <w:jc w:val="both"/>
        <w:rPr>
          <w:rFonts w:ascii="StobiSerif Regular" w:hAnsi="StobiSerif Regular"/>
          <w:sz w:val="24"/>
          <w:szCs w:val="24"/>
        </w:rPr>
      </w:pPr>
    </w:p>
    <w:p w14:paraId="54115CC1" w14:textId="77777777" w:rsidR="00C71B06" w:rsidRPr="004C7C17" w:rsidRDefault="00C71B06" w:rsidP="00803AFB">
      <w:pPr>
        <w:shd w:val="clear" w:color="auto" w:fill="FFFFFF"/>
        <w:spacing w:before="120" w:after="120"/>
        <w:ind w:left="284"/>
        <w:jc w:val="both"/>
        <w:rPr>
          <w:rFonts w:ascii="StobiSerif Regular" w:hAnsi="StobiSerif Regular"/>
          <w:sz w:val="24"/>
          <w:szCs w:val="24"/>
        </w:rPr>
      </w:pPr>
      <w:r w:rsidRPr="004C7C17">
        <w:rPr>
          <w:rFonts w:ascii="StobiSerif Regular" w:hAnsi="StobiSerif Regular"/>
          <w:b/>
          <w:color w:val="000000"/>
          <w:sz w:val="22"/>
        </w:rPr>
        <w:lastRenderedPageBreak/>
        <w:t>1.</w:t>
      </w:r>
      <w:r w:rsidRPr="004C7C17">
        <w:rPr>
          <w:rFonts w:ascii="StobiSerif Regular" w:hAnsi="StobiSerif Regular"/>
          <w:b/>
          <w:color w:val="000000"/>
          <w:sz w:val="22"/>
        </w:rPr>
        <w:tab/>
        <w:t>Општи забелешки</w:t>
      </w:r>
    </w:p>
    <w:p w14:paraId="392032ED" w14:textId="77777777" w:rsidR="00C71B06" w:rsidRPr="004C7C17" w:rsidRDefault="00152E74"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Комисијата, како и К</w:t>
      </w:r>
      <w:r w:rsidR="00C71B06" w:rsidRPr="004C7C17">
        <w:rPr>
          <w:rFonts w:ascii="StobiSerif Regular" w:hAnsi="StobiSerif Regular"/>
          <w:b/>
          <w:color w:val="000000"/>
          <w:sz w:val="22"/>
        </w:rPr>
        <w:t xml:space="preserve">орисникот имаат обврска да избегнуваат „двојно финансирање“ при спроведувањето на ИРР. </w:t>
      </w:r>
      <w:r w:rsidR="00C71B06" w:rsidRPr="004C7C17">
        <w:rPr>
          <w:rFonts w:ascii="StobiSerif Regular" w:hAnsi="StobiSerif Regular"/>
          <w:color w:val="000000"/>
          <w:sz w:val="22"/>
        </w:rPr>
        <w:t xml:space="preserve">Во рамките на Инструментот за реформи и раст, дозволено е поддршката да се комбинира со финансиска поддршка од другите програми на Унијата, во согласност со член 4(3) од Регулативата за ИРР, „под услов таквата поддршка да не ги покрива истите трошоци и да се осигури соодветен надзор и буџетска контрола“. Ова особено </w:t>
      </w:r>
      <w:r w:rsidR="00B6228B" w:rsidRPr="004C7C17">
        <w:rPr>
          <w:rFonts w:ascii="StobiSerif Regular" w:hAnsi="StobiSerif Regular"/>
          <w:color w:val="000000"/>
          <w:sz w:val="22"/>
        </w:rPr>
        <w:t>има за цел</w:t>
      </w:r>
      <w:r w:rsidR="00C71B06" w:rsidRPr="004C7C17">
        <w:rPr>
          <w:rFonts w:ascii="StobiSerif Regular" w:hAnsi="StobiSerif Regular"/>
          <w:color w:val="000000"/>
          <w:sz w:val="22"/>
        </w:rPr>
        <w:t xml:space="preserve"> </w:t>
      </w:r>
      <w:r w:rsidR="00B6228B" w:rsidRPr="004C7C17">
        <w:rPr>
          <w:rFonts w:ascii="StobiSerif Regular" w:hAnsi="StobiSerif Regular"/>
          <w:color w:val="000000"/>
          <w:sz w:val="22"/>
        </w:rPr>
        <w:t>да се осигури</w:t>
      </w:r>
      <w:r w:rsidR="00C71B06" w:rsidRPr="004C7C17">
        <w:rPr>
          <w:rFonts w:ascii="StobiSerif Regular" w:hAnsi="StobiSerif Regular"/>
          <w:color w:val="000000"/>
          <w:sz w:val="22"/>
        </w:rPr>
        <w:t xml:space="preserve"> </w:t>
      </w:r>
      <w:r w:rsidR="00C71B06" w:rsidRPr="004C7C17">
        <w:rPr>
          <w:rFonts w:ascii="StobiSerif Regular" w:hAnsi="StobiSerif Regular"/>
          <w:b/>
          <w:bCs/>
          <w:color w:val="000000"/>
          <w:sz w:val="22"/>
        </w:rPr>
        <w:t>комплементарност</w:t>
      </w:r>
      <w:r w:rsidR="00C71B06" w:rsidRPr="004C7C17">
        <w:rPr>
          <w:rFonts w:ascii="StobiSerif Regular" w:hAnsi="StobiSerif Regular"/>
          <w:color w:val="000000"/>
          <w:sz w:val="22"/>
        </w:rPr>
        <w:t xml:space="preserve"> помеѓу финансирањето од ИПА III и од други извори и финансирањето обезбедено во рамките на ИРР.</w:t>
      </w:r>
    </w:p>
    <w:p w14:paraId="234E8DA2" w14:textId="59765244"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 xml:space="preserve">Комисијата </w:t>
      </w:r>
      <w:r w:rsidR="002248B3" w:rsidRPr="004C7C17">
        <w:rPr>
          <w:rFonts w:ascii="StobiSerif Regular" w:hAnsi="StobiSerif Regular"/>
          <w:b/>
          <w:color w:val="000000"/>
          <w:sz w:val="22"/>
        </w:rPr>
        <w:t xml:space="preserve">направи процена дали </w:t>
      </w:r>
      <w:r w:rsidR="00D62746" w:rsidRPr="004C7C17">
        <w:rPr>
          <w:rFonts w:ascii="StobiSerif Regular" w:hAnsi="StobiSerif Regular"/>
          <w:b/>
          <w:color w:val="000000"/>
          <w:sz w:val="22"/>
        </w:rPr>
        <w:t>механизмите</w:t>
      </w:r>
      <w:r w:rsidRPr="004C7C17">
        <w:rPr>
          <w:rFonts w:ascii="StobiSerif Regular" w:hAnsi="StobiSerif Regular"/>
          <w:b/>
          <w:color w:val="000000"/>
          <w:sz w:val="22"/>
        </w:rPr>
        <w:t xml:space="preserve"> </w:t>
      </w:r>
      <w:r w:rsidR="00D62746" w:rsidRPr="004C7C17">
        <w:rPr>
          <w:rFonts w:ascii="StobiSerif Regular" w:hAnsi="StobiSerif Regular"/>
          <w:b/>
          <w:color w:val="000000"/>
          <w:sz w:val="22"/>
        </w:rPr>
        <w:t xml:space="preserve">воспоставени од корисниците </w:t>
      </w:r>
      <w:r w:rsidRPr="004C7C17">
        <w:rPr>
          <w:rFonts w:ascii="StobiSerif Regular" w:hAnsi="StobiSerif Regular"/>
          <w:b/>
          <w:color w:val="000000"/>
          <w:sz w:val="22"/>
        </w:rPr>
        <w:t xml:space="preserve">за </w:t>
      </w:r>
      <w:r w:rsidR="00D62746" w:rsidRPr="004C7C17">
        <w:rPr>
          <w:rFonts w:ascii="StobiSerif Regular" w:hAnsi="StobiSerif Regular"/>
          <w:b/>
          <w:color w:val="000000"/>
          <w:sz w:val="22"/>
        </w:rPr>
        <w:t>спречување двојно</w:t>
      </w:r>
      <w:r w:rsidRPr="004C7C17">
        <w:rPr>
          <w:rFonts w:ascii="StobiSerif Regular" w:hAnsi="StobiSerif Regular"/>
          <w:b/>
          <w:color w:val="000000"/>
          <w:sz w:val="22"/>
        </w:rPr>
        <w:t xml:space="preserve"> финансирање </w:t>
      </w:r>
      <w:r w:rsidR="002248B3" w:rsidRPr="004C7C17">
        <w:rPr>
          <w:rFonts w:ascii="StobiSerif Regular" w:hAnsi="StobiSerif Regular"/>
          <w:b/>
          <w:color w:val="000000"/>
          <w:sz w:val="22"/>
        </w:rPr>
        <w:t>се задоволителни</w:t>
      </w:r>
      <w:r w:rsidRPr="004C7C17">
        <w:rPr>
          <w:rFonts w:ascii="StobiSerif Regular" w:hAnsi="StobiSerif Regular"/>
          <w:b/>
          <w:color w:val="000000"/>
          <w:sz w:val="22"/>
        </w:rPr>
        <w:t xml:space="preserve">. </w:t>
      </w:r>
      <w:r w:rsidRPr="004C7C17">
        <w:rPr>
          <w:rFonts w:ascii="StobiSerif Regular" w:hAnsi="StobiSerif Regular"/>
          <w:color w:val="000000"/>
          <w:sz w:val="22"/>
        </w:rPr>
        <w:t xml:space="preserve">Реформските агенди </w:t>
      </w:r>
      <w:r w:rsidR="00152E74" w:rsidRPr="004C7C17">
        <w:rPr>
          <w:rFonts w:ascii="StobiSerif Regular" w:hAnsi="StobiSerif Regular"/>
          <w:color w:val="000000"/>
          <w:sz w:val="22"/>
        </w:rPr>
        <w:t>содржат</w:t>
      </w:r>
      <w:r w:rsidRPr="004C7C17">
        <w:rPr>
          <w:rFonts w:ascii="StobiSerif Regular" w:hAnsi="StobiSerif Regular"/>
          <w:color w:val="000000"/>
          <w:sz w:val="22"/>
        </w:rPr>
        <w:t xml:space="preserve"> објаснување за системот н</w:t>
      </w:r>
      <w:r w:rsidR="00152E74" w:rsidRPr="004C7C17">
        <w:rPr>
          <w:rFonts w:ascii="StobiSerif Regular" w:hAnsi="StobiSerif Regular"/>
          <w:color w:val="000000"/>
          <w:sz w:val="22"/>
        </w:rPr>
        <w:t>а К</w:t>
      </w:r>
      <w:r w:rsidRPr="004C7C17">
        <w:rPr>
          <w:rFonts w:ascii="StobiSerif Regular" w:hAnsi="StobiSerif Regular"/>
          <w:color w:val="000000"/>
          <w:sz w:val="22"/>
        </w:rPr>
        <w:t xml:space="preserve">орисникот за ефикасно спречување, откривање и корекција на неправилности, како и </w:t>
      </w:r>
      <w:r w:rsidR="00D62746" w:rsidRPr="004C7C17">
        <w:rPr>
          <w:rFonts w:ascii="StobiSerif Regular" w:hAnsi="StobiSerif Regular"/>
          <w:color w:val="000000"/>
          <w:sz w:val="22"/>
        </w:rPr>
        <w:t>механизми</w:t>
      </w:r>
      <w:r w:rsidRPr="004C7C17">
        <w:rPr>
          <w:rFonts w:ascii="StobiSerif Regular" w:hAnsi="StobiSerif Regular"/>
          <w:color w:val="000000"/>
          <w:sz w:val="22"/>
        </w:rPr>
        <w:t xml:space="preserve"> за избегнување двојно финансирање од Инструментот и другите програми на Унијата, како и од други донатори. Процената на Реформската агенда од страна на Комисијата го опфати овој аспект.</w:t>
      </w:r>
    </w:p>
    <w:p w14:paraId="179C4A09" w14:textId="3DB347F9"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Концептот на „двојно финансирање“ не е лесен за спроведување</w:t>
      </w:r>
      <w:r w:rsidR="00A002DE" w:rsidRPr="004C7C17">
        <w:rPr>
          <w:rFonts w:ascii="StobiSerif Regular" w:hAnsi="StobiSerif Regular"/>
          <w:b/>
          <w:color w:val="000000"/>
          <w:sz w:val="22"/>
          <w:lang w:val="en-GB"/>
        </w:rPr>
        <w:t xml:space="preserve">, </w:t>
      </w:r>
      <w:r w:rsidR="00A002DE" w:rsidRPr="004C7C17">
        <w:rPr>
          <w:rFonts w:ascii="StobiSerif Regular" w:hAnsi="StobiSerif Regular"/>
          <w:b/>
          <w:color w:val="000000"/>
          <w:sz w:val="22"/>
        </w:rPr>
        <w:t>ако се земе предвид дека ИРР е инструмент заснован на перформанси</w:t>
      </w:r>
      <w:r w:rsidRPr="004C7C17">
        <w:rPr>
          <w:rFonts w:ascii="StobiSerif Regular" w:hAnsi="StobiSerif Regular"/>
          <w:b/>
          <w:color w:val="000000"/>
          <w:sz w:val="22"/>
        </w:rPr>
        <w:t xml:space="preserve">. </w:t>
      </w:r>
      <w:r w:rsidRPr="004C7C17">
        <w:rPr>
          <w:rFonts w:ascii="StobiSerif Regular" w:hAnsi="StobiSerif Regular"/>
          <w:color w:val="000000"/>
          <w:sz w:val="22"/>
        </w:rPr>
        <w:t xml:space="preserve">Член 4(3) од Регулативата за ИРР воведува пристап заснован на трошоци во однос на процената на двојното финансирање. Меѓутоа, ИРР е инструмент заснован на перформанси, </w:t>
      </w:r>
      <w:r w:rsidR="00DC0090" w:rsidRPr="004C7C17">
        <w:rPr>
          <w:rFonts w:ascii="StobiSerif Regular" w:hAnsi="StobiSerif Regular"/>
          <w:color w:val="000000"/>
          <w:sz w:val="22"/>
        </w:rPr>
        <w:t>каде</w:t>
      </w:r>
      <w:r w:rsidRPr="004C7C17">
        <w:rPr>
          <w:rFonts w:ascii="StobiSerif Regular" w:hAnsi="StobiSerif Regular"/>
          <w:color w:val="000000"/>
          <w:sz w:val="22"/>
        </w:rPr>
        <w:t xml:space="preserve"> што финансирањето е поврзано со постигнатите резултати, а не со направените трошоци. Исплатите се вршат врз основа на задоволително исполнување на збир квалитативни и квантитативни чекори. Според тоа, исплатите кон Корисниците </w:t>
      </w:r>
      <w:r w:rsidR="002D50B0" w:rsidRPr="004C7C17">
        <w:rPr>
          <w:rFonts w:ascii="StobiSerif Regular" w:hAnsi="StobiSerif Regular"/>
          <w:b/>
          <w:bCs/>
          <w:color w:val="000000"/>
          <w:sz w:val="22"/>
        </w:rPr>
        <w:t>не подлежат на контроли во однос на</w:t>
      </w:r>
      <w:r w:rsidRPr="004C7C17">
        <w:rPr>
          <w:rFonts w:ascii="StobiSerif Regular" w:hAnsi="StobiSerif Regular"/>
          <w:b/>
          <w:bCs/>
          <w:color w:val="000000"/>
          <w:sz w:val="22"/>
        </w:rPr>
        <w:t xml:space="preserve"> </w:t>
      </w:r>
      <w:r w:rsidR="00EA6A68" w:rsidRPr="004C7C17">
        <w:rPr>
          <w:rFonts w:ascii="StobiSerif Regular" w:hAnsi="StobiSerif Regular"/>
          <w:b/>
          <w:bCs/>
          <w:color w:val="000000"/>
          <w:sz w:val="22"/>
        </w:rPr>
        <w:t>трошоци</w:t>
      </w:r>
      <w:r w:rsidR="0026417A" w:rsidRPr="004C7C17">
        <w:rPr>
          <w:rFonts w:ascii="StobiSerif Regular" w:hAnsi="StobiSerif Regular"/>
          <w:b/>
          <w:bCs/>
          <w:color w:val="000000"/>
          <w:sz w:val="22"/>
        </w:rPr>
        <w:t>те напр</w:t>
      </w:r>
      <w:r w:rsidR="00585619" w:rsidRPr="004C7C17">
        <w:rPr>
          <w:rFonts w:ascii="StobiSerif Regular" w:hAnsi="StobiSerif Regular"/>
          <w:b/>
          <w:bCs/>
          <w:color w:val="000000"/>
          <w:sz w:val="22"/>
        </w:rPr>
        <w:t>а</w:t>
      </w:r>
      <w:r w:rsidR="0026417A" w:rsidRPr="004C7C17">
        <w:rPr>
          <w:rFonts w:ascii="StobiSerif Regular" w:hAnsi="StobiSerif Regular"/>
          <w:b/>
          <w:bCs/>
          <w:color w:val="000000"/>
          <w:sz w:val="22"/>
        </w:rPr>
        <w:t>вени</w:t>
      </w:r>
      <w:r w:rsidR="00EA6A68" w:rsidRPr="004C7C17">
        <w:rPr>
          <w:rFonts w:ascii="StobiSerif Regular" w:hAnsi="StobiSerif Regular"/>
          <w:b/>
          <w:bCs/>
          <w:color w:val="000000"/>
          <w:sz w:val="22"/>
        </w:rPr>
        <w:t xml:space="preserve"> </w:t>
      </w:r>
      <w:r w:rsidRPr="004C7C17">
        <w:rPr>
          <w:rFonts w:ascii="StobiSerif Regular" w:hAnsi="StobiSerif Regular"/>
          <w:color w:val="000000"/>
          <w:sz w:val="22"/>
        </w:rPr>
        <w:t>за исполнување на тие чекори.</w:t>
      </w:r>
    </w:p>
    <w:p w14:paraId="61D0E800" w14:textId="333447DF" w:rsidR="00C71B06" w:rsidRPr="004C7C17" w:rsidRDefault="00EA6A68"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При</w:t>
      </w:r>
      <w:r w:rsidR="00C71B06" w:rsidRPr="004C7C17">
        <w:rPr>
          <w:rFonts w:ascii="StobiSerif Regular" w:hAnsi="StobiSerif Regular"/>
          <w:color w:val="000000"/>
          <w:sz w:val="22"/>
        </w:rPr>
        <w:t xml:space="preserve"> процената на потенцијални случаи на двојно финансирање, важно е да се </w:t>
      </w:r>
      <w:r w:rsidR="00F07A72" w:rsidRPr="004C7C17">
        <w:rPr>
          <w:rFonts w:ascii="StobiSerif Regular" w:hAnsi="StobiSerif Regular"/>
          <w:color w:val="000000"/>
          <w:sz w:val="22"/>
        </w:rPr>
        <w:t>почитуваат</w:t>
      </w:r>
      <w:r w:rsidR="00C71B06" w:rsidRPr="004C7C17">
        <w:rPr>
          <w:rFonts w:ascii="StobiSerif Regular" w:hAnsi="StobiSerif Regular"/>
          <w:color w:val="000000"/>
          <w:sz w:val="22"/>
        </w:rPr>
        <w:t xml:space="preserve"> аспектите на Регулативата за ИРР </w:t>
      </w:r>
      <w:r w:rsidR="0026417A" w:rsidRPr="004C7C17">
        <w:rPr>
          <w:rFonts w:ascii="StobiSerif Regular" w:hAnsi="StobiSerif Regular"/>
          <w:color w:val="000000"/>
          <w:sz w:val="22"/>
        </w:rPr>
        <w:t>поврзани со</w:t>
      </w:r>
      <w:r w:rsidR="00C71B06" w:rsidRPr="004C7C17">
        <w:rPr>
          <w:rFonts w:ascii="StobiSerif Regular" w:hAnsi="StobiSerif Regular"/>
          <w:color w:val="000000"/>
          <w:sz w:val="22"/>
        </w:rPr>
        <w:t xml:space="preserve"> трошоците и </w:t>
      </w:r>
      <w:r w:rsidR="0026417A" w:rsidRPr="004C7C17">
        <w:rPr>
          <w:rFonts w:ascii="StobiSerif Regular" w:hAnsi="StobiSerif Regular"/>
          <w:color w:val="000000"/>
          <w:sz w:val="22"/>
        </w:rPr>
        <w:t>со</w:t>
      </w:r>
      <w:r w:rsidR="00C71B06" w:rsidRPr="004C7C17">
        <w:rPr>
          <w:rFonts w:ascii="StobiSerif Regular" w:hAnsi="StobiSerif Regular"/>
          <w:color w:val="000000"/>
          <w:sz w:val="22"/>
        </w:rPr>
        <w:t xml:space="preserve"> перформансите. Затоа, </w:t>
      </w:r>
      <w:r w:rsidR="0026417A" w:rsidRPr="004C7C17">
        <w:rPr>
          <w:rFonts w:ascii="StobiSerif Regular" w:hAnsi="StobiSerif Regular"/>
          <w:color w:val="000000"/>
          <w:sz w:val="22"/>
        </w:rPr>
        <w:t xml:space="preserve">при процената на ризикот од двојно финансирање, </w:t>
      </w:r>
      <w:r w:rsidR="00C71B06" w:rsidRPr="004C7C17">
        <w:rPr>
          <w:rFonts w:ascii="StobiSerif Regular" w:hAnsi="StobiSerif Regular"/>
          <w:color w:val="000000"/>
          <w:sz w:val="22"/>
        </w:rPr>
        <w:t xml:space="preserve">Комисијата и </w:t>
      </w:r>
      <w:r w:rsidR="00F741B6" w:rsidRPr="004C7C17">
        <w:rPr>
          <w:rFonts w:ascii="StobiSerif Regular" w:hAnsi="StobiSerif Regular"/>
          <w:color w:val="000000"/>
          <w:sz w:val="22"/>
        </w:rPr>
        <w:t>Корисникот</w:t>
      </w:r>
      <w:r w:rsidR="00C71B06" w:rsidRPr="004C7C17">
        <w:rPr>
          <w:rFonts w:ascii="StobiSerif Regular" w:hAnsi="StobiSerif Regular"/>
          <w:color w:val="000000"/>
          <w:sz w:val="22"/>
        </w:rPr>
        <w:t xml:space="preserve"> не само што треба да ги земат предвид направените трошоци, туку и да спречат ситуации </w:t>
      </w:r>
      <w:r w:rsidR="00F07A72" w:rsidRPr="004C7C17">
        <w:rPr>
          <w:rFonts w:ascii="StobiSerif Regular" w:hAnsi="StobiSerif Regular"/>
          <w:color w:val="000000"/>
          <w:sz w:val="22"/>
        </w:rPr>
        <w:t>кога</w:t>
      </w:r>
      <w:r w:rsidR="00C71B06" w:rsidRPr="004C7C17">
        <w:rPr>
          <w:rFonts w:ascii="StobiSerif Regular" w:hAnsi="StobiSerif Regular"/>
          <w:color w:val="000000"/>
          <w:sz w:val="22"/>
        </w:rPr>
        <w:t xml:space="preserve"> истиот резултат се </w:t>
      </w:r>
      <w:r w:rsidR="00FA1C83" w:rsidRPr="004C7C17">
        <w:rPr>
          <w:rFonts w:ascii="StobiSerif Regular" w:hAnsi="StobiSerif Regular"/>
          <w:color w:val="000000"/>
          <w:sz w:val="22"/>
        </w:rPr>
        <w:t xml:space="preserve">смета </w:t>
      </w:r>
      <w:r w:rsidR="00C71B06" w:rsidRPr="004C7C17">
        <w:rPr>
          <w:rFonts w:ascii="StobiSerif Regular" w:hAnsi="StobiSerif Regular"/>
          <w:color w:val="000000"/>
          <w:sz w:val="22"/>
        </w:rPr>
        <w:t>(или се пријавува) двапати во рамките на различни акции.</w:t>
      </w:r>
    </w:p>
    <w:p w14:paraId="266132B3"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Во т</w:t>
      </w:r>
      <w:r w:rsidR="00F07A72" w:rsidRPr="004C7C17">
        <w:rPr>
          <w:rFonts w:ascii="StobiSerif Regular" w:hAnsi="StobiSerif Regular"/>
          <w:color w:val="000000"/>
          <w:sz w:val="22"/>
        </w:rPr>
        <w:t>ој поглед</w:t>
      </w:r>
      <w:r w:rsidR="00F07A72" w:rsidRPr="004C7C17">
        <w:rPr>
          <w:rFonts w:ascii="StobiSerif Regular" w:hAnsi="StobiSerif Regular"/>
          <w:sz w:val="22"/>
        </w:rPr>
        <w:t xml:space="preserve">, доколку Комисијата утврди </w:t>
      </w:r>
      <w:r w:rsidRPr="004C7C17">
        <w:rPr>
          <w:rFonts w:ascii="StobiSerif Regular" w:hAnsi="StobiSerif Regular"/>
          <w:sz w:val="22"/>
        </w:rPr>
        <w:t xml:space="preserve">дека </w:t>
      </w:r>
      <w:r w:rsidRPr="004C7C17">
        <w:rPr>
          <w:rFonts w:ascii="StobiSerif Regular" w:hAnsi="StobiSerif Regular"/>
          <w:color w:val="000000"/>
          <w:sz w:val="22"/>
        </w:rPr>
        <w:t>администрацијата на Корисникот добила поддршка за истиот чекор и од друга програма (од ЕУ или од друг донатор), таа го утврдува степенот на придонес</w:t>
      </w:r>
      <w:r w:rsidR="00DC0090" w:rsidRPr="004C7C17">
        <w:rPr>
          <w:rFonts w:ascii="StobiSerif Regular" w:hAnsi="StobiSerif Regular"/>
          <w:color w:val="000000"/>
          <w:sz w:val="22"/>
        </w:rPr>
        <w:t>от</w:t>
      </w:r>
      <w:r w:rsidRPr="004C7C17">
        <w:rPr>
          <w:rFonts w:ascii="StobiSerif Regular" w:hAnsi="StobiSerif Regular"/>
          <w:color w:val="000000"/>
          <w:sz w:val="22"/>
        </w:rPr>
        <w:t xml:space="preserve"> на другиот донатор во постигнувањето на резултатот и го одреду</w:t>
      </w:r>
      <w:r w:rsidR="00F07A72" w:rsidRPr="004C7C17">
        <w:rPr>
          <w:rFonts w:ascii="StobiSerif Regular" w:hAnsi="StobiSerif Regular"/>
          <w:color w:val="000000"/>
          <w:sz w:val="22"/>
        </w:rPr>
        <w:t xml:space="preserve">ва конечниот износ на исплата </w:t>
      </w:r>
      <w:r w:rsidRPr="004C7C17">
        <w:rPr>
          <w:rFonts w:ascii="StobiSerif Regular" w:hAnsi="StobiSerif Regular"/>
          <w:color w:val="000000"/>
          <w:sz w:val="22"/>
        </w:rPr>
        <w:t>според следната методологија:</w:t>
      </w:r>
    </w:p>
    <w:p w14:paraId="79E2C9AD" w14:textId="77B6006A" w:rsidR="00C71B06" w:rsidRPr="004C7C17" w:rsidRDefault="00C71B06" w:rsidP="0026417A">
      <w:pPr>
        <w:shd w:val="clear" w:color="auto" w:fill="FFFFFF"/>
        <w:spacing w:before="120" w:after="120"/>
        <w:ind w:left="426"/>
        <w:jc w:val="both"/>
        <w:rPr>
          <w:rFonts w:ascii="StobiSerif Regular" w:hAnsi="StobiSerif Regular"/>
          <w:sz w:val="24"/>
          <w:szCs w:val="24"/>
        </w:rPr>
      </w:pPr>
      <w:r w:rsidRPr="004C7C17">
        <w:rPr>
          <w:rFonts w:ascii="StobiSerif Regular" w:hAnsi="StobiSerif Regular"/>
          <w:color w:val="000000"/>
          <w:sz w:val="22"/>
        </w:rPr>
        <w:t>За квантитативни чекори, Комисијата ќе изврши процена за секој случај</w:t>
      </w:r>
      <w:r w:rsidR="00DC0090" w:rsidRPr="004C7C17">
        <w:rPr>
          <w:rFonts w:ascii="StobiSerif Regular" w:hAnsi="StobiSerif Regular"/>
          <w:color w:val="000000"/>
          <w:sz w:val="22"/>
        </w:rPr>
        <w:t xml:space="preserve"> поединечно</w:t>
      </w:r>
      <w:r w:rsidRPr="004C7C17">
        <w:rPr>
          <w:rFonts w:ascii="StobiSerif Regular" w:hAnsi="StobiSerif Regular"/>
          <w:color w:val="000000"/>
          <w:sz w:val="22"/>
        </w:rPr>
        <w:t xml:space="preserve">, </w:t>
      </w:r>
      <w:r w:rsidRPr="004C7C17">
        <w:rPr>
          <w:rFonts w:ascii="StobiSerif Regular" w:hAnsi="StobiSerif Regular"/>
          <w:b/>
          <w:bCs/>
          <w:color w:val="000000"/>
          <w:sz w:val="22"/>
        </w:rPr>
        <w:t>за да утврди до кој степен комплементарната а</w:t>
      </w:r>
      <w:r w:rsidR="00DC0090" w:rsidRPr="004C7C17">
        <w:rPr>
          <w:rFonts w:ascii="StobiSerif Regular" w:hAnsi="StobiSerif Regular"/>
          <w:b/>
          <w:bCs/>
          <w:color w:val="000000"/>
          <w:sz w:val="22"/>
        </w:rPr>
        <w:t>кција придонела за исполнување</w:t>
      </w:r>
      <w:r w:rsidRPr="004C7C17">
        <w:rPr>
          <w:rFonts w:ascii="StobiSerif Regular" w:hAnsi="StobiSerif Regular"/>
          <w:b/>
          <w:bCs/>
          <w:color w:val="000000"/>
          <w:sz w:val="22"/>
        </w:rPr>
        <w:t xml:space="preserve"> на чекорот или колкав </w:t>
      </w:r>
      <w:r w:rsidR="00DC0090" w:rsidRPr="004C7C17">
        <w:rPr>
          <w:rFonts w:ascii="StobiSerif Regular" w:hAnsi="StobiSerif Regular"/>
          <w:b/>
          <w:bCs/>
          <w:color w:val="000000"/>
          <w:sz w:val="22"/>
        </w:rPr>
        <w:t>е</w:t>
      </w:r>
      <w:r w:rsidRPr="004C7C17">
        <w:rPr>
          <w:rFonts w:ascii="StobiSerif Regular" w:hAnsi="StobiSerif Regular"/>
          <w:b/>
          <w:bCs/>
          <w:color w:val="000000"/>
          <w:sz w:val="22"/>
        </w:rPr>
        <w:t xml:space="preserve"> степенот на преклопување помеѓу чекорот во РА и резултатот испорачан во рамките на комплементарната акција.</w:t>
      </w:r>
      <w:r w:rsidRPr="004C7C17">
        <w:rPr>
          <w:rFonts w:ascii="StobiSerif Regular" w:hAnsi="StobiSerif Regular"/>
          <w:b/>
          <w:color w:val="000000"/>
          <w:sz w:val="22"/>
        </w:rPr>
        <w:t xml:space="preserve"> Комисијата во својата процена ќе ги „</w:t>
      </w:r>
      <w:r w:rsidR="00FA1C83" w:rsidRPr="004C7C17">
        <w:rPr>
          <w:rFonts w:ascii="StobiSerif Regular" w:hAnsi="StobiSerif Regular"/>
          <w:b/>
          <w:color w:val="000000"/>
          <w:sz w:val="22"/>
        </w:rPr>
        <w:t>смета</w:t>
      </w:r>
      <w:r w:rsidRPr="004C7C17">
        <w:rPr>
          <w:rFonts w:ascii="StobiSerif Regular" w:hAnsi="StobiSerif Regular"/>
          <w:b/>
          <w:color w:val="000000"/>
          <w:sz w:val="22"/>
        </w:rPr>
        <w:t xml:space="preserve">“ оние резултати </w:t>
      </w:r>
      <w:r w:rsidR="0026417A" w:rsidRPr="004C7C17">
        <w:rPr>
          <w:rFonts w:ascii="StobiSerif Regular" w:hAnsi="StobiSerif Regular"/>
          <w:b/>
          <w:color w:val="000000"/>
          <w:sz w:val="22"/>
        </w:rPr>
        <w:t>кои претходно</w:t>
      </w:r>
      <w:r w:rsidRPr="004C7C17">
        <w:rPr>
          <w:rFonts w:ascii="StobiSerif Regular" w:hAnsi="StobiSerif Regular"/>
          <w:b/>
          <w:color w:val="000000"/>
          <w:sz w:val="22"/>
        </w:rPr>
        <w:t xml:space="preserve"> не </w:t>
      </w:r>
      <w:r w:rsidR="0026417A" w:rsidRPr="004C7C17">
        <w:rPr>
          <w:rFonts w:ascii="StobiSerif Regular" w:hAnsi="StobiSerif Regular"/>
          <w:b/>
          <w:color w:val="000000"/>
          <w:sz w:val="22"/>
        </w:rPr>
        <w:t>биле</w:t>
      </w:r>
      <w:r w:rsidRPr="004C7C17">
        <w:rPr>
          <w:rFonts w:ascii="StobiSerif Regular" w:hAnsi="StobiSerif Regular"/>
          <w:b/>
          <w:color w:val="000000"/>
          <w:sz w:val="22"/>
        </w:rPr>
        <w:t xml:space="preserve"> финансирани или обезбедени од други прог</w:t>
      </w:r>
      <w:r w:rsidR="0026417A" w:rsidRPr="004C7C17">
        <w:rPr>
          <w:rFonts w:ascii="StobiSerif Regular" w:hAnsi="StobiSerif Regular"/>
          <w:b/>
          <w:color w:val="000000"/>
          <w:sz w:val="22"/>
        </w:rPr>
        <w:t xml:space="preserve">рами и ќе го </w:t>
      </w:r>
      <w:r w:rsidR="0026417A" w:rsidRPr="004C7C17">
        <w:rPr>
          <w:rFonts w:ascii="StobiSerif Regular" w:hAnsi="StobiSerif Regular"/>
          <w:b/>
          <w:color w:val="000000"/>
          <w:sz w:val="22"/>
        </w:rPr>
        <w:lastRenderedPageBreak/>
        <w:t xml:space="preserve">утврди износот за исплата </w:t>
      </w:r>
      <w:r w:rsidRPr="004C7C17">
        <w:rPr>
          <w:rFonts w:ascii="StobiSerif Regular" w:hAnsi="StobiSerif Regular"/>
          <w:b/>
          <w:color w:val="000000"/>
          <w:sz w:val="22"/>
        </w:rPr>
        <w:t>во согласност со одредбите за делумни плаќања</w:t>
      </w:r>
      <w:r w:rsidR="009F592F" w:rsidRPr="004C7C17">
        <w:rPr>
          <w:rStyle w:val="FootnoteReference"/>
          <w:rFonts w:ascii="StobiSerif Regular" w:hAnsi="StobiSerif Regular"/>
          <w:b/>
          <w:color w:val="000000"/>
          <w:sz w:val="22"/>
        </w:rPr>
        <w:footnoteReference w:id="1"/>
      </w:r>
      <w:r w:rsidRPr="004C7C17">
        <w:rPr>
          <w:rFonts w:ascii="StobiSerif Regular" w:hAnsi="StobiSerif Regular"/>
          <w:b/>
          <w:color w:val="000000"/>
          <w:sz w:val="22"/>
        </w:rPr>
        <w:t xml:space="preserve"> од Финансиската спогодба.</w:t>
      </w:r>
    </w:p>
    <w:p w14:paraId="0C5FEB16" w14:textId="3BA58E1C" w:rsidR="00C71B06" w:rsidRPr="004C7C17" w:rsidRDefault="00773CD5" w:rsidP="0026417A">
      <w:pPr>
        <w:shd w:val="clear" w:color="auto" w:fill="FFFFFF"/>
        <w:spacing w:before="120" w:after="120"/>
        <w:ind w:left="426"/>
        <w:jc w:val="both"/>
        <w:rPr>
          <w:rFonts w:ascii="StobiSerif Regular" w:hAnsi="StobiSerif Regular"/>
          <w:sz w:val="24"/>
          <w:szCs w:val="24"/>
        </w:rPr>
      </w:pPr>
      <w:r w:rsidRPr="004C7C17">
        <w:rPr>
          <w:rFonts w:ascii="StobiSerif Regular" w:hAnsi="StobiSerif Regular"/>
          <w:color w:val="000000"/>
          <w:sz w:val="22"/>
        </w:rPr>
        <w:t xml:space="preserve">За </w:t>
      </w:r>
      <w:r w:rsidR="00C71B06" w:rsidRPr="004C7C17">
        <w:rPr>
          <w:rFonts w:ascii="StobiSerif Regular" w:hAnsi="StobiSerif Regular"/>
          <w:color w:val="000000"/>
          <w:sz w:val="22"/>
        </w:rPr>
        <w:t xml:space="preserve">неквантитативни (квалитативни) чекори, доколку </w:t>
      </w:r>
      <w:r w:rsidRPr="004C7C17">
        <w:rPr>
          <w:rFonts w:ascii="StobiSerif Regular" w:hAnsi="StobiSerif Regular"/>
          <w:b/>
          <w:bCs/>
          <w:color w:val="000000"/>
          <w:sz w:val="22"/>
        </w:rPr>
        <w:t xml:space="preserve">чекорот е целосно испорачан </w:t>
      </w:r>
      <w:r w:rsidR="00C71B06" w:rsidRPr="004C7C17">
        <w:rPr>
          <w:rFonts w:ascii="StobiSerif Regular" w:hAnsi="StobiSerif Regular"/>
          <w:b/>
          <w:bCs/>
          <w:color w:val="000000"/>
          <w:sz w:val="22"/>
        </w:rPr>
        <w:t>преку друга програма (од ЕУ или од друг донатор)</w:t>
      </w:r>
      <w:r w:rsidR="00C71B06" w:rsidRPr="004C7C17">
        <w:rPr>
          <w:rFonts w:ascii="StobiSerif Regular" w:hAnsi="StobiSerif Regular"/>
          <w:color w:val="000000"/>
          <w:sz w:val="22"/>
        </w:rPr>
        <w:t xml:space="preserve">, </w:t>
      </w:r>
      <w:r w:rsidRPr="004C7C17">
        <w:rPr>
          <w:rFonts w:ascii="StobiSerif Regular" w:hAnsi="StobiSerif Regular"/>
          <w:color w:val="000000"/>
          <w:sz w:val="22"/>
        </w:rPr>
        <w:t>нема да има</w:t>
      </w:r>
      <w:r w:rsidR="00C71B06" w:rsidRPr="004C7C17">
        <w:rPr>
          <w:rFonts w:ascii="StobiSerif Regular" w:hAnsi="StobiSerif Regular"/>
          <w:color w:val="000000"/>
          <w:sz w:val="22"/>
        </w:rPr>
        <w:t xml:space="preserve"> исплата. </w:t>
      </w:r>
      <w:r w:rsidRPr="004C7C17">
        <w:rPr>
          <w:rFonts w:ascii="StobiSerif Regular" w:hAnsi="StobiSerif Regular"/>
          <w:color w:val="000000"/>
          <w:sz w:val="22"/>
        </w:rPr>
        <w:t>Доколку</w:t>
      </w:r>
      <w:r w:rsidR="00C71B06" w:rsidRPr="004C7C17">
        <w:rPr>
          <w:rFonts w:ascii="StobiSerif Regular" w:hAnsi="StobiSerif Regular"/>
          <w:color w:val="000000"/>
          <w:sz w:val="22"/>
        </w:rPr>
        <w:t xml:space="preserve"> ЕУ или други програми придонесуваат </w:t>
      </w:r>
      <w:r w:rsidRPr="004C7C17">
        <w:rPr>
          <w:rFonts w:ascii="StobiSerif Regular" w:hAnsi="StobiSerif Regular"/>
          <w:color w:val="000000"/>
          <w:sz w:val="22"/>
        </w:rPr>
        <w:t xml:space="preserve">делумно </w:t>
      </w:r>
      <w:r w:rsidR="00C71B06" w:rsidRPr="004C7C17">
        <w:rPr>
          <w:rFonts w:ascii="StobiSerif Regular" w:hAnsi="StobiSerif Regular"/>
          <w:color w:val="000000"/>
          <w:sz w:val="22"/>
        </w:rPr>
        <w:t>во испораката на чекорот, неопходно е да се проц</w:t>
      </w:r>
      <w:r w:rsidRPr="004C7C17">
        <w:rPr>
          <w:rFonts w:ascii="StobiSerif Regular" w:hAnsi="StobiSerif Regular"/>
          <w:color w:val="000000"/>
          <w:sz w:val="22"/>
        </w:rPr>
        <w:t>ени степенот на придонес</w:t>
      </w:r>
      <w:r w:rsidR="00C71B06" w:rsidRPr="004C7C17">
        <w:rPr>
          <w:rFonts w:ascii="StobiSerif Regular" w:hAnsi="StobiSerif Regular"/>
          <w:color w:val="000000"/>
          <w:sz w:val="22"/>
        </w:rPr>
        <w:t xml:space="preserve">. „Значителен“ придонес исто така </w:t>
      </w:r>
      <w:r w:rsidRPr="004C7C17">
        <w:rPr>
          <w:rFonts w:ascii="StobiSerif Regular" w:hAnsi="StobiSerif Regular"/>
          <w:color w:val="000000"/>
          <w:sz w:val="22"/>
        </w:rPr>
        <w:t xml:space="preserve">може </w:t>
      </w:r>
      <w:r w:rsidR="00C71B06" w:rsidRPr="004C7C17">
        <w:rPr>
          <w:rFonts w:ascii="StobiSerif Regular" w:hAnsi="StobiSerif Regular"/>
          <w:color w:val="000000"/>
          <w:sz w:val="22"/>
        </w:rPr>
        <w:t xml:space="preserve">да резултира со неплаќање, а толкувањето на тоа </w:t>
      </w:r>
      <w:r w:rsidR="00B576A1" w:rsidRPr="004C7C17">
        <w:rPr>
          <w:rFonts w:ascii="StobiSerif Regular" w:hAnsi="StobiSerif Regular"/>
          <w:color w:val="000000"/>
          <w:sz w:val="22"/>
        </w:rPr>
        <w:t xml:space="preserve">што </w:t>
      </w:r>
      <w:r w:rsidRPr="004C7C17">
        <w:rPr>
          <w:rFonts w:ascii="StobiSerif Regular" w:hAnsi="StobiSerif Regular"/>
          <w:color w:val="000000"/>
          <w:sz w:val="22"/>
        </w:rPr>
        <w:t>се смета за</w:t>
      </w:r>
      <w:r w:rsidR="00C71B06" w:rsidRPr="004C7C17">
        <w:rPr>
          <w:rFonts w:ascii="StobiSerif Regular" w:hAnsi="StobiSerif Regular"/>
          <w:color w:val="000000"/>
          <w:sz w:val="22"/>
        </w:rPr>
        <w:t xml:space="preserve"> „значителен“ </w:t>
      </w:r>
      <w:r w:rsidR="0057034E" w:rsidRPr="004C7C17">
        <w:rPr>
          <w:rFonts w:ascii="StobiSerif Regular" w:hAnsi="StobiSerif Regular"/>
          <w:color w:val="000000"/>
          <w:sz w:val="22"/>
        </w:rPr>
        <w:t xml:space="preserve">придонес </w:t>
      </w:r>
      <w:r w:rsidR="00C71B06" w:rsidRPr="004C7C17">
        <w:rPr>
          <w:rFonts w:ascii="StobiSerif Regular" w:hAnsi="StobiSerif Regular"/>
          <w:color w:val="000000"/>
          <w:sz w:val="22"/>
        </w:rPr>
        <w:t xml:space="preserve">е </w:t>
      </w:r>
      <w:r w:rsidRPr="004C7C17">
        <w:rPr>
          <w:rFonts w:ascii="StobiSerif Regular" w:hAnsi="StobiSerif Regular"/>
          <w:color w:val="000000"/>
          <w:sz w:val="22"/>
        </w:rPr>
        <w:t>дадено</w:t>
      </w:r>
      <w:r w:rsidR="00C71B06" w:rsidRPr="004C7C17">
        <w:rPr>
          <w:rFonts w:ascii="StobiSerif Regular" w:hAnsi="StobiSerif Regular"/>
          <w:color w:val="000000"/>
          <w:sz w:val="22"/>
        </w:rPr>
        <w:t xml:space="preserve"> во примерите подолу (точка 3).</w:t>
      </w:r>
    </w:p>
    <w:p w14:paraId="56CA5A92" w14:textId="77C52B2D"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За конкретниот случај на </w:t>
      </w:r>
      <w:r w:rsidRPr="004C7C17">
        <w:rPr>
          <w:rFonts w:ascii="StobiSerif Regular" w:hAnsi="StobiSerif Regular"/>
          <w:b/>
          <w:bCs/>
          <w:color w:val="000000"/>
          <w:sz w:val="22"/>
        </w:rPr>
        <w:t>поддршка од ИРР за инвестициски проекти спроведени преку ИРЗБ</w:t>
      </w:r>
      <w:r w:rsidRPr="004C7C17">
        <w:rPr>
          <w:rFonts w:ascii="StobiSerif Regular" w:hAnsi="StobiSerif Regular"/>
          <w:color w:val="000000"/>
          <w:sz w:val="22"/>
        </w:rPr>
        <w:t xml:space="preserve">, член 19(7) од Регулативата за ИРР предвидува дека ваквите проекти може да добијат </w:t>
      </w:r>
      <w:r w:rsidR="00773CD5" w:rsidRPr="004C7C17">
        <w:rPr>
          <w:rFonts w:ascii="StobiSerif Regular" w:hAnsi="StobiSerif Regular"/>
          <w:color w:val="000000"/>
          <w:sz w:val="22"/>
        </w:rPr>
        <w:t>средства</w:t>
      </w:r>
      <w:r w:rsidR="00646167" w:rsidRPr="004C7C17">
        <w:rPr>
          <w:rFonts w:ascii="StobiSerif Regular" w:hAnsi="StobiSerif Regular"/>
          <w:color w:val="000000"/>
          <w:sz w:val="22"/>
        </w:rPr>
        <w:t xml:space="preserve"> од два извори на </w:t>
      </w:r>
      <w:r w:rsidRPr="004C7C17">
        <w:rPr>
          <w:rFonts w:ascii="StobiSerif Regular" w:hAnsi="StobiSerif Regular"/>
          <w:color w:val="000000"/>
          <w:sz w:val="22"/>
        </w:rPr>
        <w:t xml:space="preserve">финансирање, под услов </w:t>
      </w:r>
      <w:r w:rsidR="00646167" w:rsidRPr="004C7C17">
        <w:rPr>
          <w:rFonts w:ascii="StobiSerif Regular" w:hAnsi="StobiSerif Regular"/>
          <w:color w:val="000000"/>
          <w:sz w:val="22"/>
        </w:rPr>
        <w:t>таквата</w:t>
      </w:r>
      <w:r w:rsidRPr="004C7C17">
        <w:rPr>
          <w:rFonts w:ascii="StobiSerif Regular" w:hAnsi="StobiSerif Regular"/>
          <w:color w:val="000000"/>
          <w:sz w:val="22"/>
        </w:rPr>
        <w:t xml:space="preserve"> поддршка „да обезбедува дополнителност и да не ги покрива истите трошоци“.</w:t>
      </w:r>
    </w:p>
    <w:p w14:paraId="2C0179FE"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Конечно, </w:t>
      </w:r>
      <w:r w:rsidRPr="004C7C17">
        <w:rPr>
          <w:rFonts w:ascii="StobiSerif Regular" w:hAnsi="StobiSerif Regular"/>
          <w:b/>
          <w:bCs/>
          <w:color w:val="000000"/>
          <w:sz w:val="22"/>
        </w:rPr>
        <w:t>двојното финансирање и синергиите/комплементарностите</w:t>
      </w:r>
      <w:r w:rsidRPr="004C7C17">
        <w:rPr>
          <w:rFonts w:ascii="StobiSerif Regular" w:hAnsi="StobiSerif Regular"/>
          <w:color w:val="000000"/>
          <w:sz w:val="22"/>
        </w:rPr>
        <w:t xml:space="preserve"> со другите програми на ЕУ се опфатени и во </w:t>
      </w:r>
      <w:r w:rsidRPr="004C7C17">
        <w:rPr>
          <w:rFonts w:ascii="StobiSerif Regular" w:hAnsi="StobiSerif Regular"/>
          <w:b/>
          <w:bCs/>
          <w:color w:val="000000"/>
          <w:sz w:val="22"/>
        </w:rPr>
        <w:t>годишниот извештај за напредокот</w:t>
      </w:r>
      <w:r w:rsidRPr="004C7C17">
        <w:rPr>
          <w:rFonts w:ascii="StobiSerif Regular" w:hAnsi="StobiSerif Regular"/>
          <w:color w:val="000000"/>
          <w:sz w:val="22"/>
        </w:rPr>
        <w:t xml:space="preserve"> од Комисијата до Парламентот и до Советот (како што е наведено во член 25(3) од Регулативата за ИРР.</w:t>
      </w:r>
    </w:p>
    <w:p w14:paraId="4FB1CEC7" w14:textId="77777777" w:rsidR="00C71B06" w:rsidRPr="004C7C17" w:rsidRDefault="00C71B06" w:rsidP="00C71B06">
      <w:pPr>
        <w:shd w:val="clear" w:color="auto" w:fill="FFFFFF"/>
        <w:spacing w:before="120" w:after="120"/>
        <w:ind w:left="709" w:hanging="425"/>
        <w:jc w:val="both"/>
        <w:rPr>
          <w:rFonts w:ascii="StobiSerif Regular" w:hAnsi="StobiSerif Regular"/>
          <w:sz w:val="22"/>
          <w:szCs w:val="22"/>
        </w:rPr>
      </w:pPr>
      <w:r w:rsidRPr="004C7C17">
        <w:rPr>
          <w:rFonts w:ascii="StobiSerif Regular" w:hAnsi="StobiSerif Regular"/>
          <w:b/>
          <w:color w:val="000000"/>
          <w:sz w:val="22"/>
          <w:szCs w:val="22"/>
        </w:rPr>
        <w:t>2</w:t>
      </w:r>
      <w:r w:rsidRPr="004C7C17">
        <w:rPr>
          <w:rFonts w:ascii="StobiSerif Regular" w:hAnsi="StobiSerif Regular"/>
          <w:b/>
          <w:color w:val="000000"/>
          <w:sz w:val="22"/>
          <w:szCs w:val="22"/>
        </w:rPr>
        <w:tab/>
      </w:r>
      <w:r w:rsidRPr="004C7C17">
        <w:rPr>
          <w:rFonts w:ascii="StobiSerif Regular" w:hAnsi="StobiSerif Regular"/>
          <w:b/>
          <w:color w:val="000000"/>
          <w:sz w:val="22"/>
          <w:szCs w:val="22"/>
          <w:u w:val="single"/>
        </w:rPr>
        <w:t xml:space="preserve">Контролна рамка за спречување, откривање и корекција на двојно финансирање </w:t>
      </w:r>
      <w:r w:rsidR="00646167" w:rsidRPr="004C7C17">
        <w:rPr>
          <w:rFonts w:ascii="StobiSerif Regular" w:hAnsi="StobiSerif Regular"/>
          <w:b/>
          <w:color w:val="000000"/>
          <w:sz w:val="22"/>
          <w:szCs w:val="22"/>
          <w:u w:val="single"/>
        </w:rPr>
        <w:t>во рамките на</w:t>
      </w:r>
      <w:r w:rsidRPr="004C7C17">
        <w:rPr>
          <w:rFonts w:ascii="StobiSerif Regular" w:hAnsi="StobiSerif Regular"/>
          <w:b/>
          <w:color w:val="000000"/>
          <w:sz w:val="22"/>
          <w:szCs w:val="22"/>
          <w:u w:val="single"/>
        </w:rPr>
        <w:t xml:space="preserve"> ИРР</w:t>
      </w:r>
    </w:p>
    <w:p w14:paraId="73568966" w14:textId="5A8BA9E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 xml:space="preserve">Според Регулативата за ИРР, секој Корисник е должен </w:t>
      </w:r>
      <w:r w:rsidRPr="004C7C17">
        <w:rPr>
          <w:rFonts w:ascii="StobiSerif Regular" w:hAnsi="StobiSerif Regular"/>
          <w:b/>
          <w:bCs/>
          <w:sz w:val="22"/>
          <w:szCs w:val="22"/>
        </w:rPr>
        <w:t>во својата Реформска агенда да предложи контролни механизми за откривање и спречување двојно финансирање</w:t>
      </w:r>
      <w:r w:rsidRPr="004C7C17">
        <w:rPr>
          <w:rFonts w:ascii="StobiSerif Regular" w:hAnsi="StobiSerif Regular"/>
          <w:sz w:val="22"/>
          <w:szCs w:val="22"/>
        </w:rPr>
        <w:t xml:space="preserve">, при што овие </w:t>
      </w:r>
      <w:r w:rsidR="00646167" w:rsidRPr="004C7C17">
        <w:rPr>
          <w:rFonts w:ascii="StobiSerif Regular" w:hAnsi="StobiSerif Regular"/>
          <w:sz w:val="22"/>
          <w:szCs w:val="22"/>
        </w:rPr>
        <w:t xml:space="preserve">мерки </w:t>
      </w:r>
      <w:r w:rsidR="00D34964" w:rsidRPr="004C7C17">
        <w:rPr>
          <w:rFonts w:ascii="StobiSerif Regular" w:hAnsi="StobiSerif Regular"/>
          <w:sz w:val="22"/>
          <w:szCs w:val="22"/>
        </w:rPr>
        <w:t>подлежат на оцена од Комисијата</w:t>
      </w:r>
      <w:r w:rsidR="00646167" w:rsidRPr="004C7C17">
        <w:rPr>
          <w:rFonts w:ascii="StobiSerif Regular" w:hAnsi="StobiSerif Regular"/>
          <w:sz w:val="22"/>
          <w:szCs w:val="22"/>
        </w:rPr>
        <w:t xml:space="preserve"> при</w:t>
      </w:r>
      <w:r w:rsidRPr="004C7C17">
        <w:rPr>
          <w:rFonts w:ascii="StobiSerif Regular" w:hAnsi="StobiSerif Regular"/>
          <w:sz w:val="22"/>
          <w:szCs w:val="22"/>
        </w:rPr>
        <w:t xml:space="preserve"> процената на Реформската агенда, и треба да </w:t>
      </w:r>
      <w:r w:rsidRPr="004C7C17">
        <w:rPr>
          <w:rFonts w:ascii="StobiSerif Regular" w:hAnsi="StobiSerif Regular"/>
          <w:b/>
          <w:bCs/>
          <w:sz w:val="22"/>
          <w:szCs w:val="22"/>
        </w:rPr>
        <w:t>потврди во изјавата за гаранција која го придружува барањето за плаќање</w:t>
      </w:r>
      <w:r w:rsidRPr="004C7C17">
        <w:rPr>
          <w:rFonts w:ascii="StobiSerif Regular" w:hAnsi="StobiSerif Regular"/>
          <w:sz w:val="22"/>
          <w:szCs w:val="22"/>
        </w:rPr>
        <w:t xml:space="preserve"> дека овие механизми се применуваат</w:t>
      </w:r>
      <w:r w:rsidR="006F5C11" w:rsidRPr="004C7C17">
        <w:rPr>
          <w:rFonts w:ascii="StobiSerif Regular" w:hAnsi="StobiSerif Regular"/>
          <w:sz w:val="22"/>
          <w:szCs w:val="22"/>
        </w:rPr>
        <w:t xml:space="preserve"> ефикасно</w:t>
      </w:r>
      <w:r w:rsidRPr="004C7C17">
        <w:rPr>
          <w:rFonts w:ascii="StobiSerif Regular" w:hAnsi="StobiSerif Regular"/>
          <w:sz w:val="22"/>
          <w:szCs w:val="22"/>
        </w:rPr>
        <w:t>.</w:t>
      </w:r>
      <w:r w:rsidRPr="004C7C17">
        <w:rPr>
          <w:rFonts w:ascii="StobiSerif Regular" w:hAnsi="StobiSerif Regular"/>
          <w:color w:val="000000"/>
          <w:sz w:val="22"/>
          <w:szCs w:val="22"/>
        </w:rPr>
        <w:t xml:space="preserve"> Доколку чекорите добиле поддршка и финансирање од други извори, тоа треба да се наведе, вклучително и соодветниот износ</w:t>
      </w:r>
      <w:r w:rsidR="009F592F" w:rsidRPr="004C7C17">
        <w:rPr>
          <w:rStyle w:val="FootnoteReference"/>
          <w:rFonts w:ascii="StobiSerif Regular" w:hAnsi="StobiSerif Regular"/>
          <w:color w:val="000000"/>
          <w:sz w:val="22"/>
          <w:szCs w:val="22"/>
        </w:rPr>
        <w:footnoteReference w:id="2"/>
      </w:r>
      <w:r w:rsidRPr="004C7C17">
        <w:rPr>
          <w:rFonts w:ascii="StobiSerif Regular" w:hAnsi="StobiSerif Regular"/>
          <w:color w:val="000000"/>
          <w:sz w:val="22"/>
          <w:szCs w:val="22"/>
        </w:rPr>
        <w:t>.</w:t>
      </w:r>
    </w:p>
    <w:p w14:paraId="59E1F77A"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Врз основа на овие одредби, прашањето за дво</w:t>
      </w:r>
      <w:r w:rsidR="0057034E" w:rsidRPr="004C7C17">
        <w:rPr>
          <w:rFonts w:ascii="StobiSerif Regular" w:hAnsi="StobiSerif Regular"/>
          <w:color w:val="000000"/>
          <w:sz w:val="22"/>
          <w:szCs w:val="22"/>
        </w:rPr>
        <w:t>јно финансирање треба да се решава</w:t>
      </w:r>
      <w:r w:rsidRPr="004C7C17">
        <w:rPr>
          <w:rFonts w:ascii="StobiSerif Regular" w:hAnsi="StobiSerif Regular"/>
          <w:color w:val="000000"/>
          <w:sz w:val="22"/>
          <w:szCs w:val="22"/>
        </w:rPr>
        <w:t xml:space="preserve"> преку низа мерки што треба да ги преземат и Корисникот од ЗБ и Комисијата, во различни фази и во согласност со нивните одговорности, како што е објаснето подолу:</w:t>
      </w:r>
    </w:p>
    <w:p w14:paraId="4CDFF30A" w14:textId="77777777" w:rsidR="00C71B06" w:rsidRPr="004C7C17" w:rsidRDefault="00C71B06" w:rsidP="00C71B06">
      <w:pPr>
        <w:shd w:val="clear" w:color="auto" w:fill="FFFFFF"/>
        <w:spacing w:before="120" w:after="120"/>
        <w:ind w:left="851"/>
        <w:jc w:val="both"/>
        <w:rPr>
          <w:rFonts w:ascii="StobiSerif Regular" w:hAnsi="StobiSerif Regular"/>
          <w:sz w:val="22"/>
          <w:szCs w:val="22"/>
          <w:lang w:val="en-US"/>
        </w:rPr>
      </w:pPr>
      <w:r w:rsidRPr="004C7C17">
        <w:rPr>
          <w:rFonts w:ascii="StobiSerif Regular" w:hAnsi="StobiSerif Regular"/>
          <w:b/>
          <w:i/>
          <w:color w:val="000000"/>
          <w:sz w:val="22"/>
          <w:szCs w:val="22"/>
        </w:rPr>
        <w:t>а. Изготвување и процена на Реформската агенда (фаза пред спроведување</w:t>
      </w:r>
      <w:r w:rsidR="0057034E" w:rsidRPr="004C7C17">
        <w:rPr>
          <w:rFonts w:ascii="StobiSerif Regular" w:hAnsi="StobiSerif Regular"/>
          <w:b/>
          <w:i/>
          <w:color w:val="000000"/>
          <w:sz w:val="22"/>
          <w:szCs w:val="22"/>
        </w:rPr>
        <w:t>то</w:t>
      </w:r>
      <w:r w:rsidRPr="004C7C17">
        <w:rPr>
          <w:rFonts w:ascii="StobiSerif Regular" w:hAnsi="StobiSerif Regular"/>
          <w:b/>
          <w:i/>
          <w:color w:val="000000"/>
          <w:sz w:val="22"/>
          <w:szCs w:val="22"/>
        </w:rPr>
        <w:t>)</w:t>
      </w:r>
    </w:p>
    <w:p w14:paraId="467B99CE"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i/>
          <w:color w:val="000000"/>
          <w:sz w:val="22"/>
          <w:szCs w:val="22"/>
          <w:u w:val="single"/>
        </w:rPr>
        <w:lastRenderedPageBreak/>
        <w:t>Корисник</w:t>
      </w:r>
    </w:p>
    <w:p w14:paraId="0EC83F24"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 xml:space="preserve">Корисникот осигурува дека е воспоставен ефективен и ефикасен систем за внатрешна контрола, применувајќи ги меѓународно признатите начела на внатрешна контрола. Ова вклучува соодветен систем за спречување, откривање и решавање на проблеми </w:t>
      </w:r>
      <w:r w:rsidR="001D534E" w:rsidRPr="004C7C17">
        <w:rPr>
          <w:rFonts w:ascii="StobiSerif Regular" w:hAnsi="StobiSerif Regular"/>
          <w:color w:val="000000"/>
          <w:sz w:val="22"/>
          <w:szCs w:val="22"/>
        </w:rPr>
        <w:t>поврзани со</w:t>
      </w:r>
      <w:r w:rsidRPr="004C7C17">
        <w:rPr>
          <w:rFonts w:ascii="StobiSerif Regular" w:hAnsi="StobiSerif Regular"/>
          <w:color w:val="000000"/>
          <w:sz w:val="22"/>
          <w:szCs w:val="22"/>
        </w:rPr>
        <w:t xml:space="preserve"> двојно финансирање.</w:t>
      </w:r>
    </w:p>
    <w:p w14:paraId="332B109C"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Корисникот, исто така, воспоставува систем кој осигурува собирање, пристап и пренос на податоци за физички лица и правни субјекти кои добиваат средства за спроведување на мерките во рамките на Инструментот (член 5 од Спогодбата за Инструментот).</w:t>
      </w:r>
    </w:p>
    <w:p w14:paraId="162903EC"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u w:val="single"/>
        </w:rPr>
        <w:t>Комисијата</w:t>
      </w:r>
    </w:p>
    <w:p w14:paraId="3E8820A5" w14:textId="04AA5456"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 xml:space="preserve">Комисијата, како дел од </w:t>
      </w:r>
      <w:r w:rsidR="001D534E" w:rsidRPr="004C7C17">
        <w:rPr>
          <w:rFonts w:ascii="StobiSerif Regular" w:hAnsi="StobiSerif Regular"/>
          <w:color w:val="000000"/>
          <w:sz w:val="22"/>
          <w:szCs w:val="22"/>
        </w:rPr>
        <w:t>нејзината</w:t>
      </w:r>
      <w:r w:rsidRPr="004C7C17">
        <w:rPr>
          <w:rFonts w:ascii="StobiSerif Regular" w:hAnsi="StobiSerif Regular"/>
          <w:color w:val="000000"/>
          <w:sz w:val="22"/>
          <w:szCs w:val="22"/>
        </w:rPr>
        <w:t xml:space="preserve"> процена на Реформските агенди, ги оценува </w:t>
      </w:r>
      <w:r w:rsidR="001D534E" w:rsidRPr="004C7C17">
        <w:rPr>
          <w:rFonts w:ascii="StobiSerif Regular" w:hAnsi="StobiSerif Regular"/>
          <w:color w:val="000000"/>
          <w:sz w:val="22"/>
          <w:szCs w:val="22"/>
        </w:rPr>
        <w:t>механизмите</w:t>
      </w:r>
      <w:r w:rsidRPr="004C7C17">
        <w:rPr>
          <w:rFonts w:ascii="StobiSerif Regular" w:hAnsi="StobiSerif Regular"/>
          <w:color w:val="000000"/>
          <w:sz w:val="22"/>
          <w:szCs w:val="22"/>
        </w:rPr>
        <w:t xml:space="preserve"> на секој од корисниците </w:t>
      </w:r>
      <w:r w:rsidR="006019B0" w:rsidRPr="004C7C17">
        <w:rPr>
          <w:rFonts w:ascii="StobiSerif Regular" w:hAnsi="StobiSerif Regular"/>
          <w:color w:val="000000"/>
          <w:sz w:val="22"/>
          <w:szCs w:val="22"/>
        </w:rPr>
        <w:t>за спречување на</w:t>
      </w:r>
      <w:r w:rsidRPr="004C7C17">
        <w:rPr>
          <w:rFonts w:ascii="StobiSerif Regular" w:hAnsi="StobiSerif Regular"/>
          <w:color w:val="000000"/>
          <w:sz w:val="22"/>
          <w:szCs w:val="22"/>
        </w:rPr>
        <w:t xml:space="preserve"> двојно финансирање. За сите </w:t>
      </w:r>
      <w:r w:rsidR="006019B0" w:rsidRPr="004C7C17">
        <w:rPr>
          <w:rFonts w:ascii="StobiSerif Regular" w:hAnsi="StobiSerif Regular"/>
          <w:color w:val="000000"/>
          <w:sz w:val="22"/>
          <w:szCs w:val="22"/>
        </w:rPr>
        <w:t>доставени</w:t>
      </w:r>
      <w:r w:rsidRPr="004C7C17">
        <w:rPr>
          <w:rFonts w:ascii="StobiSerif Regular" w:hAnsi="StobiSerif Regular"/>
          <w:color w:val="000000"/>
          <w:sz w:val="22"/>
          <w:szCs w:val="22"/>
        </w:rPr>
        <w:t xml:space="preserve"> Реформски агенди, овие мерки се оценети како задоволителни.</w:t>
      </w:r>
    </w:p>
    <w:p w14:paraId="07591E5B" w14:textId="77777777" w:rsidR="00C71B06" w:rsidRPr="004C7C17" w:rsidRDefault="00C71B06" w:rsidP="00C71B06">
      <w:pPr>
        <w:shd w:val="clear" w:color="auto" w:fill="FFFFFF"/>
        <w:spacing w:before="120" w:after="120"/>
        <w:ind w:left="851"/>
        <w:jc w:val="both"/>
        <w:rPr>
          <w:rFonts w:ascii="StobiSerif Regular" w:hAnsi="StobiSerif Regular"/>
          <w:sz w:val="22"/>
          <w:szCs w:val="22"/>
        </w:rPr>
      </w:pPr>
      <w:r w:rsidRPr="004C7C17">
        <w:rPr>
          <w:rFonts w:ascii="StobiSerif Regular" w:hAnsi="StobiSerif Regular"/>
          <w:b/>
          <w:i/>
          <w:sz w:val="22"/>
          <w:szCs w:val="22"/>
        </w:rPr>
        <w:t>б. Фаза на спроведување</w:t>
      </w:r>
    </w:p>
    <w:p w14:paraId="00EE3652"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333333"/>
          <w:sz w:val="22"/>
          <w:szCs w:val="22"/>
          <w:u w:val="single"/>
        </w:rPr>
        <w:t>Корисник</w:t>
      </w:r>
    </w:p>
    <w:p w14:paraId="4DA6902D"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 xml:space="preserve">Корисникот презема и спроведува мерки за </w:t>
      </w:r>
      <w:r w:rsidRPr="004C7C17">
        <w:rPr>
          <w:rFonts w:ascii="StobiSerif Regular" w:hAnsi="StobiSerif Regular"/>
          <w:b/>
          <w:bCs/>
          <w:color w:val="000000"/>
          <w:sz w:val="22"/>
          <w:szCs w:val="22"/>
        </w:rPr>
        <w:t>откривање и спречување двојно финансирање</w:t>
      </w:r>
      <w:r w:rsidRPr="004C7C17">
        <w:rPr>
          <w:rFonts w:ascii="StobiSerif Regular" w:hAnsi="StobiSerif Regular"/>
          <w:color w:val="000000"/>
          <w:sz w:val="22"/>
          <w:szCs w:val="22"/>
        </w:rPr>
        <w:t xml:space="preserve"> од Инструментот и од другите програми на Унијата, како и од други донатори. Исто така, во </w:t>
      </w:r>
      <w:r w:rsidRPr="004C7C17">
        <w:rPr>
          <w:rFonts w:ascii="StobiSerif Regular" w:hAnsi="StobiSerif Regular"/>
          <w:b/>
          <w:bCs/>
          <w:color w:val="000000"/>
          <w:sz w:val="22"/>
          <w:szCs w:val="22"/>
        </w:rPr>
        <w:t>барањата за плаќање</w:t>
      </w:r>
      <w:r w:rsidRPr="004C7C17">
        <w:rPr>
          <w:rFonts w:ascii="StobiSerif Regular" w:hAnsi="StobiSerif Regular"/>
          <w:color w:val="000000"/>
          <w:sz w:val="22"/>
          <w:szCs w:val="22"/>
        </w:rPr>
        <w:t xml:space="preserve"> </w:t>
      </w:r>
      <w:r w:rsidRPr="004C7C17">
        <w:rPr>
          <w:rFonts w:ascii="StobiSerif Regular" w:hAnsi="StobiSerif Regular"/>
          <w:b/>
          <w:bCs/>
          <w:color w:val="000000"/>
          <w:sz w:val="22"/>
          <w:szCs w:val="22"/>
        </w:rPr>
        <w:t>наведува</w:t>
      </w:r>
      <w:r w:rsidRPr="004C7C17">
        <w:rPr>
          <w:rFonts w:ascii="StobiSerif Regular" w:hAnsi="StobiSerif Regular"/>
          <w:color w:val="000000"/>
          <w:sz w:val="22"/>
          <w:szCs w:val="22"/>
        </w:rPr>
        <w:t xml:space="preserve"> дали некои квантитативни или квалитативни (неквантитативни) чекори добиле поддршка и финансирање од други извори, вклучително и соодветниот износ и </w:t>
      </w:r>
      <w:r w:rsidRPr="004C7C17">
        <w:rPr>
          <w:rFonts w:ascii="StobiSerif Regular" w:hAnsi="StobiSerif Regular"/>
          <w:b/>
          <w:bCs/>
          <w:color w:val="000000"/>
          <w:sz w:val="22"/>
          <w:szCs w:val="22"/>
        </w:rPr>
        <w:t xml:space="preserve">ги објаснува </w:t>
      </w:r>
      <w:r w:rsidR="001D534E" w:rsidRPr="004C7C17">
        <w:rPr>
          <w:rFonts w:ascii="StobiSerif Regular" w:hAnsi="StobiSerif Regular"/>
          <w:b/>
          <w:bCs/>
          <w:color w:val="000000"/>
          <w:sz w:val="22"/>
          <w:szCs w:val="22"/>
        </w:rPr>
        <w:t>механизмите</w:t>
      </w:r>
      <w:r w:rsidRPr="004C7C17">
        <w:rPr>
          <w:rFonts w:ascii="StobiSerif Regular" w:hAnsi="StobiSerif Regular"/>
          <w:b/>
          <w:bCs/>
          <w:color w:val="000000"/>
          <w:sz w:val="22"/>
          <w:szCs w:val="22"/>
        </w:rPr>
        <w:t xml:space="preserve"> коишто се воспоставени за да се избегне двојно финансирање</w:t>
      </w:r>
      <w:r w:rsidRPr="004C7C17">
        <w:rPr>
          <w:rFonts w:ascii="StobiSerif Regular" w:hAnsi="StobiSerif Regular"/>
          <w:color w:val="000000"/>
          <w:sz w:val="22"/>
          <w:szCs w:val="22"/>
        </w:rPr>
        <w:t>.</w:t>
      </w:r>
    </w:p>
    <w:p w14:paraId="09F5E485" w14:textId="77777777" w:rsidR="00C71B06" w:rsidRPr="004C7C17" w:rsidRDefault="00C71B06"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 xml:space="preserve">Во </w:t>
      </w:r>
      <w:r w:rsidRPr="004C7C17">
        <w:rPr>
          <w:rFonts w:ascii="StobiSerif Regular" w:hAnsi="StobiSerif Regular"/>
          <w:b/>
          <w:bCs/>
          <w:color w:val="000000"/>
          <w:sz w:val="22"/>
          <w:szCs w:val="22"/>
        </w:rPr>
        <w:t>изјавата за гаранција</w:t>
      </w:r>
      <w:r w:rsidRPr="004C7C17">
        <w:rPr>
          <w:rFonts w:ascii="StobiSerif Regular" w:hAnsi="StobiSerif Regular"/>
          <w:color w:val="000000"/>
          <w:sz w:val="22"/>
          <w:szCs w:val="22"/>
        </w:rPr>
        <w:t xml:space="preserve"> која ги придружува барањата за плаќање, Националниот координатор потврдува дека:</w:t>
      </w:r>
    </w:p>
    <w:p w14:paraId="394C7CE9" w14:textId="77777777" w:rsidR="00C71B06" w:rsidRPr="004C7C17" w:rsidRDefault="00C71B06" w:rsidP="00C71B06">
      <w:pPr>
        <w:shd w:val="clear" w:color="auto" w:fill="FFFFFF"/>
        <w:spacing w:before="120" w:after="120"/>
        <w:ind w:left="709" w:hanging="425"/>
        <w:jc w:val="both"/>
        <w:rPr>
          <w:rFonts w:ascii="StobiSerif Regular" w:hAnsi="StobiSerif Regular"/>
          <w:sz w:val="22"/>
          <w:szCs w:val="22"/>
        </w:rPr>
      </w:pPr>
      <w:r w:rsidRPr="004C7C17">
        <w:rPr>
          <w:rFonts w:ascii="StobiSerif Regular" w:hAnsi="StobiSerif Regular"/>
          <w:color w:val="000000"/>
          <w:sz w:val="22"/>
          <w:szCs w:val="22"/>
        </w:rPr>
        <w:t>-</w:t>
      </w:r>
      <w:r w:rsidRPr="004C7C17">
        <w:rPr>
          <w:rFonts w:ascii="StobiSerif Regular" w:hAnsi="StobiSerif Regular"/>
          <w:color w:val="000000"/>
          <w:sz w:val="22"/>
          <w:szCs w:val="22"/>
        </w:rPr>
        <w:tab/>
        <w:t>Воспоставените контролни системи ги даваат потребните гаранции дека обезбеденото финансирање се користи во согласност со сите важечки правила, особено во однос на спречување, откривање и корекција на измами, корупција, судир на интереси и неправилности.</w:t>
      </w:r>
    </w:p>
    <w:p w14:paraId="4660D222" w14:textId="77777777" w:rsidR="00C71B06" w:rsidRPr="004C7C17" w:rsidRDefault="00C71B06" w:rsidP="00C71B06">
      <w:pPr>
        <w:shd w:val="clear" w:color="auto" w:fill="FFFFFF"/>
        <w:spacing w:before="120" w:after="120"/>
        <w:ind w:left="709" w:hanging="425"/>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 xml:space="preserve">Воспоставените </w:t>
      </w:r>
      <w:r w:rsidR="001D534E" w:rsidRPr="004C7C17">
        <w:rPr>
          <w:rFonts w:ascii="StobiSerif Regular" w:hAnsi="StobiSerif Regular"/>
          <w:color w:val="000000"/>
          <w:sz w:val="22"/>
        </w:rPr>
        <w:t>механизми</w:t>
      </w:r>
      <w:r w:rsidRPr="004C7C17">
        <w:rPr>
          <w:rFonts w:ascii="StobiSerif Regular" w:hAnsi="StobiSerif Regular"/>
          <w:color w:val="000000"/>
          <w:sz w:val="22"/>
        </w:rPr>
        <w:t xml:space="preserve"> ја даваат потребната гаранција дека обезбеденото финансирање не резултирало со двојно финансирање од Инструментот, од другите програми или инструменти на Унијата, како и од други донатори.</w:t>
      </w:r>
    </w:p>
    <w:p w14:paraId="0B6A33E1"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Доколку е потребно, Комисијата може да го поддржи Националниот координатор во собирањето информации во врска со финансирање од други програми и инструменти на Унијата.</w:t>
      </w:r>
    </w:p>
    <w:p w14:paraId="0454E3D5" w14:textId="3B01F6FC"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Администрацијата на Корисникот, исто така, обезбедува </w:t>
      </w:r>
      <w:r w:rsidRPr="004C7C17">
        <w:rPr>
          <w:rFonts w:ascii="StobiSerif Regular" w:hAnsi="StobiSerif Regular"/>
          <w:b/>
          <w:bCs/>
          <w:color w:val="000000"/>
          <w:sz w:val="22"/>
        </w:rPr>
        <w:t>резиме на извршените ревизии</w:t>
      </w:r>
      <w:r w:rsidRPr="004C7C17">
        <w:rPr>
          <w:rFonts w:ascii="StobiSerif Regular" w:hAnsi="StobiSerif Regular"/>
          <w:color w:val="000000"/>
          <w:sz w:val="22"/>
        </w:rPr>
        <w:t xml:space="preserve">, вклучувајќи ги идентификуваните слабости и преземените корективни </w:t>
      </w:r>
      <w:r w:rsidR="006A67AD" w:rsidRPr="004C7C17">
        <w:rPr>
          <w:rFonts w:ascii="StobiSerif Regular" w:hAnsi="StobiSerif Regular"/>
          <w:color w:val="000000"/>
          <w:sz w:val="22"/>
        </w:rPr>
        <w:t>мерки</w:t>
      </w:r>
      <w:r w:rsidRPr="004C7C17">
        <w:rPr>
          <w:rFonts w:ascii="StobiSerif Regular" w:hAnsi="StobiSerif Regular"/>
          <w:color w:val="000000"/>
          <w:sz w:val="22"/>
        </w:rPr>
        <w:t>.</w:t>
      </w:r>
    </w:p>
    <w:p w14:paraId="47B5127C"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u w:val="single"/>
        </w:rPr>
        <w:t>Комисијата</w:t>
      </w:r>
    </w:p>
    <w:p w14:paraId="0892EA0E"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Во согласност со член 12.8. од Спогодбата за Инструментот, се врши системска </w:t>
      </w:r>
      <w:r w:rsidRPr="004C7C17">
        <w:rPr>
          <w:rFonts w:ascii="StobiSerif Regular" w:hAnsi="StobiSerif Regular"/>
          <w:color w:val="000000"/>
          <w:sz w:val="22"/>
        </w:rPr>
        <w:lastRenderedPageBreak/>
        <w:t>ревизија најдоцна до 2025 година за да се проценат системите за внатрешна контрола на Корисникот, вклучително и неговата способност да спречи, открие и коригира двојно финансирање. Доколку се утврди потреба за време на системската ревизија, ќе бидат издадени препораки за да се повика Корисникот да го подобри својот контролен систем во овој поглед.</w:t>
      </w:r>
    </w:p>
    <w:p w14:paraId="0729C7BF" w14:textId="224BB20C"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При приемот на барањето за плаќање, ЕК го проценува </w:t>
      </w:r>
      <w:r w:rsidR="001D534E" w:rsidRPr="004C7C17">
        <w:rPr>
          <w:rFonts w:ascii="StobiSerif Regular" w:hAnsi="StobiSerif Regular"/>
          <w:color w:val="000000"/>
          <w:sz w:val="22"/>
        </w:rPr>
        <w:t xml:space="preserve">степенот </w:t>
      </w:r>
      <w:r w:rsidR="00CD1EC1" w:rsidRPr="004C7C17">
        <w:rPr>
          <w:rFonts w:ascii="StobiSerif Regular" w:hAnsi="StobiSerif Regular"/>
          <w:color w:val="000000"/>
          <w:sz w:val="22"/>
        </w:rPr>
        <w:t>на</w:t>
      </w:r>
      <w:r w:rsidR="001D534E" w:rsidRPr="004C7C17">
        <w:rPr>
          <w:rFonts w:ascii="StobiSerif Regular" w:hAnsi="StobiSerif Regular"/>
          <w:color w:val="000000"/>
          <w:sz w:val="22"/>
        </w:rPr>
        <w:t xml:space="preserve"> исполнување</w:t>
      </w:r>
      <w:r w:rsidRPr="004C7C17">
        <w:rPr>
          <w:rFonts w:ascii="StobiSerif Regular" w:hAnsi="StobiSerif Regular"/>
          <w:color w:val="000000"/>
          <w:sz w:val="22"/>
        </w:rPr>
        <w:t xml:space="preserve"> на чекорите врз основа на информациите обезбедени од органите. Во по</w:t>
      </w:r>
      <w:r w:rsidR="0051341E" w:rsidRPr="004C7C17">
        <w:rPr>
          <w:rFonts w:ascii="StobiSerif Regular" w:hAnsi="StobiSerif Regular"/>
          <w:color w:val="000000"/>
          <w:sz w:val="22"/>
        </w:rPr>
        <w:t xml:space="preserve">себни случаи, ЕК може да </w:t>
      </w:r>
      <w:r w:rsidR="00955BA9" w:rsidRPr="004C7C17">
        <w:rPr>
          <w:rFonts w:ascii="StobiSerif Regular" w:hAnsi="StobiSerif Regular"/>
          <w:color w:val="000000"/>
          <w:sz w:val="22"/>
        </w:rPr>
        <w:t>користи</w:t>
      </w:r>
      <w:r w:rsidRPr="004C7C17">
        <w:rPr>
          <w:rFonts w:ascii="StobiSerif Regular" w:hAnsi="StobiSerif Regular"/>
          <w:color w:val="000000"/>
          <w:sz w:val="22"/>
        </w:rPr>
        <w:t xml:space="preserve"> екс-анте контроли, како што се мисии за верификација, или екс-пост контроли во подоцнежна фаза.</w:t>
      </w:r>
    </w:p>
    <w:p w14:paraId="68E0A7C0"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Конкретно, Комисијата ќе процени </w:t>
      </w:r>
      <w:r w:rsidRPr="004C7C17">
        <w:rPr>
          <w:rFonts w:ascii="StobiSerif Regular" w:hAnsi="StobiSerif Regular"/>
          <w:b/>
          <w:bCs/>
          <w:color w:val="000000"/>
          <w:sz w:val="22"/>
        </w:rPr>
        <w:t>до кој степен комплементарната акција придонела за постигнување на чекорот или колкав е степенот на преклопување помеѓу чекорот во РА и резултатот постигнат во рамките на комплементарната акција</w:t>
      </w:r>
      <w:r w:rsidRPr="004C7C17">
        <w:rPr>
          <w:rFonts w:ascii="StobiSerif Regular" w:hAnsi="StobiSerif Regular"/>
          <w:color w:val="000000"/>
          <w:sz w:val="22"/>
        </w:rPr>
        <w:t>.</w:t>
      </w:r>
    </w:p>
    <w:p w14:paraId="0D9067E4"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Кога Комисијата ќе открие случаи на потенцијално двојно финансирање, таа без непотребно одлагање ќе се обрати до Корисникот, кој може да достави дополнителни информации за да ѝ помогне на Комисијата во </w:t>
      </w:r>
      <w:r w:rsidR="0051341E" w:rsidRPr="004C7C17">
        <w:rPr>
          <w:rFonts w:ascii="StobiSerif Regular" w:hAnsi="StobiSerif Regular"/>
          <w:color w:val="000000"/>
          <w:sz w:val="22"/>
        </w:rPr>
        <w:t>нејзината процена</w:t>
      </w:r>
      <w:r w:rsidRPr="004C7C17">
        <w:rPr>
          <w:rFonts w:ascii="StobiSerif Regular" w:hAnsi="StobiSerif Regular"/>
          <w:color w:val="000000"/>
          <w:sz w:val="22"/>
        </w:rPr>
        <w:t xml:space="preserve"> дали во конкретните случаи навистина има двојно финансирање.</w:t>
      </w:r>
    </w:p>
    <w:p w14:paraId="77EE41F5" w14:textId="77777777" w:rsidR="00C71B06" w:rsidRPr="004C7C17" w:rsidRDefault="0051341E"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Во п</w:t>
      </w:r>
      <w:r w:rsidR="00C71B06" w:rsidRPr="004C7C17">
        <w:rPr>
          <w:rFonts w:ascii="StobiSerif Regular" w:hAnsi="StobiSerif Regular"/>
          <w:color w:val="000000"/>
          <w:sz w:val="22"/>
        </w:rPr>
        <w:t xml:space="preserve">римерите во оддел 3 подолу </w:t>
      </w:r>
      <w:r w:rsidR="00335D56" w:rsidRPr="004C7C17">
        <w:rPr>
          <w:rFonts w:ascii="StobiSerif Regular" w:hAnsi="StobiSerif Regular"/>
          <w:color w:val="000000"/>
          <w:sz w:val="22"/>
        </w:rPr>
        <w:t>се наведени</w:t>
      </w:r>
      <w:r w:rsidR="00C71B06" w:rsidRPr="004C7C17">
        <w:rPr>
          <w:rFonts w:ascii="StobiSerif Regular" w:hAnsi="StobiSerif Regular"/>
          <w:color w:val="000000"/>
          <w:sz w:val="22"/>
        </w:rPr>
        <w:t xml:space="preserve"> прифатливи случаи на комплементарни акции. По правило, Корисникот треба го задржи правото на сопственост и да ја осигури одржливоста на спроведувањето на чекорите.</w:t>
      </w:r>
    </w:p>
    <w:p w14:paraId="0A6553AF"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Преку прегледот на изјавата за управување и резимето на извршените ревизии, Комисијата може да побара дополнителни информации и/или да спроведе ревизии на лице место доколку постои сомневање за можни ризици од двојно финансирање.</w:t>
      </w:r>
    </w:p>
    <w:p w14:paraId="6C4827D4" w14:textId="556CE2E2"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Комисијата и телата на Корисниците одговорни за управување и ревизија на спроведувањето на финансирањето од Унијата треба да имаат пристап до сите релевантни податоци, за да можат да извршат вкрстена проверка на трошоците што тие планираат да ги пријават како подобни за надомест од Унијата преку други фондови. Комисијата може да побара такви податоци во рамките на своите екс-анте контроли и ревизии и да изврши поврат на соодветниот износ доколку администрацијата на Корисникот не ја коригира неправилноста.</w:t>
      </w:r>
    </w:p>
    <w:p w14:paraId="272CE641"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Во случај кога не постои јасно разграничување помеѓу секторите во рамките на ИРР и другите инструменти финансирани од ЕУ, особено ИПА III, Комисијата треба да ја применува гореспоменатата методологија за секое доставено барање за плаќање.</w:t>
      </w:r>
    </w:p>
    <w:p w14:paraId="008A175F" w14:textId="36B8EAAC"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Инвестициите </w:t>
      </w:r>
      <w:r w:rsidR="00955BA9" w:rsidRPr="004C7C17">
        <w:rPr>
          <w:rFonts w:ascii="StobiSerif Regular" w:hAnsi="StobiSerif Regular"/>
          <w:color w:val="000000"/>
          <w:sz w:val="22"/>
        </w:rPr>
        <w:t>од</w:t>
      </w:r>
      <w:r w:rsidRPr="004C7C17">
        <w:rPr>
          <w:rFonts w:ascii="StobiSerif Regular" w:hAnsi="StobiSerif Regular"/>
          <w:color w:val="000000"/>
          <w:sz w:val="22"/>
        </w:rPr>
        <w:t xml:space="preserve"> ИРЗБ во рамките на ИРР ќе се проценуваат од Одборот на ИРЗБ во однос на инвестициите финансирани преку ИПА III (член 3.01(в) од Општите услови).</w:t>
      </w:r>
    </w:p>
    <w:p w14:paraId="4CAF3D20" w14:textId="44FE1788" w:rsidR="00C71B06" w:rsidRPr="004C7C17" w:rsidRDefault="00C71B06" w:rsidP="00C71B06">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 xml:space="preserve">За мешовита поддршка, која комбинира заеми и грантови, овие насоки се применуваат без да се прави разлика помеѓу она што е </w:t>
      </w:r>
      <w:r w:rsidR="000F328C" w:rsidRPr="004C7C17">
        <w:rPr>
          <w:rFonts w:ascii="StobiSerif Regular" w:hAnsi="StobiSerif Regular"/>
          <w:color w:val="000000"/>
          <w:sz w:val="22"/>
        </w:rPr>
        <w:t>исплатено преку заем</w:t>
      </w:r>
      <w:r w:rsidRPr="004C7C17">
        <w:rPr>
          <w:rFonts w:ascii="StobiSerif Regular" w:hAnsi="StobiSerif Regular"/>
          <w:color w:val="000000"/>
          <w:sz w:val="22"/>
        </w:rPr>
        <w:t xml:space="preserve"> и о</w:t>
      </w:r>
      <w:r w:rsidR="000F328C" w:rsidRPr="004C7C17">
        <w:rPr>
          <w:rFonts w:ascii="StobiSerif Regular" w:hAnsi="StobiSerif Regular"/>
          <w:color w:val="000000"/>
          <w:sz w:val="22"/>
        </w:rPr>
        <w:t>на што е исплатено преку грант</w:t>
      </w:r>
      <w:r w:rsidRPr="004C7C17">
        <w:rPr>
          <w:rFonts w:ascii="StobiSerif Regular" w:hAnsi="StobiSerif Regular"/>
          <w:color w:val="000000"/>
          <w:sz w:val="22"/>
        </w:rPr>
        <w:t>. Севкупната поддршка во рамките на операцијата на мешовито финансирање се смета за комплементарна поддршка од ЕУ и спаѓа во опсегот на овие насоки за двојно финансирање;</w:t>
      </w:r>
    </w:p>
    <w:p w14:paraId="79C8D581" w14:textId="77777777" w:rsidR="00C71B06" w:rsidRPr="004C7C17" w:rsidRDefault="00C71B06" w:rsidP="00C71B06">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lastRenderedPageBreak/>
        <w:t>-</w:t>
      </w:r>
      <w:r w:rsidRPr="004C7C17">
        <w:rPr>
          <w:rFonts w:ascii="StobiSerif Regular" w:hAnsi="StobiSerif Regular"/>
          <w:color w:val="000000"/>
          <w:sz w:val="22"/>
        </w:rPr>
        <w:tab/>
        <w:t>Затоа, при прегледот на исполнувањето на чекорот, ЕК не ја вклучува во конечниот резултат вредноста што е постигната преку комплементарна акција. Во прегледот, како конечен резултат ќе се смета она што е постигнато со национални ресурси или со национални заеми (- независни заеми кои не се дел од операции на мешовитo финансирање);</w:t>
      </w:r>
    </w:p>
    <w:p w14:paraId="28B3BC36" w14:textId="77777777" w:rsidR="00C71B06" w:rsidRPr="004C7C17" w:rsidRDefault="00C71B06" w:rsidP="00C71B06">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Внатрешното мапирање на постојни</w:t>
      </w:r>
      <w:r w:rsidR="00335D56" w:rsidRPr="004C7C17">
        <w:rPr>
          <w:rFonts w:ascii="StobiSerif Regular" w:hAnsi="StobiSerif Regular"/>
          <w:color w:val="000000"/>
          <w:sz w:val="22"/>
        </w:rPr>
        <w:t>те комплементарни проекти на ЕУ</w:t>
      </w:r>
      <w:r w:rsidRPr="004C7C17">
        <w:rPr>
          <w:rFonts w:ascii="StobiSerif Regular" w:hAnsi="StobiSerif Regular"/>
          <w:color w:val="000000"/>
          <w:sz w:val="22"/>
        </w:rPr>
        <w:t xml:space="preserve"> кои имаат одреден придонес во исполнувањето на чекорите од РА, </w:t>
      </w:r>
      <w:r w:rsidR="00335D56" w:rsidRPr="004C7C17">
        <w:rPr>
          <w:rFonts w:ascii="StobiSerif Regular" w:hAnsi="StobiSerif Regular"/>
          <w:color w:val="000000"/>
          <w:sz w:val="22"/>
        </w:rPr>
        <w:t xml:space="preserve">покажа </w:t>
      </w:r>
      <w:r w:rsidR="00C75016" w:rsidRPr="004C7C17">
        <w:rPr>
          <w:rFonts w:ascii="StobiSerif Regular" w:hAnsi="StobiSerif Regular"/>
          <w:color w:val="000000"/>
          <w:sz w:val="22"/>
        </w:rPr>
        <w:t xml:space="preserve">дека нивното </w:t>
      </w:r>
      <w:r w:rsidR="00335D56" w:rsidRPr="004C7C17">
        <w:rPr>
          <w:rFonts w:ascii="StobiSerif Regular" w:hAnsi="StobiSerif Regular"/>
          <w:color w:val="000000"/>
          <w:sz w:val="22"/>
        </w:rPr>
        <w:t xml:space="preserve">влијание </w:t>
      </w:r>
      <w:r w:rsidR="00C75016" w:rsidRPr="004C7C17">
        <w:rPr>
          <w:rFonts w:ascii="StobiSerif Regular" w:hAnsi="StobiSerif Regular"/>
          <w:color w:val="000000"/>
          <w:sz w:val="22"/>
        </w:rPr>
        <w:t>во</w:t>
      </w:r>
      <w:r w:rsidR="00335D56" w:rsidRPr="004C7C17">
        <w:rPr>
          <w:rFonts w:ascii="StobiSerif Regular" w:hAnsi="StobiSerif Regular"/>
          <w:color w:val="000000"/>
          <w:sz w:val="22"/>
        </w:rPr>
        <w:t xml:space="preserve"> преклопување на чекорите</w:t>
      </w:r>
      <w:r w:rsidR="00C75016" w:rsidRPr="004C7C17">
        <w:rPr>
          <w:rFonts w:ascii="StobiSerif Regular" w:hAnsi="StobiSerif Regular"/>
          <w:color w:val="000000"/>
          <w:sz w:val="22"/>
        </w:rPr>
        <w:t>,</w:t>
      </w:r>
      <w:r w:rsidR="00335D56" w:rsidRPr="004C7C17">
        <w:rPr>
          <w:rFonts w:ascii="StobiSerif Regular" w:hAnsi="StobiSerif Regular"/>
          <w:color w:val="000000"/>
          <w:sz w:val="22"/>
        </w:rPr>
        <w:t xml:space="preserve"> </w:t>
      </w:r>
      <w:r w:rsidRPr="004C7C17">
        <w:rPr>
          <w:rFonts w:ascii="StobiSerif Regular" w:hAnsi="StobiSerif Regular"/>
          <w:color w:val="000000"/>
          <w:sz w:val="22"/>
        </w:rPr>
        <w:t xml:space="preserve">што би </w:t>
      </w:r>
      <w:r w:rsidR="00C75016" w:rsidRPr="004C7C17">
        <w:rPr>
          <w:rFonts w:ascii="StobiSerif Regular" w:hAnsi="StobiSerif Regular"/>
          <w:color w:val="000000"/>
          <w:sz w:val="22"/>
        </w:rPr>
        <w:t>можело да резултира</w:t>
      </w:r>
      <w:r w:rsidRPr="004C7C17">
        <w:rPr>
          <w:rFonts w:ascii="StobiSerif Regular" w:hAnsi="StobiSerif Regular"/>
          <w:color w:val="000000"/>
          <w:sz w:val="22"/>
        </w:rPr>
        <w:t xml:space="preserve"> со </w:t>
      </w:r>
      <w:r w:rsidR="00C75016" w:rsidRPr="004C7C17">
        <w:rPr>
          <w:rFonts w:ascii="StobiSerif Regular" w:hAnsi="StobiSerif Regular"/>
          <w:color w:val="000000"/>
          <w:sz w:val="22"/>
        </w:rPr>
        <w:t>намалување на средствата што треба да се исплатат во рамките</w:t>
      </w:r>
      <w:r w:rsidRPr="004C7C17">
        <w:rPr>
          <w:rFonts w:ascii="StobiSerif Regular" w:hAnsi="StobiSerif Regular"/>
          <w:color w:val="000000"/>
          <w:sz w:val="22"/>
        </w:rPr>
        <w:t xml:space="preserve"> на ИРР</w:t>
      </w:r>
      <w:r w:rsidR="00C75016" w:rsidRPr="004C7C17">
        <w:rPr>
          <w:rFonts w:ascii="StobiSerif Regular" w:hAnsi="StobiSerif Regular"/>
          <w:color w:val="000000"/>
          <w:sz w:val="22"/>
        </w:rPr>
        <w:t>,</w:t>
      </w:r>
      <w:r w:rsidRPr="004C7C17">
        <w:rPr>
          <w:rFonts w:ascii="StobiSerif Regular" w:hAnsi="StobiSerif Regular"/>
          <w:color w:val="000000"/>
          <w:sz w:val="22"/>
        </w:rPr>
        <w:t xml:space="preserve"> е мало (т.е. фактичкиот степен на преклопување беше проценет на помалку од 10%, што </w:t>
      </w:r>
      <w:r w:rsidR="00C75016" w:rsidRPr="004C7C17">
        <w:rPr>
          <w:rFonts w:ascii="StobiSerif Regular" w:hAnsi="StobiSerif Regular"/>
          <w:color w:val="000000"/>
          <w:sz w:val="22"/>
        </w:rPr>
        <w:t>ќе овозможи</w:t>
      </w:r>
      <w:r w:rsidRPr="004C7C17">
        <w:rPr>
          <w:rFonts w:ascii="StobiSerif Regular" w:hAnsi="StobiSerif Regular"/>
          <w:color w:val="000000"/>
          <w:sz w:val="22"/>
        </w:rPr>
        <w:t xml:space="preserve"> целосна исплата на чекорот ако корисниците го постигнат прагот од 90%);</w:t>
      </w:r>
    </w:p>
    <w:p w14:paraId="12483152" w14:textId="7C007073" w:rsidR="00C71B06" w:rsidRPr="004C7C17" w:rsidRDefault="00C71B06" w:rsidP="00C71B06">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rPr>
        <w:t>-</w:t>
      </w:r>
      <w:r w:rsidRPr="004C7C17">
        <w:rPr>
          <w:rFonts w:ascii="StobiSerif Regular" w:hAnsi="StobiSerif Regular"/>
        </w:rPr>
        <w:tab/>
      </w:r>
      <w:r w:rsidRPr="004C7C17">
        <w:rPr>
          <w:rFonts w:ascii="StobiSerif Regular" w:hAnsi="StobiSerif Regular"/>
          <w:sz w:val="22"/>
          <w:szCs w:val="22"/>
        </w:rPr>
        <w:t xml:space="preserve">Проектите </w:t>
      </w:r>
      <w:r w:rsidR="000F328C" w:rsidRPr="004C7C17">
        <w:rPr>
          <w:rFonts w:ascii="StobiSerif Regular" w:hAnsi="StobiSerif Regular"/>
          <w:sz w:val="22"/>
          <w:szCs w:val="22"/>
        </w:rPr>
        <w:t>во рамките на</w:t>
      </w:r>
      <w:r w:rsidRPr="004C7C17">
        <w:rPr>
          <w:rFonts w:ascii="StobiSerif Regular" w:hAnsi="StobiSerif Regular"/>
          <w:sz w:val="22"/>
          <w:szCs w:val="22"/>
        </w:rPr>
        <w:t xml:space="preserve"> Регионалната програма за енергетска ефикасност (REEP) може </w:t>
      </w:r>
      <w:r w:rsidR="000F328C" w:rsidRPr="004C7C17">
        <w:rPr>
          <w:rFonts w:ascii="StobiSerif Regular" w:hAnsi="StobiSerif Regular"/>
          <w:sz w:val="22"/>
          <w:szCs w:val="22"/>
        </w:rPr>
        <w:t>делумно да се преклопуваат</w:t>
      </w:r>
      <w:r w:rsidRPr="004C7C17">
        <w:rPr>
          <w:rFonts w:ascii="StobiSerif Regular" w:hAnsi="StobiSerif Regular"/>
          <w:sz w:val="22"/>
          <w:szCs w:val="22"/>
        </w:rPr>
        <w:t xml:space="preserve"> со чекорите од РА.</w:t>
      </w:r>
      <w:r w:rsidRPr="004C7C17">
        <w:rPr>
          <w:rFonts w:ascii="StobiSerif Regular" w:hAnsi="StobiSerif Regular"/>
          <w:color w:val="000000"/>
          <w:sz w:val="22"/>
          <w:szCs w:val="22"/>
        </w:rPr>
        <w:t xml:space="preserve"> Во оваа фаза не е можно да се предвиди </w:t>
      </w:r>
      <w:r w:rsidR="00CB6C97" w:rsidRPr="004C7C17">
        <w:rPr>
          <w:rFonts w:ascii="StobiSerif Regular" w:hAnsi="StobiSerif Regular"/>
          <w:color w:val="000000"/>
          <w:sz w:val="22"/>
          <w:szCs w:val="22"/>
        </w:rPr>
        <w:t>на кој начин резултат</w:t>
      </w:r>
      <w:r w:rsidR="002167E9" w:rsidRPr="004C7C17">
        <w:rPr>
          <w:rFonts w:ascii="StobiSerif Regular" w:hAnsi="StobiSerif Regular"/>
          <w:color w:val="000000"/>
          <w:sz w:val="22"/>
          <w:szCs w:val="22"/>
        </w:rPr>
        <w:t>от</w:t>
      </w:r>
      <w:r w:rsidRPr="004C7C17">
        <w:rPr>
          <w:rFonts w:ascii="StobiSerif Regular" w:hAnsi="StobiSerif Regular"/>
          <w:color w:val="000000"/>
          <w:sz w:val="22"/>
          <w:szCs w:val="22"/>
        </w:rPr>
        <w:t xml:space="preserve"> од проектите на REEP </w:t>
      </w:r>
      <w:r w:rsidR="00CB6C97" w:rsidRPr="004C7C17">
        <w:rPr>
          <w:rFonts w:ascii="StobiSerif Regular" w:hAnsi="StobiSerif Regular"/>
          <w:color w:val="000000"/>
          <w:sz w:val="22"/>
          <w:szCs w:val="22"/>
        </w:rPr>
        <w:t>ќе придонес</w:t>
      </w:r>
      <w:r w:rsidR="002167E9" w:rsidRPr="004C7C17">
        <w:rPr>
          <w:rFonts w:ascii="StobiSerif Regular" w:hAnsi="StobiSerif Regular"/>
          <w:color w:val="000000"/>
          <w:sz w:val="22"/>
          <w:szCs w:val="22"/>
        </w:rPr>
        <w:t>е</w:t>
      </w:r>
      <w:r w:rsidR="00CB6C97" w:rsidRPr="004C7C17">
        <w:rPr>
          <w:rFonts w:ascii="StobiSerif Regular" w:hAnsi="StobiSerif Regular"/>
          <w:color w:val="000000"/>
          <w:sz w:val="22"/>
          <w:szCs w:val="22"/>
        </w:rPr>
        <w:t xml:space="preserve"> во</w:t>
      </w:r>
      <w:r w:rsidRPr="004C7C17">
        <w:rPr>
          <w:rFonts w:ascii="StobiSerif Regular" w:hAnsi="StobiSerif Regular"/>
          <w:color w:val="000000"/>
          <w:sz w:val="22"/>
          <w:szCs w:val="22"/>
        </w:rPr>
        <w:t xml:space="preserve"> исполнувањето на чекори</w:t>
      </w:r>
      <w:r w:rsidR="00CB6C97" w:rsidRPr="004C7C17">
        <w:rPr>
          <w:rFonts w:ascii="StobiSerif Regular" w:hAnsi="StobiSerif Regular"/>
          <w:color w:val="000000"/>
          <w:sz w:val="22"/>
          <w:szCs w:val="22"/>
        </w:rPr>
        <w:t>те од РА</w:t>
      </w:r>
      <w:r w:rsidRPr="004C7C17">
        <w:rPr>
          <w:rFonts w:ascii="StobiSerif Regular" w:hAnsi="StobiSerif Regular"/>
          <w:color w:val="000000"/>
          <w:sz w:val="22"/>
          <w:szCs w:val="22"/>
        </w:rPr>
        <w:t>. Во</w:t>
      </w:r>
      <w:r w:rsidRPr="004C7C17">
        <w:rPr>
          <w:rFonts w:ascii="StobiSerif Regular" w:hAnsi="StobiSerif Regular"/>
          <w:color w:val="000000"/>
          <w:sz w:val="22"/>
        </w:rPr>
        <w:t xml:space="preserve"> фазата на спроведување, засегнатите страни треба да се координираат за да осигурат комплементарен пристап </w:t>
      </w:r>
      <w:r w:rsidR="00492E3A" w:rsidRPr="004C7C17">
        <w:rPr>
          <w:rFonts w:ascii="StobiSerif Regular" w:hAnsi="StobiSerif Regular"/>
          <w:color w:val="000000"/>
          <w:sz w:val="22"/>
        </w:rPr>
        <w:t>кон</w:t>
      </w:r>
      <w:r w:rsidRPr="004C7C17">
        <w:rPr>
          <w:rFonts w:ascii="StobiSerif Regular" w:hAnsi="StobiSerif Regular"/>
          <w:color w:val="000000"/>
          <w:sz w:val="22"/>
        </w:rPr>
        <w:t xml:space="preserve"> РА. При прегледот на барањето за плаќање, ЕК ќе ги процени степенот и стапката на преклопување помеѓу чекорите од РА и поддршката од REEP.</w:t>
      </w:r>
    </w:p>
    <w:p w14:paraId="7698D820" w14:textId="773A3599" w:rsidR="00C71B06" w:rsidRPr="004C7C17" w:rsidRDefault="00C71B06" w:rsidP="00C71B06">
      <w:pPr>
        <w:shd w:val="clear" w:color="auto" w:fill="FFFFFF"/>
        <w:spacing w:before="120" w:after="120"/>
        <w:ind w:left="709" w:hanging="567"/>
        <w:jc w:val="both"/>
        <w:rPr>
          <w:rFonts w:ascii="StobiSerif Regular" w:hAnsi="StobiSerif Regular"/>
          <w:sz w:val="24"/>
          <w:szCs w:val="24"/>
        </w:rPr>
      </w:pPr>
      <w:r w:rsidRPr="004C7C17">
        <w:rPr>
          <w:rFonts w:ascii="StobiSerif Regular" w:hAnsi="StobiSerif Regular"/>
          <w:b/>
          <w:color w:val="000000"/>
          <w:sz w:val="22"/>
        </w:rPr>
        <w:t>3.</w:t>
      </w:r>
      <w:r w:rsidRPr="004C7C17">
        <w:rPr>
          <w:rFonts w:ascii="StobiSerif Regular" w:hAnsi="StobiSerif Regular"/>
          <w:b/>
          <w:color w:val="000000"/>
          <w:sz w:val="22"/>
        </w:rPr>
        <w:tab/>
      </w:r>
      <w:r w:rsidRPr="004C7C17">
        <w:rPr>
          <w:rFonts w:ascii="StobiSerif Regular" w:hAnsi="StobiSerif Regular"/>
          <w:b/>
          <w:color w:val="000000"/>
          <w:sz w:val="22"/>
          <w:u w:val="single"/>
        </w:rPr>
        <w:t xml:space="preserve">Примери на чекори во реформската агенда и комплементарно финансирање од други извори </w:t>
      </w:r>
      <w:r w:rsidR="00492E3A" w:rsidRPr="004C7C17">
        <w:rPr>
          <w:rFonts w:ascii="StobiSerif Regular" w:hAnsi="StobiSerif Regular"/>
          <w:b/>
          <w:color w:val="000000"/>
          <w:sz w:val="22"/>
          <w:u w:val="single"/>
        </w:rPr>
        <w:t>и поврзаната процена на двојно</w:t>
      </w:r>
      <w:r w:rsidRPr="004C7C17">
        <w:rPr>
          <w:rFonts w:ascii="StobiSerif Regular" w:hAnsi="StobiSerif Regular"/>
          <w:b/>
          <w:color w:val="000000"/>
          <w:sz w:val="22"/>
          <w:u w:val="single"/>
        </w:rPr>
        <w:t xml:space="preserve"> финансирање:</w:t>
      </w:r>
    </w:p>
    <w:p w14:paraId="60A82C73" w14:textId="77777777" w:rsidR="00C71B06" w:rsidRPr="004C7C17" w:rsidRDefault="00C71B06" w:rsidP="00C71B06">
      <w:pPr>
        <w:shd w:val="clear" w:color="auto" w:fill="FFFFFF"/>
        <w:spacing w:before="120" w:after="120"/>
        <w:ind w:left="142"/>
        <w:jc w:val="both"/>
        <w:rPr>
          <w:rFonts w:ascii="StobiSerif Regular" w:hAnsi="StobiSerif Regular"/>
          <w:sz w:val="24"/>
          <w:szCs w:val="24"/>
        </w:rPr>
      </w:pPr>
      <w:r w:rsidRPr="004C7C17">
        <w:rPr>
          <w:rFonts w:ascii="StobiSerif Regular" w:hAnsi="StobiSerif Regular"/>
          <w:b/>
          <w:color w:val="000000"/>
          <w:sz w:val="22"/>
        </w:rPr>
        <w:t>3.1</w:t>
      </w:r>
      <w:r w:rsidRPr="004C7C17">
        <w:rPr>
          <w:rFonts w:ascii="StobiSerif Regular" w:hAnsi="StobiSerif Regular"/>
          <w:b/>
          <w:color w:val="000000"/>
          <w:sz w:val="22"/>
        </w:rPr>
        <w:tab/>
        <w:t>Подготвителна работа во врска со:</w:t>
      </w:r>
    </w:p>
    <w:p w14:paraId="2EBE161D" w14:textId="77777777" w:rsidR="00C71B06" w:rsidRPr="004C7C17" w:rsidRDefault="00C71B06" w:rsidP="00C71B06">
      <w:pPr>
        <w:shd w:val="clear" w:color="auto" w:fill="FFFFFF"/>
        <w:spacing w:before="120" w:after="120"/>
        <w:ind w:left="993"/>
        <w:jc w:val="both"/>
        <w:rPr>
          <w:rFonts w:ascii="StobiSerif Regular" w:hAnsi="StobiSerif Regular"/>
          <w:sz w:val="24"/>
          <w:szCs w:val="24"/>
        </w:rPr>
      </w:pPr>
      <w:r w:rsidRPr="004C7C17">
        <w:rPr>
          <w:rFonts w:ascii="StobiSerif Regular" w:hAnsi="StobiSerif Regular"/>
          <w:b/>
          <w:color w:val="000000"/>
          <w:sz w:val="22"/>
        </w:rPr>
        <w:t>а) Изготвување на текст.</w:t>
      </w:r>
    </w:p>
    <w:p w14:paraId="4D63244F"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На пример, чекори кои вклучуваат изготвување / подготовка / развој на писмени насоки / методологија / анализа / извештај / стратегија / акциски план / закон / подзаконски акти.</w:t>
      </w:r>
    </w:p>
    <w:tbl>
      <w:tblPr>
        <w:tblW w:w="9010" w:type="dxa"/>
        <w:tblInd w:w="40" w:type="dxa"/>
        <w:tblLayout w:type="fixed"/>
        <w:tblCellMar>
          <w:left w:w="40" w:type="dxa"/>
          <w:right w:w="40" w:type="dxa"/>
        </w:tblCellMar>
        <w:tblLook w:val="0000" w:firstRow="0" w:lastRow="0" w:firstColumn="0" w:lastColumn="0" w:noHBand="0" w:noVBand="0"/>
      </w:tblPr>
      <w:tblGrid>
        <w:gridCol w:w="4355"/>
        <w:gridCol w:w="4655"/>
      </w:tblGrid>
      <w:tr w:rsidR="00C71B06" w:rsidRPr="004C7C17" w14:paraId="2309BCD5" w14:textId="77777777" w:rsidTr="0068048D">
        <w:trPr>
          <w:trHeight w:val="192"/>
        </w:trPr>
        <w:tc>
          <w:tcPr>
            <w:tcW w:w="4355" w:type="dxa"/>
            <w:tcBorders>
              <w:top w:val="nil"/>
              <w:left w:val="nil"/>
              <w:bottom w:val="single" w:sz="6" w:space="0" w:color="auto"/>
              <w:right w:val="single" w:sz="6" w:space="0" w:color="auto"/>
            </w:tcBorders>
            <w:shd w:val="clear" w:color="auto" w:fill="FFFFFF"/>
          </w:tcPr>
          <w:p w14:paraId="6F74D95E" w14:textId="77777777" w:rsidR="00C71B06" w:rsidRPr="004C7C17" w:rsidRDefault="00C71B06" w:rsidP="00C71B06">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655" w:type="dxa"/>
            <w:tcBorders>
              <w:top w:val="nil"/>
              <w:left w:val="single" w:sz="6" w:space="0" w:color="auto"/>
              <w:bottom w:val="single" w:sz="6" w:space="0" w:color="auto"/>
              <w:right w:val="nil"/>
            </w:tcBorders>
            <w:shd w:val="clear" w:color="auto" w:fill="FFFFFF"/>
          </w:tcPr>
          <w:p w14:paraId="70C3CFD9" w14:textId="77777777" w:rsidR="00C71B06" w:rsidRPr="004C7C17" w:rsidRDefault="00C71B06" w:rsidP="00C71B06">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2E69E5" w:rsidRPr="004C7C17" w14:paraId="79EA52A4" w14:textId="77777777" w:rsidTr="00D165F6">
        <w:trPr>
          <w:trHeight w:val="1764"/>
        </w:trPr>
        <w:tc>
          <w:tcPr>
            <w:tcW w:w="4355" w:type="dxa"/>
            <w:tcBorders>
              <w:top w:val="single" w:sz="6" w:space="0" w:color="auto"/>
              <w:left w:val="nil"/>
              <w:right w:val="single" w:sz="6" w:space="0" w:color="auto"/>
            </w:tcBorders>
            <w:shd w:val="clear" w:color="auto" w:fill="FFFFFF"/>
          </w:tcPr>
          <w:p w14:paraId="479DFABD" w14:textId="77777777" w:rsidR="002E69E5" w:rsidRPr="004C7C17" w:rsidRDefault="002E69E5" w:rsidP="002E69E5">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Техничка помош финансирана од ЕУ која обезбедува развој на капацитети во поглед на знаење и искуство (т.е. најдобри практики, методолошка поддршка, итн.).</w:t>
            </w:r>
            <w:r w:rsidRPr="004C7C17">
              <w:rPr>
                <w:rFonts w:ascii="StobiSerif Regular" w:hAnsi="StobiSerif Regular"/>
                <w:color w:val="000000"/>
                <w:sz w:val="22"/>
                <w:szCs w:val="22"/>
              </w:rPr>
              <w:t xml:space="preserve"> </w:t>
            </w:r>
            <w:r w:rsidRPr="004C7C17">
              <w:rPr>
                <w:rFonts w:ascii="StobiSerif Regular" w:hAnsi="StobiSerif Regular"/>
                <w:sz w:val="22"/>
                <w:szCs w:val="22"/>
              </w:rPr>
              <w:t>При самото изготвување на текстот може да се дозволи одреден степен на поддршка (таа не треба да надминува 50% во однос на изготвувањето на конечниот документ).</w:t>
            </w:r>
          </w:p>
        </w:tc>
        <w:tc>
          <w:tcPr>
            <w:tcW w:w="4655" w:type="dxa"/>
            <w:tcBorders>
              <w:top w:val="single" w:sz="6" w:space="0" w:color="auto"/>
              <w:left w:val="single" w:sz="6" w:space="0" w:color="auto"/>
              <w:right w:val="nil"/>
            </w:tcBorders>
            <w:shd w:val="clear" w:color="auto" w:fill="FFFFFF"/>
          </w:tcPr>
          <w:p w14:paraId="12A909D1" w14:textId="77777777" w:rsidR="002E69E5" w:rsidRPr="004C7C17" w:rsidRDefault="002E69E5"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Техничка помош финансирана од ЕУ / земји членки на ЕУ / агенции на ЕУ / други донатори го изготвуваат текстот за администрациите на Корисникот до тој степен, што тие стануваат главен изготвувач и ги заменуваат локалните органи / засегнатите страни.</w:t>
            </w:r>
          </w:p>
        </w:tc>
      </w:tr>
    </w:tbl>
    <w:p w14:paraId="2D7154DE" w14:textId="77777777" w:rsidR="00C71B06" w:rsidRPr="004C7C17" w:rsidRDefault="00C71B06" w:rsidP="002E69E5">
      <w:pPr>
        <w:shd w:val="clear" w:color="auto" w:fill="FFFFFF"/>
        <w:spacing w:before="120" w:after="120"/>
        <w:ind w:left="993"/>
        <w:jc w:val="both"/>
        <w:rPr>
          <w:rFonts w:ascii="StobiSerif Regular" w:hAnsi="StobiSerif Regular"/>
          <w:sz w:val="24"/>
          <w:szCs w:val="24"/>
        </w:rPr>
      </w:pPr>
      <w:r w:rsidRPr="004C7C17">
        <w:rPr>
          <w:rFonts w:ascii="StobiSerif Regular" w:hAnsi="StobiSerif Regular"/>
          <w:b/>
          <w:color w:val="000000"/>
          <w:sz w:val="22"/>
        </w:rPr>
        <w:t xml:space="preserve">б) Формално донесување закон / подзаконски акт / регулатива (правно </w:t>
      </w:r>
      <w:r w:rsidRPr="004C7C17">
        <w:rPr>
          <w:rFonts w:ascii="StobiSerif Regular" w:hAnsi="StobiSerif Regular"/>
          <w:b/>
          <w:color w:val="000000"/>
          <w:sz w:val="22"/>
        </w:rPr>
        <w:lastRenderedPageBreak/>
        <w:t>обврзувачки текст).</w:t>
      </w:r>
    </w:p>
    <w:p w14:paraId="6FD182B7"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На пример, чекори кои, спротивно на претходниот пример, го надминуваат изготвувањето на документи и вклучуваат донесување / ревизија / спроведување / хармонизација / измена / ратификација / транспонирање / усогласување со стандардите на ЕУ / влегување во сила на закони / подзаконски акти / конвенции итн. На пример: „Законот за јавна внатрешна финансиска контрола (ЈВФК) го донесува Собранието“.</w:t>
      </w:r>
    </w:p>
    <w:tbl>
      <w:tblPr>
        <w:tblW w:w="9033" w:type="dxa"/>
        <w:tblInd w:w="40" w:type="dxa"/>
        <w:tblLayout w:type="fixed"/>
        <w:tblCellMar>
          <w:left w:w="40" w:type="dxa"/>
          <w:right w:w="40" w:type="dxa"/>
        </w:tblCellMar>
        <w:tblLook w:val="0000" w:firstRow="0" w:lastRow="0" w:firstColumn="0" w:lastColumn="0" w:noHBand="0" w:noVBand="0"/>
      </w:tblPr>
      <w:tblGrid>
        <w:gridCol w:w="4355"/>
        <w:gridCol w:w="4678"/>
      </w:tblGrid>
      <w:tr w:rsidR="00C71B06" w:rsidRPr="004C7C17" w14:paraId="1EDEF9D0" w14:textId="77777777" w:rsidTr="0068048D">
        <w:trPr>
          <w:trHeight w:val="230"/>
        </w:trPr>
        <w:tc>
          <w:tcPr>
            <w:tcW w:w="4355" w:type="dxa"/>
            <w:tcBorders>
              <w:top w:val="nil"/>
              <w:left w:val="nil"/>
              <w:bottom w:val="single" w:sz="6" w:space="0" w:color="auto"/>
              <w:right w:val="single" w:sz="6" w:space="0" w:color="auto"/>
            </w:tcBorders>
            <w:shd w:val="clear" w:color="auto" w:fill="FFFFFF"/>
          </w:tcPr>
          <w:p w14:paraId="53909DEA"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678" w:type="dxa"/>
            <w:tcBorders>
              <w:top w:val="nil"/>
              <w:left w:val="single" w:sz="6" w:space="0" w:color="auto"/>
              <w:bottom w:val="single" w:sz="6" w:space="0" w:color="auto"/>
              <w:right w:val="nil"/>
            </w:tcBorders>
            <w:shd w:val="clear" w:color="auto" w:fill="FFFFFF"/>
          </w:tcPr>
          <w:p w14:paraId="6E070886"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2E69E5" w:rsidRPr="004C7C17" w14:paraId="01B2B7A3" w14:textId="77777777" w:rsidTr="00D165F6">
        <w:trPr>
          <w:trHeight w:val="2290"/>
        </w:trPr>
        <w:tc>
          <w:tcPr>
            <w:tcW w:w="4355" w:type="dxa"/>
            <w:tcBorders>
              <w:top w:val="single" w:sz="6" w:space="0" w:color="auto"/>
              <w:left w:val="nil"/>
              <w:right w:val="single" w:sz="6" w:space="0" w:color="auto"/>
            </w:tcBorders>
            <w:shd w:val="clear" w:color="auto" w:fill="FFFFFF"/>
          </w:tcPr>
          <w:p w14:paraId="6B226139" w14:textId="1E1C2511" w:rsidR="002E69E5" w:rsidRPr="004C7C17" w:rsidRDefault="002E69E5"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Техничка помош финансирана од ЕУ која обезбедува развој на капацитети во поглед на знаење и искуство (на пример, упатство за најдобри практики) и</w:t>
            </w:r>
            <w:r w:rsidR="00B71F17" w:rsidRPr="004C7C17">
              <w:rPr>
                <w:rFonts w:ascii="StobiSerif Regular" w:hAnsi="StobiSerif Regular"/>
                <w:sz w:val="22"/>
                <w:szCs w:val="22"/>
                <w:lang w:val="en-US"/>
              </w:rPr>
              <w:t xml:space="preserve"> </w:t>
            </w:r>
            <w:r w:rsidRPr="004C7C17">
              <w:rPr>
                <w:rFonts w:ascii="StobiSerif Regular" w:hAnsi="StobiSerif Regular"/>
                <w:sz w:val="22"/>
                <w:szCs w:val="22"/>
              </w:rPr>
              <w:t>/</w:t>
            </w:r>
            <w:r w:rsidR="00B71F17" w:rsidRPr="004C7C17">
              <w:rPr>
                <w:rFonts w:ascii="StobiSerif Regular" w:hAnsi="StobiSerif Regular"/>
                <w:sz w:val="22"/>
                <w:szCs w:val="22"/>
                <w:lang w:val="en-US"/>
              </w:rPr>
              <w:t xml:space="preserve"> </w:t>
            </w:r>
            <w:r w:rsidRPr="004C7C17">
              <w:rPr>
                <w:rFonts w:ascii="StobiSerif Regular" w:hAnsi="StobiSerif Regular"/>
                <w:sz w:val="22"/>
                <w:szCs w:val="22"/>
              </w:rPr>
              <w:t>или која целосно или во голема мера придонесува во изготвувањето на текстот.</w:t>
            </w:r>
          </w:p>
        </w:tc>
        <w:tc>
          <w:tcPr>
            <w:tcW w:w="4678" w:type="dxa"/>
            <w:tcBorders>
              <w:top w:val="single" w:sz="6" w:space="0" w:color="auto"/>
              <w:left w:val="single" w:sz="6" w:space="0" w:color="auto"/>
              <w:right w:val="nil"/>
            </w:tcBorders>
            <w:shd w:val="clear" w:color="auto" w:fill="FFFFFF"/>
          </w:tcPr>
          <w:p w14:paraId="20F8BE8C" w14:textId="77777777" w:rsidR="002E69E5" w:rsidRPr="004C7C17" w:rsidRDefault="002E69E5" w:rsidP="00674959">
            <w:pPr>
              <w:shd w:val="clear" w:color="auto" w:fill="FFFFFF"/>
              <w:spacing w:before="120" w:after="120"/>
              <w:jc w:val="both"/>
              <w:rPr>
                <w:rFonts w:ascii="StobiSerif Regular" w:hAnsi="StobiSerif Regular"/>
                <w:sz w:val="22"/>
                <w:szCs w:val="22"/>
              </w:rPr>
            </w:pPr>
            <w:r w:rsidRPr="004C7C17">
              <w:rPr>
                <w:rFonts w:ascii="StobiSerif Regular" w:hAnsi="StobiSerif Regular"/>
                <w:b/>
                <w:i/>
                <w:color w:val="000000"/>
                <w:sz w:val="22"/>
                <w:szCs w:val="22"/>
              </w:rPr>
              <w:t>Не е релевантно [сите мерки за поддршка се прифатливи].</w:t>
            </w:r>
            <w:r w:rsidRPr="004C7C17">
              <w:rPr>
                <w:rFonts w:ascii="StobiSerif Regular" w:hAnsi="StobiSerif Regular"/>
                <w:i/>
                <w:color w:val="000000"/>
                <w:sz w:val="22"/>
                <w:szCs w:val="22"/>
              </w:rPr>
              <w:t xml:space="preserve"> </w:t>
            </w:r>
            <w:r w:rsidRPr="004C7C17">
              <w:rPr>
                <w:rFonts w:ascii="StobiSerif Regular" w:hAnsi="StobiSerif Regular"/>
                <w:sz w:val="22"/>
                <w:szCs w:val="22"/>
              </w:rPr>
              <w:t xml:space="preserve">Бидејќи ниту еден надворешен обезбедувач на помош не може да ги замени органите во самиот процес на донесување </w:t>
            </w:r>
            <w:r w:rsidR="000035E8" w:rsidRPr="004C7C17">
              <w:rPr>
                <w:rFonts w:ascii="StobiSerif Regular" w:hAnsi="StobiSerif Regular"/>
                <w:sz w:val="22"/>
                <w:szCs w:val="22"/>
              </w:rPr>
              <w:t>кој се заснова</w:t>
            </w:r>
            <w:r w:rsidRPr="004C7C17">
              <w:rPr>
                <w:rFonts w:ascii="StobiSerif Regular" w:hAnsi="StobiSerif Regular"/>
                <w:sz w:val="22"/>
                <w:szCs w:val="22"/>
              </w:rPr>
              <w:t xml:space="preserve"> </w:t>
            </w:r>
            <w:r w:rsidR="000035E8" w:rsidRPr="004C7C17">
              <w:rPr>
                <w:rFonts w:ascii="StobiSerif Regular" w:hAnsi="StobiSerif Regular"/>
                <w:sz w:val="22"/>
                <w:szCs w:val="22"/>
              </w:rPr>
              <w:t>на</w:t>
            </w:r>
            <w:r w:rsidRPr="004C7C17">
              <w:rPr>
                <w:rFonts w:ascii="StobiSerif Regular" w:hAnsi="StobiSerif Regular"/>
                <w:sz w:val="22"/>
                <w:szCs w:val="22"/>
              </w:rPr>
              <w:t xml:space="preserve"> политички акт и може да вклучува чекори </w:t>
            </w:r>
            <w:r w:rsidR="00674959" w:rsidRPr="004C7C17">
              <w:rPr>
                <w:rFonts w:ascii="StobiSerif Regular" w:hAnsi="StobiSerif Regular"/>
                <w:sz w:val="22"/>
                <w:szCs w:val="22"/>
              </w:rPr>
              <w:t>коишто не опфаќаат само изготвување</w:t>
            </w:r>
            <w:r w:rsidRPr="004C7C17">
              <w:rPr>
                <w:rFonts w:ascii="StobiSerif Regular" w:hAnsi="StobiSerif Regular"/>
                <w:sz w:val="22"/>
                <w:szCs w:val="22"/>
              </w:rPr>
              <w:t xml:space="preserve"> на текстот, како што се јавни консултации, процени на влијание, донесување од Собранието итн.) не постои ризик од двојно финансирање.</w:t>
            </w:r>
          </w:p>
        </w:tc>
      </w:tr>
    </w:tbl>
    <w:p w14:paraId="403B9339" w14:textId="7C356495" w:rsidR="00C71B06" w:rsidRPr="004C7C17" w:rsidRDefault="002E69E5" w:rsidP="002E69E5">
      <w:pPr>
        <w:shd w:val="clear" w:color="auto" w:fill="FFFFFF"/>
        <w:spacing w:before="120" w:after="120"/>
        <w:ind w:left="567" w:hanging="425"/>
        <w:jc w:val="both"/>
        <w:rPr>
          <w:rFonts w:ascii="StobiSerif Regular" w:hAnsi="StobiSerif Regular"/>
          <w:sz w:val="24"/>
          <w:szCs w:val="24"/>
        </w:rPr>
      </w:pPr>
      <w:r w:rsidRPr="004C7C17">
        <w:rPr>
          <w:rFonts w:ascii="StobiSerif Regular" w:hAnsi="StobiSerif Regular"/>
          <w:b/>
          <w:color w:val="1F1F1F"/>
          <w:sz w:val="22"/>
        </w:rPr>
        <w:t>3.2</w:t>
      </w:r>
      <w:r w:rsidRPr="004C7C17">
        <w:rPr>
          <w:rFonts w:ascii="StobiSerif Regular" w:hAnsi="StobiSerif Regular"/>
          <w:b/>
          <w:color w:val="1F1F1F"/>
          <w:sz w:val="22"/>
        </w:rPr>
        <w:tab/>
        <w:t>Испорака на стоки</w:t>
      </w:r>
      <w:r w:rsidR="006A65E8" w:rsidRPr="004C7C17">
        <w:rPr>
          <w:rFonts w:ascii="StobiSerif Regular" w:hAnsi="StobiSerif Regular"/>
          <w:b/>
          <w:color w:val="1F1F1F"/>
          <w:sz w:val="22"/>
        </w:rPr>
        <w:t xml:space="preserve"> </w:t>
      </w:r>
      <w:r w:rsidRPr="004C7C17">
        <w:rPr>
          <w:rFonts w:ascii="StobiSerif Regular" w:hAnsi="StobiSerif Regular"/>
          <w:b/>
          <w:color w:val="1F1F1F"/>
          <w:sz w:val="22"/>
        </w:rPr>
        <w:t>/</w:t>
      </w:r>
      <w:r w:rsidR="006A65E8" w:rsidRPr="004C7C17">
        <w:rPr>
          <w:rFonts w:ascii="StobiSerif Regular" w:hAnsi="StobiSerif Regular"/>
          <w:b/>
          <w:color w:val="1F1F1F"/>
          <w:sz w:val="22"/>
        </w:rPr>
        <w:t xml:space="preserve"> </w:t>
      </w:r>
      <w:r w:rsidRPr="004C7C17">
        <w:rPr>
          <w:rFonts w:ascii="StobiSerif Regular" w:hAnsi="StobiSerif Regular"/>
          <w:b/>
          <w:color w:val="1F1F1F"/>
          <w:sz w:val="22"/>
        </w:rPr>
        <w:t>производи (опипливи или видливи резултати од даден процес, проект или акција кои претставуваат непосредни резултати).</w:t>
      </w:r>
    </w:p>
    <w:p w14:paraId="488BD597"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1F1F1F"/>
          <w:sz w:val="22"/>
        </w:rPr>
        <w:t>На пример:</w:t>
      </w:r>
    </w:p>
    <w:p w14:paraId="378DD135" w14:textId="77777777" w:rsidR="00C71B06" w:rsidRPr="004C7C17" w:rsidRDefault="006D4DFA" w:rsidP="006D4DFA">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r>
      <w:r w:rsidR="00C71B06" w:rsidRPr="004C7C17">
        <w:rPr>
          <w:rFonts w:ascii="StobiSerif Regular" w:hAnsi="StobiSerif Regular"/>
          <w:color w:val="000000"/>
          <w:sz w:val="22"/>
        </w:rPr>
        <w:t>4 нови регионални центри за стручно образование и обука (ЦСОО), кои што се реновирани, опремени и целосно функционални.</w:t>
      </w:r>
    </w:p>
    <w:tbl>
      <w:tblPr>
        <w:tblW w:w="9087" w:type="dxa"/>
        <w:tblInd w:w="40" w:type="dxa"/>
        <w:tblLayout w:type="fixed"/>
        <w:tblCellMar>
          <w:left w:w="40" w:type="dxa"/>
          <w:right w:w="40" w:type="dxa"/>
        </w:tblCellMar>
        <w:tblLook w:val="0000" w:firstRow="0" w:lastRow="0" w:firstColumn="0" w:lastColumn="0" w:noHBand="0" w:noVBand="0"/>
      </w:tblPr>
      <w:tblGrid>
        <w:gridCol w:w="4355"/>
        <w:gridCol w:w="4732"/>
      </w:tblGrid>
      <w:tr w:rsidR="00C71B06" w:rsidRPr="004C7C17" w14:paraId="5D8FB9B0" w14:textId="77777777" w:rsidTr="001A60A9">
        <w:trPr>
          <w:trHeight w:val="283"/>
        </w:trPr>
        <w:tc>
          <w:tcPr>
            <w:tcW w:w="4355" w:type="dxa"/>
            <w:tcBorders>
              <w:top w:val="nil"/>
              <w:left w:val="nil"/>
              <w:bottom w:val="single" w:sz="6" w:space="0" w:color="auto"/>
              <w:right w:val="single" w:sz="6" w:space="0" w:color="auto"/>
            </w:tcBorders>
            <w:shd w:val="clear" w:color="auto" w:fill="FFFFFF"/>
          </w:tcPr>
          <w:p w14:paraId="569F9F71"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732" w:type="dxa"/>
            <w:tcBorders>
              <w:top w:val="nil"/>
              <w:left w:val="single" w:sz="6" w:space="0" w:color="auto"/>
              <w:bottom w:val="single" w:sz="6" w:space="0" w:color="auto"/>
              <w:right w:val="nil"/>
            </w:tcBorders>
            <w:shd w:val="clear" w:color="auto" w:fill="FFFFFF"/>
          </w:tcPr>
          <w:p w14:paraId="44B48CF0"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2E69E5" w:rsidRPr="004C7C17" w14:paraId="074F0728" w14:textId="77777777" w:rsidTr="001A60A9">
        <w:trPr>
          <w:trHeight w:val="1987"/>
        </w:trPr>
        <w:tc>
          <w:tcPr>
            <w:tcW w:w="4355" w:type="dxa"/>
            <w:tcBorders>
              <w:top w:val="single" w:sz="6" w:space="0" w:color="auto"/>
              <w:left w:val="nil"/>
              <w:right w:val="single" w:sz="6" w:space="0" w:color="auto"/>
            </w:tcBorders>
            <w:shd w:val="clear" w:color="auto" w:fill="FFFFFF"/>
          </w:tcPr>
          <w:p w14:paraId="6DD3815B" w14:textId="75EA67FE" w:rsidR="002E69E5" w:rsidRPr="004C7C17" w:rsidRDefault="002167E9" w:rsidP="00674959">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Д</w:t>
            </w:r>
            <w:r w:rsidR="002E69E5" w:rsidRPr="004C7C17">
              <w:rPr>
                <w:rFonts w:ascii="StobiSerif Regular" w:hAnsi="StobiSerif Regular"/>
                <w:sz w:val="22"/>
                <w:szCs w:val="22"/>
              </w:rPr>
              <w:t>елумни инвестиции</w:t>
            </w:r>
            <w:r w:rsidR="00D53AFA" w:rsidRPr="004C7C17">
              <w:rPr>
                <w:rFonts w:ascii="StobiSerif Regular" w:hAnsi="StobiSerif Regular"/>
                <w:sz w:val="22"/>
                <w:szCs w:val="22"/>
                <w:lang w:val="en-US"/>
              </w:rPr>
              <w:t xml:space="preserve"> </w:t>
            </w:r>
            <w:r w:rsidR="002E69E5" w:rsidRPr="004C7C17">
              <w:rPr>
                <w:rFonts w:ascii="StobiSerif Regular" w:hAnsi="StobiSerif Regular"/>
                <w:sz w:val="22"/>
                <w:szCs w:val="22"/>
              </w:rPr>
              <w:t>/</w:t>
            </w:r>
            <w:r w:rsidR="00D53AFA" w:rsidRPr="004C7C17">
              <w:rPr>
                <w:rFonts w:ascii="StobiSerif Regular" w:hAnsi="StobiSerif Regular"/>
                <w:sz w:val="22"/>
                <w:szCs w:val="22"/>
                <w:lang w:val="en-US"/>
              </w:rPr>
              <w:t xml:space="preserve"> </w:t>
            </w:r>
            <w:r w:rsidR="002E69E5" w:rsidRPr="004C7C17">
              <w:rPr>
                <w:rFonts w:ascii="StobiSerif Regular" w:hAnsi="StobiSerif Regular"/>
                <w:sz w:val="22"/>
                <w:szCs w:val="22"/>
              </w:rPr>
              <w:t>донации може да се обезбедат преку комплементарна акција на ЕУ / земјите членки на ЕУ / агенции на ЕУ / други донатори / техничка помош, за да се координира реновирањето на центрите.</w:t>
            </w:r>
            <w:r w:rsidR="002E69E5" w:rsidRPr="004C7C17">
              <w:rPr>
                <w:rFonts w:ascii="StobiSerif Regular" w:hAnsi="StobiSerif Regular"/>
                <w:color w:val="000000"/>
                <w:sz w:val="22"/>
                <w:szCs w:val="22"/>
              </w:rPr>
              <w:t xml:space="preserve"> </w:t>
            </w:r>
            <w:r w:rsidR="002E69E5" w:rsidRPr="004C7C17">
              <w:rPr>
                <w:rFonts w:ascii="StobiSerif Regular" w:hAnsi="StobiSerif Regular"/>
                <w:sz w:val="22"/>
                <w:szCs w:val="22"/>
              </w:rPr>
              <w:t>Поддршката, сепак, не треба да го испорача резултат</w:t>
            </w:r>
            <w:r w:rsidR="00674959" w:rsidRPr="004C7C17">
              <w:rPr>
                <w:rFonts w:ascii="StobiSerif Regular" w:hAnsi="StobiSerif Regular"/>
                <w:sz w:val="22"/>
                <w:szCs w:val="22"/>
              </w:rPr>
              <w:t>от</w:t>
            </w:r>
            <w:r w:rsidR="002E69E5" w:rsidRPr="004C7C17">
              <w:rPr>
                <w:rFonts w:ascii="StobiSerif Regular" w:hAnsi="StobiSerif Regular"/>
                <w:sz w:val="22"/>
                <w:szCs w:val="22"/>
              </w:rPr>
              <w:t xml:space="preserve"> што се очекува во рамките на чекорот.</w:t>
            </w:r>
          </w:p>
        </w:tc>
        <w:tc>
          <w:tcPr>
            <w:tcW w:w="4732" w:type="dxa"/>
            <w:tcBorders>
              <w:top w:val="single" w:sz="6" w:space="0" w:color="auto"/>
              <w:left w:val="single" w:sz="6" w:space="0" w:color="auto"/>
              <w:right w:val="nil"/>
            </w:tcBorders>
            <w:shd w:val="clear" w:color="auto" w:fill="FFFFFF"/>
          </w:tcPr>
          <w:p w14:paraId="661679E4" w14:textId="4D48E0ED" w:rsidR="002E69E5" w:rsidRPr="004C7C17" w:rsidRDefault="002E69E5" w:rsidP="00FA1C83">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Комплементарните акции на ЕУ испорачуваат целосно реновирање и/или опремување на еден или повеќе центри,</w:t>
            </w:r>
            <w:r w:rsidR="00D53AFA" w:rsidRPr="004C7C17">
              <w:rPr>
                <w:rFonts w:ascii="StobiSerif Regular" w:hAnsi="StobiSerif Regular"/>
                <w:sz w:val="22"/>
                <w:szCs w:val="22"/>
                <w:lang w:val="en-US"/>
              </w:rPr>
              <w:t xml:space="preserve"> </w:t>
            </w:r>
            <w:r w:rsidRPr="004C7C17">
              <w:rPr>
                <w:rFonts w:ascii="StobiSerif Regular" w:hAnsi="StobiSerif Regular"/>
                <w:sz w:val="22"/>
                <w:szCs w:val="22"/>
              </w:rPr>
              <w:t xml:space="preserve">а органите ова го пријавуваат во прегледот на чекорот, </w:t>
            </w:r>
            <w:r w:rsidR="00674959" w:rsidRPr="004C7C17">
              <w:rPr>
                <w:rFonts w:ascii="StobiSerif Regular" w:hAnsi="StobiSerif Regular"/>
                <w:sz w:val="22"/>
                <w:szCs w:val="22"/>
              </w:rPr>
              <w:t xml:space="preserve">што доведува до тоа резултатот да се </w:t>
            </w:r>
            <w:r w:rsidR="00FA1C83" w:rsidRPr="004C7C17">
              <w:rPr>
                <w:rFonts w:ascii="StobiSerif Regular" w:hAnsi="StobiSerif Regular"/>
                <w:sz w:val="22"/>
                <w:szCs w:val="22"/>
              </w:rPr>
              <w:t>смета</w:t>
            </w:r>
            <w:r w:rsidR="00674959" w:rsidRPr="004C7C17">
              <w:rPr>
                <w:rFonts w:ascii="StobiSerif Regular" w:hAnsi="StobiSerif Regular"/>
                <w:sz w:val="22"/>
                <w:szCs w:val="22"/>
              </w:rPr>
              <w:t xml:space="preserve"> двапати</w:t>
            </w:r>
            <w:r w:rsidRPr="004C7C17">
              <w:rPr>
                <w:rFonts w:ascii="StobiSerif Regular" w:hAnsi="StobiSerif Regular"/>
                <w:sz w:val="22"/>
                <w:szCs w:val="22"/>
              </w:rPr>
              <w:t xml:space="preserve"> – од една страна во рамките на чекорот, а од друга страна во рамките на комплементарната поддршка.</w:t>
            </w:r>
          </w:p>
        </w:tc>
      </w:tr>
    </w:tbl>
    <w:p w14:paraId="7DD24F83"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или</w:t>
      </w:r>
    </w:p>
    <w:p w14:paraId="08414775" w14:textId="2B4B927C" w:rsidR="00C71B06" w:rsidRPr="004C7C17" w:rsidRDefault="006D4DFA" w:rsidP="006D4DFA">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r>
      <w:r w:rsidR="002167E9" w:rsidRPr="004C7C17">
        <w:rPr>
          <w:rFonts w:ascii="StobiSerif Regular" w:hAnsi="StobiSerif Regular"/>
          <w:color w:val="000000"/>
          <w:sz w:val="22"/>
        </w:rPr>
        <w:t>Н</w:t>
      </w:r>
      <w:r w:rsidR="00C71B06" w:rsidRPr="004C7C17">
        <w:rPr>
          <w:rFonts w:ascii="StobiSerif Regular" w:hAnsi="StobiSerif Regular"/>
          <w:color w:val="000000"/>
          <w:sz w:val="22"/>
        </w:rPr>
        <w:t>ајмалку 0,8 GW нови капацитети за обновлива енергија (соларна и ветерна) инсталирани во согласност со Националниот план за енергија и клима (НПЕК) и целите договорени во рамките на Енергетската заедница.</w:t>
      </w:r>
    </w:p>
    <w:tbl>
      <w:tblPr>
        <w:tblW w:w="9087" w:type="dxa"/>
        <w:tblInd w:w="40" w:type="dxa"/>
        <w:tblLayout w:type="fixed"/>
        <w:tblCellMar>
          <w:left w:w="40" w:type="dxa"/>
          <w:right w:w="40" w:type="dxa"/>
        </w:tblCellMar>
        <w:tblLook w:val="0000" w:firstRow="0" w:lastRow="0" w:firstColumn="0" w:lastColumn="0" w:noHBand="0" w:noVBand="0"/>
      </w:tblPr>
      <w:tblGrid>
        <w:gridCol w:w="4355"/>
        <w:gridCol w:w="4732"/>
      </w:tblGrid>
      <w:tr w:rsidR="00C71B06" w:rsidRPr="004C7C17" w14:paraId="143A215E" w14:textId="77777777" w:rsidTr="00D165F6">
        <w:trPr>
          <w:trHeight w:val="283"/>
        </w:trPr>
        <w:tc>
          <w:tcPr>
            <w:tcW w:w="4355" w:type="dxa"/>
            <w:tcBorders>
              <w:top w:val="nil"/>
              <w:left w:val="nil"/>
              <w:bottom w:val="single" w:sz="6" w:space="0" w:color="auto"/>
              <w:right w:val="single" w:sz="6" w:space="0" w:color="auto"/>
            </w:tcBorders>
            <w:shd w:val="clear" w:color="auto" w:fill="FFFFFF"/>
          </w:tcPr>
          <w:p w14:paraId="4B5F1883"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lastRenderedPageBreak/>
              <w:t>Прифатливо:</w:t>
            </w:r>
          </w:p>
        </w:tc>
        <w:tc>
          <w:tcPr>
            <w:tcW w:w="4732" w:type="dxa"/>
            <w:tcBorders>
              <w:top w:val="nil"/>
              <w:left w:val="single" w:sz="6" w:space="0" w:color="auto"/>
              <w:bottom w:val="single" w:sz="6" w:space="0" w:color="auto"/>
              <w:right w:val="nil"/>
            </w:tcBorders>
            <w:shd w:val="clear" w:color="auto" w:fill="FFFFFF"/>
          </w:tcPr>
          <w:p w14:paraId="1A3C3E99"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2E69E5" w:rsidRPr="004C7C17" w14:paraId="1488E77C" w14:textId="77777777" w:rsidTr="00D165F6">
        <w:trPr>
          <w:trHeight w:val="269"/>
        </w:trPr>
        <w:tc>
          <w:tcPr>
            <w:tcW w:w="4355" w:type="dxa"/>
            <w:tcBorders>
              <w:top w:val="single" w:sz="6" w:space="0" w:color="auto"/>
              <w:left w:val="nil"/>
              <w:right w:val="single" w:sz="6" w:space="0" w:color="auto"/>
            </w:tcBorders>
            <w:shd w:val="clear" w:color="auto" w:fill="FFFFFF"/>
          </w:tcPr>
          <w:p w14:paraId="151EC5F4" w14:textId="77777777" w:rsidR="002E69E5" w:rsidRPr="004C7C17" w:rsidRDefault="002E69E5"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Комплементарната поддршка финансирана од ЕУ обезбедува знаење и искуство / дизајн / обука за управување и одржување на системите за обновлива енергија (ОЕ).</w:t>
            </w:r>
          </w:p>
        </w:tc>
        <w:tc>
          <w:tcPr>
            <w:tcW w:w="4732" w:type="dxa"/>
            <w:tcBorders>
              <w:top w:val="single" w:sz="6" w:space="0" w:color="auto"/>
              <w:left w:val="single" w:sz="6" w:space="0" w:color="auto"/>
              <w:right w:val="nil"/>
            </w:tcBorders>
            <w:shd w:val="clear" w:color="auto" w:fill="FFFFFF"/>
          </w:tcPr>
          <w:p w14:paraId="589CDAF6" w14:textId="77777777" w:rsidR="002E69E5" w:rsidRPr="004C7C17" w:rsidRDefault="002E69E5"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Опремата за ОЕ и инсталацијата се набавуваат и инсталираат преку комплементарни акции на ЕУ.</w:t>
            </w:r>
          </w:p>
        </w:tc>
      </w:tr>
    </w:tbl>
    <w:p w14:paraId="63254AE6"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или</w:t>
      </w:r>
    </w:p>
    <w:p w14:paraId="28B74501" w14:textId="1164639D" w:rsidR="00C71B06" w:rsidRPr="004C7C17" w:rsidRDefault="006D4DFA" w:rsidP="006D4DFA">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r>
      <w:r w:rsidR="00674959" w:rsidRPr="004C7C17">
        <w:rPr>
          <w:rFonts w:ascii="StobiSerif Regular" w:hAnsi="StobiSerif Regular"/>
          <w:color w:val="000000"/>
          <w:sz w:val="22"/>
        </w:rPr>
        <w:t>Рамките</w:t>
      </w:r>
      <w:r w:rsidR="00C71B06" w:rsidRPr="004C7C17">
        <w:rPr>
          <w:rFonts w:ascii="StobiSerif Regular" w:hAnsi="StobiSerif Regular"/>
          <w:color w:val="000000"/>
          <w:sz w:val="22"/>
        </w:rPr>
        <w:t xml:space="preserve"> </w:t>
      </w:r>
      <w:r w:rsidR="00674959" w:rsidRPr="004C7C17">
        <w:rPr>
          <w:rFonts w:ascii="StobiSerif Regular" w:hAnsi="StobiSerif Regular"/>
          <w:color w:val="000000"/>
          <w:sz w:val="22"/>
        </w:rPr>
        <w:t xml:space="preserve">воведени со </w:t>
      </w:r>
      <w:r w:rsidR="00C71B06" w:rsidRPr="004C7C17">
        <w:rPr>
          <w:rFonts w:ascii="StobiSerif Regular" w:hAnsi="StobiSerif Regular"/>
          <w:color w:val="000000"/>
          <w:sz w:val="22"/>
        </w:rPr>
        <w:t>усогла</w:t>
      </w:r>
      <w:r w:rsidR="00674959" w:rsidRPr="004C7C17">
        <w:rPr>
          <w:rFonts w:ascii="StobiSerif Regular" w:hAnsi="StobiSerif Regular"/>
          <w:color w:val="000000"/>
          <w:sz w:val="22"/>
        </w:rPr>
        <w:t xml:space="preserve">сувањето </w:t>
      </w:r>
      <w:r w:rsidR="00C71B06" w:rsidRPr="004C7C17">
        <w:rPr>
          <w:rFonts w:ascii="StobiSerif Regular" w:hAnsi="StobiSerif Regular"/>
          <w:color w:val="000000"/>
          <w:sz w:val="22"/>
        </w:rPr>
        <w:t xml:space="preserve">со </w:t>
      </w:r>
      <w:r w:rsidR="00DE15FD" w:rsidRPr="004C7C17">
        <w:rPr>
          <w:rFonts w:ascii="StobiSerif Regular" w:hAnsi="StobiSerif Regular"/>
          <w:color w:val="000000"/>
          <w:sz w:val="22"/>
        </w:rPr>
        <w:t xml:space="preserve">Директивата </w:t>
      </w:r>
      <w:r w:rsidR="00C71B06" w:rsidRPr="004C7C17">
        <w:rPr>
          <w:rFonts w:ascii="StobiSerif Regular" w:hAnsi="StobiSerif Regular"/>
          <w:color w:val="000000"/>
          <w:sz w:val="22"/>
        </w:rPr>
        <w:t>НИС 2 (рамка за координирано откривање на ранливости –</w:t>
      </w:r>
      <w:r w:rsidR="006A65E8" w:rsidRPr="004C7C17">
        <w:rPr>
          <w:rFonts w:ascii="StobiSerif Regular" w:hAnsi="StobiSerif Regular"/>
          <w:color w:val="000000"/>
          <w:sz w:val="22"/>
        </w:rPr>
        <w:t xml:space="preserve"> КОР</w:t>
      </w:r>
      <w:r w:rsidR="00C71B06" w:rsidRPr="004C7C17">
        <w:rPr>
          <w:rFonts w:ascii="StobiSerif Regular" w:hAnsi="StobiSerif Regular"/>
          <w:color w:val="000000"/>
          <w:sz w:val="22"/>
        </w:rPr>
        <w:t xml:space="preserve"> </w:t>
      </w:r>
      <w:r w:rsidR="006A65E8" w:rsidRPr="004C7C17">
        <w:rPr>
          <w:rFonts w:ascii="StobiSerif Regular" w:hAnsi="StobiSerif Regular"/>
          <w:color w:val="000000"/>
          <w:sz w:val="22"/>
        </w:rPr>
        <w:t>(</w:t>
      </w:r>
      <w:r w:rsidR="00C71B06" w:rsidRPr="004C7C17">
        <w:rPr>
          <w:rFonts w:ascii="StobiSerif Regular" w:hAnsi="StobiSerif Regular"/>
          <w:color w:val="000000"/>
          <w:sz w:val="22"/>
        </w:rPr>
        <w:t>CVD</w:t>
      </w:r>
      <w:r w:rsidR="006A65E8" w:rsidRPr="004C7C17">
        <w:rPr>
          <w:rFonts w:ascii="StobiSerif Regular" w:hAnsi="StobiSerif Regular"/>
          <w:color w:val="000000"/>
          <w:sz w:val="22"/>
        </w:rPr>
        <w:t>)</w:t>
      </w:r>
      <w:r w:rsidR="00C71B06" w:rsidRPr="004C7C17">
        <w:rPr>
          <w:rFonts w:ascii="StobiSerif Regular" w:hAnsi="StobiSerif Regular"/>
          <w:color w:val="000000"/>
          <w:sz w:val="22"/>
        </w:rPr>
        <w:t>, рамка за управување со кризи)</w:t>
      </w:r>
      <w:r w:rsidR="00674959" w:rsidRPr="004C7C17">
        <w:rPr>
          <w:rFonts w:ascii="StobiSerif Regular" w:hAnsi="StobiSerif Regular"/>
          <w:color w:val="000000"/>
          <w:sz w:val="22"/>
        </w:rPr>
        <w:t xml:space="preserve"> се воспоставени и функционални</w:t>
      </w:r>
      <w:r w:rsidR="00C71B06" w:rsidRPr="004C7C17">
        <w:rPr>
          <w:rFonts w:ascii="StobiSerif Regular" w:hAnsi="StobiSerif Regular"/>
          <w:color w:val="000000"/>
          <w:sz w:val="22"/>
        </w:rPr>
        <w:t>.</w:t>
      </w:r>
    </w:p>
    <w:tbl>
      <w:tblPr>
        <w:tblW w:w="9087" w:type="dxa"/>
        <w:tblInd w:w="40" w:type="dxa"/>
        <w:tblLayout w:type="fixed"/>
        <w:tblCellMar>
          <w:left w:w="40" w:type="dxa"/>
          <w:right w:w="40" w:type="dxa"/>
        </w:tblCellMar>
        <w:tblLook w:val="0000" w:firstRow="0" w:lastRow="0" w:firstColumn="0" w:lastColumn="0" w:noHBand="0" w:noVBand="0"/>
      </w:tblPr>
      <w:tblGrid>
        <w:gridCol w:w="4355"/>
        <w:gridCol w:w="4732"/>
      </w:tblGrid>
      <w:tr w:rsidR="00C71B06" w:rsidRPr="004C7C17" w14:paraId="6134C439" w14:textId="77777777" w:rsidTr="00D165F6">
        <w:trPr>
          <w:trHeight w:val="288"/>
        </w:trPr>
        <w:tc>
          <w:tcPr>
            <w:tcW w:w="4355" w:type="dxa"/>
            <w:tcBorders>
              <w:top w:val="nil"/>
              <w:left w:val="nil"/>
              <w:bottom w:val="single" w:sz="6" w:space="0" w:color="auto"/>
              <w:right w:val="single" w:sz="6" w:space="0" w:color="auto"/>
            </w:tcBorders>
            <w:shd w:val="clear" w:color="auto" w:fill="FFFFFF"/>
          </w:tcPr>
          <w:p w14:paraId="19DEFCF9"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732" w:type="dxa"/>
            <w:tcBorders>
              <w:top w:val="nil"/>
              <w:left w:val="single" w:sz="6" w:space="0" w:color="auto"/>
              <w:bottom w:val="single" w:sz="6" w:space="0" w:color="auto"/>
              <w:right w:val="nil"/>
            </w:tcBorders>
            <w:shd w:val="clear" w:color="auto" w:fill="FFFFFF"/>
          </w:tcPr>
          <w:p w14:paraId="1A9BAC7C"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C71B06" w:rsidRPr="004C7C17" w14:paraId="2AFE8168" w14:textId="77777777" w:rsidTr="00D165F6">
        <w:trPr>
          <w:trHeight w:val="787"/>
        </w:trPr>
        <w:tc>
          <w:tcPr>
            <w:tcW w:w="4355" w:type="dxa"/>
            <w:tcBorders>
              <w:top w:val="single" w:sz="6" w:space="0" w:color="auto"/>
              <w:left w:val="nil"/>
              <w:bottom w:val="nil"/>
              <w:right w:val="single" w:sz="6" w:space="0" w:color="auto"/>
            </w:tcBorders>
            <w:shd w:val="clear" w:color="auto" w:fill="FFFFFF"/>
          </w:tcPr>
          <w:p w14:paraId="40589ADE" w14:textId="0CC3ED80" w:rsidR="00C71B06" w:rsidRPr="004C7C17" w:rsidRDefault="00C71B06" w:rsidP="0053105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Техничката помош финансирана од ЕУ ги поддржува </w:t>
            </w:r>
            <w:r w:rsidR="0053105B" w:rsidRPr="004C7C17">
              <w:rPr>
                <w:rFonts w:ascii="StobiSerif Regular" w:hAnsi="StobiSerif Regular"/>
                <w:color w:val="000000"/>
                <w:sz w:val="22"/>
              </w:rPr>
              <w:t>органите</w:t>
            </w:r>
            <w:r w:rsidRPr="004C7C17">
              <w:rPr>
                <w:rFonts w:ascii="StobiSerif Regular" w:hAnsi="StobiSerif Regular"/>
                <w:color w:val="000000"/>
                <w:sz w:val="22"/>
              </w:rPr>
              <w:t xml:space="preserve"> во развојот на рамките, обезбедувајќи развој на капацитети, најдобри практики итн.</w:t>
            </w:r>
          </w:p>
        </w:tc>
        <w:tc>
          <w:tcPr>
            <w:tcW w:w="4732" w:type="dxa"/>
            <w:tcBorders>
              <w:top w:val="single" w:sz="6" w:space="0" w:color="auto"/>
              <w:left w:val="single" w:sz="6" w:space="0" w:color="auto"/>
              <w:bottom w:val="nil"/>
              <w:right w:val="nil"/>
            </w:tcBorders>
            <w:shd w:val="clear" w:color="auto" w:fill="FFFFFF"/>
          </w:tcPr>
          <w:p w14:paraId="223A2086"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Комплементарната помош финансирана од ЕУ обезбедува однапред подготвени рамки.</w:t>
            </w:r>
          </w:p>
        </w:tc>
      </w:tr>
    </w:tbl>
    <w:p w14:paraId="00B74CA0"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или</w:t>
      </w:r>
    </w:p>
    <w:p w14:paraId="13034170" w14:textId="77777777" w:rsidR="00C71B06" w:rsidRPr="004C7C17" w:rsidRDefault="006D4DFA" w:rsidP="006D4DFA">
      <w:pPr>
        <w:shd w:val="clear" w:color="auto" w:fill="FFFFFF"/>
        <w:spacing w:before="120" w:after="120"/>
        <w:ind w:left="709" w:hanging="283"/>
        <w:jc w:val="both"/>
        <w:rPr>
          <w:rFonts w:ascii="StobiSerif Regular" w:hAnsi="StobiSerif Regular"/>
          <w:sz w:val="22"/>
          <w:szCs w:val="22"/>
        </w:rPr>
      </w:pPr>
      <w:r w:rsidRPr="004C7C17">
        <w:rPr>
          <w:rFonts w:ascii="StobiSerif Regular" w:hAnsi="StobiSerif Regular"/>
          <w:sz w:val="22"/>
          <w:szCs w:val="22"/>
        </w:rPr>
        <w:t>-</w:t>
      </w:r>
      <w:r w:rsidRPr="004C7C17">
        <w:rPr>
          <w:rFonts w:ascii="StobiSerif Regular" w:hAnsi="StobiSerif Regular"/>
          <w:sz w:val="22"/>
          <w:szCs w:val="22"/>
        </w:rPr>
        <w:tab/>
      </w:r>
      <w:r w:rsidR="00674959" w:rsidRPr="004C7C17">
        <w:rPr>
          <w:rFonts w:ascii="StobiSerif Regular" w:hAnsi="StobiSerif Regular"/>
          <w:sz w:val="22"/>
          <w:szCs w:val="22"/>
        </w:rPr>
        <w:t>Системот за е-П</w:t>
      </w:r>
      <w:r w:rsidR="00C71B06" w:rsidRPr="004C7C17">
        <w:rPr>
          <w:rFonts w:ascii="StobiSerif Regular" w:hAnsi="StobiSerif Regular"/>
          <w:sz w:val="22"/>
          <w:szCs w:val="22"/>
        </w:rPr>
        <w:t>азар се користи за доделување на најмалку 800 тендерски постапки во фискалната 2026 година.</w:t>
      </w:r>
    </w:p>
    <w:tbl>
      <w:tblPr>
        <w:tblW w:w="9100" w:type="dxa"/>
        <w:tblInd w:w="40" w:type="dxa"/>
        <w:tblLayout w:type="fixed"/>
        <w:tblCellMar>
          <w:left w:w="40" w:type="dxa"/>
          <w:right w:w="40" w:type="dxa"/>
        </w:tblCellMar>
        <w:tblLook w:val="0000" w:firstRow="0" w:lastRow="0" w:firstColumn="0" w:lastColumn="0" w:noHBand="0" w:noVBand="0"/>
      </w:tblPr>
      <w:tblGrid>
        <w:gridCol w:w="4355"/>
        <w:gridCol w:w="4745"/>
      </w:tblGrid>
      <w:tr w:rsidR="00C71B06" w:rsidRPr="004C7C17" w14:paraId="42E711B1" w14:textId="77777777" w:rsidTr="00D165F6">
        <w:trPr>
          <w:trHeight w:val="236"/>
        </w:trPr>
        <w:tc>
          <w:tcPr>
            <w:tcW w:w="4355" w:type="dxa"/>
            <w:tcBorders>
              <w:top w:val="nil"/>
              <w:left w:val="nil"/>
              <w:bottom w:val="single" w:sz="6" w:space="0" w:color="auto"/>
              <w:right w:val="single" w:sz="6" w:space="0" w:color="auto"/>
            </w:tcBorders>
            <w:shd w:val="clear" w:color="auto" w:fill="FFFFFF"/>
          </w:tcPr>
          <w:p w14:paraId="7EF218B6"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745" w:type="dxa"/>
            <w:tcBorders>
              <w:top w:val="nil"/>
              <w:left w:val="single" w:sz="6" w:space="0" w:color="auto"/>
              <w:bottom w:val="single" w:sz="6" w:space="0" w:color="auto"/>
              <w:right w:val="nil"/>
            </w:tcBorders>
            <w:shd w:val="clear" w:color="auto" w:fill="FFFFFF"/>
          </w:tcPr>
          <w:p w14:paraId="28AAFE35"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2E69E5" w:rsidRPr="004C7C17" w14:paraId="7B35D2B0" w14:textId="77777777" w:rsidTr="00D165F6">
        <w:trPr>
          <w:trHeight w:val="1664"/>
        </w:trPr>
        <w:tc>
          <w:tcPr>
            <w:tcW w:w="4355" w:type="dxa"/>
            <w:tcBorders>
              <w:top w:val="single" w:sz="6" w:space="0" w:color="auto"/>
              <w:left w:val="nil"/>
              <w:right w:val="single" w:sz="6" w:space="0" w:color="auto"/>
            </w:tcBorders>
            <w:shd w:val="clear" w:color="auto" w:fill="FFFFFF"/>
          </w:tcPr>
          <w:p w14:paraId="359E965B" w14:textId="327C1DA7" w:rsidR="002E69E5" w:rsidRPr="004C7C17" w:rsidRDefault="002E69E5" w:rsidP="0053105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Комплементарни</w:t>
            </w:r>
            <w:r w:rsidR="006F29A5" w:rsidRPr="004C7C17">
              <w:rPr>
                <w:rFonts w:ascii="StobiSerif Regular" w:hAnsi="StobiSerif Regular"/>
                <w:sz w:val="22"/>
                <w:szCs w:val="22"/>
              </w:rPr>
              <w:t>те</w:t>
            </w:r>
            <w:r w:rsidRPr="004C7C17">
              <w:rPr>
                <w:rFonts w:ascii="StobiSerif Regular" w:hAnsi="StobiSerif Regular"/>
                <w:sz w:val="22"/>
                <w:szCs w:val="22"/>
              </w:rPr>
              <w:t xml:space="preserve"> акции на ЕУ ги поддржуваат </w:t>
            </w:r>
            <w:r w:rsidR="006F29A5" w:rsidRPr="004C7C17">
              <w:rPr>
                <w:rFonts w:ascii="StobiSerif Regular" w:hAnsi="StobiSerif Regular"/>
                <w:sz w:val="22"/>
                <w:szCs w:val="22"/>
              </w:rPr>
              <w:t>органите</w:t>
            </w:r>
            <w:r w:rsidRPr="004C7C17">
              <w:rPr>
                <w:rFonts w:ascii="StobiSerif Regular" w:hAnsi="StobiSerif Regular"/>
                <w:sz w:val="22"/>
                <w:szCs w:val="22"/>
              </w:rPr>
              <w:t xml:space="preserve"> во </w:t>
            </w:r>
            <w:r w:rsidR="0053105B" w:rsidRPr="004C7C17">
              <w:rPr>
                <w:rFonts w:ascii="StobiSerif Regular" w:hAnsi="StobiSerif Regular"/>
                <w:sz w:val="22"/>
                <w:szCs w:val="22"/>
              </w:rPr>
              <w:t>развојот</w:t>
            </w:r>
            <w:r w:rsidRPr="004C7C17">
              <w:rPr>
                <w:rFonts w:ascii="StobiSerif Regular" w:hAnsi="StobiSerif Regular"/>
                <w:sz w:val="22"/>
                <w:szCs w:val="22"/>
              </w:rPr>
              <w:t xml:space="preserve"> или испораката на систем за е-пазар (на пример, споделување најдобри практики, развој на капацитети или обука за негово користење), меѓутоа органите</w:t>
            </w:r>
            <w:r w:rsidR="006F29A5" w:rsidRPr="004C7C17">
              <w:rPr>
                <w:rFonts w:ascii="StobiSerif Regular" w:hAnsi="StobiSerif Regular"/>
                <w:sz w:val="22"/>
                <w:szCs w:val="22"/>
              </w:rPr>
              <w:t xml:space="preserve"> се тие што</w:t>
            </w:r>
            <w:r w:rsidRPr="004C7C17">
              <w:rPr>
                <w:rFonts w:ascii="StobiSerif Regular" w:hAnsi="StobiSerif Regular"/>
                <w:sz w:val="22"/>
                <w:szCs w:val="22"/>
              </w:rPr>
              <w:t xml:space="preserve"> ја осигуруваат примената и користењето на тој систем.</w:t>
            </w:r>
          </w:p>
        </w:tc>
        <w:tc>
          <w:tcPr>
            <w:tcW w:w="4745" w:type="dxa"/>
            <w:tcBorders>
              <w:top w:val="single" w:sz="6" w:space="0" w:color="auto"/>
              <w:left w:val="single" w:sz="6" w:space="0" w:color="auto"/>
              <w:right w:val="nil"/>
            </w:tcBorders>
            <w:shd w:val="clear" w:color="auto" w:fill="FFFFFF"/>
          </w:tcPr>
          <w:p w14:paraId="1FFAFFD8" w14:textId="77777777" w:rsidR="002E69E5" w:rsidRPr="004C7C17" w:rsidRDefault="002E69E5"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Системот за е-пазар е испорачан преку акција финансирана од ЕУ, а тендерската постапка е доверена на трета страна која е платена преку комплементарна помош од ЕУ.</w:t>
            </w:r>
          </w:p>
        </w:tc>
      </w:tr>
    </w:tbl>
    <w:p w14:paraId="5AE0A63E"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или</w:t>
      </w:r>
    </w:p>
    <w:p w14:paraId="77567F8C" w14:textId="77777777" w:rsidR="00C71B06" w:rsidRPr="004C7C17" w:rsidRDefault="006D4DFA" w:rsidP="006D4DFA">
      <w:pPr>
        <w:shd w:val="clear" w:color="auto" w:fill="FFFFFF"/>
        <w:spacing w:before="120" w:after="120"/>
        <w:ind w:left="709" w:hanging="283"/>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r>
      <w:r w:rsidR="00C71B06" w:rsidRPr="004C7C17">
        <w:rPr>
          <w:rFonts w:ascii="StobiSerif Regular" w:hAnsi="StobiSerif Regular"/>
          <w:color w:val="000000"/>
          <w:sz w:val="22"/>
        </w:rPr>
        <w:t>Воспоставување сеопфатен регистар на ранливи потрошувачи / 10 јавни регистри стандардизирани и дигитализирани од администрацијата за да се подобри начелото „само еднаш“ / Развиени и произведени дигитални наставни материјали за</w:t>
      </w:r>
      <w:r w:rsidR="00C71B06" w:rsidRPr="004C7C17">
        <w:rPr>
          <w:rFonts w:ascii="StobiSerif Regular" w:hAnsi="StobiSerif Regular"/>
          <w:color w:val="000000"/>
          <w:sz w:val="22"/>
          <w:u w:val="single"/>
        </w:rPr>
        <w:t xml:space="preserve"> </w:t>
      </w:r>
      <w:r w:rsidR="00C71B06" w:rsidRPr="004C7C17">
        <w:rPr>
          <w:rFonts w:ascii="StobiSerif Regular" w:hAnsi="StobiSerif Regular"/>
          <w:color w:val="000000"/>
          <w:sz w:val="22"/>
        </w:rPr>
        <w:t>основното и средното образование и споделени со сите училишта.</w:t>
      </w:r>
    </w:p>
    <w:tbl>
      <w:tblPr>
        <w:tblW w:w="9055" w:type="dxa"/>
        <w:tblInd w:w="40" w:type="dxa"/>
        <w:tblLayout w:type="fixed"/>
        <w:tblCellMar>
          <w:left w:w="40" w:type="dxa"/>
          <w:right w:w="40" w:type="dxa"/>
        </w:tblCellMar>
        <w:tblLook w:val="0000" w:firstRow="0" w:lastRow="0" w:firstColumn="0" w:lastColumn="0" w:noHBand="0" w:noVBand="0"/>
      </w:tblPr>
      <w:tblGrid>
        <w:gridCol w:w="4355"/>
        <w:gridCol w:w="4700"/>
      </w:tblGrid>
      <w:tr w:rsidR="00C71B06" w:rsidRPr="004C7C17" w14:paraId="175A02D9" w14:textId="77777777" w:rsidTr="00D165F6">
        <w:trPr>
          <w:trHeight w:val="154"/>
        </w:trPr>
        <w:tc>
          <w:tcPr>
            <w:tcW w:w="4355" w:type="dxa"/>
            <w:tcBorders>
              <w:top w:val="nil"/>
              <w:left w:val="nil"/>
              <w:bottom w:val="single" w:sz="6" w:space="0" w:color="auto"/>
              <w:right w:val="single" w:sz="6" w:space="0" w:color="auto"/>
            </w:tcBorders>
            <w:shd w:val="clear" w:color="auto" w:fill="FFFFFF"/>
          </w:tcPr>
          <w:p w14:paraId="4C6814B2"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w:t>
            </w:r>
          </w:p>
        </w:tc>
        <w:tc>
          <w:tcPr>
            <w:tcW w:w="4700" w:type="dxa"/>
            <w:tcBorders>
              <w:top w:val="nil"/>
              <w:left w:val="single" w:sz="6" w:space="0" w:color="auto"/>
              <w:bottom w:val="single" w:sz="6" w:space="0" w:color="auto"/>
              <w:right w:val="nil"/>
            </w:tcBorders>
            <w:shd w:val="clear" w:color="auto" w:fill="FFFFFF"/>
          </w:tcPr>
          <w:p w14:paraId="4FEECDCD" w14:textId="77777777" w:rsidR="00C71B06" w:rsidRPr="004C7C17" w:rsidRDefault="00C71B06" w:rsidP="002E69E5">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 (двојно финансирање):</w:t>
            </w:r>
          </w:p>
        </w:tc>
      </w:tr>
      <w:tr w:rsidR="00CE17F9" w:rsidRPr="004C7C17" w14:paraId="42068D40" w14:textId="77777777" w:rsidTr="00D165F6">
        <w:trPr>
          <w:trHeight w:val="2295"/>
        </w:trPr>
        <w:tc>
          <w:tcPr>
            <w:tcW w:w="4355" w:type="dxa"/>
            <w:tcBorders>
              <w:top w:val="single" w:sz="6" w:space="0" w:color="auto"/>
              <w:left w:val="nil"/>
              <w:right w:val="single" w:sz="6" w:space="0" w:color="auto"/>
            </w:tcBorders>
            <w:shd w:val="clear" w:color="auto" w:fill="FFFFFF"/>
          </w:tcPr>
          <w:p w14:paraId="732BFC58" w14:textId="77777777" w:rsidR="00CE17F9"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lastRenderedPageBreak/>
              <w:t>Развој на капацитети, како што се размена на најдобри практики, студиски посети во партнерски земји итн. (дигитална јавна администрација / дигитализација на јавните училишта). Поддршка за создавање на регистарот / поддршка за развојот на дигитални наставни материјали (нивната дистрибуција низ училиштата и самото спроведување се надлежност на владата).</w:t>
            </w:r>
          </w:p>
        </w:tc>
        <w:tc>
          <w:tcPr>
            <w:tcW w:w="4700" w:type="dxa"/>
            <w:tcBorders>
              <w:top w:val="single" w:sz="6" w:space="0" w:color="auto"/>
              <w:left w:val="single" w:sz="6" w:space="0" w:color="auto"/>
              <w:right w:val="nil"/>
            </w:tcBorders>
            <w:shd w:val="clear" w:color="auto" w:fill="FFFFFF"/>
          </w:tcPr>
          <w:p w14:paraId="797CC10A" w14:textId="11449321" w:rsidR="00CE17F9" w:rsidRPr="004C7C17" w:rsidRDefault="00CE17F9" w:rsidP="006D4DFA">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 xml:space="preserve">Испорачувањето на регистарот за ранливи потрошувачи и внесувањето на податоците е направено </w:t>
            </w:r>
            <w:r w:rsidR="006F29A5" w:rsidRPr="004C7C17">
              <w:rPr>
                <w:rFonts w:ascii="StobiSerif Regular" w:hAnsi="StobiSerif Regular"/>
                <w:sz w:val="22"/>
                <w:szCs w:val="22"/>
              </w:rPr>
              <w:t>со</w:t>
            </w:r>
            <w:r w:rsidRPr="004C7C17">
              <w:rPr>
                <w:rFonts w:ascii="StobiSerif Regular" w:hAnsi="StobiSerif Regular"/>
                <w:sz w:val="22"/>
                <w:szCs w:val="22"/>
              </w:rPr>
              <w:t xml:space="preserve"> комплементарна помош (финансирана од ЕУ или од други извори). Воспоставувањето на јавните регистри е направено</w:t>
            </w:r>
            <w:r w:rsidR="00204ED0" w:rsidRPr="004C7C17">
              <w:rPr>
                <w:rFonts w:ascii="StobiSerif Regular" w:hAnsi="StobiSerif Regular"/>
                <w:sz w:val="22"/>
                <w:szCs w:val="22"/>
                <w:lang w:val="en-US"/>
              </w:rPr>
              <w:t xml:space="preserve"> </w:t>
            </w:r>
            <w:r w:rsidRPr="004C7C17">
              <w:rPr>
                <w:rFonts w:ascii="StobiSerif Regular" w:hAnsi="StobiSerif Regular"/>
                <w:sz w:val="22"/>
                <w:szCs w:val="22"/>
              </w:rPr>
              <w:t>/</w:t>
            </w:r>
            <w:r w:rsidR="00204ED0" w:rsidRPr="004C7C17">
              <w:rPr>
                <w:rFonts w:ascii="StobiSerif Regular" w:hAnsi="StobiSerif Regular"/>
                <w:sz w:val="22"/>
                <w:szCs w:val="22"/>
                <w:lang w:val="en-US"/>
              </w:rPr>
              <w:t xml:space="preserve"> </w:t>
            </w:r>
            <w:r w:rsidRPr="004C7C17">
              <w:rPr>
                <w:rFonts w:ascii="StobiSerif Regular" w:hAnsi="StobiSerif Regular"/>
                <w:sz w:val="22"/>
                <w:szCs w:val="22"/>
              </w:rPr>
              <w:t>финансирано со комплементарна помош (од ЕУ или од други извори).</w:t>
            </w:r>
            <w:r w:rsidRPr="004C7C17">
              <w:rPr>
                <w:rFonts w:ascii="StobiSerif Regular" w:hAnsi="StobiSerif Regular"/>
                <w:color w:val="000000"/>
                <w:sz w:val="22"/>
                <w:szCs w:val="22"/>
              </w:rPr>
              <w:t xml:space="preserve"> </w:t>
            </w:r>
            <w:r w:rsidR="006F29A5" w:rsidRPr="004C7C17">
              <w:rPr>
                <w:rFonts w:ascii="StobiSerif Regular" w:hAnsi="StobiSerif Regular"/>
                <w:sz w:val="22"/>
                <w:szCs w:val="22"/>
              </w:rPr>
              <w:t>(О</w:t>
            </w:r>
            <w:r w:rsidRPr="004C7C17">
              <w:rPr>
                <w:rFonts w:ascii="StobiSerif Regular" w:hAnsi="StobiSerif Regular"/>
                <w:sz w:val="22"/>
                <w:szCs w:val="22"/>
              </w:rPr>
              <w:t xml:space="preserve">ва претставува целосно преклопување помеѓу чекорот и испорачаниот резултат од надворешните </w:t>
            </w:r>
            <w:r w:rsidR="006D4DFA" w:rsidRPr="004C7C17">
              <w:rPr>
                <w:rFonts w:ascii="StobiSerif Regular" w:hAnsi="StobiSerif Regular"/>
                <w:sz w:val="22"/>
                <w:szCs w:val="22"/>
              </w:rPr>
              <w:t>обезбедувачи на помош</w:t>
            </w:r>
            <w:r w:rsidRPr="004C7C17">
              <w:rPr>
                <w:rFonts w:ascii="StobiSerif Regular" w:hAnsi="StobiSerif Regular"/>
                <w:sz w:val="22"/>
                <w:szCs w:val="22"/>
              </w:rPr>
              <w:t>).</w:t>
            </w:r>
          </w:p>
        </w:tc>
      </w:tr>
    </w:tbl>
    <w:p w14:paraId="1065AA64"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3.3 Квалитативни ефекти</w:t>
      </w:r>
    </w:p>
    <w:p w14:paraId="27468583" w14:textId="77777777" w:rsidR="00C71B06" w:rsidRPr="004C7C17" w:rsidRDefault="00C71B06" w:rsidP="00CE17F9">
      <w:pPr>
        <w:shd w:val="clear" w:color="auto" w:fill="FFFFFF"/>
        <w:spacing w:before="120" w:after="120"/>
        <w:ind w:left="426" w:hanging="283"/>
        <w:jc w:val="both"/>
        <w:rPr>
          <w:rFonts w:ascii="StobiSerif Regular" w:hAnsi="StobiSerif Regular"/>
          <w:sz w:val="24"/>
          <w:szCs w:val="24"/>
        </w:rPr>
      </w:pPr>
      <w:r w:rsidRPr="004C7C17">
        <w:rPr>
          <w:rFonts w:ascii="StobiSerif Regular" w:hAnsi="StobiSerif Regular"/>
        </w:rPr>
        <w:t>-</w:t>
      </w:r>
      <w:r w:rsidRPr="004C7C17">
        <w:rPr>
          <w:rFonts w:ascii="StobiSerif Regular" w:hAnsi="StobiSerif Regular"/>
        </w:rPr>
        <w:tab/>
      </w:r>
      <w:r w:rsidRPr="004C7C17">
        <w:rPr>
          <w:rFonts w:ascii="StobiSerif Regular" w:hAnsi="StobiSerif Regular"/>
          <w:sz w:val="22"/>
          <w:szCs w:val="22"/>
        </w:rPr>
        <w:t>Зголемување на одговорноста на претседателите на судовите и главните обвинители во функционирањето и управувањето на судовите и обвинителствата, вклучително и со воведување следење на обработката на судските предмети, анализи на работата на судовите и обвинителствата и извештаи за буџетските и кадровските потреби.</w:t>
      </w:r>
    </w:p>
    <w:tbl>
      <w:tblPr>
        <w:tblW w:w="9032" w:type="dxa"/>
        <w:tblInd w:w="40" w:type="dxa"/>
        <w:tblLayout w:type="fixed"/>
        <w:tblCellMar>
          <w:left w:w="40" w:type="dxa"/>
          <w:right w:w="40" w:type="dxa"/>
        </w:tblCellMar>
        <w:tblLook w:val="0000" w:firstRow="0" w:lastRow="0" w:firstColumn="0" w:lastColumn="0" w:noHBand="0" w:noVBand="0"/>
      </w:tblPr>
      <w:tblGrid>
        <w:gridCol w:w="4355"/>
        <w:gridCol w:w="4677"/>
      </w:tblGrid>
      <w:tr w:rsidR="00C71B06" w:rsidRPr="004C7C17" w14:paraId="7BA6C9F3" w14:textId="77777777" w:rsidTr="006D4DFA">
        <w:trPr>
          <w:trHeight w:val="245"/>
        </w:trPr>
        <w:tc>
          <w:tcPr>
            <w:tcW w:w="4355" w:type="dxa"/>
            <w:tcBorders>
              <w:top w:val="nil"/>
              <w:left w:val="nil"/>
              <w:bottom w:val="single" w:sz="6" w:space="0" w:color="auto"/>
              <w:right w:val="single" w:sz="6" w:space="0" w:color="auto"/>
            </w:tcBorders>
            <w:shd w:val="clear" w:color="auto" w:fill="FFFFFF"/>
          </w:tcPr>
          <w:p w14:paraId="577CBB7E" w14:textId="77777777" w:rsidR="00C71B06" w:rsidRPr="004C7C17" w:rsidRDefault="00C71B06" w:rsidP="000A441A">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 (</w:t>
            </w:r>
            <w:r w:rsidR="000A441A" w:rsidRPr="004C7C17">
              <w:rPr>
                <w:rFonts w:ascii="StobiSerif Regular" w:hAnsi="StobiSerif Regular"/>
                <w:b/>
                <w:color w:val="00B050"/>
                <w:sz w:val="22"/>
              </w:rPr>
              <w:t>нема</w:t>
            </w:r>
            <w:r w:rsidRPr="004C7C17">
              <w:rPr>
                <w:rFonts w:ascii="StobiSerif Regular" w:hAnsi="StobiSerif Regular"/>
                <w:b/>
                <w:color w:val="00B050"/>
                <w:sz w:val="22"/>
              </w:rPr>
              <w:t xml:space="preserve"> двојно финансирање):</w:t>
            </w:r>
          </w:p>
        </w:tc>
        <w:tc>
          <w:tcPr>
            <w:tcW w:w="4677" w:type="dxa"/>
            <w:tcBorders>
              <w:top w:val="nil"/>
              <w:left w:val="single" w:sz="6" w:space="0" w:color="auto"/>
              <w:bottom w:val="single" w:sz="6" w:space="0" w:color="auto"/>
              <w:right w:val="nil"/>
            </w:tcBorders>
            <w:shd w:val="clear" w:color="auto" w:fill="FFFFFF"/>
          </w:tcPr>
          <w:p w14:paraId="6731C6DC" w14:textId="77777777" w:rsidR="00C71B06" w:rsidRPr="004C7C17" w:rsidRDefault="00C71B06" w:rsidP="00CE17F9">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CE17F9" w:rsidRPr="004C7C17" w14:paraId="7888ADB9" w14:textId="77777777" w:rsidTr="006D4DFA">
        <w:trPr>
          <w:trHeight w:val="1687"/>
        </w:trPr>
        <w:tc>
          <w:tcPr>
            <w:tcW w:w="4355" w:type="dxa"/>
            <w:tcBorders>
              <w:top w:val="single" w:sz="6" w:space="0" w:color="auto"/>
              <w:left w:val="nil"/>
              <w:right w:val="single" w:sz="6" w:space="0" w:color="auto"/>
            </w:tcBorders>
            <w:shd w:val="clear" w:color="auto" w:fill="FFFFFF"/>
          </w:tcPr>
          <w:p w14:paraId="489E5BEC" w14:textId="17CD4805" w:rsidR="00CE17F9" w:rsidRPr="004C7C17" w:rsidRDefault="006D4DFA"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sz w:val="22"/>
                <w:szCs w:val="22"/>
              </w:rPr>
              <w:t>К</w:t>
            </w:r>
            <w:r w:rsidR="00CE17F9" w:rsidRPr="004C7C17">
              <w:rPr>
                <w:rFonts w:ascii="StobiSerif Regular" w:hAnsi="StobiSerif Regular"/>
                <w:sz w:val="22"/>
                <w:szCs w:val="22"/>
              </w:rPr>
              <w:t>омплементарни</w:t>
            </w:r>
            <w:r w:rsidRPr="004C7C17">
              <w:rPr>
                <w:rFonts w:ascii="StobiSerif Regular" w:hAnsi="StobiSerif Regular"/>
                <w:sz w:val="22"/>
                <w:szCs w:val="22"/>
              </w:rPr>
              <w:t>те</w:t>
            </w:r>
            <w:r w:rsidR="00CE17F9" w:rsidRPr="004C7C17">
              <w:rPr>
                <w:rFonts w:ascii="StobiSerif Regular" w:hAnsi="StobiSerif Regular"/>
                <w:sz w:val="22"/>
                <w:szCs w:val="22"/>
              </w:rPr>
              <w:t xml:space="preserve"> акции на ЕУ испорачуваат обуки за претседателите на судовите / обвинителствата. Комплементарна</w:t>
            </w:r>
            <w:r w:rsidR="00204ED0" w:rsidRPr="004C7C17">
              <w:rPr>
                <w:rFonts w:ascii="StobiSerif Regular" w:hAnsi="StobiSerif Regular"/>
                <w:sz w:val="22"/>
                <w:szCs w:val="22"/>
              </w:rPr>
              <w:t>та</w:t>
            </w:r>
            <w:r w:rsidR="00CE17F9" w:rsidRPr="004C7C17">
              <w:rPr>
                <w:rFonts w:ascii="StobiSerif Regular" w:hAnsi="StobiSerif Regular"/>
                <w:sz w:val="22"/>
                <w:szCs w:val="22"/>
              </w:rPr>
              <w:t xml:space="preserve"> помош од ЕУ овозможува развој на капацитети за обработка на</w:t>
            </w:r>
            <w:r w:rsidR="004C7C17">
              <w:rPr>
                <w:rFonts w:ascii="StobiSerif Regular" w:hAnsi="StobiSerif Regular"/>
                <w:sz w:val="22"/>
                <w:szCs w:val="22"/>
                <w:lang w:val="en-US"/>
              </w:rPr>
              <w:t xml:space="preserve"> </w:t>
            </w:r>
            <w:r w:rsidR="00CE17F9" w:rsidRPr="004C7C17">
              <w:rPr>
                <w:rFonts w:ascii="StobiSerif Regular" w:hAnsi="StobiSerif Regular"/>
                <w:sz w:val="22"/>
                <w:szCs w:val="22"/>
              </w:rPr>
              <w:t>судските предмети/анализа на перформансите</w:t>
            </w:r>
            <w:r w:rsidR="00CE17F9" w:rsidRPr="004C7C17">
              <w:rPr>
                <w:rFonts w:ascii="StobiSerif Regular" w:hAnsi="StobiSerif Regular"/>
              </w:rPr>
              <w:t>.</w:t>
            </w:r>
          </w:p>
        </w:tc>
        <w:tc>
          <w:tcPr>
            <w:tcW w:w="4677" w:type="dxa"/>
            <w:tcBorders>
              <w:top w:val="single" w:sz="6" w:space="0" w:color="auto"/>
              <w:left w:val="single" w:sz="6" w:space="0" w:color="auto"/>
              <w:right w:val="nil"/>
            </w:tcBorders>
            <w:shd w:val="clear" w:color="auto" w:fill="FFFFFF"/>
          </w:tcPr>
          <w:p w14:paraId="7E395542" w14:textId="77777777" w:rsidR="00CE17F9" w:rsidRPr="004C7C17" w:rsidRDefault="00CE17F9"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Нема податоци</w:t>
            </w:r>
          </w:p>
        </w:tc>
      </w:tr>
    </w:tbl>
    <w:p w14:paraId="2E7D9003" w14:textId="77777777" w:rsidR="00C71B06"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242424"/>
          <w:sz w:val="22"/>
        </w:rPr>
        <w:t>или</w:t>
      </w:r>
    </w:p>
    <w:p w14:paraId="220A9C08" w14:textId="77777777" w:rsidR="00C71B06" w:rsidRPr="004C7C17" w:rsidRDefault="00C71B06" w:rsidP="00803AFB">
      <w:pPr>
        <w:numPr>
          <w:ilvl w:val="0"/>
          <w:numId w:val="1"/>
        </w:num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 xml:space="preserve">Да се осигури редовна и ефикасна целосна проверка на имотните листови на судиите и обвинителите од страна на Државната комисија за спречување на корупцијата, вклучително и преку вкрстена проверка на информациите со релевантните институции; измени на </w:t>
      </w:r>
      <w:commentRangeStart w:id="0"/>
      <w:r w:rsidRPr="004C7C17">
        <w:rPr>
          <w:rFonts w:ascii="StobiSerif Regular" w:hAnsi="StobiSerif Regular"/>
          <w:sz w:val="22"/>
          <w:szCs w:val="22"/>
        </w:rPr>
        <w:t>Законот за дисциплинска одговорност на судии и обвинители</w:t>
      </w:r>
      <w:commentRangeEnd w:id="0"/>
      <w:r w:rsidR="00BF5B98" w:rsidRPr="004C7C17">
        <w:rPr>
          <w:rStyle w:val="CommentReference"/>
          <w:rFonts w:ascii="StobiSerif Regular" w:hAnsi="StobiSerif Regular"/>
        </w:rPr>
        <w:commentReference w:id="0"/>
      </w:r>
      <w:r w:rsidRPr="004C7C17">
        <w:rPr>
          <w:rFonts w:ascii="StobiSerif Regular" w:hAnsi="StobiSerif Regular"/>
          <w:sz w:val="22"/>
          <w:szCs w:val="22"/>
        </w:rPr>
        <w:t xml:space="preserve"> во согласност со наодите од оценската мисијата на TAIEX, вклучително и со воведување специјализирано истражно тело; да се подобри системот за вработување преку зајакнување на постојните механизми за проверка на кандидатите, вклучително и со појаснување на неговиот опсег и постапки.</w:t>
      </w:r>
    </w:p>
    <w:tbl>
      <w:tblPr>
        <w:tblW w:w="9174" w:type="dxa"/>
        <w:tblInd w:w="40" w:type="dxa"/>
        <w:tblLayout w:type="fixed"/>
        <w:tblCellMar>
          <w:left w:w="40" w:type="dxa"/>
          <w:right w:w="40" w:type="dxa"/>
        </w:tblCellMar>
        <w:tblLook w:val="0000" w:firstRow="0" w:lastRow="0" w:firstColumn="0" w:lastColumn="0" w:noHBand="0" w:noVBand="0"/>
      </w:tblPr>
      <w:tblGrid>
        <w:gridCol w:w="4355"/>
        <w:gridCol w:w="4819"/>
      </w:tblGrid>
      <w:tr w:rsidR="00C71B06" w:rsidRPr="004C7C17" w14:paraId="239279D1" w14:textId="77777777" w:rsidTr="00844274">
        <w:trPr>
          <w:trHeight w:val="146"/>
        </w:trPr>
        <w:tc>
          <w:tcPr>
            <w:tcW w:w="4355" w:type="dxa"/>
            <w:tcBorders>
              <w:top w:val="nil"/>
              <w:left w:val="nil"/>
              <w:bottom w:val="single" w:sz="6" w:space="0" w:color="auto"/>
              <w:right w:val="single" w:sz="6" w:space="0" w:color="auto"/>
            </w:tcBorders>
            <w:shd w:val="clear" w:color="auto" w:fill="FFFFFF"/>
          </w:tcPr>
          <w:p w14:paraId="0C10A9B0" w14:textId="77777777" w:rsidR="00C71B06" w:rsidRPr="004C7C17" w:rsidRDefault="00C71B06" w:rsidP="000A441A">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 (</w:t>
            </w:r>
            <w:r w:rsidR="000A441A" w:rsidRPr="004C7C17">
              <w:rPr>
                <w:rFonts w:ascii="StobiSerif Regular" w:hAnsi="StobiSerif Regular"/>
                <w:b/>
                <w:color w:val="00B050"/>
                <w:sz w:val="22"/>
              </w:rPr>
              <w:t>нема</w:t>
            </w:r>
            <w:r w:rsidRPr="004C7C17">
              <w:rPr>
                <w:rFonts w:ascii="StobiSerif Regular" w:hAnsi="StobiSerif Regular"/>
                <w:b/>
                <w:color w:val="00B050"/>
                <w:sz w:val="22"/>
              </w:rPr>
              <w:t xml:space="preserve"> двојно финансирање):</w:t>
            </w:r>
          </w:p>
        </w:tc>
        <w:tc>
          <w:tcPr>
            <w:tcW w:w="4819" w:type="dxa"/>
            <w:tcBorders>
              <w:top w:val="nil"/>
              <w:left w:val="single" w:sz="6" w:space="0" w:color="auto"/>
              <w:bottom w:val="single" w:sz="6" w:space="0" w:color="auto"/>
              <w:right w:val="nil"/>
            </w:tcBorders>
            <w:shd w:val="clear" w:color="auto" w:fill="FFFFFF"/>
          </w:tcPr>
          <w:p w14:paraId="764A830D" w14:textId="77777777" w:rsidR="00C71B06" w:rsidRPr="004C7C17" w:rsidRDefault="00C71B06" w:rsidP="00CE17F9">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w:t>
            </w:r>
          </w:p>
        </w:tc>
      </w:tr>
      <w:tr w:rsidR="00CE17F9" w:rsidRPr="004C7C17" w14:paraId="090AB9A3" w14:textId="77777777" w:rsidTr="00844274">
        <w:trPr>
          <w:trHeight w:val="2109"/>
        </w:trPr>
        <w:tc>
          <w:tcPr>
            <w:tcW w:w="4355" w:type="dxa"/>
            <w:tcBorders>
              <w:top w:val="single" w:sz="6" w:space="0" w:color="auto"/>
              <w:left w:val="nil"/>
              <w:right w:val="single" w:sz="6" w:space="0" w:color="auto"/>
            </w:tcBorders>
            <w:shd w:val="clear" w:color="auto" w:fill="FFFFFF"/>
          </w:tcPr>
          <w:p w14:paraId="45581693" w14:textId="77777777" w:rsidR="00CE17F9"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lastRenderedPageBreak/>
              <w:t>Комплементарните акции на ЕУ испорачуваат обуки или организирање студиски посети на соодветниот кадар во Државната комисија за спречување на корупцијата или обезбедуваат активности за развој на капацитетите на Државната комисија за спречување на корупцијата или на другите елементи споменати во чекорот (т.е. систем за вработување).</w:t>
            </w:r>
          </w:p>
        </w:tc>
        <w:tc>
          <w:tcPr>
            <w:tcW w:w="4819" w:type="dxa"/>
            <w:tcBorders>
              <w:top w:val="single" w:sz="6" w:space="0" w:color="auto"/>
              <w:left w:val="single" w:sz="6" w:space="0" w:color="auto"/>
              <w:right w:val="nil"/>
            </w:tcBorders>
            <w:shd w:val="clear" w:color="auto" w:fill="FFFFFF"/>
          </w:tcPr>
          <w:p w14:paraId="5F66E276" w14:textId="77777777" w:rsidR="00CE17F9" w:rsidRPr="004C7C17" w:rsidRDefault="00844274"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000000"/>
                <w:sz w:val="22"/>
                <w:szCs w:val="22"/>
              </w:rPr>
              <w:t>Нема податоци</w:t>
            </w:r>
          </w:p>
        </w:tc>
      </w:tr>
    </w:tbl>
    <w:p w14:paraId="7B8063D9" w14:textId="77777777" w:rsidR="00C71B06"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color w:val="242424"/>
          <w:sz w:val="22"/>
          <w:szCs w:val="22"/>
        </w:rPr>
        <w:t>или</w:t>
      </w:r>
    </w:p>
    <w:p w14:paraId="07838089" w14:textId="25DF45F0" w:rsidR="00C71B06" w:rsidRPr="004C7C17" w:rsidRDefault="00C71B06" w:rsidP="00803AFB">
      <w:pPr>
        <w:numPr>
          <w:ilvl w:val="0"/>
          <w:numId w:val="1"/>
        </w:num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 xml:space="preserve">Агенцијата за странски инвестиции и промоција на извозот и Агенцијата за поддршка на претприемништвото се </w:t>
      </w:r>
      <w:r w:rsidR="009D0C75" w:rsidRPr="004C7C17">
        <w:rPr>
          <w:rFonts w:ascii="StobiSerif Regular" w:hAnsi="StobiSerif Regular"/>
          <w:sz w:val="22"/>
          <w:szCs w:val="22"/>
        </w:rPr>
        <w:t xml:space="preserve">формирани </w:t>
      </w:r>
      <w:r w:rsidRPr="004C7C17">
        <w:rPr>
          <w:rFonts w:ascii="StobiSerif Regular" w:hAnsi="StobiSerif Regular"/>
          <w:sz w:val="22"/>
          <w:szCs w:val="22"/>
        </w:rPr>
        <w:t>и целосно оперативни</w:t>
      </w:r>
      <w:r w:rsidR="00CE17F9" w:rsidRPr="004C7C17">
        <w:rPr>
          <w:rStyle w:val="FootnoteReference"/>
          <w:rFonts w:ascii="StobiSerif Regular" w:hAnsi="StobiSerif Regular"/>
          <w:color w:val="242424"/>
          <w:sz w:val="22"/>
          <w:szCs w:val="22"/>
        </w:rPr>
        <w:footnoteReference w:id="3"/>
      </w:r>
      <w:r w:rsidRPr="004C7C17">
        <w:rPr>
          <w:rFonts w:ascii="StobiSerif Regular" w:hAnsi="StobiSerif Regular"/>
          <w:sz w:val="22"/>
          <w:szCs w:val="22"/>
        </w:rPr>
        <w:t xml:space="preserve"> (описот на чекорот се однесува на </w:t>
      </w:r>
      <w:r w:rsidR="00612D18" w:rsidRPr="004C7C17">
        <w:rPr>
          <w:rFonts w:ascii="StobiSerif Regular" w:hAnsi="StobiSerif Regular"/>
          <w:sz w:val="22"/>
          <w:szCs w:val="22"/>
        </w:rPr>
        <w:t xml:space="preserve">ставање во употреба </w:t>
      </w:r>
      <w:r w:rsidRPr="004C7C17">
        <w:rPr>
          <w:rFonts w:ascii="StobiSerif Regular" w:hAnsi="StobiSerif Regular"/>
          <w:sz w:val="22"/>
          <w:szCs w:val="22"/>
        </w:rPr>
        <w:t xml:space="preserve">исклучиво како </w:t>
      </w:r>
      <w:r w:rsidR="00612D18" w:rsidRPr="004C7C17">
        <w:rPr>
          <w:rFonts w:ascii="StobiSerif Regular" w:hAnsi="StobiSerif Regular"/>
          <w:sz w:val="22"/>
          <w:szCs w:val="22"/>
        </w:rPr>
        <w:t>ставање на располагање на</w:t>
      </w:r>
      <w:r w:rsidRPr="004C7C17">
        <w:rPr>
          <w:rFonts w:ascii="StobiSerif Regular" w:hAnsi="StobiSerif Regular"/>
          <w:sz w:val="22"/>
          <w:szCs w:val="22"/>
        </w:rPr>
        <w:t xml:space="preserve"> ИТ опрема, обука итн.).</w:t>
      </w:r>
    </w:p>
    <w:tbl>
      <w:tblPr>
        <w:tblW w:w="0" w:type="auto"/>
        <w:tblInd w:w="40" w:type="dxa"/>
        <w:tblLayout w:type="fixed"/>
        <w:tblCellMar>
          <w:left w:w="40" w:type="dxa"/>
          <w:right w:w="40" w:type="dxa"/>
        </w:tblCellMar>
        <w:tblLook w:val="0000" w:firstRow="0" w:lastRow="0" w:firstColumn="0" w:lastColumn="0" w:noHBand="0" w:noVBand="0"/>
      </w:tblPr>
      <w:tblGrid>
        <w:gridCol w:w="4282"/>
        <w:gridCol w:w="4805"/>
      </w:tblGrid>
      <w:tr w:rsidR="00C71B06" w:rsidRPr="004C7C17" w14:paraId="1039E5D6" w14:textId="77777777">
        <w:trPr>
          <w:trHeight w:val="288"/>
        </w:trPr>
        <w:tc>
          <w:tcPr>
            <w:tcW w:w="4282" w:type="dxa"/>
            <w:tcBorders>
              <w:top w:val="nil"/>
              <w:left w:val="nil"/>
              <w:bottom w:val="single" w:sz="6" w:space="0" w:color="auto"/>
              <w:right w:val="single" w:sz="6" w:space="0" w:color="auto"/>
            </w:tcBorders>
            <w:shd w:val="clear" w:color="auto" w:fill="FFFFFF"/>
          </w:tcPr>
          <w:p w14:paraId="5AE6AF41" w14:textId="77777777" w:rsidR="00C71B06" w:rsidRPr="004C7C17" w:rsidRDefault="00C71B06" w:rsidP="000A441A">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 (</w:t>
            </w:r>
            <w:r w:rsidR="000A441A" w:rsidRPr="004C7C17">
              <w:rPr>
                <w:rFonts w:ascii="StobiSerif Regular" w:hAnsi="StobiSerif Regular"/>
                <w:b/>
                <w:color w:val="00B050"/>
                <w:sz w:val="22"/>
              </w:rPr>
              <w:t>нема</w:t>
            </w:r>
            <w:r w:rsidRPr="004C7C17">
              <w:rPr>
                <w:rFonts w:ascii="StobiSerif Regular" w:hAnsi="StobiSerif Regular"/>
                <w:b/>
                <w:color w:val="00B050"/>
                <w:sz w:val="22"/>
              </w:rPr>
              <w:t xml:space="preserve"> двојно финансирање):</w:t>
            </w:r>
          </w:p>
        </w:tc>
        <w:tc>
          <w:tcPr>
            <w:tcW w:w="4805" w:type="dxa"/>
            <w:tcBorders>
              <w:top w:val="nil"/>
              <w:left w:val="single" w:sz="6" w:space="0" w:color="auto"/>
              <w:bottom w:val="single" w:sz="6" w:space="0" w:color="auto"/>
              <w:right w:val="nil"/>
            </w:tcBorders>
            <w:shd w:val="clear" w:color="auto" w:fill="FFFFFF"/>
          </w:tcPr>
          <w:p w14:paraId="5EDE4640" w14:textId="77777777" w:rsidR="00C71B06" w:rsidRPr="004C7C17" w:rsidRDefault="00C71B06" w:rsidP="00CE17F9">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 (двојно финансирање):</w:t>
            </w:r>
          </w:p>
        </w:tc>
      </w:tr>
      <w:tr w:rsidR="00C71B06" w:rsidRPr="004C7C17" w14:paraId="7A61C14C" w14:textId="77777777" w:rsidTr="00D165F6">
        <w:trPr>
          <w:trHeight w:val="1198"/>
        </w:trPr>
        <w:tc>
          <w:tcPr>
            <w:tcW w:w="4282" w:type="dxa"/>
            <w:tcBorders>
              <w:top w:val="single" w:sz="6" w:space="0" w:color="auto"/>
              <w:left w:val="nil"/>
              <w:bottom w:val="nil"/>
              <w:right w:val="single" w:sz="6" w:space="0" w:color="auto"/>
            </w:tcBorders>
            <w:shd w:val="clear" w:color="auto" w:fill="FFFFFF"/>
          </w:tcPr>
          <w:p w14:paraId="1832FB64"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Развој на капацитети/градење капацитети на вработените, како обуки, студиски посети итн.</w:t>
            </w:r>
          </w:p>
        </w:tc>
        <w:tc>
          <w:tcPr>
            <w:tcW w:w="4805" w:type="dxa"/>
            <w:tcBorders>
              <w:top w:val="single" w:sz="6" w:space="0" w:color="auto"/>
              <w:left w:val="single" w:sz="6" w:space="0" w:color="auto"/>
              <w:bottom w:val="nil"/>
              <w:right w:val="nil"/>
            </w:tcBorders>
            <w:shd w:val="clear" w:color="auto" w:fill="FFFFFF"/>
          </w:tcPr>
          <w:p w14:paraId="76E2EB17" w14:textId="018ACD20"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Комплементарната помош од ЕУ ги обезбедува сите неопходни ресурси за </w:t>
            </w:r>
            <w:r w:rsidR="00612D18" w:rsidRPr="004C7C17">
              <w:rPr>
                <w:rFonts w:ascii="StobiSerif Regular" w:hAnsi="StobiSerif Regular"/>
                <w:sz w:val="22"/>
                <w:szCs w:val="22"/>
              </w:rPr>
              <w:t>ставање во употреба</w:t>
            </w:r>
            <w:r w:rsidR="00612D18" w:rsidRPr="004C7C17" w:rsidDel="00612D18">
              <w:rPr>
                <w:rFonts w:ascii="StobiSerif Regular" w:hAnsi="StobiSerif Regular"/>
                <w:color w:val="000000"/>
                <w:sz w:val="22"/>
              </w:rPr>
              <w:t xml:space="preserve"> </w:t>
            </w:r>
            <w:r w:rsidRPr="004C7C17">
              <w:rPr>
                <w:rFonts w:ascii="StobiSerif Regular" w:hAnsi="StobiSerif Regular"/>
                <w:color w:val="000000"/>
                <w:sz w:val="22"/>
              </w:rPr>
              <w:t>на агенцијата (ИТ-опрема, обуки).</w:t>
            </w:r>
          </w:p>
        </w:tc>
      </w:tr>
    </w:tbl>
    <w:p w14:paraId="134168D6" w14:textId="77777777" w:rsidR="00D165F6" w:rsidRPr="004C7C17" w:rsidRDefault="00D165F6" w:rsidP="00D165F6">
      <w:pPr>
        <w:shd w:val="clear" w:color="auto" w:fill="FFFFFF"/>
        <w:spacing w:before="120" w:after="120"/>
        <w:ind w:left="720"/>
        <w:jc w:val="both"/>
        <w:rPr>
          <w:rFonts w:ascii="StobiSerif Regular" w:hAnsi="StobiSerif Regular"/>
          <w:sz w:val="24"/>
          <w:szCs w:val="24"/>
        </w:rPr>
      </w:pPr>
    </w:p>
    <w:p w14:paraId="4F5FA6B1" w14:textId="77777777" w:rsidR="00C71B06" w:rsidRPr="004C7C17" w:rsidRDefault="00C71B06" w:rsidP="00CE17F9">
      <w:pPr>
        <w:numPr>
          <w:ilvl w:val="0"/>
          <w:numId w:val="1"/>
        </w:numPr>
        <w:shd w:val="clear" w:color="auto" w:fill="FFFFFF"/>
        <w:spacing w:before="120" w:after="120"/>
        <w:jc w:val="both"/>
        <w:rPr>
          <w:rFonts w:ascii="StobiSerif Regular" w:hAnsi="StobiSerif Regular"/>
          <w:sz w:val="24"/>
          <w:szCs w:val="24"/>
        </w:rPr>
      </w:pPr>
      <w:r w:rsidRPr="004C7C17">
        <w:rPr>
          <w:rFonts w:ascii="StobiSerif Regular" w:hAnsi="StobiSerif Regular"/>
          <w:color w:val="242424"/>
          <w:sz w:val="22"/>
        </w:rPr>
        <w:t>50 вработени во Министерството за финансии ќе добијат обука за управување со јавни инвестиции</w:t>
      </w:r>
    </w:p>
    <w:tbl>
      <w:tblPr>
        <w:tblW w:w="8936" w:type="dxa"/>
        <w:tblInd w:w="40" w:type="dxa"/>
        <w:tblLayout w:type="fixed"/>
        <w:tblCellMar>
          <w:left w:w="40" w:type="dxa"/>
          <w:right w:w="40" w:type="dxa"/>
        </w:tblCellMar>
        <w:tblLook w:val="0000" w:firstRow="0" w:lastRow="0" w:firstColumn="0" w:lastColumn="0" w:noHBand="0" w:noVBand="0"/>
      </w:tblPr>
      <w:tblGrid>
        <w:gridCol w:w="4211"/>
        <w:gridCol w:w="4725"/>
      </w:tblGrid>
      <w:tr w:rsidR="00C71B06" w:rsidRPr="004C7C17" w14:paraId="6FE142A2" w14:textId="77777777" w:rsidTr="001A60A9">
        <w:trPr>
          <w:trHeight w:val="156"/>
        </w:trPr>
        <w:tc>
          <w:tcPr>
            <w:tcW w:w="4211" w:type="dxa"/>
            <w:tcBorders>
              <w:top w:val="nil"/>
              <w:left w:val="nil"/>
              <w:bottom w:val="single" w:sz="6" w:space="0" w:color="auto"/>
              <w:right w:val="single" w:sz="6" w:space="0" w:color="auto"/>
            </w:tcBorders>
            <w:shd w:val="clear" w:color="auto" w:fill="FFFFFF"/>
          </w:tcPr>
          <w:p w14:paraId="238AC30C" w14:textId="77777777" w:rsidR="00C71B06" w:rsidRPr="004C7C17" w:rsidRDefault="00C71B06" w:rsidP="000A441A">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00B050"/>
                <w:sz w:val="22"/>
              </w:rPr>
              <w:t>Прифатливо (</w:t>
            </w:r>
            <w:r w:rsidR="000A441A" w:rsidRPr="004C7C17">
              <w:rPr>
                <w:rFonts w:ascii="StobiSerif Regular" w:hAnsi="StobiSerif Regular"/>
                <w:b/>
                <w:color w:val="00B050"/>
                <w:sz w:val="22"/>
              </w:rPr>
              <w:t>нема</w:t>
            </w:r>
            <w:r w:rsidRPr="004C7C17">
              <w:rPr>
                <w:rFonts w:ascii="StobiSerif Regular" w:hAnsi="StobiSerif Regular"/>
                <w:b/>
                <w:color w:val="00B050"/>
                <w:sz w:val="22"/>
              </w:rPr>
              <w:t xml:space="preserve"> двојно финансирање):</w:t>
            </w:r>
          </w:p>
        </w:tc>
        <w:tc>
          <w:tcPr>
            <w:tcW w:w="4725" w:type="dxa"/>
            <w:tcBorders>
              <w:top w:val="nil"/>
              <w:left w:val="single" w:sz="6" w:space="0" w:color="auto"/>
              <w:bottom w:val="single" w:sz="6" w:space="0" w:color="auto"/>
              <w:right w:val="nil"/>
            </w:tcBorders>
            <w:shd w:val="clear" w:color="auto" w:fill="FFFFFF"/>
          </w:tcPr>
          <w:p w14:paraId="1D6968AC" w14:textId="77777777" w:rsidR="00C71B06" w:rsidRPr="004C7C17" w:rsidRDefault="00C71B06" w:rsidP="00CE17F9">
            <w:pPr>
              <w:shd w:val="clear" w:color="auto" w:fill="FFFFFF"/>
              <w:spacing w:before="120" w:after="120"/>
              <w:jc w:val="center"/>
              <w:rPr>
                <w:rFonts w:ascii="StobiSerif Regular" w:hAnsi="StobiSerif Regular"/>
                <w:sz w:val="24"/>
                <w:szCs w:val="24"/>
              </w:rPr>
            </w:pPr>
            <w:r w:rsidRPr="004C7C17">
              <w:rPr>
                <w:rFonts w:ascii="StobiSerif Regular" w:hAnsi="StobiSerif Regular"/>
                <w:b/>
                <w:color w:val="FF0000"/>
                <w:sz w:val="22"/>
              </w:rPr>
              <w:t>Не е прифатливо (двојно финансирање):</w:t>
            </w:r>
          </w:p>
        </w:tc>
      </w:tr>
      <w:tr w:rsidR="00CE17F9" w:rsidRPr="004C7C17" w14:paraId="048F671B" w14:textId="77777777" w:rsidTr="001A60A9">
        <w:trPr>
          <w:trHeight w:val="1691"/>
        </w:trPr>
        <w:tc>
          <w:tcPr>
            <w:tcW w:w="4211" w:type="dxa"/>
            <w:tcBorders>
              <w:top w:val="single" w:sz="6" w:space="0" w:color="auto"/>
              <w:left w:val="nil"/>
              <w:right w:val="single" w:sz="6" w:space="0" w:color="auto"/>
            </w:tcBorders>
            <w:shd w:val="clear" w:color="auto" w:fill="FFFFFF"/>
          </w:tcPr>
          <w:p w14:paraId="2FC62AE0" w14:textId="3E4BF413" w:rsidR="00CE17F9"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Развој на капацитети преку „обука на обучувачи“, студиски посети како и покривање од ЕУ или други донатори на надоместоците и</w:t>
            </w:r>
            <w:r w:rsidR="00180922" w:rsidRPr="004C7C17">
              <w:rPr>
                <w:rFonts w:ascii="StobiSerif Regular" w:hAnsi="StobiSerif Regular"/>
                <w:sz w:val="22"/>
                <w:szCs w:val="22"/>
              </w:rPr>
              <w:t xml:space="preserve"> </w:t>
            </w:r>
            <w:r w:rsidRPr="004C7C17">
              <w:rPr>
                <w:rFonts w:ascii="StobiSerif Regular" w:hAnsi="StobiSerif Regular"/>
                <w:sz w:val="22"/>
                <w:szCs w:val="22"/>
              </w:rPr>
              <w:t>/</w:t>
            </w:r>
            <w:r w:rsidR="00180922" w:rsidRPr="004C7C17">
              <w:rPr>
                <w:rFonts w:ascii="StobiSerif Regular" w:hAnsi="StobiSerif Regular"/>
                <w:sz w:val="22"/>
                <w:szCs w:val="22"/>
              </w:rPr>
              <w:t xml:space="preserve"> </w:t>
            </w:r>
            <w:r w:rsidRPr="004C7C17">
              <w:rPr>
                <w:rFonts w:ascii="StobiSerif Regular" w:hAnsi="StobiSerif Regular"/>
                <w:sz w:val="22"/>
                <w:szCs w:val="22"/>
              </w:rPr>
              <w:t>или патните трошоци на експертите</w:t>
            </w:r>
            <w:r w:rsidR="00180922" w:rsidRPr="004C7C17">
              <w:rPr>
                <w:rFonts w:ascii="StobiSerif Regular" w:hAnsi="StobiSerif Regular"/>
                <w:sz w:val="22"/>
                <w:szCs w:val="22"/>
              </w:rPr>
              <w:t xml:space="preserve"> </w:t>
            </w:r>
            <w:r w:rsidRPr="004C7C17">
              <w:rPr>
                <w:rFonts w:ascii="StobiSerif Regular" w:hAnsi="StobiSerif Regular"/>
                <w:sz w:val="22"/>
                <w:szCs w:val="22"/>
              </w:rPr>
              <w:t>/</w:t>
            </w:r>
            <w:r w:rsidR="00180922" w:rsidRPr="004C7C17">
              <w:rPr>
                <w:rFonts w:ascii="StobiSerif Regular" w:hAnsi="StobiSerif Regular"/>
                <w:sz w:val="22"/>
                <w:szCs w:val="22"/>
              </w:rPr>
              <w:t xml:space="preserve"> </w:t>
            </w:r>
            <w:r w:rsidRPr="004C7C17">
              <w:rPr>
                <w:rFonts w:ascii="StobiSerif Regular" w:hAnsi="StobiSerif Regular"/>
                <w:sz w:val="22"/>
                <w:szCs w:val="22"/>
              </w:rPr>
              <w:t>обучувачите</w:t>
            </w:r>
          </w:p>
        </w:tc>
        <w:tc>
          <w:tcPr>
            <w:tcW w:w="4725" w:type="dxa"/>
            <w:tcBorders>
              <w:top w:val="single" w:sz="6" w:space="0" w:color="auto"/>
              <w:left w:val="single" w:sz="6" w:space="0" w:color="auto"/>
              <w:right w:val="nil"/>
            </w:tcBorders>
            <w:shd w:val="clear" w:color="auto" w:fill="FFFFFF"/>
          </w:tcPr>
          <w:p w14:paraId="6067AE1D" w14:textId="77777777" w:rsidR="00CE17F9" w:rsidRPr="004C7C17" w:rsidRDefault="00CE17F9" w:rsidP="00803AFB">
            <w:pPr>
              <w:shd w:val="clear" w:color="auto" w:fill="FFFFFF"/>
              <w:spacing w:before="120" w:after="120"/>
              <w:jc w:val="both"/>
              <w:rPr>
                <w:rFonts w:ascii="StobiSerif Regular" w:hAnsi="StobiSerif Regular"/>
                <w:sz w:val="22"/>
                <w:szCs w:val="22"/>
              </w:rPr>
            </w:pPr>
            <w:r w:rsidRPr="004C7C17">
              <w:rPr>
                <w:rFonts w:ascii="StobiSerif Regular" w:hAnsi="StobiSerif Regular"/>
                <w:sz w:val="22"/>
                <w:szCs w:val="22"/>
              </w:rPr>
              <w:t xml:space="preserve">Комплементарната помош од ЕУ или од други донатори </w:t>
            </w:r>
            <w:r w:rsidR="000A441A" w:rsidRPr="004C7C17">
              <w:rPr>
                <w:rFonts w:ascii="StobiSerif Regular" w:hAnsi="StobiSerif Regular"/>
                <w:sz w:val="22"/>
                <w:szCs w:val="22"/>
              </w:rPr>
              <w:t xml:space="preserve">ја </w:t>
            </w:r>
            <w:r w:rsidRPr="004C7C17">
              <w:rPr>
                <w:rFonts w:ascii="StobiSerif Regular" w:hAnsi="StobiSerif Regular"/>
                <w:sz w:val="22"/>
                <w:szCs w:val="22"/>
              </w:rPr>
              <w:t>финансира целосна</w:t>
            </w:r>
            <w:r w:rsidR="000A441A" w:rsidRPr="004C7C17">
              <w:rPr>
                <w:rFonts w:ascii="StobiSerif Regular" w:hAnsi="StobiSerif Regular"/>
                <w:sz w:val="22"/>
                <w:szCs w:val="22"/>
              </w:rPr>
              <w:t>та</w:t>
            </w:r>
            <w:r w:rsidRPr="004C7C17">
              <w:rPr>
                <w:rFonts w:ascii="StobiSerif Regular" w:hAnsi="StobiSerif Regular"/>
                <w:sz w:val="22"/>
                <w:szCs w:val="22"/>
              </w:rPr>
              <w:t xml:space="preserve"> организација на обуката, вклучувајќи ги хонорарите на обучувачите, закупот на простор, дневниците на учесниците, целиот материјал потребен за обуката, итн.</w:t>
            </w:r>
          </w:p>
        </w:tc>
      </w:tr>
    </w:tbl>
    <w:p w14:paraId="0C731EC0"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color w:val="000000"/>
          <w:sz w:val="22"/>
        </w:rPr>
        <w:t>или</w:t>
      </w:r>
    </w:p>
    <w:p w14:paraId="376F581C" w14:textId="44EBFC4C" w:rsidR="00AB15B4" w:rsidRPr="004C7C17" w:rsidRDefault="00AB15B4" w:rsidP="000A441A">
      <w:pPr>
        <w:shd w:val="clear" w:color="auto" w:fill="FFFFFF"/>
        <w:spacing w:before="120" w:after="120"/>
        <w:ind w:left="709" w:hanging="425"/>
        <w:jc w:val="both"/>
        <w:rPr>
          <w:rFonts w:ascii="StobiSerif Regular" w:hAnsi="StobiSerif Regular"/>
          <w:color w:val="000000"/>
          <w:sz w:val="22"/>
          <w:szCs w:val="22"/>
        </w:rPr>
      </w:pPr>
      <w:r w:rsidRPr="004C7C17">
        <w:rPr>
          <w:rFonts w:ascii="StobiSerif Regular" w:hAnsi="StobiSerif Regular"/>
          <w:color w:val="000000"/>
          <w:sz w:val="22"/>
        </w:rPr>
        <w:lastRenderedPageBreak/>
        <w:t>-</w:t>
      </w:r>
      <w:r w:rsidRPr="004C7C17">
        <w:rPr>
          <w:rFonts w:ascii="StobiSerif Regular" w:hAnsi="StobiSerif Regular"/>
          <w:color w:val="000000"/>
          <w:sz w:val="22"/>
        </w:rPr>
        <w:tab/>
        <w:t xml:space="preserve">Јакнење на </w:t>
      </w:r>
      <w:r w:rsidR="001A4B4A" w:rsidRPr="004C7C17">
        <w:rPr>
          <w:rFonts w:ascii="StobiSerif Regular" w:hAnsi="StobiSerif Regular"/>
          <w:color w:val="000000"/>
          <w:sz w:val="22"/>
        </w:rPr>
        <w:t xml:space="preserve">интерконекцијата </w:t>
      </w:r>
      <w:r w:rsidRPr="004C7C17">
        <w:rPr>
          <w:rFonts w:ascii="StobiSerif Regular" w:hAnsi="StobiSerif Regular"/>
          <w:color w:val="000000"/>
          <w:sz w:val="22"/>
        </w:rPr>
        <w:t>на централниот регистар на население со другите државни регистри (</w:t>
      </w:r>
      <w:r w:rsidR="000A441A" w:rsidRPr="004C7C17">
        <w:rPr>
          <w:rFonts w:ascii="StobiSerif Regular" w:hAnsi="StobiSerif Regular"/>
          <w:color w:val="000000"/>
          <w:sz w:val="22"/>
        </w:rPr>
        <w:t>Централен</w:t>
      </w:r>
      <w:r w:rsidRPr="004C7C17">
        <w:rPr>
          <w:rFonts w:ascii="StobiSerif Regular" w:hAnsi="StobiSerif Regular"/>
          <w:color w:val="000000"/>
          <w:sz w:val="22"/>
          <w:u w:val="single"/>
        </w:rPr>
        <w:t xml:space="preserve"> </w:t>
      </w:r>
      <w:r w:rsidRPr="004C7C17">
        <w:rPr>
          <w:rFonts w:ascii="StobiSerif Regular" w:hAnsi="StobiSerif Regular"/>
          <w:color w:val="000000"/>
          <w:sz w:val="22"/>
        </w:rPr>
        <w:t>регистар</w:t>
      </w:r>
      <w:r w:rsidRPr="004C7C17">
        <w:rPr>
          <w:rFonts w:ascii="StobiSerif Regular" w:hAnsi="StobiSerif Regular"/>
          <w:color w:val="000000"/>
          <w:sz w:val="22"/>
          <w:u w:val="single"/>
        </w:rPr>
        <w:t>,</w:t>
      </w:r>
      <w:r w:rsidRPr="004C7C17">
        <w:rPr>
          <w:rFonts w:ascii="StobiSerif Regular" w:hAnsi="StobiSerif Regular"/>
          <w:color w:val="000000"/>
          <w:sz w:val="22"/>
        </w:rPr>
        <w:t xml:space="preserve"> Даночна управа на Косово, Адресен регистар (АРИС).</w:t>
      </w:r>
    </w:p>
    <w:p w14:paraId="4593F207"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p>
    <w:tbl>
      <w:tblPr>
        <w:tblW w:w="8891" w:type="dxa"/>
        <w:tblInd w:w="40" w:type="dxa"/>
        <w:tblLayout w:type="fixed"/>
        <w:tblCellMar>
          <w:left w:w="40" w:type="dxa"/>
          <w:right w:w="40" w:type="dxa"/>
        </w:tblCellMar>
        <w:tblLook w:val="0000" w:firstRow="0" w:lastRow="0" w:firstColumn="0" w:lastColumn="0" w:noHBand="0" w:noVBand="0"/>
      </w:tblPr>
      <w:tblGrid>
        <w:gridCol w:w="4213"/>
        <w:gridCol w:w="4678"/>
      </w:tblGrid>
      <w:tr w:rsidR="00AB15B4" w:rsidRPr="004C7C17" w14:paraId="302176FF" w14:textId="77777777" w:rsidTr="0048640E">
        <w:trPr>
          <w:trHeight w:hRule="exact" w:val="670"/>
        </w:trPr>
        <w:tc>
          <w:tcPr>
            <w:tcW w:w="4213" w:type="dxa"/>
            <w:tcBorders>
              <w:top w:val="nil"/>
              <w:left w:val="nil"/>
              <w:bottom w:val="single" w:sz="6" w:space="0" w:color="auto"/>
              <w:right w:val="single" w:sz="6" w:space="0" w:color="auto"/>
            </w:tcBorders>
            <w:shd w:val="clear" w:color="auto" w:fill="FFFFFF"/>
          </w:tcPr>
          <w:p w14:paraId="57B8D7CC" w14:textId="77777777" w:rsidR="00AB15B4" w:rsidRPr="004C7C17" w:rsidRDefault="0048640E" w:rsidP="0048640E">
            <w:pPr>
              <w:shd w:val="clear" w:color="auto" w:fill="FFFFFF"/>
              <w:spacing w:before="120" w:after="120"/>
              <w:jc w:val="center"/>
              <w:rPr>
                <w:rFonts w:ascii="StobiSerif Regular" w:hAnsi="StobiSerif Regular"/>
                <w:color w:val="000000"/>
                <w:sz w:val="22"/>
                <w:szCs w:val="22"/>
              </w:rPr>
            </w:pPr>
            <w:r w:rsidRPr="004C7C17">
              <w:rPr>
                <w:rFonts w:ascii="StobiSerif Regular" w:hAnsi="StobiSerif Regular"/>
                <w:b/>
                <w:color w:val="00B050"/>
                <w:sz w:val="22"/>
              </w:rPr>
              <w:t>Прифатливо (нема двојно финансирање):</w:t>
            </w:r>
          </w:p>
        </w:tc>
        <w:tc>
          <w:tcPr>
            <w:tcW w:w="4678" w:type="dxa"/>
            <w:tcBorders>
              <w:top w:val="nil"/>
              <w:left w:val="single" w:sz="6" w:space="0" w:color="auto"/>
              <w:bottom w:val="single" w:sz="6" w:space="0" w:color="auto"/>
              <w:right w:val="nil"/>
            </w:tcBorders>
            <w:shd w:val="clear" w:color="auto" w:fill="FFFFFF"/>
          </w:tcPr>
          <w:p w14:paraId="693BA478" w14:textId="77777777" w:rsidR="00AB15B4" w:rsidRPr="004C7C17" w:rsidRDefault="0048640E" w:rsidP="00AB15B4">
            <w:pPr>
              <w:shd w:val="clear" w:color="auto" w:fill="FFFFFF"/>
              <w:spacing w:before="120" w:after="120"/>
              <w:jc w:val="center"/>
              <w:rPr>
                <w:rFonts w:ascii="StobiSerif Regular" w:hAnsi="StobiSerif Regular"/>
                <w:color w:val="000000"/>
                <w:sz w:val="22"/>
                <w:szCs w:val="22"/>
              </w:rPr>
            </w:pPr>
            <w:r w:rsidRPr="004C7C17">
              <w:rPr>
                <w:rFonts w:ascii="StobiSerif Regular" w:hAnsi="StobiSerif Regular"/>
                <w:b/>
                <w:color w:val="FF0000"/>
                <w:sz w:val="22"/>
              </w:rPr>
              <w:t>Не е прифатливо (двојно финансирање):</w:t>
            </w:r>
          </w:p>
        </w:tc>
      </w:tr>
      <w:tr w:rsidR="00AB15B4" w:rsidRPr="004C7C17" w14:paraId="50A4B778" w14:textId="77777777" w:rsidTr="00DF226C">
        <w:trPr>
          <w:trHeight w:hRule="exact" w:val="1433"/>
        </w:trPr>
        <w:tc>
          <w:tcPr>
            <w:tcW w:w="4213" w:type="dxa"/>
            <w:tcBorders>
              <w:top w:val="single" w:sz="6" w:space="0" w:color="auto"/>
              <w:left w:val="nil"/>
              <w:bottom w:val="nil"/>
              <w:right w:val="single" w:sz="6" w:space="0" w:color="auto"/>
            </w:tcBorders>
            <w:shd w:val="clear" w:color="auto" w:fill="FFFFFF"/>
          </w:tcPr>
          <w:p w14:paraId="0EDEE197" w14:textId="7F2F4FB2" w:rsidR="00AB15B4" w:rsidRPr="004C7C17" w:rsidRDefault="00AB15B4" w:rsidP="0053105B">
            <w:pPr>
              <w:shd w:val="clear" w:color="auto" w:fill="FFFFFF"/>
              <w:spacing w:before="120" w:after="120"/>
              <w:ind w:right="102"/>
              <w:jc w:val="both"/>
              <w:rPr>
                <w:rFonts w:ascii="StobiSerif Regular" w:hAnsi="StobiSerif Regular"/>
                <w:color w:val="000000"/>
                <w:sz w:val="22"/>
                <w:szCs w:val="22"/>
              </w:rPr>
            </w:pPr>
            <w:r w:rsidRPr="004C7C17">
              <w:rPr>
                <w:rFonts w:ascii="StobiSerif Regular" w:hAnsi="StobiSerif Regular"/>
                <w:color w:val="000000"/>
                <w:sz w:val="22"/>
              </w:rPr>
              <w:t xml:space="preserve">Развој на капацитети за ИТ-интерконекција или </w:t>
            </w:r>
            <w:r w:rsidR="0053105B" w:rsidRPr="004C7C17">
              <w:rPr>
                <w:rFonts w:ascii="StobiSerif Regular" w:hAnsi="StobiSerif Regular"/>
                <w:color w:val="000000"/>
                <w:sz w:val="22"/>
              </w:rPr>
              <w:t>подготовка</w:t>
            </w:r>
            <w:r w:rsidRPr="004C7C17">
              <w:rPr>
                <w:rFonts w:ascii="StobiSerif Regular" w:hAnsi="StobiSerif Regular"/>
                <w:color w:val="000000"/>
                <w:sz w:val="22"/>
              </w:rPr>
              <w:t xml:space="preserve"> на процесот за реализација на интерконекции.</w:t>
            </w:r>
          </w:p>
        </w:tc>
        <w:tc>
          <w:tcPr>
            <w:tcW w:w="4678" w:type="dxa"/>
            <w:tcBorders>
              <w:top w:val="single" w:sz="6" w:space="0" w:color="auto"/>
              <w:left w:val="single" w:sz="6" w:space="0" w:color="auto"/>
              <w:bottom w:val="nil"/>
              <w:right w:val="nil"/>
            </w:tcBorders>
            <w:shd w:val="clear" w:color="auto" w:fill="FFFFFF"/>
          </w:tcPr>
          <w:p w14:paraId="1781263D" w14:textId="2C3AC7E1"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color w:val="000000"/>
                <w:sz w:val="22"/>
              </w:rPr>
              <w:t xml:space="preserve">Де факто испорака на ИТ-системот за </w:t>
            </w:r>
            <w:r w:rsidR="00612D18" w:rsidRPr="004C7C17">
              <w:rPr>
                <w:rFonts w:ascii="StobiSerif Regular" w:hAnsi="StobiSerif Regular"/>
                <w:sz w:val="22"/>
                <w:szCs w:val="22"/>
              </w:rPr>
              <w:t>ставање во употреба</w:t>
            </w:r>
            <w:r w:rsidR="00612D18" w:rsidRPr="004C7C17" w:rsidDel="00612D18">
              <w:rPr>
                <w:rFonts w:ascii="StobiSerif Regular" w:hAnsi="StobiSerif Regular"/>
                <w:color w:val="000000"/>
                <w:sz w:val="22"/>
              </w:rPr>
              <w:t xml:space="preserve"> </w:t>
            </w:r>
            <w:r w:rsidRPr="004C7C17">
              <w:rPr>
                <w:rFonts w:ascii="StobiSerif Regular" w:hAnsi="StobiSerif Regular"/>
                <w:color w:val="000000"/>
                <w:sz w:val="22"/>
              </w:rPr>
              <w:t>на интерконекцијата (де факто создавање на регистри и интерконекции).</w:t>
            </w:r>
          </w:p>
        </w:tc>
      </w:tr>
    </w:tbl>
    <w:p w14:paraId="5A1F511B"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u w:val="single"/>
        </w:rPr>
      </w:pPr>
      <w:r w:rsidRPr="004C7C17">
        <w:rPr>
          <w:rFonts w:ascii="StobiSerif Regular" w:hAnsi="StobiSerif Regular"/>
          <w:b/>
          <w:color w:val="000000"/>
          <w:sz w:val="22"/>
        </w:rPr>
        <w:t>4.</w:t>
      </w:r>
      <w:r w:rsidRPr="004C7C17">
        <w:rPr>
          <w:rFonts w:ascii="StobiSerif Regular" w:hAnsi="StobiSerif Regular"/>
          <w:b/>
          <w:color w:val="000000"/>
          <w:sz w:val="22"/>
          <w:u w:val="single"/>
        </w:rPr>
        <w:t xml:space="preserve"> Поврат на средства</w:t>
      </w:r>
    </w:p>
    <w:p w14:paraId="7E7762D4"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color w:val="000000"/>
          <w:sz w:val="22"/>
        </w:rPr>
        <w:t>Во случај на двојно финансирање, треба да се утврди според која програма или регулатива на ЕУ треба да се изврши враќање на средствата.</w:t>
      </w:r>
    </w:p>
    <w:p w14:paraId="4517600B" w14:textId="77777777" w:rsidR="00AB15B4" w:rsidRPr="004C7C17" w:rsidRDefault="00AB15B4" w:rsidP="00AB15B4">
      <w:pPr>
        <w:numPr>
          <w:ilvl w:val="0"/>
          <w:numId w:val="2"/>
        </w:numPr>
        <w:shd w:val="clear" w:color="auto" w:fill="FFFFFF"/>
        <w:spacing w:before="120" w:after="120"/>
        <w:ind w:left="709" w:hanging="709"/>
        <w:jc w:val="both"/>
        <w:rPr>
          <w:rFonts w:ascii="StobiSerif Regular" w:hAnsi="StobiSerif Regular"/>
          <w:color w:val="000000"/>
          <w:sz w:val="22"/>
          <w:szCs w:val="22"/>
        </w:rPr>
      </w:pPr>
      <w:r w:rsidRPr="004C7C17">
        <w:rPr>
          <w:rFonts w:ascii="StobiSerif Regular" w:hAnsi="StobiSerif Regular"/>
          <w:color w:val="000000"/>
          <w:sz w:val="22"/>
        </w:rPr>
        <w:t xml:space="preserve">Кога двојното финансирање е резултат на договор за грант склучен во рамките на друга програма на Унијата </w:t>
      </w:r>
      <w:r w:rsidRPr="004C7C17">
        <w:rPr>
          <w:rFonts w:ascii="StobiSerif Regular" w:hAnsi="StobiSerif Regular"/>
          <w:b/>
          <w:bCs/>
          <w:color w:val="000000"/>
          <w:sz w:val="22"/>
        </w:rPr>
        <w:t>пред</w:t>
      </w:r>
      <w:r w:rsidRPr="004C7C17">
        <w:rPr>
          <w:rFonts w:ascii="StobiSerif Regular" w:hAnsi="StobiSerif Regular"/>
          <w:color w:val="000000"/>
          <w:sz w:val="22"/>
        </w:rPr>
        <w:t xml:space="preserve"> донесувањето на Одлуката за спроведување на Комисијата (ОСК за ИРР) за донесување на ИРР, </w:t>
      </w:r>
      <w:r w:rsidRPr="004C7C17">
        <w:rPr>
          <w:rFonts w:ascii="StobiSerif Regular" w:hAnsi="StobiSerif Regular"/>
          <w:b/>
          <w:bCs/>
          <w:color w:val="000000"/>
          <w:sz w:val="22"/>
        </w:rPr>
        <w:t>тогаш треба да се вратат средствата од ИРР</w:t>
      </w:r>
      <w:r w:rsidRPr="004C7C17">
        <w:rPr>
          <w:rFonts w:ascii="StobiSerif Regular" w:hAnsi="StobiSerif Regular"/>
          <w:color w:val="000000"/>
          <w:sz w:val="22"/>
        </w:rPr>
        <w:t xml:space="preserve">, бидејќи мерките што веќе </w:t>
      </w:r>
      <w:r w:rsidR="00CB46DF" w:rsidRPr="004C7C17">
        <w:rPr>
          <w:rFonts w:ascii="StobiSerif Regular" w:hAnsi="StobiSerif Regular"/>
          <w:color w:val="000000"/>
          <w:sz w:val="22"/>
        </w:rPr>
        <w:t>се</w:t>
      </w:r>
      <w:r w:rsidRPr="004C7C17">
        <w:rPr>
          <w:rFonts w:ascii="StobiSerif Regular" w:hAnsi="StobiSerif Regular"/>
          <w:color w:val="000000"/>
          <w:sz w:val="22"/>
        </w:rPr>
        <w:t xml:space="preserve"> поддржани со други фондови на Унијата воопшто не </w:t>
      </w:r>
      <w:r w:rsidR="00CB46DF" w:rsidRPr="004C7C17">
        <w:rPr>
          <w:rFonts w:ascii="StobiSerif Regular" w:hAnsi="StobiSerif Regular"/>
          <w:color w:val="000000"/>
          <w:sz w:val="22"/>
        </w:rPr>
        <w:t>треба</w:t>
      </w:r>
      <w:r w:rsidRPr="004C7C17">
        <w:rPr>
          <w:rFonts w:ascii="StobiSerif Regular" w:hAnsi="StobiSerif Regular"/>
          <w:color w:val="000000"/>
          <w:sz w:val="22"/>
        </w:rPr>
        <w:t xml:space="preserve"> да бидат вклучени во Реформската агенда, а ова требало да се пријави во фазата на изготвување и процена.</w:t>
      </w:r>
    </w:p>
    <w:p w14:paraId="2CCC57BF" w14:textId="77777777" w:rsidR="00AB15B4" w:rsidRPr="004C7C17" w:rsidRDefault="00AB15B4" w:rsidP="00AB15B4">
      <w:pPr>
        <w:numPr>
          <w:ilvl w:val="0"/>
          <w:numId w:val="2"/>
        </w:numPr>
        <w:shd w:val="clear" w:color="auto" w:fill="FFFFFF"/>
        <w:spacing w:before="120" w:after="120"/>
        <w:ind w:left="709" w:hanging="709"/>
        <w:jc w:val="both"/>
        <w:rPr>
          <w:rFonts w:ascii="StobiSerif Regular" w:hAnsi="StobiSerif Regular"/>
          <w:color w:val="000000"/>
          <w:sz w:val="22"/>
          <w:szCs w:val="22"/>
        </w:rPr>
      </w:pPr>
      <w:r w:rsidRPr="004C7C17">
        <w:rPr>
          <w:rFonts w:ascii="StobiSerif Regular" w:hAnsi="StobiSerif Regular"/>
          <w:color w:val="000000"/>
          <w:sz w:val="22"/>
        </w:rPr>
        <w:t xml:space="preserve">Кога двојното финансирање е резултат на договор за грант склучен во рамките на друга програма на Унијата </w:t>
      </w:r>
      <w:r w:rsidRPr="004C7C17">
        <w:rPr>
          <w:rFonts w:ascii="StobiSerif Regular" w:hAnsi="StobiSerif Regular"/>
          <w:b/>
          <w:bCs/>
          <w:color w:val="000000"/>
          <w:sz w:val="22"/>
        </w:rPr>
        <w:t>по</w:t>
      </w:r>
      <w:r w:rsidRPr="004C7C17">
        <w:rPr>
          <w:rFonts w:ascii="StobiSerif Regular" w:hAnsi="StobiSerif Regular"/>
          <w:color w:val="000000"/>
          <w:sz w:val="22"/>
        </w:rPr>
        <w:t xml:space="preserve"> донесувањето на ОСК за ИРР, тогаш </w:t>
      </w:r>
      <w:r w:rsidRPr="004C7C17">
        <w:rPr>
          <w:rFonts w:ascii="StobiSerif Regular" w:hAnsi="StobiSerif Regular"/>
          <w:b/>
          <w:bCs/>
          <w:color w:val="000000"/>
          <w:sz w:val="22"/>
        </w:rPr>
        <w:t>средствата исплатени преку другата програма на ЕУ треба да</w:t>
      </w:r>
      <w:r w:rsidRPr="004C7C17">
        <w:rPr>
          <w:rFonts w:ascii="StobiSerif Regular" w:hAnsi="StobiSerif Regular"/>
          <w:color w:val="000000"/>
          <w:sz w:val="22"/>
        </w:rPr>
        <w:t xml:space="preserve"> </w:t>
      </w:r>
      <w:r w:rsidRPr="004C7C17">
        <w:rPr>
          <w:rFonts w:ascii="StobiSerif Regular" w:hAnsi="StobiSerif Regular"/>
          <w:b/>
          <w:bCs/>
          <w:color w:val="000000"/>
          <w:sz w:val="22"/>
        </w:rPr>
        <w:t>ги врати</w:t>
      </w:r>
      <w:r w:rsidRPr="004C7C17">
        <w:rPr>
          <w:rFonts w:ascii="StobiSerif Regular" w:hAnsi="StobiSerif Regular"/>
          <w:color w:val="000000"/>
          <w:sz w:val="22"/>
        </w:rPr>
        <w:t xml:space="preserve"> надлежното тело на ЕУ.</w:t>
      </w:r>
    </w:p>
    <w:p w14:paraId="364EF462"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u w:val="single"/>
        </w:rPr>
      </w:pPr>
      <w:r w:rsidRPr="004C7C17">
        <w:rPr>
          <w:rFonts w:ascii="StobiSerif Regular" w:hAnsi="StobiSerif Regular"/>
          <w:b/>
          <w:color w:val="000000"/>
          <w:sz w:val="22"/>
          <w:u w:val="single"/>
        </w:rPr>
        <w:t>Анекс I – Фиктивни студии на случај за двојно финансирање</w:t>
      </w:r>
    </w:p>
    <w:p w14:paraId="0E021DB6"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b/>
          <w:i/>
          <w:color w:val="000000"/>
          <w:sz w:val="22"/>
        </w:rPr>
        <w:t>Двојно финансирање на ниво на краен примател</w:t>
      </w:r>
    </w:p>
    <w:p w14:paraId="023A74E3"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b/>
          <w:color w:val="000000"/>
          <w:sz w:val="22"/>
          <w:u w:val="single"/>
        </w:rPr>
        <w:t>Случај 1</w:t>
      </w:r>
      <w:r w:rsidRPr="004C7C17">
        <w:rPr>
          <w:rFonts w:ascii="StobiSerif Regular" w:hAnsi="StobiSerif Regular"/>
          <w:b/>
          <w:color w:val="000000"/>
          <w:sz w:val="22"/>
        </w:rPr>
        <w:t xml:space="preserve">: </w:t>
      </w:r>
      <w:r w:rsidRPr="004C7C17">
        <w:rPr>
          <w:rFonts w:ascii="StobiSerif Regular" w:hAnsi="StobiSerif Regular"/>
          <w:i/>
          <w:color w:val="000000"/>
          <w:sz w:val="22"/>
        </w:rPr>
        <w:t xml:space="preserve">Еден од крајните приматели (на пр. јавна школа, мало или средно претпријатие, поединец) кој добива средства во рамките на одреден чекор од РА истовремено добива финансиска поддршка и од друга програма на ЕУ или од друг донатор [тоа значи дека крајниот примател за истата </w:t>
      </w:r>
      <w:r w:rsidR="002B74CD" w:rsidRPr="004C7C17">
        <w:rPr>
          <w:rFonts w:ascii="StobiSerif Regular" w:hAnsi="StobiSerif Regular"/>
          <w:i/>
          <w:color w:val="000000"/>
          <w:sz w:val="22"/>
        </w:rPr>
        <w:t>акција добива две субвенции кои</w:t>
      </w:r>
      <w:r w:rsidRPr="004C7C17">
        <w:rPr>
          <w:rFonts w:ascii="StobiSerif Regular" w:hAnsi="StobiSerif Regular"/>
          <w:i/>
          <w:color w:val="000000"/>
          <w:sz w:val="22"/>
        </w:rPr>
        <w:t>што се преклопуваат].</w:t>
      </w:r>
    </w:p>
    <w:p w14:paraId="17A2CA8F" w14:textId="77777777" w:rsidR="00AB15B4" w:rsidRPr="004C7C17" w:rsidRDefault="002B74CD" w:rsidP="00AB15B4">
      <w:pPr>
        <w:numPr>
          <w:ilvl w:val="0"/>
          <w:numId w:val="3"/>
        </w:numPr>
        <w:shd w:val="clear" w:color="auto" w:fill="FFFFFF"/>
        <w:spacing w:before="120" w:after="120"/>
        <w:ind w:left="426"/>
        <w:jc w:val="both"/>
        <w:rPr>
          <w:rFonts w:ascii="StobiSerif Regular" w:hAnsi="StobiSerif Regular"/>
          <w:color w:val="000000"/>
          <w:sz w:val="22"/>
          <w:szCs w:val="22"/>
        </w:rPr>
      </w:pPr>
      <w:r w:rsidRPr="004C7C17">
        <w:rPr>
          <w:rFonts w:ascii="StobiSerif Regular" w:hAnsi="StobiSerif Regular"/>
          <w:color w:val="000000"/>
          <w:sz w:val="22"/>
        </w:rPr>
        <w:t>Корисникот е тој што е одговорен</w:t>
      </w:r>
      <w:r w:rsidR="00AB15B4" w:rsidRPr="004C7C17">
        <w:rPr>
          <w:rFonts w:ascii="StobiSerif Regular" w:hAnsi="StobiSerif Regular"/>
          <w:color w:val="000000"/>
          <w:sz w:val="22"/>
        </w:rPr>
        <w:t xml:space="preserve"> </w:t>
      </w:r>
      <w:r w:rsidRPr="004C7C17">
        <w:rPr>
          <w:rFonts w:ascii="StobiSerif Regular" w:hAnsi="StobiSerif Regular"/>
          <w:color w:val="000000"/>
          <w:sz w:val="22"/>
        </w:rPr>
        <w:t>за откривање, корекција или поврат на</w:t>
      </w:r>
      <w:r w:rsidR="00AB15B4" w:rsidRPr="004C7C17">
        <w:rPr>
          <w:rFonts w:ascii="StobiSerif Regular" w:hAnsi="StobiSerif Regular"/>
          <w:color w:val="000000"/>
          <w:sz w:val="22"/>
        </w:rPr>
        <w:t xml:space="preserve"> средства</w:t>
      </w:r>
      <w:r w:rsidRPr="004C7C17">
        <w:rPr>
          <w:rFonts w:ascii="StobiSerif Regular" w:hAnsi="StobiSerif Regular"/>
          <w:color w:val="000000"/>
          <w:sz w:val="22"/>
        </w:rPr>
        <w:t>та</w:t>
      </w:r>
      <w:r w:rsidR="00AB15B4" w:rsidRPr="004C7C17">
        <w:rPr>
          <w:rFonts w:ascii="StobiSerif Regular" w:hAnsi="StobiSerif Regular"/>
          <w:color w:val="000000"/>
          <w:sz w:val="22"/>
        </w:rPr>
        <w:t xml:space="preserve"> од крајните корисници со цел да се усогласи со Регулативата за ИРР.</w:t>
      </w:r>
    </w:p>
    <w:p w14:paraId="5B419C3A" w14:textId="4F2156DE" w:rsidR="00AB15B4" w:rsidRPr="004C7C17" w:rsidRDefault="00AB15B4" w:rsidP="00AB15B4">
      <w:pPr>
        <w:numPr>
          <w:ilvl w:val="0"/>
          <w:numId w:val="3"/>
        </w:numPr>
        <w:shd w:val="clear" w:color="auto" w:fill="FFFFFF"/>
        <w:spacing w:before="120" w:after="120"/>
        <w:ind w:left="426"/>
        <w:jc w:val="both"/>
        <w:rPr>
          <w:rFonts w:ascii="StobiSerif Regular" w:hAnsi="StobiSerif Regular"/>
          <w:color w:val="000000"/>
          <w:sz w:val="22"/>
          <w:szCs w:val="22"/>
        </w:rPr>
      </w:pPr>
      <w:r w:rsidRPr="004C7C17">
        <w:rPr>
          <w:rFonts w:ascii="StobiSerif Regular" w:hAnsi="StobiSerif Regular"/>
          <w:color w:val="000000"/>
          <w:sz w:val="22"/>
        </w:rPr>
        <w:t xml:space="preserve">За Комисијата, </w:t>
      </w:r>
      <w:r w:rsidR="0083164D" w:rsidRPr="004C7C17">
        <w:rPr>
          <w:rFonts w:ascii="StobiSerif Regular" w:hAnsi="StobiSerif Regular"/>
          <w:color w:val="000000"/>
          <w:sz w:val="22"/>
        </w:rPr>
        <w:t>самиот</w:t>
      </w:r>
      <w:r w:rsidRPr="004C7C17">
        <w:rPr>
          <w:rFonts w:ascii="StobiSerif Regular" w:hAnsi="StobiSerif Regular"/>
          <w:color w:val="000000"/>
          <w:sz w:val="22"/>
        </w:rPr>
        <w:t xml:space="preserve"> износ што би требало да се врати/пребие</w:t>
      </w:r>
      <w:r w:rsidR="002B74CD" w:rsidRPr="004C7C17">
        <w:rPr>
          <w:rFonts w:ascii="StobiSerif Regular" w:hAnsi="StobiSerif Regular"/>
          <w:color w:val="000000"/>
          <w:sz w:val="22"/>
        </w:rPr>
        <w:t>,</w:t>
      </w:r>
      <w:r w:rsidRPr="004C7C17">
        <w:rPr>
          <w:rFonts w:ascii="StobiSerif Regular" w:hAnsi="StobiSerif Regular"/>
          <w:color w:val="000000"/>
          <w:sz w:val="22"/>
        </w:rPr>
        <w:t xml:space="preserve"> нема да биде поврзан со трошоците. При утврдувањето на износот што треба да се врати, Комисијата ќе го прегледа степенот на исполнување на конкретниот чекор и ќе го намали од вкупниот резултат кој што е пријавен за постигнат оној дел што бил двојно финансиран со средства од ЕУ. Ќе се применуваат одредбите за делумно плаќање како што е дефинирано во Договорот за Инструментот.</w:t>
      </w:r>
    </w:p>
    <w:p w14:paraId="7F134A76" w14:textId="77777777"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b/>
          <w:i/>
          <w:color w:val="000000"/>
          <w:sz w:val="22"/>
        </w:rPr>
        <w:lastRenderedPageBreak/>
        <w:t>Двојно финансирање на ниво на Корисник</w:t>
      </w:r>
    </w:p>
    <w:p w14:paraId="221C9891" w14:textId="3150B7DC" w:rsidR="00AB15B4" w:rsidRPr="004C7C17" w:rsidRDefault="00AB15B4" w:rsidP="00AB15B4">
      <w:pPr>
        <w:shd w:val="clear" w:color="auto" w:fill="FFFFFF"/>
        <w:spacing w:before="120" w:after="120"/>
        <w:jc w:val="both"/>
        <w:rPr>
          <w:rFonts w:ascii="StobiSerif Regular" w:hAnsi="StobiSerif Regular"/>
          <w:color w:val="000000"/>
          <w:sz w:val="22"/>
          <w:szCs w:val="22"/>
        </w:rPr>
      </w:pPr>
      <w:r w:rsidRPr="004C7C17">
        <w:rPr>
          <w:rFonts w:ascii="StobiSerif Regular" w:hAnsi="StobiSerif Regular"/>
          <w:b/>
          <w:color w:val="000000"/>
          <w:sz w:val="22"/>
          <w:u w:val="single"/>
        </w:rPr>
        <w:t>Случај 2:</w:t>
      </w:r>
      <w:r w:rsidRPr="004C7C17">
        <w:rPr>
          <w:rFonts w:ascii="StobiSerif Regular" w:hAnsi="StobiSerif Regular"/>
          <w:b/>
          <w:color w:val="000000"/>
          <w:sz w:val="22"/>
        </w:rPr>
        <w:t xml:space="preserve"> </w:t>
      </w:r>
      <w:r w:rsidRPr="004C7C17">
        <w:rPr>
          <w:rFonts w:ascii="StobiSerif Regular" w:hAnsi="StobiSerif Regular"/>
          <w:i/>
          <w:color w:val="000000"/>
          <w:sz w:val="22"/>
        </w:rPr>
        <w:t xml:space="preserve">РА предвидува </w:t>
      </w:r>
      <w:r w:rsidR="00D30831" w:rsidRPr="004C7C17">
        <w:rPr>
          <w:rFonts w:ascii="StobiSerif Regular" w:hAnsi="StobiSerif Regular"/>
          <w:i/>
          <w:color w:val="000000"/>
          <w:sz w:val="22"/>
        </w:rPr>
        <w:t xml:space="preserve">формирање </w:t>
      </w:r>
      <w:r w:rsidRPr="004C7C17">
        <w:rPr>
          <w:rFonts w:ascii="StobiSerif Regular" w:hAnsi="StobiSerif Regular"/>
          <w:i/>
          <w:color w:val="000000"/>
          <w:sz w:val="22"/>
        </w:rPr>
        <w:t xml:space="preserve">(или </w:t>
      </w:r>
      <w:r w:rsidR="00612D18" w:rsidRPr="004C7C17">
        <w:rPr>
          <w:rFonts w:ascii="StobiSerif Regular" w:hAnsi="StobiSerif Regular"/>
          <w:i/>
          <w:color w:val="000000"/>
          <w:sz w:val="22"/>
        </w:rPr>
        <w:t>ставање во употреба</w:t>
      </w:r>
      <w:r w:rsidRPr="004C7C17">
        <w:rPr>
          <w:rFonts w:ascii="StobiSerif Regular" w:hAnsi="StobiSerif Regular"/>
          <w:i/>
          <w:color w:val="000000"/>
          <w:sz w:val="22"/>
        </w:rPr>
        <w:t>)</w:t>
      </w:r>
      <w:r w:rsidRPr="004C7C17">
        <w:rPr>
          <w:rStyle w:val="FootnoteReference"/>
          <w:rFonts w:ascii="StobiSerif Regular" w:hAnsi="StobiSerif Regular"/>
          <w:i/>
          <w:iCs/>
          <w:color w:val="000000"/>
          <w:sz w:val="22"/>
          <w:szCs w:val="22"/>
        </w:rPr>
        <w:footnoteReference w:id="4"/>
      </w:r>
      <w:r w:rsidRPr="004C7C17">
        <w:rPr>
          <w:rFonts w:ascii="StobiSerif Regular" w:hAnsi="StobiSerif Regular"/>
          <w:i/>
          <w:color w:val="000000"/>
          <w:sz w:val="22"/>
        </w:rPr>
        <w:t xml:space="preserve"> на ЦСОО (Канцеларија за </w:t>
      </w:r>
      <w:r w:rsidRPr="004C7C17">
        <w:rPr>
          <w:rFonts w:ascii="StobiSerif Regular" w:hAnsi="StobiSerif Regular"/>
          <w:i/>
          <w:sz w:val="22"/>
        </w:rPr>
        <w:t>поврат</w:t>
      </w:r>
      <w:r w:rsidRPr="004C7C17">
        <w:rPr>
          <w:rFonts w:ascii="StobiSerif Regular" w:hAnsi="StobiSerif Regular"/>
          <w:i/>
          <w:color w:val="000000"/>
          <w:sz w:val="22"/>
        </w:rPr>
        <w:t>, итн</w:t>
      </w:r>
      <w:r w:rsidR="00B71F17" w:rsidRPr="004C7C17">
        <w:rPr>
          <w:rFonts w:ascii="StobiSerif Regular" w:hAnsi="StobiSerif Regular"/>
          <w:i/>
          <w:color w:val="000000"/>
          <w:sz w:val="22"/>
          <w:lang w:val="en-US"/>
        </w:rPr>
        <w:t>.</w:t>
      </w:r>
      <w:r w:rsidRPr="004C7C17">
        <w:rPr>
          <w:rFonts w:ascii="StobiSerif Regular" w:hAnsi="StobiSerif Regular"/>
          <w:i/>
          <w:color w:val="000000"/>
          <w:sz w:val="22"/>
        </w:rPr>
        <w:t xml:space="preserve">). Центарот е </w:t>
      </w:r>
      <w:r w:rsidR="00D30831" w:rsidRPr="004C7C17">
        <w:rPr>
          <w:rFonts w:ascii="StobiSerif Regular" w:hAnsi="StobiSerif Regular"/>
          <w:i/>
          <w:color w:val="000000"/>
          <w:sz w:val="22"/>
        </w:rPr>
        <w:t xml:space="preserve">формиран </w:t>
      </w:r>
      <w:r w:rsidRPr="004C7C17">
        <w:rPr>
          <w:rFonts w:ascii="StobiSerif Regular" w:hAnsi="StobiSerif Regular"/>
          <w:i/>
          <w:color w:val="000000"/>
          <w:sz w:val="22"/>
        </w:rPr>
        <w:t>(</w:t>
      </w:r>
      <w:r w:rsidR="00FA1C83" w:rsidRPr="004C7C17">
        <w:rPr>
          <w:rFonts w:ascii="StobiSerif Regular" w:hAnsi="StobiSerif Regular"/>
          <w:i/>
          <w:color w:val="000000"/>
          <w:sz w:val="22"/>
        </w:rPr>
        <w:t xml:space="preserve">е </w:t>
      </w:r>
      <w:r w:rsidRPr="004C7C17">
        <w:rPr>
          <w:rFonts w:ascii="StobiSerif Regular" w:hAnsi="StobiSerif Regular"/>
          <w:i/>
          <w:color w:val="000000"/>
          <w:sz w:val="22"/>
        </w:rPr>
        <w:t>оперативен), но администрацијата на Корисникот истовремено добила и други средства од ЕУ [или од други донатори] за покривање на дел од трошоците за изградба</w:t>
      </w:r>
      <w:r w:rsidR="00D30831" w:rsidRPr="004C7C17">
        <w:rPr>
          <w:rFonts w:ascii="StobiSerif Regular" w:hAnsi="StobiSerif Regular"/>
          <w:i/>
          <w:color w:val="000000"/>
          <w:sz w:val="22"/>
        </w:rPr>
        <w:t xml:space="preserve"> на тој центар</w:t>
      </w:r>
      <w:r w:rsidRPr="004C7C17">
        <w:rPr>
          <w:rFonts w:ascii="StobiSerif Regular" w:hAnsi="StobiSerif Regular"/>
          <w:i/>
          <w:color w:val="000000"/>
          <w:sz w:val="22"/>
        </w:rPr>
        <w:t>.</w:t>
      </w:r>
    </w:p>
    <w:p w14:paraId="3E15A45B" w14:textId="77777777" w:rsidR="00C71B06" w:rsidRPr="004C7C17" w:rsidRDefault="00AB15B4" w:rsidP="00AB15B4">
      <w:pPr>
        <w:shd w:val="clear" w:color="auto" w:fill="FFFFFF"/>
        <w:spacing w:before="120" w:after="120"/>
        <w:ind w:left="426"/>
        <w:jc w:val="both"/>
        <w:rPr>
          <w:rFonts w:ascii="StobiSerif Regular" w:hAnsi="StobiSerif Regular"/>
          <w:color w:val="000000"/>
          <w:sz w:val="22"/>
          <w:szCs w:val="22"/>
        </w:rPr>
      </w:pPr>
      <w:r w:rsidRPr="004C7C17">
        <w:rPr>
          <w:rFonts w:ascii="StobiSerif Regular" w:hAnsi="StobiSerif Regular"/>
          <w:color w:val="000000"/>
          <w:sz w:val="22"/>
        </w:rPr>
        <w:t>•</w:t>
      </w:r>
      <w:r w:rsidRPr="004C7C17">
        <w:rPr>
          <w:rFonts w:ascii="StobiSerif Regular" w:hAnsi="StobiSerif Regular"/>
          <w:color w:val="000000"/>
          <w:sz w:val="22"/>
        </w:rPr>
        <w:tab/>
        <w:t>Комбинацијата на финансирањето треба прецизно да се наведе во описот на спроведувањето на чекорот за да се проценат улогата и потенцијалното преклопување на различните придонеси (на пр., инфраструктура (финансирана од ИРР) наспроти опрема (финансирана од Светска банка) за болница.</w:t>
      </w:r>
    </w:p>
    <w:p w14:paraId="5F4EFAF1" w14:textId="19097DD3" w:rsidR="00C71B06" w:rsidRPr="004C7C17" w:rsidRDefault="00AB15B4" w:rsidP="00AB15B4">
      <w:pPr>
        <w:shd w:val="clear" w:color="auto" w:fill="FFFFFF"/>
        <w:spacing w:before="120" w:after="120"/>
        <w:ind w:left="426"/>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Како инструмент заснован на перформанси, износот што треба да се ослободи е</w:t>
      </w:r>
      <w:r w:rsidRPr="004C7C17">
        <w:rPr>
          <w:rFonts w:ascii="StobiSerif Regular" w:hAnsi="StobiSerif Regular"/>
          <w:color w:val="000000"/>
          <w:sz w:val="22"/>
          <w:u w:val="single"/>
        </w:rPr>
        <w:t xml:space="preserve"> </w:t>
      </w:r>
      <w:r w:rsidRPr="004C7C17">
        <w:rPr>
          <w:rFonts w:ascii="StobiSerif Regular" w:hAnsi="StobiSerif Regular"/>
          <w:color w:val="000000"/>
          <w:sz w:val="22"/>
        </w:rPr>
        <w:t>у</w:t>
      </w:r>
      <w:r w:rsidR="00026DE1" w:rsidRPr="004C7C17">
        <w:rPr>
          <w:rFonts w:ascii="StobiSerif Regular" w:hAnsi="StobiSerif Regular"/>
          <w:color w:val="000000"/>
          <w:sz w:val="22"/>
        </w:rPr>
        <w:t xml:space="preserve">тврден во Анекс I кон РА и не зависи </w:t>
      </w:r>
      <w:r w:rsidRPr="004C7C17">
        <w:rPr>
          <w:rFonts w:ascii="StobiSerif Regular" w:hAnsi="StobiSerif Regular"/>
          <w:color w:val="000000"/>
          <w:sz w:val="22"/>
        </w:rPr>
        <w:t xml:space="preserve">од реалните трошоци </w:t>
      </w:r>
      <w:r w:rsidR="00E902DD" w:rsidRPr="004C7C17">
        <w:rPr>
          <w:rFonts w:ascii="StobiSerif Regular" w:hAnsi="StobiSerif Regular"/>
          <w:color w:val="000000"/>
          <w:sz w:val="22"/>
        </w:rPr>
        <w:t>з</w:t>
      </w:r>
      <w:r w:rsidRPr="004C7C17">
        <w:rPr>
          <w:rFonts w:ascii="StobiSerif Regular" w:hAnsi="StobiSerif Regular"/>
          <w:color w:val="000000"/>
          <w:sz w:val="22"/>
        </w:rPr>
        <w:t xml:space="preserve">а инвестициите. Меѓутоа, прегледот на Корисникот и на ЕУ во однос на спроведувањето на чекорот треба да потврди дека чекорот (во овој случај изградбата на ЦСОО) </w:t>
      </w:r>
      <w:r w:rsidR="00A16DEE" w:rsidRPr="004C7C17">
        <w:rPr>
          <w:rFonts w:ascii="StobiSerif Regular" w:hAnsi="StobiSerif Regular"/>
          <w:color w:val="000000"/>
          <w:sz w:val="22"/>
        </w:rPr>
        <w:t xml:space="preserve">не </w:t>
      </w:r>
      <w:r w:rsidR="00E902DD" w:rsidRPr="004C7C17">
        <w:rPr>
          <w:rFonts w:ascii="StobiSerif Regular" w:hAnsi="StobiSerif Regular"/>
          <w:color w:val="000000"/>
          <w:sz w:val="22"/>
        </w:rPr>
        <w:t xml:space="preserve">му се </w:t>
      </w:r>
      <w:r w:rsidR="00E902DD" w:rsidRPr="004C7C17">
        <w:rPr>
          <w:rFonts w:ascii="StobiSerif Regular" w:hAnsi="StobiSerif Regular"/>
          <w:color w:val="000000"/>
          <w:sz w:val="22"/>
          <w:u w:val="single"/>
        </w:rPr>
        <w:t xml:space="preserve">припишува во </w:t>
      </w:r>
      <w:r w:rsidR="00BE2C2A" w:rsidRPr="004C7C17">
        <w:rPr>
          <w:rFonts w:ascii="StobiSerif Regular" w:hAnsi="StobiSerif Regular"/>
          <w:color w:val="000000"/>
          <w:sz w:val="22"/>
          <w:u w:val="single"/>
        </w:rPr>
        <w:t>нај</w:t>
      </w:r>
      <w:r w:rsidR="00E902DD" w:rsidRPr="004C7C17">
        <w:rPr>
          <w:rFonts w:ascii="StobiSerif Regular" w:hAnsi="StobiSerif Regular"/>
          <w:color w:val="000000"/>
          <w:sz w:val="22"/>
          <w:u w:val="single"/>
        </w:rPr>
        <w:t>голема мера</w:t>
      </w:r>
      <w:r w:rsidR="00E902DD" w:rsidRPr="004C7C17">
        <w:rPr>
          <w:rFonts w:ascii="StobiSerif Regular" w:hAnsi="StobiSerif Regular"/>
          <w:color w:val="000000"/>
          <w:sz w:val="22"/>
        </w:rPr>
        <w:t xml:space="preserve"> </w:t>
      </w:r>
      <w:r w:rsidR="00A16DEE" w:rsidRPr="004C7C17">
        <w:rPr>
          <w:rFonts w:ascii="StobiSerif Regular" w:hAnsi="StobiSerif Regular"/>
          <w:color w:val="000000"/>
          <w:sz w:val="22"/>
        </w:rPr>
        <w:t xml:space="preserve">на надворешен </w:t>
      </w:r>
      <w:r w:rsidR="00026DE1" w:rsidRPr="004C7C17">
        <w:rPr>
          <w:rFonts w:ascii="StobiSerif Regular" w:hAnsi="StobiSerif Regular"/>
          <w:color w:val="000000"/>
          <w:sz w:val="22"/>
        </w:rPr>
        <w:t>обезбедувач на помош</w:t>
      </w:r>
      <w:r w:rsidRPr="004C7C17">
        <w:rPr>
          <w:rFonts w:ascii="StobiSerif Regular" w:hAnsi="StobiSerif Regular"/>
          <w:color w:val="000000"/>
          <w:sz w:val="22"/>
        </w:rPr>
        <w:t>, без разлика дали станува збор за ЕУ или за други донатори</w:t>
      </w:r>
      <w:r w:rsidR="00847C44" w:rsidRPr="004C7C17">
        <w:rPr>
          <w:rStyle w:val="FootnoteReference"/>
          <w:rFonts w:ascii="StobiSerif Regular" w:hAnsi="StobiSerif Regular"/>
          <w:color w:val="000000"/>
          <w:sz w:val="22"/>
        </w:rPr>
        <w:footnoteReference w:id="5"/>
      </w:r>
      <w:r w:rsidRPr="004C7C17">
        <w:rPr>
          <w:rFonts w:ascii="StobiSerif Regular" w:hAnsi="StobiSerif Regular"/>
          <w:color w:val="000000"/>
          <w:sz w:val="22"/>
        </w:rPr>
        <w:t xml:space="preserve">. </w:t>
      </w:r>
      <w:r w:rsidR="002A50DA" w:rsidRPr="004C7C17">
        <w:rPr>
          <w:rFonts w:ascii="StobiSerif Regular" w:hAnsi="StobiSerif Regular"/>
          <w:color w:val="000000"/>
          <w:sz w:val="22"/>
        </w:rPr>
        <w:t xml:space="preserve">Ова </w:t>
      </w:r>
      <w:r w:rsidR="00E902DD" w:rsidRPr="004C7C17">
        <w:rPr>
          <w:rFonts w:ascii="StobiSerif Regular" w:hAnsi="StobiSerif Regular"/>
          <w:color w:val="000000"/>
          <w:sz w:val="22"/>
        </w:rPr>
        <w:t>припишување</w:t>
      </w:r>
      <w:r w:rsidR="002A50DA" w:rsidRPr="004C7C17">
        <w:rPr>
          <w:rFonts w:ascii="StobiSerif Regular" w:hAnsi="StobiSerif Regular"/>
          <w:color w:val="000000"/>
          <w:sz w:val="22"/>
        </w:rPr>
        <w:t xml:space="preserve"> не се заснова </w:t>
      </w:r>
      <w:r w:rsidR="007F024E" w:rsidRPr="004C7C17">
        <w:rPr>
          <w:rFonts w:ascii="StobiSerif Regular" w:hAnsi="StobiSerif Regular"/>
          <w:color w:val="000000"/>
          <w:sz w:val="22"/>
        </w:rPr>
        <w:t>исклучиво</w:t>
      </w:r>
      <w:r w:rsidR="00352040" w:rsidRPr="004C7C17">
        <w:rPr>
          <w:rFonts w:ascii="StobiSerif Regular" w:hAnsi="StobiSerif Regular"/>
          <w:color w:val="000000"/>
          <w:sz w:val="22"/>
        </w:rPr>
        <w:t xml:space="preserve"> на трошоци</w:t>
      </w:r>
      <w:r w:rsidR="007F024E" w:rsidRPr="004C7C17">
        <w:rPr>
          <w:rFonts w:ascii="StobiSerif Regular" w:hAnsi="StobiSerif Regular"/>
          <w:color w:val="000000"/>
          <w:sz w:val="22"/>
        </w:rPr>
        <w:t>те</w:t>
      </w:r>
      <w:r w:rsidR="00E902DD" w:rsidRPr="004C7C17">
        <w:rPr>
          <w:rFonts w:ascii="StobiSerif Regular" w:hAnsi="StobiSerif Regular"/>
          <w:color w:val="000000"/>
          <w:sz w:val="22"/>
        </w:rPr>
        <w:t>.</w:t>
      </w:r>
    </w:p>
    <w:p w14:paraId="73FDDF1E" w14:textId="25A07DDE"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u w:val="single"/>
        </w:rPr>
        <w:t>Случај 3:</w:t>
      </w:r>
      <w:r w:rsidRPr="004C7C17">
        <w:rPr>
          <w:rFonts w:ascii="StobiSerif Regular" w:hAnsi="StobiSerif Regular"/>
          <w:b/>
          <w:color w:val="000000"/>
          <w:sz w:val="22"/>
        </w:rPr>
        <w:t xml:space="preserve"> </w:t>
      </w:r>
      <w:r w:rsidRPr="004C7C17">
        <w:rPr>
          <w:rFonts w:ascii="StobiSerif Regular" w:hAnsi="StobiSerif Regular"/>
          <w:i/>
          <w:color w:val="000000"/>
          <w:sz w:val="22"/>
        </w:rPr>
        <w:t xml:space="preserve">РА предвидува чекор за надградба на дигиталната поврзаност во училиштата, </w:t>
      </w:r>
      <w:r w:rsidR="007F024E" w:rsidRPr="004C7C17">
        <w:rPr>
          <w:rFonts w:ascii="StobiSerif Regular" w:hAnsi="StobiSerif Regular"/>
          <w:i/>
          <w:color w:val="000000"/>
          <w:sz w:val="22"/>
        </w:rPr>
        <w:t>поточно</w:t>
      </w:r>
      <w:r w:rsidRPr="004C7C17">
        <w:rPr>
          <w:rFonts w:ascii="StobiSerif Regular" w:hAnsi="StobiSerif Regular"/>
          <w:i/>
          <w:color w:val="000000"/>
          <w:sz w:val="22"/>
        </w:rPr>
        <w:t xml:space="preserve"> набавка на 1 000 000 компјутери во училиштата. </w:t>
      </w:r>
      <w:r w:rsidR="00BE2C2A" w:rsidRPr="004C7C17">
        <w:rPr>
          <w:rFonts w:ascii="StobiSerif Regular" w:hAnsi="StobiSerif Regular"/>
          <w:i/>
          <w:color w:val="000000"/>
          <w:sz w:val="22"/>
        </w:rPr>
        <w:t>Д</w:t>
      </w:r>
      <w:r w:rsidRPr="004C7C17">
        <w:rPr>
          <w:rFonts w:ascii="StobiSerif Regular" w:hAnsi="StobiSerif Regular"/>
          <w:i/>
          <w:color w:val="000000"/>
          <w:sz w:val="22"/>
        </w:rPr>
        <w:t>руга програма на ЕУ [други донатори] финанс</w:t>
      </w:r>
      <w:r w:rsidR="00BE2C2A" w:rsidRPr="004C7C17">
        <w:rPr>
          <w:rFonts w:ascii="StobiSerif Regular" w:hAnsi="StobiSerif Regular"/>
          <w:i/>
          <w:color w:val="000000"/>
          <w:sz w:val="22"/>
        </w:rPr>
        <w:t xml:space="preserve">иски покрила </w:t>
      </w:r>
      <w:r w:rsidRPr="004C7C17">
        <w:rPr>
          <w:rFonts w:ascii="StobiSerif Regular" w:hAnsi="StobiSerif Regular"/>
          <w:i/>
          <w:color w:val="000000"/>
          <w:sz w:val="22"/>
        </w:rPr>
        <w:t xml:space="preserve">[или </w:t>
      </w:r>
      <w:r w:rsidR="00BE2C2A" w:rsidRPr="004C7C17">
        <w:rPr>
          <w:rFonts w:ascii="StobiSerif Regular" w:hAnsi="StobiSerif Regular"/>
          <w:i/>
          <w:color w:val="000000"/>
          <w:sz w:val="22"/>
        </w:rPr>
        <w:t>донирала</w:t>
      </w:r>
      <w:r w:rsidRPr="004C7C17">
        <w:rPr>
          <w:rFonts w:ascii="StobiSerif Regular" w:hAnsi="StobiSerif Regular"/>
          <w:i/>
          <w:color w:val="000000"/>
          <w:sz w:val="22"/>
        </w:rPr>
        <w:t>] 500 000 компјутери.</w:t>
      </w:r>
    </w:p>
    <w:p w14:paraId="6D656D7E" w14:textId="77777777" w:rsidR="00C71B06" w:rsidRPr="004C7C17" w:rsidRDefault="00C71B06" w:rsidP="0068048D">
      <w:pPr>
        <w:shd w:val="clear" w:color="auto" w:fill="FFFFFF"/>
        <w:tabs>
          <w:tab w:val="left" w:pos="426"/>
          <w:tab w:val="left" w:pos="709"/>
        </w:tabs>
        <w:spacing w:before="120" w:after="120"/>
        <w:ind w:left="426"/>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 xml:space="preserve">Комбинацијата на финансирање/извори треба </w:t>
      </w:r>
      <w:r w:rsidR="00405AA4" w:rsidRPr="004C7C17">
        <w:rPr>
          <w:rFonts w:ascii="StobiSerif Regular" w:hAnsi="StobiSerif Regular"/>
          <w:color w:val="000000"/>
          <w:sz w:val="22"/>
        </w:rPr>
        <w:t>јасно да се наведе</w:t>
      </w:r>
      <w:r w:rsidRPr="004C7C17">
        <w:rPr>
          <w:rFonts w:ascii="StobiSerif Regular" w:hAnsi="StobiSerif Regular"/>
          <w:color w:val="000000"/>
          <w:sz w:val="22"/>
        </w:rPr>
        <w:t xml:space="preserve"> во описот на спроведувањето на чекорот за да се разграничат различните придонеси.</w:t>
      </w:r>
    </w:p>
    <w:p w14:paraId="672674AE" w14:textId="00AA4EDD" w:rsidR="00C71B06" w:rsidRPr="004C7C17" w:rsidRDefault="00C71B06" w:rsidP="0068048D">
      <w:pPr>
        <w:shd w:val="clear" w:color="auto" w:fill="FFFFFF"/>
        <w:tabs>
          <w:tab w:val="left" w:pos="426"/>
        </w:tabs>
        <w:spacing w:before="120" w:after="120"/>
        <w:ind w:left="426"/>
        <w:jc w:val="both"/>
        <w:rPr>
          <w:rFonts w:ascii="StobiSerif Regular" w:hAnsi="StobiSerif Regular"/>
          <w:sz w:val="24"/>
          <w:szCs w:val="24"/>
        </w:rPr>
      </w:pPr>
      <w:r w:rsidRPr="004C7C17">
        <w:rPr>
          <w:rFonts w:ascii="StobiSerif Regular" w:hAnsi="StobiSerif Regular"/>
          <w:color w:val="000000"/>
          <w:sz w:val="22"/>
        </w:rPr>
        <w:t>•</w:t>
      </w:r>
      <w:r w:rsidRPr="004C7C17">
        <w:rPr>
          <w:rFonts w:ascii="StobiSerif Regular" w:hAnsi="StobiSerif Regular"/>
          <w:color w:val="000000"/>
          <w:sz w:val="22"/>
        </w:rPr>
        <w:tab/>
        <w:t xml:space="preserve">Во овој случај, можни се две сценарија: I) дали тие 500 000 компјутери се дополнителни на оние 1 000 000 компјутери предвидени во рамките на чекорот од РА? или II) дали тие 500 000 компјутери треба да се </w:t>
      </w:r>
      <w:r w:rsidR="00B71F17" w:rsidRPr="004C7C17">
        <w:rPr>
          <w:rFonts w:ascii="StobiSerif Regular" w:hAnsi="StobiSerif Regular"/>
          <w:color w:val="000000"/>
          <w:sz w:val="22"/>
        </w:rPr>
        <w:t>сметаат</w:t>
      </w:r>
      <w:r w:rsidRPr="004C7C17">
        <w:rPr>
          <w:rFonts w:ascii="StobiSerif Regular" w:hAnsi="StobiSerif Regular"/>
          <w:color w:val="000000"/>
          <w:sz w:val="22"/>
        </w:rPr>
        <w:t xml:space="preserve"> како дел од исполнувањето на чекорот од РА?</w:t>
      </w:r>
    </w:p>
    <w:p w14:paraId="4957256E" w14:textId="187E8EFC" w:rsidR="00C71B06" w:rsidRPr="004C7C17" w:rsidRDefault="00C71B06" w:rsidP="0068048D">
      <w:pPr>
        <w:shd w:val="clear" w:color="auto" w:fill="FFFFFF"/>
        <w:tabs>
          <w:tab w:val="left" w:pos="426"/>
        </w:tabs>
        <w:spacing w:before="120" w:after="120"/>
        <w:ind w:left="426"/>
        <w:jc w:val="both"/>
        <w:rPr>
          <w:rFonts w:ascii="StobiSerif Regular" w:hAnsi="StobiSerif Regular"/>
          <w:sz w:val="24"/>
          <w:szCs w:val="24"/>
          <w:lang w:val="en-US"/>
        </w:rPr>
      </w:pPr>
      <w:r w:rsidRPr="004C7C17">
        <w:rPr>
          <w:rFonts w:ascii="StobiSerif Regular" w:hAnsi="StobiSerif Regular"/>
          <w:color w:val="000000"/>
          <w:sz w:val="22"/>
        </w:rPr>
        <w:t>•</w:t>
      </w:r>
      <w:r w:rsidRPr="004C7C17">
        <w:rPr>
          <w:rFonts w:ascii="StobiSerif Regular" w:hAnsi="StobiSerif Regular"/>
          <w:color w:val="000000"/>
          <w:sz w:val="22"/>
        </w:rPr>
        <w:tab/>
        <w:t xml:space="preserve">Во случај I, ако Корисникот пријави конечен резултат од 1 500 000 компјутери (надминување на целта), тогаш Комисијата </w:t>
      </w:r>
      <w:r w:rsidR="007F024E" w:rsidRPr="004C7C17">
        <w:rPr>
          <w:rFonts w:ascii="StobiSerif Regular" w:hAnsi="StobiSerif Regular"/>
          <w:color w:val="000000"/>
          <w:sz w:val="22"/>
        </w:rPr>
        <w:t>ќе смета дека испораката на тие</w:t>
      </w:r>
      <w:r w:rsidRPr="004C7C17">
        <w:rPr>
          <w:rFonts w:ascii="StobiSerif Regular" w:hAnsi="StobiSerif Regular"/>
          <w:color w:val="000000"/>
          <w:sz w:val="22"/>
        </w:rPr>
        <w:t xml:space="preserve"> 1 000 000 компјутери од националната администрација </w:t>
      </w:r>
      <w:r w:rsidR="007F024E" w:rsidRPr="004C7C17">
        <w:rPr>
          <w:rFonts w:ascii="StobiSerif Regular" w:hAnsi="StobiSerif Regular"/>
          <w:color w:val="000000"/>
          <w:sz w:val="22"/>
        </w:rPr>
        <w:t>е релевантна</w:t>
      </w:r>
      <w:r w:rsidRPr="004C7C17">
        <w:rPr>
          <w:rFonts w:ascii="StobiSerif Regular" w:hAnsi="StobiSerif Regular"/>
          <w:color w:val="000000"/>
          <w:sz w:val="22"/>
        </w:rPr>
        <w:t xml:space="preserve"> за исполнување на чекорот и овој резултат ќе се смета за целосно исполнет.</w:t>
      </w:r>
    </w:p>
    <w:p w14:paraId="2F43CE38" w14:textId="20A022E5" w:rsidR="00C71B06" w:rsidRPr="004C7C17" w:rsidRDefault="00C71B06" w:rsidP="0068048D">
      <w:pPr>
        <w:shd w:val="clear" w:color="auto" w:fill="FFFFFF"/>
        <w:tabs>
          <w:tab w:val="left" w:pos="426"/>
        </w:tabs>
        <w:spacing w:before="120" w:after="120"/>
        <w:ind w:left="426"/>
        <w:jc w:val="both"/>
        <w:rPr>
          <w:rFonts w:ascii="StobiSerif Regular" w:hAnsi="StobiSerif Regular"/>
          <w:sz w:val="24"/>
          <w:szCs w:val="24"/>
        </w:rPr>
      </w:pPr>
      <w:r w:rsidRPr="004C7C17">
        <w:rPr>
          <w:rFonts w:ascii="StobiSerif Regular" w:hAnsi="StobiSerif Regular"/>
          <w:color w:val="000000"/>
          <w:sz w:val="22"/>
        </w:rPr>
        <w:t xml:space="preserve">Во случај II, Корисникот и ЕУ треба да го проценат степенот на поддршка од другиот </w:t>
      </w:r>
      <w:r w:rsidR="00A01EC4" w:rsidRPr="004C7C17">
        <w:rPr>
          <w:rFonts w:ascii="StobiSerif Regular" w:hAnsi="StobiSerif Regular"/>
          <w:color w:val="000000"/>
          <w:sz w:val="22"/>
        </w:rPr>
        <w:t>обезбедувач на помош</w:t>
      </w:r>
      <w:r w:rsidR="00FE5A41" w:rsidRPr="004C7C17">
        <w:rPr>
          <w:rFonts w:ascii="StobiSerif Regular" w:hAnsi="StobiSerif Regular"/>
          <w:color w:val="000000"/>
          <w:sz w:val="22"/>
          <w:lang w:val="en-US"/>
        </w:rPr>
        <w:t xml:space="preserve"> </w:t>
      </w:r>
      <w:r w:rsidRPr="004C7C17">
        <w:rPr>
          <w:rFonts w:ascii="StobiSerif Regular" w:hAnsi="StobiSerif Regular"/>
          <w:color w:val="000000"/>
          <w:sz w:val="22"/>
        </w:rPr>
        <w:t>/</w:t>
      </w:r>
      <w:r w:rsidR="00FE5A41" w:rsidRPr="004C7C17">
        <w:rPr>
          <w:rFonts w:ascii="StobiSerif Regular" w:hAnsi="StobiSerif Regular"/>
          <w:color w:val="000000"/>
          <w:sz w:val="22"/>
          <w:lang w:val="en-US"/>
        </w:rPr>
        <w:t xml:space="preserve"> </w:t>
      </w:r>
      <w:r w:rsidRPr="004C7C17">
        <w:rPr>
          <w:rFonts w:ascii="StobiSerif Regular" w:hAnsi="StobiSerif Regular"/>
          <w:color w:val="000000"/>
          <w:sz w:val="22"/>
        </w:rPr>
        <w:t xml:space="preserve">програма на ЕУ [или друг донатор] во постигнувањето на целта од 1 000 000 компјутери. Во овој случај, 50% од исполнувањето на чекорот му се припишува на донатор или на друга програма на ЕУ. </w:t>
      </w:r>
      <w:r w:rsidR="00E3608F" w:rsidRPr="004C7C17">
        <w:rPr>
          <w:rFonts w:ascii="StobiSerif Regular" w:hAnsi="StobiSerif Regular"/>
          <w:color w:val="000000"/>
          <w:sz w:val="22"/>
        </w:rPr>
        <w:t>Доколку</w:t>
      </w:r>
      <w:r w:rsidRPr="004C7C17">
        <w:rPr>
          <w:rFonts w:ascii="StobiSerif Regular" w:hAnsi="StobiSerif Regular"/>
          <w:color w:val="000000"/>
          <w:sz w:val="22"/>
        </w:rPr>
        <w:t xml:space="preserve"> оваа поддршка е обезбедена </w:t>
      </w:r>
      <w:r w:rsidR="00847C44" w:rsidRPr="004C7C17">
        <w:rPr>
          <w:rFonts w:ascii="StobiSerif Regular" w:hAnsi="StobiSerif Regular"/>
          <w:color w:val="000000"/>
          <w:sz w:val="22"/>
        </w:rPr>
        <w:t>во рамките на</w:t>
      </w:r>
      <w:r w:rsidRPr="004C7C17">
        <w:rPr>
          <w:rFonts w:ascii="StobiSerif Regular" w:hAnsi="StobiSerif Regular"/>
          <w:color w:val="000000"/>
          <w:sz w:val="22"/>
        </w:rPr>
        <w:t xml:space="preserve"> друга програма на </w:t>
      </w:r>
      <w:r w:rsidRPr="004C7C17">
        <w:rPr>
          <w:rFonts w:ascii="StobiSerif Regular" w:hAnsi="StobiSerif Regular"/>
          <w:color w:val="000000"/>
          <w:sz w:val="22"/>
        </w:rPr>
        <w:lastRenderedPageBreak/>
        <w:t xml:space="preserve">ЕУ, тогаш Комисијата </w:t>
      </w:r>
      <w:r w:rsidR="00A01EC4" w:rsidRPr="004C7C17">
        <w:rPr>
          <w:rFonts w:ascii="StobiSerif Regular" w:hAnsi="StobiSerif Regular"/>
          <w:color w:val="000000"/>
          <w:sz w:val="22"/>
        </w:rPr>
        <w:t>би</w:t>
      </w:r>
      <w:r w:rsidRPr="004C7C17">
        <w:rPr>
          <w:rFonts w:ascii="StobiSerif Regular" w:hAnsi="StobiSerif Regular"/>
          <w:color w:val="000000"/>
          <w:sz w:val="22"/>
        </w:rPr>
        <w:t xml:space="preserve"> </w:t>
      </w:r>
      <w:r w:rsidR="00D30831" w:rsidRPr="004C7C17">
        <w:rPr>
          <w:rFonts w:ascii="StobiSerif Regular" w:hAnsi="StobiSerif Regular"/>
          <w:color w:val="000000"/>
          <w:sz w:val="22"/>
        </w:rPr>
        <w:t xml:space="preserve">сметала </w:t>
      </w:r>
      <w:r w:rsidR="00A01EC4" w:rsidRPr="004C7C17">
        <w:rPr>
          <w:rFonts w:ascii="StobiSerif Regular" w:hAnsi="StobiSerif Regular"/>
          <w:color w:val="000000"/>
          <w:sz w:val="22"/>
        </w:rPr>
        <w:t>двапати резултат</w:t>
      </w:r>
      <w:r w:rsidRPr="004C7C17">
        <w:rPr>
          <w:rFonts w:ascii="StobiSerif Regular" w:hAnsi="StobiSerif Regular"/>
          <w:color w:val="000000"/>
          <w:sz w:val="22"/>
        </w:rPr>
        <w:t xml:space="preserve"> постигнат во рамките на различни а</w:t>
      </w:r>
      <w:r w:rsidR="00847C44" w:rsidRPr="004C7C17">
        <w:rPr>
          <w:rFonts w:ascii="StobiSerif Regular" w:hAnsi="StobiSerif Regular"/>
          <w:color w:val="000000"/>
          <w:sz w:val="22"/>
        </w:rPr>
        <w:t>кции. Затоа, при процената на</w:t>
      </w:r>
      <w:r w:rsidR="007F024E" w:rsidRPr="004C7C17">
        <w:rPr>
          <w:rFonts w:ascii="StobiSerif Regular" w:hAnsi="StobiSerif Regular"/>
          <w:color w:val="000000"/>
          <w:sz w:val="22"/>
        </w:rPr>
        <w:t xml:space="preserve"> </w:t>
      </w:r>
      <w:r w:rsidRPr="004C7C17">
        <w:rPr>
          <w:rFonts w:ascii="StobiSerif Regular" w:hAnsi="StobiSerif Regular"/>
          <w:color w:val="000000"/>
          <w:sz w:val="22"/>
        </w:rPr>
        <w:t>чекорот, Комисијата ќе ги земе предвид</w:t>
      </w:r>
      <w:r w:rsidR="00847C44" w:rsidRPr="004C7C17">
        <w:rPr>
          <w:rFonts w:ascii="StobiSerif Regular" w:hAnsi="StobiSerif Regular"/>
          <w:color w:val="000000"/>
          <w:sz w:val="22"/>
        </w:rPr>
        <w:t xml:space="preserve">, односно ќе ги </w:t>
      </w:r>
      <w:r w:rsidR="00FA1C83" w:rsidRPr="004C7C17">
        <w:rPr>
          <w:rFonts w:ascii="StobiSerif Regular" w:hAnsi="StobiSerif Regular"/>
          <w:color w:val="000000"/>
          <w:sz w:val="22"/>
        </w:rPr>
        <w:t>в</w:t>
      </w:r>
      <w:r w:rsidR="00847C44" w:rsidRPr="004C7C17">
        <w:rPr>
          <w:rFonts w:ascii="StobiSerif Regular" w:hAnsi="StobiSerif Regular"/>
          <w:color w:val="000000"/>
          <w:sz w:val="22"/>
        </w:rPr>
        <w:t>брои,</w:t>
      </w:r>
      <w:r w:rsidRPr="004C7C17">
        <w:rPr>
          <w:rFonts w:ascii="StobiSerif Regular" w:hAnsi="StobiSerif Regular"/>
          <w:color w:val="000000"/>
          <w:sz w:val="22"/>
        </w:rPr>
        <w:t xml:space="preserve"> само оние компјутери што се испорачани </w:t>
      </w:r>
      <w:r w:rsidR="00847C44" w:rsidRPr="004C7C17">
        <w:rPr>
          <w:rFonts w:ascii="StobiSerif Regular" w:hAnsi="StobiSerif Regular"/>
          <w:color w:val="000000"/>
          <w:sz w:val="22"/>
        </w:rPr>
        <w:t>од</w:t>
      </w:r>
      <w:r w:rsidRPr="004C7C17">
        <w:rPr>
          <w:rFonts w:ascii="StobiSerif Regular" w:hAnsi="StobiSerif Regular"/>
          <w:color w:val="000000"/>
          <w:sz w:val="22"/>
        </w:rPr>
        <w:t xml:space="preserve"> националната администрација и при утврдување на степенот на исполнување, ќе ги применува делумните одредби од Договорот за Инструментот (т.е. ЕК ќе </w:t>
      </w:r>
      <w:r w:rsidR="00026DE1" w:rsidRPr="004C7C17">
        <w:rPr>
          <w:rFonts w:ascii="StobiSerif Regular" w:hAnsi="StobiSerif Regular"/>
          <w:color w:val="000000"/>
          <w:sz w:val="22"/>
        </w:rPr>
        <w:t>земе предвид</w:t>
      </w:r>
      <w:r w:rsidRPr="004C7C17">
        <w:rPr>
          <w:rFonts w:ascii="StobiSerif Regular" w:hAnsi="StobiSerif Regular"/>
          <w:color w:val="000000"/>
          <w:sz w:val="22"/>
        </w:rPr>
        <w:t xml:space="preserve"> 500 000 компјутери, што претставува 50 % стапка на исполнување </w:t>
      </w:r>
      <w:r w:rsidR="00405AA4" w:rsidRPr="004C7C17">
        <w:rPr>
          <w:rFonts w:ascii="StobiSerif Regular" w:hAnsi="StobiSerif Regular"/>
          <w:color w:val="000000"/>
          <w:sz w:val="22"/>
        </w:rPr>
        <w:t>на</w:t>
      </w:r>
      <w:r w:rsidRPr="004C7C17">
        <w:rPr>
          <w:rFonts w:ascii="StobiSerif Regular" w:hAnsi="StobiSerif Regular"/>
          <w:color w:val="000000"/>
          <w:sz w:val="22"/>
        </w:rPr>
        <w:t xml:space="preserve"> чекорот, што значи дека ќе се ослободат 50% од средствата доделени за овој </w:t>
      </w:r>
      <w:r w:rsidR="00026DE1" w:rsidRPr="004C7C17">
        <w:rPr>
          <w:rFonts w:ascii="StobiSerif Regular" w:hAnsi="StobiSerif Regular"/>
          <w:color w:val="000000"/>
          <w:sz w:val="22"/>
        </w:rPr>
        <w:t>конкретен</w:t>
      </w:r>
      <w:r w:rsidRPr="004C7C17">
        <w:rPr>
          <w:rFonts w:ascii="StobiSerif Regular" w:hAnsi="StobiSerif Regular"/>
          <w:color w:val="000000"/>
          <w:sz w:val="22"/>
        </w:rPr>
        <w:t xml:space="preserve"> чекор).</w:t>
      </w:r>
    </w:p>
    <w:p w14:paraId="574B0B57" w14:textId="23934438"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u w:val="single"/>
        </w:rPr>
        <w:t xml:space="preserve">Анекс II - </w:t>
      </w:r>
      <w:r w:rsidR="00F9342E" w:rsidRPr="004C7C17">
        <w:rPr>
          <w:rFonts w:ascii="StobiSerif Regular" w:hAnsi="StobiSerif Regular"/>
          <w:b/>
          <w:color w:val="000000"/>
          <w:sz w:val="22"/>
          <w:u w:val="single"/>
        </w:rPr>
        <w:t>Основа</w:t>
      </w:r>
      <w:r w:rsidRPr="004C7C17">
        <w:rPr>
          <w:rFonts w:ascii="StobiSerif Regular" w:hAnsi="StobiSerif Regular"/>
          <w:b/>
          <w:color w:val="000000"/>
          <w:sz w:val="22"/>
          <w:u w:val="single"/>
        </w:rPr>
        <w:t xml:space="preserve"> - ИРР за ЗБ - одредби за двојно финансирање</w:t>
      </w:r>
    </w:p>
    <w:p w14:paraId="74FEF001"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Упатувања на Регулатива</w:t>
      </w:r>
    </w:p>
    <w:p w14:paraId="734A49AD" w14:textId="6B6F9971" w:rsidR="00C71B06" w:rsidRPr="004C7C17" w:rsidRDefault="0068048D"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(37)</w:t>
      </w:r>
      <w:r w:rsidRPr="004C7C17">
        <w:rPr>
          <w:rFonts w:ascii="StobiSerif Regular" w:hAnsi="StobiSerif Regular"/>
          <w:b/>
          <w:color w:val="000000"/>
          <w:sz w:val="22"/>
        </w:rPr>
        <w:tab/>
      </w:r>
      <w:r w:rsidRPr="004C7C17">
        <w:rPr>
          <w:rFonts w:ascii="StobiSerif Regular" w:hAnsi="StobiSerif Regular"/>
          <w:color w:val="000000"/>
          <w:sz w:val="22"/>
        </w:rPr>
        <w:t xml:space="preserve">Реформските агенди треба да вклучуваат објаснување на системот на корисникот за ефикасно спречување, откривање и корекција на неправилности, корупција, вклучително и корупцијата на високо ниво, измама и судири на интереси, при користење на средствата обезбедени во рамките на Инструментот, и </w:t>
      </w:r>
      <w:r w:rsidR="00405AA4" w:rsidRPr="004C7C17">
        <w:rPr>
          <w:rFonts w:ascii="StobiSerif Regular" w:hAnsi="StobiSerif Regular"/>
          <w:color w:val="000000"/>
          <w:sz w:val="22"/>
        </w:rPr>
        <w:t>механизмите</w:t>
      </w:r>
      <w:r w:rsidRPr="004C7C17">
        <w:rPr>
          <w:rFonts w:ascii="StobiSerif Regular" w:hAnsi="StobiSerif Regular"/>
          <w:color w:val="000000"/>
          <w:sz w:val="22"/>
        </w:rPr>
        <w:t xml:space="preserve"> за избегнување</w:t>
      </w:r>
      <w:r w:rsidR="00D30831" w:rsidRPr="004C7C17">
        <w:rPr>
          <w:rFonts w:ascii="StobiSerif Regular" w:hAnsi="StobiSerif Regular"/>
          <w:color w:val="000000"/>
          <w:sz w:val="22"/>
        </w:rPr>
        <w:t xml:space="preserve"> на</w:t>
      </w:r>
      <w:r w:rsidRPr="004C7C17">
        <w:rPr>
          <w:rFonts w:ascii="StobiSerif Regular" w:hAnsi="StobiSerif Regular"/>
          <w:color w:val="000000"/>
          <w:sz w:val="22"/>
        </w:rPr>
        <w:t xml:space="preserve"> двојно финансирање од Инструментот и од другите програми на Унијата, како и од други донатори.</w:t>
      </w:r>
    </w:p>
    <w:p w14:paraId="03F960AC" w14:textId="05519751" w:rsidR="00C71B06" w:rsidRPr="004C7C17" w:rsidRDefault="0068048D"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(59)</w:t>
      </w:r>
      <w:r w:rsidRPr="004C7C17">
        <w:rPr>
          <w:rFonts w:ascii="StobiSerif Regular" w:hAnsi="StobiSerif Regular"/>
          <w:b/>
          <w:color w:val="000000"/>
          <w:sz w:val="22"/>
        </w:rPr>
        <w:tab/>
      </w:r>
      <w:r w:rsidRPr="004C7C17">
        <w:rPr>
          <w:rFonts w:ascii="StobiSerif Regular" w:hAnsi="StobiSerif Regular"/>
          <w:color w:val="000000"/>
          <w:sz w:val="22"/>
        </w:rPr>
        <w:t xml:space="preserve">Во согласност со Финансиската регулатива, Регулативата (ЕУ, Евроатом) бр. 883/2013 на Европскиот парламент и на Советот и Регулативите (ЕЗ, Евроатом) бр. 2988/95, (Евроатом, ЕЗ) бр. 2185/96 и (ЕУ) 2017/1939 на Советот, финансиските интереси на Унијата треба да се заштитат со пропорционални мерки, вклучително и мерки за спречување, откривање, корекција и истрага на неправилности, измама, корупција, судир на интереси, двојно финансирање, за поврат на загубени, погрешно исплатени или </w:t>
      </w:r>
      <w:r w:rsidR="004A49F2" w:rsidRPr="004C7C17">
        <w:rPr>
          <w:rFonts w:ascii="StobiSerif Regular" w:hAnsi="StobiSerif Regular"/>
          <w:sz w:val="22"/>
        </w:rPr>
        <w:t>неправилно искористени</w:t>
      </w:r>
      <w:r w:rsidRPr="004C7C17">
        <w:rPr>
          <w:rFonts w:ascii="StobiSerif Regular" w:hAnsi="StobiSerif Regular"/>
          <w:sz w:val="22"/>
        </w:rPr>
        <w:t xml:space="preserve"> ср</w:t>
      </w:r>
      <w:r w:rsidRPr="004C7C17">
        <w:rPr>
          <w:rFonts w:ascii="StobiSerif Regular" w:hAnsi="StobiSerif Regular"/>
          <w:color w:val="000000"/>
          <w:sz w:val="22"/>
        </w:rPr>
        <w:t>едства.</w:t>
      </w:r>
    </w:p>
    <w:p w14:paraId="10FE4C7A" w14:textId="2626B0B4" w:rsidR="00C71B06" w:rsidRPr="004C7C17" w:rsidRDefault="0068048D"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(66)</w:t>
      </w:r>
      <w:r w:rsidRPr="004C7C17">
        <w:rPr>
          <w:rFonts w:ascii="StobiSerif Regular" w:hAnsi="StobiSerif Regular"/>
          <w:b/>
          <w:color w:val="000000"/>
          <w:sz w:val="22"/>
        </w:rPr>
        <w:tab/>
      </w:r>
      <w:r w:rsidRPr="004C7C17">
        <w:rPr>
          <w:rFonts w:ascii="StobiSerif Regular" w:hAnsi="StobiSerif Regular"/>
          <w:color w:val="000000"/>
          <w:sz w:val="22"/>
        </w:rPr>
        <w:t xml:space="preserve">Комисијата треба да достави годишен извештај до Европскиот парламент и до Советот за напредокот кон постигнувањето на целите од оваа регулатива, исто така и во однос на синергиите и комплементарноста со другите програми на Унијата, особено поддршката обезбедена во согласност со Регулативата (ЕУ) 2021/1529, со цел да се избегне </w:t>
      </w:r>
      <w:r w:rsidR="004A49F2" w:rsidRPr="004C7C17">
        <w:rPr>
          <w:rFonts w:ascii="StobiSerif Regular" w:hAnsi="StobiSerif Regular"/>
          <w:color w:val="000000"/>
          <w:sz w:val="22"/>
        </w:rPr>
        <w:t xml:space="preserve">удвојување </w:t>
      </w:r>
      <w:r w:rsidRPr="004C7C17">
        <w:rPr>
          <w:rFonts w:ascii="StobiSerif Regular" w:hAnsi="StobiSerif Regular"/>
          <w:color w:val="000000"/>
          <w:sz w:val="22"/>
        </w:rPr>
        <w:t>на помошта и двојно финансирање.</w:t>
      </w:r>
    </w:p>
    <w:p w14:paraId="06C89B52" w14:textId="3555BEA9"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 xml:space="preserve">Член 4(3) Општи начела (исто така </w:t>
      </w:r>
      <w:r w:rsidR="00267C46" w:rsidRPr="004C7C17">
        <w:rPr>
          <w:rFonts w:ascii="StobiSerif Regular" w:hAnsi="StobiSerif Regular"/>
          <w:b/>
          <w:color w:val="000000"/>
          <w:sz w:val="22"/>
        </w:rPr>
        <w:t>наведени</w:t>
      </w:r>
      <w:r w:rsidR="00663489" w:rsidRPr="004C7C17">
        <w:rPr>
          <w:rFonts w:ascii="StobiSerif Regular" w:hAnsi="StobiSerif Regular"/>
          <w:b/>
          <w:color w:val="000000"/>
          <w:sz w:val="22"/>
        </w:rPr>
        <w:t xml:space="preserve"> </w:t>
      </w:r>
      <w:r w:rsidRPr="004C7C17">
        <w:rPr>
          <w:rFonts w:ascii="StobiSerif Regular" w:hAnsi="StobiSerif Regular"/>
          <w:b/>
          <w:color w:val="000000"/>
          <w:sz w:val="22"/>
        </w:rPr>
        <w:t>во член 3(2)(в) и член 14(10) и (12) од Спогодбата за Инструментот)</w:t>
      </w:r>
    </w:p>
    <w:p w14:paraId="58FB58B4" w14:textId="358027FF"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3. Поддршката од Инструментот е дополнителна и комплементарна на поддршката обезбедена во рамките на другите програми и инструменти на Унијата. Активностите што се подобни за финансирање според оваа регулатива може да добијат поддршка од други програми и инструменти на Унијата под услов таквата поддршка да не ги покрива истите трошоци и да се осигури соодветен надзор и контрола на буџетот. Комисијата осигурува комплементарност и синергија помеѓу Инструментот и другите програми на Унијата, со цел да се избегне </w:t>
      </w:r>
      <w:r w:rsidR="00663489" w:rsidRPr="004C7C17">
        <w:rPr>
          <w:rFonts w:ascii="StobiSerif Regular" w:hAnsi="StobiSerif Regular"/>
          <w:color w:val="000000"/>
          <w:sz w:val="22"/>
        </w:rPr>
        <w:t xml:space="preserve">удвојување </w:t>
      </w:r>
      <w:r w:rsidRPr="004C7C17">
        <w:rPr>
          <w:rFonts w:ascii="StobiSerif Regular" w:hAnsi="StobiSerif Regular"/>
          <w:color w:val="000000"/>
          <w:sz w:val="22"/>
        </w:rPr>
        <w:t>на помошта и двојно финансирање. Не смее да има преклопување помеѓу поддршката обезбедена во согласност со оваа регулатива и Регулативата (ЕУ) 2021/1529.</w:t>
      </w:r>
    </w:p>
    <w:p w14:paraId="3D86C8E8"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Член 14(4)(з) - Процена на Реформските агенди од страна на Комисијата</w:t>
      </w:r>
    </w:p>
    <w:p w14:paraId="76D64C1D" w14:textId="45D20762"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(з) дали </w:t>
      </w:r>
      <w:r w:rsidR="00405AA4" w:rsidRPr="004C7C17">
        <w:rPr>
          <w:rFonts w:ascii="StobiSerif Regular" w:hAnsi="StobiSerif Regular"/>
          <w:color w:val="000000"/>
          <w:sz w:val="22"/>
        </w:rPr>
        <w:t>механизмите</w:t>
      </w:r>
      <w:r w:rsidRPr="004C7C17">
        <w:rPr>
          <w:rFonts w:ascii="StobiSerif Regular" w:hAnsi="StobiSerif Regular"/>
          <w:color w:val="000000"/>
          <w:sz w:val="22"/>
        </w:rPr>
        <w:t xml:space="preserve"> предложени од Kорисникот се очекува ефикасно да спречат, </w:t>
      </w:r>
      <w:r w:rsidRPr="004C7C17">
        <w:rPr>
          <w:rFonts w:ascii="StobiSerif Regular" w:hAnsi="StobiSerif Regular"/>
          <w:color w:val="000000"/>
          <w:sz w:val="22"/>
        </w:rPr>
        <w:lastRenderedPageBreak/>
        <w:t>откријат и коригираат неправилности, измама, корупција и судири на интереси, организиран криминал и перење пари, како и да овозможат ефикасна истрага и гонење на кривични дела што влијаат на средствата во рамките на Инструментот, и да осигурат дека нема двојно финансир</w:t>
      </w:r>
      <w:r w:rsidR="002F6A02" w:rsidRPr="004C7C17">
        <w:rPr>
          <w:rFonts w:ascii="StobiSerif Regular" w:hAnsi="StobiSerif Regular"/>
          <w:color w:val="000000"/>
          <w:sz w:val="22"/>
        </w:rPr>
        <w:t>ање од Инструментот и од други</w:t>
      </w:r>
      <w:r w:rsidRPr="004C7C17">
        <w:rPr>
          <w:rFonts w:ascii="StobiSerif Regular" w:hAnsi="StobiSerif Regular"/>
          <w:color w:val="000000"/>
          <w:sz w:val="22"/>
        </w:rPr>
        <w:t xml:space="preserve"> програми на Унијата, особено поддршка обезбедена во согласност со Регулативата (ЕУ) 2021/1529, </w:t>
      </w:r>
      <w:r w:rsidR="00663489" w:rsidRPr="004C7C17">
        <w:rPr>
          <w:rFonts w:ascii="StobiSerif Regular" w:hAnsi="StobiSerif Regular"/>
          <w:color w:val="000000"/>
          <w:sz w:val="22"/>
        </w:rPr>
        <w:t xml:space="preserve">ниту поддршка </w:t>
      </w:r>
      <w:r w:rsidRPr="004C7C17">
        <w:rPr>
          <w:rFonts w:ascii="StobiSerif Regular" w:hAnsi="StobiSerif Regular"/>
          <w:color w:val="000000"/>
          <w:sz w:val="22"/>
        </w:rPr>
        <w:t>од други донатори од Инструментот и другите програми на Унијата, како и од други донатори;</w:t>
      </w:r>
    </w:p>
    <w:p w14:paraId="1632DA97"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Член 19 (7) - Спроведување на инвестициски проекти и програми во рамките на ИРЗБ</w:t>
      </w:r>
    </w:p>
    <w:p w14:paraId="37F8959E" w14:textId="25721D5C"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7. Финансирањето во рамките на Инстру</w:t>
      </w:r>
      <w:r w:rsidR="00405AA4" w:rsidRPr="004C7C17">
        <w:rPr>
          <w:rFonts w:ascii="StobiSerif Regular" w:hAnsi="StobiSerif Regular"/>
          <w:color w:val="000000"/>
          <w:sz w:val="22"/>
        </w:rPr>
        <w:t>ментот, обезбедено преку заеми</w:t>
      </w:r>
      <w:r w:rsidRPr="004C7C17">
        <w:rPr>
          <w:rFonts w:ascii="StobiSerif Regular" w:hAnsi="StobiSerif Regular"/>
          <w:color w:val="000000"/>
          <w:sz w:val="22"/>
        </w:rPr>
        <w:t xml:space="preserve"> како што е наведено во член 6(5) од оваа регулатива, </w:t>
      </w:r>
      <w:r w:rsidR="006C7398" w:rsidRPr="004C7C17">
        <w:rPr>
          <w:rFonts w:ascii="StobiSerif Regular" w:hAnsi="StobiSerif Regular"/>
          <w:color w:val="000000"/>
          <w:sz w:val="22"/>
        </w:rPr>
        <w:t>се става на располагање</w:t>
      </w:r>
      <w:r w:rsidRPr="004C7C17">
        <w:rPr>
          <w:rFonts w:ascii="StobiSerif Regular" w:hAnsi="StobiSerif Regular"/>
          <w:color w:val="000000"/>
          <w:sz w:val="22"/>
        </w:rPr>
        <w:t xml:space="preserve"> преку ИРЗБ во согласност со спогодбата за заем помеѓу Комисијата и корисниците, во согласност со член 17(2) од оваа регулатива. </w:t>
      </w:r>
      <w:r w:rsidR="006C7398" w:rsidRPr="004C7C17">
        <w:rPr>
          <w:rFonts w:ascii="StobiSerif Regular" w:hAnsi="StobiSerif Regular"/>
          <w:color w:val="000000"/>
          <w:sz w:val="22"/>
        </w:rPr>
        <w:t>Заедно з</w:t>
      </w:r>
      <w:r w:rsidRPr="004C7C17">
        <w:rPr>
          <w:rFonts w:ascii="StobiSerif Regular" w:hAnsi="StobiSerif Regular"/>
          <w:color w:val="000000"/>
          <w:sz w:val="22"/>
        </w:rPr>
        <w:t>а сите спогодби за заем, управителите на фондовите на заедничкиот фонд наведен во член 12(2) од оваа регулатива, поднесуваат до Комисијата најмногу дванаесет барања за исплати годишно</w:t>
      </w:r>
      <w:r w:rsidR="0068048D" w:rsidRPr="004C7C17">
        <w:rPr>
          <w:rStyle w:val="FootnoteReference"/>
          <w:rFonts w:ascii="StobiSerif Regular" w:hAnsi="StobiSerif Regular"/>
          <w:color w:val="000000"/>
          <w:sz w:val="22"/>
          <w:szCs w:val="22"/>
        </w:rPr>
        <w:footnoteReference w:id="6"/>
      </w:r>
      <w:r w:rsidRPr="004C7C17">
        <w:rPr>
          <w:rFonts w:ascii="StobiSerif Regular" w:hAnsi="StobiSerif Regular"/>
          <w:color w:val="000000"/>
          <w:sz w:val="22"/>
        </w:rPr>
        <w:t xml:space="preserve">. Инвестициските проекти и програми може да добијат поддршка од два извори на финансирање, како што е наведено во ставовите 2 и 3 од член 6 од оваа регулатива, како и од други програми и инструменти на Унијата, под услов таквата поддршка од различни извори, програми и инструменти да </w:t>
      </w:r>
      <w:r w:rsidR="002F6A02" w:rsidRPr="004C7C17">
        <w:rPr>
          <w:rFonts w:ascii="StobiSerif Regular" w:hAnsi="StobiSerif Regular"/>
          <w:color w:val="000000"/>
          <w:sz w:val="22"/>
        </w:rPr>
        <w:t>обезбедува</w:t>
      </w:r>
      <w:r w:rsidRPr="004C7C17">
        <w:rPr>
          <w:rFonts w:ascii="StobiSerif Regular" w:hAnsi="StobiSerif Regular"/>
          <w:color w:val="000000"/>
          <w:sz w:val="22"/>
        </w:rPr>
        <w:t xml:space="preserve"> дополнителност и да не ги покрива истите трошоци. За секој инвестициски проект или програма, Комисијата доставува процена до Оперативниот одбор на ИРЗБ, вклучително и за синергиите и комплементарноста со другите програми на Унијата, </w:t>
      </w:r>
      <w:r w:rsidRPr="004C7C17">
        <w:rPr>
          <w:rFonts w:ascii="StobiSerif Regular" w:hAnsi="StobiSerif Regular"/>
          <w:sz w:val="22"/>
        </w:rPr>
        <w:t xml:space="preserve">особено поддршката </w:t>
      </w:r>
      <w:r w:rsidRPr="004C7C17">
        <w:rPr>
          <w:rFonts w:ascii="StobiSerif Regular" w:hAnsi="StobiSerif Regular"/>
          <w:color w:val="000000"/>
          <w:sz w:val="22"/>
        </w:rPr>
        <w:t xml:space="preserve">обезбедена во согласност со Регулативата (ЕУ) 2021/1529, со цел да се избегне </w:t>
      </w:r>
      <w:r w:rsidR="00663489" w:rsidRPr="004C7C17">
        <w:rPr>
          <w:rFonts w:ascii="StobiSerif Regular" w:hAnsi="StobiSerif Regular"/>
          <w:color w:val="000000"/>
          <w:sz w:val="22"/>
        </w:rPr>
        <w:t xml:space="preserve">удвојување </w:t>
      </w:r>
      <w:r w:rsidRPr="004C7C17">
        <w:rPr>
          <w:rFonts w:ascii="StobiSerif Regular" w:hAnsi="StobiSerif Regular"/>
          <w:color w:val="000000"/>
          <w:sz w:val="22"/>
        </w:rPr>
        <w:t>на помошта и двојно финансирање.</w:t>
      </w:r>
    </w:p>
    <w:p w14:paraId="5690A22B" w14:textId="25DD1556"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 xml:space="preserve">Член 23(2)(в) - Заштита на финансиските интереси на Унијата (исто така </w:t>
      </w:r>
      <w:r w:rsidR="00267C46" w:rsidRPr="004C7C17">
        <w:rPr>
          <w:rFonts w:ascii="StobiSerif Regular" w:hAnsi="StobiSerif Regular"/>
          <w:b/>
          <w:color w:val="000000"/>
          <w:sz w:val="22"/>
        </w:rPr>
        <w:t xml:space="preserve">наведено </w:t>
      </w:r>
      <w:r w:rsidRPr="004C7C17">
        <w:rPr>
          <w:rFonts w:ascii="StobiSerif Regular" w:hAnsi="StobiSerif Regular"/>
          <w:b/>
          <w:color w:val="000000"/>
          <w:sz w:val="22"/>
        </w:rPr>
        <w:t>во член 8 и член 14(10) и (12) од Спогодбата за Инструментот)</w:t>
      </w:r>
    </w:p>
    <w:p w14:paraId="05AA2850" w14:textId="2D883F96" w:rsidR="00C71B06" w:rsidRPr="004C7C17" w:rsidRDefault="0044384A"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2. Спогодбата за И</w:t>
      </w:r>
      <w:r w:rsidR="00C71B06" w:rsidRPr="004C7C17">
        <w:rPr>
          <w:rFonts w:ascii="StobiSerif Regular" w:hAnsi="StobiSerif Regular"/>
          <w:color w:val="000000"/>
          <w:sz w:val="22"/>
        </w:rPr>
        <w:t xml:space="preserve">нструментот ги </w:t>
      </w:r>
      <w:r w:rsidR="006C7398" w:rsidRPr="004C7C17">
        <w:rPr>
          <w:rFonts w:ascii="StobiSerif Regular" w:hAnsi="StobiSerif Regular"/>
          <w:color w:val="000000"/>
          <w:sz w:val="22"/>
        </w:rPr>
        <w:t>предвидува следните обврски на К</w:t>
      </w:r>
      <w:r w:rsidR="00C71B06" w:rsidRPr="004C7C17">
        <w:rPr>
          <w:rFonts w:ascii="StobiSerif Regular" w:hAnsi="StobiSerif Regular"/>
          <w:color w:val="000000"/>
          <w:sz w:val="22"/>
        </w:rPr>
        <w:t xml:space="preserve">орисникот: (в) да презема соодветни мерки за спречување, откривање и корекција на измама, корупција, судир на интереси и неправилности, како и </w:t>
      </w:r>
      <w:r w:rsidR="006C7398" w:rsidRPr="004C7C17">
        <w:rPr>
          <w:rFonts w:ascii="StobiSerif Regular" w:hAnsi="StobiSerif Regular"/>
          <w:color w:val="000000"/>
          <w:sz w:val="22"/>
        </w:rPr>
        <w:t>да истражува и гони</w:t>
      </w:r>
      <w:r w:rsidR="00C71B06" w:rsidRPr="004C7C17">
        <w:rPr>
          <w:rFonts w:ascii="StobiSerif Regular" w:hAnsi="StobiSerif Regular"/>
          <w:color w:val="000000"/>
          <w:sz w:val="22"/>
        </w:rPr>
        <w:t xml:space="preserve"> кривични дела кои влијаат на финансиските интереси на Унијата, да открива и избегнува двојно финансирање и да презема правни дејствија за враќање на </w:t>
      </w:r>
      <w:r w:rsidR="00267C46" w:rsidRPr="004C7C17">
        <w:rPr>
          <w:rFonts w:ascii="StobiSerif Regular" w:hAnsi="StobiSerif Regular"/>
          <w:color w:val="000000"/>
          <w:sz w:val="22"/>
        </w:rPr>
        <w:t>неправилно искористени</w:t>
      </w:r>
      <w:r w:rsidR="00C71B06" w:rsidRPr="004C7C17">
        <w:rPr>
          <w:rFonts w:ascii="StobiSerif Regular" w:hAnsi="StobiSerif Regular"/>
          <w:color w:val="000000"/>
          <w:sz w:val="22"/>
        </w:rPr>
        <w:t xml:space="preserve"> средства, вклучително и во врска со која било мерка за спроведување на реформи</w:t>
      </w:r>
      <w:r w:rsidRPr="004C7C17">
        <w:rPr>
          <w:rFonts w:ascii="StobiSerif Regular" w:hAnsi="StobiSerif Regular"/>
          <w:color w:val="000000"/>
          <w:sz w:val="22"/>
        </w:rPr>
        <w:t>те</w:t>
      </w:r>
      <w:r w:rsidR="00C71B06" w:rsidRPr="004C7C17">
        <w:rPr>
          <w:rFonts w:ascii="StobiSerif Regular" w:hAnsi="StobiSerif Regular"/>
          <w:color w:val="000000"/>
          <w:sz w:val="22"/>
        </w:rPr>
        <w:t xml:space="preserve"> и инвестициски</w:t>
      </w:r>
      <w:r w:rsidRPr="004C7C17">
        <w:rPr>
          <w:rFonts w:ascii="StobiSerif Regular" w:hAnsi="StobiSerif Regular"/>
          <w:color w:val="000000"/>
          <w:sz w:val="22"/>
        </w:rPr>
        <w:t>те</w:t>
      </w:r>
      <w:r w:rsidR="00C71B06" w:rsidRPr="004C7C17">
        <w:rPr>
          <w:rFonts w:ascii="StobiSerif Regular" w:hAnsi="StobiSerif Regular"/>
          <w:color w:val="000000"/>
          <w:sz w:val="22"/>
        </w:rPr>
        <w:t xml:space="preserve"> проекти или програми во рамките на Реформските агенди</w:t>
      </w:r>
      <w:r w:rsidR="00267C46" w:rsidRPr="004C7C17">
        <w:rPr>
          <w:rFonts w:ascii="StobiSerif Regular" w:hAnsi="StobiSerif Regular"/>
          <w:color w:val="000000"/>
          <w:sz w:val="22"/>
        </w:rPr>
        <w:t>,</w:t>
      </w:r>
      <w:r w:rsidR="00C71B06" w:rsidRPr="004C7C17">
        <w:rPr>
          <w:rFonts w:ascii="StobiSerif Regular" w:hAnsi="StobiSerif Regular"/>
          <w:color w:val="000000"/>
          <w:sz w:val="22"/>
        </w:rPr>
        <w:t xml:space="preserve"> и да презема соодветни мерки за постапување по барања за заемна правна помош од ЕППО и надлежните органи на земјите членки, во врска со кривични дела кои влијаат на средствата во рамките на Инструментот, каде што е применливо и без одлагање;</w:t>
      </w:r>
    </w:p>
    <w:p w14:paraId="6BD92C9F"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Член (25)(3) - Следење и известување</w:t>
      </w:r>
    </w:p>
    <w:p w14:paraId="0591CC5F" w14:textId="0C52F77D"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3. Комисијата доставува годишен извештај до Европскиот парламент и до Советот </w:t>
      </w:r>
      <w:r w:rsidRPr="004C7C17">
        <w:rPr>
          <w:rFonts w:ascii="StobiSerif Regular" w:hAnsi="StobiSerif Regular"/>
          <w:color w:val="000000"/>
          <w:sz w:val="22"/>
        </w:rPr>
        <w:lastRenderedPageBreak/>
        <w:t xml:space="preserve">за напредокот во постигнувањето на целите на оваа регулатива. </w:t>
      </w:r>
      <w:r w:rsidR="00267C46" w:rsidRPr="004C7C17">
        <w:rPr>
          <w:rFonts w:ascii="StobiSerif Regular" w:hAnsi="StobiSerif Regular"/>
          <w:color w:val="000000"/>
          <w:sz w:val="22"/>
        </w:rPr>
        <w:t>Со т</w:t>
      </w:r>
      <w:r w:rsidRPr="004C7C17">
        <w:rPr>
          <w:rFonts w:ascii="StobiSerif Regular" w:hAnsi="StobiSerif Regular"/>
          <w:color w:val="000000"/>
          <w:sz w:val="22"/>
        </w:rPr>
        <w:t xml:space="preserve">ој годишен извештај, исто така, </w:t>
      </w:r>
      <w:r w:rsidR="00267C46" w:rsidRPr="004C7C17">
        <w:rPr>
          <w:rFonts w:ascii="StobiSerif Regular" w:hAnsi="StobiSerif Regular"/>
          <w:color w:val="000000"/>
          <w:sz w:val="22"/>
        </w:rPr>
        <w:t xml:space="preserve">се </w:t>
      </w:r>
      <w:r w:rsidRPr="004C7C17">
        <w:rPr>
          <w:rFonts w:ascii="StobiSerif Regular" w:hAnsi="StobiSerif Regular"/>
          <w:color w:val="000000"/>
          <w:sz w:val="22"/>
        </w:rPr>
        <w:t>разгледува</w:t>
      </w:r>
      <w:r w:rsidR="00267C46" w:rsidRPr="004C7C17">
        <w:rPr>
          <w:rFonts w:ascii="StobiSerif Regular" w:hAnsi="StobiSerif Regular"/>
          <w:color w:val="000000"/>
          <w:sz w:val="22"/>
        </w:rPr>
        <w:t>ат</w:t>
      </w:r>
      <w:r w:rsidRPr="004C7C17">
        <w:rPr>
          <w:rFonts w:ascii="StobiSerif Regular" w:hAnsi="StobiSerif Regular"/>
          <w:color w:val="000000"/>
          <w:sz w:val="22"/>
        </w:rPr>
        <w:t xml:space="preserve"> синергиите и комплементарностите на Инструментот со другите програми на Унијата, особено со поддршката обезбедена </w:t>
      </w:r>
      <w:r w:rsidR="006C7398" w:rsidRPr="004C7C17">
        <w:rPr>
          <w:rFonts w:ascii="StobiSerif Regular" w:hAnsi="StobiSerif Regular"/>
          <w:color w:val="000000"/>
          <w:sz w:val="22"/>
        </w:rPr>
        <w:t>во согласност со</w:t>
      </w:r>
      <w:r w:rsidRPr="004C7C17">
        <w:rPr>
          <w:rFonts w:ascii="StobiSerif Regular" w:hAnsi="StobiSerif Regular"/>
          <w:color w:val="000000"/>
          <w:sz w:val="22"/>
        </w:rPr>
        <w:t xml:space="preserve"> Регулативата (ЕУ) 2021/1529, со цел да се избегне </w:t>
      </w:r>
      <w:r w:rsidR="00663489" w:rsidRPr="004C7C17">
        <w:rPr>
          <w:rFonts w:ascii="StobiSerif Regular" w:hAnsi="StobiSerif Regular"/>
          <w:color w:val="000000"/>
          <w:sz w:val="22"/>
        </w:rPr>
        <w:t xml:space="preserve">удвојување </w:t>
      </w:r>
      <w:r w:rsidRPr="004C7C17">
        <w:rPr>
          <w:rFonts w:ascii="StobiSerif Regular" w:hAnsi="StobiSerif Regular"/>
          <w:color w:val="000000"/>
          <w:sz w:val="22"/>
        </w:rPr>
        <w:t>на помошта и двојно финансирање. Годишниот извештај се дополнува со презентации за состојбата на спроведувањето на Инструментот двапати годишно.</w:t>
      </w:r>
    </w:p>
    <w:p w14:paraId="455A0EAF"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Спогодба за Инструментот</w:t>
      </w:r>
    </w:p>
    <w:p w14:paraId="2AF235EE" w14:textId="65ED29A9"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Член 14 - Правила за ослободување на средствата</w:t>
      </w:r>
      <w:r w:rsidR="00267C46" w:rsidRPr="004C7C17">
        <w:rPr>
          <w:rFonts w:ascii="StobiSerif Regular" w:hAnsi="StobiSerif Regular"/>
          <w:b/>
          <w:color w:val="000000"/>
          <w:sz w:val="22"/>
        </w:rPr>
        <w:t xml:space="preserve"> </w:t>
      </w:r>
      <w:r w:rsidRPr="004C7C17">
        <w:rPr>
          <w:rFonts w:ascii="StobiSerif Regular" w:hAnsi="StobiSerif Regular"/>
          <w:b/>
          <w:color w:val="000000"/>
          <w:sz w:val="22"/>
        </w:rPr>
        <w:t>- став 10</w:t>
      </w:r>
    </w:p>
    <w:p w14:paraId="290BA395" w14:textId="77777777"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Доколку е соодветно, Корисникот во барањето за ослободување на средствата треба да наведе дали одредени квалитативни и квантитативни чекори добиле поддршка и финансирање, вклучително и соодветниот износ, од други програми и инструменти на Унијата или од програми од други донатори, и да ги објасни </w:t>
      </w:r>
      <w:r w:rsidR="00405AA4" w:rsidRPr="004C7C17">
        <w:rPr>
          <w:rFonts w:ascii="StobiSerif Regular" w:hAnsi="StobiSerif Regular"/>
          <w:color w:val="000000"/>
          <w:sz w:val="22"/>
        </w:rPr>
        <w:t>механизмите</w:t>
      </w:r>
      <w:r w:rsidRPr="004C7C17">
        <w:rPr>
          <w:rFonts w:ascii="StobiSerif Regular" w:hAnsi="StobiSerif Regular"/>
          <w:color w:val="000000"/>
          <w:sz w:val="22"/>
        </w:rPr>
        <w:t xml:space="preserve"> што се воспоставени </w:t>
      </w:r>
      <w:r w:rsidR="00405AA4" w:rsidRPr="004C7C17">
        <w:rPr>
          <w:rFonts w:ascii="StobiSerif Regular" w:hAnsi="StobiSerif Regular"/>
          <w:color w:val="000000"/>
          <w:sz w:val="22"/>
        </w:rPr>
        <w:t>со цел</w:t>
      </w:r>
      <w:r w:rsidRPr="004C7C17">
        <w:rPr>
          <w:rFonts w:ascii="StobiSerif Regular" w:hAnsi="StobiSerif Regular"/>
          <w:color w:val="000000"/>
          <w:sz w:val="22"/>
        </w:rPr>
        <w:t xml:space="preserve"> да се избегне двојно финансирање.</w:t>
      </w:r>
    </w:p>
    <w:p w14:paraId="3E8F66D7" w14:textId="77777777" w:rsidR="00C71B06" w:rsidRPr="004C7C17" w:rsidRDefault="00C71B06" w:rsidP="002E69E5">
      <w:pPr>
        <w:shd w:val="clear" w:color="auto" w:fill="FFFFFF"/>
        <w:spacing w:before="120" w:after="120"/>
        <w:ind w:left="284" w:hanging="284"/>
        <w:jc w:val="both"/>
        <w:rPr>
          <w:rFonts w:ascii="StobiSerif Regular" w:hAnsi="StobiSerif Regular"/>
          <w:sz w:val="24"/>
          <w:szCs w:val="24"/>
        </w:rPr>
      </w:pPr>
      <w:r w:rsidRPr="004C7C17">
        <w:rPr>
          <w:rFonts w:ascii="StobiSerif Regular" w:hAnsi="StobiSerif Regular"/>
          <w:b/>
          <w:color w:val="000000"/>
          <w:sz w:val="22"/>
        </w:rPr>
        <w:t>Одредби од Општите услови од ЕЗФЗБ, за процената на поединечните инвестиции од страна на Одборот на ИРЗБ:</w:t>
      </w:r>
    </w:p>
    <w:p w14:paraId="1E692C89" w14:textId="77777777" w:rsidR="00C71B06" w:rsidRPr="004C7C17" w:rsidRDefault="00D165F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b/>
          <w:color w:val="000000"/>
          <w:sz w:val="22"/>
        </w:rPr>
        <w:t>Член 3.01 (в)</w:t>
      </w:r>
    </w:p>
    <w:p w14:paraId="43DE42DC" w14:textId="56641B86" w:rsidR="00C71B06" w:rsidRPr="004C7C17" w:rsidRDefault="00C71B06" w:rsidP="00803AFB">
      <w:pPr>
        <w:shd w:val="clear" w:color="auto" w:fill="FFFFFF"/>
        <w:spacing w:before="120" w:after="120"/>
        <w:jc w:val="both"/>
        <w:rPr>
          <w:rFonts w:ascii="StobiSerif Regular" w:hAnsi="StobiSerif Regular"/>
          <w:sz w:val="24"/>
          <w:szCs w:val="24"/>
        </w:rPr>
      </w:pPr>
      <w:r w:rsidRPr="004C7C17">
        <w:rPr>
          <w:rFonts w:ascii="StobiSerif Regular" w:hAnsi="StobiSerif Regular"/>
          <w:color w:val="000000"/>
          <w:sz w:val="22"/>
        </w:rPr>
        <w:t xml:space="preserve">Оперативниот одбор на ИРЗБ ќе ги избере акциите што се подобни за поддршка преку грант во рамките на ИРЗБ. </w:t>
      </w:r>
      <w:r w:rsidRPr="004C7C17">
        <w:rPr>
          <w:rFonts w:ascii="StobiSerif Regular" w:hAnsi="StobiSerif Regular"/>
          <w:sz w:val="22"/>
        </w:rPr>
        <w:t>Потоа, или, доколку е соодветно, истовремено со изборот на овие акции од страна на Оперативниот одбор на ИРЗБ, Собранието на придонесувачи ќе донесе одлука, во согласност со постапките за донесување одлуки утврдени во став 3.02 (и) или (</w:t>
      </w:r>
      <w:r w:rsidR="00267C46" w:rsidRPr="004C7C17">
        <w:rPr>
          <w:rFonts w:ascii="StobiSerif Regular" w:hAnsi="StobiSerif Regular"/>
          <w:sz w:val="22"/>
        </w:rPr>
        <w:t>ѕ</w:t>
      </w:r>
      <w:r w:rsidRPr="004C7C17">
        <w:rPr>
          <w:rFonts w:ascii="StobiSerif Regular" w:hAnsi="StobiSerif Regular"/>
          <w:sz w:val="22"/>
        </w:rPr>
        <w:t>), како што е применливо, дали средствата од Фондот ќе се користат за финансирање на овие акции.</w:t>
      </w:r>
    </w:p>
    <w:sectPr w:rsidR="00C71B06" w:rsidRPr="004C7C17">
      <w:type w:val="continuous"/>
      <w:pgSz w:w="11909" w:h="16838"/>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ristina Velevska" w:date="2025-05-06T15:40:00Z" w:initials="KV">
    <w:p w14:paraId="4F8F03A1" w14:textId="2FD95DEE" w:rsidR="00BF5B98" w:rsidRDefault="00BF5B98">
      <w:pPr>
        <w:pStyle w:val="CommentText"/>
      </w:pPr>
      <w:r>
        <w:rPr>
          <w:rStyle w:val="CommentReference"/>
        </w:rPr>
        <w:annotationRef/>
      </w:r>
      <w:r>
        <w:t>Го има во Косово, кај нас е нацрт.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F03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F03A1" w16cid:durableId="4F8F0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189D" w14:textId="77777777" w:rsidR="00015285" w:rsidRDefault="00015285" w:rsidP="00C71B06">
      <w:r>
        <w:separator/>
      </w:r>
    </w:p>
  </w:endnote>
  <w:endnote w:type="continuationSeparator" w:id="0">
    <w:p w14:paraId="25F37D82" w14:textId="77777777" w:rsidR="00015285" w:rsidRDefault="00015285" w:rsidP="00C7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14C5" w14:textId="77777777" w:rsidR="00015285" w:rsidRDefault="00015285" w:rsidP="00C71B06">
      <w:r>
        <w:separator/>
      </w:r>
    </w:p>
  </w:footnote>
  <w:footnote w:type="continuationSeparator" w:id="0">
    <w:p w14:paraId="6CEC7E35" w14:textId="77777777" w:rsidR="00015285" w:rsidRDefault="00015285" w:rsidP="00C71B06">
      <w:r>
        <w:continuationSeparator/>
      </w:r>
    </w:p>
  </w:footnote>
  <w:footnote w:id="1">
    <w:p w14:paraId="0E53F98C" w14:textId="5980C96E" w:rsidR="009F592F" w:rsidRPr="00B56C97" w:rsidRDefault="009F592F" w:rsidP="009F592F">
      <w:pPr>
        <w:pStyle w:val="FootnoteText"/>
        <w:jc w:val="both"/>
      </w:pPr>
      <w:r>
        <w:rPr>
          <w:rStyle w:val="FootnoteReference"/>
        </w:rPr>
        <w:footnoteRef/>
      </w:r>
      <w:r>
        <w:t xml:space="preserve"> </w:t>
      </w:r>
      <w:r w:rsidRPr="007743EB">
        <w:t>На пример, ако чекорот гласи „обезбедени се 100 компјутери за училиштата во регионот Y“, но Комисијата утврди дека 30 компјутери биле донирани од друг донатор, тогаш во конечниот резултат Комисијата ќе вброи само 70 компјутери.</w:t>
      </w:r>
      <w:r w:rsidRPr="00B56C97">
        <w:t xml:space="preserve"> Овој резултат ќе има стапка на усогласеност од 70% и во согласност со одредбите за делумни плаќања од Спогодбата за Инструментот, Комисијата ќе предложи исплата на делумниот износ или 50% од доделениот износ за конкретниот чекор. Друг случај би бил </w:t>
      </w:r>
      <w:r w:rsidR="00D34964" w:rsidRPr="007743EB">
        <w:t>ако</w:t>
      </w:r>
      <w:r w:rsidRPr="00B56C97">
        <w:t xml:space="preserve"> корисникот испорача 100 компјутери, а друг донатор донира 20 компјутери. Комисијата во својата процена ќе ги вброи тие 100 компјутери во конечниот резултат и ќе смета дека чекорот има стапка на усогласеност од 100% и ќе исплати 100% од износот доделен за конкретниот чекор.</w:t>
      </w:r>
    </w:p>
  </w:footnote>
  <w:footnote w:id="2">
    <w:p w14:paraId="4699176C" w14:textId="3CBC746D" w:rsidR="009F592F" w:rsidRPr="009F592F" w:rsidRDefault="009F592F" w:rsidP="009F592F">
      <w:pPr>
        <w:pStyle w:val="FootnoteText"/>
        <w:jc w:val="both"/>
      </w:pPr>
      <w:r>
        <w:rPr>
          <w:rStyle w:val="FootnoteReference"/>
        </w:rPr>
        <w:footnoteRef/>
      </w:r>
      <w:r>
        <w:t xml:space="preserve"> Член 23(2)(в) – Заштита на финансиските интереси на Унијата (исто така </w:t>
      </w:r>
      <w:r w:rsidR="00267C46">
        <w:t xml:space="preserve">наведено </w:t>
      </w:r>
      <w:r>
        <w:t>во член 9 и член 14(10) и (12) од Спогодбата за Инструментот)</w:t>
      </w:r>
    </w:p>
  </w:footnote>
  <w:footnote w:id="3">
    <w:p w14:paraId="7A246079" w14:textId="26C5A771" w:rsidR="00CE17F9" w:rsidRPr="009F592F" w:rsidRDefault="00CE17F9" w:rsidP="009F592F">
      <w:pPr>
        <w:pStyle w:val="FootnoteText"/>
        <w:jc w:val="both"/>
      </w:pPr>
      <w:r>
        <w:rPr>
          <w:rStyle w:val="FootnoteReference"/>
        </w:rPr>
        <w:footnoteRef/>
      </w:r>
      <w:r w:rsidR="00844274">
        <w:t xml:space="preserve"> Т</w:t>
      </w:r>
      <w:r>
        <w:t>олкување</w:t>
      </w:r>
      <w:r w:rsidR="00844274">
        <w:t>то</w:t>
      </w:r>
      <w:r>
        <w:t xml:space="preserve"> ќе зависи од тоа како е дефиниран поимот „оператив</w:t>
      </w:r>
      <w:r w:rsidR="00B559B8">
        <w:t>ни“ (или „</w:t>
      </w:r>
      <w:r w:rsidR="00180922">
        <w:t>формирани</w:t>
      </w:r>
      <w:r>
        <w:t>“) во РА. Доколку</w:t>
      </w:r>
      <w:r w:rsidR="00B559B8">
        <w:t xml:space="preserve"> терминот „оперативни</w:t>
      </w:r>
      <w:r>
        <w:t>“</w:t>
      </w:r>
      <w:r w:rsidR="00844274">
        <w:t xml:space="preserve"> </w:t>
      </w:r>
      <w:r>
        <w:t xml:space="preserve">се </w:t>
      </w:r>
      <w:r w:rsidR="009C3FB5">
        <w:t>толкува</w:t>
      </w:r>
      <w:r>
        <w:t xml:space="preserve"> како правна и регулативна рамка (закон, мандат, буџет итн.) и физички ресурси (згради, ИТ-опрема. итн.), тогаш комплементарната помош не може да ја замени улогата на </w:t>
      </w:r>
      <w:r w:rsidR="00844274">
        <w:t>органите</w:t>
      </w:r>
      <w:r>
        <w:t xml:space="preserve">, па оттука и </w:t>
      </w:r>
      <w:r w:rsidRPr="009C3FB5">
        <w:t>ризикот од двојно финансирање е мал, бидејќи оваа помош не се преклопува значително со работата на националната администрација</w:t>
      </w:r>
      <w:r>
        <w:t>.</w:t>
      </w:r>
      <w:r w:rsidR="009C3FB5" w:rsidRPr="009C3FB5">
        <w:rPr>
          <w:color w:val="000000"/>
          <w:sz w:val="22"/>
        </w:rPr>
        <w:t xml:space="preserve"> </w:t>
      </w:r>
    </w:p>
  </w:footnote>
  <w:footnote w:id="4">
    <w:p w14:paraId="609604C8" w14:textId="07B54EF4" w:rsidR="00AB15B4" w:rsidRPr="00AB15B4" w:rsidRDefault="00AB15B4" w:rsidP="0068048D">
      <w:pPr>
        <w:pStyle w:val="FootnoteText"/>
        <w:tabs>
          <w:tab w:val="left" w:pos="284"/>
        </w:tabs>
        <w:jc w:val="both"/>
      </w:pPr>
      <w:r>
        <w:rPr>
          <w:rStyle w:val="FootnoteReference"/>
        </w:rPr>
        <w:footnoteRef/>
      </w:r>
      <w:r>
        <w:tab/>
        <w:t>Во овој пример, поимите „</w:t>
      </w:r>
      <w:r w:rsidR="00412747">
        <w:t>формирање</w:t>
      </w:r>
      <w:r>
        <w:t xml:space="preserve">“ или „оперативен“ </w:t>
      </w:r>
      <w:r w:rsidR="00026DE1">
        <w:t>значат</w:t>
      </w:r>
      <w:r>
        <w:t xml:space="preserve"> изградба или реконструкција на ЦСОО – што точно опфаќа чекорот треба да се разбере </w:t>
      </w:r>
      <w:r w:rsidRPr="00026DE1">
        <w:t>од описот на чекорот</w:t>
      </w:r>
      <w:r>
        <w:t xml:space="preserve"> во Реформската агенда.</w:t>
      </w:r>
    </w:p>
  </w:footnote>
  <w:footnote w:id="5">
    <w:p w14:paraId="76424C30" w14:textId="359BE383" w:rsidR="00847C44" w:rsidRDefault="00847C44" w:rsidP="00847C44">
      <w:pPr>
        <w:pStyle w:val="FootnoteText"/>
        <w:tabs>
          <w:tab w:val="left" w:pos="284"/>
        </w:tabs>
        <w:jc w:val="both"/>
      </w:pPr>
      <w:r>
        <w:rPr>
          <w:rStyle w:val="FootnoteReference"/>
        </w:rPr>
        <w:footnoteRef/>
      </w:r>
      <w:r>
        <w:tab/>
        <w:t>„</w:t>
      </w:r>
      <w:r w:rsidR="00E902DD">
        <w:t xml:space="preserve">Се припишува во </w:t>
      </w:r>
      <w:r w:rsidR="007F024E">
        <w:t>нај</w:t>
      </w:r>
      <w:r w:rsidR="00E902DD">
        <w:t>голема мера</w:t>
      </w:r>
      <w:r w:rsidRPr="00847C44">
        <w:t>“ во овој контекст значи дека конкретниот ЦСОО што е наведен како резултат во рамките на овој конкретен чекор е целосно изграден или целосно реновиран од паралелен донатор од ЕУ</w:t>
      </w:r>
      <w:r w:rsidR="004A49F2">
        <w:t xml:space="preserve"> </w:t>
      </w:r>
      <w:r w:rsidRPr="00847C44">
        <w:t>/</w:t>
      </w:r>
      <w:r w:rsidR="004A49F2">
        <w:t xml:space="preserve"> </w:t>
      </w:r>
      <w:r w:rsidRPr="00847C44">
        <w:t xml:space="preserve">друг донатор или веќе е наведен како резултат во рамките на друга програма на ЕУ (т.е. програма за буџетска поддршка </w:t>
      </w:r>
      <w:r w:rsidR="00352040">
        <w:t>ч</w:t>
      </w:r>
      <w:r w:rsidR="00E902DD">
        <w:t>ија цел била</w:t>
      </w:r>
      <w:r w:rsidRPr="00847C44">
        <w:t xml:space="preserve"> изградба</w:t>
      </w:r>
      <w:r w:rsidR="00E902DD">
        <w:t>та</w:t>
      </w:r>
      <w:r w:rsidRPr="00847C44">
        <w:t xml:space="preserve"> на ЦСОО, а истиот ЦСОО е наведен и таму, но и во конкретниот чекор од овој пример).</w:t>
      </w:r>
    </w:p>
  </w:footnote>
  <w:footnote w:id="6">
    <w:p w14:paraId="6871BDFA" w14:textId="77777777" w:rsidR="0068048D" w:rsidRPr="0068048D" w:rsidRDefault="0068048D" w:rsidP="0068048D">
      <w:pPr>
        <w:pStyle w:val="FootnoteText"/>
        <w:tabs>
          <w:tab w:val="left" w:pos="284"/>
        </w:tabs>
        <w:jc w:val="both"/>
      </w:pPr>
      <w:r>
        <w:rPr>
          <w:rStyle w:val="FootnoteReference"/>
        </w:rPr>
        <w:footnoteRef/>
      </w:r>
      <w:r>
        <w:tab/>
        <w:t xml:space="preserve">Во пракса, делот од исплатите на заемот што му е доделен </w:t>
      </w:r>
      <w:r w:rsidR="00405AA4">
        <w:t>на ИРЗБ ќе му биде исплатен на К</w:t>
      </w:r>
      <w:r>
        <w:t>орисникот, кој има обврска да ги уплати во ЕЗФЗБ во согласност со договорите за придонес склучени помеѓу ЕЗФЗБ и Корисникот.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9B8FCD8"/>
    <w:lvl w:ilvl="0">
      <w:numFmt w:val="bullet"/>
      <w:lvlText w:val="*"/>
      <w:lvlJc w:val="left"/>
    </w:lvl>
  </w:abstractNum>
  <w:abstractNum w:abstractNumId="1" w15:restartNumberingAfterBreak="0">
    <w:nsid w:val="0FEC13FB"/>
    <w:multiLevelType w:val="singleLevel"/>
    <w:tmpl w:val="96EC5570"/>
    <w:lvl w:ilvl="0">
      <w:start w:val="1"/>
      <w:numFmt w:val="decimal"/>
      <w:lvlText w:val="(%1)"/>
      <w:legacy w:legacy="1" w:legacySpace="0" w:legacyIndent="710"/>
      <w:lvlJc w:val="left"/>
      <w:rPr>
        <w:rFonts w:ascii="Arial" w:hAnsi="Arial" w:cs="Arial" w:hint="default"/>
      </w:rPr>
    </w:lvl>
  </w:abstractNum>
  <w:abstractNum w:abstractNumId="2" w15:restartNumberingAfterBreak="0">
    <w:nsid w:val="6CD441D1"/>
    <w:multiLevelType w:val="hybridMultilevel"/>
    <w:tmpl w:val="8118E782"/>
    <w:lvl w:ilvl="0" w:tplc="DB7809B4">
      <w:start w:val="3"/>
      <w:numFmt w:val="bullet"/>
      <w:lvlText w:val="-"/>
      <w:lvlJc w:val="left"/>
      <w:pPr>
        <w:ind w:left="720" w:hanging="360"/>
      </w:pPr>
      <w:rPr>
        <w:rFonts w:ascii="Arial" w:eastAsiaTheme="minorEastAsia" w:hAnsi="Arial" w:cs="Arial" w:hint="default"/>
        <w:color w:val="24242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125">
    <w:abstractNumId w:val="2"/>
  </w:num>
  <w:num w:numId="2" w16cid:durableId="316999469">
    <w:abstractNumId w:val="1"/>
  </w:num>
  <w:num w:numId="3" w16cid:durableId="712995975">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ina Velevska">
    <w15:presenceInfo w15:providerId="AD" w15:userId="S-1-5-21-3253005005-4116527664-3852249044-2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FB"/>
    <w:rsid w:val="000035E8"/>
    <w:rsid w:val="00015285"/>
    <w:rsid w:val="00026DE1"/>
    <w:rsid w:val="00044A55"/>
    <w:rsid w:val="0006504E"/>
    <w:rsid w:val="00077A33"/>
    <w:rsid w:val="000A441A"/>
    <w:rsid w:val="000F328C"/>
    <w:rsid w:val="00120121"/>
    <w:rsid w:val="001375A9"/>
    <w:rsid w:val="00152E74"/>
    <w:rsid w:val="00180922"/>
    <w:rsid w:val="001819D0"/>
    <w:rsid w:val="00192531"/>
    <w:rsid w:val="001A4B4A"/>
    <w:rsid w:val="001A60A9"/>
    <w:rsid w:val="001D534E"/>
    <w:rsid w:val="001F2E1A"/>
    <w:rsid w:val="00204ED0"/>
    <w:rsid w:val="002167E9"/>
    <w:rsid w:val="002248B3"/>
    <w:rsid w:val="0026417A"/>
    <w:rsid w:val="00267C46"/>
    <w:rsid w:val="002A50DA"/>
    <w:rsid w:val="002B74CD"/>
    <w:rsid w:val="002D50B0"/>
    <w:rsid w:val="002D7FC8"/>
    <w:rsid w:val="002E1FF1"/>
    <w:rsid w:val="002E69E5"/>
    <w:rsid w:val="002F6A02"/>
    <w:rsid w:val="00325E18"/>
    <w:rsid w:val="00335D56"/>
    <w:rsid w:val="00343418"/>
    <w:rsid w:val="00352040"/>
    <w:rsid w:val="00394FFE"/>
    <w:rsid w:val="003A0712"/>
    <w:rsid w:val="00405AA4"/>
    <w:rsid w:val="00412747"/>
    <w:rsid w:val="0044384A"/>
    <w:rsid w:val="00445114"/>
    <w:rsid w:val="0048640E"/>
    <w:rsid w:val="00492E3A"/>
    <w:rsid w:val="004A49F2"/>
    <w:rsid w:val="004C7C17"/>
    <w:rsid w:val="005006F4"/>
    <w:rsid w:val="0051341E"/>
    <w:rsid w:val="0053105B"/>
    <w:rsid w:val="0057034E"/>
    <w:rsid w:val="00585619"/>
    <w:rsid w:val="005C32C6"/>
    <w:rsid w:val="005E52DA"/>
    <w:rsid w:val="006019B0"/>
    <w:rsid w:val="00612D18"/>
    <w:rsid w:val="00646167"/>
    <w:rsid w:val="00663489"/>
    <w:rsid w:val="006722EA"/>
    <w:rsid w:val="00674959"/>
    <w:rsid w:val="0068048D"/>
    <w:rsid w:val="006A65E8"/>
    <w:rsid w:val="006A67AD"/>
    <w:rsid w:val="006C21FC"/>
    <w:rsid w:val="006C7398"/>
    <w:rsid w:val="006D4DFA"/>
    <w:rsid w:val="006F29A5"/>
    <w:rsid w:val="006F5C11"/>
    <w:rsid w:val="00712DC7"/>
    <w:rsid w:val="007351EF"/>
    <w:rsid w:val="00773CD5"/>
    <w:rsid w:val="007743EB"/>
    <w:rsid w:val="00786CC1"/>
    <w:rsid w:val="007F024E"/>
    <w:rsid w:val="00803AFB"/>
    <w:rsid w:val="0083164D"/>
    <w:rsid w:val="00832822"/>
    <w:rsid w:val="00844274"/>
    <w:rsid w:val="00847C44"/>
    <w:rsid w:val="00881D05"/>
    <w:rsid w:val="008E4228"/>
    <w:rsid w:val="00955BA9"/>
    <w:rsid w:val="009C3FB5"/>
    <w:rsid w:val="009D0C75"/>
    <w:rsid w:val="009F592F"/>
    <w:rsid w:val="00A002DE"/>
    <w:rsid w:val="00A01EC4"/>
    <w:rsid w:val="00A10AD6"/>
    <w:rsid w:val="00A16DEE"/>
    <w:rsid w:val="00AB15B4"/>
    <w:rsid w:val="00AF178F"/>
    <w:rsid w:val="00B559B8"/>
    <w:rsid w:val="00B56C97"/>
    <w:rsid w:val="00B576A1"/>
    <w:rsid w:val="00B6228B"/>
    <w:rsid w:val="00B71F17"/>
    <w:rsid w:val="00BC473E"/>
    <w:rsid w:val="00BC71F6"/>
    <w:rsid w:val="00BE2C2A"/>
    <w:rsid w:val="00BF5B98"/>
    <w:rsid w:val="00C002E6"/>
    <w:rsid w:val="00C243EB"/>
    <w:rsid w:val="00C3196B"/>
    <w:rsid w:val="00C55CCA"/>
    <w:rsid w:val="00C71B06"/>
    <w:rsid w:val="00C75016"/>
    <w:rsid w:val="00CB46DF"/>
    <w:rsid w:val="00CB6C97"/>
    <w:rsid w:val="00CD1EC1"/>
    <w:rsid w:val="00CE17F9"/>
    <w:rsid w:val="00D06E86"/>
    <w:rsid w:val="00D165F6"/>
    <w:rsid w:val="00D30831"/>
    <w:rsid w:val="00D34964"/>
    <w:rsid w:val="00D53AFA"/>
    <w:rsid w:val="00D62746"/>
    <w:rsid w:val="00DC0090"/>
    <w:rsid w:val="00DE15FD"/>
    <w:rsid w:val="00DF226C"/>
    <w:rsid w:val="00E14BB3"/>
    <w:rsid w:val="00E3608F"/>
    <w:rsid w:val="00E902DD"/>
    <w:rsid w:val="00EA6A68"/>
    <w:rsid w:val="00F07A72"/>
    <w:rsid w:val="00F4107C"/>
    <w:rsid w:val="00F541AD"/>
    <w:rsid w:val="00F741B6"/>
    <w:rsid w:val="00F9342E"/>
    <w:rsid w:val="00FA1C83"/>
    <w:rsid w:val="00F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A3515"/>
  <w14:defaultImageDpi w14:val="0"/>
  <w15:docId w15:val="{4C889629-F0BA-4F3A-ABF6-AD62725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1B06"/>
  </w:style>
  <w:style w:type="character" w:customStyle="1" w:styleId="FootnoteTextChar">
    <w:name w:val="Footnote Text Char"/>
    <w:basedOn w:val="DefaultParagraphFont"/>
    <w:link w:val="FootnoteText"/>
    <w:uiPriority w:val="99"/>
    <w:semiHidden/>
    <w:rsid w:val="00C71B06"/>
    <w:rPr>
      <w:rFonts w:ascii="Arial" w:hAnsi="Arial" w:cs="Arial"/>
      <w:sz w:val="20"/>
      <w:szCs w:val="20"/>
    </w:rPr>
  </w:style>
  <w:style w:type="character" w:styleId="FootnoteReference">
    <w:name w:val="footnote reference"/>
    <w:basedOn w:val="DefaultParagraphFont"/>
    <w:uiPriority w:val="99"/>
    <w:semiHidden/>
    <w:unhideWhenUsed/>
    <w:rsid w:val="00C71B06"/>
    <w:rPr>
      <w:vertAlign w:val="superscript"/>
    </w:rPr>
  </w:style>
  <w:style w:type="table" w:styleId="TableGrid">
    <w:name w:val="Table Grid"/>
    <w:basedOn w:val="TableNormal"/>
    <w:uiPriority w:val="39"/>
    <w:rsid w:val="001A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4DFA"/>
    <w:rPr>
      <w:sz w:val="16"/>
      <w:szCs w:val="16"/>
    </w:rPr>
  </w:style>
  <w:style w:type="paragraph" w:styleId="CommentText">
    <w:name w:val="annotation text"/>
    <w:basedOn w:val="Normal"/>
    <w:link w:val="CommentTextChar"/>
    <w:uiPriority w:val="99"/>
    <w:semiHidden/>
    <w:unhideWhenUsed/>
    <w:rsid w:val="006D4DFA"/>
  </w:style>
  <w:style w:type="character" w:customStyle="1" w:styleId="CommentTextChar">
    <w:name w:val="Comment Text Char"/>
    <w:basedOn w:val="DefaultParagraphFont"/>
    <w:link w:val="CommentText"/>
    <w:uiPriority w:val="99"/>
    <w:semiHidden/>
    <w:rsid w:val="006D4D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D4DFA"/>
    <w:rPr>
      <w:b/>
      <w:bCs/>
    </w:rPr>
  </w:style>
  <w:style w:type="character" w:customStyle="1" w:styleId="CommentSubjectChar">
    <w:name w:val="Comment Subject Char"/>
    <w:basedOn w:val="CommentTextChar"/>
    <w:link w:val="CommentSubject"/>
    <w:uiPriority w:val="99"/>
    <w:semiHidden/>
    <w:rsid w:val="006D4DFA"/>
    <w:rPr>
      <w:rFonts w:ascii="Arial" w:hAnsi="Arial" w:cs="Arial"/>
      <w:b/>
      <w:bCs/>
      <w:sz w:val="20"/>
      <w:szCs w:val="20"/>
    </w:rPr>
  </w:style>
  <w:style w:type="paragraph" w:styleId="BalloonText">
    <w:name w:val="Balloon Text"/>
    <w:basedOn w:val="Normal"/>
    <w:link w:val="BalloonTextChar"/>
    <w:uiPriority w:val="99"/>
    <w:semiHidden/>
    <w:unhideWhenUsed/>
    <w:rsid w:val="006D4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DFA"/>
    <w:rPr>
      <w:rFonts w:ascii="Segoe UI" w:hAnsi="Segoe UI" w:cs="Segoe UI"/>
      <w:sz w:val="18"/>
      <w:szCs w:val="18"/>
    </w:rPr>
  </w:style>
  <w:style w:type="paragraph" w:styleId="Revision">
    <w:name w:val="Revision"/>
    <w:hidden/>
    <w:uiPriority w:val="99"/>
    <w:semiHidden/>
    <w:rsid w:val="00B56C97"/>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6779-57F5-4375-ABE3-B8B6CC0C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ZECCA Giorgio (NEAR)</dc:creator>
  <cp:keywords/>
  <dc:description/>
  <cp:lastModifiedBy>Zlatko Jankovski</cp:lastModifiedBy>
  <cp:revision>2</cp:revision>
  <dcterms:created xsi:type="dcterms:W3CDTF">2025-06-04T09:31:00Z</dcterms:created>
  <dcterms:modified xsi:type="dcterms:W3CDTF">2025-06-04T09:31:00Z</dcterms:modified>
</cp:coreProperties>
</file>