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4B1E5" w14:textId="15270614" w:rsidR="004233D9" w:rsidRDefault="004233D9" w:rsidP="00BE032B">
      <w:pPr>
        <w:jc w:val="both"/>
        <w:rPr>
          <w:rFonts w:ascii="StobiSherif Regular" w:hAnsi="StobiSherif Regular"/>
          <w:sz w:val="22"/>
          <w:szCs w:val="22"/>
          <w:lang w:val="mk-MK"/>
        </w:rPr>
      </w:pPr>
      <w:r w:rsidRPr="00BE032B">
        <w:rPr>
          <w:rFonts w:ascii="StobiSherif Regular" w:hAnsi="StobiSherif Regular"/>
          <w:noProof/>
          <w:sz w:val="22"/>
          <w:szCs w:val="22"/>
          <w:lang w:val="mk-MK" w:eastAsia="mk-MK"/>
        </w:rPr>
        <w:drawing>
          <wp:inline distT="0" distB="0" distL="0" distR="0" wp14:anchorId="1520F799" wp14:editId="1E497F29">
            <wp:extent cx="5943600" cy="3963035"/>
            <wp:effectExtent l="0" t="0" r="0" b="0"/>
            <wp:docPr id="4" name="Picture 4" descr="C:\Users\imickoska\Downloads\ChatGPT Image Jun 11, 2026, 11_24_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imickoska\Downloads\ChatGPT Image Jun 11, 2026, 11_24_25 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25481AD" w14:textId="77777777" w:rsidR="004233D9" w:rsidRDefault="004233D9" w:rsidP="00BE032B">
      <w:pPr>
        <w:jc w:val="both"/>
        <w:rPr>
          <w:rFonts w:ascii="StobiSherif Regular" w:hAnsi="StobiSherif Regular"/>
          <w:sz w:val="22"/>
          <w:szCs w:val="22"/>
          <w:lang w:val="mk-MK"/>
        </w:rPr>
      </w:pPr>
    </w:p>
    <w:p w14:paraId="256E2602" w14:textId="3CC67D90" w:rsidR="00D54269" w:rsidRDefault="00BE032B" w:rsidP="004233D9">
      <w:pPr>
        <w:spacing w:line="480" w:lineRule="auto"/>
        <w:ind w:firstLine="720"/>
        <w:jc w:val="both"/>
        <w:rPr>
          <w:rFonts w:ascii="StobiSherif Regular" w:hAnsi="StobiSherif Regular" w:cs="Times New Roman"/>
          <w:sz w:val="22"/>
          <w:szCs w:val="22"/>
          <w:lang w:val="mk-MK"/>
        </w:rPr>
      </w:pPr>
      <w:r w:rsidRPr="00BE032B">
        <w:rPr>
          <w:rFonts w:ascii="StobiSherif Regular" w:hAnsi="StobiSherif Regular"/>
          <w:sz w:val="22"/>
          <w:szCs w:val="22"/>
          <w:lang w:val="mk-MK"/>
        </w:rPr>
        <w:t xml:space="preserve">Ве известуваме дека Министерството за здравство, пристапи </w:t>
      </w:r>
      <w:r w:rsidR="002E2385">
        <w:rPr>
          <w:rFonts w:ascii="StobiSherif Regular" w:hAnsi="StobiSherif Regular"/>
          <w:sz w:val="22"/>
          <w:szCs w:val="22"/>
          <w:lang w:val="mk-MK"/>
        </w:rPr>
        <w:t>кон</w:t>
      </w:r>
      <w:r w:rsidRPr="00BE032B">
        <w:rPr>
          <w:rFonts w:ascii="StobiSherif Regular" w:hAnsi="StobiSherif Regular"/>
          <w:sz w:val="22"/>
          <w:szCs w:val="22"/>
          <w:lang w:val="mk-MK"/>
        </w:rPr>
        <w:t xml:space="preserve"> подготвување на </w:t>
      </w:r>
      <w:r w:rsidR="002E2385">
        <w:rPr>
          <w:rFonts w:ascii="StobiSherif Regular" w:hAnsi="StobiSherif Regular" w:cs="Times New Roman"/>
          <w:sz w:val="22"/>
          <w:szCs w:val="22"/>
          <w:lang w:val="mk-MK"/>
        </w:rPr>
        <w:t>Нацрт с</w:t>
      </w:r>
      <w:r w:rsidR="00D54269" w:rsidRPr="00BE032B">
        <w:rPr>
          <w:rFonts w:ascii="StobiSherif Regular" w:hAnsi="StobiSherif Regular" w:cs="Times New Roman"/>
          <w:sz w:val="22"/>
          <w:szCs w:val="22"/>
          <w:lang w:val="mk-MK"/>
        </w:rPr>
        <w:t>тратегија за управување со фармацевтски отпад</w:t>
      </w:r>
      <w:r w:rsidR="002E2385">
        <w:rPr>
          <w:rFonts w:ascii="StobiSherif Regular" w:hAnsi="StobiSherif Regular" w:cs="Times New Roman"/>
          <w:sz w:val="22"/>
          <w:szCs w:val="22"/>
          <w:lang w:val="mk-MK"/>
        </w:rPr>
        <w:t>, која</w:t>
      </w:r>
      <w:r w:rsidR="00D54269" w:rsidRPr="00BE032B">
        <w:rPr>
          <w:rFonts w:ascii="StobiSherif Regular" w:hAnsi="StobiSherif Regular" w:cs="Times New Roman"/>
          <w:sz w:val="22"/>
          <w:szCs w:val="22"/>
          <w:lang w:val="mk-MK"/>
        </w:rPr>
        <w:t xml:space="preserve"> ја опфаќа областа на управување со отпад, јавно здравје и заштита на животната средина, со фокус на фармацевтскиот отпад како специфична и високо ризична категорија. Стратегијата претставува интерсекторски документ кој ги поврзува политиките за животна средина и здравство и обезбедува рамка за интегрирано управување со фармацевтскиот отпад во текот на целиот негов животен циклус, од создавање до финален третман.</w:t>
      </w:r>
    </w:p>
    <w:p w14:paraId="0DB4DB9E" w14:textId="77777777" w:rsidR="00D54269" w:rsidRPr="00BE032B" w:rsidRDefault="00D54269" w:rsidP="004233D9">
      <w:pPr>
        <w:spacing w:before="120" w:after="120" w:line="480" w:lineRule="auto"/>
        <w:jc w:val="both"/>
        <w:rPr>
          <w:rFonts w:ascii="StobiSherif Regular" w:hAnsi="StobiSherif Regular" w:cs="Times New Roman"/>
          <w:sz w:val="22"/>
          <w:szCs w:val="22"/>
          <w:lang w:val="mk-MK"/>
        </w:rPr>
      </w:pPr>
      <w:r w:rsidRPr="00BE032B">
        <w:rPr>
          <w:rFonts w:ascii="StobiSherif Regular" w:hAnsi="StobiSherif Regular" w:cs="Times New Roman"/>
          <w:sz w:val="22"/>
          <w:szCs w:val="22"/>
          <w:lang w:val="mk-MK"/>
        </w:rPr>
        <w:tab/>
        <w:t xml:space="preserve">Во доменот на животната средина, стратегијата има за цел да го намали неконтролираното одлагање на фармацевтски супстанции, да придонесе кон заштита на водните ресурси и почвите и да ја унапреди примената на принципите на превенција и „загадувачот плаќа“. Во доменот на јавното здравје, стратегијата е насочена кон намалување </w:t>
      </w:r>
      <w:r w:rsidRPr="00BE032B">
        <w:rPr>
          <w:rFonts w:ascii="StobiSherif Regular" w:hAnsi="StobiSherif Regular" w:cs="Times New Roman"/>
          <w:sz w:val="22"/>
          <w:szCs w:val="22"/>
          <w:lang w:val="mk-MK"/>
        </w:rPr>
        <w:lastRenderedPageBreak/>
        <w:t>на ризиците поврзани со неправилно постапување со лекови, вклучително и ризиците од труење, злоупотреба и придонес кон антимикробна резистенција.</w:t>
      </w:r>
    </w:p>
    <w:p w14:paraId="6E59FB69" w14:textId="77777777" w:rsidR="00D54269" w:rsidRPr="00BE032B" w:rsidRDefault="00D54269" w:rsidP="004233D9">
      <w:pPr>
        <w:spacing w:before="120" w:after="120" w:line="480" w:lineRule="auto"/>
        <w:jc w:val="both"/>
        <w:rPr>
          <w:rFonts w:ascii="StobiSherif Regular" w:hAnsi="StobiSherif Regular" w:cs="Times New Roman"/>
          <w:sz w:val="22"/>
          <w:szCs w:val="22"/>
          <w:lang w:val="mk-MK"/>
        </w:rPr>
      </w:pPr>
      <w:r w:rsidRPr="00BE032B">
        <w:rPr>
          <w:rFonts w:ascii="StobiSherif Regular" w:hAnsi="StobiSherif Regular" w:cs="Times New Roman"/>
          <w:sz w:val="22"/>
          <w:szCs w:val="22"/>
          <w:lang w:val="mk-MK"/>
        </w:rPr>
        <w:tab/>
        <w:t>Клучните правци на делување на стратегијата се насочени кон воспоставување национален систем за враќање и собирање фармацевтски отпад од домаќинствата, јакнење на улогата на аптеките како пунктови за прием на отпадни лекови, воведување механизам за проширена одговорност на производителите како основа за финансиска одржливост, како и воспоставување на централизирани механизми за следење, известување и оценување на тековите на фармацевтски отпад. Дополнително, стратегијата предвидува унапредување на институционалната координација, стандардизација на практиките и континуирана едукација и информирање на населението.</w:t>
      </w:r>
    </w:p>
    <w:p w14:paraId="0FBB2305" w14:textId="12136169" w:rsidR="00687BBA" w:rsidRPr="00BE032B" w:rsidRDefault="00D54269" w:rsidP="004233D9">
      <w:pPr>
        <w:spacing w:before="120" w:after="120" w:line="480" w:lineRule="auto"/>
        <w:jc w:val="both"/>
        <w:rPr>
          <w:rFonts w:ascii="StobiSherif Regular" w:hAnsi="StobiSherif Regular"/>
          <w:sz w:val="22"/>
          <w:szCs w:val="22"/>
          <w:lang w:val="mk-MK"/>
        </w:rPr>
      </w:pPr>
      <w:r w:rsidRPr="00BE032B">
        <w:rPr>
          <w:rFonts w:ascii="StobiSherif Regular" w:hAnsi="StobiSherif Regular" w:cs="Times New Roman"/>
          <w:sz w:val="22"/>
          <w:szCs w:val="22"/>
          <w:lang w:val="mk-MK"/>
        </w:rPr>
        <w:tab/>
        <w:t>Преку овие политики и правци на делување, стратегијата создава основа за воспоставување одржлив, функционален и европски усогласен систем за управување со фармацевтски отпад, кој придонесува кон заштита на здравјето на населението и животната средина и кон исполнување на националните и меѓународните обврски на Република Северна Македонија.</w:t>
      </w:r>
    </w:p>
    <w:p w14:paraId="0C512240" w14:textId="09748088" w:rsidR="00687BBA" w:rsidRDefault="002E2385" w:rsidP="004233D9">
      <w:pPr>
        <w:spacing w:line="480" w:lineRule="auto"/>
        <w:jc w:val="both"/>
        <w:rPr>
          <w:rFonts w:ascii="StobiSherif Regular" w:hAnsi="StobiSherif Regular"/>
          <w:sz w:val="22"/>
          <w:szCs w:val="22"/>
          <w:lang w:val="mk-MK"/>
        </w:rPr>
      </w:pPr>
      <w:r>
        <w:rPr>
          <w:rFonts w:ascii="StobiSherif Regular" w:hAnsi="StobiSherif Regular"/>
          <w:sz w:val="22"/>
          <w:szCs w:val="22"/>
          <w:lang w:val="mk-MK"/>
        </w:rPr>
        <w:t xml:space="preserve">Во прилог на ова известување, даден е табеларен приказ на структурата на стратешката рамка на Нацрт стратегијата. </w:t>
      </w:r>
    </w:p>
    <w:p w14:paraId="5D5C4C96" w14:textId="442047F3" w:rsidR="00687BBA" w:rsidRPr="00BE032B" w:rsidRDefault="002E2385" w:rsidP="004233D9">
      <w:pPr>
        <w:spacing w:line="480" w:lineRule="auto"/>
        <w:jc w:val="both"/>
        <w:rPr>
          <w:rFonts w:ascii="StobiSherif Regular" w:hAnsi="StobiSherif Regular"/>
          <w:sz w:val="22"/>
          <w:szCs w:val="22"/>
          <w:lang w:val="mk-MK"/>
        </w:rPr>
        <w:sectPr w:rsidR="00687BBA" w:rsidRPr="00BE032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StobiSherif Regular" w:hAnsi="StobiSherif Regular"/>
          <w:sz w:val="22"/>
          <w:szCs w:val="22"/>
          <w:lang w:val="mk-MK"/>
        </w:rPr>
        <w:t xml:space="preserve">Нацрт стратегијата како документ, ќе биде поставена на ЕНЕР во временски период од 30 дена (веднаш по поставувањето ќе биде поставен линк на </w:t>
      </w:r>
      <w:r>
        <w:rPr>
          <w:rFonts w:ascii="StobiSherif Regular" w:hAnsi="StobiSherif Regular"/>
          <w:sz w:val="22"/>
          <w:szCs w:val="22"/>
        </w:rPr>
        <w:t xml:space="preserve">web </w:t>
      </w:r>
      <w:r>
        <w:rPr>
          <w:rFonts w:ascii="StobiSherif Regular" w:hAnsi="StobiSherif Regular"/>
          <w:sz w:val="22"/>
          <w:szCs w:val="22"/>
          <w:lang w:val="mk-MK"/>
        </w:rPr>
        <w:t xml:space="preserve">страницата) каде ќе може да го погледнете </w:t>
      </w:r>
      <w:r w:rsidR="004233D9">
        <w:rPr>
          <w:rFonts w:ascii="StobiSherif Regular" w:hAnsi="StobiSherif Regular"/>
          <w:sz w:val="22"/>
          <w:szCs w:val="22"/>
          <w:lang w:val="mk-MK"/>
        </w:rPr>
        <w:t xml:space="preserve">и </w:t>
      </w:r>
      <w:r>
        <w:rPr>
          <w:rFonts w:ascii="StobiSherif Regular" w:hAnsi="StobiSherif Regular"/>
          <w:sz w:val="22"/>
          <w:szCs w:val="22"/>
          <w:lang w:val="mk-MK"/>
        </w:rPr>
        <w:t>документот во работна верзија и дадете Ваши коментари, сугестии и мислења по истиот нацрт текст.</w:t>
      </w:r>
    </w:p>
    <w:p w14:paraId="2D10CD58" w14:textId="765496FE" w:rsidR="00687BBA" w:rsidRPr="00BE032B" w:rsidRDefault="0039465F" w:rsidP="00BE032B">
      <w:pPr>
        <w:jc w:val="both"/>
        <w:rPr>
          <w:rFonts w:ascii="StobiSherif Regular" w:hAnsi="StobiSherif Regular"/>
          <w:sz w:val="22"/>
          <w:szCs w:val="22"/>
          <w:lang w:val="mk-MK"/>
        </w:rPr>
      </w:pPr>
      <w:r w:rsidRPr="00BE032B">
        <w:rPr>
          <w:rFonts w:ascii="StobiSherif Regular" w:hAnsi="StobiSherif Regular"/>
          <w:noProof/>
          <w:sz w:val="22"/>
          <w:szCs w:val="22"/>
          <w:lang w:val="mk-MK" w:eastAsia="mk-M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645DF" wp14:editId="669F2866">
                <wp:simplePos x="0" y="0"/>
                <wp:positionH relativeFrom="margin">
                  <wp:posOffset>5819775</wp:posOffset>
                </wp:positionH>
                <wp:positionV relativeFrom="paragraph">
                  <wp:posOffset>-733425</wp:posOffset>
                </wp:positionV>
                <wp:extent cx="3178175" cy="7410450"/>
                <wp:effectExtent l="0" t="0" r="22225" b="19050"/>
                <wp:wrapNone/>
                <wp:docPr id="8589418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175" cy="7410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4E1E2" w14:textId="77777777" w:rsidR="00687BBA" w:rsidRPr="009A6F43" w:rsidRDefault="00687BBA" w:rsidP="00687BBA">
                            <w:pPr>
                              <w:jc w:val="center"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A6F43">
                              <w:rPr>
                                <w:rFonts w:ascii="StobiSherif Regular" w:hAnsi="StobiSherif Regular" w:cs="Calibri"/>
                                <w:sz w:val="18"/>
                                <w:szCs w:val="18"/>
                              </w:rPr>
                              <w:t xml:space="preserve">ПРИОРИТЕТНА ОБЛАСТ 3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Подигање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јавната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свест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активно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учество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засегнатите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страни</w:t>
                            </w:r>
                            <w:proofErr w:type="spellEnd"/>
                          </w:p>
                          <w:p w14:paraId="31FA6E33" w14:textId="77777777" w:rsidR="00687BBA" w:rsidRDefault="00687BBA" w:rsidP="00687BBA">
                            <w:pPr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општа</w:t>
                            </w:r>
                            <w:proofErr w:type="spellEnd"/>
                            <w:proofErr w:type="gramEnd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Подобрена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информираност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знаења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однесувања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населението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засегнатите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страни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однос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правилно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постапување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отпадни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лекови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зголемување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учеството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системот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управување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фармацевтски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отпад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намалување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ризиците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јавното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здравје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животната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средина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BDE10F0" w14:textId="77777777" w:rsidR="00687BBA" w:rsidRDefault="00687BBA" w:rsidP="00687BBA">
                            <w:pPr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посебна</w:t>
                            </w:r>
                            <w:proofErr w:type="spellEnd"/>
                            <w:proofErr w:type="gramEnd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3.1.</w:t>
                            </w:r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Подобрен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систем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proofErr w:type="gram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информираност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знаења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населението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ризиците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од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неправилно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отстранување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лекови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придобивките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од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нивно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правилно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color w:val="0070C0"/>
                                <w:sz w:val="18"/>
                                <w:szCs w:val="18"/>
                              </w:rPr>
                              <w:t>враќање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13C9A23" w14:textId="77777777" w:rsidR="00687BBA" w:rsidRPr="009A6F43" w:rsidRDefault="00687BBA" w:rsidP="00687BBA">
                            <w:pPr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3.1.1.</w:t>
                            </w:r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Национална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информативна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кампања</w:t>
                            </w:r>
                            <w:proofErr w:type="spellEnd"/>
                          </w:p>
                          <w:p w14:paraId="0CF1E71E" w14:textId="77777777" w:rsidR="00687BBA" w:rsidRPr="009A6F43" w:rsidRDefault="00687BBA" w:rsidP="00687BBA">
                            <w:pPr>
                              <w:numPr>
                                <w:ilvl w:val="0"/>
                                <w:numId w:val="13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Изработка</w:t>
                            </w:r>
                            <w:proofErr w:type="spellEnd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комуникациска</w:t>
                            </w:r>
                            <w:proofErr w:type="spellEnd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стратегија</w:t>
                            </w:r>
                            <w:proofErr w:type="spellEnd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пораки</w:t>
                            </w:r>
                            <w:proofErr w:type="spellEnd"/>
                          </w:p>
                          <w:p w14:paraId="373C186E" w14:textId="77777777" w:rsidR="00687BBA" w:rsidRPr="009A6F43" w:rsidRDefault="00687BBA" w:rsidP="00687BBA">
                            <w:pPr>
                              <w:numPr>
                                <w:ilvl w:val="0"/>
                                <w:numId w:val="13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Медиумска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кампања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(ТВ,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радио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онлајн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7821196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3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Информативни</w:t>
                            </w:r>
                            <w:proofErr w:type="spellEnd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материјали</w:t>
                            </w:r>
                            <w:proofErr w:type="spellEnd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брошури</w:t>
                            </w:r>
                            <w:proofErr w:type="spellEnd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постери</w:t>
                            </w:r>
                            <w:proofErr w:type="spellEnd"/>
                            <w:r w:rsidRPr="009A6F43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3E96C93" w14:textId="77777777" w:rsidR="00687BBA" w:rsidRPr="009A6F43" w:rsidRDefault="00687BBA" w:rsidP="00687BBA">
                            <w:pPr>
                              <w:ind w:left="360"/>
                              <w:contextualSpacing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5CF72F5F" w14:textId="77777777" w:rsidR="00687BBA" w:rsidRPr="009A6F43" w:rsidRDefault="00687BBA" w:rsidP="00687BBA">
                            <w:pPr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посебна</w:t>
                            </w:r>
                            <w:proofErr w:type="spellEnd"/>
                            <w:proofErr w:type="gramEnd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3.2.</w:t>
                            </w:r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Поттикнување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активно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учество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населението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системите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враќање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отпадни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лекови</w:t>
                            </w:r>
                            <w:proofErr w:type="spellEnd"/>
                          </w:p>
                          <w:p w14:paraId="11E145FA" w14:textId="77777777" w:rsidR="00687BBA" w:rsidRPr="00315CDF" w:rsidRDefault="00687BBA" w:rsidP="00687BBA">
                            <w:pPr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3.2.1.</w:t>
                            </w:r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Поттикнување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користење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пунктовите</w:t>
                            </w:r>
                            <w:proofErr w:type="spellEnd"/>
                          </w:p>
                          <w:p w14:paraId="0A4641F8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4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Обележување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промоција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пунктовите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аптеките</w:t>
                            </w:r>
                            <w:proofErr w:type="spellEnd"/>
                          </w:p>
                          <w:p w14:paraId="445D78C5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4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Кампањи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„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Врати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лек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заштити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здравје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  <w:p w14:paraId="50EF07D0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4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Вклучување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локални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заедници</w:t>
                            </w:r>
                            <w:proofErr w:type="spellEnd"/>
                          </w:p>
                          <w:p w14:paraId="7D0BA621" w14:textId="77777777" w:rsidR="00687BBA" w:rsidRPr="00315CDF" w:rsidRDefault="00687BBA" w:rsidP="00687BBA">
                            <w:pPr>
                              <w:ind w:left="360"/>
                              <w:contextualSpacing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42F12B96" w14:textId="77777777" w:rsidR="00687BBA" w:rsidRPr="00315CDF" w:rsidRDefault="00687BBA" w:rsidP="00687BBA">
                            <w:pPr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посебна</w:t>
                            </w:r>
                            <w:proofErr w:type="spellEnd"/>
                            <w:proofErr w:type="gramEnd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3.3</w:t>
                            </w:r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. -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Вклучување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здравствениот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фармацевтскиот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сектор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како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активни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промотори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правилно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постапување</w:t>
                            </w:r>
                            <w:proofErr w:type="spellEnd"/>
                          </w:p>
                          <w:p w14:paraId="3921ED0A" w14:textId="77777777" w:rsidR="00687BBA" w:rsidRPr="00315CDF" w:rsidRDefault="00687BBA" w:rsidP="00687BBA">
                            <w:pPr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3.3.1.</w:t>
                            </w:r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едукација</w:t>
                            </w:r>
                            <w:proofErr w:type="spellEnd"/>
                            <w:proofErr w:type="gram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здравствени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работници</w:t>
                            </w:r>
                            <w:proofErr w:type="spellEnd"/>
                          </w:p>
                          <w:p w14:paraId="658F606A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5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Подготовка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едукативни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материјали</w:t>
                            </w:r>
                            <w:proofErr w:type="spellEnd"/>
                          </w:p>
                          <w:p w14:paraId="48729CCC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5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Обуки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фармацевти</w:t>
                            </w:r>
                            <w:proofErr w:type="spellEnd"/>
                          </w:p>
                          <w:p w14:paraId="6FF6133A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5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Вклучување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советодавна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пракса</w:t>
                            </w:r>
                            <w:proofErr w:type="spellEnd"/>
                          </w:p>
                          <w:p w14:paraId="4E4C7F19" w14:textId="77777777" w:rsidR="00687BBA" w:rsidRPr="00315CDF" w:rsidRDefault="00687BBA" w:rsidP="00687BBA">
                            <w:pPr>
                              <w:ind w:left="360"/>
                              <w:contextualSpacing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67B4B2A1" w14:textId="77777777" w:rsidR="00687BBA" w:rsidRDefault="00687BBA" w:rsidP="00687BBA">
                            <w:pPr>
                              <w:contextualSpacing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посебна</w:t>
                            </w:r>
                            <w:proofErr w:type="spellEnd"/>
                            <w:proofErr w:type="gramEnd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3.4 –</w:t>
                            </w:r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Развивање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долгорочни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комуникациски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едукативни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механизми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интегрирани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образовниот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дигиталниот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систем</w:t>
                            </w:r>
                            <w:proofErr w:type="spellEnd"/>
                          </w:p>
                          <w:p w14:paraId="1A35AE72" w14:textId="77777777" w:rsidR="00687BBA" w:rsidRPr="00315CDF" w:rsidRDefault="00687BBA" w:rsidP="00687BBA">
                            <w:pPr>
                              <w:contextualSpacing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3.4.1.</w:t>
                            </w:r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Интеграција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образованието</w:t>
                            </w:r>
                            <w:proofErr w:type="spellEnd"/>
                          </w:p>
                          <w:p w14:paraId="18720ABB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6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Развој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наставни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содржини</w:t>
                            </w:r>
                            <w:proofErr w:type="spellEnd"/>
                          </w:p>
                          <w:p w14:paraId="6A126E10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6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Пилот-активности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училишта</w:t>
                            </w:r>
                            <w:proofErr w:type="spellEnd"/>
                          </w:p>
                          <w:p w14:paraId="60155C9D" w14:textId="77777777" w:rsidR="00687BBA" w:rsidRPr="00315CDF" w:rsidRDefault="00687BBA" w:rsidP="00687BBA">
                            <w:pPr>
                              <w:contextualSpacing/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315CDF"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3.4.2.</w:t>
                            </w:r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Дигитална</w:t>
                            </w:r>
                            <w:proofErr w:type="spellEnd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едукација</w:t>
                            </w:r>
                            <w:proofErr w:type="spellEnd"/>
                          </w:p>
                          <w:p w14:paraId="2E8ED617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17"/>
                              </w:numPr>
                              <w:suppressAutoHyphens/>
                              <w:spacing w:after="0"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StobiSherif Regular" w:hAnsi="StobiSherif Regular"/>
                                <w:sz w:val="18"/>
                                <w:szCs w:val="18"/>
                              </w:rPr>
                            </w:pPr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Развој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веб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онлајн</w:t>
                            </w:r>
                            <w:proofErr w:type="spellEnd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15CDF">
                              <w:rPr>
                                <w:rFonts w:ascii="StobiSherif Regular" w:eastAsia="Calibri" w:hAnsi="StobiSherif Regular" w:cs="Calibri"/>
                                <w:color w:val="0070C0"/>
                                <w:sz w:val="18"/>
                                <w:szCs w:val="18"/>
                              </w:rPr>
                              <w:t>платформа</w:t>
                            </w:r>
                            <w:proofErr w:type="spellEnd"/>
                          </w:p>
                          <w:p w14:paraId="38B80F24" w14:textId="77777777" w:rsidR="00687BBA" w:rsidRPr="006C3965" w:rsidRDefault="00687BBA" w:rsidP="00687BBA">
                            <w:pPr>
                              <w:jc w:val="center"/>
                              <w:rPr>
                                <w:rFonts w:ascii="StobiSherif Regular" w:hAnsi="StobiSherif Regular" w:cs="Calibri"/>
                                <w:sz w:val="22"/>
                                <w:szCs w:val="22"/>
                              </w:rPr>
                            </w:pPr>
                          </w:p>
                          <w:p w14:paraId="0829A94E" w14:textId="77777777" w:rsidR="00687BBA" w:rsidRPr="006E6125" w:rsidRDefault="00687BBA" w:rsidP="00687BBA">
                            <w:pPr>
                              <w:rPr>
                                <w:rFonts w:ascii="Stobi sherif" w:hAnsi="Stobi sherif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6645DF" id="Rectangle 1" o:spid="_x0000_s1026" style="position:absolute;left:0;text-align:left;margin-left:458.25pt;margin-top:-57.75pt;width:250.25pt;height:58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" fillcolor="white [3201]" strokecolor="#4ea72e [3209]" strokeweight="1.5pt">
                <v:textbox>
                  <w:txbxContent>
                    <w:p w14:paraId="5024E1E2" w14:textId="77777777" w:rsidR="00687BBA" w:rsidRPr="009A6F43" w:rsidRDefault="00687BBA" w:rsidP="00687BBA">
                      <w:pPr>
                        <w:jc w:val="center"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r w:rsidRPr="009A6F43">
                        <w:rPr>
                          <w:rFonts w:ascii="StobiSherif Regular" w:hAnsi="StobiSherif Regular" w:cs="Calibri"/>
                          <w:sz w:val="18"/>
                          <w:szCs w:val="18"/>
                        </w:rPr>
                        <w:t xml:space="preserve">ПРИОРИТЕТНА ОБЛАСТ 3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Подигање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јавната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свест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активно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учество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засегнатите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страни</w:t>
                      </w:r>
                      <w:proofErr w:type="spellEnd"/>
                    </w:p>
                    <w:p w14:paraId="31FA6E33" w14:textId="77777777" w:rsidR="00687BBA" w:rsidRDefault="00687BBA" w:rsidP="00687BBA">
                      <w:pPr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општа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–</w:t>
                      </w:r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Подобрена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информираност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знаења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однесувања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населението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засегнатите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страни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однос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правилно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постапување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отпадни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лекови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зголемување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учеството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системот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управување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фармацевтски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отпад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намалување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ризиците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јавното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здравје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животната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средина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.</w:t>
                      </w:r>
                    </w:p>
                    <w:p w14:paraId="2BDE10F0" w14:textId="77777777" w:rsidR="00687BBA" w:rsidRDefault="00687BBA" w:rsidP="00687BBA">
                      <w:pPr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посебна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3.1.</w:t>
                      </w:r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Подобрен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систем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информираност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знаења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населението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ризиците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од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неправилно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отстранување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лекови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придобивките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од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нивно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правилно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color w:val="0070C0"/>
                          <w:sz w:val="18"/>
                          <w:szCs w:val="18"/>
                        </w:rPr>
                        <w:t>враќање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13C9A23" w14:textId="77777777" w:rsidR="00687BBA" w:rsidRPr="009A6F43" w:rsidRDefault="00687BBA" w:rsidP="00687BBA">
                      <w:pPr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3.1.1.</w:t>
                      </w:r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Национална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информативна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кампања</w:t>
                      </w:r>
                      <w:proofErr w:type="spellEnd"/>
                    </w:p>
                    <w:p w14:paraId="0CF1E71E" w14:textId="77777777" w:rsidR="00687BBA" w:rsidRPr="009A6F43" w:rsidRDefault="00687BBA" w:rsidP="00687BBA">
                      <w:pPr>
                        <w:numPr>
                          <w:ilvl w:val="0"/>
                          <w:numId w:val="13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Изработка</w:t>
                      </w:r>
                      <w:proofErr w:type="spellEnd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комуникациска</w:t>
                      </w:r>
                      <w:proofErr w:type="spellEnd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стратегија</w:t>
                      </w:r>
                      <w:proofErr w:type="spellEnd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пораки</w:t>
                      </w:r>
                      <w:proofErr w:type="spellEnd"/>
                    </w:p>
                    <w:p w14:paraId="373C186E" w14:textId="77777777" w:rsidR="00687BBA" w:rsidRPr="009A6F43" w:rsidRDefault="00687BBA" w:rsidP="00687BBA">
                      <w:pPr>
                        <w:numPr>
                          <w:ilvl w:val="0"/>
                          <w:numId w:val="13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Медиумска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кампања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(ТВ,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радио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онлајн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)</w:t>
                      </w:r>
                    </w:p>
                    <w:p w14:paraId="17821196" w14:textId="77777777" w:rsidR="00687BBA" w:rsidRPr="00315CDF" w:rsidRDefault="00687BBA" w:rsidP="00687BBA">
                      <w:pPr>
                        <w:numPr>
                          <w:ilvl w:val="0"/>
                          <w:numId w:val="13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Информативни</w:t>
                      </w:r>
                      <w:proofErr w:type="spellEnd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материјали</w:t>
                      </w:r>
                      <w:proofErr w:type="spellEnd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брошури</w:t>
                      </w:r>
                      <w:proofErr w:type="spellEnd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постери</w:t>
                      </w:r>
                      <w:proofErr w:type="spellEnd"/>
                      <w:r w:rsidRPr="009A6F43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)</w:t>
                      </w:r>
                    </w:p>
                    <w:p w14:paraId="73E96C93" w14:textId="77777777" w:rsidR="00687BBA" w:rsidRPr="009A6F43" w:rsidRDefault="00687BBA" w:rsidP="00687BBA">
                      <w:pPr>
                        <w:ind w:left="360"/>
                        <w:contextualSpacing/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</w:p>
                    <w:p w14:paraId="5CF72F5F" w14:textId="77777777" w:rsidR="00687BBA" w:rsidRPr="009A6F43" w:rsidRDefault="00687BBA" w:rsidP="00687BBA">
                      <w:pPr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посебна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3.2.</w:t>
                      </w:r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Поттикнување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активно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учество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населението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системите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враќање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отпадни</w:t>
                      </w:r>
                      <w:proofErr w:type="spellEnd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лекови</w:t>
                      </w:r>
                      <w:proofErr w:type="spellEnd"/>
                    </w:p>
                    <w:p w14:paraId="11E145FA" w14:textId="77777777" w:rsidR="00687BBA" w:rsidRPr="00315CDF" w:rsidRDefault="00687BBA" w:rsidP="00687BBA">
                      <w:pPr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3.2.1.</w:t>
                      </w:r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Поттикнување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користење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пунктовите</w:t>
                      </w:r>
                      <w:proofErr w:type="spellEnd"/>
                    </w:p>
                    <w:p w14:paraId="0A4641F8" w14:textId="77777777" w:rsidR="00687BBA" w:rsidRPr="00315CDF" w:rsidRDefault="00687BBA" w:rsidP="00687BBA">
                      <w:pPr>
                        <w:numPr>
                          <w:ilvl w:val="0"/>
                          <w:numId w:val="14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Обележување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промоција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пунктовите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аптеките</w:t>
                      </w:r>
                      <w:proofErr w:type="spellEnd"/>
                    </w:p>
                    <w:p w14:paraId="445D78C5" w14:textId="77777777" w:rsidR="00687BBA" w:rsidRPr="00315CDF" w:rsidRDefault="00687BBA" w:rsidP="00687BBA">
                      <w:pPr>
                        <w:numPr>
                          <w:ilvl w:val="0"/>
                          <w:numId w:val="14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Кампањи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„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Врати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лек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–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заштити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здравје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“</w:t>
                      </w:r>
                    </w:p>
                    <w:p w14:paraId="50EF07D0" w14:textId="77777777" w:rsidR="00687BBA" w:rsidRPr="00315CDF" w:rsidRDefault="00687BBA" w:rsidP="00687BBA">
                      <w:pPr>
                        <w:numPr>
                          <w:ilvl w:val="0"/>
                          <w:numId w:val="14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Вклучување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локални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заедници</w:t>
                      </w:r>
                      <w:proofErr w:type="spellEnd"/>
                    </w:p>
                    <w:p w14:paraId="7D0BA621" w14:textId="77777777" w:rsidR="00687BBA" w:rsidRPr="00315CDF" w:rsidRDefault="00687BBA" w:rsidP="00687BBA">
                      <w:pPr>
                        <w:ind w:left="360"/>
                        <w:contextualSpacing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</w:p>
                    <w:p w14:paraId="42F12B96" w14:textId="77777777" w:rsidR="00687BBA" w:rsidRPr="00315CDF" w:rsidRDefault="00687BBA" w:rsidP="00687BBA">
                      <w:pPr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посебна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3.3</w:t>
                      </w:r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. -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Вклучување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здравствениот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фармацевтскиот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сектор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како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активни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промотори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правилно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постапување</w:t>
                      </w:r>
                      <w:proofErr w:type="spellEnd"/>
                    </w:p>
                    <w:p w14:paraId="3921ED0A" w14:textId="77777777" w:rsidR="00687BBA" w:rsidRPr="00315CDF" w:rsidRDefault="00687BBA" w:rsidP="00687BBA">
                      <w:pPr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3.3.1.</w:t>
                      </w:r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едукација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здравствени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работници</w:t>
                      </w:r>
                      <w:proofErr w:type="spellEnd"/>
                    </w:p>
                    <w:p w14:paraId="658F606A" w14:textId="77777777" w:rsidR="00687BBA" w:rsidRPr="00315CDF" w:rsidRDefault="00687BBA" w:rsidP="00687BBA">
                      <w:pPr>
                        <w:numPr>
                          <w:ilvl w:val="0"/>
                          <w:numId w:val="15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Подготовка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едукативни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материјали</w:t>
                      </w:r>
                      <w:proofErr w:type="spellEnd"/>
                    </w:p>
                    <w:p w14:paraId="48729CCC" w14:textId="77777777" w:rsidR="00687BBA" w:rsidRPr="00315CDF" w:rsidRDefault="00687BBA" w:rsidP="00687BBA">
                      <w:pPr>
                        <w:numPr>
                          <w:ilvl w:val="0"/>
                          <w:numId w:val="15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Обуки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фармацевти</w:t>
                      </w:r>
                      <w:proofErr w:type="spellEnd"/>
                    </w:p>
                    <w:p w14:paraId="6FF6133A" w14:textId="77777777" w:rsidR="00687BBA" w:rsidRPr="00315CDF" w:rsidRDefault="00687BBA" w:rsidP="00687BBA">
                      <w:pPr>
                        <w:numPr>
                          <w:ilvl w:val="0"/>
                          <w:numId w:val="15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Вклучување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советодавна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пракса</w:t>
                      </w:r>
                      <w:proofErr w:type="spellEnd"/>
                    </w:p>
                    <w:p w14:paraId="4E4C7F19" w14:textId="77777777" w:rsidR="00687BBA" w:rsidRPr="00315CDF" w:rsidRDefault="00687BBA" w:rsidP="00687BBA">
                      <w:pPr>
                        <w:ind w:left="360"/>
                        <w:contextualSpacing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</w:p>
                    <w:p w14:paraId="67B4B2A1" w14:textId="77777777" w:rsidR="00687BBA" w:rsidRDefault="00687BBA" w:rsidP="00687BBA">
                      <w:pPr>
                        <w:contextualSpacing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посебна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3.4 –</w:t>
                      </w:r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Развивање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долгорочни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комуникациски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едукативни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механизми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интегрирани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образовниот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дигиталниот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систем</w:t>
                      </w:r>
                      <w:proofErr w:type="spellEnd"/>
                    </w:p>
                    <w:p w14:paraId="1A35AE72" w14:textId="77777777" w:rsidR="00687BBA" w:rsidRPr="00315CDF" w:rsidRDefault="00687BBA" w:rsidP="00687BBA">
                      <w:pPr>
                        <w:contextualSpacing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3.4.1.</w:t>
                      </w:r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Интеграција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образованието</w:t>
                      </w:r>
                      <w:proofErr w:type="spellEnd"/>
                    </w:p>
                    <w:p w14:paraId="18720ABB" w14:textId="77777777" w:rsidR="00687BBA" w:rsidRPr="00315CDF" w:rsidRDefault="00687BBA" w:rsidP="00687BBA">
                      <w:pPr>
                        <w:numPr>
                          <w:ilvl w:val="0"/>
                          <w:numId w:val="16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Развој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наставни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содржини</w:t>
                      </w:r>
                      <w:proofErr w:type="spellEnd"/>
                    </w:p>
                    <w:p w14:paraId="6A126E10" w14:textId="77777777" w:rsidR="00687BBA" w:rsidRPr="00315CDF" w:rsidRDefault="00687BBA" w:rsidP="00687BBA">
                      <w:pPr>
                        <w:numPr>
                          <w:ilvl w:val="0"/>
                          <w:numId w:val="16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Пилот-активности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училишта</w:t>
                      </w:r>
                      <w:proofErr w:type="spellEnd"/>
                    </w:p>
                    <w:p w14:paraId="60155C9D" w14:textId="77777777" w:rsidR="00687BBA" w:rsidRPr="00315CDF" w:rsidRDefault="00687BBA" w:rsidP="00687BBA">
                      <w:pPr>
                        <w:contextualSpacing/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3.4.2.</w:t>
                      </w:r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Дигитална</w:t>
                      </w:r>
                      <w:proofErr w:type="spellEnd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hAnsi="StobiSherif Regular" w:cs="Calibri"/>
                          <w:color w:val="0070C0"/>
                          <w:sz w:val="18"/>
                          <w:szCs w:val="18"/>
                        </w:rPr>
                        <w:t>едукација</w:t>
                      </w:r>
                      <w:proofErr w:type="spellEnd"/>
                    </w:p>
                    <w:p w14:paraId="2E8ED617" w14:textId="77777777" w:rsidR="00687BBA" w:rsidRPr="00315CDF" w:rsidRDefault="00687BBA" w:rsidP="00687BBA">
                      <w:pPr>
                        <w:numPr>
                          <w:ilvl w:val="0"/>
                          <w:numId w:val="17"/>
                        </w:numPr>
                        <w:suppressAutoHyphens/>
                        <w:spacing w:after="0" w:line="240" w:lineRule="auto"/>
                        <w:ind w:left="284" w:hanging="284"/>
                        <w:contextualSpacing/>
                        <w:jc w:val="both"/>
                        <w:rPr>
                          <w:rFonts w:ascii="StobiSherif Regular" w:hAnsi="StobiSherif Regular"/>
                          <w:sz w:val="18"/>
                          <w:szCs w:val="18"/>
                        </w:rPr>
                      </w:pPr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Развој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веб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онлајн</w:t>
                      </w:r>
                      <w:proofErr w:type="spellEnd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15CDF">
                        <w:rPr>
                          <w:rFonts w:ascii="StobiSherif Regular" w:eastAsia="Calibri" w:hAnsi="StobiSherif Regular" w:cs="Calibri"/>
                          <w:color w:val="0070C0"/>
                          <w:sz w:val="18"/>
                          <w:szCs w:val="18"/>
                        </w:rPr>
                        <w:t>платформа</w:t>
                      </w:r>
                      <w:proofErr w:type="spellEnd"/>
                    </w:p>
                    <w:p w14:paraId="38B80F24" w14:textId="77777777" w:rsidR="00687BBA" w:rsidRPr="006C3965" w:rsidRDefault="00687BBA" w:rsidP="00687BBA">
                      <w:pPr>
                        <w:jc w:val="center"/>
                        <w:rPr>
                          <w:rFonts w:ascii="StobiSherif Regular" w:hAnsi="StobiSherif Regular" w:cs="Calibri"/>
                          <w:sz w:val="22"/>
                          <w:szCs w:val="22"/>
                        </w:rPr>
                      </w:pPr>
                    </w:p>
                    <w:p w14:paraId="0829A94E" w14:textId="77777777" w:rsidR="00687BBA" w:rsidRPr="006E6125" w:rsidRDefault="00687BBA" w:rsidP="00687BBA">
                      <w:pPr>
                        <w:rPr>
                          <w:rFonts w:ascii="Stobi sherif" w:hAnsi="Stobi sherif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032B">
        <w:rPr>
          <w:rFonts w:ascii="StobiSherif Regular" w:hAnsi="StobiSherif Regular"/>
          <w:noProof/>
          <w:sz w:val="22"/>
          <w:szCs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2394D" wp14:editId="2C50E492">
                <wp:simplePos x="0" y="0"/>
                <wp:positionH relativeFrom="margin">
                  <wp:posOffset>2647950</wp:posOffset>
                </wp:positionH>
                <wp:positionV relativeFrom="paragraph">
                  <wp:posOffset>-714375</wp:posOffset>
                </wp:positionV>
                <wp:extent cx="3000375" cy="7448550"/>
                <wp:effectExtent l="0" t="0" r="28575" b="19050"/>
                <wp:wrapNone/>
                <wp:docPr id="20522046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7448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C88BE" w14:textId="77777777" w:rsidR="00687BBA" w:rsidRPr="008849D4" w:rsidRDefault="00687BBA" w:rsidP="00687BBA">
                            <w:pPr>
                              <w:jc w:val="center"/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849D4">
                              <w:rPr>
                                <w:rFonts w:ascii="StobiSherif Regular" w:hAnsi="StobiSherif Regular"/>
                                <w:sz w:val="18"/>
                                <w:szCs w:val="18"/>
                              </w:rPr>
                              <w:t xml:space="preserve">ПРИОРИТЕТНА ОБЛАСТ </w:t>
                            </w:r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rFonts w:ascii="StobiSherif Regular" w:hAnsi="StobiSherif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Мониторинг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дигитална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поддршка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транспарентност</w:t>
                            </w:r>
                            <w:proofErr w:type="spellEnd"/>
                          </w:p>
                          <w:p w14:paraId="02B6A104" w14:textId="77777777" w:rsidR="00687BBA" w:rsidRDefault="00687BBA" w:rsidP="00687BBA">
                            <w:pPr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општа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Воспоставен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функционален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транспарентен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доверлив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систем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следење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евиденција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известување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фармацевтскиот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отпад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базиран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релевантни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податоци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дигитални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алатки</w:t>
                            </w:r>
                            <w:proofErr w:type="spellEnd"/>
                          </w:p>
                          <w:p w14:paraId="7E40B91D" w14:textId="26317BAC" w:rsidR="00687BBA" w:rsidRPr="008849D4" w:rsidRDefault="00687BBA" w:rsidP="00687BBA">
                            <w:pPr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посебна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2.1.</w:t>
                            </w:r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Воспоставен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систем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редовно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следење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известување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управувањето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фармацевтски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отпад</w:t>
                            </w:r>
                            <w:proofErr w:type="spellEnd"/>
                          </w:p>
                          <w:p w14:paraId="140A8AF8" w14:textId="77777777" w:rsidR="00687BBA" w:rsidRPr="008849D4" w:rsidRDefault="00687BBA" w:rsidP="00687BBA">
                            <w:pPr>
                              <w:ind w:left="709"/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73820244" w14:textId="77777777" w:rsidR="00687BBA" w:rsidRPr="008849D4" w:rsidRDefault="00687BBA" w:rsidP="00687BBA">
                            <w:pPr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2.1.1.</w:t>
                            </w:r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Воспоставена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рамка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мониторинг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известување</w:t>
                            </w:r>
                            <w:proofErr w:type="spellEnd"/>
                          </w:p>
                          <w:p w14:paraId="5D9DD10E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Дефинирање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KPI (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резултат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исход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ефект</w:t>
                            </w:r>
                            <w:proofErr w:type="spellEnd"/>
                          </w:p>
                          <w:p w14:paraId="0A69E4B9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Усвојување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методологија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прибирање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податоци</w:t>
                            </w:r>
                            <w:proofErr w:type="spellEnd"/>
                          </w:p>
                          <w:p w14:paraId="1B78507F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Усвојување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методологија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прибирање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податоци</w:t>
                            </w:r>
                            <w:proofErr w:type="spellEnd"/>
                          </w:p>
                          <w:p w14:paraId="71B4CFF5" w14:textId="77777777" w:rsidR="00687BBA" w:rsidRPr="008849D4" w:rsidRDefault="00687BBA" w:rsidP="00687BBA">
                            <w:pPr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2.1.2.</w:t>
                            </w:r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Редовно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институционално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известување</w:t>
                            </w:r>
                            <w:proofErr w:type="spellEnd"/>
                          </w:p>
                          <w:p w14:paraId="409AD035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Обврска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квартално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известување</w:t>
                            </w:r>
                            <w:proofErr w:type="spellEnd"/>
                          </w:p>
                          <w:p w14:paraId="0E3251CE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Консолидирање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податоци</w:t>
                            </w:r>
                            <w:proofErr w:type="spellEnd"/>
                          </w:p>
                          <w:p w14:paraId="3B79096D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Годишен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извештај</w:t>
                            </w:r>
                            <w:proofErr w:type="spellEnd"/>
                          </w:p>
                          <w:p w14:paraId="2D6B8047" w14:textId="77777777" w:rsidR="00687BBA" w:rsidRPr="008849D4" w:rsidRDefault="00687BBA" w:rsidP="00687BBA">
                            <w:pPr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2.1.3.</w:t>
                            </w:r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Оценување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напредокот</w:t>
                            </w:r>
                            <w:proofErr w:type="spellEnd"/>
                          </w:p>
                          <w:p w14:paraId="1024E9EE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Среднорочна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евалуација</w:t>
                            </w:r>
                            <w:proofErr w:type="spellEnd"/>
                          </w:p>
                          <w:p w14:paraId="732F0389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Препораки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корекции</w:t>
                            </w:r>
                            <w:proofErr w:type="spellEnd"/>
                          </w:p>
                          <w:p w14:paraId="6DA781D3" w14:textId="77777777" w:rsidR="00687BBA" w:rsidRPr="00315CDF" w:rsidRDefault="00687BBA" w:rsidP="00687BBA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Завршна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евалуација</w:t>
                            </w:r>
                            <w:proofErr w:type="spellEnd"/>
                          </w:p>
                          <w:p w14:paraId="4E2C5A96" w14:textId="77777777" w:rsidR="00687BBA" w:rsidRPr="008849D4" w:rsidRDefault="00687BBA" w:rsidP="00687BBA">
                            <w:pPr>
                              <w:ind w:left="360"/>
                              <w:contextualSpacing/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169C0BBB" w14:textId="77777777" w:rsidR="00687BBA" w:rsidRPr="008849D4" w:rsidRDefault="00687BBA" w:rsidP="00687BBA">
                            <w:pPr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посебна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2.2.</w:t>
                            </w:r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Подобрен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квалитет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достапност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транспарентност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податоците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потребите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институциите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јавноста</w:t>
                            </w:r>
                            <w:proofErr w:type="spellEnd"/>
                          </w:p>
                          <w:p w14:paraId="7B7AB33C" w14:textId="77777777" w:rsidR="00687BBA" w:rsidRPr="008849D4" w:rsidRDefault="00687BBA" w:rsidP="00687BBA">
                            <w:pPr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2.2.1.</w:t>
                            </w:r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Централизирана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база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податоци</w:t>
                            </w:r>
                            <w:proofErr w:type="spellEnd"/>
                          </w:p>
                          <w:p w14:paraId="2D3B0EBE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10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Дизајн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ИТ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решение</w:t>
                            </w:r>
                            <w:proofErr w:type="spellEnd"/>
                          </w:p>
                          <w:p w14:paraId="4DB151EF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10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Развој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тестирање</w:t>
                            </w:r>
                            <w:proofErr w:type="spellEnd"/>
                          </w:p>
                          <w:p w14:paraId="26A11F88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10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Пуштање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употреба</w:t>
                            </w:r>
                            <w:proofErr w:type="spellEnd"/>
                          </w:p>
                          <w:p w14:paraId="0E4378DB" w14:textId="77777777" w:rsidR="00687BBA" w:rsidRPr="008849D4" w:rsidRDefault="00687BBA" w:rsidP="00687BBA">
                            <w:pPr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2.2.2.</w:t>
                            </w:r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Обезбеден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квалитет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податоци</w:t>
                            </w:r>
                            <w:proofErr w:type="spellEnd"/>
                          </w:p>
                          <w:p w14:paraId="4D8011DF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Стандарди</w:t>
                            </w:r>
                            <w:proofErr w:type="spellEnd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внес</w:t>
                            </w:r>
                            <w:proofErr w:type="spellEnd"/>
                          </w:p>
                          <w:p w14:paraId="453A6736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Обука</w:t>
                            </w:r>
                            <w:proofErr w:type="spellEnd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eastAsia="Calibri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корисници</w:t>
                            </w:r>
                            <w:proofErr w:type="spellEnd"/>
                          </w:p>
                          <w:p w14:paraId="6C965C3B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StobiSherif Regular" w:hAnsi="StobiSherif Regular" w:cs="Calibri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Контрола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квалитет</w:t>
                            </w:r>
                            <w:proofErr w:type="spellEnd"/>
                          </w:p>
                          <w:p w14:paraId="5F5D2690" w14:textId="77777777" w:rsidR="00687BBA" w:rsidRPr="008849D4" w:rsidRDefault="00687BBA" w:rsidP="00687BBA">
                            <w:pPr>
                              <w:rPr>
                                <w:rFonts w:ascii="StobiSherif Regular" w:hAnsi="StobiSherif Regular"/>
                                <w:color w:val="00B050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8849D4">
                              <w:rPr>
                                <w:rFonts w:ascii="StobiSherif Regular" w:hAnsi="StobiSherif Regular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2.2.3.</w:t>
                            </w:r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Јавна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22"/>
                                <w:szCs w:val="22"/>
                              </w:rPr>
                              <w:t>транспарентност</w:t>
                            </w:r>
                            <w:proofErr w:type="spellEnd"/>
                          </w:p>
                          <w:p w14:paraId="139D4825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12"/>
                              </w:numPr>
                              <w:suppressAutoHyphens/>
                              <w:spacing w:after="0"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Јавен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портал</w:t>
                            </w:r>
                            <w:proofErr w:type="spellEnd"/>
                          </w:p>
                          <w:p w14:paraId="13E56127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12"/>
                              </w:numPr>
                              <w:suppressAutoHyphens/>
                              <w:spacing w:after="0"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Објавување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агрегирани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  <w:t>податоци</w:t>
                            </w:r>
                            <w:proofErr w:type="spellEnd"/>
                          </w:p>
                          <w:p w14:paraId="61CCC100" w14:textId="77777777" w:rsidR="00687BBA" w:rsidRPr="008849D4" w:rsidRDefault="00687BBA" w:rsidP="00687BBA">
                            <w:pPr>
                              <w:numPr>
                                <w:ilvl w:val="0"/>
                                <w:numId w:val="12"/>
                              </w:numPr>
                              <w:suppressAutoHyphens/>
                              <w:spacing w:after="0" w:line="240" w:lineRule="auto"/>
                              <w:ind w:left="284" w:hanging="284"/>
                              <w:contextualSpacing/>
                              <w:jc w:val="both"/>
                              <w:rPr>
                                <w:rFonts w:ascii="StobiSherif Regular" w:hAnsi="StobiSherif 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Комуникација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49D4">
                              <w:rPr>
                                <w:rFonts w:ascii="StobiSherif Regular" w:hAnsi="StobiSherif Regular" w:cs="Calibri"/>
                                <w:color w:val="00B050"/>
                                <w:sz w:val="18"/>
                                <w:szCs w:val="18"/>
                              </w:rPr>
                              <w:t>јавноста</w:t>
                            </w:r>
                            <w:proofErr w:type="spellEnd"/>
                          </w:p>
                          <w:p w14:paraId="071500CF" w14:textId="77777777" w:rsidR="00687BBA" w:rsidRPr="006C3965" w:rsidRDefault="00687BBA" w:rsidP="00687BBA">
                            <w:pPr>
                              <w:rPr>
                                <w:rFonts w:ascii="StobiSherif Regular" w:hAnsi="StobiSherif Regular"/>
                              </w:rPr>
                            </w:pPr>
                          </w:p>
                          <w:p w14:paraId="4BCCB694" w14:textId="77777777" w:rsidR="00687BBA" w:rsidRPr="006C3965" w:rsidRDefault="00687BBA" w:rsidP="00687BBA">
                            <w:pPr>
                              <w:jc w:val="center"/>
                              <w:rPr>
                                <w:rFonts w:ascii="StobiSherif Regular" w:hAnsi="StobiSherif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B2394D" id="_x0000_s1027" style="position:absolute;left:0;text-align:left;margin-left:208.5pt;margin-top:-56.25pt;width:236.25pt;height:58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" fillcolor="window" strokecolor="#4ea72e" strokeweight="1.5pt">
                <v:textbox>
                  <w:txbxContent>
                    <w:p w14:paraId="151C88BE" w14:textId="77777777" w:rsidR="00687BBA" w:rsidRPr="008849D4" w:rsidRDefault="00687BBA" w:rsidP="00687BBA">
                      <w:pPr>
                        <w:jc w:val="center"/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r w:rsidRPr="008849D4">
                        <w:rPr>
                          <w:rFonts w:ascii="StobiSherif Regular" w:hAnsi="StobiSherif Regular"/>
                          <w:sz w:val="18"/>
                          <w:szCs w:val="18"/>
                        </w:rPr>
                        <w:t xml:space="preserve">ПРИОРИТЕТНА ОБЛАСТ 2 </w:t>
                      </w:r>
                      <w:r>
                        <w:rPr>
                          <w:rFonts w:ascii="StobiSherif Regular" w:hAnsi="StobiSherif Regular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Мониторинг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дигитална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поддршка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транспарентност</w:t>
                      </w:r>
                      <w:proofErr w:type="spellEnd"/>
                    </w:p>
                    <w:p w14:paraId="02B6A104" w14:textId="77777777" w:rsidR="00687BBA" w:rsidRDefault="00687BBA" w:rsidP="00687BBA">
                      <w:pPr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општа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–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Воспоставен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функционален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транспарентен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доверлив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систем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следење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евиденција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известување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фармацевтскиот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отпад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базиран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релевантни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податоци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дигитални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алатки</w:t>
                      </w:r>
                      <w:proofErr w:type="spellEnd"/>
                    </w:p>
                    <w:p w14:paraId="7E40B91D" w14:textId="26317BAC" w:rsidR="00687BBA" w:rsidRPr="008849D4" w:rsidRDefault="00687BBA" w:rsidP="00687BBA">
                      <w:pPr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посебна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2.1.</w:t>
                      </w:r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Воспоставен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систем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редовно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следење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известување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управувањето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со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фармацевтски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отпад</w:t>
                      </w:r>
                      <w:proofErr w:type="spellEnd"/>
                    </w:p>
                    <w:p w14:paraId="140A8AF8" w14:textId="77777777" w:rsidR="00687BBA" w:rsidRPr="008849D4" w:rsidRDefault="00687BBA" w:rsidP="00687BBA">
                      <w:pPr>
                        <w:ind w:left="709"/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</w:p>
                    <w:p w14:paraId="73820244" w14:textId="77777777" w:rsidR="00687BBA" w:rsidRPr="008849D4" w:rsidRDefault="00687BBA" w:rsidP="00687BBA">
                      <w:pPr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2.1.1.</w:t>
                      </w:r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Воспоставена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рамка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мониторинг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известување</w:t>
                      </w:r>
                      <w:proofErr w:type="spellEnd"/>
                    </w:p>
                    <w:p w14:paraId="5D9DD10E" w14:textId="77777777" w:rsidR="00687BBA" w:rsidRPr="008849D4" w:rsidRDefault="00687BBA" w:rsidP="00687BBA">
                      <w:pPr>
                        <w:numPr>
                          <w:ilvl w:val="0"/>
                          <w:numId w:val="7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Дефинирање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KPI (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резултат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исход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ефект</w:t>
                      </w:r>
                      <w:proofErr w:type="spellEnd"/>
                    </w:p>
                    <w:p w14:paraId="0A69E4B9" w14:textId="77777777" w:rsidR="00687BBA" w:rsidRPr="008849D4" w:rsidRDefault="00687BBA" w:rsidP="00687BBA">
                      <w:pPr>
                        <w:numPr>
                          <w:ilvl w:val="0"/>
                          <w:numId w:val="7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Усвојување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методологија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прибирање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податоци</w:t>
                      </w:r>
                      <w:proofErr w:type="spellEnd"/>
                    </w:p>
                    <w:p w14:paraId="1B78507F" w14:textId="77777777" w:rsidR="00687BBA" w:rsidRPr="008849D4" w:rsidRDefault="00687BBA" w:rsidP="00687BBA">
                      <w:pPr>
                        <w:numPr>
                          <w:ilvl w:val="0"/>
                          <w:numId w:val="7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Усвојување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методологија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прибирање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податоци</w:t>
                      </w:r>
                      <w:proofErr w:type="spellEnd"/>
                    </w:p>
                    <w:p w14:paraId="71B4CFF5" w14:textId="77777777" w:rsidR="00687BBA" w:rsidRPr="008849D4" w:rsidRDefault="00687BBA" w:rsidP="00687BBA">
                      <w:pPr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2.1.2.</w:t>
                      </w:r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Редовно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институционално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известување</w:t>
                      </w:r>
                      <w:proofErr w:type="spellEnd"/>
                    </w:p>
                    <w:p w14:paraId="409AD035" w14:textId="77777777" w:rsidR="00687BBA" w:rsidRPr="008849D4" w:rsidRDefault="00687BBA" w:rsidP="00687BBA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Обврска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квартално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известување</w:t>
                      </w:r>
                      <w:proofErr w:type="spellEnd"/>
                    </w:p>
                    <w:p w14:paraId="0E3251CE" w14:textId="77777777" w:rsidR="00687BBA" w:rsidRPr="008849D4" w:rsidRDefault="00687BBA" w:rsidP="00687BBA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Консолидирање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податоци</w:t>
                      </w:r>
                      <w:proofErr w:type="spellEnd"/>
                    </w:p>
                    <w:p w14:paraId="3B79096D" w14:textId="77777777" w:rsidR="00687BBA" w:rsidRPr="008849D4" w:rsidRDefault="00687BBA" w:rsidP="00687BBA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Годишен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извештај</w:t>
                      </w:r>
                      <w:proofErr w:type="spellEnd"/>
                    </w:p>
                    <w:p w14:paraId="2D6B8047" w14:textId="77777777" w:rsidR="00687BBA" w:rsidRPr="008849D4" w:rsidRDefault="00687BBA" w:rsidP="00687BBA">
                      <w:pPr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2.1.3.</w:t>
                      </w:r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Оценување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напредокот</w:t>
                      </w:r>
                      <w:proofErr w:type="spellEnd"/>
                    </w:p>
                    <w:p w14:paraId="1024E9EE" w14:textId="77777777" w:rsidR="00687BBA" w:rsidRPr="008849D4" w:rsidRDefault="00687BBA" w:rsidP="00687BBA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Среднорочна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евалуација</w:t>
                      </w:r>
                      <w:proofErr w:type="spellEnd"/>
                    </w:p>
                    <w:p w14:paraId="732F0389" w14:textId="77777777" w:rsidR="00687BBA" w:rsidRPr="008849D4" w:rsidRDefault="00687BBA" w:rsidP="00687BBA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Препораки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корекции</w:t>
                      </w:r>
                      <w:proofErr w:type="spellEnd"/>
                    </w:p>
                    <w:p w14:paraId="6DA781D3" w14:textId="77777777" w:rsidR="00687BBA" w:rsidRPr="00315CDF" w:rsidRDefault="00687BBA" w:rsidP="00687BBA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Завршна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евалуација</w:t>
                      </w:r>
                      <w:proofErr w:type="spellEnd"/>
                    </w:p>
                    <w:p w14:paraId="4E2C5A96" w14:textId="77777777" w:rsidR="00687BBA" w:rsidRPr="008849D4" w:rsidRDefault="00687BBA" w:rsidP="00687BBA">
                      <w:pPr>
                        <w:ind w:left="360"/>
                        <w:contextualSpacing/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</w:p>
                    <w:p w14:paraId="169C0BBB" w14:textId="77777777" w:rsidR="00687BBA" w:rsidRPr="008849D4" w:rsidRDefault="00687BBA" w:rsidP="00687BBA">
                      <w:pPr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посебна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2.2.</w:t>
                      </w:r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Подобрен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квалитет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достапност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транспарентност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податоците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потребите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институциите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јавноста</w:t>
                      </w:r>
                      <w:proofErr w:type="spellEnd"/>
                    </w:p>
                    <w:p w14:paraId="7B7AB33C" w14:textId="77777777" w:rsidR="00687BBA" w:rsidRPr="008849D4" w:rsidRDefault="00687BBA" w:rsidP="00687BBA">
                      <w:pPr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2.2.1.</w:t>
                      </w:r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Централизирана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база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податоци</w:t>
                      </w:r>
                      <w:proofErr w:type="spellEnd"/>
                    </w:p>
                    <w:p w14:paraId="2D3B0EBE" w14:textId="77777777" w:rsidR="00687BBA" w:rsidRPr="008849D4" w:rsidRDefault="00687BBA" w:rsidP="00687BBA">
                      <w:pPr>
                        <w:numPr>
                          <w:ilvl w:val="0"/>
                          <w:numId w:val="10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Дизајн</w:t>
                      </w:r>
                      <w:proofErr w:type="spellEnd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 xml:space="preserve"> ИТ </w:t>
                      </w: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решение</w:t>
                      </w:r>
                      <w:proofErr w:type="spellEnd"/>
                    </w:p>
                    <w:p w14:paraId="4DB151EF" w14:textId="77777777" w:rsidR="00687BBA" w:rsidRPr="008849D4" w:rsidRDefault="00687BBA" w:rsidP="00687BBA">
                      <w:pPr>
                        <w:numPr>
                          <w:ilvl w:val="0"/>
                          <w:numId w:val="10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Развој</w:t>
                      </w:r>
                      <w:proofErr w:type="spellEnd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тестирање</w:t>
                      </w:r>
                      <w:proofErr w:type="spellEnd"/>
                    </w:p>
                    <w:p w14:paraId="26A11F88" w14:textId="77777777" w:rsidR="00687BBA" w:rsidRPr="008849D4" w:rsidRDefault="00687BBA" w:rsidP="00687BBA">
                      <w:pPr>
                        <w:numPr>
                          <w:ilvl w:val="0"/>
                          <w:numId w:val="10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Пуштање</w:t>
                      </w:r>
                      <w:proofErr w:type="spellEnd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употреба</w:t>
                      </w:r>
                      <w:proofErr w:type="spellEnd"/>
                    </w:p>
                    <w:p w14:paraId="0E4378DB" w14:textId="77777777" w:rsidR="00687BBA" w:rsidRPr="008849D4" w:rsidRDefault="00687BBA" w:rsidP="00687BBA">
                      <w:pPr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2.2.2.</w:t>
                      </w:r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Обезбеден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квалитет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податоци</w:t>
                      </w:r>
                      <w:proofErr w:type="spellEnd"/>
                    </w:p>
                    <w:p w14:paraId="4D8011DF" w14:textId="77777777" w:rsidR="00687BBA" w:rsidRPr="008849D4" w:rsidRDefault="00687BBA" w:rsidP="00687BBA">
                      <w:pPr>
                        <w:numPr>
                          <w:ilvl w:val="0"/>
                          <w:numId w:val="11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>Стандарди</w:t>
                      </w:r>
                      <w:proofErr w:type="spellEnd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>внес</w:t>
                      </w:r>
                      <w:proofErr w:type="spellEnd"/>
                    </w:p>
                    <w:p w14:paraId="453A6736" w14:textId="77777777" w:rsidR="00687BBA" w:rsidRPr="008849D4" w:rsidRDefault="00687BBA" w:rsidP="00687BBA">
                      <w:pPr>
                        <w:numPr>
                          <w:ilvl w:val="0"/>
                          <w:numId w:val="11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>Обука</w:t>
                      </w:r>
                      <w:proofErr w:type="spellEnd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eastAsia="Calibri" w:hAnsi="StobiSherif Regular" w:cs="Calibri"/>
                          <w:color w:val="00B050"/>
                          <w:sz w:val="18"/>
                          <w:szCs w:val="18"/>
                        </w:rPr>
                        <w:t>корисници</w:t>
                      </w:r>
                      <w:proofErr w:type="spellEnd"/>
                    </w:p>
                    <w:p w14:paraId="6C965C3B" w14:textId="77777777" w:rsidR="00687BBA" w:rsidRPr="008849D4" w:rsidRDefault="00687BBA" w:rsidP="00687BBA">
                      <w:pPr>
                        <w:numPr>
                          <w:ilvl w:val="0"/>
                          <w:numId w:val="11"/>
                        </w:numPr>
                        <w:suppressAutoHyphens/>
                        <w:spacing w:after="0" w:line="240" w:lineRule="auto"/>
                        <w:contextualSpacing/>
                        <w:jc w:val="both"/>
                        <w:rPr>
                          <w:rFonts w:ascii="StobiSherif Regular" w:hAnsi="StobiSherif Regular" w:cs="Calibri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Контрола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квалитет</w:t>
                      </w:r>
                      <w:proofErr w:type="spellEnd"/>
                    </w:p>
                    <w:p w14:paraId="5F5D2690" w14:textId="77777777" w:rsidR="00687BBA" w:rsidRPr="008849D4" w:rsidRDefault="00687BBA" w:rsidP="00687BBA">
                      <w:pPr>
                        <w:rPr>
                          <w:rFonts w:ascii="StobiSherif Regular" w:hAnsi="StobiSherif Regular"/>
                          <w:color w:val="00B050"/>
                          <w:sz w:val="22"/>
                          <w:szCs w:val="22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2.2.3.</w:t>
                      </w:r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Јавна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22"/>
                          <w:szCs w:val="22"/>
                        </w:rPr>
                        <w:t>транспарентност</w:t>
                      </w:r>
                      <w:proofErr w:type="spellEnd"/>
                    </w:p>
                    <w:p w14:paraId="139D4825" w14:textId="77777777" w:rsidR="00687BBA" w:rsidRPr="008849D4" w:rsidRDefault="00687BBA" w:rsidP="00687BBA">
                      <w:pPr>
                        <w:numPr>
                          <w:ilvl w:val="0"/>
                          <w:numId w:val="12"/>
                        </w:numPr>
                        <w:suppressAutoHyphens/>
                        <w:spacing w:after="0" w:line="240" w:lineRule="auto"/>
                        <w:ind w:left="284" w:hanging="284"/>
                        <w:contextualSpacing/>
                        <w:jc w:val="both"/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Јавен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портал</w:t>
                      </w:r>
                      <w:proofErr w:type="spellEnd"/>
                    </w:p>
                    <w:p w14:paraId="13E56127" w14:textId="77777777" w:rsidR="00687BBA" w:rsidRPr="008849D4" w:rsidRDefault="00687BBA" w:rsidP="00687BBA">
                      <w:pPr>
                        <w:numPr>
                          <w:ilvl w:val="0"/>
                          <w:numId w:val="12"/>
                        </w:numPr>
                        <w:suppressAutoHyphens/>
                        <w:spacing w:after="0" w:line="240" w:lineRule="auto"/>
                        <w:ind w:left="284" w:hanging="284"/>
                        <w:contextualSpacing/>
                        <w:jc w:val="both"/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Објавување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агрегирани</w:t>
                      </w:r>
                      <w:proofErr w:type="spellEnd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  <w:t>податоци</w:t>
                      </w:r>
                      <w:proofErr w:type="spellEnd"/>
                    </w:p>
                    <w:p w14:paraId="61CCC100" w14:textId="77777777" w:rsidR="00687BBA" w:rsidRPr="008849D4" w:rsidRDefault="00687BBA" w:rsidP="00687BBA">
                      <w:pPr>
                        <w:numPr>
                          <w:ilvl w:val="0"/>
                          <w:numId w:val="12"/>
                        </w:numPr>
                        <w:suppressAutoHyphens/>
                        <w:spacing w:after="0" w:line="240" w:lineRule="auto"/>
                        <w:ind w:left="284" w:hanging="284"/>
                        <w:contextualSpacing/>
                        <w:jc w:val="both"/>
                        <w:rPr>
                          <w:rFonts w:ascii="StobiSherif Regular" w:hAnsi="StobiSherif Regular"/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Комуникација</w:t>
                      </w:r>
                      <w:proofErr w:type="spellEnd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849D4">
                        <w:rPr>
                          <w:rFonts w:ascii="StobiSherif Regular" w:hAnsi="StobiSherif Regular" w:cs="Calibri"/>
                          <w:color w:val="00B050"/>
                          <w:sz w:val="18"/>
                          <w:szCs w:val="18"/>
                        </w:rPr>
                        <w:t>јавноста</w:t>
                      </w:r>
                      <w:proofErr w:type="spellEnd"/>
                    </w:p>
                    <w:p w14:paraId="071500CF" w14:textId="77777777" w:rsidR="00687BBA" w:rsidRPr="006C3965" w:rsidRDefault="00687BBA" w:rsidP="00687BBA">
                      <w:pPr>
                        <w:rPr>
                          <w:rFonts w:ascii="StobiSherif Regular" w:hAnsi="StobiSherif Regular"/>
                        </w:rPr>
                      </w:pPr>
                    </w:p>
                    <w:p w14:paraId="4BCCB694" w14:textId="77777777" w:rsidR="00687BBA" w:rsidRPr="006C3965" w:rsidRDefault="00687BBA" w:rsidP="00687BBA">
                      <w:pPr>
                        <w:jc w:val="center"/>
                        <w:rPr>
                          <w:rFonts w:ascii="StobiSherif Regular" w:hAnsi="StobiSherif Regula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032B">
        <w:rPr>
          <w:rFonts w:ascii="StobiSherif Regular" w:hAnsi="StobiSherif Regular"/>
          <w:noProof/>
          <w:sz w:val="22"/>
          <w:szCs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8441" wp14:editId="407BC4AC">
                <wp:simplePos x="0" y="0"/>
                <wp:positionH relativeFrom="margin">
                  <wp:posOffset>-638175</wp:posOffset>
                </wp:positionH>
                <wp:positionV relativeFrom="paragraph">
                  <wp:posOffset>-742950</wp:posOffset>
                </wp:positionV>
                <wp:extent cx="3171825" cy="7505700"/>
                <wp:effectExtent l="0" t="0" r="28575" b="19050"/>
                <wp:wrapNone/>
                <wp:docPr id="20648865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750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1E87A" w14:textId="77777777" w:rsidR="00687BBA" w:rsidRPr="009A6F43" w:rsidRDefault="00687BBA" w:rsidP="00687BBA">
                            <w:pPr>
                              <w:jc w:val="center"/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9A6F43">
                              <w:rPr>
                                <w:rFonts w:ascii="StobiSherif Regular" w:hAnsi="StobiSherif Regular"/>
                                <w:sz w:val="18"/>
                                <w:szCs w:val="18"/>
                              </w:rPr>
                              <w:t xml:space="preserve">ПРИОРИТЕТНА ОБЛАСТ 1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Функционален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одржлив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систем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управување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фармацевтски</w:t>
                            </w:r>
                            <w:proofErr w:type="spellEnd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F43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отпад</w:t>
                            </w:r>
                            <w:proofErr w:type="spellEnd"/>
                          </w:p>
                          <w:p w14:paraId="14704D9D" w14:textId="77777777" w:rsidR="00687BBA" w:rsidRDefault="00687BBA" w:rsidP="00687BBA">
                            <w:pPr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bookmarkStart w:id="1" w:name="_Hlk219994677"/>
                            <w:proofErr w:type="spellStart"/>
                            <w:proofErr w:type="gram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општа</w:t>
                            </w:r>
                            <w:proofErr w:type="spellEnd"/>
                            <w:proofErr w:type="gramEnd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Воспоставен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функционален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одржлив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Национален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систем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управување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фармацевтски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отпад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кој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обезбедува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ефективна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заштита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здравјето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населението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животната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средина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усогласен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Европските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стандарди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добри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практики</w:t>
                            </w:r>
                            <w:proofErr w:type="spellEnd"/>
                          </w:p>
                          <w:bookmarkEnd w:id="1"/>
                          <w:p w14:paraId="434393B9" w14:textId="77777777" w:rsidR="00687BBA" w:rsidRPr="00690AE7" w:rsidRDefault="00687BBA" w:rsidP="00687BBA">
                            <w:pPr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sz w:val="18"/>
                                <w:szCs w:val="18"/>
                              </w:rPr>
                              <w:t>посебна</w:t>
                            </w:r>
                            <w:proofErr w:type="spellEnd"/>
                            <w:proofErr w:type="gramEnd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1.1.</w:t>
                            </w:r>
                            <w:r w:rsidRPr="00690AE7">
                              <w:rPr>
                                <w:rFonts w:ascii="StobiSherif Regular" w:hAnsi="StobiSherif Regul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Воспоставен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Национален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систем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собирање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фармацевтски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отпад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од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домаќинствата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преку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функционални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безбедни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географски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достапни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пунктови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враќање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отпадни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лекови</w:t>
                            </w:r>
                            <w:proofErr w:type="spellEnd"/>
                          </w:p>
                          <w:p w14:paraId="1286F926" w14:textId="77777777" w:rsidR="00687BBA" w:rsidRPr="00690AE7" w:rsidRDefault="00687BBA" w:rsidP="00687BBA">
                            <w:pPr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мерка1.1.1.</w:t>
                            </w:r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Воспоставена</w:t>
                            </w:r>
                            <w:proofErr w:type="gram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мрежа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пунктови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собирање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фармацевтски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отпад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аптеките</w:t>
                            </w:r>
                            <w:proofErr w:type="spellEnd"/>
                          </w:p>
                          <w:p w14:paraId="5F10F195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Донесување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подзаконски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акт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обврска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аптеките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како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пунктови</w:t>
                            </w:r>
                            <w:proofErr w:type="spellEnd"/>
                          </w:p>
                          <w:p w14:paraId="2810C59C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Набавка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поставување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стандартизирани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контејнери</w:t>
                            </w:r>
                            <w:proofErr w:type="spellEnd"/>
                          </w:p>
                          <w:p w14:paraId="2679BB67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Договори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аптеките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прием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отпад</w:t>
                            </w:r>
                            <w:proofErr w:type="spellEnd"/>
                          </w:p>
                          <w:p w14:paraId="27172E12" w14:textId="77777777" w:rsidR="00687BBA" w:rsidRPr="00690AE7" w:rsidRDefault="00687BBA" w:rsidP="00687BBA">
                            <w:pPr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1.1.2.</w:t>
                            </w:r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Обезбедување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логистика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собирање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транспорт</w:t>
                            </w:r>
                            <w:proofErr w:type="spellEnd"/>
                          </w:p>
                          <w:p w14:paraId="3F4F1F3D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Ангажирање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овластени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оператори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опасен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отпад</w:t>
                            </w:r>
                            <w:proofErr w:type="spellEnd"/>
                          </w:p>
                          <w:p w14:paraId="596E3190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Дефинирање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рути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фреквенција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собирање</w:t>
                            </w:r>
                            <w:proofErr w:type="spellEnd"/>
                          </w:p>
                          <w:p w14:paraId="7370494F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Воспоставување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евиденција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количини</w:t>
                            </w:r>
                            <w:proofErr w:type="spellEnd"/>
                          </w:p>
                          <w:p w14:paraId="35B96066" w14:textId="77777777" w:rsidR="00687BBA" w:rsidRPr="00690AE7" w:rsidRDefault="00687BBA" w:rsidP="00687BBA">
                            <w:pPr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1.1.3.</w:t>
                            </w:r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Пилот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имплементација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национално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проширување</w:t>
                            </w:r>
                            <w:proofErr w:type="spellEnd"/>
                          </w:p>
                          <w:p w14:paraId="23B3F6E8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Пилот-проекти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избрани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региони</w:t>
                            </w:r>
                            <w:proofErr w:type="spellEnd"/>
                          </w:p>
                          <w:p w14:paraId="4A13F18E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Евалуација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пилот-фаза</w:t>
                            </w:r>
                            <w:proofErr w:type="spellEnd"/>
                          </w:p>
                          <w:p w14:paraId="7A26B52A" w14:textId="77777777" w:rsidR="00687BBA" w:rsidRDefault="00687BBA" w:rsidP="00687BBA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Национално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проширување</w:t>
                            </w:r>
                            <w:proofErr w:type="spellEnd"/>
                          </w:p>
                          <w:p w14:paraId="3A0111A1" w14:textId="77777777" w:rsidR="00687BBA" w:rsidRPr="00690AE7" w:rsidRDefault="00687BBA" w:rsidP="00687BBA">
                            <w:pPr>
                              <w:ind w:left="142"/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560E339D" w14:textId="77777777" w:rsidR="00687BBA" w:rsidRDefault="00687BBA" w:rsidP="00687BBA">
                            <w:pPr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посебна</w:t>
                            </w:r>
                            <w:proofErr w:type="spellEnd"/>
                            <w:proofErr w:type="gramEnd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цел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1.2.</w:t>
                            </w:r>
                            <w:r w:rsidRPr="00690AE7">
                              <w:rPr>
                                <w:rFonts w:ascii="StobiSherif Regular" w:hAnsi="StobiSherif Regul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Обезбедување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финансиска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одржливост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системот</w:t>
                            </w:r>
                            <w:proofErr w:type="spellEnd"/>
                          </w:p>
                          <w:p w14:paraId="79DEFDFA" w14:textId="77777777" w:rsidR="00687BBA" w:rsidRPr="00690AE7" w:rsidRDefault="00687BBA" w:rsidP="00687BBA">
                            <w:pPr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1.2.1.</w:t>
                            </w:r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Воспоставена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национална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ЕПР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шема</w:t>
                            </w:r>
                            <w:proofErr w:type="spellEnd"/>
                          </w:p>
                          <w:p w14:paraId="7AC247E4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Дефинирање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правен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модел</w:t>
                            </w:r>
                            <w:proofErr w:type="spellEnd"/>
                          </w:p>
                          <w:p w14:paraId="0A4D0193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Лиценцирање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ЕПР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шема</w:t>
                            </w:r>
                            <w:proofErr w:type="spellEnd"/>
                          </w:p>
                          <w:p w14:paraId="47420EBD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Воспоставување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управна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структура</w:t>
                            </w:r>
                            <w:proofErr w:type="spellEnd"/>
                          </w:p>
                          <w:p w14:paraId="4C3C3430" w14:textId="77777777" w:rsidR="00687BBA" w:rsidRPr="00690AE7" w:rsidRDefault="00687BBA" w:rsidP="00687BBA">
                            <w:pPr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690AE7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1.2.2.</w:t>
                            </w:r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Воведување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ЕПР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надомест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во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пакување</w:t>
                            </w:r>
                            <w:proofErr w:type="spellEnd"/>
                          </w:p>
                          <w:p w14:paraId="3CAAF2E0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Пресметка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стартен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надомест</w:t>
                            </w:r>
                            <w:proofErr w:type="spellEnd"/>
                          </w:p>
                          <w:p w14:paraId="05344243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Консултации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со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индустрија</w:t>
                            </w:r>
                            <w:proofErr w:type="spellEnd"/>
                          </w:p>
                          <w:p w14:paraId="40DEB15F" w14:textId="77777777" w:rsidR="00687BBA" w:rsidRPr="00690AE7" w:rsidRDefault="00687BBA" w:rsidP="00687BBA">
                            <w:pPr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Официјална</w:t>
                            </w:r>
                            <w:proofErr w:type="spellEnd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0AE7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наплата</w:t>
                            </w:r>
                            <w:proofErr w:type="spellEnd"/>
                          </w:p>
                          <w:p w14:paraId="3A4769B8" w14:textId="77777777" w:rsidR="00687BBA" w:rsidRDefault="00687BBA" w:rsidP="00687BBA">
                            <w:pPr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71EA6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мерка</w:t>
                            </w:r>
                            <w:proofErr w:type="spellEnd"/>
                            <w:proofErr w:type="gramEnd"/>
                            <w:r w:rsidRPr="00371EA6">
                              <w:rPr>
                                <w:rFonts w:ascii="StobiSherif Regular" w:hAnsi="StobiSherif Regular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1.2.3.</w:t>
                            </w:r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Фазна</w:t>
                            </w:r>
                            <w:proofErr w:type="spellEnd"/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транзиција</w:t>
                            </w:r>
                            <w:proofErr w:type="spellEnd"/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кон</w:t>
                            </w:r>
                            <w:proofErr w:type="spellEnd"/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самоодржлив</w:t>
                            </w:r>
                            <w:proofErr w:type="spellEnd"/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1EA6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систем</w:t>
                            </w:r>
                            <w:proofErr w:type="spellEnd"/>
                          </w:p>
                          <w:p w14:paraId="60AF9A5F" w14:textId="77777777" w:rsidR="00687BBA" w:rsidRPr="00371EA6" w:rsidRDefault="00687BBA" w:rsidP="00687BBA">
                            <w:pPr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color w:val="EE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71EA6">
                              <w:rPr>
                                <w:rFonts w:ascii="StobiSherif Regular" w:hAnsi="StobiSherif Regular"/>
                                <w:color w:val="EE0000"/>
                                <w:sz w:val="18"/>
                                <w:szCs w:val="18"/>
                              </w:rPr>
                              <w:t>Комбинирање</w:t>
                            </w:r>
                            <w:proofErr w:type="spellEnd"/>
                            <w:r w:rsidRPr="00371EA6">
                              <w:rPr>
                                <w:rFonts w:ascii="StobiSherif Regular" w:hAnsi="StobiSherif Regular"/>
                                <w:color w:val="EE0000"/>
                                <w:sz w:val="18"/>
                                <w:szCs w:val="18"/>
                              </w:rPr>
                              <w:t xml:space="preserve"> ИПА и </w:t>
                            </w:r>
                            <w:proofErr w:type="spellStart"/>
                            <w:r w:rsidRPr="00371EA6">
                              <w:rPr>
                                <w:rFonts w:ascii="StobiSherif Regular" w:hAnsi="StobiSherif Regular"/>
                                <w:color w:val="EE0000"/>
                                <w:sz w:val="18"/>
                                <w:szCs w:val="18"/>
                              </w:rPr>
                              <w:t>буџет</w:t>
                            </w:r>
                            <w:proofErr w:type="spellEnd"/>
                          </w:p>
                          <w:p w14:paraId="4BC2293E" w14:textId="77777777" w:rsidR="00687BBA" w:rsidRDefault="00687BBA" w:rsidP="00687BBA">
                            <w:pPr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Намалување</w:t>
                            </w:r>
                            <w:proofErr w:type="spellEnd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буџетска</w:t>
                            </w:r>
                            <w:proofErr w:type="spellEnd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поддршка</w:t>
                            </w:r>
                            <w:proofErr w:type="spellEnd"/>
                          </w:p>
                          <w:p w14:paraId="72B51D97" w14:textId="77777777" w:rsidR="00687BBA" w:rsidRPr="00F835B2" w:rsidRDefault="00687BBA" w:rsidP="00687BBA">
                            <w:pPr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Годишна</w:t>
                            </w:r>
                            <w:proofErr w:type="spellEnd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ревизија</w:t>
                            </w:r>
                            <w:proofErr w:type="spellEnd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35B2">
                              <w:rPr>
                                <w:rFonts w:ascii="StobiSherif Regular" w:hAnsi="StobiSherif Regular"/>
                                <w:color w:val="7030A0"/>
                                <w:sz w:val="18"/>
                                <w:szCs w:val="18"/>
                              </w:rPr>
                              <w:t>надомест</w:t>
                            </w:r>
                            <w:proofErr w:type="spellEnd"/>
                          </w:p>
                          <w:bookmarkEnd w:id="0"/>
                          <w:p w14:paraId="293D238A" w14:textId="77777777" w:rsidR="00687BBA" w:rsidRPr="00DF28C0" w:rsidRDefault="00687BBA" w:rsidP="00687B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88441" id="_x0000_s1028" style="position:absolute;left:0;text-align:left;margin-left:-50.25pt;margin-top:-58.5pt;width:249.75pt;height:5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" fillcolor="white [3201]" strokecolor="#4ea72e [3209]" strokeweight="1.5pt">
                <v:textbox>
                  <w:txbxContent>
                    <w:p w14:paraId="0DF1E87A" w14:textId="77777777" w:rsidR="00687BBA" w:rsidRPr="009A6F43" w:rsidRDefault="00687BBA" w:rsidP="00687BBA">
                      <w:pPr>
                        <w:jc w:val="center"/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9A6F43">
                        <w:rPr>
                          <w:rFonts w:ascii="StobiSherif Regular" w:hAnsi="StobiSherif Regular"/>
                          <w:sz w:val="18"/>
                          <w:szCs w:val="18"/>
                        </w:rPr>
                        <w:t xml:space="preserve">ПРИОРИТЕТНА ОБЛАСТ 1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Функционален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одржлив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систем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управување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фармацевтски</w:t>
                      </w:r>
                      <w:proofErr w:type="spellEnd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F43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отпад</w:t>
                      </w:r>
                      <w:proofErr w:type="spellEnd"/>
                    </w:p>
                    <w:p w14:paraId="14704D9D" w14:textId="77777777" w:rsidR="00687BBA" w:rsidRDefault="00687BBA" w:rsidP="00687BBA">
                      <w:pPr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bookmarkStart w:id="1" w:name="_Hlk219994677"/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општа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Воспоставен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функционален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одржлив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Национален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систем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управување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фармацевтски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отпад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кој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обезбедува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ефективна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заштита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здравјето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населението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животната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средина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усогласен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Европските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стандарди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добри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практики</w:t>
                      </w:r>
                      <w:proofErr w:type="spellEnd"/>
                    </w:p>
                    <w:bookmarkEnd w:id="1"/>
                    <w:p w14:paraId="434393B9" w14:textId="77777777" w:rsidR="00687BBA" w:rsidRPr="00690AE7" w:rsidRDefault="00687BBA" w:rsidP="00687BBA">
                      <w:pPr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sz w:val="18"/>
                          <w:szCs w:val="18"/>
                        </w:rPr>
                        <w:t>посебна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1.1.</w:t>
                      </w:r>
                      <w:r w:rsidRPr="00690AE7">
                        <w:rPr>
                          <w:rFonts w:ascii="StobiSherif Regular" w:hAnsi="StobiSherif Regular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Воспоставен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Национален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систем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собирање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фармацевтски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отпад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од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домаќинствата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преку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функционални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безбедни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географски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достапни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пунктови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враќање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отпадни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лекови</w:t>
                      </w:r>
                      <w:proofErr w:type="spellEnd"/>
                    </w:p>
                    <w:p w14:paraId="1286F926" w14:textId="77777777" w:rsidR="00687BBA" w:rsidRPr="00690AE7" w:rsidRDefault="00687BBA" w:rsidP="00687BBA">
                      <w:pPr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мерка1.1.1.</w:t>
                      </w:r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Воспоставена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мрежа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пунктови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собирање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фармацевтски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отпад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аптеките</w:t>
                      </w:r>
                      <w:proofErr w:type="spellEnd"/>
                    </w:p>
                    <w:p w14:paraId="5F10F195" w14:textId="77777777" w:rsidR="00687BBA" w:rsidRPr="00690AE7" w:rsidRDefault="00687BBA" w:rsidP="00687BB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Донесување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подзаконски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акт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обврска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аптеките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како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пунктови</w:t>
                      </w:r>
                      <w:proofErr w:type="spellEnd"/>
                    </w:p>
                    <w:p w14:paraId="2810C59C" w14:textId="77777777" w:rsidR="00687BBA" w:rsidRPr="00690AE7" w:rsidRDefault="00687BBA" w:rsidP="00687BB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Набавка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поставување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стандартизирани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контејнери</w:t>
                      </w:r>
                      <w:proofErr w:type="spellEnd"/>
                    </w:p>
                    <w:p w14:paraId="2679BB67" w14:textId="77777777" w:rsidR="00687BBA" w:rsidRPr="00690AE7" w:rsidRDefault="00687BBA" w:rsidP="00687BBA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Договори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аптеките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прием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отпад</w:t>
                      </w:r>
                      <w:proofErr w:type="spellEnd"/>
                    </w:p>
                    <w:p w14:paraId="27172E12" w14:textId="77777777" w:rsidR="00687BBA" w:rsidRPr="00690AE7" w:rsidRDefault="00687BBA" w:rsidP="00687BBA">
                      <w:pPr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1.1.2.</w:t>
                      </w:r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Обезбедување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логистика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собирање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транспорт</w:t>
                      </w:r>
                      <w:proofErr w:type="spellEnd"/>
                    </w:p>
                    <w:p w14:paraId="3F4F1F3D" w14:textId="77777777" w:rsidR="00687BBA" w:rsidRPr="00690AE7" w:rsidRDefault="00687BBA" w:rsidP="00687BBA">
                      <w:pPr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Ангажирање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овластени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оператори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опасен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отпад</w:t>
                      </w:r>
                      <w:proofErr w:type="spellEnd"/>
                    </w:p>
                    <w:p w14:paraId="596E3190" w14:textId="77777777" w:rsidR="00687BBA" w:rsidRPr="00690AE7" w:rsidRDefault="00687BBA" w:rsidP="00687BBA">
                      <w:pPr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Дефинирање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рути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фреквенција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собирање</w:t>
                      </w:r>
                      <w:proofErr w:type="spellEnd"/>
                    </w:p>
                    <w:p w14:paraId="7370494F" w14:textId="77777777" w:rsidR="00687BBA" w:rsidRPr="00690AE7" w:rsidRDefault="00687BBA" w:rsidP="00687BBA">
                      <w:pPr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Воспоставување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евиденција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количини</w:t>
                      </w:r>
                      <w:proofErr w:type="spellEnd"/>
                    </w:p>
                    <w:p w14:paraId="35B96066" w14:textId="77777777" w:rsidR="00687BBA" w:rsidRPr="00690AE7" w:rsidRDefault="00687BBA" w:rsidP="00687BBA">
                      <w:pPr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1.1.3.</w:t>
                      </w:r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Пилот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имплементација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национално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проширување</w:t>
                      </w:r>
                      <w:proofErr w:type="spellEnd"/>
                    </w:p>
                    <w:p w14:paraId="23B3F6E8" w14:textId="77777777" w:rsidR="00687BBA" w:rsidRPr="00690AE7" w:rsidRDefault="00687BBA" w:rsidP="00687BBA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Пилот-проекти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избрани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региони</w:t>
                      </w:r>
                      <w:proofErr w:type="spellEnd"/>
                    </w:p>
                    <w:p w14:paraId="4A13F18E" w14:textId="77777777" w:rsidR="00687BBA" w:rsidRPr="00690AE7" w:rsidRDefault="00687BBA" w:rsidP="00687BBA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Евалуација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пилот-фаза</w:t>
                      </w:r>
                      <w:proofErr w:type="spellEnd"/>
                    </w:p>
                    <w:p w14:paraId="7A26B52A" w14:textId="77777777" w:rsidR="00687BBA" w:rsidRDefault="00687BBA" w:rsidP="00687BBA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Национално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проширување</w:t>
                      </w:r>
                      <w:proofErr w:type="spellEnd"/>
                    </w:p>
                    <w:p w14:paraId="3A0111A1" w14:textId="77777777" w:rsidR="00687BBA" w:rsidRPr="00690AE7" w:rsidRDefault="00687BBA" w:rsidP="00687BBA">
                      <w:pPr>
                        <w:ind w:left="142"/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</w:p>
                    <w:p w14:paraId="560E339D" w14:textId="77777777" w:rsidR="00687BBA" w:rsidRDefault="00687BBA" w:rsidP="00687BBA">
                      <w:pPr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посебна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цел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1.2.</w:t>
                      </w:r>
                      <w:r w:rsidRPr="00690AE7">
                        <w:rPr>
                          <w:rFonts w:ascii="StobiSherif Regular" w:hAnsi="StobiSherif Regular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Обезбедување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финансиска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одржливост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системот</w:t>
                      </w:r>
                      <w:proofErr w:type="spellEnd"/>
                    </w:p>
                    <w:p w14:paraId="79DEFDFA" w14:textId="77777777" w:rsidR="00687BBA" w:rsidRPr="00690AE7" w:rsidRDefault="00687BBA" w:rsidP="00687BBA">
                      <w:pPr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1.2.1.</w:t>
                      </w:r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Воспоставена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национална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ЕПР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шема</w:t>
                      </w:r>
                      <w:proofErr w:type="spellEnd"/>
                    </w:p>
                    <w:p w14:paraId="7AC247E4" w14:textId="77777777" w:rsidR="00687BBA" w:rsidRPr="00690AE7" w:rsidRDefault="00687BBA" w:rsidP="00687BBA">
                      <w:pPr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>Дефинирање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>правен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>модел</w:t>
                      </w:r>
                      <w:proofErr w:type="spellEnd"/>
                    </w:p>
                    <w:p w14:paraId="0A4D0193" w14:textId="77777777" w:rsidR="00687BBA" w:rsidRPr="00690AE7" w:rsidRDefault="00687BBA" w:rsidP="00687BBA">
                      <w:pPr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>Лиценцирање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ЕПР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шема</w:t>
                      </w:r>
                      <w:proofErr w:type="spellEnd"/>
                    </w:p>
                    <w:p w14:paraId="47420EBD" w14:textId="77777777" w:rsidR="00687BBA" w:rsidRPr="00690AE7" w:rsidRDefault="00687BBA" w:rsidP="00687BBA">
                      <w:pPr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>Воспоставување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>управна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bCs/>
                          <w:color w:val="7030A0"/>
                          <w:sz w:val="18"/>
                          <w:szCs w:val="18"/>
                        </w:rPr>
                        <w:t>структура</w:t>
                      </w:r>
                      <w:proofErr w:type="spellEnd"/>
                    </w:p>
                    <w:p w14:paraId="4C3C3430" w14:textId="77777777" w:rsidR="00687BBA" w:rsidRPr="00690AE7" w:rsidRDefault="00687BBA" w:rsidP="00687BBA">
                      <w:pPr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1.2.2.</w:t>
                      </w:r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Воведување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ЕПР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надомест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во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пакување</w:t>
                      </w:r>
                      <w:proofErr w:type="spellEnd"/>
                    </w:p>
                    <w:p w14:paraId="3CAAF2E0" w14:textId="77777777" w:rsidR="00687BBA" w:rsidRPr="00690AE7" w:rsidRDefault="00687BBA" w:rsidP="00687BBA">
                      <w:pPr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Пресметка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стартен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надомест</w:t>
                      </w:r>
                      <w:proofErr w:type="spellEnd"/>
                    </w:p>
                    <w:p w14:paraId="05344243" w14:textId="77777777" w:rsidR="00687BBA" w:rsidRPr="00690AE7" w:rsidRDefault="00687BBA" w:rsidP="00687BBA">
                      <w:pPr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Консултации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индустрија</w:t>
                      </w:r>
                      <w:proofErr w:type="spellEnd"/>
                    </w:p>
                    <w:p w14:paraId="40DEB15F" w14:textId="77777777" w:rsidR="00687BBA" w:rsidRPr="00690AE7" w:rsidRDefault="00687BBA" w:rsidP="00687BBA">
                      <w:pPr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Официјална</w:t>
                      </w:r>
                      <w:proofErr w:type="spellEnd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0AE7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наплата</w:t>
                      </w:r>
                      <w:proofErr w:type="spellEnd"/>
                    </w:p>
                    <w:p w14:paraId="3A4769B8" w14:textId="77777777" w:rsidR="00687BBA" w:rsidRDefault="00687BBA" w:rsidP="00687BBA">
                      <w:pPr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371EA6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>мерка</w:t>
                      </w:r>
                      <w:proofErr w:type="spellEnd"/>
                      <w:r w:rsidRPr="00371EA6">
                        <w:rPr>
                          <w:rFonts w:ascii="StobiSherif Regular" w:hAnsi="StobiSherif Regular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1.2.3.</w:t>
                      </w:r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Фазна</w:t>
                      </w:r>
                      <w:proofErr w:type="spellEnd"/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транзиција</w:t>
                      </w:r>
                      <w:proofErr w:type="spellEnd"/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кон</w:t>
                      </w:r>
                      <w:proofErr w:type="spellEnd"/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самоодржлив</w:t>
                      </w:r>
                      <w:proofErr w:type="spellEnd"/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71EA6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систем</w:t>
                      </w:r>
                      <w:proofErr w:type="spellEnd"/>
                    </w:p>
                    <w:p w14:paraId="60AF9A5F" w14:textId="77777777" w:rsidR="00687BBA" w:rsidRPr="00371EA6" w:rsidRDefault="00687BBA" w:rsidP="00687BBA">
                      <w:pPr>
                        <w:numPr>
                          <w:ilvl w:val="0"/>
                          <w:numId w:val="6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color w:val="EE0000"/>
                          <w:sz w:val="18"/>
                          <w:szCs w:val="18"/>
                        </w:rPr>
                      </w:pPr>
                      <w:proofErr w:type="spellStart"/>
                      <w:r w:rsidRPr="00371EA6">
                        <w:rPr>
                          <w:rFonts w:ascii="StobiSherif Regular" w:hAnsi="StobiSherif Regular"/>
                          <w:color w:val="EE0000"/>
                          <w:sz w:val="18"/>
                          <w:szCs w:val="18"/>
                        </w:rPr>
                        <w:t>Комбинирање</w:t>
                      </w:r>
                      <w:proofErr w:type="spellEnd"/>
                      <w:r w:rsidRPr="00371EA6">
                        <w:rPr>
                          <w:rFonts w:ascii="StobiSherif Regular" w:hAnsi="StobiSherif Regular"/>
                          <w:color w:val="EE0000"/>
                          <w:sz w:val="18"/>
                          <w:szCs w:val="18"/>
                        </w:rPr>
                        <w:t xml:space="preserve"> ИПА и </w:t>
                      </w:r>
                      <w:proofErr w:type="spellStart"/>
                      <w:r w:rsidRPr="00371EA6">
                        <w:rPr>
                          <w:rFonts w:ascii="StobiSherif Regular" w:hAnsi="StobiSherif Regular"/>
                          <w:color w:val="EE0000"/>
                          <w:sz w:val="18"/>
                          <w:szCs w:val="18"/>
                        </w:rPr>
                        <w:t>буџет</w:t>
                      </w:r>
                      <w:proofErr w:type="spellEnd"/>
                    </w:p>
                    <w:p w14:paraId="4BC2293E" w14:textId="77777777" w:rsidR="00687BBA" w:rsidRDefault="00687BBA" w:rsidP="00687BBA">
                      <w:pPr>
                        <w:numPr>
                          <w:ilvl w:val="0"/>
                          <w:numId w:val="6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Намалување</w:t>
                      </w:r>
                      <w:proofErr w:type="spellEnd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буџетска</w:t>
                      </w:r>
                      <w:proofErr w:type="spellEnd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поддршка</w:t>
                      </w:r>
                      <w:proofErr w:type="spellEnd"/>
                    </w:p>
                    <w:p w14:paraId="72B51D97" w14:textId="77777777" w:rsidR="00687BBA" w:rsidRPr="00F835B2" w:rsidRDefault="00687BBA" w:rsidP="00687BBA">
                      <w:pPr>
                        <w:numPr>
                          <w:ilvl w:val="0"/>
                          <w:numId w:val="6"/>
                        </w:numPr>
                        <w:suppressAutoHyphens/>
                        <w:spacing w:after="0" w:line="240" w:lineRule="auto"/>
                        <w:ind w:left="142" w:hanging="142"/>
                        <w:jc w:val="both"/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</w:pPr>
                      <w:proofErr w:type="spellStart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Годишна</w:t>
                      </w:r>
                      <w:proofErr w:type="spellEnd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ревизија</w:t>
                      </w:r>
                      <w:proofErr w:type="spellEnd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835B2">
                        <w:rPr>
                          <w:rFonts w:ascii="StobiSherif Regular" w:hAnsi="StobiSherif Regular"/>
                          <w:color w:val="7030A0"/>
                          <w:sz w:val="18"/>
                          <w:szCs w:val="18"/>
                        </w:rPr>
                        <w:t>надомест</w:t>
                      </w:r>
                      <w:proofErr w:type="spellEnd"/>
                    </w:p>
                    <w:p w14:paraId="293D238A" w14:textId="77777777" w:rsidR="00687BBA" w:rsidRPr="00DF28C0" w:rsidRDefault="00687BBA" w:rsidP="00687BB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87BBA" w:rsidRPr="00BE032B" w:rsidSect="00687BB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herif 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obi sh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8D7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3C0262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D15844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A2B5D6F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B592E36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47180E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9830AF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EF573F9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C8C5F98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0809D4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31046D1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32122E2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B67145F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9026EA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4483233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6334F2E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9B62003"/>
    <w:multiLevelType w:val="multilevel"/>
    <w:tmpl w:val="1CB0D8FC"/>
    <w:lvl w:ilvl="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6"/>
  </w:num>
  <w:num w:numId="5">
    <w:abstractNumId w:val="13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1"/>
  </w:num>
  <w:num w:numId="14">
    <w:abstractNumId w:val="9"/>
  </w:num>
  <w:num w:numId="15">
    <w:abstractNumId w:val="12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AB"/>
    <w:rsid w:val="002C3DAB"/>
    <w:rsid w:val="002E2385"/>
    <w:rsid w:val="0039465F"/>
    <w:rsid w:val="004233D9"/>
    <w:rsid w:val="00687BBA"/>
    <w:rsid w:val="007063CA"/>
    <w:rsid w:val="00BE032B"/>
    <w:rsid w:val="00D54269"/>
    <w:rsid w:val="00F55361"/>
    <w:rsid w:val="00FB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0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DAB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DAB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Conevska</dc:creator>
  <cp:lastModifiedBy>Aneta Angelovska</cp:lastModifiedBy>
  <cp:revision>2</cp:revision>
  <dcterms:created xsi:type="dcterms:W3CDTF">2026-07-15T07:44:00Z</dcterms:created>
  <dcterms:modified xsi:type="dcterms:W3CDTF">2026-07-15T07:44:00Z</dcterms:modified>
</cp:coreProperties>
</file>