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DC4AF6" w:rsidRDefault="003169E3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DC4AF6">
        <w:rPr>
          <w:rFonts w:cstheme="minorHAnsi"/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               Закон за </w:t>
      </w:r>
      <w:r w:rsidR="00893258">
        <w:rPr>
          <w:rFonts w:cstheme="minorHAnsi"/>
          <w:b/>
          <w:color w:val="C00000"/>
          <w:lang w:val="mk-MK"/>
        </w:rPr>
        <w:t>аудиовизуелни</w:t>
      </w:r>
      <w:r w:rsidR="004536BA">
        <w:rPr>
          <w:rFonts w:cstheme="minorHAnsi"/>
          <w:b/>
          <w:color w:val="C00000"/>
          <w:lang w:val="mk-MK"/>
        </w:rPr>
        <w:t>те</w:t>
      </w:r>
      <w:r w:rsidR="00893258">
        <w:rPr>
          <w:rFonts w:cstheme="minorHAnsi"/>
          <w:b/>
          <w:color w:val="C00000"/>
          <w:lang w:val="mk-MK"/>
        </w:rPr>
        <w:t xml:space="preserve"> добра</w:t>
      </w:r>
      <w:r w:rsidR="002C5B5E" w:rsidRPr="00DC4AF6">
        <w:rPr>
          <w:rFonts w:cstheme="minorHAnsi"/>
          <w:b/>
          <w:color w:val="C00000"/>
          <w:lang w:val="mk-MK"/>
        </w:rPr>
        <w:t xml:space="preserve"> </w:t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3169E3" w:rsidRPr="0092086E" w:rsidRDefault="00C16E24" w:rsidP="00AC3E18">
      <w:pPr>
        <w:spacing w:line="259" w:lineRule="auto"/>
        <w:rPr>
          <w:rFonts w:cstheme="minorHAnsi"/>
          <w:b/>
          <w:color w:val="C00000"/>
        </w:rPr>
      </w:pPr>
      <w:r w:rsidRPr="00DC4AF6">
        <w:rPr>
          <w:rFonts w:cstheme="minorHAnsi"/>
          <w:b/>
          <w:color w:val="C00000"/>
          <w:lang w:val="mk-MK"/>
        </w:rPr>
        <w:br w:type="page"/>
      </w: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393"/>
        <w:gridCol w:w="5213"/>
        <w:gridCol w:w="1514"/>
        <w:gridCol w:w="665"/>
        <w:gridCol w:w="18"/>
        <w:gridCol w:w="1197"/>
        <w:gridCol w:w="2735"/>
        <w:gridCol w:w="371"/>
        <w:gridCol w:w="1597"/>
      </w:tblGrid>
      <w:tr w:rsidR="001F21E0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 xml:space="preserve">Број на член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B5E" w:rsidRPr="00DC4AF6" w:rsidRDefault="00044CDF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463054" w:rsidRPr="00DC4AF6" w:rsidRDefault="009163AC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и </w:t>
            </w:r>
            <w:r w:rsidR="002C5B5E" w:rsidRPr="00DC4AF6">
              <w:rPr>
                <w:rFonts w:cstheme="minorHAnsi"/>
                <w:b/>
                <w:lang w:val="mk-MK"/>
              </w:rPr>
              <w:t xml:space="preserve"> </w:t>
            </w:r>
            <w:r w:rsidRPr="00DC4AF6">
              <w:rPr>
                <w:rFonts w:cstheme="minorHAnsi"/>
                <w:b/>
                <w:lang w:val="mk-MK"/>
              </w:rPr>
              <w:t>мерки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463054" w:rsidRPr="00DC4AF6" w:rsidTr="0046305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C74339" w:rsidRDefault="000E1D10" w:rsidP="00C7433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 w:rsidR="00C74339">
              <w:rPr>
                <w:rFonts w:cstheme="minorHAnsi"/>
                <w:b/>
              </w:rPr>
              <w:t xml:space="preserve"> VI</w:t>
            </w:r>
            <w:r w:rsidR="00C74339">
              <w:rPr>
                <w:rFonts w:cstheme="minorHAnsi"/>
                <w:b/>
                <w:lang w:val="mk-MK"/>
              </w:rPr>
              <w:t xml:space="preserve"> ЕВИДЕНЦИЈА, ДОКУМЕНТАЦИЈА И ВОДЕЊЕ НА РЕГИСТАР, Евиденција и диокументација на аудиовизуелните добра</w:t>
            </w:r>
          </w:p>
        </w:tc>
      </w:tr>
      <w:tr w:rsidR="000E1D10" w:rsidRPr="00DC4AF6" w:rsidTr="00EE370A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32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0E1D10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>
              <w:rPr>
                <w:rFonts w:cstheme="minorHAnsi"/>
                <w:lang w:val="mk-MK"/>
              </w:rPr>
              <w:t>1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  <w:p w:rsidR="003E6341" w:rsidRDefault="003E6341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и</w:t>
            </w:r>
          </w:p>
          <w:p w:rsidR="00EE370A" w:rsidRDefault="00EE370A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Правилник</w:t>
            </w:r>
          </w:p>
          <w:p w:rsidR="00EE370A" w:rsidRDefault="00EE370A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(„Сл. весник на РМ“ бр. 11/10)</w:t>
            </w:r>
          </w:p>
          <w:p w:rsidR="00484B10" w:rsidRPr="002E5848" w:rsidRDefault="00484B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152FDA" w:rsidP="00E850AD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  <w:r w:rsidRPr="002E5848">
              <w:rPr>
                <w:rFonts w:cstheme="minorHAnsi"/>
                <w:color w:val="000000"/>
                <w:shd w:val="clear" w:color="auto" w:fill="FFFFFF"/>
                <w:lang w:val="mk-MK"/>
              </w:rPr>
              <w:t>Дали кинотеката води</w:t>
            </w:r>
            <w:r w:rsidRPr="002E5848">
              <w:rPr>
                <w:rFonts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е</w:t>
            </w:r>
            <w:r w:rsidRPr="002E5848">
              <w:rPr>
                <w:rFonts w:eastAsia="Calibri" w:cstheme="minorHAnsi"/>
              </w:rPr>
              <w:t>виденц</w:t>
            </w:r>
            <w:r w:rsidRPr="002E5848">
              <w:rPr>
                <w:rFonts w:cstheme="minorHAnsi"/>
              </w:rPr>
              <w:t>ијата на аудиовизуелните добра</w:t>
            </w:r>
            <w:r w:rsidRPr="002E5848">
              <w:rPr>
                <w:rFonts w:eastAsia="Calibri"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(</w:t>
            </w:r>
            <w:r w:rsidRPr="002E5848">
              <w:rPr>
                <w:rFonts w:eastAsia="Calibri" w:cstheme="minorHAnsi"/>
              </w:rPr>
              <w:t>влезна книга, книга на инвентар, излезна книга, картотека на аудиовизуелни добра, каталог на аудиовизуелни добра, електронска база на податоци и друг вид на евиденција</w:t>
            </w:r>
            <w:r w:rsidRPr="002E5848">
              <w:rPr>
                <w:rFonts w:cstheme="minorHAnsi"/>
                <w:lang w:val="mk-MK"/>
              </w:rPr>
              <w:t xml:space="preserve">) </w:t>
            </w:r>
            <w:r w:rsidRPr="002E5848">
              <w:rPr>
                <w:rFonts w:cstheme="minorHAnsi"/>
                <w:color w:val="000000"/>
                <w:shd w:val="clear" w:color="auto" w:fill="FFFFFF"/>
                <w:lang w:val="mk-MK"/>
              </w:rPr>
              <w:t>и документација на аудиовизулените добра ?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297181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97181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335B88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42</w:t>
            </w:r>
          </w:p>
          <w:p w:rsidR="000E1D10" w:rsidRPr="002E5848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1</w:t>
            </w:r>
            <w:r>
              <w:rPr>
                <w:rFonts w:cstheme="minorHAnsi"/>
                <w:lang w:val="mk-MK"/>
              </w:rPr>
              <w:t xml:space="preserve"> и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0E1D10" w:rsidRPr="008D4C03" w:rsidRDefault="000E1D10" w:rsidP="00E850A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F63E9F" w:rsidRDefault="00EE370A" w:rsidP="00E740A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F63E9F">
              <w:rPr>
                <w:rFonts w:cstheme="minorHAnsi"/>
                <w:sz w:val="20"/>
                <w:szCs w:val="20"/>
                <w:lang w:val="mk-MK"/>
              </w:rPr>
              <w:t>Правил</w:t>
            </w:r>
            <w:r w:rsidR="00E740AC" w:rsidRPr="00F63E9F">
              <w:rPr>
                <w:rFonts w:cstheme="minorHAnsi"/>
                <w:sz w:val="20"/>
                <w:szCs w:val="20"/>
                <w:lang w:val="mk-MK"/>
              </w:rPr>
              <w:t xml:space="preserve">ник за  </w:t>
            </w:r>
            <w:r w:rsidR="00484B10" w:rsidRPr="00F63E9F">
              <w:rPr>
                <w:rFonts w:cstheme="minorHAnsi"/>
                <w:sz w:val="20"/>
                <w:szCs w:val="20"/>
                <w:lang w:val="mk-MK"/>
              </w:rPr>
              <w:t xml:space="preserve">формата, содржината </w:t>
            </w:r>
            <w:r w:rsidRPr="00F63E9F">
              <w:rPr>
                <w:rFonts w:cstheme="minorHAnsi"/>
                <w:sz w:val="20"/>
                <w:szCs w:val="20"/>
                <w:lang w:val="mk-MK"/>
              </w:rPr>
              <w:t xml:space="preserve">и начинот на водење на влезната книга, книгата на инвентарот, излезната книга, картотеката и на др. видови евиднеција на аудиовизуелните добра и на документацијата  </w:t>
            </w:r>
          </w:p>
        </w:tc>
      </w:tr>
      <w:tr w:rsidR="000E1D10" w:rsidRPr="00DC4AF6" w:rsidTr="000E1D1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</w:rPr>
              <w:t xml:space="preserve"> II</w:t>
            </w:r>
            <w:r>
              <w:rPr>
                <w:rFonts w:cstheme="minorHAnsi"/>
                <w:b/>
                <w:lang w:val="mk-MK"/>
              </w:rPr>
              <w:t xml:space="preserve"> Видови на кинотеки и основање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Посебни услови за почеток со работа на кинотеката</w:t>
            </w:r>
          </w:p>
        </w:tc>
      </w:tr>
      <w:tr w:rsidR="000E1D10" w:rsidRPr="00DC4AF6" w:rsidTr="00EE370A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Pr="002E5848">
              <w:rPr>
                <w:rFonts w:cstheme="minorHAnsi"/>
              </w:rPr>
              <w:t>9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 w:rsidRPr="002E5848">
              <w:rPr>
                <w:rFonts w:cstheme="minorHAnsi"/>
              </w:rPr>
              <w:t>3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D75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кинотеката </w:t>
            </w:r>
            <w:r w:rsidR="00C74339">
              <w:rPr>
                <w:rFonts w:cstheme="minorHAnsi"/>
                <w:lang w:val="mk-MK"/>
              </w:rPr>
              <w:t xml:space="preserve">врши дејност без да </w:t>
            </w:r>
            <w:r w:rsidR="00C74339" w:rsidRPr="002E5848">
              <w:rPr>
                <w:rFonts w:cstheme="minorHAnsi"/>
                <w:lang w:val="mk-MK"/>
              </w:rPr>
              <w:t>има добиено решение</w:t>
            </w:r>
            <w:r w:rsidR="00C74339" w:rsidRPr="002E5848">
              <w:rPr>
                <w:rFonts w:cstheme="minorHAnsi"/>
              </w:rPr>
              <w:t xml:space="preserve"> </w:t>
            </w:r>
            <w:r w:rsidR="00C74339" w:rsidRPr="002E5848">
              <w:rPr>
                <w:rFonts w:cstheme="minorHAnsi"/>
                <w:lang w:val="mk-MK"/>
              </w:rPr>
              <w:t>од Министерот за култура</w:t>
            </w:r>
            <w:r w:rsidR="00C74339">
              <w:rPr>
                <w:rFonts w:cstheme="minorHAnsi"/>
                <w:lang w:val="mk-MK"/>
              </w:rPr>
              <w:t xml:space="preserve"> дека ги</w:t>
            </w:r>
            <w:r w:rsidR="00C74339" w:rsidRPr="002E5848">
              <w:rPr>
                <w:rFonts w:cstheme="minorHAnsi"/>
                <w:lang w:val="mk-MK"/>
              </w:rPr>
              <w:t xml:space="preserve"> </w:t>
            </w:r>
            <w:r w:rsidR="00C74339">
              <w:rPr>
                <w:rFonts w:cstheme="minorHAnsi"/>
                <w:lang w:val="mk-MK"/>
              </w:rPr>
              <w:t>исполнува условите</w:t>
            </w:r>
            <w:r w:rsidR="00C74339" w:rsidRPr="002E5848">
              <w:rPr>
                <w:rFonts w:cstheme="minorHAnsi"/>
                <w:lang w:val="mk-MK"/>
              </w:rPr>
              <w:t xml:space="preserve"> за</w:t>
            </w:r>
            <w:r w:rsidR="00C74339">
              <w:rPr>
                <w:rFonts w:cstheme="minorHAnsi"/>
                <w:lang w:val="mk-MK"/>
              </w:rPr>
              <w:t xml:space="preserve"> почеток на работа</w:t>
            </w:r>
            <w:r w:rsidRPr="002E5848">
              <w:rPr>
                <w:rFonts w:cstheme="minorHAnsi"/>
                <w:lang w:val="mk-MK"/>
              </w:rPr>
              <w:t>?</w:t>
            </w:r>
          </w:p>
          <w:p w:rsidR="000E1D10" w:rsidRPr="002E5848" w:rsidRDefault="000E1D10" w:rsidP="00D75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0E1D10" w:rsidRPr="002E5848" w:rsidRDefault="000E1D10" w:rsidP="00D75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0E1D10" w:rsidRPr="002E5848" w:rsidRDefault="000E1D10" w:rsidP="00D75322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86955028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6955028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335B88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Pr="008D4C03" w:rsidRDefault="000E1D10" w:rsidP="00F63E9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B6420B" w:rsidRDefault="000E1D10" w:rsidP="00D7532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46305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B6420B" w:rsidRDefault="00C74339" w:rsidP="0046305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</w:t>
            </w:r>
            <w:r w:rsidR="000E1D10">
              <w:rPr>
                <w:rFonts w:cstheme="minorHAnsi"/>
                <w:b/>
                <w:lang w:val="mk-MK"/>
              </w:rPr>
              <w:t>:</w:t>
            </w:r>
            <w:r w:rsidR="000E1D10">
              <w:rPr>
                <w:rFonts w:cstheme="minorHAnsi"/>
                <w:b/>
              </w:rPr>
              <w:t xml:space="preserve"> IV </w:t>
            </w:r>
            <w:r w:rsidR="000E1D10">
              <w:rPr>
                <w:rFonts w:cstheme="minorHAnsi"/>
                <w:b/>
                <w:lang w:val="mk-MK"/>
              </w:rPr>
              <w:t xml:space="preserve">Работење на кинотеките </w:t>
            </w:r>
            <w:r w:rsidR="000E1D10"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="000E1D10" w:rsidRPr="00DC4AF6">
              <w:rPr>
                <w:rFonts w:cstheme="minorHAnsi"/>
                <w:b/>
                <w:lang w:val="en-US"/>
              </w:rPr>
              <w:t xml:space="preserve">: </w:t>
            </w:r>
            <w:r w:rsidR="000E1D10">
              <w:rPr>
                <w:rFonts w:cstheme="minorHAnsi"/>
                <w:b/>
                <w:lang w:val="mk-MK"/>
              </w:rPr>
              <w:t>Задолжителен примерок</w:t>
            </w:r>
          </w:p>
        </w:tc>
      </w:tr>
      <w:tr w:rsidR="000E1D10" w:rsidRPr="00DC4AF6" w:rsidTr="00EE370A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20 </w:t>
            </w:r>
          </w:p>
          <w:p w:rsidR="000E1D10" w:rsidRPr="002E5848" w:rsidRDefault="000E1D10" w:rsidP="00C7433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(2)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 продуцентот </w:t>
            </w:r>
            <w:r w:rsidR="00C74339">
              <w:rPr>
                <w:rFonts w:cstheme="minorHAnsi"/>
                <w:lang w:val="mk-MK"/>
              </w:rPr>
              <w:t>на аудиовизуелни добра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="00C74339" w:rsidRPr="002E5848">
              <w:rPr>
                <w:rFonts w:cstheme="minorHAnsi"/>
                <w:lang w:val="mk-MK"/>
              </w:rPr>
              <w:t>веднаш по реализација на</w:t>
            </w:r>
            <w:r w:rsidR="00C74339" w:rsidRPr="002E5848">
              <w:rPr>
                <w:rFonts w:cstheme="minorHAnsi"/>
              </w:rPr>
              <w:t xml:space="preserve">  </w:t>
            </w:r>
            <w:r w:rsidR="00C74339" w:rsidRPr="002E5848">
              <w:rPr>
                <w:rFonts w:cstheme="minorHAnsi"/>
                <w:lang w:val="mk-MK"/>
              </w:rPr>
              <w:t xml:space="preserve">делото </w:t>
            </w:r>
            <w:r w:rsidRPr="002E5848">
              <w:rPr>
                <w:rFonts w:cstheme="minorHAnsi"/>
                <w:lang w:val="mk-MK"/>
              </w:rPr>
              <w:t xml:space="preserve">има доставено </w:t>
            </w:r>
            <w:r w:rsidR="00C74339">
              <w:rPr>
                <w:rFonts w:cstheme="minorHAnsi"/>
                <w:lang w:val="mk-MK"/>
              </w:rPr>
              <w:t xml:space="preserve">една </w:t>
            </w:r>
            <w:r w:rsidRPr="002E5848">
              <w:rPr>
                <w:rFonts w:cstheme="minorHAnsi"/>
                <w:lang w:val="mk-MK"/>
              </w:rPr>
              <w:t>неупотребена тонска копија на доброто</w:t>
            </w:r>
            <w:r w:rsidR="00C74339">
              <w:rPr>
                <w:rFonts w:cstheme="minorHAnsi"/>
                <w:lang w:val="mk-MK"/>
              </w:rPr>
              <w:t>,</w:t>
            </w:r>
            <w:r w:rsidRPr="002E5848">
              <w:rPr>
                <w:rFonts w:cstheme="minorHAnsi"/>
                <w:lang w:val="mk-MK"/>
              </w:rPr>
              <w:t xml:space="preserve"> односно дигитален формат на доброто до Кинотеката на </w:t>
            </w:r>
            <w:r w:rsidR="00C74339">
              <w:rPr>
                <w:rFonts w:cstheme="minorHAnsi"/>
                <w:lang w:val="mk-MK"/>
              </w:rPr>
              <w:t xml:space="preserve">СР </w:t>
            </w:r>
            <w:r w:rsidRPr="002E5848">
              <w:rPr>
                <w:rFonts w:cstheme="minorHAnsi"/>
                <w:lang w:val="mk-MK"/>
              </w:rPr>
              <w:t>Македонија ?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115695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115695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0E1D10" w:rsidRPr="00463054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EE370A">
        <w:tc>
          <w:tcPr>
            <w:tcW w:w="474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20 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 w:rsidRPr="002E5848">
              <w:rPr>
                <w:rFonts w:cstheme="minorHAnsi"/>
              </w:rPr>
              <w:t>3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</w:tc>
        <w:tc>
          <w:tcPr>
            <w:tcW w:w="1773" w:type="pct"/>
          </w:tcPr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продуцентот на аудиовизулените добра </w:t>
            </w:r>
            <w:r w:rsidRPr="002E5848">
              <w:rPr>
                <w:rFonts w:cstheme="minorHAnsi"/>
              </w:rPr>
              <w:t xml:space="preserve">финсансирани со средства од Буџетот на Република </w:t>
            </w:r>
            <w:r w:rsidR="00F23D76"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</w:rPr>
              <w:t xml:space="preserve">две години по нивното премиерно прикажување </w:t>
            </w:r>
            <w:r w:rsidRPr="002E5848">
              <w:rPr>
                <w:rFonts w:cstheme="minorHAnsi"/>
                <w:lang w:val="mk-MK"/>
              </w:rPr>
              <w:t xml:space="preserve"> ги доставил изворните материјали на аудиовизуелните добра </w:t>
            </w:r>
            <w:r w:rsidRPr="002E5848">
              <w:rPr>
                <w:rFonts w:cstheme="minorHAnsi"/>
              </w:rPr>
              <w:t xml:space="preserve">до Кинотеката на </w:t>
            </w:r>
            <w:r w:rsidR="00F23D76" w:rsidRPr="002E5848">
              <w:rPr>
                <w:rFonts w:cstheme="minorHAnsi"/>
              </w:rPr>
              <w:t xml:space="preserve">Република </w:t>
            </w:r>
            <w:r w:rsidR="00F23D76"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?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07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0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Pr="002E5848">
              <w:rPr>
                <w:rFonts w:cstheme="minorHAnsi"/>
              </w:rPr>
              <w:t>3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Pr="00EE7058" w:rsidRDefault="000E1D10" w:rsidP="00F63E9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669" w:type="pct"/>
            <w:gridSpan w:val="2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EE370A">
        <w:tc>
          <w:tcPr>
            <w:tcW w:w="474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20 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 w:rsidRPr="002E5848">
              <w:rPr>
                <w:rFonts w:cstheme="minorHAnsi"/>
              </w:rPr>
              <w:t>4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</w:tc>
        <w:tc>
          <w:tcPr>
            <w:tcW w:w="1773" w:type="pct"/>
          </w:tcPr>
          <w:p w:rsidR="000E1D10" w:rsidRPr="002E5848" w:rsidRDefault="000E1D10" w:rsidP="00F23D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Дали  п</w:t>
            </w:r>
            <w:r w:rsidRPr="002E5848">
              <w:rPr>
                <w:rFonts w:cstheme="minorHAnsi"/>
              </w:rPr>
              <w:t>родуцентот од</w:t>
            </w:r>
            <w:r w:rsidR="00F23D76">
              <w:rPr>
                <w:rFonts w:cstheme="minorHAnsi"/>
                <w:lang w:val="mk-MK"/>
              </w:rPr>
              <w:t xml:space="preserve"> РСМ</w:t>
            </w:r>
            <w:r w:rsidRPr="002E5848">
              <w:rPr>
                <w:rFonts w:cstheme="minorHAnsi"/>
              </w:rPr>
              <w:t>, учесник во копродукција на аудиовизуелно добро</w:t>
            </w:r>
            <w:r w:rsidR="00F23D76">
              <w:rPr>
                <w:rFonts w:cstheme="minorHAnsi"/>
                <w:lang w:val="mk-MK"/>
              </w:rPr>
              <w:t xml:space="preserve">, кој користел средствата од Буџетот на РСМ, </w:t>
            </w:r>
            <w:r w:rsidRPr="002E5848">
              <w:rPr>
                <w:rFonts w:cstheme="minorHAnsi"/>
                <w:lang w:val="mk-MK"/>
              </w:rPr>
              <w:t xml:space="preserve"> има доставено една неупотребена тонска копија на доброто</w:t>
            </w:r>
            <w:r w:rsidRPr="002E5848">
              <w:rPr>
                <w:rFonts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веднаш по реализација на</w:t>
            </w:r>
            <w:r w:rsidRPr="002E5848">
              <w:rPr>
                <w:rFonts w:cstheme="minorHAnsi"/>
              </w:rPr>
              <w:t xml:space="preserve">  </w:t>
            </w:r>
            <w:r w:rsidRPr="002E5848">
              <w:rPr>
                <w:rFonts w:cstheme="minorHAnsi"/>
                <w:lang w:val="mk-MK"/>
              </w:rPr>
              <w:t xml:space="preserve">делото  до Кинотеката на </w:t>
            </w:r>
            <w:r w:rsidR="00F23D76" w:rsidRPr="002E5848">
              <w:rPr>
                <w:rFonts w:cstheme="minorHAnsi"/>
              </w:rPr>
              <w:t xml:space="preserve">Република </w:t>
            </w:r>
            <w:r w:rsidR="00F23D76"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  <w:lang w:val="mk-MK"/>
              </w:rPr>
              <w:t>Македонија</w:t>
            </w:r>
            <w:r w:rsidRPr="002E5848">
              <w:rPr>
                <w:rFonts w:cstheme="minorHAnsi"/>
              </w:rPr>
              <w:t xml:space="preserve">, </w:t>
            </w:r>
            <w:r w:rsidRPr="002E5848">
              <w:rPr>
                <w:rFonts w:cstheme="minorHAnsi"/>
                <w:lang w:val="mk-MK"/>
              </w:rPr>
              <w:t>без облед на видот на носачот ?</w:t>
            </w:r>
          </w:p>
        </w:tc>
        <w:tc>
          <w:tcPr>
            <w:tcW w:w="515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1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16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Pr="002E5848">
              <w:rPr>
                <w:rFonts w:cstheme="minorHAnsi"/>
              </w:rPr>
              <w:t>4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Pr="002E5848" w:rsidRDefault="000E1D10" w:rsidP="00F63E9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669" w:type="pct"/>
            <w:gridSpan w:val="2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EE370A">
        <w:tc>
          <w:tcPr>
            <w:tcW w:w="474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20 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</w:t>
            </w:r>
            <w:r w:rsidRPr="002E5848">
              <w:rPr>
                <w:rFonts w:cstheme="minorHAnsi"/>
              </w:rPr>
              <w:t>5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</w:tc>
        <w:tc>
          <w:tcPr>
            <w:tcW w:w="1773" w:type="pct"/>
          </w:tcPr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Дали п</w:t>
            </w:r>
            <w:r w:rsidRPr="002E5848">
              <w:rPr>
                <w:rFonts w:cstheme="minorHAnsi"/>
              </w:rPr>
              <w:t>ро</w:t>
            </w:r>
            <w:r w:rsidR="00F23D76">
              <w:rPr>
                <w:rFonts w:cstheme="minorHAnsi"/>
              </w:rPr>
              <w:t>дуцентот о</w:t>
            </w:r>
            <w:r w:rsidR="00F23D76">
              <w:rPr>
                <w:rFonts w:cstheme="minorHAnsi"/>
                <w:lang w:val="mk-MK"/>
              </w:rPr>
              <w:t>д РСМ</w:t>
            </w:r>
            <w:r w:rsidRPr="002E5848">
              <w:rPr>
                <w:rFonts w:cstheme="minorHAnsi"/>
              </w:rPr>
              <w:t>, кој со средства о</w:t>
            </w:r>
            <w:r w:rsidR="00F23D76">
              <w:rPr>
                <w:rFonts w:cstheme="minorHAnsi"/>
              </w:rPr>
              <w:t>д Буџетот на Р</w:t>
            </w:r>
            <w:r w:rsidR="00F23D76">
              <w:rPr>
                <w:rFonts w:cstheme="minorHAnsi"/>
                <w:lang w:val="mk-MK"/>
              </w:rPr>
              <w:t>СМ</w:t>
            </w:r>
            <w:r w:rsidRPr="002E5848">
              <w:rPr>
                <w:rFonts w:cstheme="minorHAnsi"/>
              </w:rPr>
              <w:t xml:space="preserve"> учествувал со мнозински дел во копродукциско аудиовизуелно дело, две години по премиерното прикажување </w:t>
            </w:r>
            <w:r w:rsidRPr="002E5848">
              <w:rPr>
                <w:rFonts w:cstheme="minorHAnsi"/>
                <w:lang w:val="mk-MK"/>
              </w:rPr>
              <w:t>ги доставил изворните материјали</w:t>
            </w:r>
            <w:r w:rsidR="00F23D76">
              <w:rPr>
                <w:rFonts w:cstheme="minorHAnsi"/>
                <w:lang w:val="mk-MK"/>
              </w:rPr>
              <w:t xml:space="preserve"> на аудиовизуелните добра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</w:rPr>
              <w:t xml:space="preserve">до Кинотеката на </w:t>
            </w:r>
            <w:r w:rsidR="00F23D76" w:rsidRPr="002E5848">
              <w:rPr>
                <w:rFonts w:cstheme="minorHAnsi"/>
              </w:rPr>
              <w:t xml:space="preserve">Република </w:t>
            </w:r>
            <w:r w:rsidR="00F23D76"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?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17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1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Pr="002E5848">
              <w:rPr>
                <w:rFonts w:cstheme="minorHAnsi"/>
              </w:rPr>
              <w:t>5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Pr="002E5848" w:rsidRDefault="000E1D10" w:rsidP="00F63E9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669" w:type="pct"/>
            <w:gridSpan w:val="2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EE370A">
        <w:tc>
          <w:tcPr>
            <w:tcW w:w="474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20 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(7) </w:t>
            </w:r>
          </w:p>
        </w:tc>
        <w:tc>
          <w:tcPr>
            <w:tcW w:w="1773" w:type="pct"/>
          </w:tcPr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продуцентите </w:t>
            </w:r>
            <w:r w:rsidRPr="002E5848">
              <w:rPr>
                <w:rFonts w:cstheme="minorHAnsi"/>
              </w:rPr>
              <w:t xml:space="preserve">на радиодифузните програми од јавен интерес </w:t>
            </w:r>
            <w:r w:rsidRPr="002E5848">
              <w:rPr>
                <w:rFonts w:cstheme="minorHAnsi"/>
                <w:lang w:val="mk-MK"/>
              </w:rPr>
              <w:t xml:space="preserve">доставиле една копија од радиодифузните програми до Кинотеката на </w:t>
            </w:r>
            <w:r w:rsidR="00F23D76" w:rsidRPr="002E5848">
              <w:rPr>
                <w:rFonts w:cstheme="minorHAnsi"/>
              </w:rPr>
              <w:t xml:space="preserve">Република </w:t>
            </w:r>
            <w:r w:rsidR="00F23D76"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  <w:lang w:val="mk-MK"/>
              </w:rPr>
              <w:t>Македонија ?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1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0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6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Pr="002E5848" w:rsidRDefault="000E1D10" w:rsidP="00F63E9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669" w:type="pct"/>
            <w:gridSpan w:val="2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463054">
        <w:tc>
          <w:tcPr>
            <w:tcW w:w="5000" w:type="pct"/>
            <w:gridSpan w:val="9"/>
          </w:tcPr>
          <w:p w:rsidR="000E1D10" w:rsidRPr="00B6420B" w:rsidRDefault="00F23D76" w:rsidP="0046305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</w:t>
            </w:r>
            <w:r w:rsidR="000E1D10">
              <w:rPr>
                <w:rFonts w:cstheme="minorHAnsi"/>
                <w:b/>
                <w:lang w:val="mk-MK"/>
              </w:rPr>
              <w:t>:</w:t>
            </w:r>
            <w:r w:rsidR="000E1D10">
              <w:rPr>
                <w:rFonts w:cstheme="minorHAnsi"/>
                <w:b/>
              </w:rPr>
              <w:t xml:space="preserve"> IV </w:t>
            </w:r>
            <w:r w:rsidR="000E1D10">
              <w:rPr>
                <w:rFonts w:cstheme="minorHAnsi"/>
                <w:b/>
                <w:lang w:val="mk-MK"/>
              </w:rPr>
              <w:t xml:space="preserve">Работење на кинотеките </w:t>
            </w:r>
            <w:r w:rsidR="000E1D10"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="000E1D10" w:rsidRPr="00DC4AF6">
              <w:rPr>
                <w:rFonts w:cstheme="minorHAnsi"/>
                <w:b/>
                <w:lang w:val="en-US"/>
              </w:rPr>
              <w:t xml:space="preserve">: </w:t>
            </w:r>
            <w:r w:rsidR="000E1D10">
              <w:rPr>
                <w:rFonts w:cstheme="minorHAnsi"/>
                <w:b/>
                <w:lang w:val="mk-MK"/>
              </w:rPr>
              <w:t>Ревизија на аудиовизуелни добра</w:t>
            </w:r>
          </w:p>
        </w:tc>
      </w:tr>
      <w:tr w:rsidR="000E1D10" w:rsidRPr="00DC4AF6" w:rsidTr="00EE370A">
        <w:trPr>
          <w:trHeight w:val="2118"/>
        </w:trPr>
        <w:tc>
          <w:tcPr>
            <w:tcW w:w="474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29 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Дали кинотеката има направено ревизија на состојбата на аудиовизулените добра, која се врши најмалку на секој пет години ?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21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7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669" w:type="pct"/>
            <w:gridSpan w:val="2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0733D2">
        <w:trPr>
          <w:trHeight w:val="743"/>
        </w:trPr>
        <w:tc>
          <w:tcPr>
            <w:tcW w:w="5000" w:type="pct"/>
            <w:gridSpan w:val="9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 xml:space="preserve">: </w:t>
            </w:r>
            <w:r>
              <w:rPr>
                <w:rFonts w:cstheme="minorHAnsi"/>
                <w:b/>
              </w:rPr>
              <w:t>VI</w:t>
            </w:r>
            <w:r>
              <w:rPr>
                <w:rFonts w:cstheme="minorHAnsi"/>
                <w:b/>
                <w:lang w:val="mk-MK"/>
              </w:rPr>
              <w:t xml:space="preserve"> Евиденција, документација и водење на регистар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Евиденција и документација на аудиовизуелните добра</w:t>
            </w:r>
          </w:p>
        </w:tc>
      </w:tr>
      <w:tr w:rsidR="000E1D10" w:rsidRPr="00DC4AF6" w:rsidTr="00EE370A">
        <w:trPr>
          <w:trHeight w:val="2118"/>
        </w:trPr>
        <w:tc>
          <w:tcPr>
            <w:tcW w:w="474" w:type="pct"/>
          </w:tcPr>
          <w:p w:rsidR="000E1D10" w:rsidRPr="002E5848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32 </w:t>
            </w:r>
          </w:p>
          <w:p w:rsidR="000E1D10" w:rsidRPr="002E5848" w:rsidRDefault="00152FDA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Став (4) </w:t>
            </w:r>
          </w:p>
          <w:p w:rsidR="000E1D10" w:rsidRPr="002E5848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0E1D10" w:rsidRPr="002E5848" w:rsidRDefault="000E1D10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кинотеката </w:t>
            </w:r>
            <w:r w:rsidR="00152FDA">
              <w:rPr>
                <w:rFonts w:cstheme="minorHAnsi"/>
                <w:lang w:val="mk-MK"/>
              </w:rPr>
              <w:t>ја извршила</w:t>
            </w:r>
            <w:r w:rsidR="00152FDA"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стручната обработка на </w:t>
            </w:r>
            <w:r w:rsidRPr="002E5848">
              <w:rPr>
                <w:rFonts w:cstheme="minorHAnsi"/>
              </w:rPr>
              <w:t>аудиовизуелното добро</w:t>
            </w:r>
            <w:r w:rsidRPr="002E5848">
              <w:rPr>
                <w:rFonts w:cstheme="minorHAnsi"/>
                <w:lang w:val="mk-MK"/>
              </w:rPr>
              <w:t xml:space="preserve"> во рок од </w:t>
            </w:r>
            <w:r w:rsidRPr="002E5848">
              <w:rPr>
                <w:rFonts w:cstheme="minorHAnsi"/>
              </w:rPr>
              <w:t>една година од денот на неговото запишување во влезната книга до денот на неговото евидентирање во инвентарната книга ?</w:t>
            </w:r>
          </w:p>
          <w:p w:rsidR="000E1D10" w:rsidRPr="002E5848" w:rsidRDefault="000E1D10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0E1D10" w:rsidRPr="002E5848" w:rsidRDefault="000E1D10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0E1D10" w:rsidRPr="002E5848" w:rsidRDefault="000E1D10" w:rsidP="004C45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0E1D10" w:rsidRPr="002E5848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025351520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025351521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8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0E1D10" w:rsidRPr="00463054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669" w:type="pct"/>
            <w:gridSpan w:val="2"/>
          </w:tcPr>
          <w:p w:rsidR="000E1D10" w:rsidRPr="00B6420B" w:rsidRDefault="000E1D10" w:rsidP="004C45E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0E1D10" w:rsidRPr="00DC4AF6" w:rsidTr="00463054">
        <w:tc>
          <w:tcPr>
            <w:tcW w:w="5000" w:type="pct"/>
            <w:gridSpan w:val="9"/>
          </w:tcPr>
          <w:p w:rsidR="000E1D10" w:rsidRPr="00B6420B" w:rsidRDefault="000E1D10" w:rsidP="00463054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</w:rPr>
              <w:t xml:space="preserve"> VII </w:t>
            </w:r>
            <w:r>
              <w:rPr>
                <w:rFonts w:cstheme="minorHAnsi"/>
                <w:b/>
                <w:lang w:val="mk-MK"/>
              </w:rPr>
              <w:t xml:space="preserve">Стручни звања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Поведување постапка за избор и реизбор во стручно звање</w:t>
            </w:r>
          </w:p>
        </w:tc>
      </w:tr>
      <w:tr w:rsidR="000E1D10" w:rsidRPr="00DC4AF6" w:rsidTr="00EE370A">
        <w:trPr>
          <w:trHeight w:val="1857"/>
        </w:trPr>
        <w:tc>
          <w:tcPr>
            <w:tcW w:w="474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38</w:t>
            </w:r>
          </w:p>
          <w:p w:rsidR="000E1D10" w:rsidRPr="002E5848" w:rsidRDefault="00152FDA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Став (3) 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0E1D10" w:rsidRPr="002E5848" w:rsidRDefault="000E1D10" w:rsidP="002E75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Дали директорот на јавната кинотека има поведено постапка за реизбор во стручно звање</w:t>
            </w:r>
            <w:r w:rsidR="00152FDA">
              <w:rPr>
                <w:rFonts w:cstheme="minorHAnsi"/>
                <w:lang w:val="mk-MK"/>
              </w:rPr>
              <w:t>,</w:t>
            </w:r>
            <w:r w:rsidRPr="002E5848">
              <w:rPr>
                <w:rFonts w:cstheme="minorHAnsi"/>
                <w:lang w:val="mk-MK"/>
              </w:rPr>
              <w:t xml:space="preserve"> најдоцна во рок од три месеци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пред истекот на 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рокот за реизбор?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0E1D10" w:rsidRPr="002E5848" w:rsidRDefault="000E1D10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481492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944814926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0E1D10" w:rsidRPr="002E5848" w:rsidRDefault="00335B88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42-а</w:t>
            </w:r>
          </w:p>
          <w:p w:rsidR="000E1D10" w:rsidRPr="002E5848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9</w:t>
            </w:r>
          </w:p>
        </w:tc>
        <w:tc>
          <w:tcPr>
            <w:tcW w:w="930" w:type="pct"/>
          </w:tcPr>
          <w:p w:rsidR="000E1D10" w:rsidRPr="002E5848" w:rsidRDefault="000E1D10" w:rsidP="000E1D1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-1.500 евра во денарска противредност 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0E1D10" w:rsidRPr="00EE7058" w:rsidRDefault="000E1D10" w:rsidP="00F63E9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</w:tc>
        <w:tc>
          <w:tcPr>
            <w:tcW w:w="669" w:type="pct"/>
            <w:gridSpan w:val="2"/>
          </w:tcPr>
          <w:p w:rsidR="000E1D10" w:rsidRPr="00B6420B" w:rsidRDefault="000E1D10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</w:tbl>
    <w:p w:rsidR="00C6164C" w:rsidRPr="00DC4AF6" w:rsidRDefault="009041E1" w:rsidP="00141867">
      <w:pPr>
        <w:shd w:val="clear" w:color="auto" w:fill="FFFFFF" w:themeFill="background1"/>
        <w:rPr>
          <w:rFonts w:cstheme="minorHAnsi"/>
          <w:lang w:val="mk-MK"/>
        </w:rPr>
      </w:pPr>
    </w:p>
    <w:sectPr w:rsidR="00C6164C" w:rsidRPr="00DC4AF6" w:rsidSect="00DC4AF6">
      <w:footerReference w:type="default" r:id="rId8"/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E1" w:rsidRDefault="009041E1" w:rsidP="00F63E9F">
      <w:pPr>
        <w:spacing w:after="0" w:line="240" w:lineRule="auto"/>
      </w:pPr>
      <w:r>
        <w:separator/>
      </w:r>
    </w:p>
  </w:endnote>
  <w:endnote w:type="continuationSeparator" w:id="0">
    <w:p w:rsidR="009041E1" w:rsidRDefault="009041E1" w:rsidP="00F6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1587"/>
      <w:docPartObj>
        <w:docPartGallery w:val="Page Numbers (Bottom of Page)"/>
        <w:docPartUnique/>
      </w:docPartObj>
    </w:sdtPr>
    <w:sdtEndPr/>
    <w:sdtContent>
      <w:p w:rsidR="00F63E9F" w:rsidRDefault="00904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E9F" w:rsidRDefault="00F63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E1" w:rsidRDefault="009041E1" w:rsidP="00F63E9F">
      <w:pPr>
        <w:spacing w:after="0" w:line="240" w:lineRule="auto"/>
      </w:pPr>
      <w:r>
        <w:separator/>
      </w:r>
    </w:p>
  </w:footnote>
  <w:footnote w:type="continuationSeparator" w:id="0">
    <w:p w:rsidR="009041E1" w:rsidRDefault="009041E1" w:rsidP="00F6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43DA"/>
    <w:rsid w:val="000152F5"/>
    <w:rsid w:val="00044CDF"/>
    <w:rsid w:val="00050F2A"/>
    <w:rsid w:val="00051230"/>
    <w:rsid w:val="00061669"/>
    <w:rsid w:val="00067A61"/>
    <w:rsid w:val="0007215E"/>
    <w:rsid w:val="000733D2"/>
    <w:rsid w:val="00087273"/>
    <w:rsid w:val="000965A9"/>
    <w:rsid w:val="000A16FB"/>
    <w:rsid w:val="000A3122"/>
    <w:rsid w:val="000C0C09"/>
    <w:rsid w:val="000C2D9E"/>
    <w:rsid w:val="000D66BF"/>
    <w:rsid w:val="000E1D10"/>
    <w:rsid w:val="000E75FE"/>
    <w:rsid w:val="000F2337"/>
    <w:rsid w:val="000F2CA4"/>
    <w:rsid w:val="00105E0A"/>
    <w:rsid w:val="00112228"/>
    <w:rsid w:val="001238EA"/>
    <w:rsid w:val="00141867"/>
    <w:rsid w:val="00152092"/>
    <w:rsid w:val="001522FE"/>
    <w:rsid w:val="00152FDA"/>
    <w:rsid w:val="001649F7"/>
    <w:rsid w:val="00173B14"/>
    <w:rsid w:val="00183804"/>
    <w:rsid w:val="001B5859"/>
    <w:rsid w:val="001D3A66"/>
    <w:rsid w:val="001E0C98"/>
    <w:rsid w:val="001E4774"/>
    <w:rsid w:val="001F21E0"/>
    <w:rsid w:val="0020583B"/>
    <w:rsid w:val="002058FE"/>
    <w:rsid w:val="0020732E"/>
    <w:rsid w:val="00213574"/>
    <w:rsid w:val="00226A60"/>
    <w:rsid w:val="00237E88"/>
    <w:rsid w:val="002411B6"/>
    <w:rsid w:val="00256B3D"/>
    <w:rsid w:val="0026192F"/>
    <w:rsid w:val="00274F7C"/>
    <w:rsid w:val="00277AFF"/>
    <w:rsid w:val="00281C4C"/>
    <w:rsid w:val="0028341C"/>
    <w:rsid w:val="002962B4"/>
    <w:rsid w:val="002A0312"/>
    <w:rsid w:val="002A2CBC"/>
    <w:rsid w:val="002B056A"/>
    <w:rsid w:val="002B3B7B"/>
    <w:rsid w:val="002C2007"/>
    <w:rsid w:val="002C5B5E"/>
    <w:rsid w:val="002D77EC"/>
    <w:rsid w:val="002E4EF3"/>
    <w:rsid w:val="002E5848"/>
    <w:rsid w:val="002E753A"/>
    <w:rsid w:val="00303F60"/>
    <w:rsid w:val="003054E5"/>
    <w:rsid w:val="003169E3"/>
    <w:rsid w:val="003243A6"/>
    <w:rsid w:val="00331A59"/>
    <w:rsid w:val="00335B88"/>
    <w:rsid w:val="00335D13"/>
    <w:rsid w:val="003410FD"/>
    <w:rsid w:val="00341475"/>
    <w:rsid w:val="0034527D"/>
    <w:rsid w:val="003550C0"/>
    <w:rsid w:val="0037144D"/>
    <w:rsid w:val="00376F00"/>
    <w:rsid w:val="0038684F"/>
    <w:rsid w:val="003922A6"/>
    <w:rsid w:val="003B0140"/>
    <w:rsid w:val="003B0DAB"/>
    <w:rsid w:val="003C3A9E"/>
    <w:rsid w:val="003C5B51"/>
    <w:rsid w:val="003D0729"/>
    <w:rsid w:val="003D2C57"/>
    <w:rsid w:val="003D45AD"/>
    <w:rsid w:val="003D6056"/>
    <w:rsid w:val="003E6341"/>
    <w:rsid w:val="004001C5"/>
    <w:rsid w:val="0040225A"/>
    <w:rsid w:val="00414B4D"/>
    <w:rsid w:val="00414C5D"/>
    <w:rsid w:val="00416D6A"/>
    <w:rsid w:val="004445F6"/>
    <w:rsid w:val="004515D2"/>
    <w:rsid w:val="004536BA"/>
    <w:rsid w:val="0046247C"/>
    <w:rsid w:val="00463054"/>
    <w:rsid w:val="00484B10"/>
    <w:rsid w:val="00486251"/>
    <w:rsid w:val="00490160"/>
    <w:rsid w:val="004930A2"/>
    <w:rsid w:val="004B21A3"/>
    <w:rsid w:val="004C6AF9"/>
    <w:rsid w:val="004D335B"/>
    <w:rsid w:val="004E30C4"/>
    <w:rsid w:val="0050441E"/>
    <w:rsid w:val="005132F5"/>
    <w:rsid w:val="00517236"/>
    <w:rsid w:val="00517A2F"/>
    <w:rsid w:val="0052632D"/>
    <w:rsid w:val="00526D4E"/>
    <w:rsid w:val="005341A0"/>
    <w:rsid w:val="00545599"/>
    <w:rsid w:val="00552CD0"/>
    <w:rsid w:val="005725CB"/>
    <w:rsid w:val="00576435"/>
    <w:rsid w:val="00576576"/>
    <w:rsid w:val="00580DE9"/>
    <w:rsid w:val="00580DF9"/>
    <w:rsid w:val="00581DE6"/>
    <w:rsid w:val="00582C84"/>
    <w:rsid w:val="005871BD"/>
    <w:rsid w:val="005932AA"/>
    <w:rsid w:val="005A2ADF"/>
    <w:rsid w:val="005C1B99"/>
    <w:rsid w:val="005E6BD5"/>
    <w:rsid w:val="005F532B"/>
    <w:rsid w:val="005F6BD1"/>
    <w:rsid w:val="00603CF1"/>
    <w:rsid w:val="00605879"/>
    <w:rsid w:val="00606447"/>
    <w:rsid w:val="00625848"/>
    <w:rsid w:val="006307E6"/>
    <w:rsid w:val="006326FB"/>
    <w:rsid w:val="0064301E"/>
    <w:rsid w:val="006454C0"/>
    <w:rsid w:val="00650681"/>
    <w:rsid w:val="00656A42"/>
    <w:rsid w:val="006662DB"/>
    <w:rsid w:val="00671A4D"/>
    <w:rsid w:val="00672D76"/>
    <w:rsid w:val="00680CB9"/>
    <w:rsid w:val="006832D3"/>
    <w:rsid w:val="006934A3"/>
    <w:rsid w:val="00694819"/>
    <w:rsid w:val="006A174D"/>
    <w:rsid w:val="006B3581"/>
    <w:rsid w:val="006D1CB4"/>
    <w:rsid w:val="006F1DE9"/>
    <w:rsid w:val="00700A38"/>
    <w:rsid w:val="00704DFF"/>
    <w:rsid w:val="00717EF6"/>
    <w:rsid w:val="00725FBD"/>
    <w:rsid w:val="00726B3D"/>
    <w:rsid w:val="00727ABE"/>
    <w:rsid w:val="0073174F"/>
    <w:rsid w:val="00757B99"/>
    <w:rsid w:val="00760494"/>
    <w:rsid w:val="00762AA2"/>
    <w:rsid w:val="00766783"/>
    <w:rsid w:val="00780E98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27E7F"/>
    <w:rsid w:val="00837C0E"/>
    <w:rsid w:val="0084384E"/>
    <w:rsid w:val="00873696"/>
    <w:rsid w:val="00893258"/>
    <w:rsid w:val="008D4C03"/>
    <w:rsid w:val="008D5EC3"/>
    <w:rsid w:val="009021F4"/>
    <w:rsid w:val="009025E8"/>
    <w:rsid w:val="009041E1"/>
    <w:rsid w:val="00905B92"/>
    <w:rsid w:val="009106D3"/>
    <w:rsid w:val="009163AC"/>
    <w:rsid w:val="0092086E"/>
    <w:rsid w:val="00935A4B"/>
    <w:rsid w:val="009448CF"/>
    <w:rsid w:val="00945E9B"/>
    <w:rsid w:val="00946899"/>
    <w:rsid w:val="009906D3"/>
    <w:rsid w:val="009B476C"/>
    <w:rsid w:val="009C602A"/>
    <w:rsid w:val="009D48A5"/>
    <w:rsid w:val="009D6C4B"/>
    <w:rsid w:val="009E3031"/>
    <w:rsid w:val="009F0173"/>
    <w:rsid w:val="009F4338"/>
    <w:rsid w:val="00A05E62"/>
    <w:rsid w:val="00A20F1C"/>
    <w:rsid w:val="00A24006"/>
    <w:rsid w:val="00A420D9"/>
    <w:rsid w:val="00A509BA"/>
    <w:rsid w:val="00A50C68"/>
    <w:rsid w:val="00A5161E"/>
    <w:rsid w:val="00A556E2"/>
    <w:rsid w:val="00A70A49"/>
    <w:rsid w:val="00A74A77"/>
    <w:rsid w:val="00A841FA"/>
    <w:rsid w:val="00A85BBE"/>
    <w:rsid w:val="00A87818"/>
    <w:rsid w:val="00A9060D"/>
    <w:rsid w:val="00AA3C0B"/>
    <w:rsid w:val="00AA6789"/>
    <w:rsid w:val="00AB07FF"/>
    <w:rsid w:val="00AB6C00"/>
    <w:rsid w:val="00AC3E18"/>
    <w:rsid w:val="00B23133"/>
    <w:rsid w:val="00B34ADE"/>
    <w:rsid w:val="00B35030"/>
    <w:rsid w:val="00B454BC"/>
    <w:rsid w:val="00B525BB"/>
    <w:rsid w:val="00B55E6D"/>
    <w:rsid w:val="00B6420B"/>
    <w:rsid w:val="00B82C13"/>
    <w:rsid w:val="00B87DF9"/>
    <w:rsid w:val="00B92B1D"/>
    <w:rsid w:val="00BA2C9D"/>
    <w:rsid w:val="00BC4A5D"/>
    <w:rsid w:val="00BF51E8"/>
    <w:rsid w:val="00BF6803"/>
    <w:rsid w:val="00BF6A54"/>
    <w:rsid w:val="00C072CB"/>
    <w:rsid w:val="00C145E4"/>
    <w:rsid w:val="00C14C10"/>
    <w:rsid w:val="00C16E24"/>
    <w:rsid w:val="00C23553"/>
    <w:rsid w:val="00C23E12"/>
    <w:rsid w:val="00C24104"/>
    <w:rsid w:val="00C24D8B"/>
    <w:rsid w:val="00C2524F"/>
    <w:rsid w:val="00C40F39"/>
    <w:rsid w:val="00C42CF6"/>
    <w:rsid w:val="00C433DC"/>
    <w:rsid w:val="00C4683C"/>
    <w:rsid w:val="00C54B15"/>
    <w:rsid w:val="00C57B84"/>
    <w:rsid w:val="00C71412"/>
    <w:rsid w:val="00C74339"/>
    <w:rsid w:val="00C8219D"/>
    <w:rsid w:val="00C90E6B"/>
    <w:rsid w:val="00C96319"/>
    <w:rsid w:val="00CA174A"/>
    <w:rsid w:val="00CB1231"/>
    <w:rsid w:val="00CB39BD"/>
    <w:rsid w:val="00CB5845"/>
    <w:rsid w:val="00CC0412"/>
    <w:rsid w:val="00CC07B0"/>
    <w:rsid w:val="00CE2475"/>
    <w:rsid w:val="00CF66F8"/>
    <w:rsid w:val="00D1402A"/>
    <w:rsid w:val="00D24156"/>
    <w:rsid w:val="00D33D50"/>
    <w:rsid w:val="00D55123"/>
    <w:rsid w:val="00D57014"/>
    <w:rsid w:val="00D572BE"/>
    <w:rsid w:val="00D6364D"/>
    <w:rsid w:val="00D701B3"/>
    <w:rsid w:val="00D70EB2"/>
    <w:rsid w:val="00D81DD6"/>
    <w:rsid w:val="00D869AF"/>
    <w:rsid w:val="00D91DF9"/>
    <w:rsid w:val="00DA098D"/>
    <w:rsid w:val="00DA6B3B"/>
    <w:rsid w:val="00DB08F9"/>
    <w:rsid w:val="00DB211E"/>
    <w:rsid w:val="00DC4AF6"/>
    <w:rsid w:val="00DD4299"/>
    <w:rsid w:val="00DE03A8"/>
    <w:rsid w:val="00DE22FE"/>
    <w:rsid w:val="00DF2E10"/>
    <w:rsid w:val="00DF4061"/>
    <w:rsid w:val="00DF44DA"/>
    <w:rsid w:val="00E16751"/>
    <w:rsid w:val="00E173C0"/>
    <w:rsid w:val="00E23A5F"/>
    <w:rsid w:val="00E509D5"/>
    <w:rsid w:val="00E72BE9"/>
    <w:rsid w:val="00E734CA"/>
    <w:rsid w:val="00E740AC"/>
    <w:rsid w:val="00E753CB"/>
    <w:rsid w:val="00E76144"/>
    <w:rsid w:val="00E9115E"/>
    <w:rsid w:val="00E967B0"/>
    <w:rsid w:val="00EA70A1"/>
    <w:rsid w:val="00EA72D2"/>
    <w:rsid w:val="00EA7C1D"/>
    <w:rsid w:val="00EB0959"/>
    <w:rsid w:val="00EC4E19"/>
    <w:rsid w:val="00EE0623"/>
    <w:rsid w:val="00EE11AB"/>
    <w:rsid w:val="00EE30CE"/>
    <w:rsid w:val="00EE370A"/>
    <w:rsid w:val="00EE7058"/>
    <w:rsid w:val="00F02F19"/>
    <w:rsid w:val="00F06928"/>
    <w:rsid w:val="00F06F96"/>
    <w:rsid w:val="00F1047E"/>
    <w:rsid w:val="00F12012"/>
    <w:rsid w:val="00F13BA5"/>
    <w:rsid w:val="00F23D76"/>
    <w:rsid w:val="00F341F0"/>
    <w:rsid w:val="00F361AE"/>
    <w:rsid w:val="00F52393"/>
    <w:rsid w:val="00F62355"/>
    <w:rsid w:val="00F63E9F"/>
    <w:rsid w:val="00F705B2"/>
    <w:rsid w:val="00F84101"/>
    <w:rsid w:val="00F84B9F"/>
    <w:rsid w:val="00F86081"/>
    <w:rsid w:val="00F8693F"/>
    <w:rsid w:val="00FA07DF"/>
    <w:rsid w:val="00FA7EB1"/>
    <w:rsid w:val="00FB33EF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8F60D-F29C-4679-93D4-F6F64BB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6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E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C665-4412-4F8E-AF8A-5B7D0D0C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2019-07-15T08:56:00Z</cp:lastPrinted>
  <dcterms:created xsi:type="dcterms:W3CDTF">2022-11-21T12:56:00Z</dcterms:created>
  <dcterms:modified xsi:type="dcterms:W3CDTF">2022-11-21T12:56:00Z</dcterms:modified>
</cp:coreProperties>
</file>