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64"/>
        <w:gridCol w:w="4503"/>
      </w:tblGrid>
      <w:tr w:rsidR="0081730D" w:rsidRPr="0081730D" w14:paraId="04131AB8" w14:textId="77777777" w:rsidTr="008173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8CE775" w14:textId="6F517B9F" w:rsidR="0081730D" w:rsidRPr="0081730D" w:rsidRDefault="0081730D" w:rsidP="0081730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</w:tcPr>
          <w:p w14:paraId="579B599E" w14:textId="77777777" w:rsidR="0081730D" w:rsidRPr="0081730D" w:rsidRDefault="0081730D" w:rsidP="0081730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D983AC2" w14:textId="29525BE0" w:rsidR="0081730D" w:rsidRPr="0081730D" w:rsidRDefault="0081730D" w:rsidP="0081730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81730D" w:rsidRPr="0081730D" w14:paraId="68860BF6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4AA3B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ИЗЈАВА</w:t>
            </w:r>
          </w:p>
        </w:tc>
        <w:tc>
          <w:tcPr>
            <w:tcW w:w="0" w:type="auto"/>
          </w:tcPr>
          <w:p w14:paraId="48852E9E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4338BC7" w14:textId="7DC9F9E8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DEKLARATË</w:t>
            </w:r>
          </w:p>
        </w:tc>
      </w:tr>
      <w:tr w:rsidR="0081730D" w:rsidRPr="0081730D" w14:paraId="7B824EFC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7340A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E0D94D0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85BED2" w14:textId="35342F76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Јас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, ______________________________________ (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име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презиме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адреса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живеење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______________________________________,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полна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морална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материјална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кривична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одговорност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изјавувам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целокупната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приложена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документација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барањето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финансиска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поддршка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Јавниот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оглас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финансиска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поддршка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потрошена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електрична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енергија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лица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спаѓаат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категоријата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ранливи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потрошувачи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енергија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2025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преку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доделување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правото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купен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вграден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инвертер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клима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е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точна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веродостојна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Согласен /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согласена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сум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целите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мониторинг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Министерство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енергетика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рударство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минерални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суровини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изврши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увид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мојот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станбен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објект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адреса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____________________________________________________________.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случај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биде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доделено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право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купен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вграден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инвертер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клима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уред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изјавувам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ќе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користам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исклучиво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потребите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моето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домаќинство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наменета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согласно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јавниот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оглас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</w:tcPr>
          <w:p w14:paraId="7B8700D3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F6720E" w14:textId="385A4E9F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, _____________________________________________ (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emri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mbiemri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), me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adresë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banimit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________________________________________,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përgjegjësi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plotë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morale,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materiale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penale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deklaroj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gjithë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dokumentacioni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bashkëngjitur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aplikacionit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kuadër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Shpalljes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Publike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mbështetur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amvisëritë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që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bien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kategorinë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konsumatorëve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cenueshëm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energjisë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vitin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2025,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përmes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dhënies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drejtës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blerjen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instalimin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kondicionerit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inverter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është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saktë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besueshëm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Jam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dakord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që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qëllime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monitorimi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Ministria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energjisë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minierave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burimeve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minerale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kryejë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inspektimin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objektin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tim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banesor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adresën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____________________________________________________________.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rast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jepet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drejta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blerjen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instalimin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një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kondicioneri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inverter,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deklaroj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se do ta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përdor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ekskluzivisht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nevojat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familjes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sime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sipas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shpalljes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publike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81730D" w:rsidRPr="0081730D" w14:paraId="196CCE49" w14:textId="77777777" w:rsidTr="0081730D">
        <w:trPr>
          <w:tblCellSpacing w:w="15" w:type="dxa"/>
        </w:trPr>
        <w:tc>
          <w:tcPr>
            <w:tcW w:w="0" w:type="auto"/>
            <w:vAlign w:val="center"/>
          </w:tcPr>
          <w:p w14:paraId="7419DF4D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11A0C5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A51A3E6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19096B79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1730D" w:rsidRPr="0081730D" w14:paraId="6636EE83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D19D3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Подносител</w:t>
            </w:r>
            <w:proofErr w:type="spellEnd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0" w:type="auto"/>
          </w:tcPr>
          <w:p w14:paraId="4237C4E9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4748C4A" w14:textId="0537A168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Parashtrues</w:t>
            </w:r>
            <w:proofErr w:type="spellEnd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</w:tr>
      <w:tr w:rsidR="0081730D" w:rsidRPr="0081730D" w14:paraId="5D1C0EA9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90C8D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0" w:type="auto"/>
          </w:tcPr>
          <w:p w14:paraId="75487EA9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D136BD1" w14:textId="7089E5F9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</w:t>
            </w:r>
          </w:p>
        </w:tc>
      </w:tr>
      <w:tr w:rsidR="0081730D" w:rsidRPr="0081730D" w14:paraId="4B2EDBF9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B4C27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потпис</w:t>
            </w:r>
            <w:proofErr w:type="spellEnd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0" w:type="auto"/>
          </w:tcPr>
          <w:p w14:paraId="429573E2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7553714" w14:textId="79300750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nënshkrim</w:t>
            </w:r>
            <w:proofErr w:type="spellEnd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</w:tr>
      <w:tr w:rsidR="0081730D" w:rsidRPr="0081730D" w14:paraId="545A5D6B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9B3E6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Согласен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сум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Министерството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енергетика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рударство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минерални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суровини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користи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моите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лични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податоци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целите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овој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оглас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</w:tcPr>
          <w:p w14:paraId="56C51BE0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2377397" w14:textId="7A8B8DA0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Jam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dakord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që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Ministria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energjisë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minierave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burimeve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minerale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t’i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përdorë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dhënat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mia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personale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për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qëllimin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kësaj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shpallje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publike</w:t>
            </w:r>
            <w:proofErr w:type="spellEnd"/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81730D" w:rsidRPr="0081730D" w14:paraId="2F8BE8FE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5610C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ABEC202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29BEAB90" w14:textId="33B1E584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Подносител</w:t>
            </w:r>
            <w:proofErr w:type="spellEnd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0" w:type="auto"/>
          </w:tcPr>
          <w:p w14:paraId="292925CB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68DA86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F3E4A37" w14:textId="77777777" w:rsid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2C8770D" w14:textId="4393FC2E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Parashtrues</w:t>
            </w:r>
            <w:proofErr w:type="spellEnd"/>
            <w:r w:rsidRPr="0081730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</w:tr>
      <w:tr w:rsidR="0081730D" w:rsidRPr="0081730D" w14:paraId="63E20EAF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625C0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0" w:type="auto"/>
          </w:tcPr>
          <w:p w14:paraId="2F6B5030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093098C" w14:textId="2A9BA08F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</w:t>
            </w:r>
          </w:p>
        </w:tc>
      </w:tr>
      <w:tr w:rsidR="0081730D" w:rsidRPr="0081730D" w14:paraId="1B628671" w14:textId="77777777" w:rsidTr="008173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A2CB5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потпис</w:t>
            </w:r>
            <w:proofErr w:type="spellEnd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0" w:type="auto"/>
          </w:tcPr>
          <w:p w14:paraId="0DDAE0EB" w14:textId="77777777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872137E" w14:textId="42F00ACB" w:rsidR="0081730D" w:rsidRPr="0081730D" w:rsidRDefault="0081730D" w:rsidP="0081730D">
            <w:pPr>
              <w:suppressAutoHyphens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nënshkrim</w:t>
            </w:r>
            <w:proofErr w:type="spellEnd"/>
            <w:r w:rsidRPr="0081730D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)</w:t>
            </w:r>
          </w:p>
        </w:tc>
      </w:tr>
    </w:tbl>
    <w:p w14:paraId="4BA64D1C" w14:textId="560EC6B9" w:rsidR="000C26EE" w:rsidRPr="00EB78B7" w:rsidRDefault="000C26EE" w:rsidP="00EB78B7">
      <w:pPr>
        <w:spacing w:after="0"/>
        <w:rPr>
          <w:sz w:val="18"/>
          <w:szCs w:val="18"/>
        </w:rPr>
      </w:pPr>
    </w:p>
    <w:sectPr w:rsidR="000C26EE" w:rsidRPr="00EB78B7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91AF" w14:textId="77777777" w:rsidR="00DF577F" w:rsidRDefault="00DF577F" w:rsidP="00E47DB5">
      <w:r>
        <w:separator/>
      </w:r>
    </w:p>
  </w:endnote>
  <w:endnote w:type="continuationSeparator" w:id="0">
    <w:p w14:paraId="10E5E10B" w14:textId="77777777" w:rsidR="00DF577F" w:rsidRDefault="00DF577F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38BDB986">
              <wp:simplePos x="0" y="0"/>
              <wp:positionH relativeFrom="margin">
                <wp:posOffset>5033645</wp:posOffset>
              </wp:positionH>
              <wp:positionV relativeFrom="bottomMargin">
                <wp:posOffset>38735</wp:posOffset>
              </wp:positionV>
              <wp:extent cx="800100" cy="501650"/>
              <wp:effectExtent l="0" t="0" r="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64FF5A3F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</w:t>
                          </w:r>
                          <w:r w:rsidR="000C26EE">
                            <w:rPr>
                              <w:lang w:val="en-US"/>
                            </w:rPr>
                            <w:t>nergy</w:t>
                          </w:r>
                          <w:r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35pt;margin-top:3.05pt;width:63pt;height:3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FIGwIAADIEAAAOAAAAZHJzL2Uyb0RvYy54bWysU99v2yAQfp+0/wHxvthp1aiy4lRZq0yT&#10;orZSOvWZYIitYY4dJHb21+/AcbJlb9Ne4OCO+/F9H/OHvjXsoNA3YEs+neScKSuhauyu5N/eVp/u&#10;OfNB2EoYsKrkR+X5w+Ljh3nnCnUDNZhKIaMk1hedK3kdgiuyzMtatcJPwClLTg3YikBH3GUVio6y&#10;tya7yfNZ1gFWDkEq7+n2aXDyRcqvtZLhRWuvAjMlp95CWjGt27hmi7kodihc3chTG+IfumhFY6no&#10;OdWTCILtsfkrVdtIBA86TCS0GWjdSJVmoGmm+dU0m1o4lWYhcLw7w+T/X1r5fNi4V2Sh/ww9EZiG&#10;8G4N8rsnbLLO+eIUEzH1hafoOGivsY07jcDoIWF7POOp+sAkXd7nNBN5JLnu8unsLuGdXR479OGL&#10;gpZFo+RIdKUGxGHtQywvijEk1rKwaoxJlBnLupLPbinlHx56Yeyp76HV2HTotz09i+YWqiPNizBI&#10;wTu5aqj4WvjwKpC4p35Jz+GFFm2AikjTOM5qwJ/XdzGOqCAPZx1pqOT+x16g4sx8tUQSpQqjgaOx&#10;TcbtLI/I2H37CCTNKf0SJ5NJtxjMaGqE9p0kvoyVyCWspHrUVMDx8BgGPdMnkWq5TGEkLifC2m6c&#10;HEmNQL717wLdCe1AND3DqDFRXIE+xA7gLvcBdJMYuWB4QpmEmYg6faKo/N/PKery1Re/AAAA//8D&#10;AFBLAwQUAAYACAAAACEAlCnIAN8AAAAIAQAADwAAAGRycy9kb3ducmV2LnhtbEyPQUvDQBSE74L/&#10;YXmCF2k3W7RNY16KFBTEgthW0Ns2+0xCs7shu2njv/d50uMww8w3+Wq0rThRHxrvENQ0AUGu9KZx&#10;FcJ+9zhJQYSondGtd4TwTQFWxeVFrjPjz+6NTttYCS5xIdMIdYxdJmUoa7I6TH1Hjr0v31sdWfaV&#10;NL0+c7lt5SxJ5tLqxvFCrTta11Qet4NFqIbN0yftXtS7pdu1/DiG55vXgHh9NT7cg4g0xr8w/OIz&#10;OhTMdPCDM0G0CIvlbMFRhLkCwf5SpawPCOmdAlnk8v+B4gcAAP//AwBQSwECLQAUAAYACAAAACEA&#10;toM4kv4AAADhAQAAEwAAAAAAAAAAAAAAAAAAAAAAW0NvbnRlbnRfVHlwZXNdLnhtbFBLAQItABQA&#10;BgAIAAAAIQA4/SH/1gAAAJQBAAALAAAAAAAAAAAAAAAAAC8BAABfcmVscy8ucmVsc1BLAQItABQA&#10;BgAIAAAAIQDUZzFIGwIAADIEAAAOAAAAAAAAAAAAAAAAAC4CAABkcnMvZTJvRG9jLnhtbFBLAQIt&#10;ABQABgAIAAAAIQCUKcgA3wAAAAgBAAAPAAAAAAAAAAAAAAAAAHUEAABkcnMvZG93bnJldi54bWxQ&#10;SwUGAAAAAAQABADzAAAAgQUAAAAA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64FF5A3F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</w:t>
                    </w:r>
                    <w:r w:rsidR="000C26EE">
                      <w:rPr>
                        <w:lang w:val="en-US"/>
                      </w:rPr>
                      <w:t>nergy</w:t>
                    </w:r>
                    <w:r>
                      <w:rPr>
                        <w:lang w:val="en-US"/>
                      </w:rPr>
                      <w:t>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</w:t>
            </w:r>
            <w:r w:rsidR="004F7C3F" w:rsidRPr="00784B3B">
              <w:t xml:space="preserve">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</w:t>
            </w:r>
            <w:r w:rsidR="004F7C3F" w:rsidRPr="008D2CAC">
              <w:rPr>
                <w:sz w:val="18"/>
                <w:szCs w:val="18"/>
              </w:rPr>
              <w:t xml:space="preserve">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3339" w14:textId="77777777" w:rsidR="00DF577F" w:rsidRDefault="00DF577F" w:rsidP="00E47DB5">
      <w:r>
        <w:separator/>
      </w:r>
    </w:p>
  </w:footnote>
  <w:footnote w:type="continuationSeparator" w:id="0">
    <w:p w14:paraId="605D6DDC" w14:textId="77777777" w:rsidR="00DF577F" w:rsidRDefault="00DF577F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782A485B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</w:t>
    </w:r>
    <w:r>
      <w:rPr>
        <w:sz w:val="20"/>
        <w:szCs w:val="20"/>
      </w:rPr>
      <w:t xml:space="preserve">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0"/>
  </w:num>
  <w:num w:numId="12" w16cid:durableId="716201304">
    <w:abstractNumId w:val="11"/>
  </w:num>
  <w:num w:numId="13" w16cid:durableId="1865820832">
    <w:abstractNumId w:val="21"/>
  </w:num>
  <w:num w:numId="14" w16cid:durableId="2079084846">
    <w:abstractNumId w:val="22"/>
  </w:num>
  <w:num w:numId="15" w16cid:durableId="470100312">
    <w:abstractNumId w:val="13"/>
  </w:num>
  <w:num w:numId="16" w16cid:durableId="339167507">
    <w:abstractNumId w:val="10"/>
  </w:num>
  <w:num w:numId="17" w16cid:durableId="1327444093">
    <w:abstractNumId w:val="17"/>
  </w:num>
  <w:num w:numId="18" w16cid:durableId="1336613931">
    <w:abstractNumId w:val="15"/>
  </w:num>
  <w:num w:numId="19" w16cid:durableId="1638798615">
    <w:abstractNumId w:val="12"/>
  </w:num>
  <w:num w:numId="20" w16cid:durableId="1210193086">
    <w:abstractNumId w:val="19"/>
  </w:num>
  <w:num w:numId="21" w16cid:durableId="395056337">
    <w:abstractNumId w:val="16"/>
  </w:num>
  <w:num w:numId="22" w16cid:durableId="1149633575">
    <w:abstractNumId w:val="18"/>
  </w:num>
  <w:num w:numId="23" w16cid:durableId="17713878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23"/>
  </w:num>
  <w:num w:numId="25" w16cid:durableId="2110269862">
    <w:abstractNumId w:val="24"/>
  </w:num>
  <w:num w:numId="26" w16cid:durableId="776675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4946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6EE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CA9"/>
    <w:rsid w:val="000F1EC7"/>
    <w:rsid w:val="000F22BF"/>
    <w:rsid w:val="000F26E4"/>
    <w:rsid w:val="000F2A96"/>
    <w:rsid w:val="000F2E5D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0C89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656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42BB"/>
    <w:rsid w:val="00394857"/>
    <w:rsid w:val="00397C73"/>
    <w:rsid w:val="003A0850"/>
    <w:rsid w:val="003A1651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2C83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49DE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4835"/>
    <w:rsid w:val="00536966"/>
    <w:rsid w:val="00537442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16DC"/>
    <w:rsid w:val="005D2117"/>
    <w:rsid w:val="005D2528"/>
    <w:rsid w:val="005D5E28"/>
    <w:rsid w:val="005E0634"/>
    <w:rsid w:val="005E31F4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908"/>
    <w:rsid w:val="00664A0B"/>
    <w:rsid w:val="006666AE"/>
    <w:rsid w:val="00666DD7"/>
    <w:rsid w:val="00671309"/>
    <w:rsid w:val="006714CC"/>
    <w:rsid w:val="0067222B"/>
    <w:rsid w:val="00681E2B"/>
    <w:rsid w:val="006832D2"/>
    <w:rsid w:val="006838E4"/>
    <w:rsid w:val="00683DA7"/>
    <w:rsid w:val="00685303"/>
    <w:rsid w:val="00685517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3B18"/>
    <w:rsid w:val="00774C76"/>
    <w:rsid w:val="00775229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16F"/>
    <w:rsid w:val="0081320D"/>
    <w:rsid w:val="00813D14"/>
    <w:rsid w:val="008141A3"/>
    <w:rsid w:val="00815C80"/>
    <w:rsid w:val="0081730D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0132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5E04"/>
    <w:rsid w:val="008F7CBC"/>
    <w:rsid w:val="009004B1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3DD4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3FA0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E08F2"/>
    <w:rsid w:val="009E0A01"/>
    <w:rsid w:val="009E1347"/>
    <w:rsid w:val="009E309D"/>
    <w:rsid w:val="009E63D3"/>
    <w:rsid w:val="009F1744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5D2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F87"/>
    <w:rsid w:val="00A1312E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C6A5C"/>
    <w:rsid w:val="00AD05D7"/>
    <w:rsid w:val="00AD160F"/>
    <w:rsid w:val="00AD175F"/>
    <w:rsid w:val="00AD1DDF"/>
    <w:rsid w:val="00AD1E21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8ED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59A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45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0681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0D04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77F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984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61FB"/>
    <w:rsid w:val="00EB78B7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Irena Keselj</cp:lastModifiedBy>
  <cp:revision>8</cp:revision>
  <cp:lastPrinted>2025-03-13T10:54:00Z</cp:lastPrinted>
  <dcterms:created xsi:type="dcterms:W3CDTF">2025-03-20T08:39:00Z</dcterms:created>
  <dcterms:modified xsi:type="dcterms:W3CDTF">2025-08-07T10:51:00Z</dcterms:modified>
</cp:coreProperties>
</file>