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E6C2B" w14:textId="77777777" w:rsidR="00581A14" w:rsidRPr="00603F04" w:rsidRDefault="00581A14" w:rsidP="00581A14">
      <w:pPr>
        <w:tabs>
          <w:tab w:val="left" w:pos="3300"/>
          <w:tab w:val="center" w:pos="4536"/>
        </w:tabs>
        <w:ind w:left="993" w:firstLine="3942"/>
        <w:rPr>
          <w:rFonts w:cs="Times New Roman"/>
          <w:smallCaps/>
          <w:noProof/>
        </w:rPr>
      </w:pPr>
      <w:bookmarkStart w:id="0" w:name="_Toc73090729"/>
      <w:bookmarkStart w:id="1" w:name="_Toc47101939"/>
      <w:bookmarkStart w:id="2" w:name="_Toc51270433"/>
      <w:r w:rsidRPr="00603F04">
        <w:rPr>
          <w:rFonts w:cs="Times New Roman"/>
          <w:noProof/>
          <w:lang w:eastAsia="en-GB"/>
        </w:rPr>
        <w:drawing>
          <wp:anchor distT="0" distB="0" distL="114300" distR="114300" simplePos="0" relativeHeight="251660288" behindDoc="1" locked="0" layoutInCell="1" allowOverlap="1" wp14:anchorId="7440069C" wp14:editId="574A8150">
            <wp:simplePos x="0" y="0"/>
            <wp:positionH relativeFrom="column">
              <wp:posOffset>-3810</wp:posOffset>
            </wp:positionH>
            <wp:positionV relativeFrom="paragraph">
              <wp:posOffset>0</wp:posOffset>
            </wp:positionV>
            <wp:extent cx="1219200" cy="857250"/>
            <wp:effectExtent l="0" t="0" r="0" b="0"/>
            <wp:wrapNone/>
            <wp:docPr id="3" name="Picture 3" descr="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2colors"/>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12192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04">
        <w:rPr>
          <w:rFonts w:cs="Times New Roman"/>
          <w:b/>
          <w:sz w:val="44"/>
          <w:szCs w:val="44"/>
        </w:rPr>
        <w:t>EN</w:t>
      </w:r>
    </w:p>
    <w:p w14:paraId="3998B551" w14:textId="77777777" w:rsidR="00581A14" w:rsidRPr="00761108" w:rsidRDefault="00581A14" w:rsidP="00581A14">
      <w:pPr>
        <w:spacing w:before="360"/>
        <w:ind w:left="284" w:hanging="22"/>
        <w:jc w:val="center"/>
        <w:rPr>
          <w:rFonts w:ascii="EC Square Sans Pro Thin" w:hAnsi="EC Square Sans Pro Thin"/>
          <w:b/>
          <w:smallCaps/>
          <w:noProof/>
          <w:sz w:val="28"/>
          <w:szCs w:val="28"/>
        </w:rPr>
      </w:pPr>
      <w:r w:rsidRPr="00761108">
        <w:rPr>
          <w:b/>
          <w:smallCaps/>
          <w:sz w:val="28"/>
          <w:szCs w:val="28"/>
          <w:u w:val="single"/>
        </w:rPr>
        <w:t>This action is funded by the European Union</w:t>
      </w:r>
    </w:p>
    <w:p w14:paraId="3270BC78" w14:textId="4A2C3AF0" w:rsidR="00581A14" w:rsidRDefault="00581A14" w:rsidP="00581A14">
      <w:pPr>
        <w:pStyle w:val="Fichedinformationtitre"/>
        <w:spacing w:after="240"/>
        <w:rPr>
          <w:smallCaps/>
        </w:rPr>
      </w:pPr>
      <w:r>
        <w:rPr>
          <w:smallCaps/>
        </w:rPr>
        <w:t xml:space="preserve">Annex </w:t>
      </w:r>
      <w:r w:rsidR="008673D4">
        <w:rPr>
          <w:smallCaps/>
        </w:rPr>
        <w:t>I</w:t>
      </w:r>
    </w:p>
    <w:p w14:paraId="29FB0B7B" w14:textId="40740D18" w:rsidR="00581A14" w:rsidRPr="003022B3" w:rsidRDefault="000B7060" w:rsidP="00581A14">
      <w:pPr>
        <w:jc w:val="center"/>
        <w:rPr>
          <w:szCs w:val="24"/>
        </w:rPr>
      </w:pPr>
      <w:r>
        <w:rPr>
          <w:szCs w:val="24"/>
        </w:rPr>
        <w:t>to</w:t>
      </w:r>
      <w:r w:rsidRPr="003022B3">
        <w:rPr>
          <w:szCs w:val="24"/>
        </w:rPr>
        <w:t xml:space="preserve"> </w:t>
      </w:r>
      <w:r w:rsidR="00581A14" w:rsidRPr="003022B3">
        <w:rPr>
          <w:szCs w:val="24"/>
        </w:rPr>
        <w:t xml:space="preserve">the Commission </w:t>
      </w:r>
      <w:r w:rsidR="00581A14" w:rsidRPr="00C7679D">
        <w:rPr>
          <w:szCs w:val="24"/>
        </w:rPr>
        <w:t>Implementing</w:t>
      </w:r>
      <w:r w:rsidR="00581A14" w:rsidRPr="003022B3">
        <w:rPr>
          <w:szCs w:val="24"/>
        </w:rPr>
        <w:t xml:space="preserve"> Decision on the </w:t>
      </w:r>
      <w:r w:rsidR="009F6BB9">
        <w:rPr>
          <w:szCs w:val="24"/>
        </w:rPr>
        <w:t>Annual action plan in favour of the Republic of North Macedonia 2024</w:t>
      </w:r>
    </w:p>
    <w:p w14:paraId="1EF436E4" w14:textId="512DE741" w:rsidR="00581A14" w:rsidRDefault="00581A14" w:rsidP="00581A14">
      <w:pPr>
        <w:pStyle w:val="Fichedinformationtitre"/>
      </w:pPr>
      <w:r w:rsidRPr="00042CDA">
        <w:t xml:space="preserve">Action </w:t>
      </w:r>
      <w:r>
        <w:t>Document</w:t>
      </w:r>
      <w:r w:rsidRPr="00042CDA">
        <w:t xml:space="preserve"> for </w:t>
      </w:r>
      <w:r w:rsidR="009F6BB9">
        <w:t>EU for Fundamental Rights</w:t>
      </w:r>
    </w:p>
    <w:p w14:paraId="19EA8E11" w14:textId="77777777" w:rsidR="00193E63" w:rsidRPr="003C0CD7" w:rsidRDefault="00193E63" w:rsidP="003C0CD7">
      <w:pPr>
        <w:rPr>
          <w:lang w:val="en-IE"/>
        </w:rPr>
      </w:pPr>
    </w:p>
    <w:p w14:paraId="5658CF5B" w14:textId="75945127" w:rsidR="00F54DD9" w:rsidRPr="003C0CD7" w:rsidRDefault="00F54DD9" w:rsidP="00DB5858">
      <w:pPr>
        <w:pBdr>
          <w:top w:val="single" w:sz="4" w:space="1" w:color="auto"/>
          <w:left w:val="single" w:sz="4" w:space="4" w:color="auto"/>
          <w:bottom w:val="single" w:sz="4" w:space="1" w:color="auto"/>
          <w:right w:val="single" w:sz="4" w:space="4" w:color="auto"/>
        </w:pBdr>
        <w:jc w:val="center"/>
        <w:rPr>
          <w:caps/>
          <w:lang w:val="en-IE"/>
        </w:rPr>
      </w:pPr>
      <w:bookmarkStart w:id="3" w:name="_Toc47101940"/>
      <w:bookmarkStart w:id="4" w:name="_Toc51270434"/>
      <w:bookmarkEnd w:id="0"/>
      <w:bookmarkEnd w:id="1"/>
      <w:bookmarkEnd w:id="2"/>
      <w:r w:rsidRPr="009F6BB9">
        <w:rPr>
          <w:rFonts w:eastAsia="Times New Roman" w:cs="Times New Roman"/>
          <w:b/>
          <w:bCs/>
          <w:caps/>
          <w:szCs w:val="24"/>
          <w:lang w:val="en-IE"/>
        </w:rPr>
        <w:t>Annual</w:t>
      </w:r>
      <w:r w:rsidR="009F6BB9" w:rsidRPr="009F6BB9">
        <w:rPr>
          <w:rFonts w:eastAsia="Times New Roman" w:cs="Times New Roman"/>
          <w:b/>
          <w:bCs/>
          <w:caps/>
          <w:szCs w:val="24"/>
          <w:lang w:val="en-IE"/>
        </w:rPr>
        <w:t xml:space="preserve"> </w:t>
      </w:r>
      <w:r w:rsidRPr="009F6BB9">
        <w:rPr>
          <w:rFonts w:eastAsia="Times New Roman" w:cs="Times New Roman"/>
          <w:b/>
          <w:bCs/>
          <w:caps/>
          <w:szCs w:val="24"/>
          <w:lang w:val="en-IE"/>
        </w:rPr>
        <w:t>Action plan</w:t>
      </w:r>
    </w:p>
    <w:p w14:paraId="2817C434" w14:textId="77777777" w:rsidR="007B5AD9" w:rsidRPr="003C0CD7" w:rsidRDefault="007B5AD9" w:rsidP="00DB5858">
      <w:pPr>
        <w:pBdr>
          <w:top w:val="single" w:sz="4" w:space="1" w:color="auto"/>
          <w:left w:val="single" w:sz="4" w:space="4" w:color="auto"/>
          <w:bottom w:val="single" w:sz="4" w:space="1" w:color="auto"/>
          <w:right w:val="single" w:sz="4" w:space="4" w:color="auto"/>
        </w:pBdr>
        <w:rPr>
          <w:lang w:val="en-IE"/>
        </w:rPr>
      </w:pPr>
    </w:p>
    <w:p w14:paraId="518DBFB2" w14:textId="77777777" w:rsidR="000E6010" w:rsidRPr="003C0CD7" w:rsidRDefault="000E6010" w:rsidP="000E6010">
      <w:pPr>
        <w:pBdr>
          <w:top w:val="single" w:sz="4" w:space="1" w:color="auto"/>
          <w:left w:val="single" w:sz="4" w:space="4" w:color="auto"/>
          <w:bottom w:val="single" w:sz="4" w:space="1" w:color="auto"/>
          <w:right w:val="single" w:sz="4" w:space="4" w:color="auto"/>
        </w:pBdr>
        <w:rPr>
          <w:lang w:val="en-IE"/>
        </w:rPr>
      </w:pPr>
      <w:bookmarkStart w:id="5" w:name="_Toc73090730"/>
      <w:r w:rsidRPr="003C0CD7">
        <w:rPr>
          <w:lang w:val="en-IE"/>
        </w:rPr>
        <w:t xml:space="preserve">This document constitutes the </w:t>
      </w:r>
      <w:r w:rsidRPr="00F92F3A">
        <w:rPr>
          <w:lang w:val="en-IE"/>
        </w:rPr>
        <w:t>annual</w:t>
      </w:r>
      <w:r>
        <w:rPr>
          <w:lang w:val="en-IE"/>
        </w:rPr>
        <w:t xml:space="preserve"> </w:t>
      </w:r>
      <w:r w:rsidRPr="003C0CD7">
        <w:rPr>
          <w:lang w:val="en-IE"/>
        </w:rPr>
        <w:t xml:space="preserve">work programme in the sense of Article 110(2) of the Financial Regulation, and annual and multiannual action plans and measures in the sense of Article </w:t>
      </w:r>
      <w:r>
        <w:rPr>
          <w:lang w:val="en-IE"/>
        </w:rPr>
        <w:t>9</w:t>
      </w:r>
      <w:r w:rsidRPr="003C0CD7">
        <w:rPr>
          <w:lang w:val="en-IE"/>
        </w:rPr>
        <w:t xml:space="preserve"> of IPA III Regulation and Article </w:t>
      </w:r>
      <w:r w:rsidRPr="00F92F3A">
        <w:rPr>
          <w:rFonts w:eastAsia="Times New Roman" w:cs="Times New Roman"/>
          <w:szCs w:val="24"/>
        </w:rPr>
        <w:t>23(2)</w:t>
      </w:r>
      <w:r>
        <w:rPr>
          <w:rFonts w:eastAsia="Times New Roman" w:cs="Times New Roman"/>
          <w:szCs w:val="24"/>
        </w:rPr>
        <w:t xml:space="preserve"> </w:t>
      </w:r>
      <w:r w:rsidRPr="003C0CD7">
        <w:rPr>
          <w:lang w:val="en-IE"/>
        </w:rPr>
        <w:t xml:space="preserve">of NDICI - </w:t>
      </w:r>
      <w:r w:rsidRPr="003C0CD7">
        <w:rPr>
          <w:rFonts w:cs="Times New Roman"/>
          <w:color w:val="000000" w:themeColor="text1"/>
          <w:lang w:val="en-IE"/>
        </w:rPr>
        <w:t xml:space="preserve">Global Europe </w:t>
      </w:r>
      <w:r w:rsidRPr="003C0CD7">
        <w:rPr>
          <w:lang w:val="en-IE"/>
        </w:rPr>
        <w:t>Regulation.</w:t>
      </w:r>
    </w:p>
    <w:p w14:paraId="446E8ED4" w14:textId="77777777" w:rsidR="007C3E5D" w:rsidRPr="00F720A7" w:rsidRDefault="00FD7FCD" w:rsidP="00F720A7">
      <w:pPr>
        <w:pStyle w:val="Ttulo1"/>
      </w:pPr>
      <w:r w:rsidRPr="00F720A7">
        <w:t>SYNOPSIS</w:t>
      </w:r>
      <w:bookmarkEnd w:id="3"/>
      <w:bookmarkEnd w:id="4"/>
      <w:bookmarkEnd w:id="5"/>
    </w:p>
    <w:p w14:paraId="792F3CD0" w14:textId="6AAE2918" w:rsidR="00D04CC6" w:rsidRPr="003C0CD7" w:rsidRDefault="00FD7FCD" w:rsidP="003C0CD7">
      <w:pPr>
        <w:pStyle w:val="Ttulo1"/>
        <w:numPr>
          <w:ilvl w:val="1"/>
          <w:numId w:val="1"/>
        </w:numPr>
        <w:rPr>
          <w:lang w:val="en-IE"/>
        </w:rPr>
      </w:pPr>
      <w:bookmarkStart w:id="6" w:name="_Ref58358361"/>
      <w:bookmarkStart w:id="7" w:name="_Toc47101941"/>
      <w:bookmarkStart w:id="8" w:name="_Toc51270435"/>
      <w:bookmarkStart w:id="9" w:name="_Toc73090731"/>
      <w:r w:rsidRPr="003C0CD7">
        <w:rPr>
          <w:lang w:val="en-IE"/>
        </w:rPr>
        <w:t>Action Summary Table</w:t>
      </w:r>
      <w:bookmarkEnd w:id="6"/>
      <w:bookmarkEnd w:id="7"/>
      <w:bookmarkEnd w:id="8"/>
      <w:bookmarkEnd w:id="9"/>
    </w:p>
    <w:tbl>
      <w:tblPr>
        <w:tblW w:w="9498" w:type="dxa"/>
        <w:tblInd w:w="-5" w:type="dxa"/>
        <w:tblLayout w:type="fixed"/>
        <w:tblLook w:val="01E0" w:firstRow="1" w:lastRow="1" w:firstColumn="1" w:lastColumn="1" w:noHBand="0" w:noVBand="0"/>
      </w:tblPr>
      <w:tblGrid>
        <w:gridCol w:w="2330"/>
        <w:gridCol w:w="2915"/>
        <w:gridCol w:w="1276"/>
        <w:gridCol w:w="1417"/>
        <w:gridCol w:w="1560"/>
      </w:tblGrid>
      <w:tr w:rsidR="001E0154" w:rsidRPr="008704EA" w14:paraId="11FA176B"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243CFAEA" w14:textId="77777777" w:rsidR="003F31D4" w:rsidRPr="003C0CD7" w:rsidRDefault="003F31D4" w:rsidP="003F31D4">
            <w:pPr>
              <w:pStyle w:val="Text1"/>
              <w:spacing w:before="60" w:after="60"/>
              <w:ind w:left="0"/>
              <w:jc w:val="left"/>
              <w:rPr>
                <w:b/>
                <w:color w:val="0D0D0D" w:themeColor="text1" w:themeTint="F2"/>
                <w:lang w:val="en-IE"/>
              </w:rPr>
            </w:pPr>
            <w:r w:rsidRPr="003C0CD7">
              <w:rPr>
                <w:b/>
                <w:color w:val="0D0D0D" w:themeColor="text1" w:themeTint="F2"/>
                <w:lang w:val="en-IE"/>
              </w:rPr>
              <w:t>Title</w:t>
            </w:r>
          </w:p>
          <w:p w14:paraId="5272A684" w14:textId="77777777" w:rsidR="001E0154" w:rsidRPr="003C0CD7" w:rsidRDefault="001E0154" w:rsidP="003F31D4">
            <w:pPr>
              <w:pStyle w:val="Text1"/>
              <w:spacing w:before="60" w:after="60"/>
              <w:ind w:left="0"/>
              <w:jc w:val="left"/>
              <w:rPr>
                <w:b/>
                <w:color w:val="0D0D0D" w:themeColor="text1" w:themeTint="F2"/>
                <w:lang w:val="en-IE" w:eastAsia="de-DE"/>
              </w:rPr>
            </w:pP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136B090C" w14:textId="2A967FC3" w:rsidR="00053C4A" w:rsidRPr="003C0CD7" w:rsidRDefault="000E6010" w:rsidP="00053C4A">
            <w:pPr>
              <w:pStyle w:val="Text1"/>
              <w:spacing w:before="60" w:after="60"/>
              <w:ind w:left="0" w:right="-25"/>
              <w:jc w:val="left"/>
              <w:rPr>
                <w:lang w:val="en-IE"/>
              </w:rPr>
            </w:pPr>
            <w:r>
              <w:rPr>
                <w:lang w:val="en-IE"/>
              </w:rPr>
              <w:t>EU for Fundamental Rights</w:t>
            </w:r>
          </w:p>
          <w:p w14:paraId="0C46C4D7" w14:textId="19522113" w:rsidR="001E0154" w:rsidRPr="003C0CD7" w:rsidRDefault="000E6010" w:rsidP="00DB5858">
            <w:pPr>
              <w:spacing w:before="60" w:after="60"/>
              <w:jc w:val="left"/>
              <w:rPr>
                <w:lang w:val="en-IE"/>
              </w:rPr>
            </w:pPr>
            <w:r>
              <w:rPr>
                <w:lang w:val="en-IE"/>
              </w:rPr>
              <w:t>Annual Action plan in favour of North Macedonia for 2024</w:t>
            </w:r>
            <w:r w:rsidRPr="003C0CD7">
              <w:rPr>
                <w:lang w:val="en-IE"/>
              </w:rPr>
              <w:t xml:space="preserve"> </w:t>
            </w:r>
            <w:r w:rsidRPr="003C0CD7">
              <w:rPr>
                <w:rFonts w:cs="Times New Roman"/>
                <w:szCs w:val="24"/>
                <w:lang w:val="en-IE" w:eastAsia="fr-BE"/>
              </w:rPr>
              <w:t xml:space="preserve"> </w:t>
            </w:r>
          </w:p>
        </w:tc>
      </w:tr>
      <w:tr w:rsidR="004E5BC0" w:rsidRPr="008704EA" w14:paraId="350D1B69"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426116E6" w14:textId="77777777" w:rsidR="004E5BC0" w:rsidRPr="003C0CD7" w:rsidDel="00E20375" w:rsidRDefault="004E5BC0" w:rsidP="000C45F3">
            <w:pPr>
              <w:pStyle w:val="Text1"/>
              <w:spacing w:before="60" w:after="60"/>
              <w:ind w:left="0"/>
              <w:jc w:val="left"/>
              <w:rPr>
                <w:b/>
                <w:lang w:val="en-IE"/>
              </w:rPr>
            </w:pPr>
            <w:r w:rsidRPr="003C0CD7">
              <w:rPr>
                <w:b/>
                <w:lang w:val="en-IE"/>
              </w:rPr>
              <w:t xml:space="preserve">OPSYS </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21B843C8" w14:textId="77777777" w:rsidR="00E647FF" w:rsidRPr="003C0CD7" w:rsidRDefault="00BF6D58" w:rsidP="00D310C3">
            <w:pPr>
              <w:pStyle w:val="Text1"/>
              <w:spacing w:before="60" w:after="60"/>
              <w:ind w:left="0" w:right="-25"/>
              <w:jc w:val="left"/>
              <w:rPr>
                <w:highlight w:val="yellow"/>
                <w:lang w:val="en-IE"/>
              </w:rPr>
            </w:pPr>
            <w:r w:rsidRPr="003C0CD7">
              <w:rPr>
                <w:highlight w:val="lightGray"/>
                <w:lang w:val="en-IE"/>
              </w:rPr>
              <w:t>[/O</w:t>
            </w:r>
            <w:r w:rsidR="000C45F3">
              <w:rPr>
                <w:highlight w:val="lightGray"/>
                <w:lang w:val="en-IE"/>
              </w:rPr>
              <w:t>P</w:t>
            </w:r>
            <w:r w:rsidRPr="003C0CD7">
              <w:rPr>
                <w:highlight w:val="lightGray"/>
                <w:lang w:val="en-IE"/>
              </w:rPr>
              <w:t>SYS business reference]</w:t>
            </w:r>
            <w:r w:rsidRPr="003C0CD7">
              <w:rPr>
                <w:rStyle w:val="Refdenotaalpie"/>
                <w:sz w:val="22"/>
                <w:szCs w:val="22"/>
                <w:highlight w:val="lightGray"/>
                <w:lang w:val="en-IE" w:eastAsia="de-DE"/>
              </w:rPr>
              <w:footnoteReference w:id="2"/>
            </w:r>
            <w:r w:rsidR="00701620">
              <w:rPr>
                <w:highlight w:val="lightGray"/>
                <w:lang w:val="en-IE"/>
              </w:rPr>
              <w:t>:</w:t>
            </w:r>
            <w:r w:rsidR="00701620" w:rsidRPr="001F110E">
              <w:rPr>
                <w:lang w:val="en-IE"/>
              </w:rPr>
              <w:t xml:space="preserve"> </w:t>
            </w:r>
            <w:r w:rsidR="00701620" w:rsidRPr="001F110E">
              <w:rPr>
                <w:highlight w:val="yellow"/>
                <w:lang w:val="en-IE"/>
              </w:rPr>
              <w:t>&lt;</w:t>
            </w:r>
            <w:r w:rsidR="00D76775">
              <w:rPr>
                <w:highlight w:val="yellow"/>
                <w:lang w:val="en-IE"/>
              </w:rPr>
              <w:t>reference</w:t>
            </w:r>
            <w:r w:rsidR="00701620" w:rsidRPr="001F110E">
              <w:rPr>
                <w:highlight w:val="yellow"/>
                <w:lang w:val="en-IE"/>
              </w:rPr>
              <w:t>&gt;</w:t>
            </w:r>
          </w:p>
        </w:tc>
      </w:tr>
      <w:tr w:rsidR="00D310C3" w:rsidRPr="008704EA" w14:paraId="637C5CF5"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52E1571F" w14:textId="77777777" w:rsidR="00D310C3" w:rsidRPr="003C0CD7" w:rsidDel="000C45F3" w:rsidRDefault="00D310C3" w:rsidP="000C45F3">
            <w:pPr>
              <w:pStyle w:val="Text1"/>
              <w:spacing w:before="60" w:after="60"/>
              <w:ind w:left="0"/>
              <w:jc w:val="left"/>
              <w:rPr>
                <w:b/>
                <w:lang w:val="en-IE"/>
              </w:rPr>
            </w:pPr>
            <w:r>
              <w:rPr>
                <w:b/>
                <w:lang w:val="en-IE"/>
              </w:rPr>
              <w:t>ABAC</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29D82125" w14:textId="77777777" w:rsidR="00D310C3" w:rsidRPr="001F110E" w:rsidRDefault="00D310C3" w:rsidP="00D76775">
            <w:pPr>
              <w:pStyle w:val="Text1"/>
              <w:spacing w:before="60" w:after="60"/>
              <w:ind w:left="0" w:right="-25"/>
              <w:jc w:val="left"/>
              <w:rPr>
                <w:highlight w:val="lightGray"/>
              </w:rPr>
            </w:pPr>
            <w:r w:rsidRPr="00D310C3">
              <w:t xml:space="preserve">ABAC Commitment level 1 number: </w:t>
            </w:r>
            <w:r w:rsidRPr="001F110E">
              <w:rPr>
                <w:highlight w:val="yellow"/>
              </w:rPr>
              <w:t>&lt;reference&gt;</w:t>
            </w:r>
          </w:p>
        </w:tc>
      </w:tr>
      <w:tr w:rsidR="004E5BC0" w:rsidRPr="008704EA" w14:paraId="6B91289C"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35071F03" w14:textId="77777777" w:rsidR="004E5BC0" w:rsidRPr="003C0CD7" w:rsidDel="00E20375" w:rsidRDefault="004E5BC0" w:rsidP="003F31D4">
            <w:pPr>
              <w:pStyle w:val="Text1"/>
              <w:spacing w:before="60" w:after="60"/>
              <w:ind w:left="0"/>
              <w:jc w:val="left"/>
              <w:rPr>
                <w:b/>
                <w:color w:val="0D0D0D" w:themeColor="text1" w:themeTint="F2"/>
                <w:lang w:val="en-IE"/>
              </w:rPr>
            </w:pPr>
            <w:r w:rsidRPr="003C0CD7">
              <w:rPr>
                <w:b/>
                <w:color w:val="0D0D0D" w:themeColor="text1" w:themeTint="F2"/>
                <w:lang w:val="en-IE"/>
              </w:rPr>
              <w:t>Basic Act</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6D3D812A" w14:textId="77777777" w:rsidR="004E5BC0" w:rsidRPr="003C0CD7" w:rsidRDefault="004E5BC0" w:rsidP="00053C4A">
            <w:pPr>
              <w:pStyle w:val="Text1"/>
              <w:spacing w:before="60" w:after="60"/>
              <w:ind w:left="0" w:right="-25"/>
              <w:jc w:val="left"/>
              <w:rPr>
                <w:highlight w:val="yellow"/>
                <w:lang w:val="en-IE"/>
              </w:rPr>
            </w:pPr>
            <w:r w:rsidRPr="003C0CD7">
              <w:rPr>
                <w:lang w:val="en-IE"/>
              </w:rPr>
              <w:t>Financed under the Instrument for Pre-accession Assistance (IPA III)</w:t>
            </w:r>
          </w:p>
        </w:tc>
      </w:tr>
      <w:tr w:rsidR="00F54A1B" w:rsidRPr="008704EA" w14:paraId="705E765A" w14:textId="77777777" w:rsidTr="009E322B">
        <w:trPr>
          <w:trHeight w:val="913"/>
        </w:trPr>
        <w:tc>
          <w:tcPr>
            <w:tcW w:w="2330" w:type="dxa"/>
            <w:tcBorders>
              <w:top w:val="single" w:sz="4" w:space="0" w:color="auto"/>
              <w:left w:val="single" w:sz="4" w:space="0" w:color="auto"/>
              <w:bottom w:val="single" w:sz="4" w:space="0" w:color="FFFFFF" w:themeColor="background1"/>
              <w:right w:val="single" w:sz="4" w:space="0" w:color="auto"/>
            </w:tcBorders>
            <w:shd w:val="clear" w:color="auto" w:fill="auto"/>
          </w:tcPr>
          <w:p w14:paraId="3ACFC85B" w14:textId="7C700B22" w:rsidR="00F54A1B" w:rsidRDefault="00F54A1B" w:rsidP="00990EC8">
            <w:pPr>
              <w:pStyle w:val="Text1"/>
              <w:spacing w:before="60" w:after="60"/>
              <w:ind w:left="0"/>
              <w:jc w:val="left"/>
              <w:rPr>
                <w:b/>
                <w:color w:val="0D0D0D" w:themeColor="text1" w:themeTint="F2"/>
                <w:lang w:val="en-IE"/>
              </w:rPr>
            </w:pPr>
            <w:r>
              <w:rPr>
                <w:b/>
                <w:color w:val="0D0D0D" w:themeColor="text1" w:themeTint="F2"/>
                <w:lang w:val="en-IE"/>
              </w:rPr>
              <w:t>Economic and Investment Plan</w:t>
            </w:r>
            <w:r w:rsidR="00CF7516">
              <w:rPr>
                <w:b/>
                <w:color w:val="0D0D0D" w:themeColor="text1" w:themeTint="F2"/>
                <w:lang w:val="en-IE"/>
              </w:rPr>
              <w:t xml:space="preserve"> (EIP)</w:t>
            </w:r>
          </w:p>
          <w:p w14:paraId="2DC32013" w14:textId="77777777" w:rsidR="00DA4A97" w:rsidRPr="003C0CD7" w:rsidRDefault="00DA4A97" w:rsidP="00990EC8">
            <w:pPr>
              <w:pStyle w:val="Text1"/>
              <w:spacing w:before="60" w:after="60"/>
              <w:ind w:left="0"/>
              <w:jc w:val="left"/>
              <w:rPr>
                <w:b/>
                <w:color w:val="0D0D0D" w:themeColor="text1" w:themeTint="F2"/>
                <w:lang w:val="en-IE"/>
              </w:rPr>
            </w:pPr>
          </w:p>
        </w:tc>
        <w:tc>
          <w:tcPr>
            <w:tcW w:w="7168" w:type="dxa"/>
            <w:gridSpan w:val="4"/>
            <w:tcBorders>
              <w:top w:val="single" w:sz="4" w:space="0" w:color="auto"/>
              <w:left w:val="single" w:sz="4" w:space="0" w:color="auto"/>
              <w:bottom w:val="single" w:sz="4" w:space="0" w:color="FFFFFF" w:themeColor="background1"/>
              <w:right w:val="single" w:sz="4" w:space="0" w:color="auto"/>
            </w:tcBorders>
            <w:shd w:val="clear" w:color="auto" w:fill="auto"/>
          </w:tcPr>
          <w:p w14:paraId="1D62BFA2" w14:textId="50709ECD" w:rsidR="00DA4A97" w:rsidRPr="009E322B" w:rsidRDefault="00F54A1B" w:rsidP="009E322B">
            <w:pPr>
              <w:pStyle w:val="Text1"/>
              <w:spacing w:before="60" w:after="60"/>
              <w:ind w:left="0" w:right="-25"/>
              <w:jc w:val="left"/>
              <w:rPr>
                <w:lang w:val="en-IE" w:eastAsia="de-DE"/>
              </w:rPr>
            </w:pPr>
            <w:r w:rsidRPr="009E322B">
              <w:rPr>
                <w:lang w:val="en-IE" w:eastAsia="de-DE"/>
              </w:rPr>
              <w:t>Yes</w:t>
            </w:r>
            <w:r w:rsidR="004D48FC" w:rsidRPr="009E322B">
              <w:rPr>
                <w:rStyle w:val="Refdenotaalpie"/>
                <w:lang w:eastAsia="de-DE"/>
              </w:rPr>
              <w:footnoteReference w:id="3"/>
            </w:r>
          </w:p>
        </w:tc>
      </w:tr>
      <w:tr w:rsidR="004D48FC" w:rsidRPr="008704EA" w14:paraId="580BC069" w14:textId="77777777" w:rsidTr="009E322B">
        <w:tc>
          <w:tcPr>
            <w:tcW w:w="2330" w:type="dxa"/>
            <w:tcBorders>
              <w:top w:val="single" w:sz="4" w:space="0" w:color="FFFFFF" w:themeColor="background1"/>
              <w:left w:val="single" w:sz="4" w:space="0" w:color="auto"/>
              <w:bottom w:val="single" w:sz="4" w:space="0" w:color="auto"/>
              <w:right w:val="single" w:sz="4" w:space="0" w:color="auto"/>
            </w:tcBorders>
            <w:shd w:val="clear" w:color="auto" w:fill="auto"/>
          </w:tcPr>
          <w:p w14:paraId="72EF45FD" w14:textId="77777777" w:rsidR="004D48FC" w:rsidRPr="00B508DD" w:rsidRDefault="004D48FC" w:rsidP="00990EC8">
            <w:pPr>
              <w:pStyle w:val="Text1"/>
              <w:spacing w:before="60" w:after="60"/>
              <w:ind w:left="0"/>
              <w:jc w:val="left"/>
              <w:rPr>
                <w:b/>
                <w:color w:val="0D0D0D" w:themeColor="text1" w:themeTint="F2"/>
                <w:lang w:val="en-IE"/>
              </w:rPr>
            </w:pPr>
            <w:r w:rsidRPr="00B508DD">
              <w:rPr>
                <w:b/>
                <w:color w:val="0D0D0D" w:themeColor="text1" w:themeTint="F2"/>
                <w:lang w:val="en-IE"/>
              </w:rPr>
              <w:t>EIP Flagship</w:t>
            </w:r>
          </w:p>
        </w:tc>
        <w:tc>
          <w:tcPr>
            <w:tcW w:w="7168" w:type="dxa"/>
            <w:gridSpan w:val="4"/>
            <w:tcBorders>
              <w:top w:val="single" w:sz="4" w:space="0" w:color="FFFFFF" w:themeColor="background1"/>
              <w:left w:val="single" w:sz="4" w:space="0" w:color="auto"/>
              <w:bottom w:val="single" w:sz="4" w:space="0" w:color="auto"/>
              <w:right w:val="single" w:sz="4" w:space="0" w:color="auto"/>
            </w:tcBorders>
            <w:shd w:val="clear" w:color="auto" w:fill="auto"/>
          </w:tcPr>
          <w:p w14:paraId="605CFF4F" w14:textId="1FC84EF2" w:rsidR="004D48FC" w:rsidRPr="00B508DD" w:rsidRDefault="004D48FC" w:rsidP="004D48FC">
            <w:pPr>
              <w:jc w:val="left"/>
              <w:rPr>
                <w:lang w:val="en-IE" w:eastAsia="en-IE"/>
              </w:rPr>
            </w:pPr>
            <w:r w:rsidRPr="00B508DD">
              <w:rPr>
                <w:lang w:val="en-IE" w:eastAsia="de-DE"/>
              </w:rPr>
              <w:t>Yes</w:t>
            </w:r>
          </w:p>
          <w:p w14:paraId="2F472964" w14:textId="5C34702A" w:rsidR="004D48FC" w:rsidRPr="00B508DD" w:rsidRDefault="004D48FC" w:rsidP="00B508DD">
            <w:pPr>
              <w:pStyle w:val="Text1"/>
              <w:spacing w:before="60" w:after="60"/>
              <w:ind w:left="0" w:right="-25"/>
              <w:rPr>
                <w:color w:val="0D0D0D" w:themeColor="text1" w:themeTint="F2"/>
                <w:lang w:val="en-IE" w:eastAsia="de-DE"/>
              </w:rPr>
            </w:pPr>
            <w:r w:rsidRPr="00B508DD">
              <w:rPr>
                <w:color w:val="0D0D0D" w:themeColor="text1" w:themeTint="F2"/>
                <w:lang w:val="en-IE" w:eastAsia="de-DE"/>
              </w:rPr>
              <w:t xml:space="preserve"> “Rule of </w:t>
            </w:r>
            <w:r w:rsidR="009E322B" w:rsidRPr="00B508DD">
              <w:rPr>
                <w:color w:val="0D0D0D" w:themeColor="text1" w:themeTint="F2"/>
                <w:lang w:val="en-IE" w:eastAsia="de-DE"/>
              </w:rPr>
              <w:t>Law</w:t>
            </w:r>
            <w:r w:rsidRPr="00B508DD">
              <w:rPr>
                <w:color w:val="0D0D0D" w:themeColor="text1" w:themeTint="F2"/>
                <w:lang w:val="en-IE" w:eastAsia="de-DE"/>
              </w:rPr>
              <w:t xml:space="preserve">, </w:t>
            </w:r>
            <w:r w:rsidR="009E322B" w:rsidRPr="00B508DD">
              <w:rPr>
                <w:color w:val="0D0D0D" w:themeColor="text1" w:themeTint="F2"/>
                <w:lang w:val="en-IE" w:eastAsia="de-DE"/>
              </w:rPr>
              <w:t xml:space="preserve">Governance </w:t>
            </w:r>
            <w:r w:rsidRPr="00B508DD">
              <w:rPr>
                <w:color w:val="0D0D0D" w:themeColor="text1" w:themeTint="F2"/>
                <w:lang w:val="en-IE" w:eastAsia="de-DE"/>
              </w:rPr>
              <w:t>and Public administration reform”</w:t>
            </w:r>
            <w:r w:rsidR="009E322B">
              <w:rPr>
                <w:color w:val="0D0D0D" w:themeColor="text1" w:themeTint="F2"/>
                <w:lang w:val="en-IE" w:eastAsia="de-DE"/>
              </w:rPr>
              <w:t xml:space="preserve"> – 100%</w:t>
            </w:r>
          </w:p>
        </w:tc>
      </w:tr>
      <w:tr w:rsidR="00FB5323" w:rsidRPr="008704EA" w14:paraId="0D114DA3"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55E1693D" w14:textId="77777777" w:rsidR="00FB5323" w:rsidRPr="003C0CD7" w:rsidRDefault="00FB5323" w:rsidP="00990EC8">
            <w:pPr>
              <w:pStyle w:val="Text1"/>
              <w:spacing w:before="60" w:after="60"/>
              <w:ind w:left="0"/>
              <w:jc w:val="left"/>
              <w:rPr>
                <w:b/>
                <w:color w:val="0D0D0D" w:themeColor="text1" w:themeTint="F2"/>
                <w:lang w:val="en-IE"/>
              </w:rPr>
            </w:pPr>
            <w:r w:rsidRPr="003C0CD7">
              <w:rPr>
                <w:b/>
                <w:color w:val="0D0D0D" w:themeColor="text1" w:themeTint="F2"/>
                <w:lang w:val="en-IE"/>
              </w:rPr>
              <w:t>Team Europe</w:t>
            </w:r>
            <w:r w:rsidR="00990EC8">
              <w:rPr>
                <w:rStyle w:val="Refdenotaalpie"/>
                <w:b/>
                <w:color w:val="0D0D0D" w:themeColor="text1" w:themeTint="F2"/>
                <w:lang w:val="en-IE"/>
              </w:rPr>
              <w:footnoteReference w:id="4"/>
            </w:r>
            <w:r w:rsidRPr="003C0CD7">
              <w:rPr>
                <w:b/>
                <w:color w:val="0D0D0D" w:themeColor="text1" w:themeTint="F2"/>
                <w:lang w:val="en-IE"/>
              </w:rPr>
              <w:t xml:space="preserve"> </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67F069A2" w14:textId="18CCE05B" w:rsidR="00FB5323" w:rsidRPr="003C0CD7" w:rsidRDefault="00FB5323" w:rsidP="00B508DD">
            <w:pPr>
              <w:pStyle w:val="Text1"/>
              <w:spacing w:before="60" w:after="60"/>
              <w:ind w:left="0" w:right="-25"/>
              <w:jc w:val="left"/>
              <w:rPr>
                <w:lang w:val="en-IE" w:eastAsia="de-DE"/>
              </w:rPr>
            </w:pPr>
            <w:r w:rsidRPr="00D255DE">
              <w:rPr>
                <w:lang w:val="en-IE" w:eastAsia="de-DE"/>
              </w:rPr>
              <w:t>No</w:t>
            </w:r>
          </w:p>
        </w:tc>
      </w:tr>
      <w:tr w:rsidR="001E0154" w:rsidRPr="008704EA" w14:paraId="23B47843"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6BDC1B43" w14:textId="77777777" w:rsidR="001E0154" w:rsidRPr="003C0CD7" w:rsidRDefault="006030C3" w:rsidP="00EE2F85">
            <w:pPr>
              <w:pStyle w:val="Text1"/>
              <w:spacing w:before="60" w:after="60"/>
              <w:ind w:left="0"/>
              <w:jc w:val="left"/>
              <w:rPr>
                <w:b/>
                <w:color w:val="0D0D0D" w:themeColor="text1" w:themeTint="F2"/>
                <w:lang w:val="en-IE"/>
              </w:rPr>
            </w:pPr>
            <w:r>
              <w:rPr>
                <w:b/>
                <w:color w:val="0D0D0D" w:themeColor="text1" w:themeTint="F2"/>
                <w:lang w:val="en-IE"/>
              </w:rPr>
              <w:t>Beneficiar</w:t>
            </w:r>
            <w:r w:rsidR="00EE2F85">
              <w:rPr>
                <w:b/>
                <w:color w:val="0D0D0D" w:themeColor="text1" w:themeTint="F2"/>
                <w:lang w:val="en-IE"/>
              </w:rPr>
              <w:t>(</w:t>
            </w:r>
            <w:r w:rsidR="009D243C">
              <w:rPr>
                <w:b/>
                <w:color w:val="0D0D0D" w:themeColor="text1" w:themeTint="F2"/>
                <w:lang w:val="en-IE"/>
              </w:rPr>
              <w:t>y</w:t>
            </w:r>
            <w:r w:rsidR="00EE2F85">
              <w:rPr>
                <w:b/>
                <w:color w:val="0D0D0D" w:themeColor="text1" w:themeTint="F2"/>
                <w:lang w:val="en-IE"/>
              </w:rPr>
              <w:t>)</w:t>
            </w:r>
            <w:r w:rsidR="009D243C">
              <w:rPr>
                <w:b/>
                <w:color w:val="0D0D0D" w:themeColor="text1" w:themeTint="F2"/>
                <w:lang w:val="en-IE"/>
              </w:rPr>
              <w:t>/</w:t>
            </w:r>
            <w:r w:rsidR="00EE2F85">
              <w:rPr>
                <w:b/>
                <w:color w:val="0D0D0D" w:themeColor="text1" w:themeTint="F2"/>
                <w:lang w:val="en-IE"/>
              </w:rPr>
              <w:t>(</w:t>
            </w:r>
            <w:r w:rsidR="009D243C">
              <w:rPr>
                <w:b/>
                <w:color w:val="0D0D0D" w:themeColor="text1" w:themeTint="F2"/>
                <w:lang w:val="en-IE"/>
              </w:rPr>
              <w:t>ies</w:t>
            </w:r>
            <w:r w:rsidR="00EE2F85">
              <w:rPr>
                <w:b/>
                <w:color w:val="0D0D0D" w:themeColor="text1" w:themeTint="F2"/>
                <w:lang w:val="en-IE"/>
              </w:rPr>
              <w:t>)</w:t>
            </w:r>
            <w:r w:rsidR="001E0154" w:rsidRPr="003C0CD7">
              <w:rPr>
                <w:b/>
                <w:color w:val="0D0D0D" w:themeColor="text1" w:themeTint="F2"/>
                <w:lang w:val="en-IE"/>
              </w:rPr>
              <w:t xml:space="preserve"> </w:t>
            </w:r>
            <w:r w:rsidR="009D243C">
              <w:rPr>
                <w:b/>
                <w:color w:val="0D0D0D" w:themeColor="text1" w:themeTint="F2"/>
                <w:lang w:val="en-IE"/>
              </w:rPr>
              <w:t>of</w:t>
            </w:r>
            <w:r w:rsidR="009D243C" w:rsidRPr="003C0CD7">
              <w:rPr>
                <w:b/>
                <w:color w:val="0D0D0D" w:themeColor="text1" w:themeTint="F2"/>
                <w:lang w:val="en-IE"/>
              </w:rPr>
              <w:t xml:space="preserve"> </w:t>
            </w:r>
            <w:r w:rsidR="001E0154" w:rsidRPr="003C0CD7">
              <w:rPr>
                <w:b/>
                <w:color w:val="0D0D0D" w:themeColor="text1" w:themeTint="F2"/>
                <w:lang w:val="en-IE"/>
              </w:rPr>
              <w:t xml:space="preserve">the </w:t>
            </w:r>
            <w:r w:rsidR="0035261A" w:rsidRPr="003C0CD7">
              <w:rPr>
                <w:b/>
                <w:color w:val="0D0D0D" w:themeColor="text1" w:themeTint="F2"/>
                <w:lang w:val="en-IE"/>
              </w:rPr>
              <w:t>action</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307215A0" w14:textId="4215A452" w:rsidR="006E4F2E" w:rsidRPr="003C0CD7" w:rsidRDefault="00C146A2" w:rsidP="003131A2">
            <w:pPr>
              <w:spacing w:before="120" w:after="120"/>
              <w:ind w:right="-25"/>
              <w:rPr>
                <w:szCs w:val="24"/>
                <w:lang w:val="en-IE"/>
              </w:rPr>
            </w:pPr>
            <w:r w:rsidRPr="0082062A">
              <w:rPr>
                <w:szCs w:val="24"/>
                <w:lang w:val="en-IE"/>
              </w:rPr>
              <w:t xml:space="preserve">The action shall be carried out in </w:t>
            </w:r>
            <w:r w:rsidR="003131A2">
              <w:rPr>
                <w:szCs w:val="24"/>
                <w:lang w:val="en-IE"/>
              </w:rPr>
              <w:t>the Republic of North Macedonia</w:t>
            </w:r>
          </w:p>
        </w:tc>
      </w:tr>
      <w:tr w:rsidR="001E0154" w:rsidRPr="008704EA" w14:paraId="10C74559"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5D7673B6" w14:textId="77777777" w:rsidR="001E0154" w:rsidRPr="003C0CD7" w:rsidRDefault="001E0154" w:rsidP="00E20375">
            <w:pPr>
              <w:pStyle w:val="Text1"/>
              <w:spacing w:before="60" w:after="60"/>
              <w:ind w:left="0"/>
              <w:jc w:val="left"/>
              <w:rPr>
                <w:b/>
                <w:color w:val="0D0D0D" w:themeColor="text1" w:themeTint="F2"/>
                <w:lang w:val="en-IE"/>
              </w:rPr>
            </w:pPr>
            <w:r w:rsidRPr="003C0CD7">
              <w:rPr>
                <w:b/>
                <w:color w:val="0D0D0D" w:themeColor="text1" w:themeTint="F2"/>
                <w:lang w:val="en-IE"/>
              </w:rPr>
              <w:lastRenderedPageBreak/>
              <w:t>Programming document</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2441F100" w14:textId="77777777" w:rsidR="001E0154" w:rsidRPr="003C0CD7" w:rsidRDefault="005C2C9B" w:rsidP="00C87704">
            <w:pPr>
              <w:spacing w:before="120" w:after="120"/>
              <w:ind w:right="-25"/>
              <w:rPr>
                <w:rFonts w:cs="Times New Roman"/>
                <w:color w:val="0D0D0D" w:themeColor="text1" w:themeTint="F2"/>
                <w:szCs w:val="24"/>
                <w:lang w:val="en-IE"/>
              </w:rPr>
            </w:pPr>
            <w:r w:rsidRPr="003C0CD7">
              <w:rPr>
                <w:szCs w:val="24"/>
                <w:lang w:val="en-IE"/>
              </w:rPr>
              <w:t>IPA III Programming Framework</w:t>
            </w:r>
          </w:p>
        </w:tc>
      </w:tr>
      <w:tr w:rsidR="00BF051C" w:rsidRPr="008704EA" w14:paraId="19C7218F" w14:textId="77777777" w:rsidTr="009E322B">
        <w:tc>
          <w:tcPr>
            <w:tcW w:w="9498" w:type="dxa"/>
            <w:gridSpan w:val="5"/>
            <w:tcBorders>
              <w:top w:val="single" w:sz="4" w:space="0" w:color="auto"/>
              <w:left w:val="single" w:sz="4" w:space="0" w:color="auto"/>
              <w:bottom w:val="single" w:sz="4" w:space="0" w:color="auto"/>
              <w:right w:val="single" w:sz="4" w:space="0" w:color="auto"/>
            </w:tcBorders>
            <w:shd w:val="clear" w:color="auto" w:fill="auto"/>
          </w:tcPr>
          <w:p w14:paraId="47BC3196" w14:textId="77777777" w:rsidR="00BF051C" w:rsidRPr="003C0CD7" w:rsidRDefault="008B15AE" w:rsidP="00313272">
            <w:pPr>
              <w:jc w:val="center"/>
              <w:rPr>
                <w:b/>
                <w:szCs w:val="24"/>
                <w:lang w:val="en-IE" w:eastAsia="de-DE"/>
              </w:rPr>
            </w:pPr>
            <w:r w:rsidRPr="003C0CD7">
              <w:rPr>
                <w:b/>
                <w:szCs w:val="24"/>
                <w:lang w:val="en-IE"/>
              </w:rPr>
              <w:t xml:space="preserve">PRIORITY AREAS AND </w:t>
            </w:r>
            <w:r w:rsidR="00BF051C" w:rsidRPr="003C0CD7">
              <w:rPr>
                <w:b/>
                <w:szCs w:val="24"/>
                <w:lang w:val="en-IE"/>
              </w:rPr>
              <w:t>SECTOR INFORMATION</w:t>
            </w:r>
          </w:p>
        </w:tc>
      </w:tr>
      <w:tr w:rsidR="00433309" w:rsidRPr="008704EA" w14:paraId="0D29056B"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075F2B2B" w14:textId="77777777" w:rsidR="00433309" w:rsidRPr="003C0CD7" w:rsidRDefault="00F50118" w:rsidP="00B97C91">
            <w:pPr>
              <w:pStyle w:val="Text1"/>
              <w:spacing w:before="0" w:after="0"/>
              <w:ind w:left="0"/>
              <w:jc w:val="left"/>
              <w:rPr>
                <w:b/>
                <w:color w:val="0D0D0D" w:themeColor="text1" w:themeTint="F2"/>
                <w:lang w:val="en-IE"/>
              </w:rPr>
            </w:pPr>
            <w:r w:rsidRPr="003C0CD7">
              <w:rPr>
                <w:b/>
                <w:color w:val="0D0D0D" w:themeColor="text1" w:themeTint="F2"/>
                <w:lang w:val="en-IE"/>
              </w:rPr>
              <w:t>Window</w:t>
            </w:r>
            <w:r w:rsidR="00B97C91" w:rsidRPr="003C0CD7">
              <w:rPr>
                <w:b/>
                <w:color w:val="0D0D0D" w:themeColor="text1" w:themeTint="F2"/>
                <w:lang w:val="en-IE"/>
              </w:rPr>
              <w:t xml:space="preserve"> and</w:t>
            </w:r>
            <w:r w:rsidR="00D46E4D" w:rsidRPr="003C0CD7">
              <w:rPr>
                <w:b/>
                <w:color w:val="0D0D0D" w:themeColor="text1" w:themeTint="F2"/>
                <w:lang w:val="en-IE"/>
              </w:rPr>
              <w:t xml:space="preserve"> </w:t>
            </w:r>
            <w:r w:rsidR="00B97C91" w:rsidRPr="003C0CD7">
              <w:rPr>
                <w:b/>
                <w:color w:val="0D0D0D" w:themeColor="text1" w:themeTint="F2"/>
                <w:lang w:val="en-IE"/>
              </w:rPr>
              <w:t>thematic p</w:t>
            </w:r>
            <w:r w:rsidRPr="003C0CD7">
              <w:rPr>
                <w:b/>
                <w:color w:val="0D0D0D" w:themeColor="text1" w:themeTint="F2"/>
                <w:lang w:val="en-IE"/>
              </w:rPr>
              <w:t>riority</w:t>
            </w:r>
            <w:r w:rsidR="00635A0A">
              <w:rPr>
                <w:rStyle w:val="Refdenotaalpie"/>
                <w:b/>
                <w:color w:val="0D0D0D" w:themeColor="text1" w:themeTint="F2"/>
                <w:lang w:val="en-IE"/>
              </w:rPr>
              <w:footnoteReference w:id="5"/>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03ED1E9B" w14:textId="77777777" w:rsidR="00DA6BDF" w:rsidRDefault="00DA6BDF" w:rsidP="00DA6BDF">
            <w:pPr>
              <w:pStyle w:val="Text1"/>
              <w:spacing w:before="60" w:after="60"/>
              <w:ind w:left="0" w:right="-25"/>
              <w:jc w:val="left"/>
            </w:pPr>
            <w:r>
              <w:t>Window 1: Rule of law, fundamental rights and democracy</w:t>
            </w:r>
          </w:p>
          <w:p w14:paraId="2B523E33" w14:textId="3ABBCB2B" w:rsidR="00DC0AC4" w:rsidRPr="003C0CD7" w:rsidRDefault="00DA6BDF" w:rsidP="00DA6BDF">
            <w:pPr>
              <w:pStyle w:val="Text1"/>
              <w:spacing w:before="60" w:after="60"/>
              <w:ind w:left="0" w:right="-25"/>
              <w:jc w:val="left"/>
              <w:rPr>
                <w:lang w:val="en-IE"/>
              </w:rPr>
            </w:pPr>
            <w:r>
              <w:t>Thematic Priority 5: Fundamental rights</w:t>
            </w:r>
          </w:p>
        </w:tc>
      </w:tr>
      <w:tr w:rsidR="00433309" w:rsidRPr="008704EA" w14:paraId="4721587A"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79C19A02" w14:textId="77777777" w:rsidR="00433309" w:rsidRPr="003C0CD7" w:rsidRDefault="00433309" w:rsidP="00433309">
            <w:pPr>
              <w:pStyle w:val="Text1"/>
              <w:spacing w:before="0" w:after="0"/>
              <w:ind w:left="0"/>
              <w:jc w:val="left"/>
              <w:rPr>
                <w:b/>
                <w:color w:val="0D0D0D" w:themeColor="text1" w:themeTint="F2"/>
                <w:lang w:val="en-IE"/>
              </w:rPr>
            </w:pPr>
            <w:r w:rsidRPr="003C0CD7">
              <w:rPr>
                <w:b/>
                <w:color w:val="0D0D0D" w:themeColor="text1" w:themeTint="F2"/>
                <w:lang w:val="en-IE"/>
              </w:rPr>
              <w:t>Sustainable Development Goals (SDGs)</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7F28E5BC" w14:textId="77777777" w:rsidR="00DA6BDF" w:rsidRDefault="00DA6BDF" w:rsidP="00DA6BDF">
            <w:pPr>
              <w:pStyle w:val="Text1"/>
              <w:spacing w:before="60" w:after="60"/>
              <w:ind w:left="0" w:right="-25"/>
            </w:pPr>
            <w:r>
              <w:t>Main SDG 5: Achieve gender equality and empower all women and girls, and SDG 4: Ensure inclusive and equitable education and promote lifelong learning opportunities for all.</w:t>
            </w:r>
          </w:p>
          <w:p w14:paraId="530A2459" w14:textId="5F025328" w:rsidR="00433309" w:rsidRPr="003C0CD7" w:rsidRDefault="00DA6BDF" w:rsidP="00DA6BDF">
            <w:pPr>
              <w:pStyle w:val="Text1"/>
              <w:spacing w:before="60" w:after="60"/>
              <w:ind w:left="0" w:right="-25"/>
              <w:jc w:val="left"/>
              <w:rPr>
                <w:highlight w:val="yellow"/>
                <w:lang w:val="en-IE"/>
              </w:rPr>
            </w:pPr>
            <w:r>
              <w:t>Other significant SDG 16: Promote peaceful and inclusive societies for sustainable development, provide access to justice for all and build effective, accountable, and inclusive institutions at all levels.</w:t>
            </w:r>
          </w:p>
        </w:tc>
      </w:tr>
      <w:tr w:rsidR="00433309" w:rsidRPr="006266C0" w14:paraId="4B613589"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654C1A9B" w14:textId="77777777" w:rsidR="00433309" w:rsidRPr="003C0CD7" w:rsidRDefault="00433309" w:rsidP="00E16935">
            <w:pPr>
              <w:pStyle w:val="Text1"/>
              <w:spacing w:before="0" w:after="0"/>
              <w:ind w:left="0"/>
              <w:jc w:val="left"/>
              <w:rPr>
                <w:b/>
                <w:bCs/>
                <w:lang w:val="en-IE"/>
              </w:rPr>
            </w:pPr>
            <w:r w:rsidRPr="003C0CD7">
              <w:rPr>
                <w:b/>
                <w:bCs/>
                <w:lang w:val="en-IE"/>
              </w:rPr>
              <w:t>DAC code(s)</w:t>
            </w:r>
            <w:r w:rsidRPr="003C0CD7">
              <w:rPr>
                <w:rStyle w:val="Refdenotaalpie"/>
                <w:lang w:val="en-IE"/>
              </w:rPr>
              <w:footnoteReference w:id="6"/>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2A4F9AE5" w14:textId="77777777" w:rsidR="00E95E87" w:rsidRPr="00E95E87" w:rsidRDefault="00E95E87" w:rsidP="00E95E87">
            <w:pPr>
              <w:pStyle w:val="Text1"/>
              <w:spacing w:before="60" w:after="60"/>
              <w:ind w:left="0" w:right="-25"/>
            </w:pPr>
            <w:r w:rsidRPr="00E95E87">
              <w:t>Main DAC code - 11560 Human rights</w:t>
            </w:r>
          </w:p>
          <w:p w14:paraId="4AF60354" w14:textId="366B7DEC" w:rsidR="00E95E87" w:rsidRPr="00E95E87" w:rsidRDefault="00E95E87" w:rsidP="00E95E87">
            <w:pPr>
              <w:pStyle w:val="Text1"/>
              <w:spacing w:before="60" w:after="60"/>
              <w:ind w:left="0" w:right="-25"/>
              <w:jc w:val="left"/>
            </w:pPr>
            <w:r w:rsidRPr="009E322B">
              <w:t xml:space="preserve">15180 </w:t>
            </w:r>
            <w:r w:rsidRPr="00E95E87">
              <w:t>Ending violence against women and girls</w:t>
            </w:r>
          </w:p>
          <w:p w14:paraId="75205FA8" w14:textId="77777777" w:rsidR="00E95E87" w:rsidRPr="00E95E87" w:rsidRDefault="00E95E87" w:rsidP="00E95E87">
            <w:pPr>
              <w:pStyle w:val="Text1"/>
              <w:spacing w:before="60" w:after="60"/>
              <w:ind w:left="0" w:right="-25"/>
            </w:pPr>
            <w:r w:rsidRPr="009E322B">
              <w:t xml:space="preserve">111 </w:t>
            </w:r>
            <w:r w:rsidRPr="00E95E87">
              <w:rPr>
                <w:bCs/>
              </w:rPr>
              <w:t>Education, Level Unspecified</w:t>
            </w:r>
          </w:p>
          <w:p w14:paraId="54AEA79E" w14:textId="42F5F073" w:rsidR="00433309" w:rsidRPr="009E322B" w:rsidRDefault="00E95E87" w:rsidP="00E95E87">
            <w:pPr>
              <w:pStyle w:val="Text1"/>
              <w:spacing w:before="60" w:after="60"/>
              <w:ind w:left="0" w:right="-25"/>
              <w:jc w:val="left"/>
              <w:rPr>
                <w:rStyle w:val="Refdenotaalpie"/>
              </w:rPr>
            </w:pPr>
            <w:r w:rsidRPr="009E322B">
              <w:t xml:space="preserve">16030 </w:t>
            </w:r>
            <w:r w:rsidRPr="00E95E87">
              <w:t>Housing policy and administrative management</w:t>
            </w:r>
          </w:p>
        </w:tc>
      </w:tr>
      <w:tr w:rsidR="00433309" w:rsidRPr="008704EA" w14:paraId="07ACC19C"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6B4F9A24" w14:textId="22F18526" w:rsidR="00433309" w:rsidRPr="003C0CD7" w:rsidRDefault="00433309" w:rsidP="00433309">
            <w:pPr>
              <w:pStyle w:val="Text1"/>
              <w:spacing w:before="0" w:after="0"/>
              <w:ind w:left="0"/>
              <w:jc w:val="left"/>
              <w:rPr>
                <w:b/>
                <w:bCs/>
                <w:lang w:val="en-IE"/>
              </w:rPr>
            </w:pPr>
            <w:r w:rsidRPr="003C0CD7">
              <w:rPr>
                <w:b/>
                <w:bCs/>
                <w:lang w:val="en-IE"/>
              </w:rPr>
              <w:t xml:space="preserve">Main Delivery   Channel </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13B7A7CB" w14:textId="7A6A44A9" w:rsidR="00433309" w:rsidRPr="003C0CD7" w:rsidRDefault="00E95E87" w:rsidP="00433309">
            <w:pPr>
              <w:pStyle w:val="Text1"/>
              <w:spacing w:before="60" w:after="60"/>
              <w:ind w:left="0" w:right="-25"/>
              <w:jc w:val="left"/>
              <w:rPr>
                <w:i/>
                <w:highlight w:val="yellow"/>
                <w:lang w:val="en-IE" w:eastAsia="de-DE"/>
              </w:rPr>
            </w:pPr>
            <w:r>
              <w:rPr>
                <w:lang w:val="en-IE"/>
              </w:rPr>
              <w:t>12000 Recipient Government</w:t>
            </w:r>
          </w:p>
        </w:tc>
      </w:tr>
      <w:tr w:rsidR="00D10305" w:rsidRPr="00C85643" w14:paraId="014BC60E"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098C2D41" w14:textId="77777777" w:rsidR="00D10305" w:rsidRPr="003C0CD7" w:rsidRDefault="00D10305" w:rsidP="00433309">
            <w:pPr>
              <w:pStyle w:val="Text1"/>
              <w:spacing w:before="0" w:after="0"/>
              <w:ind w:left="0"/>
              <w:jc w:val="left"/>
              <w:rPr>
                <w:b/>
                <w:bCs/>
                <w:lang w:val="en-IE"/>
              </w:rPr>
            </w:pPr>
            <w:r>
              <w:rPr>
                <w:b/>
                <w:bCs/>
                <w:lang w:val="en-IE"/>
              </w:rPr>
              <w:t>Targets</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583CAF65" w14:textId="77777777" w:rsidR="00D10305" w:rsidRPr="00D10305" w:rsidRDefault="00E43421" w:rsidP="00433309">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lang w:val="en-IE"/>
                </w:rPr>
                <w:id w:val="-1095621497"/>
                <w14:checkbox>
                  <w14:checked w14:val="0"/>
                  <w14:checkedState w14:val="2612" w14:font="MS Gothic"/>
                  <w14:uncheckedState w14:val="2610" w14:font="MS Gothic"/>
                </w14:checkbox>
              </w:sdt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w:t>
            </w:r>
            <w:r w:rsidR="00D10305" w:rsidRPr="00D10305">
              <w:rPr>
                <w:rFonts w:eastAsia="MS Gothic"/>
                <w:color w:val="0D0D0D" w:themeColor="text1" w:themeTint="F2"/>
                <w:lang w:val="en-IE"/>
              </w:rPr>
              <w:t>Climate</w:t>
            </w:r>
          </w:p>
          <w:p w14:paraId="2B2196CD" w14:textId="28039DE5" w:rsidR="00D10305" w:rsidRPr="00D10305" w:rsidRDefault="00E43421" w:rsidP="00433309">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lang w:val="en-IE"/>
                </w:rPr>
                <w:id w:val="461931768"/>
                <w14:checkbox>
                  <w14:checked w14:val="1"/>
                  <w14:checkedState w14:val="2612" w14:font="MS Gothic"/>
                  <w14:uncheckedState w14:val="2610" w14:font="MS Gothic"/>
                </w14:checkbox>
              </w:sdtPr>
              <w:sdtContent>
                <w:r w:rsidR="00E95E87">
                  <w:rPr>
                    <w:rFonts w:ascii="MS Gothic" w:eastAsia="MS Gothic" w:hAnsi="MS Gothic" w:hint="eastAsia"/>
                    <w:color w:val="0D0D0D" w:themeColor="text1" w:themeTint="F2"/>
                    <w:lang w:val="en-IE"/>
                  </w:rPr>
                  <w:t>☒</w:t>
                </w:r>
              </w:sdtContent>
            </w:sdt>
            <w:r w:rsidR="00D10305" w:rsidRPr="00C85643">
              <w:rPr>
                <w:rFonts w:eastAsia="MS Gothic"/>
                <w:color w:val="0D0D0D" w:themeColor="text1" w:themeTint="F2"/>
                <w:lang w:val="en-IE"/>
              </w:rPr>
              <w:t xml:space="preserve"> Gender</w:t>
            </w:r>
          </w:p>
          <w:p w14:paraId="42A2F989" w14:textId="77777777" w:rsidR="00D10305" w:rsidRPr="00D10305" w:rsidRDefault="00E43421" w:rsidP="00433309">
            <w:pPr>
              <w:pStyle w:val="Text1"/>
              <w:spacing w:before="60" w:after="60"/>
              <w:ind w:left="0" w:right="-25"/>
              <w:jc w:val="left"/>
              <w:rPr>
                <w:highlight w:val="yellow"/>
                <w:lang w:val="en-IE" w:eastAsia="de-DE"/>
              </w:rPr>
            </w:pPr>
            <w:sdt>
              <w:sdtPr>
                <w:rPr>
                  <w:rFonts w:eastAsia="MS Gothic"/>
                  <w:color w:val="0D0D0D" w:themeColor="text1" w:themeTint="F2"/>
                  <w:lang w:val="en-IE"/>
                </w:rPr>
                <w:id w:val="345524675"/>
                <w14:checkbox>
                  <w14:checked w14:val="0"/>
                  <w14:checkedState w14:val="2612" w14:font="MS Gothic"/>
                  <w14:uncheckedState w14:val="2610" w14:font="MS Gothic"/>
                </w14:checkbox>
              </w:sdt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Biodiversity</w:t>
            </w:r>
          </w:p>
        </w:tc>
      </w:tr>
      <w:tr w:rsidR="00433309" w:rsidRPr="008704EA" w14:paraId="3E41C58B" w14:textId="77777777" w:rsidTr="009E322B">
        <w:trPr>
          <w:trHeight w:val="45"/>
        </w:trPr>
        <w:tc>
          <w:tcPr>
            <w:tcW w:w="2330" w:type="dxa"/>
            <w:vMerge w:val="restart"/>
            <w:tcBorders>
              <w:top w:val="single" w:sz="4" w:space="0" w:color="auto"/>
              <w:left w:val="single" w:sz="4" w:space="0" w:color="auto"/>
              <w:right w:val="single" w:sz="4" w:space="0" w:color="auto"/>
            </w:tcBorders>
            <w:shd w:val="clear" w:color="auto" w:fill="auto"/>
          </w:tcPr>
          <w:p w14:paraId="52F9ACED" w14:textId="77777777" w:rsidR="00433309" w:rsidRPr="003C0CD7" w:rsidRDefault="00433309" w:rsidP="00433309">
            <w:pPr>
              <w:rPr>
                <w:rFonts w:cs="Times New Roman"/>
                <w:color w:val="0D0D0D" w:themeColor="text1" w:themeTint="F2"/>
                <w:szCs w:val="24"/>
                <w:lang w:val="en-IE"/>
              </w:rPr>
            </w:pPr>
            <w:r w:rsidRPr="003C0CD7">
              <w:rPr>
                <w:rFonts w:cs="Times New Roman"/>
                <w:b/>
                <w:bCs/>
                <w:color w:val="0D0D0D" w:themeColor="text1" w:themeTint="F2"/>
                <w:szCs w:val="24"/>
                <w:lang w:val="en-IE"/>
              </w:rPr>
              <w:t>Markers</w:t>
            </w:r>
            <w:r w:rsidRPr="003C0CD7">
              <w:rPr>
                <w:rStyle w:val="Refdenotaalpie"/>
                <w:rFonts w:eastAsia="Times New Roman" w:cs="Times New Roman"/>
                <w:b/>
                <w:bCs/>
                <w:color w:val="0D0D0D" w:themeColor="text1" w:themeTint="F2"/>
                <w:szCs w:val="24"/>
                <w:lang w:val="en-IE"/>
              </w:rPr>
              <w:footnoteReference w:id="7"/>
            </w:r>
          </w:p>
          <w:p w14:paraId="4F6BCF86" w14:textId="77777777" w:rsidR="00433309" w:rsidRPr="003C0CD7" w:rsidRDefault="00433309" w:rsidP="00433309">
            <w:pPr>
              <w:pStyle w:val="Text1"/>
              <w:spacing w:before="0" w:after="0"/>
              <w:ind w:left="0"/>
              <w:jc w:val="left"/>
              <w:rPr>
                <w:b/>
                <w:bCs/>
                <w:lang w:val="en-IE"/>
              </w:rPr>
            </w:pPr>
            <w:r w:rsidRPr="003C0CD7">
              <w:rPr>
                <w:b/>
                <w:color w:val="0D0D0D" w:themeColor="text1" w:themeTint="F2"/>
                <w:lang w:val="en-IE"/>
              </w:rPr>
              <w:t>(from DAC form)</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76051B4C" w14:textId="2DCD2BCA"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 xml:space="preserve">General policy objective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F527B9"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Not targeted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01BA74"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Significant objective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5AAA3C"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Principal objective</w:t>
            </w:r>
          </w:p>
        </w:tc>
      </w:tr>
      <w:tr w:rsidR="00433309" w:rsidRPr="008704EA" w14:paraId="48A49695" w14:textId="77777777" w:rsidTr="009E322B">
        <w:trPr>
          <w:trHeight w:val="40"/>
        </w:trPr>
        <w:tc>
          <w:tcPr>
            <w:tcW w:w="2330" w:type="dxa"/>
            <w:vMerge/>
            <w:tcBorders>
              <w:left w:val="single" w:sz="4" w:space="0" w:color="auto"/>
              <w:right w:val="single" w:sz="4" w:space="0" w:color="auto"/>
            </w:tcBorders>
            <w:shd w:val="clear" w:color="auto" w:fill="auto"/>
          </w:tcPr>
          <w:p w14:paraId="7C44482C" w14:textId="77777777" w:rsidR="00433309" w:rsidRPr="003C0CD7" w:rsidRDefault="00433309" w:rsidP="00433309">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6291C8A7"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Participation development/good governance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CB9480"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058897425"/>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0CA035"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39845835"/>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D6AE373" w14:textId="00AE76A5"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96832528"/>
                <w14:checkbox>
                  <w14:checked w14:val="1"/>
                  <w14:checkedState w14:val="2612" w14:font="MS Gothic"/>
                  <w14:uncheckedState w14:val="2610" w14:font="MS Gothic"/>
                </w14:checkbox>
              </w:sdtPr>
              <w:sdtContent>
                <w:r w:rsidR="00E95E87">
                  <w:rPr>
                    <w:rFonts w:ascii="MS Gothic" w:eastAsia="MS Gothic" w:hAnsi="MS Gothic" w:cs="Segoe UI Symbol" w:hint="eastAsia"/>
                    <w:color w:val="0D0D0D" w:themeColor="text1" w:themeTint="F2"/>
                    <w:lang w:val="en-IE"/>
                  </w:rPr>
                  <w:t>☒</w:t>
                </w:r>
              </w:sdtContent>
            </w:sdt>
          </w:p>
        </w:tc>
      </w:tr>
      <w:tr w:rsidR="00433309" w:rsidRPr="008704EA" w14:paraId="649B989F" w14:textId="77777777" w:rsidTr="009E322B">
        <w:trPr>
          <w:trHeight w:val="40"/>
        </w:trPr>
        <w:tc>
          <w:tcPr>
            <w:tcW w:w="2330" w:type="dxa"/>
            <w:vMerge/>
            <w:tcBorders>
              <w:left w:val="single" w:sz="4" w:space="0" w:color="auto"/>
              <w:right w:val="single" w:sz="4" w:space="0" w:color="auto"/>
            </w:tcBorders>
            <w:shd w:val="clear" w:color="auto" w:fill="auto"/>
          </w:tcPr>
          <w:p w14:paraId="6D31A9DE" w14:textId="77777777" w:rsidR="00433309" w:rsidRPr="003C0CD7" w:rsidRDefault="00433309" w:rsidP="00433309">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254E9E64" w14:textId="3315B6CE"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Aid to environment</w:t>
            </w:r>
            <w:r w:rsidR="00C146A2">
              <w:rPr>
                <w:color w:val="0D0D0D" w:themeColor="text1" w:themeTint="F2"/>
                <w:lang w:val="en-IE"/>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1F15CE" w14:textId="64610C09"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46379216"/>
                <w14:checkbox>
                  <w14:checked w14:val="1"/>
                  <w14:checkedState w14:val="2612" w14:font="MS Gothic"/>
                  <w14:uncheckedState w14:val="2610" w14:font="MS Gothic"/>
                </w14:checkbox>
              </w:sdtPr>
              <w:sdtContent>
                <w:r w:rsidR="00E95E87">
                  <w:rPr>
                    <w:rFonts w:ascii="MS Gothic" w:eastAsia="MS Gothic" w:hAnsi="MS Gothic" w:cs="Segoe UI Symbol" w:hint="eastAsia"/>
                    <w:color w:val="0D0D0D" w:themeColor="text1" w:themeTint="F2"/>
                    <w:lang w:val="en-IE"/>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945182"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36637440"/>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07C19E"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05995485"/>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r>
      <w:tr w:rsidR="00D310C3" w:rsidRPr="008704EA" w14:paraId="5E984A43" w14:textId="77777777" w:rsidTr="009E322B">
        <w:trPr>
          <w:trHeight w:val="638"/>
        </w:trPr>
        <w:tc>
          <w:tcPr>
            <w:tcW w:w="2330" w:type="dxa"/>
            <w:vMerge/>
            <w:tcBorders>
              <w:left w:val="single" w:sz="4" w:space="0" w:color="auto"/>
              <w:right w:val="single" w:sz="4" w:space="0" w:color="auto"/>
            </w:tcBorders>
            <w:shd w:val="clear" w:color="auto" w:fill="auto"/>
          </w:tcPr>
          <w:p w14:paraId="403AFDE1" w14:textId="77777777" w:rsidR="00D310C3" w:rsidRPr="003C0CD7" w:rsidRDefault="00D310C3" w:rsidP="00433309">
            <w:pPr>
              <w:rPr>
                <w:rFonts w:cs="Times New Roman"/>
                <w:b/>
                <w:bCs/>
                <w:color w:val="0D0D0D" w:themeColor="text1" w:themeTint="F2"/>
                <w:szCs w:val="24"/>
                <w:lang w:val="en-IE"/>
              </w:rPr>
            </w:pPr>
          </w:p>
        </w:tc>
        <w:tc>
          <w:tcPr>
            <w:tcW w:w="2915" w:type="dxa"/>
            <w:tcBorders>
              <w:top w:val="single" w:sz="4" w:space="0" w:color="auto"/>
              <w:left w:val="single" w:sz="4" w:space="0" w:color="auto"/>
              <w:right w:val="single" w:sz="4" w:space="0" w:color="auto"/>
            </w:tcBorders>
            <w:shd w:val="clear" w:color="auto" w:fill="auto"/>
          </w:tcPr>
          <w:p w14:paraId="322A6CB7" w14:textId="77777777" w:rsidR="00D310C3" w:rsidRPr="003C0CD7" w:rsidRDefault="00D310C3" w:rsidP="00433309">
            <w:pPr>
              <w:pStyle w:val="Text1"/>
              <w:spacing w:before="60" w:after="60"/>
              <w:ind w:left="0" w:right="-25"/>
              <w:jc w:val="left"/>
              <w:rPr>
                <w:highlight w:val="yellow"/>
                <w:lang w:val="en-IE" w:eastAsia="de-DE"/>
              </w:rPr>
            </w:pPr>
            <w:r w:rsidRPr="003C0CD7">
              <w:rPr>
                <w:color w:val="0D0D0D" w:themeColor="text1" w:themeTint="F2"/>
                <w:lang w:val="en-IE"/>
              </w:rPr>
              <w:t>Gender equality and women’s and girl’s empowerment</w:t>
            </w:r>
          </w:p>
        </w:tc>
        <w:tc>
          <w:tcPr>
            <w:tcW w:w="1276" w:type="dxa"/>
            <w:tcBorders>
              <w:top w:val="single" w:sz="4" w:space="0" w:color="auto"/>
              <w:left w:val="single" w:sz="4" w:space="0" w:color="auto"/>
              <w:right w:val="single" w:sz="4" w:space="0" w:color="auto"/>
            </w:tcBorders>
            <w:shd w:val="clear" w:color="auto" w:fill="auto"/>
          </w:tcPr>
          <w:p w14:paraId="2099895D" w14:textId="77777777" w:rsidR="00D310C3"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96649658"/>
                <w14:checkbox>
                  <w14:checked w14:val="0"/>
                  <w14:checkedState w14:val="2612" w14:font="MS Gothic"/>
                  <w14:uncheckedState w14:val="2610" w14:font="MS Gothic"/>
                </w14:checkbox>
              </w:sdtPr>
              <w:sdtContent>
                <w:r w:rsidR="00D310C3" w:rsidRPr="003C0CD7">
                  <w:rPr>
                    <w:rFonts w:ascii="MS Gothic" w:eastAsia="MS Gothic" w:hAnsi="MS Gothic" w:cs="Segoe UI Symbol"/>
                    <w:color w:val="0D0D0D" w:themeColor="text1" w:themeTint="F2"/>
                    <w:lang w:val="en-IE"/>
                  </w:rPr>
                  <w:t>☐</w:t>
                </w:r>
              </w:sdtContent>
            </w:sdt>
          </w:p>
        </w:tc>
        <w:tc>
          <w:tcPr>
            <w:tcW w:w="1417" w:type="dxa"/>
            <w:tcBorders>
              <w:top w:val="single" w:sz="4" w:space="0" w:color="auto"/>
              <w:left w:val="single" w:sz="4" w:space="0" w:color="auto"/>
              <w:right w:val="single" w:sz="4" w:space="0" w:color="auto"/>
            </w:tcBorders>
            <w:shd w:val="clear" w:color="auto" w:fill="auto"/>
          </w:tcPr>
          <w:p w14:paraId="3D37894E" w14:textId="77777777" w:rsidR="00D310C3"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351844034"/>
                <w14:checkbox>
                  <w14:checked w14:val="0"/>
                  <w14:checkedState w14:val="2612" w14:font="MS Gothic"/>
                  <w14:uncheckedState w14:val="2610" w14:font="MS Gothic"/>
                </w14:checkbox>
              </w:sdtPr>
              <w:sdtContent>
                <w:r w:rsidR="00D310C3" w:rsidRPr="003C0CD7">
                  <w:rPr>
                    <w:rFonts w:ascii="MS Gothic" w:eastAsia="MS Gothic" w:hAnsi="MS Gothic" w:cs="Segoe UI Symbol"/>
                    <w:color w:val="0D0D0D" w:themeColor="text1" w:themeTint="F2"/>
                    <w:lang w:val="en-IE"/>
                  </w:rPr>
                  <w:t>☐</w:t>
                </w:r>
              </w:sdtContent>
            </w:sdt>
          </w:p>
        </w:tc>
        <w:tc>
          <w:tcPr>
            <w:tcW w:w="1560" w:type="dxa"/>
            <w:tcBorders>
              <w:top w:val="single" w:sz="4" w:space="0" w:color="auto"/>
              <w:left w:val="single" w:sz="4" w:space="0" w:color="auto"/>
              <w:right w:val="single" w:sz="4" w:space="0" w:color="auto"/>
            </w:tcBorders>
            <w:shd w:val="clear" w:color="auto" w:fill="auto"/>
          </w:tcPr>
          <w:p w14:paraId="169B4AFB" w14:textId="78944BE8" w:rsidR="00D310C3"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00831899"/>
                <w14:checkbox>
                  <w14:checked w14:val="1"/>
                  <w14:checkedState w14:val="2612" w14:font="MS Gothic"/>
                  <w14:uncheckedState w14:val="2610" w14:font="MS Gothic"/>
                </w14:checkbox>
              </w:sdtPr>
              <w:sdtContent>
                <w:r w:rsidR="00E95E87">
                  <w:rPr>
                    <w:rFonts w:ascii="MS Gothic" w:eastAsia="MS Gothic" w:hAnsi="MS Gothic" w:cs="Segoe UI Symbol" w:hint="eastAsia"/>
                    <w:color w:val="0D0D0D" w:themeColor="text1" w:themeTint="F2"/>
                    <w:lang w:val="en-IE"/>
                  </w:rPr>
                  <w:t>☒</w:t>
                </w:r>
              </w:sdtContent>
            </w:sdt>
          </w:p>
        </w:tc>
      </w:tr>
      <w:tr w:rsidR="00433309" w:rsidRPr="008704EA" w14:paraId="022EBB68" w14:textId="77777777" w:rsidTr="009E322B">
        <w:trPr>
          <w:trHeight w:val="40"/>
        </w:trPr>
        <w:tc>
          <w:tcPr>
            <w:tcW w:w="2330" w:type="dxa"/>
            <w:vMerge/>
            <w:tcBorders>
              <w:left w:val="single" w:sz="4" w:space="0" w:color="auto"/>
              <w:right w:val="single" w:sz="4" w:space="0" w:color="auto"/>
            </w:tcBorders>
            <w:shd w:val="clear" w:color="auto" w:fill="auto"/>
          </w:tcPr>
          <w:p w14:paraId="1365C655" w14:textId="77777777" w:rsidR="00433309" w:rsidRPr="003C0CD7" w:rsidRDefault="00433309" w:rsidP="00433309">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2766420"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Reproductive, maternal, new-born and child health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EBF0C6" w14:textId="2B82AA49"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09768690"/>
                <w14:checkbox>
                  <w14:checked w14:val="1"/>
                  <w14:checkedState w14:val="2612" w14:font="MS Gothic"/>
                  <w14:uncheckedState w14:val="2610" w14:font="MS Gothic"/>
                </w14:checkbox>
              </w:sdtPr>
              <w:sdtContent>
                <w:r w:rsidR="00E95E87">
                  <w:rPr>
                    <w:rFonts w:ascii="MS Gothic" w:eastAsia="MS Gothic" w:hAnsi="MS Gothic" w:cs="Segoe UI Symbol" w:hint="eastAsia"/>
                    <w:color w:val="0D0D0D" w:themeColor="text1" w:themeTint="F2"/>
                    <w:lang w:val="en-IE"/>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80AAE8"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89380365"/>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294AFE"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313145762"/>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4CBE52E2" w14:textId="77777777" w:rsidTr="009E322B">
        <w:trPr>
          <w:trHeight w:val="40"/>
        </w:trPr>
        <w:tc>
          <w:tcPr>
            <w:tcW w:w="2330" w:type="dxa"/>
            <w:vMerge/>
            <w:tcBorders>
              <w:left w:val="single" w:sz="4" w:space="0" w:color="auto"/>
              <w:right w:val="single" w:sz="4" w:space="0" w:color="auto"/>
            </w:tcBorders>
            <w:shd w:val="clear" w:color="auto" w:fill="auto"/>
          </w:tcPr>
          <w:p w14:paraId="55D8430C" w14:textId="77777777" w:rsidR="00433309" w:rsidRPr="003C0CD7" w:rsidRDefault="00433309" w:rsidP="00433309">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6490FB07" w14:textId="6312CF2E"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Disaster Risk Reduction</w:t>
            </w:r>
            <w:r w:rsidR="00C146A2">
              <w:rPr>
                <w:color w:val="0D0D0D" w:themeColor="text1" w:themeTint="F2"/>
                <w:lang w:val="en-IE"/>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FB19F4" w14:textId="6CCCB10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35281165"/>
                <w14:checkbox>
                  <w14:checked w14:val="1"/>
                  <w14:checkedState w14:val="2612" w14:font="MS Gothic"/>
                  <w14:uncheckedState w14:val="2610" w14:font="MS Gothic"/>
                </w14:checkbox>
              </w:sdtPr>
              <w:sdtContent>
                <w:r w:rsidR="00E95E87">
                  <w:rPr>
                    <w:rFonts w:ascii="MS Gothic" w:eastAsia="MS Gothic" w:hAnsi="MS Gothic" w:cs="Segoe UI Symbol" w:hint="eastAsia"/>
                    <w:color w:val="0D0D0D" w:themeColor="text1" w:themeTint="F2"/>
                    <w:lang w:val="en-IE"/>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1F7A62"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01362246"/>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A6EC27"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27850657"/>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132178E" w14:textId="77777777" w:rsidTr="009E322B">
        <w:trPr>
          <w:trHeight w:val="40"/>
        </w:trPr>
        <w:tc>
          <w:tcPr>
            <w:tcW w:w="2330" w:type="dxa"/>
            <w:vMerge/>
            <w:tcBorders>
              <w:left w:val="single" w:sz="4" w:space="0" w:color="auto"/>
              <w:right w:val="single" w:sz="4" w:space="0" w:color="auto"/>
            </w:tcBorders>
            <w:shd w:val="clear" w:color="auto" w:fill="auto"/>
          </w:tcPr>
          <w:p w14:paraId="3C7E8337" w14:textId="77777777" w:rsidR="00433309" w:rsidRPr="003C0CD7" w:rsidRDefault="00433309" w:rsidP="00433309">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tbl>
            <w:tblPr>
              <w:tblW w:w="3374" w:type="dxa"/>
              <w:tblCellSpacing w:w="0" w:type="dxa"/>
              <w:tblLayout w:type="fixed"/>
              <w:tblCellMar>
                <w:left w:w="0" w:type="dxa"/>
                <w:right w:w="0" w:type="dxa"/>
              </w:tblCellMar>
              <w:tblLook w:val="04A0" w:firstRow="1" w:lastRow="0" w:firstColumn="1" w:lastColumn="0" w:noHBand="0" w:noVBand="1"/>
            </w:tblPr>
            <w:tblGrid>
              <w:gridCol w:w="3374"/>
            </w:tblGrid>
            <w:tr w:rsidR="00433309" w:rsidRPr="008704EA" w14:paraId="77DE60C0" w14:textId="77777777" w:rsidTr="00A73AD0">
              <w:trPr>
                <w:tblCellSpacing w:w="0" w:type="dxa"/>
              </w:trPr>
              <w:tc>
                <w:tcPr>
                  <w:tcW w:w="5000" w:type="pct"/>
                  <w:vAlign w:val="center"/>
                </w:tcPr>
                <w:p w14:paraId="5C7CAA06" w14:textId="77777777" w:rsidR="00433309" w:rsidRPr="003C0CD7" w:rsidRDefault="00433309" w:rsidP="00433309">
                  <w:pPr>
                    <w:pStyle w:val="Text1"/>
                    <w:spacing w:before="0" w:after="0"/>
                    <w:ind w:left="0" w:right="-91"/>
                    <w:jc w:val="left"/>
                    <w:rPr>
                      <w:color w:val="0D0D0D" w:themeColor="text1" w:themeTint="F2"/>
                      <w:lang w:val="en-IE"/>
                    </w:rPr>
                  </w:pPr>
                  <w:r w:rsidRPr="003C0CD7">
                    <w:rPr>
                      <w:color w:val="0D0D0D" w:themeColor="text1" w:themeTint="F2"/>
                      <w:lang w:val="en-IE"/>
                    </w:rPr>
                    <w:t xml:space="preserve">Inclusion of persons with </w:t>
                  </w:r>
                </w:p>
                <w:p w14:paraId="3593883D" w14:textId="77777777" w:rsidR="00433309" w:rsidRPr="003C0CD7" w:rsidRDefault="00433309" w:rsidP="00433309">
                  <w:pPr>
                    <w:pStyle w:val="Text1"/>
                    <w:spacing w:before="0" w:after="0"/>
                    <w:ind w:left="0" w:right="-91"/>
                    <w:jc w:val="left"/>
                    <w:rPr>
                      <w:color w:val="0D0D0D" w:themeColor="text1" w:themeTint="F2"/>
                      <w:lang w:val="en-IE"/>
                    </w:rPr>
                  </w:pPr>
                  <w:r w:rsidRPr="003C0CD7">
                    <w:rPr>
                      <w:color w:val="0D0D0D" w:themeColor="text1" w:themeTint="F2"/>
                      <w:lang w:val="en-IE"/>
                    </w:rPr>
                    <w:t>Disabilities</w:t>
                  </w:r>
                </w:p>
              </w:tc>
            </w:tr>
          </w:tbl>
          <w:p w14:paraId="2932A8BA" w14:textId="77777777" w:rsidR="00433309" w:rsidRPr="003C0CD7" w:rsidRDefault="00433309" w:rsidP="00433309">
            <w:pPr>
              <w:pStyle w:val="Text1"/>
              <w:spacing w:before="60" w:after="60"/>
              <w:ind w:left="0" w:right="-25"/>
              <w:jc w:val="left"/>
              <w:rPr>
                <w:highlight w:val="yellow"/>
                <w:lang w:val="en-IE" w:eastAsia="de-D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7FAE88"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92835294"/>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574B69"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968540613"/>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F4B0DE" w14:textId="20167EA3"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22557655"/>
                <w14:checkbox>
                  <w14:checked w14:val="1"/>
                  <w14:checkedState w14:val="2612" w14:font="MS Gothic"/>
                  <w14:uncheckedState w14:val="2610" w14:font="MS Gothic"/>
                </w14:checkbox>
              </w:sdtPr>
              <w:sdtContent>
                <w:r w:rsidR="00E95E87">
                  <w:rPr>
                    <w:rFonts w:ascii="MS Gothic" w:eastAsia="MS Gothic" w:hAnsi="MS Gothic" w:cs="Segoe UI Symbol" w:hint="eastAsia"/>
                    <w:color w:val="0D0D0D" w:themeColor="text1" w:themeTint="F2"/>
                    <w:lang w:val="en-IE"/>
                  </w:rPr>
                  <w:t>☒</w:t>
                </w:r>
              </w:sdtContent>
            </w:sdt>
          </w:p>
        </w:tc>
      </w:tr>
      <w:tr w:rsidR="00433309" w:rsidRPr="008704EA" w14:paraId="753BD524" w14:textId="77777777" w:rsidTr="009E322B">
        <w:trPr>
          <w:trHeight w:val="40"/>
        </w:trPr>
        <w:tc>
          <w:tcPr>
            <w:tcW w:w="2330" w:type="dxa"/>
            <w:vMerge/>
            <w:tcBorders>
              <w:left w:val="single" w:sz="4" w:space="0" w:color="auto"/>
              <w:right w:val="single" w:sz="4" w:space="0" w:color="auto"/>
            </w:tcBorders>
            <w:shd w:val="clear" w:color="auto" w:fill="auto"/>
          </w:tcPr>
          <w:p w14:paraId="69BE736E" w14:textId="77777777" w:rsidR="00433309" w:rsidRPr="003C0CD7" w:rsidRDefault="00433309" w:rsidP="00433309">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A5F42CA" w14:textId="1A86883D"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Nutrition</w:t>
            </w:r>
            <w:r w:rsidRPr="003C0CD7">
              <w:rPr>
                <w:rStyle w:val="Refdenotaalpie"/>
                <w:color w:val="0D0D0D" w:themeColor="text1" w:themeTint="F2"/>
                <w:lang w:val="en-IE"/>
              </w:rPr>
              <w:footnoteReference w:id="8"/>
            </w:r>
            <w:r w:rsidR="00C146A2">
              <w:rPr>
                <w:color w:val="0D0D0D" w:themeColor="text1" w:themeTint="F2"/>
                <w:lang w:val="en-IE"/>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921494" w14:textId="48B9C9FB"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655291242"/>
                <w14:checkbox>
                  <w14:checked w14:val="1"/>
                  <w14:checkedState w14:val="2612" w14:font="MS Gothic"/>
                  <w14:uncheckedState w14:val="2610" w14:font="MS Gothic"/>
                </w14:checkbox>
              </w:sdtPr>
              <w:sdtContent>
                <w:r w:rsidR="00E95E87">
                  <w:rPr>
                    <w:rFonts w:ascii="MS Gothic" w:eastAsia="MS Gothic" w:hAnsi="MS Gothic" w:cs="Segoe UI Symbol" w:hint="eastAsia"/>
                    <w:color w:val="0D0D0D" w:themeColor="text1" w:themeTint="F2"/>
                    <w:lang w:val="en-IE"/>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2C3965"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636483973"/>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A2CA67"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510444880"/>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04D35538" w14:textId="77777777" w:rsidTr="009E322B">
        <w:trPr>
          <w:trHeight w:val="40"/>
        </w:trPr>
        <w:tc>
          <w:tcPr>
            <w:tcW w:w="2330" w:type="dxa"/>
            <w:vMerge/>
            <w:tcBorders>
              <w:left w:val="single" w:sz="4" w:space="0" w:color="auto"/>
              <w:right w:val="single" w:sz="4" w:space="0" w:color="auto"/>
            </w:tcBorders>
            <w:shd w:val="clear" w:color="auto" w:fill="auto"/>
          </w:tcPr>
          <w:p w14:paraId="136CAC82" w14:textId="77777777" w:rsidR="00433309" w:rsidRPr="003C0CD7" w:rsidRDefault="00433309" w:rsidP="00433309">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B22B664" w14:textId="36254EC6"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 xml:space="preserve">RIO Convention markers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BBF8E4"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Not targeted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47FF24"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Significant objective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1410C0"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Principal objective</w:t>
            </w:r>
          </w:p>
        </w:tc>
      </w:tr>
      <w:tr w:rsidR="00433309" w:rsidRPr="008704EA" w14:paraId="000E67C7" w14:textId="77777777" w:rsidTr="009E322B">
        <w:trPr>
          <w:trHeight w:val="40"/>
        </w:trPr>
        <w:tc>
          <w:tcPr>
            <w:tcW w:w="2330" w:type="dxa"/>
            <w:vMerge/>
            <w:tcBorders>
              <w:left w:val="single" w:sz="4" w:space="0" w:color="auto"/>
              <w:right w:val="single" w:sz="4" w:space="0" w:color="auto"/>
            </w:tcBorders>
            <w:shd w:val="clear" w:color="auto" w:fill="auto"/>
          </w:tcPr>
          <w:p w14:paraId="3A78F30D" w14:textId="77777777" w:rsidR="00433309" w:rsidRPr="003C0CD7" w:rsidRDefault="00433309" w:rsidP="00433309">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D110BEB" w14:textId="504BC7C3"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Biological diversity</w:t>
            </w:r>
            <w:r w:rsidR="00C146A2">
              <w:rPr>
                <w:color w:val="0D0D0D" w:themeColor="text1" w:themeTint="F2"/>
                <w:lang w:val="en-IE"/>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31A2D" w14:textId="4B394E5D"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12595753"/>
                <w14:checkbox>
                  <w14:checked w14:val="1"/>
                  <w14:checkedState w14:val="2612" w14:font="MS Gothic"/>
                  <w14:uncheckedState w14:val="2610" w14:font="MS Gothic"/>
                </w14:checkbox>
              </w:sdtPr>
              <w:sdtContent>
                <w:r w:rsidR="00E95E87">
                  <w:rPr>
                    <w:rFonts w:ascii="MS Gothic" w:eastAsia="MS Gothic" w:hAnsi="MS Gothic" w:cs="Segoe UI Symbol" w:hint="eastAsia"/>
                    <w:color w:val="0D0D0D" w:themeColor="text1" w:themeTint="F2"/>
                    <w:lang w:val="en-IE"/>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100816"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14562628"/>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1328BB"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566485554"/>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6BAB0F7C" w14:textId="77777777" w:rsidTr="009E322B">
        <w:trPr>
          <w:trHeight w:val="40"/>
        </w:trPr>
        <w:tc>
          <w:tcPr>
            <w:tcW w:w="2330" w:type="dxa"/>
            <w:vMerge/>
            <w:tcBorders>
              <w:left w:val="single" w:sz="4" w:space="0" w:color="auto"/>
              <w:right w:val="single" w:sz="4" w:space="0" w:color="auto"/>
            </w:tcBorders>
            <w:shd w:val="clear" w:color="auto" w:fill="auto"/>
          </w:tcPr>
          <w:p w14:paraId="43AFE89A" w14:textId="77777777" w:rsidR="00433309" w:rsidRPr="003C0CD7" w:rsidRDefault="00433309" w:rsidP="00433309">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E7B3556" w14:textId="063B68C6"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Combat desertification</w:t>
            </w:r>
            <w:r w:rsidR="00C146A2">
              <w:rPr>
                <w:color w:val="0D0D0D" w:themeColor="text1" w:themeTint="F2"/>
                <w:lang w:val="en-IE"/>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BA001A" w14:textId="7F21A518"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240904991"/>
                <w14:checkbox>
                  <w14:checked w14:val="1"/>
                  <w14:checkedState w14:val="2612" w14:font="MS Gothic"/>
                  <w14:uncheckedState w14:val="2610" w14:font="MS Gothic"/>
                </w14:checkbox>
              </w:sdtPr>
              <w:sdtContent>
                <w:r w:rsidR="00E95E87">
                  <w:rPr>
                    <w:rFonts w:ascii="MS Gothic" w:eastAsia="MS Gothic" w:hAnsi="MS Gothic" w:cs="Segoe UI Symbol" w:hint="eastAsia"/>
                    <w:color w:val="0D0D0D" w:themeColor="text1" w:themeTint="F2"/>
                    <w:lang w:val="en-IE"/>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A2D9CF"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115982222"/>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8AB769"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41799015"/>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FE31C81" w14:textId="77777777" w:rsidTr="009E322B">
        <w:trPr>
          <w:trHeight w:val="40"/>
        </w:trPr>
        <w:tc>
          <w:tcPr>
            <w:tcW w:w="2330" w:type="dxa"/>
            <w:vMerge/>
            <w:tcBorders>
              <w:left w:val="single" w:sz="4" w:space="0" w:color="auto"/>
              <w:right w:val="single" w:sz="4" w:space="0" w:color="auto"/>
            </w:tcBorders>
            <w:shd w:val="clear" w:color="auto" w:fill="auto"/>
          </w:tcPr>
          <w:p w14:paraId="1C7DE7CF" w14:textId="77777777" w:rsidR="00433309" w:rsidRPr="003C0CD7" w:rsidRDefault="00433309" w:rsidP="00433309">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2532A912" w14:textId="302F1ABE"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Climate change mitigation</w:t>
            </w:r>
            <w:r w:rsidR="00C146A2">
              <w:rPr>
                <w:color w:val="0D0D0D" w:themeColor="text1" w:themeTint="F2"/>
                <w:lang w:val="en-IE"/>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8CEC36" w14:textId="29A138E1"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82174767"/>
                <w14:checkbox>
                  <w14:checked w14:val="1"/>
                  <w14:checkedState w14:val="2612" w14:font="MS Gothic"/>
                  <w14:uncheckedState w14:val="2610" w14:font="MS Gothic"/>
                </w14:checkbox>
              </w:sdtPr>
              <w:sdtContent>
                <w:r w:rsidR="00E95E87">
                  <w:rPr>
                    <w:rFonts w:ascii="MS Gothic" w:eastAsia="MS Gothic" w:hAnsi="MS Gothic" w:cs="Segoe UI Symbol" w:hint="eastAsia"/>
                    <w:color w:val="0D0D0D" w:themeColor="text1" w:themeTint="F2"/>
                    <w:lang w:val="en-IE"/>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4E90D5"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132678762"/>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172495"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37390880"/>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0FEEAC3D" w14:textId="77777777" w:rsidTr="009E322B">
        <w:trPr>
          <w:trHeight w:val="40"/>
        </w:trPr>
        <w:tc>
          <w:tcPr>
            <w:tcW w:w="2330" w:type="dxa"/>
            <w:vMerge/>
            <w:tcBorders>
              <w:left w:val="single" w:sz="4" w:space="0" w:color="auto"/>
              <w:bottom w:val="single" w:sz="4" w:space="0" w:color="auto"/>
              <w:right w:val="single" w:sz="4" w:space="0" w:color="auto"/>
            </w:tcBorders>
            <w:shd w:val="clear" w:color="auto" w:fill="auto"/>
          </w:tcPr>
          <w:p w14:paraId="06C9596F" w14:textId="77777777" w:rsidR="00433309" w:rsidRPr="003C0CD7" w:rsidRDefault="00433309" w:rsidP="00433309">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75789F42" w14:textId="1A21C850"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Climate change adaptation</w:t>
            </w:r>
            <w:r w:rsidR="00C146A2">
              <w:rPr>
                <w:color w:val="0D0D0D" w:themeColor="text1" w:themeTint="F2"/>
                <w:lang w:val="en-IE"/>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2A010" w14:textId="617B1034"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1291880"/>
                <w14:checkbox>
                  <w14:checked w14:val="1"/>
                  <w14:checkedState w14:val="2612" w14:font="MS Gothic"/>
                  <w14:uncheckedState w14:val="2610" w14:font="MS Gothic"/>
                </w14:checkbox>
              </w:sdtPr>
              <w:sdtContent>
                <w:r w:rsidR="00E95E87">
                  <w:rPr>
                    <w:rFonts w:ascii="MS Gothic" w:eastAsia="MS Gothic" w:hAnsi="MS Gothic" w:cs="Segoe UI Symbol" w:hint="eastAsia"/>
                    <w:color w:val="0D0D0D" w:themeColor="text1" w:themeTint="F2"/>
                    <w:lang w:val="en-IE"/>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434DAB"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90557752"/>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077A61" w14:textId="77777777" w:rsidR="00433309" w:rsidRPr="003C0CD7" w:rsidRDefault="00E4342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32463279"/>
                <w14:checkbox>
                  <w14:checked w14:val="0"/>
                  <w14:checkedState w14:val="2612" w14:font="MS Gothic"/>
                  <w14:uncheckedState w14:val="2610" w14:font="MS Gothic"/>
                </w14:checkbox>
              </w:sdtPr>
              <w:sdtContent>
                <w:r w:rsidR="00433309" w:rsidRPr="003C0CD7">
                  <w:rPr>
                    <w:rFonts w:ascii="MS Gothic" w:eastAsia="MS Gothic" w:hAnsi="MS Gothic" w:cs="Segoe UI Symbol"/>
                    <w:color w:val="0D0D0D" w:themeColor="text1" w:themeTint="F2"/>
                    <w:lang w:val="en-IE"/>
                  </w:rPr>
                  <w:t>☐</w:t>
                </w:r>
              </w:sdtContent>
            </w:sdt>
          </w:p>
        </w:tc>
      </w:tr>
      <w:tr w:rsidR="003A426F" w:rsidRPr="008704EA" w14:paraId="751664F8" w14:textId="77777777" w:rsidTr="009E322B">
        <w:trPr>
          <w:trHeight w:val="40"/>
        </w:trPr>
        <w:tc>
          <w:tcPr>
            <w:tcW w:w="2330" w:type="dxa"/>
            <w:vMerge w:val="restart"/>
            <w:tcBorders>
              <w:left w:val="single" w:sz="4" w:space="0" w:color="auto"/>
              <w:right w:val="single" w:sz="4" w:space="0" w:color="auto"/>
            </w:tcBorders>
            <w:shd w:val="clear" w:color="auto" w:fill="auto"/>
          </w:tcPr>
          <w:p w14:paraId="52526132" w14:textId="77777777" w:rsidR="003A426F" w:rsidRPr="003C0CD7" w:rsidRDefault="003A426F" w:rsidP="002548F3">
            <w:pPr>
              <w:jc w:val="left"/>
              <w:rPr>
                <w:rFonts w:cs="Times New Roman"/>
                <w:b/>
                <w:bCs/>
                <w:color w:val="0D0D0D" w:themeColor="text1" w:themeTint="F2"/>
                <w:szCs w:val="24"/>
                <w:lang w:val="en-IE"/>
              </w:rPr>
            </w:pPr>
            <w:r w:rsidRPr="003C0CD7">
              <w:rPr>
                <w:b/>
                <w:bCs/>
                <w:color w:val="0D0D0D" w:themeColor="text1" w:themeTint="F2"/>
                <w:szCs w:val="24"/>
                <w:lang w:val="en-IE"/>
              </w:rPr>
              <w:t>Internal markers</w:t>
            </w:r>
            <w:r w:rsidRPr="003C0CD7">
              <w:rPr>
                <w:rStyle w:val="Refdenotaalpie"/>
                <w:b/>
                <w:bCs/>
                <w:color w:val="0D0D0D" w:themeColor="text1" w:themeTint="F2"/>
                <w:szCs w:val="24"/>
                <w:lang w:val="en-IE"/>
              </w:rPr>
              <w:footnoteReference w:id="9"/>
            </w:r>
            <w:r w:rsidR="007230DA">
              <w:rPr>
                <w:b/>
                <w:bCs/>
                <w:color w:val="0D0D0D" w:themeColor="text1" w:themeTint="F2"/>
                <w:szCs w:val="24"/>
                <w:lang w:val="en-IE"/>
              </w:rPr>
              <w:t xml:space="preserve"> </w:t>
            </w:r>
            <w:r w:rsidR="007230DA">
              <w:rPr>
                <w:b/>
                <w:bCs/>
                <w:color w:val="0D0D0D" w:themeColor="text1" w:themeTint="F2"/>
                <w:szCs w:val="24"/>
              </w:rPr>
              <w:t>and Tags</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3D67AE7B" w14:textId="77777777" w:rsidR="003A426F" w:rsidRPr="003C0CD7" w:rsidRDefault="003A426F" w:rsidP="003A426F">
            <w:pPr>
              <w:pStyle w:val="Text1"/>
              <w:spacing w:before="60" w:after="60"/>
              <w:ind w:left="0" w:right="-25"/>
              <w:jc w:val="left"/>
              <w:rPr>
                <w:color w:val="0D0D0D" w:themeColor="text1" w:themeTint="F2"/>
                <w:lang w:val="en-IE"/>
              </w:rPr>
            </w:pPr>
            <w:r w:rsidRPr="003C0CD7">
              <w:rPr>
                <w:b/>
                <w:color w:val="0D0D0D" w:themeColor="text1" w:themeTint="F2"/>
                <w:lang w:val="en-IE"/>
              </w:rPr>
              <w:t>Policy objectives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9D6D10"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Not targeted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6DEA7C"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Significant objective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C97190"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Principal objective</w:t>
            </w:r>
          </w:p>
        </w:tc>
      </w:tr>
      <w:tr w:rsidR="00091845" w:rsidRPr="008704EA" w14:paraId="30A0CC6D" w14:textId="77777777" w:rsidTr="009E322B">
        <w:trPr>
          <w:trHeight w:val="40"/>
        </w:trPr>
        <w:tc>
          <w:tcPr>
            <w:tcW w:w="2330" w:type="dxa"/>
            <w:vMerge/>
            <w:tcBorders>
              <w:left w:val="single" w:sz="4" w:space="0" w:color="auto"/>
              <w:right w:val="single" w:sz="4" w:space="0" w:color="auto"/>
            </w:tcBorders>
            <w:shd w:val="clear" w:color="auto" w:fill="auto"/>
          </w:tcPr>
          <w:p w14:paraId="772C7F1E" w14:textId="77777777" w:rsidR="00091845" w:rsidRPr="003C0CD7" w:rsidRDefault="00091845" w:rsidP="00091845">
            <w:pPr>
              <w:jc w:val="left"/>
              <w:rPr>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1159A03" w14:textId="77777777" w:rsidR="00091845" w:rsidRPr="005D6559" w:rsidRDefault="00091845" w:rsidP="00091845">
            <w:pPr>
              <w:pStyle w:val="Text1"/>
              <w:spacing w:before="60" w:after="60"/>
              <w:ind w:left="0" w:right="-25"/>
              <w:jc w:val="left"/>
              <w:rPr>
                <w:color w:val="0D0D0D" w:themeColor="text1" w:themeTint="F2"/>
              </w:rPr>
            </w:pPr>
            <w:r>
              <w:rPr>
                <w:color w:val="0D0D0D" w:themeColor="text1" w:themeTint="F2"/>
              </w:rPr>
              <w:t>EIP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C21F29" w14:textId="518C601F" w:rsidR="00091845" w:rsidRDefault="00E43421" w:rsidP="00091845">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47557220"/>
                <w14:checkbox>
                  <w14:checked w14:val="0"/>
                  <w14:checkedState w14:val="2612" w14:font="MS Gothic"/>
                  <w14:uncheckedState w14:val="2610" w14:font="MS Gothic"/>
                </w14:checkbox>
              </w:sdtPr>
              <w:sdtContent>
                <w:r w:rsidR="00091845" w:rsidRPr="003C0CD7">
                  <w:rPr>
                    <w:rFonts w:ascii="MS Gothic" w:eastAsia="MS Gothic" w:hAnsi="MS Gothic" w:cs="Segoe UI Symbol"/>
                    <w:color w:val="0D0D0D" w:themeColor="text1" w:themeTint="F2"/>
                    <w:lang w:val="en-IE"/>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3238F9" w14:textId="59232CE4" w:rsidR="00091845" w:rsidRDefault="00E43421" w:rsidP="00091845">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769583294"/>
                <w14:checkbox>
                  <w14:checked w14:val="1"/>
                  <w14:checkedState w14:val="2612" w14:font="MS Gothic"/>
                  <w14:uncheckedState w14:val="2610" w14:font="MS Gothic"/>
                </w14:checkbox>
              </w:sdtPr>
              <w:sdtContent>
                <w:r w:rsidR="009E322B">
                  <w:rPr>
                    <w:rFonts w:ascii="MS Gothic" w:eastAsia="MS Gothic" w:hAnsi="MS Gothic" w:cs="Segoe UI Symbol" w:hint="eastAsia"/>
                    <w:color w:val="0D0D0D" w:themeColor="text1" w:themeTint="F2"/>
                    <w:lang w:val="en-IE"/>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C0559B" w14:textId="1CB2A83E" w:rsidR="00091845" w:rsidRDefault="00E43421" w:rsidP="00091845">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486904560"/>
                <w14:checkbox>
                  <w14:checked w14:val="0"/>
                  <w14:checkedState w14:val="2612" w14:font="MS Gothic"/>
                  <w14:uncheckedState w14:val="2610" w14:font="MS Gothic"/>
                </w14:checkbox>
              </w:sdtPr>
              <w:sdtContent>
                <w:r w:rsidR="00091845">
                  <w:rPr>
                    <w:rFonts w:ascii="MS Gothic" w:eastAsia="MS Gothic" w:hAnsi="MS Gothic" w:cs="Segoe UI Symbol" w:hint="eastAsia"/>
                    <w:color w:val="0D0D0D" w:themeColor="text1" w:themeTint="F2"/>
                    <w:lang w:val="en-IE"/>
                  </w:rPr>
                  <w:t>☐</w:t>
                </w:r>
              </w:sdtContent>
            </w:sdt>
          </w:p>
        </w:tc>
      </w:tr>
      <w:tr w:rsidR="00091845" w:rsidRPr="008704EA" w14:paraId="51A98BEB" w14:textId="77777777" w:rsidTr="009E322B">
        <w:trPr>
          <w:trHeight w:val="40"/>
        </w:trPr>
        <w:tc>
          <w:tcPr>
            <w:tcW w:w="2330" w:type="dxa"/>
            <w:vMerge/>
            <w:tcBorders>
              <w:left w:val="single" w:sz="4" w:space="0" w:color="auto"/>
              <w:right w:val="single" w:sz="4" w:space="0" w:color="auto"/>
            </w:tcBorders>
            <w:shd w:val="clear" w:color="auto" w:fill="auto"/>
          </w:tcPr>
          <w:p w14:paraId="23CF3AC4" w14:textId="77777777" w:rsidR="00091845" w:rsidRPr="003C0CD7" w:rsidRDefault="00091845" w:rsidP="00C85643">
            <w:pPr>
              <w:jc w:val="left"/>
              <w:rPr>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600E4622" w14:textId="77777777" w:rsidR="00091845" w:rsidRPr="005D6559" w:rsidRDefault="00091845" w:rsidP="007230DA">
            <w:pPr>
              <w:pStyle w:val="Text1"/>
              <w:spacing w:before="60" w:after="60"/>
              <w:ind w:left="0" w:right="-25"/>
              <w:jc w:val="left"/>
              <w:rPr>
                <w:color w:val="0D0D0D" w:themeColor="text1" w:themeTint="F2"/>
              </w:rPr>
            </w:pPr>
            <w:r>
              <w:rPr>
                <w:color w:val="0D0D0D" w:themeColor="text1" w:themeTint="F2"/>
              </w:rPr>
              <w:t>EIP Flagship</w:t>
            </w:r>
          </w:p>
        </w:tc>
        <w:tc>
          <w:tcPr>
            <w:tcW w:w="2693"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1EA56F24" w14:textId="77777777" w:rsidR="00091845" w:rsidRDefault="00091845" w:rsidP="00091845">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p w14:paraId="4BA57FB6" w14:textId="2F5A7A79" w:rsidR="00091845" w:rsidRDefault="00091845" w:rsidP="0082062A">
            <w:pPr>
              <w:pStyle w:val="Text1"/>
              <w:spacing w:before="60" w:after="60"/>
              <w:ind w:left="0" w:right="-25"/>
              <w:jc w:val="center"/>
              <w:rPr>
                <w:rFonts w:eastAsia="MS Gothic"/>
                <w:color w:val="0D0D0D" w:themeColor="text1" w:themeTint="F2"/>
                <w:sz w:val="22"/>
              </w:rPr>
            </w:pPr>
            <w:r w:rsidRPr="003C0CD7">
              <w:rPr>
                <w:rFonts w:ascii="MS Gothic" w:eastAsia="MS Gothic" w:hAnsi="MS Gothic" w:cs="Segoe UI Symbol"/>
                <w:color w:val="0D0D0D" w:themeColor="text1" w:themeTint="F2"/>
                <w:lang w:val="en-IE"/>
              </w:rPr>
              <w:t>☐</w:t>
            </w:r>
          </w:p>
        </w:tc>
        <w:tc>
          <w:tcPr>
            <w:tcW w:w="1560" w:type="dxa"/>
            <w:tcBorders>
              <w:top w:val="single" w:sz="4" w:space="0" w:color="auto"/>
              <w:left w:val="single" w:sz="4" w:space="0" w:color="FFFFFF" w:themeColor="background1"/>
              <w:bottom w:val="single" w:sz="4" w:space="0" w:color="auto"/>
              <w:right w:val="single" w:sz="4" w:space="0" w:color="auto"/>
            </w:tcBorders>
            <w:shd w:val="clear" w:color="auto" w:fill="auto"/>
          </w:tcPr>
          <w:p w14:paraId="27213579" w14:textId="77777777" w:rsidR="00091845" w:rsidRDefault="00091845" w:rsidP="00091845">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p w14:paraId="400D19F4" w14:textId="11432A37" w:rsidR="00091845" w:rsidRDefault="00E43421" w:rsidP="009E322B">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666670373"/>
                <w14:checkbox>
                  <w14:checked w14:val="1"/>
                  <w14:checkedState w14:val="2612" w14:font="MS Gothic"/>
                  <w14:uncheckedState w14:val="2610" w14:font="MS Gothic"/>
                </w14:checkbox>
              </w:sdtPr>
              <w:sdtContent>
                <w:r w:rsidR="009E322B">
                  <w:rPr>
                    <w:rFonts w:ascii="MS Gothic" w:eastAsia="MS Gothic" w:hAnsi="MS Gothic" w:cs="Segoe UI Symbol" w:hint="eastAsia"/>
                    <w:color w:val="0D0D0D" w:themeColor="text1" w:themeTint="F2"/>
                    <w:lang w:val="en-IE"/>
                  </w:rPr>
                  <w:t>☒</w:t>
                </w:r>
              </w:sdtContent>
            </w:sdt>
            <w:r w:rsidR="009E322B">
              <w:rPr>
                <w:rFonts w:ascii="MS Gothic" w:eastAsia="MS Gothic" w:hAnsi="MS Gothic" w:cs="Segoe UI Symbol" w:hint="eastAsia"/>
                <w:color w:val="0D0D0D" w:themeColor="text1" w:themeTint="F2"/>
                <w:lang w:val="en-IE"/>
              </w:rPr>
              <w:t xml:space="preserve"> </w:t>
            </w:r>
          </w:p>
        </w:tc>
      </w:tr>
      <w:tr w:rsidR="00091845" w:rsidRPr="008704EA" w14:paraId="32151A3D" w14:textId="77777777" w:rsidTr="009E322B">
        <w:trPr>
          <w:trHeight w:val="40"/>
        </w:trPr>
        <w:tc>
          <w:tcPr>
            <w:tcW w:w="2330" w:type="dxa"/>
            <w:vMerge/>
            <w:tcBorders>
              <w:left w:val="single" w:sz="4" w:space="0" w:color="auto"/>
              <w:right w:val="single" w:sz="4" w:space="0" w:color="auto"/>
            </w:tcBorders>
            <w:shd w:val="clear" w:color="auto" w:fill="auto"/>
          </w:tcPr>
          <w:p w14:paraId="70698DE2" w14:textId="77777777" w:rsidR="00091845" w:rsidRPr="003C0CD7" w:rsidRDefault="00091845" w:rsidP="00091845">
            <w:pPr>
              <w:jc w:val="left"/>
              <w:rPr>
                <w:b/>
                <w:bCs/>
                <w:color w:val="0D0D0D" w:themeColor="text1" w:themeTint="F2"/>
                <w:szCs w:val="24"/>
                <w:lang w:val="en-IE"/>
              </w:rPr>
            </w:pPr>
          </w:p>
        </w:tc>
        <w:tc>
          <w:tcPr>
            <w:tcW w:w="2915" w:type="dxa"/>
            <w:tcBorders>
              <w:top w:val="single" w:sz="4" w:space="0" w:color="auto"/>
              <w:left w:val="single" w:sz="4" w:space="0" w:color="auto"/>
              <w:bottom w:val="single" w:sz="4" w:space="0" w:color="FFFFFF" w:themeColor="background1"/>
              <w:right w:val="single" w:sz="4" w:space="0" w:color="auto"/>
            </w:tcBorders>
            <w:shd w:val="clear" w:color="auto" w:fill="auto"/>
          </w:tcPr>
          <w:p w14:paraId="1C751D4D" w14:textId="77777777" w:rsidR="00091845" w:rsidRPr="0082062A" w:rsidRDefault="00091845" w:rsidP="00091845">
            <w:pPr>
              <w:pStyle w:val="Text1"/>
              <w:spacing w:before="60" w:after="60"/>
              <w:ind w:left="0" w:right="-25"/>
              <w:jc w:val="left"/>
              <w:rPr>
                <w:color w:val="0D0D0D" w:themeColor="text1" w:themeTint="F2"/>
                <w:lang w:val="en-IE"/>
              </w:rPr>
            </w:pPr>
            <w:r w:rsidRPr="0082062A">
              <w:rPr>
                <w:color w:val="0D0D0D" w:themeColor="text1" w:themeTint="F2"/>
                <w:lang w:val="en-IE"/>
              </w:rPr>
              <w:t>Tags</w:t>
            </w:r>
            <w:r>
              <w:rPr>
                <w:rStyle w:val="Refdenotaalpie"/>
                <w:color w:val="0D0D0D" w:themeColor="text1" w:themeTint="F2"/>
              </w:rPr>
              <w:footnoteReference w:id="10"/>
            </w:r>
            <w:r>
              <w:rPr>
                <w:color w:val="0D0D0D" w:themeColor="text1" w:themeTint="F2"/>
                <w:lang w:val="en-IE"/>
              </w:rPr>
              <w:t>:</w:t>
            </w:r>
          </w:p>
        </w:tc>
        <w:tc>
          <w:tcPr>
            <w:tcW w:w="2693"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auto"/>
          </w:tcPr>
          <w:p w14:paraId="53F1D2BC" w14:textId="77777777" w:rsidR="00091845" w:rsidRPr="00DA4A97" w:rsidRDefault="00091845" w:rsidP="0082062A">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tc>
        <w:tc>
          <w:tcPr>
            <w:tcW w:w="1560" w:type="dxa"/>
            <w:tcBorders>
              <w:top w:val="single" w:sz="4" w:space="0" w:color="auto"/>
              <w:left w:val="single" w:sz="4" w:space="0" w:color="FFFFFF" w:themeColor="background1"/>
              <w:bottom w:val="single" w:sz="4" w:space="0" w:color="FFFFFF" w:themeColor="background1"/>
              <w:right w:val="single" w:sz="4" w:space="0" w:color="auto"/>
            </w:tcBorders>
            <w:shd w:val="clear" w:color="auto" w:fill="auto"/>
          </w:tcPr>
          <w:p w14:paraId="7F2E663C" w14:textId="77777777" w:rsidR="00091845" w:rsidRPr="00DA4A97" w:rsidRDefault="00091845" w:rsidP="0082062A">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tc>
      </w:tr>
      <w:tr w:rsidR="00DA4A97" w:rsidRPr="008704EA" w14:paraId="1A317078" w14:textId="77777777" w:rsidTr="009E322B">
        <w:trPr>
          <w:trHeight w:val="40"/>
        </w:trPr>
        <w:tc>
          <w:tcPr>
            <w:tcW w:w="2330" w:type="dxa"/>
            <w:vMerge/>
            <w:tcBorders>
              <w:left w:val="single" w:sz="4" w:space="0" w:color="auto"/>
              <w:right w:val="single" w:sz="4" w:space="0" w:color="auto"/>
            </w:tcBorders>
            <w:shd w:val="clear" w:color="auto" w:fill="auto"/>
          </w:tcPr>
          <w:p w14:paraId="6E9C552C" w14:textId="77777777" w:rsidR="00DA4A97" w:rsidRPr="003C0CD7" w:rsidRDefault="00DA4A97" w:rsidP="00091845">
            <w:pPr>
              <w:jc w:val="left"/>
              <w:rPr>
                <w:b/>
                <w:bCs/>
                <w:color w:val="0D0D0D" w:themeColor="text1" w:themeTint="F2"/>
                <w:szCs w:val="24"/>
                <w:lang w:val="en-IE"/>
              </w:rPr>
            </w:pPr>
          </w:p>
        </w:tc>
        <w:tc>
          <w:tcPr>
            <w:tcW w:w="29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E7C6FF8" w14:textId="77777777" w:rsidR="00DA4A97" w:rsidRPr="00DA4A97" w:rsidRDefault="00DA4A97" w:rsidP="00091845">
            <w:pPr>
              <w:pStyle w:val="Text1"/>
              <w:spacing w:before="60" w:after="60"/>
              <w:ind w:left="0" w:right="-25"/>
              <w:jc w:val="left"/>
              <w:rPr>
                <w:color w:val="0D0D0D" w:themeColor="text1" w:themeTint="F2"/>
                <w:lang w:val="en-IE"/>
              </w:rPr>
            </w:pPr>
            <w:r>
              <w:rPr>
                <w:color w:val="0D0D0D" w:themeColor="text1" w:themeTint="F2"/>
              </w:rPr>
              <w:t>T</w:t>
            </w:r>
            <w:r w:rsidRPr="00091845">
              <w:rPr>
                <w:color w:val="0D0D0D" w:themeColor="text1" w:themeTint="F2"/>
              </w:rPr>
              <w:t>ransport</w:t>
            </w:r>
          </w:p>
        </w:tc>
        <w:tc>
          <w:tcPr>
            <w:tcW w:w="26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6E06805" w14:textId="490C46A0" w:rsidR="00DA4A97" w:rsidRDefault="00E43421" w:rsidP="00091845">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722717393"/>
                <w14:checkbox>
                  <w14:checked w14:val="0"/>
                  <w14:checkedState w14:val="2612" w14:font="MS Gothic"/>
                  <w14:uncheckedState w14:val="2610" w14:font="MS Gothic"/>
                </w14:checkbox>
              </w:sdtPr>
              <w:sdtContent>
                <w:r w:rsidR="00DA4A97" w:rsidRPr="003C0CD7">
                  <w:rPr>
                    <w:rFonts w:ascii="MS Gothic" w:eastAsia="MS Gothic" w:hAnsi="MS Gothic" w:cs="Segoe UI Symbol"/>
                    <w:color w:val="0D0D0D" w:themeColor="text1" w:themeTint="F2"/>
                    <w:lang w:val="en-IE"/>
                  </w:rPr>
                  <w:t>☐</w:t>
                </w:r>
              </w:sdtContent>
            </w:sdt>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6A034315" w14:textId="2C0EF7B3" w:rsidR="00DA4A97" w:rsidRDefault="00E43421" w:rsidP="00091845">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38359991"/>
                <w14:checkbox>
                  <w14:checked w14:val="1"/>
                  <w14:checkedState w14:val="2612" w14:font="MS Gothic"/>
                  <w14:uncheckedState w14:val="2610" w14:font="MS Gothic"/>
                </w14:checkbox>
              </w:sdtPr>
              <w:sdtContent>
                <w:r w:rsidR="009E322B">
                  <w:rPr>
                    <w:rFonts w:ascii="MS Gothic" w:eastAsia="MS Gothic" w:hAnsi="MS Gothic" w:cs="Segoe UI Symbol" w:hint="eastAsia"/>
                    <w:color w:val="0D0D0D" w:themeColor="text1" w:themeTint="F2"/>
                    <w:lang w:val="en-IE"/>
                  </w:rPr>
                  <w:t>☒</w:t>
                </w:r>
              </w:sdtContent>
            </w:sdt>
          </w:p>
        </w:tc>
      </w:tr>
      <w:tr w:rsidR="00DA4A97" w:rsidRPr="008704EA" w14:paraId="38B5D2A2" w14:textId="77777777" w:rsidTr="009E322B">
        <w:trPr>
          <w:trHeight w:val="40"/>
        </w:trPr>
        <w:tc>
          <w:tcPr>
            <w:tcW w:w="2330" w:type="dxa"/>
            <w:vMerge/>
            <w:tcBorders>
              <w:left w:val="single" w:sz="4" w:space="0" w:color="auto"/>
              <w:right w:val="single" w:sz="4" w:space="0" w:color="auto"/>
            </w:tcBorders>
            <w:shd w:val="clear" w:color="auto" w:fill="auto"/>
          </w:tcPr>
          <w:p w14:paraId="75B47E63" w14:textId="77777777" w:rsidR="00DA4A97" w:rsidRPr="003C0CD7" w:rsidRDefault="00DA4A97" w:rsidP="00DA4A97">
            <w:pPr>
              <w:jc w:val="left"/>
              <w:rPr>
                <w:b/>
                <w:bCs/>
                <w:color w:val="0D0D0D" w:themeColor="text1" w:themeTint="F2"/>
                <w:szCs w:val="24"/>
                <w:lang w:val="en-IE"/>
              </w:rPr>
            </w:pPr>
          </w:p>
        </w:tc>
        <w:tc>
          <w:tcPr>
            <w:tcW w:w="29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28619128" w14:textId="77777777" w:rsidR="00DA4A97" w:rsidRPr="00DA4A97" w:rsidRDefault="00DA4A97" w:rsidP="00DA4A97">
            <w:pPr>
              <w:pStyle w:val="Text1"/>
              <w:spacing w:before="60" w:after="60"/>
              <w:ind w:left="0" w:right="-25"/>
              <w:jc w:val="left"/>
              <w:rPr>
                <w:color w:val="0D0D0D" w:themeColor="text1" w:themeTint="F2"/>
                <w:lang w:val="en-IE"/>
              </w:rPr>
            </w:pPr>
            <w:r>
              <w:rPr>
                <w:color w:val="0D0D0D" w:themeColor="text1" w:themeTint="F2"/>
              </w:rPr>
              <w:t>Energy</w:t>
            </w:r>
          </w:p>
        </w:tc>
        <w:tc>
          <w:tcPr>
            <w:tcW w:w="26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20A624E" w14:textId="04FFFC22"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40875271"/>
                <w14:checkbox>
                  <w14:checked w14:val="0"/>
                  <w14:checkedState w14:val="2612" w14:font="MS Gothic"/>
                  <w14:uncheckedState w14:val="2610" w14:font="MS Gothic"/>
                </w14:checkbox>
              </w:sdtPr>
              <w:sdtContent>
                <w:r w:rsidR="00DA4A97" w:rsidRPr="003C0CD7">
                  <w:rPr>
                    <w:rFonts w:ascii="MS Gothic" w:eastAsia="MS Gothic" w:hAnsi="MS Gothic" w:cs="Segoe UI Symbol"/>
                    <w:color w:val="0D0D0D" w:themeColor="text1" w:themeTint="F2"/>
                    <w:lang w:val="en-IE"/>
                  </w:rPr>
                  <w:t>☐</w:t>
                </w:r>
              </w:sdtContent>
            </w:sdt>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36A1BB6" w14:textId="1A15F8FC"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2075731545"/>
                <w14:checkbox>
                  <w14:checked w14:val="1"/>
                  <w14:checkedState w14:val="2612" w14:font="MS Gothic"/>
                  <w14:uncheckedState w14:val="2610" w14:font="MS Gothic"/>
                </w14:checkbox>
              </w:sdtPr>
              <w:sdtContent>
                <w:r w:rsidR="009E322B">
                  <w:rPr>
                    <w:rFonts w:ascii="MS Gothic" w:eastAsia="MS Gothic" w:hAnsi="MS Gothic" w:cs="Segoe UI Symbol" w:hint="eastAsia"/>
                    <w:color w:val="0D0D0D" w:themeColor="text1" w:themeTint="F2"/>
                    <w:lang w:val="en-IE"/>
                  </w:rPr>
                  <w:t>☒</w:t>
                </w:r>
              </w:sdtContent>
            </w:sdt>
          </w:p>
        </w:tc>
      </w:tr>
      <w:tr w:rsidR="00DA4A97" w:rsidRPr="008704EA" w14:paraId="31D30EEE" w14:textId="77777777" w:rsidTr="009E322B">
        <w:trPr>
          <w:trHeight w:val="40"/>
        </w:trPr>
        <w:tc>
          <w:tcPr>
            <w:tcW w:w="2330" w:type="dxa"/>
            <w:vMerge/>
            <w:tcBorders>
              <w:left w:val="single" w:sz="4" w:space="0" w:color="auto"/>
              <w:right w:val="single" w:sz="4" w:space="0" w:color="auto"/>
            </w:tcBorders>
            <w:shd w:val="clear" w:color="auto" w:fill="auto"/>
          </w:tcPr>
          <w:p w14:paraId="325E6F90" w14:textId="77777777" w:rsidR="00DA4A97" w:rsidRPr="003C0CD7" w:rsidRDefault="00DA4A97" w:rsidP="00DA4A97">
            <w:pPr>
              <w:jc w:val="left"/>
              <w:rPr>
                <w:b/>
                <w:bCs/>
                <w:color w:val="0D0D0D" w:themeColor="text1" w:themeTint="F2"/>
                <w:szCs w:val="24"/>
                <w:lang w:val="en-IE"/>
              </w:rPr>
            </w:pPr>
          </w:p>
        </w:tc>
        <w:tc>
          <w:tcPr>
            <w:tcW w:w="29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6BEAB190" w14:textId="77777777" w:rsidR="00DA4A97" w:rsidRPr="00DA4A97" w:rsidRDefault="00DA4A97" w:rsidP="00DA4A97">
            <w:pPr>
              <w:pStyle w:val="Text1"/>
              <w:spacing w:before="60" w:after="60"/>
              <w:ind w:left="0" w:right="-25"/>
              <w:jc w:val="left"/>
              <w:rPr>
                <w:color w:val="0D0D0D" w:themeColor="text1" w:themeTint="F2"/>
                <w:lang w:val="en-IE"/>
              </w:rPr>
            </w:pPr>
            <w:r>
              <w:rPr>
                <w:color w:val="0D0D0D" w:themeColor="text1" w:themeTint="F2"/>
              </w:rPr>
              <w:t>Environment and climate resilience</w:t>
            </w:r>
          </w:p>
        </w:tc>
        <w:tc>
          <w:tcPr>
            <w:tcW w:w="26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25AAE1BE" w14:textId="26A59104"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95616155"/>
                <w14:checkbox>
                  <w14:checked w14:val="0"/>
                  <w14:checkedState w14:val="2612" w14:font="MS Gothic"/>
                  <w14:uncheckedState w14:val="2610" w14:font="MS Gothic"/>
                </w14:checkbox>
              </w:sdtPr>
              <w:sdtContent>
                <w:r w:rsidR="00DA4A97">
                  <w:rPr>
                    <w:rFonts w:ascii="MS Gothic" w:eastAsia="MS Gothic" w:hAnsi="MS Gothic" w:cs="Segoe UI Symbol" w:hint="eastAsia"/>
                    <w:color w:val="0D0D0D" w:themeColor="text1" w:themeTint="F2"/>
                    <w:lang w:val="en-IE"/>
                  </w:rPr>
                  <w:t>☐</w:t>
                </w:r>
              </w:sdtContent>
            </w:sdt>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7A2F663" w14:textId="2E9692D6"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031331279"/>
                <w14:checkbox>
                  <w14:checked w14:val="1"/>
                  <w14:checkedState w14:val="2612" w14:font="MS Gothic"/>
                  <w14:uncheckedState w14:val="2610" w14:font="MS Gothic"/>
                </w14:checkbox>
              </w:sdtPr>
              <w:sdtContent>
                <w:r w:rsidR="009E322B">
                  <w:rPr>
                    <w:rFonts w:ascii="MS Gothic" w:eastAsia="MS Gothic" w:hAnsi="MS Gothic" w:cs="Segoe UI Symbol" w:hint="eastAsia"/>
                    <w:color w:val="0D0D0D" w:themeColor="text1" w:themeTint="F2"/>
                    <w:lang w:val="en-IE"/>
                  </w:rPr>
                  <w:t>☒</w:t>
                </w:r>
              </w:sdtContent>
            </w:sdt>
          </w:p>
        </w:tc>
      </w:tr>
      <w:tr w:rsidR="00DA4A97" w:rsidRPr="008704EA" w14:paraId="69E4F076" w14:textId="77777777" w:rsidTr="009E322B">
        <w:trPr>
          <w:trHeight w:val="40"/>
        </w:trPr>
        <w:tc>
          <w:tcPr>
            <w:tcW w:w="2330" w:type="dxa"/>
            <w:vMerge/>
            <w:tcBorders>
              <w:left w:val="single" w:sz="4" w:space="0" w:color="auto"/>
              <w:right w:val="single" w:sz="4" w:space="0" w:color="auto"/>
            </w:tcBorders>
            <w:shd w:val="clear" w:color="auto" w:fill="auto"/>
          </w:tcPr>
          <w:p w14:paraId="08F08792" w14:textId="77777777" w:rsidR="00DA4A97" w:rsidRPr="003C0CD7" w:rsidRDefault="00DA4A97" w:rsidP="00DA4A97">
            <w:pPr>
              <w:jc w:val="left"/>
              <w:rPr>
                <w:b/>
                <w:bCs/>
                <w:color w:val="0D0D0D" w:themeColor="text1" w:themeTint="F2"/>
                <w:szCs w:val="24"/>
                <w:lang w:val="en-IE"/>
              </w:rPr>
            </w:pPr>
          </w:p>
        </w:tc>
        <w:tc>
          <w:tcPr>
            <w:tcW w:w="29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E8DADFB" w14:textId="77777777" w:rsidR="00DA4A97" w:rsidRPr="00DA4A97" w:rsidRDefault="00DA4A97" w:rsidP="00DA4A97">
            <w:pPr>
              <w:pStyle w:val="Text1"/>
              <w:spacing w:before="60" w:after="60"/>
              <w:ind w:left="0" w:right="-25"/>
              <w:jc w:val="left"/>
              <w:rPr>
                <w:color w:val="0D0D0D" w:themeColor="text1" w:themeTint="F2"/>
                <w:lang w:val="en-IE"/>
              </w:rPr>
            </w:pPr>
            <w:r w:rsidRPr="00091845">
              <w:rPr>
                <w:color w:val="0D0D0D" w:themeColor="text1" w:themeTint="F2"/>
              </w:rPr>
              <w:t>Digital</w:t>
            </w:r>
          </w:p>
        </w:tc>
        <w:tc>
          <w:tcPr>
            <w:tcW w:w="26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6C5823AA" w14:textId="06014768"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382372989"/>
                <w14:checkbox>
                  <w14:checked w14:val="0"/>
                  <w14:checkedState w14:val="2612" w14:font="MS Gothic"/>
                  <w14:uncheckedState w14:val="2610" w14:font="MS Gothic"/>
                </w14:checkbox>
              </w:sdtPr>
              <w:sdtContent>
                <w:r w:rsidR="00DA4A97" w:rsidRPr="003C0CD7">
                  <w:rPr>
                    <w:rFonts w:ascii="MS Gothic" w:eastAsia="MS Gothic" w:hAnsi="MS Gothic" w:cs="Segoe UI Symbol"/>
                    <w:color w:val="0D0D0D" w:themeColor="text1" w:themeTint="F2"/>
                    <w:lang w:val="en-IE"/>
                  </w:rPr>
                  <w:t>☐</w:t>
                </w:r>
              </w:sdtContent>
            </w:sdt>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0C5D146A" w14:textId="0C03CDFA"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254128697"/>
                <w14:checkbox>
                  <w14:checked w14:val="1"/>
                  <w14:checkedState w14:val="2612" w14:font="MS Gothic"/>
                  <w14:uncheckedState w14:val="2610" w14:font="MS Gothic"/>
                </w14:checkbox>
              </w:sdtPr>
              <w:sdtContent>
                <w:r w:rsidR="009E322B">
                  <w:rPr>
                    <w:rFonts w:ascii="MS Gothic" w:eastAsia="MS Gothic" w:hAnsi="MS Gothic" w:cs="Segoe UI Symbol" w:hint="eastAsia"/>
                    <w:color w:val="0D0D0D" w:themeColor="text1" w:themeTint="F2"/>
                    <w:lang w:val="en-IE"/>
                  </w:rPr>
                  <w:t>☒</w:t>
                </w:r>
              </w:sdtContent>
            </w:sdt>
          </w:p>
        </w:tc>
      </w:tr>
      <w:tr w:rsidR="00DA4A97" w:rsidRPr="008704EA" w14:paraId="736D3B3B" w14:textId="77777777" w:rsidTr="009E322B">
        <w:trPr>
          <w:trHeight w:val="40"/>
        </w:trPr>
        <w:tc>
          <w:tcPr>
            <w:tcW w:w="2330" w:type="dxa"/>
            <w:vMerge/>
            <w:tcBorders>
              <w:left w:val="single" w:sz="4" w:space="0" w:color="auto"/>
              <w:right w:val="single" w:sz="4" w:space="0" w:color="auto"/>
            </w:tcBorders>
            <w:shd w:val="clear" w:color="auto" w:fill="auto"/>
          </w:tcPr>
          <w:p w14:paraId="0EE9C36D" w14:textId="77777777" w:rsidR="00DA4A97" w:rsidRPr="003C0CD7" w:rsidRDefault="00DA4A97" w:rsidP="00DA4A97">
            <w:pPr>
              <w:jc w:val="left"/>
              <w:rPr>
                <w:b/>
                <w:bCs/>
                <w:color w:val="0D0D0D" w:themeColor="text1" w:themeTint="F2"/>
                <w:szCs w:val="24"/>
                <w:lang w:val="en-IE"/>
              </w:rPr>
            </w:pPr>
          </w:p>
        </w:tc>
        <w:tc>
          <w:tcPr>
            <w:tcW w:w="29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8FAD6EF"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Economic development (incl. private sector, trade and macroeconomic support)</w:t>
            </w:r>
          </w:p>
        </w:tc>
        <w:tc>
          <w:tcPr>
            <w:tcW w:w="26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A145A5B" w14:textId="7A5951B8"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779062486"/>
                <w14:checkbox>
                  <w14:checked w14:val="0"/>
                  <w14:checkedState w14:val="2612" w14:font="MS Gothic"/>
                  <w14:uncheckedState w14:val="2610" w14:font="MS Gothic"/>
                </w14:checkbox>
              </w:sdtPr>
              <w:sdtContent>
                <w:r w:rsidR="00DA4A97" w:rsidRPr="003C0CD7">
                  <w:rPr>
                    <w:rFonts w:ascii="MS Gothic" w:eastAsia="MS Gothic" w:hAnsi="MS Gothic" w:cs="Segoe UI Symbol"/>
                    <w:color w:val="0D0D0D" w:themeColor="text1" w:themeTint="F2"/>
                    <w:lang w:val="en-IE"/>
                  </w:rPr>
                  <w:t>☐</w:t>
                </w:r>
              </w:sdtContent>
            </w:sdt>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49DB0C21" w14:textId="4B5EF864"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49108532"/>
                <w14:checkbox>
                  <w14:checked w14:val="1"/>
                  <w14:checkedState w14:val="2612" w14:font="MS Gothic"/>
                  <w14:uncheckedState w14:val="2610" w14:font="MS Gothic"/>
                </w14:checkbox>
              </w:sdtPr>
              <w:sdtContent>
                <w:r w:rsidR="009E322B">
                  <w:rPr>
                    <w:rFonts w:ascii="MS Gothic" w:eastAsia="MS Gothic" w:hAnsi="MS Gothic" w:cs="Segoe UI Symbol" w:hint="eastAsia"/>
                    <w:color w:val="0D0D0D" w:themeColor="text1" w:themeTint="F2"/>
                    <w:lang w:val="en-IE"/>
                  </w:rPr>
                  <w:t>☒</w:t>
                </w:r>
              </w:sdtContent>
            </w:sdt>
          </w:p>
        </w:tc>
      </w:tr>
      <w:tr w:rsidR="00DA4A97" w:rsidRPr="008704EA" w14:paraId="0B838552" w14:textId="77777777" w:rsidTr="009E322B">
        <w:trPr>
          <w:trHeight w:val="40"/>
        </w:trPr>
        <w:tc>
          <w:tcPr>
            <w:tcW w:w="2330" w:type="dxa"/>
            <w:vMerge/>
            <w:tcBorders>
              <w:left w:val="single" w:sz="4" w:space="0" w:color="auto"/>
              <w:right w:val="single" w:sz="4" w:space="0" w:color="auto"/>
            </w:tcBorders>
            <w:shd w:val="clear" w:color="auto" w:fill="auto"/>
          </w:tcPr>
          <w:p w14:paraId="40864031" w14:textId="77777777" w:rsidR="00DA4A97" w:rsidRPr="003C0CD7" w:rsidRDefault="00DA4A97" w:rsidP="00DA4A97">
            <w:pPr>
              <w:jc w:val="left"/>
              <w:rPr>
                <w:b/>
                <w:bCs/>
                <w:color w:val="0D0D0D" w:themeColor="text1" w:themeTint="F2"/>
                <w:szCs w:val="24"/>
                <w:lang w:val="en-IE"/>
              </w:rPr>
            </w:pPr>
          </w:p>
        </w:tc>
        <w:tc>
          <w:tcPr>
            <w:tcW w:w="29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9597815"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Human Development (incl. human capital and youth)</w:t>
            </w:r>
          </w:p>
        </w:tc>
        <w:tc>
          <w:tcPr>
            <w:tcW w:w="26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7860A720" w14:textId="50728766"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208183453"/>
                <w14:checkbox>
                  <w14:checked w14:val="1"/>
                  <w14:checkedState w14:val="2612" w14:font="MS Gothic"/>
                  <w14:uncheckedState w14:val="2610" w14:font="MS Gothic"/>
                </w14:checkbox>
              </w:sdtPr>
              <w:sdtContent>
                <w:r w:rsidR="009E322B">
                  <w:rPr>
                    <w:rFonts w:ascii="MS Gothic" w:eastAsia="MS Gothic" w:hAnsi="MS Gothic" w:cs="Segoe UI Symbol" w:hint="eastAsia"/>
                    <w:color w:val="0D0D0D" w:themeColor="text1" w:themeTint="F2"/>
                    <w:lang w:val="en-IE"/>
                  </w:rPr>
                  <w:t>☒</w:t>
                </w:r>
              </w:sdtContent>
            </w:sdt>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EF86D3D" w14:textId="79A1F2B9"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16991222"/>
                <w14:checkbox>
                  <w14:checked w14:val="0"/>
                  <w14:checkedState w14:val="2612" w14:font="MS Gothic"/>
                  <w14:uncheckedState w14:val="2610" w14:font="MS Gothic"/>
                </w14:checkbox>
              </w:sdt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0CCD1217" w14:textId="77777777" w:rsidTr="009E322B">
        <w:trPr>
          <w:trHeight w:val="40"/>
        </w:trPr>
        <w:tc>
          <w:tcPr>
            <w:tcW w:w="2330" w:type="dxa"/>
            <w:vMerge/>
            <w:tcBorders>
              <w:left w:val="single" w:sz="4" w:space="0" w:color="auto"/>
              <w:right w:val="single" w:sz="4" w:space="0" w:color="auto"/>
            </w:tcBorders>
            <w:shd w:val="clear" w:color="auto" w:fill="auto"/>
          </w:tcPr>
          <w:p w14:paraId="4F9E4B31" w14:textId="77777777" w:rsidR="00DA4A97" w:rsidRPr="003C0CD7" w:rsidRDefault="00DA4A97" w:rsidP="00DA4A97">
            <w:pPr>
              <w:jc w:val="left"/>
              <w:rPr>
                <w:b/>
                <w:bCs/>
                <w:color w:val="0D0D0D" w:themeColor="text1" w:themeTint="F2"/>
                <w:szCs w:val="24"/>
                <w:lang w:val="en-IE"/>
              </w:rPr>
            </w:pPr>
          </w:p>
        </w:tc>
        <w:tc>
          <w:tcPr>
            <w:tcW w:w="29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6B77DAE"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Health resilience</w:t>
            </w:r>
          </w:p>
        </w:tc>
        <w:tc>
          <w:tcPr>
            <w:tcW w:w="26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85D3EBF" w14:textId="08733876"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69253138"/>
                <w14:checkbox>
                  <w14:checked w14:val="0"/>
                  <w14:checkedState w14:val="2612" w14:font="MS Gothic"/>
                  <w14:uncheckedState w14:val="2610" w14:font="MS Gothic"/>
                </w14:checkbox>
              </w:sdtPr>
              <w:sdtContent>
                <w:r w:rsidR="00DA4A97" w:rsidRPr="003C0CD7">
                  <w:rPr>
                    <w:rFonts w:ascii="MS Gothic" w:eastAsia="MS Gothic" w:hAnsi="MS Gothic" w:cs="Segoe UI Symbol"/>
                    <w:color w:val="0D0D0D" w:themeColor="text1" w:themeTint="F2"/>
                    <w:lang w:val="en-IE"/>
                  </w:rPr>
                  <w:t>☐</w:t>
                </w:r>
              </w:sdtContent>
            </w:sdt>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C3D0A9E" w14:textId="29B8310B"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83792682"/>
                <w14:checkbox>
                  <w14:checked w14:val="1"/>
                  <w14:checkedState w14:val="2612" w14:font="MS Gothic"/>
                  <w14:uncheckedState w14:val="2610" w14:font="MS Gothic"/>
                </w14:checkbox>
              </w:sdtPr>
              <w:sdtContent>
                <w:r w:rsidR="009E322B">
                  <w:rPr>
                    <w:rFonts w:ascii="MS Gothic" w:eastAsia="MS Gothic" w:hAnsi="MS Gothic" w:cs="Segoe UI Symbol" w:hint="eastAsia"/>
                    <w:color w:val="0D0D0D" w:themeColor="text1" w:themeTint="F2"/>
                    <w:lang w:val="en-IE"/>
                  </w:rPr>
                  <w:t>☒</w:t>
                </w:r>
              </w:sdtContent>
            </w:sdt>
          </w:p>
        </w:tc>
      </w:tr>
      <w:tr w:rsidR="00DA4A97" w:rsidRPr="008704EA" w14:paraId="029B2C64" w14:textId="77777777" w:rsidTr="009E322B">
        <w:trPr>
          <w:trHeight w:val="40"/>
        </w:trPr>
        <w:tc>
          <w:tcPr>
            <w:tcW w:w="2330" w:type="dxa"/>
            <w:vMerge/>
            <w:tcBorders>
              <w:left w:val="single" w:sz="4" w:space="0" w:color="auto"/>
              <w:right w:val="single" w:sz="4" w:space="0" w:color="auto"/>
            </w:tcBorders>
            <w:shd w:val="clear" w:color="auto" w:fill="auto"/>
          </w:tcPr>
          <w:p w14:paraId="323BA2CB" w14:textId="77777777" w:rsidR="00DA4A97" w:rsidRPr="003C0CD7" w:rsidRDefault="00DA4A97" w:rsidP="00DA4A97">
            <w:pPr>
              <w:jc w:val="left"/>
              <w:rPr>
                <w:b/>
                <w:bCs/>
                <w:color w:val="0D0D0D" w:themeColor="text1" w:themeTint="F2"/>
                <w:szCs w:val="24"/>
                <w:lang w:val="en-IE"/>
              </w:rPr>
            </w:pPr>
          </w:p>
        </w:tc>
        <w:tc>
          <w:tcPr>
            <w:tcW w:w="29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4E1268E"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Migration and mobility</w:t>
            </w:r>
          </w:p>
        </w:tc>
        <w:tc>
          <w:tcPr>
            <w:tcW w:w="2693" w:type="dxa"/>
            <w:gridSpan w:val="2"/>
            <w:tcBorders>
              <w:top w:val="single" w:sz="4" w:space="0" w:color="FFFFFF" w:themeColor="background1"/>
              <w:left w:val="single" w:sz="4" w:space="0" w:color="auto"/>
              <w:right w:val="single" w:sz="4" w:space="0" w:color="FFFFFF" w:themeColor="background1"/>
            </w:tcBorders>
            <w:shd w:val="clear" w:color="auto" w:fill="auto"/>
          </w:tcPr>
          <w:p w14:paraId="3C90E323" w14:textId="66F255E9"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925776598"/>
                <w14:checkbox>
                  <w14:checked w14:val="0"/>
                  <w14:checkedState w14:val="2612" w14:font="MS Gothic"/>
                  <w14:uncheckedState w14:val="2610" w14:font="MS Gothic"/>
                </w14:checkbox>
              </w:sdtPr>
              <w:sdtContent>
                <w:r w:rsidR="00C32C5C">
                  <w:rPr>
                    <w:rFonts w:ascii="MS Gothic" w:eastAsia="MS Gothic" w:hAnsi="MS Gothic" w:cs="Segoe UI Symbol" w:hint="eastAsia"/>
                    <w:color w:val="0D0D0D" w:themeColor="text1" w:themeTint="F2"/>
                    <w:lang w:val="en-IE"/>
                  </w:rPr>
                  <w:t>☐</w:t>
                </w:r>
              </w:sdtContent>
            </w:sdt>
          </w:p>
        </w:tc>
        <w:tc>
          <w:tcPr>
            <w:tcW w:w="1560" w:type="dxa"/>
            <w:tcBorders>
              <w:top w:val="single" w:sz="4" w:space="0" w:color="FFFFFF" w:themeColor="background1"/>
              <w:left w:val="single" w:sz="4" w:space="0" w:color="FFFFFF" w:themeColor="background1"/>
              <w:right w:val="single" w:sz="4" w:space="0" w:color="auto"/>
            </w:tcBorders>
            <w:shd w:val="clear" w:color="auto" w:fill="auto"/>
          </w:tcPr>
          <w:p w14:paraId="1D668F7B" w14:textId="5A66E542"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272081147"/>
                <w14:checkbox>
                  <w14:checked w14:val="1"/>
                  <w14:checkedState w14:val="2612" w14:font="MS Gothic"/>
                  <w14:uncheckedState w14:val="2610" w14:font="MS Gothic"/>
                </w14:checkbox>
              </w:sdtPr>
              <w:sdtContent>
                <w:r w:rsidR="009E322B">
                  <w:rPr>
                    <w:rFonts w:ascii="MS Gothic" w:eastAsia="MS Gothic" w:hAnsi="MS Gothic" w:cs="Segoe UI Symbol" w:hint="eastAsia"/>
                    <w:color w:val="0D0D0D" w:themeColor="text1" w:themeTint="F2"/>
                    <w:lang w:val="en-IE"/>
                  </w:rPr>
                  <w:t>☒</w:t>
                </w:r>
              </w:sdtContent>
            </w:sdt>
          </w:p>
        </w:tc>
      </w:tr>
      <w:tr w:rsidR="00DA4A97" w:rsidRPr="008704EA" w14:paraId="5F9CB707" w14:textId="77777777" w:rsidTr="009E322B">
        <w:trPr>
          <w:trHeight w:val="40"/>
        </w:trPr>
        <w:tc>
          <w:tcPr>
            <w:tcW w:w="2330" w:type="dxa"/>
            <w:vMerge/>
            <w:tcBorders>
              <w:left w:val="single" w:sz="4" w:space="0" w:color="auto"/>
              <w:right w:val="single" w:sz="4" w:space="0" w:color="auto"/>
            </w:tcBorders>
            <w:shd w:val="clear" w:color="auto" w:fill="auto"/>
          </w:tcPr>
          <w:p w14:paraId="1602AF7A" w14:textId="77777777" w:rsidR="00DA4A97" w:rsidRPr="003C0CD7" w:rsidRDefault="00DA4A97" w:rsidP="00DA4A97">
            <w:pPr>
              <w:jc w:val="left"/>
              <w:rPr>
                <w:b/>
                <w:bCs/>
                <w:color w:val="0D0D0D" w:themeColor="text1" w:themeTint="F2"/>
                <w:szCs w:val="24"/>
                <w:lang w:val="en-IE"/>
              </w:rPr>
            </w:pPr>
          </w:p>
        </w:tc>
        <w:tc>
          <w:tcPr>
            <w:tcW w:w="29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012A92D"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lang w:val="en-IE"/>
              </w:rPr>
              <w:t>Agriculture, food security and rural development</w:t>
            </w:r>
          </w:p>
        </w:tc>
        <w:tc>
          <w:tcPr>
            <w:tcW w:w="2693" w:type="dxa"/>
            <w:gridSpan w:val="2"/>
            <w:tcBorders>
              <w:left w:val="single" w:sz="4" w:space="0" w:color="auto"/>
              <w:bottom w:val="single" w:sz="4" w:space="0" w:color="FFFFFF" w:themeColor="background1"/>
              <w:right w:val="single" w:sz="4" w:space="0" w:color="FFFFFF" w:themeColor="background1"/>
            </w:tcBorders>
            <w:shd w:val="clear" w:color="auto" w:fill="auto"/>
          </w:tcPr>
          <w:p w14:paraId="66F0E342" w14:textId="1184199C"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84305851"/>
                <w14:checkbox>
                  <w14:checked w14:val="0"/>
                  <w14:checkedState w14:val="2612" w14:font="MS Gothic"/>
                  <w14:uncheckedState w14:val="2610" w14:font="MS Gothic"/>
                </w14:checkbox>
              </w:sdtPr>
              <w:sdtContent>
                <w:r w:rsidR="00DA4A97" w:rsidRPr="003C0CD7">
                  <w:rPr>
                    <w:rFonts w:ascii="MS Gothic" w:eastAsia="MS Gothic" w:hAnsi="MS Gothic" w:cs="Segoe UI Symbol"/>
                    <w:color w:val="0D0D0D" w:themeColor="text1" w:themeTint="F2"/>
                    <w:lang w:val="en-IE"/>
                  </w:rPr>
                  <w:t>☐</w:t>
                </w:r>
              </w:sdtContent>
            </w:sdt>
          </w:p>
        </w:tc>
        <w:tc>
          <w:tcPr>
            <w:tcW w:w="1560" w:type="dxa"/>
            <w:tcBorders>
              <w:left w:val="single" w:sz="4" w:space="0" w:color="FFFFFF" w:themeColor="background1"/>
              <w:bottom w:val="single" w:sz="4" w:space="0" w:color="FFFFFF" w:themeColor="background1"/>
              <w:right w:val="single" w:sz="4" w:space="0" w:color="auto"/>
            </w:tcBorders>
            <w:shd w:val="clear" w:color="auto" w:fill="auto"/>
          </w:tcPr>
          <w:p w14:paraId="424B58DC" w14:textId="42E24231"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887530982"/>
                <w14:checkbox>
                  <w14:checked w14:val="1"/>
                  <w14:checkedState w14:val="2612" w14:font="MS Gothic"/>
                  <w14:uncheckedState w14:val="2610" w14:font="MS Gothic"/>
                </w14:checkbox>
              </w:sdtPr>
              <w:sdtContent>
                <w:r w:rsidR="009E322B">
                  <w:rPr>
                    <w:rFonts w:ascii="MS Gothic" w:eastAsia="MS Gothic" w:hAnsi="MS Gothic" w:cs="Segoe UI Symbol" w:hint="eastAsia"/>
                    <w:color w:val="0D0D0D" w:themeColor="text1" w:themeTint="F2"/>
                    <w:lang w:val="en-IE"/>
                  </w:rPr>
                  <w:t>☒</w:t>
                </w:r>
              </w:sdtContent>
            </w:sdt>
          </w:p>
        </w:tc>
      </w:tr>
      <w:tr w:rsidR="00DA4A97" w:rsidRPr="008704EA" w14:paraId="775A9BEB" w14:textId="77777777" w:rsidTr="009E322B">
        <w:trPr>
          <w:trHeight w:val="40"/>
        </w:trPr>
        <w:tc>
          <w:tcPr>
            <w:tcW w:w="2330" w:type="dxa"/>
            <w:vMerge/>
            <w:tcBorders>
              <w:left w:val="single" w:sz="4" w:space="0" w:color="auto"/>
              <w:right w:val="single" w:sz="4" w:space="0" w:color="auto"/>
            </w:tcBorders>
            <w:shd w:val="clear" w:color="auto" w:fill="auto"/>
          </w:tcPr>
          <w:p w14:paraId="1A266FD9" w14:textId="77777777" w:rsidR="00DA4A97" w:rsidRPr="003C0CD7" w:rsidRDefault="00DA4A97" w:rsidP="00DA4A97">
            <w:pPr>
              <w:jc w:val="left"/>
              <w:rPr>
                <w:b/>
                <w:bCs/>
                <w:color w:val="0D0D0D" w:themeColor="text1" w:themeTint="F2"/>
                <w:szCs w:val="24"/>
                <w:lang w:val="en-IE"/>
              </w:rPr>
            </w:pPr>
          </w:p>
        </w:tc>
        <w:tc>
          <w:tcPr>
            <w:tcW w:w="2915"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auto"/>
          </w:tcPr>
          <w:p w14:paraId="4F9D8550"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lang w:val="en-IE"/>
              </w:rPr>
              <w:t>Rule of law, governance and Public Administration reform</w:t>
            </w:r>
          </w:p>
        </w:tc>
        <w:tc>
          <w:tcPr>
            <w:tcW w:w="2693"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14:paraId="691031B7" w14:textId="5AD3E90A"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76315249"/>
                <w14:checkbox>
                  <w14:checked w14:val="1"/>
                  <w14:checkedState w14:val="2612" w14:font="MS Gothic"/>
                  <w14:uncheckedState w14:val="2610" w14:font="MS Gothic"/>
                </w14:checkbox>
              </w:sdtPr>
              <w:sdtContent>
                <w:r w:rsidR="00E95E87">
                  <w:rPr>
                    <w:rFonts w:ascii="MS Gothic" w:eastAsia="MS Gothic" w:hAnsi="MS Gothic" w:cs="Segoe UI Symbol" w:hint="eastAsia"/>
                    <w:color w:val="0D0D0D" w:themeColor="text1" w:themeTint="F2"/>
                    <w:lang w:val="en-IE"/>
                  </w:rPr>
                  <w:t>☒</w:t>
                </w:r>
              </w:sdtContent>
            </w:sdt>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D5029A6" w14:textId="63D12334"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333299479"/>
                <w14:checkbox>
                  <w14:checked w14:val="0"/>
                  <w14:checkedState w14:val="2612" w14:font="MS Gothic"/>
                  <w14:uncheckedState w14:val="2610" w14:font="MS Gothic"/>
                </w14:checkbox>
              </w:sdt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5365897C" w14:textId="77777777" w:rsidTr="009E322B">
        <w:trPr>
          <w:trHeight w:val="40"/>
        </w:trPr>
        <w:tc>
          <w:tcPr>
            <w:tcW w:w="2330" w:type="dxa"/>
            <w:vMerge/>
            <w:tcBorders>
              <w:top w:val="single" w:sz="4" w:space="0" w:color="000000" w:themeColor="text1"/>
              <w:left w:val="single" w:sz="4" w:space="0" w:color="auto"/>
              <w:right w:val="single" w:sz="4" w:space="0" w:color="auto"/>
            </w:tcBorders>
            <w:shd w:val="clear" w:color="auto" w:fill="auto"/>
          </w:tcPr>
          <w:p w14:paraId="6A1C85AC" w14:textId="77777777" w:rsidR="00DA4A97" w:rsidRPr="003C0CD7" w:rsidRDefault="00DA4A97" w:rsidP="00DA4A97">
            <w:pPr>
              <w:jc w:val="left"/>
              <w:rPr>
                <w:b/>
                <w:bCs/>
                <w:color w:val="0D0D0D" w:themeColor="text1" w:themeTint="F2"/>
                <w:szCs w:val="24"/>
                <w:lang w:val="en-IE"/>
              </w:rPr>
            </w:pPr>
          </w:p>
        </w:tc>
        <w:tc>
          <w:tcPr>
            <w:tcW w:w="2915" w:type="dxa"/>
            <w:tcBorders>
              <w:top w:val="single" w:sz="4" w:space="0" w:color="FFFFFF" w:themeColor="background1"/>
              <w:left w:val="single" w:sz="4" w:space="0" w:color="auto"/>
              <w:bottom w:val="single" w:sz="4" w:space="0" w:color="auto"/>
              <w:right w:val="single" w:sz="4" w:space="0" w:color="000000" w:themeColor="text1"/>
            </w:tcBorders>
            <w:shd w:val="clear" w:color="auto" w:fill="auto"/>
          </w:tcPr>
          <w:p w14:paraId="634108B3" w14:textId="77777777" w:rsidR="00DA4A97" w:rsidRPr="00DA4A97" w:rsidRDefault="00DA4A97" w:rsidP="00DA4A97">
            <w:pPr>
              <w:pStyle w:val="Text1"/>
              <w:spacing w:before="60" w:after="60"/>
              <w:ind w:left="0" w:right="-25"/>
              <w:jc w:val="left"/>
              <w:rPr>
                <w:color w:val="0D0D0D" w:themeColor="text1" w:themeTint="F2"/>
                <w:lang w:val="en-IE"/>
              </w:rPr>
            </w:pPr>
            <w:r>
              <w:rPr>
                <w:color w:val="0D0D0D" w:themeColor="text1" w:themeTint="F2"/>
                <w:lang w:val="en-IE"/>
              </w:rPr>
              <w:t>Other</w:t>
            </w:r>
          </w:p>
        </w:tc>
        <w:tc>
          <w:tcPr>
            <w:tcW w:w="2693" w:type="dxa"/>
            <w:gridSpan w:val="2"/>
            <w:tcBorders>
              <w:top w:val="single" w:sz="4" w:space="0" w:color="FFFFFF" w:themeColor="background1"/>
              <w:left w:val="single" w:sz="4" w:space="0" w:color="000000" w:themeColor="text1"/>
              <w:bottom w:val="single" w:sz="4" w:space="0" w:color="auto"/>
              <w:right w:val="single" w:sz="4" w:space="0" w:color="FFFFFF" w:themeColor="background1"/>
            </w:tcBorders>
            <w:shd w:val="clear" w:color="auto" w:fill="auto"/>
          </w:tcPr>
          <w:p w14:paraId="50F7A679" w14:textId="2B1AC785"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66075610"/>
                <w14:checkbox>
                  <w14:checked w14:val="0"/>
                  <w14:checkedState w14:val="2612" w14:font="MS Gothic"/>
                  <w14:uncheckedState w14:val="2610" w14:font="MS Gothic"/>
                </w14:checkbox>
              </w:sdtPr>
              <w:sdtContent>
                <w:r w:rsidR="00DA4A97" w:rsidRPr="003C0CD7">
                  <w:rPr>
                    <w:rFonts w:ascii="MS Gothic" w:eastAsia="MS Gothic" w:hAnsi="MS Gothic" w:cs="Segoe UI Symbol"/>
                    <w:color w:val="0D0D0D" w:themeColor="text1" w:themeTint="F2"/>
                    <w:lang w:val="en-IE"/>
                  </w:rPr>
                  <w:t>☐</w:t>
                </w:r>
              </w:sdtContent>
            </w:sdt>
          </w:p>
        </w:tc>
        <w:tc>
          <w:tcPr>
            <w:tcW w:w="156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47BA5BEE" w14:textId="1CB5C697" w:rsidR="00DA4A97" w:rsidRDefault="00E4342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47559416"/>
                <w14:checkbox>
                  <w14:checked w14:val="0"/>
                  <w14:checkedState w14:val="2612" w14:font="MS Gothic"/>
                  <w14:uncheckedState w14:val="2610" w14:font="MS Gothic"/>
                </w14:checkbox>
              </w:sdtPr>
              <w:sdtContent>
                <w:r w:rsidR="00DA4A97" w:rsidRPr="003C0CD7">
                  <w:rPr>
                    <w:rFonts w:ascii="MS Gothic" w:eastAsia="MS Gothic" w:hAnsi="MS Gothic" w:cs="Segoe UI Symbol"/>
                    <w:color w:val="0D0D0D" w:themeColor="text1" w:themeTint="F2"/>
                    <w:lang w:val="en-IE"/>
                  </w:rPr>
                  <w:t>☐</w:t>
                </w:r>
              </w:sdtContent>
            </w:sdt>
          </w:p>
        </w:tc>
      </w:tr>
      <w:tr w:rsidR="007230DA" w:rsidRPr="008704EA" w14:paraId="46684703" w14:textId="77777777" w:rsidTr="009E322B">
        <w:trPr>
          <w:trHeight w:val="40"/>
        </w:trPr>
        <w:tc>
          <w:tcPr>
            <w:tcW w:w="2330" w:type="dxa"/>
            <w:vMerge/>
            <w:tcBorders>
              <w:left w:val="single" w:sz="4" w:space="0" w:color="auto"/>
              <w:right w:val="single" w:sz="4" w:space="0" w:color="auto"/>
            </w:tcBorders>
            <w:shd w:val="clear" w:color="auto" w:fill="auto"/>
          </w:tcPr>
          <w:p w14:paraId="79583395" w14:textId="77777777" w:rsidR="007230DA" w:rsidRPr="003C0CD7" w:rsidRDefault="007230DA" w:rsidP="00C85643">
            <w:pPr>
              <w:jc w:val="left"/>
              <w:rPr>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7BFDDA7" w14:textId="5B80F0FB" w:rsidR="007230DA" w:rsidRPr="00C85643" w:rsidRDefault="007230DA" w:rsidP="007230DA">
            <w:pPr>
              <w:pStyle w:val="Text1"/>
              <w:spacing w:before="60" w:after="60"/>
              <w:ind w:left="0" w:right="-25"/>
              <w:jc w:val="left"/>
              <w:rPr>
                <w:b/>
                <w:color w:val="0D0D0D" w:themeColor="text1" w:themeTint="F2"/>
                <w:lang w:val="en-IE"/>
              </w:rPr>
            </w:pPr>
            <w:r w:rsidRPr="005D6559">
              <w:rPr>
                <w:color w:val="0D0D0D" w:themeColor="text1" w:themeTint="F2"/>
              </w:rPr>
              <w:t>Digitalisation</w:t>
            </w:r>
            <w:r w:rsidR="00411D72">
              <w:rPr>
                <w:rStyle w:val="Refdenotaalpie"/>
                <w:color w:val="0D0D0D" w:themeColor="text1" w:themeTint="F2"/>
              </w:rPr>
              <w:footnoteReference w:id="11"/>
            </w:r>
            <w:r w:rsidRPr="005D6559">
              <w:rPr>
                <w:color w:val="0D0D0D" w:themeColor="text1" w:themeTint="F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A739B2" w14:textId="77777777" w:rsidR="007230DA" w:rsidRPr="00C85643" w:rsidRDefault="00E43421"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838426788"/>
                <w14:checkbox>
                  <w14:checked w14:val="0"/>
                  <w14:checkedState w14:val="2612" w14:font="MS Gothic"/>
                  <w14:uncheckedState w14:val="2610" w14:font="MS Gothic"/>
                </w14:checkbox>
              </w:sdtPr>
              <w:sdtContent>
                <w:r w:rsidR="007230DA" w:rsidRPr="003775F2">
                  <w:rPr>
                    <w:rFonts w:ascii="Segoe UI Symbol" w:eastAsia="MS Gothic" w:hAnsi="Segoe UI Symbol"/>
                    <w:color w:val="0D0D0D" w:themeColor="text1" w:themeTint="F2"/>
                    <w:sz w:val="22"/>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5D15F6" w14:textId="77777777" w:rsidR="007230DA" w:rsidRPr="00C85643" w:rsidRDefault="00E43421"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1631311115"/>
                <w14:checkbox>
                  <w14:checked w14:val="0"/>
                  <w14:checkedState w14:val="2612" w14:font="MS Gothic"/>
                  <w14:uncheckedState w14:val="2610" w14:font="MS Gothic"/>
                </w14:checkbox>
              </w:sdtPr>
              <w:sdtContent>
                <w:r w:rsidR="007230DA" w:rsidRPr="003775F2">
                  <w:rPr>
                    <w:rFonts w:ascii="Segoe UI Symbol" w:eastAsia="MS Gothic" w:hAnsi="Segoe UI Symbol"/>
                    <w:color w:val="0D0D0D" w:themeColor="text1" w:themeTint="F2"/>
                    <w:sz w:val="22"/>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207654" w14:textId="77777777" w:rsidR="007230DA" w:rsidRPr="00C85643" w:rsidRDefault="00E43421"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1062148639"/>
                <w14:checkbox>
                  <w14:checked w14:val="0"/>
                  <w14:checkedState w14:val="2612" w14:font="MS Gothic"/>
                  <w14:uncheckedState w14:val="2610" w14:font="MS Gothic"/>
                </w14:checkbox>
              </w:sdtPr>
              <w:sdtContent>
                <w:r w:rsidR="007230DA" w:rsidRPr="003775F2">
                  <w:rPr>
                    <w:rFonts w:ascii="Segoe UI Symbol" w:eastAsia="MS Gothic" w:hAnsi="Segoe UI Symbol"/>
                    <w:color w:val="0D0D0D" w:themeColor="text1" w:themeTint="F2"/>
                    <w:sz w:val="22"/>
                  </w:rPr>
                  <w:t>☐</w:t>
                </w:r>
              </w:sdtContent>
            </w:sdt>
          </w:p>
        </w:tc>
      </w:tr>
      <w:tr w:rsidR="00613AD4" w:rsidRPr="008704EA" w14:paraId="051D42E6" w14:textId="77777777" w:rsidTr="009E322B">
        <w:trPr>
          <w:trHeight w:val="2329"/>
        </w:trPr>
        <w:tc>
          <w:tcPr>
            <w:tcW w:w="2330" w:type="dxa"/>
            <w:vMerge/>
            <w:tcBorders>
              <w:left w:val="single" w:sz="4" w:space="0" w:color="auto"/>
              <w:right w:val="single" w:sz="4" w:space="0" w:color="auto"/>
            </w:tcBorders>
            <w:shd w:val="clear" w:color="auto" w:fill="auto"/>
          </w:tcPr>
          <w:p w14:paraId="29791768" w14:textId="77777777" w:rsidR="00613AD4" w:rsidRPr="003C0CD7" w:rsidRDefault="00613AD4" w:rsidP="007230DA">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2583B80A" w14:textId="77777777" w:rsidR="00613AD4" w:rsidRDefault="00613AD4" w:rsidP="007230DA">
            <w:pPr>
              <w:pStyle w:val="Text1"/>
              <w:spacing w:before="60" w:after="60"/>
              <w:ind w:left="0" w:right="-25"/>
              <w:jc w:val="left"/>
              <w:rPr>
                <w:color w:val="0D0D0D" w:themeColor="text1" w:themeTint="F2"/>
              </w:rPr>
            </w:pPr>
            <w:r>
              <w:rPr>
                <w:color w:val="0D0D0D" w:themeColor="text1" w:themeTint="F2"/>
              </w:rPr>
              <w:t>Tags</w:t>
            </w:r>
            <w:r>
              <w:rPr>
                <w:rStyle w:val="Refdenotaalpie"/>
                <w:color w:val="0D0D0D" w:themeColor="text1" w:themeTint="F2"/>
              </w:rPr>
              <w:footnoteReference w:id="12"/>
            </w:r>
          </w:p>
          <w:p w14:paraId="49382782"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 xml:space="preserve">digital connectivity </w:t>
            </w:r>
          </w:p>
          <w:p w14:paraId="0A5071D5"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 xml:space="preserve">digital governance </w:t>
            </w:r>
          </w:p>
          <w:p w14:paraId="4B2BB66B"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digital entrepreneurship</w:t>
            </w:r>
          </w:p>
          <w:p w14:paraId="67020FFE"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digital skills/literacy</w:t>
            </w:r>
          </w:p>
          <w:p w14:paraId="552C7D68" w14:textId="77777777" w:rsidR="00613AD4" w:rsidRPr="003C0CD7" w:rsidRDefault="00613AD4" w:rsidP="00C85643">
            <w:pPr>
              <w:pStyle w:val="Text1"/>
              <w:spacing w:before="60" w:after="60" w:line="276" w:lineRule="auto"/>
              <w:ind w:left="720" w:right="-25"/>
              <w:jc w:val="left"/>
              <w:rPr>
                <w:color w:val="0D0D0D" w:themeColor="text1" w:themeTint="F2"/>
                <w:lang w:val="en-IE"/>
              </w:rPr>
            </w:pPr>
            <w:r w:rsidRPr="00EE373C">
              <w:rPr>
                <w:rFonts w:eastAsiaTheme="minorHAnsi"/>
                <w:lang w:val="en-IE"/>
              </w:rPr>
              <w:t>digital services</w:t>
            </w:r>
            <w:r w:rsidRPr="005D6559">
              <w:rPr>
                <w:color w:val="0D0D0D" w:themeColor="text1" w:themeTint="F2"/>
              </w:rPr>
              <w:t xml:space="preserve"> </w:t>
            </w:r>
          </w:p>
        </w:tc>
        <w:tc>
          <w:tcPr>
            <w:tcW w:w="2693" w:type="dxa"/>
            <w:gridSpan w:val="2"/>
            <w:tcBorders>
              <w:top w:val="single" w:sz="4" w:space="0" w:color="auto"/>
              <w:left w:val="single" w:sz="4" w:space="0" w:color="auto"/>
              <w:bottom w:val="single" w:sz="4" w:space="0" w:color="auto"/>
              <w:right w:val="single" w:sz="4" w:space="0" w:color="FFFFFF"/>
            </w:tcBorders>
            <w:shd w:val="clear" w:color="auto" w:fill="auto"/>
          </w:tcPr>
          <w:p w14:paraId="26D3DB78" w14:textId="77777777" w:rsidR="00613AD4" w:rsidRPr="00C85643" w:rsidRDefault="00613AD4" w:rsidP="00613AD4">
            <w:pPr>
              <w:pStyle w:val="Text1"/>
              <w:spacing w:before="60" w:after="60"/>
              <w:ind w:left="0" w:right="-25"/>
              <w:jc w:val="center"/>
              <w:rPr>
                <w:rFonts w:eastAsia="MS Gothic"/>
              </w:rPr>
            </w:pPr>
            <w:r w:rsidRPr="00C85643">
              <w:rPr>
                <w:rFonts w:eastAsia="MS Gothic"/>
              </w:rPr>
              <w:t>YES</w:t>
            </w:r>
          </w:p>
          <w:p w14:paraId="28975885" w14:textId="77777777" w:rsidR="00613AD4" w:rsidRPr="002719BB"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79792797"/>
                <w14:checkbox>
                  <w14:checked w14:val="0"/>
                  <w14:checkedState w14:val="2612" w14:font="MS Gothic"/>
                  <w14:uncheckedState w14:val="2610" w14:font="MS Gothic"/>
                </w14:checkbox>
              </w:sdtPr>
              <w:sdtContent>
                <w:r w:rsidR="00613AD4" w:rsidRPr="002719BB">
                  <w:rPr>
                    <w:rFonts w:ascii="MS Gothic" w:eastAsia="MS Gothic" w:hAnsi="MS Gothic" w:cs="Segoe UI Symbol" w:hint="eastAsia"/>
                    <w:sz w:val="22"/>
                    <w:szCs w:val="22"/>
                  </w:rPr>
                  <w:t>☐</w:t>
                </w:r>
              </w:sdtContent>
            </w:sdt>
          </w:p>
          <w:p w14:paraId="512BBC8F" w14:textId="77777777" w:rsidR="00613AD4" w:rsidRPr="002719BB"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277787617"/>
                <w14:checkbox>
                  <w14:checked w14:val="0"/>
                  <w14:checkedState w14:val="2612" w14:font="MS Gothic"/>
                  <w14:uncheckedState w14:val="2610" w14:font="MS Gothic"/>
                </w14:checkbox>
              </w:sdtPr>
              <w:sdtContent>
                <w:r w:rsidR="00613AD4" w:rsidRPr="002719BB">
                  <w:rPr>
                    <w:rFonts w:ascii="MS Gothic" w:eastAsia="MS Gothic" w:hAnsi="MS Gothic" w:cs="Segoe UI Symbol" w:hint="eastAsia"/>
                    <w:sz w:val="22"/>
                    <w:szCs w:val="22"/>
                  </w:rPr>
                  <w:t>☐</w:t>
                </w:r>
              </w:sdtContent>
            </w:sdt>
          </w:p>
          <w:p w14:paraId="15ED966A" w14:textId="77777777" w:rsidR="00613AD4" w:rsidRPr="002719BB"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889382601"/>
                <w14:checkbox>
                  <w14:checked w14:val="0"/>
                  <w14:checkedState w14:val="2612" w14:font="MS Gothic"/>
                  <w14:uncheckedState w14:val="2610" w14:font="MS Gothic"/>
                </w14:checkbox>
              </w:sdtPr>
              <w:sdtContent>
                <w:r w:rsidR="00613AD4" w:rsidRPr="002719BB">
                  <w:rPr>
                    <w:rFonts w:ascii="MS Gothic" w:eastAsia="MS Gothic" w:hAnsi="MS Gothic" w:cs="Segoe UI Symbol" w:hint="eastAsia"/>
                    <w:sz w:val="22"/>
                    <w:szCs w:val="22"/>
                  </w:rPr>
                  <w:t>☐</w:t>
                </w:r>
              </w:sdtContent>
            </w:sdt>
          </w:p>
          <w:p w14:paraId="56B01987" w14:textId="77777777" w:rsidR="00613AD4"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715628141"/>
                <w14:checkbox>
                  <w14:checked w14:val="0"/>
                  <w14:checkedState w14:val="2612" w14:font="MS Gothic"/>
                  <w14:uncheckedState w14:val="2610" w14:font="MS Gothic"/>
                </w14:checkbox>
              </w:sdtPr>
              <w:sdtContent>
                <w:r w:rsidR="00613AD4" w:rsidRPr="002719BB">
                  <w:rPr>
                    <w:rFonts w:ascii="MS Gothic" w:eastAsia="MS Gothic" w:hAnsi="MS Gothic" w:cs="Segoe UI Symbol" w:hint="eastAsia"/>
                    <w:sz w:val="22"/>
                    <w:szCs w:val="22"/>
                  </w:rPr>
                  <w:t>☐</w:t>
                </w:r>
              </w:sdtContent>
            </w:sdt>
          </w:p>
          <w:p w14:paraId="3CD032A6" w14:textId="77777777" w:rsidR="00613AD4" w:rsidRDefault="00E43421" w:rsidP="00613AD4">
            <w:pPr>
              <w:pStyle w:val="Text1"/>
              <w:spacing w:before="60" w:after="60"/>
              <w:ind w:left="0" w:right="-25"/>
              <w:jc w:val="center"/>
              <w:rPr>
                <w:rFonts w:ascii="Segoe UI Symbol" w:eastAsia="MS Gothic" w:hAnsi="Segoe UI Symbol"/>
              </w:rPr>
            </w:pPr>
            <w:sdt>
              <w:sdtPr>
                <w:rPr>
                  <w:rFonts w:ascii="Segoe UI Symbol" w:eastAsia="MS Gothic" w:hAnsi="Segoe UI Symbol"/>
                </w:rPr>
                <w:id w:val="645477591"/>
                <w14:checkbox>
                  <w14:checked w14:val="0"/>
                  <w14:checkedState w14:val="2612" w14:font="MS Gothic"/>
                  <w14:uncheckedState w14:val="2610" w14:font="MS Gothic"/>
                </w14:checkbox>
              </w:sdtPr>
              <w:sdtContent>
                <w:r w:rsidR="00613AD4" w:rsidRPr="003775F2">
                  <w:rPr>
                    <w:rFonts w:ascii="MS Gothic" w:eastAsia="MS Gothic" w:hAnsi="MS Gothic" w:hint="eastAsia"/>
                    <w:sz w:val="22"/>
                  </w:rPr>
                  <w:t>☐</w:t>
                </w:r>
              </w:sdtContent>
            </w:sdt>
          </w:p>
        </w:tc>
        <w:tc>
          <w:tcPr>
            <w:tcW w:w="1560" w:type="dxa"/>
            <w:tcBorders>
              <w:top w:val="single" w:sz="4" w:space="0" w:color="auto"/>
              <w:left w:val="single" w:sz="4" w:space="0" w:color="FFFFFF"/>
              <w:bottom w:val="single" w:sz="4" w:space="0" w:color="auto"/>
              <w:right w:val="single" w:sz="4" w:space="0" w:color="auto"/>
            </w:tcBorders>
            <w:shd w:val="clear" w:color="auto" w:fill="auto"/>
          </w:tcPr>
          <w:p w14:paraId="1A33E5A5" w14:textId="77777777" w:rsidR="00613AD4" w:rsidRPr="00C85643" w:rsidRDefault="00613AD4" w:rsidP="00613AD4">
            <w:pPr>
              <w:pStyle w:val="Text1"/>
              <w:spacing w:before="60" w:after="60"/>
              <w:ind w:left="0" w:right="-25"/>
              <w:jc w:val="center"/>
              <w:rPr>
                <w:rFonts w:eastAsia="MS Gothic"/>
                <w:color w:val="0D0D0D" w:themeColor="text1" w:themeTint="F2"/>
              </w:rPr>
            </w:pPr>
            <w:r w:rsidRPr="00C85643">
              <w:rPr>
                <w:rFonts w:eastAsia="MS Gothic"/>
                <w:color w:val="0D0D0D" w:themeColor="text1" w:themeTint="F2"/>
              </w:rPr>
              <w:t>NO</w:t>
            </w:r>
          </w:p>
          <w:p w14:paraId="53FDAE87" w14:textId="13E69DF1" w:rsidR="00613AD4" w:rsidRPr="005D6559" w:rsidRDefault="00E43421"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094627389"/>
                <w14:checkbox>
                  <w14:checked w14:val="1"/>
                  <w14:checkedState w14:val="2612" w14:font="MS Gothic"/>
                  <w14:uncheckedState w14:val="2610" w14:font="MS Gothic"/>
                </w14:checkbox>
              </w:sdtPr>
              <w:sdtContent>
                <w:r w:rsidR="008F1ACD">
                  <w:rPr>
                    <w:rFonts w:ascii="MS Gothic" w:eastAsia="MS Gothic" w:hAnsi="MS Gothic" w:hint="eastAsia"/>
                    <w:color w:val="0D0D0D" w:themeColor="text1" w:themeTint="F2"/>
                    <w:sz w:val="22"/>
                  </w:rPr>
                  <w:t>☒</w:t>
                </w:r>
              </w:sdtContent>
            </w:sdt>
          </w:p>
          <w:p w14:paraId="461D44BD" w14:textId="2855EC01" w:rsidR="00613AD4" w:rsidRPr="005D6559" w:rsidRDefault="00E43421"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849610438"/>
                <w14:checkbox>
                  <w14:checked w14:val="1"/>
                  <w14:checkedState w14:val="2612" w14:font="MS Gothic"/>
                  <w14:uncheckedState w14:val="2610" w14:font="MS Gothic"/>
                </w14:checkbox>
              </w:sdtPr>
              <w:sdtContent>
                <w:r w:rsidR="008F1ACD">
                  <w:rPr>
                    <w:rFonts w:ascii="MS Gothic" w:eastAsia="MS Gothic" w:hAnsi="MS Gothic" w:hint="eastAsia"/>
                    <w:color w:val="0D0D0D" w:themeColor="text1" w:themeTint="F2"/>
                    <w:sz w:val="22"/>
                  </w:rPr>
                  <w:t>☒</w:t>
                </w:r>
              </w:sdtContent>
            </w:sdt>
          </w:p>
          <w:p w14:paraId="6BE2DC60" w14:textId="00ABB686" w:rsidR="00613AD4" w:rsidRPr="005D6559" w:rsidRDefault="00E43421"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62783868"/>
                <w14:checkbox>
                  <w14:checked w14:val="1"/>
                  <w14:checkedState w14:val="2612" w14:font="MS Gothic"/>
                  <w14:uncheckedState w14:val="2610" w14:font="MS Gothic"/>
                </w14:checkbox>
              </w:sdtPr>
              <w:sdtContent>
                <w:r w:rsidR="008F1ACD">
                  <w:rPr>
                    <w:rFonts w:ascii="MS Gothic" w:eastAsia="MS Gothic" w:hAnsi="MS Gothic" w:hint="eastAsia"/>
                    <w:color w:val="0D0D0D" w:themeColor="text1" w:themeTint="F2"/>
                    <w:sz w:val="22"/>
                  </w:rPr>
                  <w:t>☒</w:t>
                </w:r>
              </w:sdtContent>
            </w:sdt>
          </w:p>
          <w:p w14:paraId="792D4748" w14:textId="5F546187" w:rsidR="00613AD4" w:rsidRPr="005D6559" w:rsidRDefault="00E43421"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910540456"/>
                <w14:checkbox>
                  <w14:checked w14:val="1"/>
                  <w14:checkedState w14:val="2612" w14:font="MS Gothic"/>
                  <w14:uncheckedState w14:val="2610" w14:font="MS Gothic"/>
                </w14:checkbox>
              </w:sdtPr>
              <w:sdtContent>
                <w:r w:rsidR="008F1ACD">
                  <w:rPr>
                    <w:rFonts w:ascii="MS Gothic" w:eastAsia="MS Gothic" w:hAnsi="MS Gothic" w:hint="eastAsia"/>
                    <w:color w:val="0D0D0D" w:themeColor="text1" w:themeTint="F2"/>
                    <w:sz w:val="22"/>
                  </w:rPr>
                  <w:t>☒</w:t>
                </w:r>
              </w:sdtContent>
            </w:sdt>
          </w:p>
          <w:p w14:paraId="59149176" w14:textId="63025D08" w:rsidR="00613AD4" w:rsidRPr="00613AD4" w:rsidRDefault="00E43421" w:rsidP="00613AD4">
            <w:pPr>
              <w:pStyle w:val="Text1"/>
              <w:spacing w:before="60" w:after="60"/>
              <w:ind w:left="0" w:right="-25"/>
              <w:jc w:val="center"/>
              <w:rPr>
                <w:rFonts w:eastAsia="MS Gothic"/>
                <w:color w:val="0D0D0D" w:themeColor="text1" w:themeTint="F2"/>
                <w:lang w:val="en-IE"/>
              </w:rPr>
            </w:pPr>
            <w:sdt>
              <w:sdtPr>
                <w:rPr>
                  <w:rFonts w:eastAsia="MS Gothic"/>
                  <w:color w:val="0D0D0D" w:themeColor="text1" w:themeTint="F2"/>
                </w:rPr>
                <w:id w:val="-1196846098"/>
                <w14:checkbox>
                  <w14:checked w14:val="1"/>
                  <w14:checkedState w14:val="2612" w14:font="MS Gothic"/>
                  <w14:uncheckedState w14:val="2610" w14:font="MS Gothic"/>
                </w14:checkbox>
              </w:sdtPr>
              <w:sdtContent>
                <w:r w:rsidR="008F1ACD">
                  <w:rPr>
                    <w:rFonts w:ascii="MS Gothic" w:eastAsia="MS Gothic" w:hAnsi="MS Gothic" w:hint="eastAsia"/>
                    <w:color w:val="0D0D0D" w:themeColor="text1" w:themeTint="F2"/>
                  </w:rPr>
                  <w:t>☒</w:t>
                </w:r>
              </w:sdtContent>
            </w:sdt>
          </w:p>
        </w:tc>
      </w:tr>
      <w:tr w:rsidR="001A2578" w:rsidRPr="008704EA" w14:paraId="289D721C" w14:textId="77777777" w:rsidTr="009E322B">
        <w:trPr>
          <w:trHeight w:val="40"/>
        </w:trPr>
        <w:tc>
          <w:tcPr>
            <w:tcW w:w="2330" w:type="dxa"/>
            <w:vMerge/>
            <w:tcBorders>
              <w:left w:val="single" w:sz="4" w:space="0" w:color="auto"/>
              <w:right w:val="single" w:sz="4" w:space="0" w:color="auto"/>
            </w:tcBorders>
            <w:shd w:val="clear" w:color="auto" w:fill="auto"/>
          </w:tcPr>
          <w:p w14:paraId="4E9C1BAA" w14:textId="77777777" w:rsidR="001A2578" w:rsidRPr="003C0CD7" w:rsidRDefault="001A2578" w:rsidP="001A2578">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55DE25BE" w14:textId="6CB7DD89" w:rsidR="001A2578" w:rsidRPr="003C0CD7" w:rsidRDefault="001A2578" w:rsidP="00F915B9">
            <w:pPr>
              <w:pStyle w:val="Text1"/>
              <w:spacing w:before="60" w:after="60"/>
              <w:ind w:left="0" w:right="-25"/>
              <w:jc w:val="left"/>
              <w:rPr>
                <w:color w:val="0D0D0D" w:themeColor="text1" w:themeTint="F2"/>
                <w:lang w:val="en-IE"/>
              </w:rPr>
            </w:pPr>
            <w:r w:rsidRPr="00F915B9">
              <w:t xml:space="preserve">Connectivity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AD3D2" w14:textId="77777777" w:rsidR="001A2578" w:rsidRPr="003775F2" w:rsidRDefault="00E43421" w:rsidP="001A2578">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sz w:val="22"/>
                </w:rPr>
                <w:id w:val="1075093998"/>
                <w14:checkbox>
                  <w14:checked w14:val="0"/>
                  <w14:checkedState w14:val="2612" w14:font="MS Gothic"/>
                  <w14:uncheckedState w14:val="2610" w14:font="MS Gothic"/>
                </w14:checkbox>
              </w:sdtPr>
              <w:sdtContent>
                <w:r w:rsidR="001A2578" w:rsidRPr="005D6559">
                  <w:rPr>
                    <w:rFonts w:ascii="Segoe UI Symbol" w:eastAsia="MS Gothic" w:hAnsi="Segoe UI Symbol" w:cs="Segoe UI Symbol"/>
                    <w:color w:val="0D0D0D" w:themeColor="text1" w:themeTint="F2"/>
                    <w:sz w:val="22"/>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7D0B6A" w14:textId="77777777" w:rsidR="001A2578" w:rsidRPr="003775F2" w:rsidRDefault="00E43421" w:rsidP="001A257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795551659"/>
                <w14:checkbox>
                  <w14:checked w14:val="0"/>
                  <w14:checkedState w14:val="2612" w14:font="MS Gothic"/>
                  <w14:uncheckedState w14:val="2610" w14:font="MS Gothic"/>
                </w14:checkbox>
              </w:sdtPr>
              <w:sdtContent>
                <w:r w:rsidR="001A2578" w:rsidRPr="005D6559">
                  <w:rPr>
                    <w:rFonts w:ascii="Segoe UI Symbol" w:eastAsia="MS Gothic" w:hAnsi="Segoe UI Symbol" w:cs="Segoe UI Symbol"/>
                    <w:color w:val="0D0D0D" w:themeColor="text1" w:themeTint="F2"/>
                    <w:sz w:val="22"/>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2B991B" w14:textId="77777777" w:rsidR="001A2578" w:rsidRPr="003775F2" w:rsidRDefault="00E43421" w:rsidP="001A257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97014815"/>
                <w14:checkbox>
                  <w14:checked w14:val="0"/>
                  <w14:checkedState w14:val="2612" w14:font="MS Gothic"/>
                  <w14:uncheckedState w14:val="2610" w14:font="MS Gothic"/>
                </w14:checkbox>
              </w:sdtPr>
              <w:sdtContent>
                <w:r w:rsidR="000B3212">
                  <w:rPr>
                    <w:rFonts w:ascii="MS Gothic" w:eastAsia="MS Gothic" w:hAnsi="MS Gothic" w:hint="eastAsia"/>
                    <w:color w:val="0D0D0D" w:themeColor="text1" w:themeTint="F2"/>
                    <w:sz w:val="22"/>
                  </w:rPr>
                  <w:t>☐</w:t>
                </w:r>
              </w:sdtContent>
            </w:sdt>
          </w:p>
        </w:tc>
      </w:tr>
      <w:tr w:rsidR="00613AD4" w:rsidRPr="008704EA" w14:paraId="36BE91AE" w14:textId="77777777" w:rsidTr="009E322B">
        <w:trPr>
          <w:trHeight w:val="40"/>
        </w:trPr>
        <w:tc>
          <w:tcPr>
            <w:tcW w:w="2330" w:type="dxa"/>
            <w:vMerge/>
            <w:tcBorders>
              <w:left w:val="single" w:sz="4" w:space="0" w:color="auto"/>
              <w:right w:val="single" w:sz="4" w:space="0" w:color="auto"/>
            </w:tcBorders>
            <w:shd w:val="clear" w:color="auto" w:fill="auto"/>
          </w:tcPr>
          <w:p w14:paraId="3B2F52B8" w14:textId="77777777" w:rsidR="00613AD4" w:rsidRPr="003C0CD7" w:rsidRDefault="00613AD4" w:rsidP="001A2578">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21853FAD" w14:textId="77777777" w:rsidR="00613AD4" w:rsidRDefault="00613AD4" w:rsidP="001A2578">
            <w:pPr>
              <w:pStyle w:val="Text1"/>
              <w:spacing w:before="60" w:after="60"/>
              <w:ind w:left="0" w:right="-25"/>
              <w:jc w:val="left"/>
            </w:pPr>
            <w:r>
              <w:t>Tags</w:t>
            </w:r>
          </w:p>
          <w:p w14:paraId="0FE899BB" w14:textId="77777777" w:rsidR="00613AD4" w:rsidRPr="005D6559" w:rsidRDefault="00613AD4" w:rsidP="001A2578">
            <w:pPr>
              <w:pStyle w:val="Text1"/>
              <w:spacing w:before="60" w:after="60"/>
              <w:ind w:left="720" w:right="-25"/>
              <w:jc w:val="left"/>
            </w:pPr>
            <w:r>
              <w:t>digital connectivity</w:t>
            </w:r>
          </w:p>
          <w:p w14:paraId="695E5227" w14:textId="77777777" w:rsidR="00613AD4" w:rsidRPr="005D6559" w:rsidRDefault="00613AD4" w:rsidP="001A2578">
            <w:pPr>
              <w:pStyle w:val="Text1"/>
              <w:spacing w:before="60" w:after="60"/>
              <w:ind w:left="720" w:right="-25"/>
              <w:jc w:val="left"/>
            </w:pPr>
            <w:r w:rsidRPr="005D6559">
              <w:t>energy</w:t>
            </w:r>
          </w:p>
          <w:p w14:paraId="62829D59" w14:textId="77777777" w:rsidR="00613AD4" w:rsidRDefault="00613AD4" w:rsidP="001A2578">
            <w:pPr>
              <w:pStyle w:val="Text1"/>
              <w:spacing w:before="60" w:after="60"/>
              <w:ind w:left="720" w:right="-25"/>
              <w:jc w:val="left"/>
            </w:pPr>
            <w:r>
              <w:t>transport</w:t>
            </w:r>
          </w:p>
          <w:p w14:paraId="47DB50D9" w14:textId="77777777" w:rsidR="00613AD4" w:rsidRDefault="00613AD4" w:rsidP="003775F2">
            <w:pPr>
              <w:pStyle w:val="Text1"/>
              <w:spacing w:before="60" w:after="60"/>
              <w:ind w:left="720" w:right="-25"/>
              <w:jc w:val="left"/>
            </w:pPr>
            <w:r>
              <w:t>health</w:t>
            </w:r>
          </w:p>
          <w:p w14:paraId="43B975CA" w14:textId="77777777" w:rsidR="00613AD4" w:rsidRPr="003775F2" w:rsidRDefault="00613AD4" w:rsidP="003775F2">
            <w:pPr>
              <w:pStyle w:val="Text1"/>
              <w:spacing w:before="60" w:after="60"/>
              <w:ind w:left="720" w:right="-25"/>
              <w:jc w:val="left"/>
            </w:pPr>
            <w:r>
              <w:t>education and research</w:t>
            </w:r>
          </w:p>
        </w:tc>
        <w:tc>
          <w:tcPr>
            <w:tcW w:w="2693" w:type="dxa"/>
            <w:gridSpan w:val="2"/>
            <w:tcBorders>
              <w:top w:val="single" w:sz="4" w:space="0" w:color="auto"/>
              <w:left w:val="single" w:sz="4" w:space="0" w:color="auto"/>
              <w:bottom w:val="single" w:sz="4" w:space="0" w:color="auto"/>
              <w:right w:val="single" w:sz="4" w:space="0" w:color="FFFFFF"/>
            </w:tcBorders>
            <w:shd w:val="clear" w:color="auto" w:fill="auto"/>
          </w:tcPr>
          <w:p w14:paraId="3CE8A1DF" w14:textId="77777777" w:rsidR="00613AD4" w:rsidRPr="0082062A" w:rsidRDefault="00613AD4" w:rsidP="00613AD4">
            <w:pPr>
              <w:pStyle w:val="Text1"/>
              <w:spacing w:before="60" w:after="60"/>
              <w:ind w:left="0" w:right="-25"/>
              <w:jc w:val="center"/>
              <w:rPr>
                <w:rFonts w:eastAsia="MS Gothic"/>
              </w:rPr>
            </w:pPr>
            <w:r w:rsidRPr="0082062A">
              <w:rPr>
                <w:rFonts w:eastAsia="MS Gothic"/>
              </w:rPr>
              <w:t>YES</w:t>
            </w:r>
          </w:p>
          <w:p w14:paraId="4396B989" w14:textId="77777777" w:rsidR="00613AD4" w:rsidRPr="002719BB"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1474404"/>
                <w14:checkbox>
                  <w14:checked w14:val="0"/>
                  <w14:checkedState w14:val="2612" w14:font="MS Gothic"/>
                  <w14:uncheckedState w14:val="2610" w14:font="MS Gothic"/>
                </w14:checkbox>
              </w:sdtPr>
              <w:sdtContent>
                <w:r w:rsidR="00613AD4" w:rsidRPr="002719BB">
                  <w:rPr>
                    <w:rFonts w:ascii="MS Gothic" w:eastAsia="MS Gothic" w:hAnsi="MS Gothic" w:cs="Segoe UI Symbol" w:hint="eastAsia"/>
                    <w:sz w:val="22"/>
                    <w:szCs w:val="22"/>
                  </w:rPr>
                  <w:t>☐</w:t>
                </w:r>
              </w:sdtContent>
            </w:sdt>
          </w:p>
          <w:p w14:paraId="0858883A" w14:textId="77777777" w:rsidR="00613AD4" w:rsidRPr="002719BB"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948053504"/>
                <w14:checkbox>
                  <w14:checked w14:val="0"/>
                  <w14:checkedState w14:val="2612" w14:font="MS Gothic"/>
                  <w14:uncheckedState w14:val="2610" w14:font="MS Gothic"/>
                </w14:checkbox>
              </w:sdtPr>
              <w:sdtContent>
                <w:r w:rsidR="00613AD4" w:rsidRPr="002719BB">
                  <w:rPr>
                    <w:rFonts w:ascii="MS Gothic" w:eastAsia="MS Gothic" w:hAnsi="MS Gothic" w:cs="Segoe UI Symbol" w:hint="eastAsia"/>
                    <w:sz w:val="22"/>
                    <w:szCs w:val="22"/>
                  </w:rPr>
                  <w:t>☐</w:t>
                </w:r>
              </w:sdtContent>
            </w:sdt>
          </w:p>
          <w:p w14:paraId="476EC92D" w14:textId="77777777" w:rsidR="00613AD4" w:rsidRPr="002719BB"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68495646"/>
                <w14:checkbox>
                  <w14:checked w14:val="0"/>
                  <w14:checkedState w14:val="2612" w14:font="MS Gothic"/>
                  <w14:uncheckedState w14:val="2610" w14:font="MS Gothic"/>
                </w14:checkbox>
              </w:sdtPr>
              <w:sdtContent>
                <w:r w:rsidR="00613AD4" w:rsidRPr="002719BB">
                  <w:rPr>
                    <w:rFonts w:ascii="MS Gothic" w:eastAsia="MS Gothic" w:hAnsi="MS Gothic" w:cs="Segoe UI Symbol" w:hint="eastAsia"/>
                    <w:sz w:val="22"/>
                    <w:szCs w:val="22"/>
                  </w:rPr>
                  <w:t>☐</w:t>
                </w:r>
              </w:sdtContent>
            </w:sdt>
          </w:p>
          <w:p w14:paraId="00288E5B" w14:textId="77777777" w:rsidR="00613AD4"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41295313"/>
                <w14:checkbox>
                  <w14:checked w14:val="0"/>
                  <w14:checkedState w14:val="2612" w14:font="MS Gothic"/>
                  <w14:uncheckedState w14:val="2610" w14:font="MS Gothic"/>
                </w14:checkbox>
              </w:sdtPr>
              <w:sdtContent>
                <w:r w:rsidR="00613AD4" w:rsidRPr="002719BB">
                  <w:rPr>
                    <w:rFonts w:ascii="MS Gothic" w:eastAsia="MS Gothic" w:hAnsi="MS Gothic" w:cs="Segoe UI Symbol" w:hint="eastAsia"/>
                    <w:sz w:val="22"/>
                    <w:szCs w:val="22"/>
                  </w:rPr>
                  <w:t>☐</w:t>
                </w:r>
              </w:sdtContent>
            </w:sdt>
          </w:p>
          <w:p w14:paraId="2EE9E5B8" w14:textId="77777777" w:rsidR="00613AD4"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0745379"/>
                <w14:checkbox>
                  <w14:checked w14:val="0"/>
                  <w14:checkedState w14:val="2612" w14:font="MS Gothic"/>
                  <w14:uncheckedState w14:val="2610" w14:font="MS Gothic"/>
                </w14:checkbox>
              </w:sdtPr>
              <w:sdtContent>
                <w:r w:rsidR="00613AD4" w:rsidRPr="002719BB">
                  <w:rPr>
                    <w:rFonts w:ascii="MS Gothic" w:eastAsia="MS Gothic" w:hAnsi="MS Gothic" w:cs="Segoe UI Symbol" w:hint="eastAsia"/>
                    <w:sz w:val="22"/>
                    <w:szCs w:val="22"/>
                  </w:rPr>
                  <w:t>☐</w:t>
                </w:r>
              </w:sdtContent>
            </w:sdt>
          </w:p>
        </w:tc>
        <w:tc>
          <w:tcPr>
            <w:tcW w:w="1560" w:type="dxa"/>
            <w:tcBorders>
              <w:top w:val="single" w:sz="4" w:space="0" w:color="auto"/>
              <w:left w:val="single" w:sz="4" w:space="0" w:color="FFFFFF"/>
              <w:bottom w:val="single" w:sz="4" w:space="0" w:color="auto"/>
              <w:right w:val="single" w:sz="4" w:space="0" w:color="auto"/>
            </w:tcBorders>
            <w:shd w:val="clear" w:color="auto" w:fill="auto"/>
          </w:tcPr>
          <w:p w14:paraId="5E1E8136" w14:textId="77777777" w:rsidR="00613AD4" w:rsidRPr="0082062A" w:rsidRDefault="00613AD4" w:rsidP="00613AD4">
            <w:pPr>
              <w:pStyle w:val="Text1"/>
              <w:spacing w:before="60" w:after="60"/>
              <w:ind w:left="0" w:right="-25"/>
              <w:jc w:val="center"/>
              <w:rPr>
                <w:rFonts w:eastAsia="MS Gothic"/>
              </w:rPr>
            </w:pPr>
            <w:r w:rsidRPr="0082062A">
              <w:rPr>
                <w:rFonts w:eastAsia="MS Gothic"/>
              </w:rPr>
              <w:t>NO</w:t>
            </w:r>
          </w:p>
          <w:p w14:paraId="534FD3C6" w14:textId="6C15679D" w:rsidR="00613AD4" w:rsidRPr="002719BB"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76816427"/>
                <w14:checkbox>
                  <w14:checked w14:val="1"/>
                  <w14:checkedState w14:val="2612" w14:font="MS Gothic"/>
                  <w14:uncheckedState w14:val="2610" w14:font="MS Gothic"/>
                </w14:checkbox>
              </w:sdtPr>
              <w:sdtContent>
                <w:r w:rsidR="008F1ACD">
                  <w:rPr>
                    <w:rFonts w:ascii="MS Gothic" w:eastAsia="MS Gothic" w:hAnsi="MS Gothic" w:cs="Segoe UI Symbol" w:hint="eastAsia"/>
                    <w:sz w:val="22"/>
                    <w:szCs w:val="22"/>
                  </w:rPr>
                  <w:t>☒</w:t>
                </w:r>
              </w:sdtContent>
            </w:sdt>
          </w:p>
          <w:p w14:paraId="387C46FF" w14:textId="51E9AA7B" w:rsidR="00613AD4" w:rsidRPr="002719BB"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429965098"/>
                <w14:checkbox>
                  <w14:checked w14:val="1"/>
                  <w14:checkedState w14:val="2612" w14:font="MS Gothic"/>
                  <w14:uncheckedState w14:val="2610" w14:font="MS Gothic"/>
                </w14:checkbox>
              </w:sdtPr>
              <w:sdtContent>
                <w:r w:rsidR="008F1ACD">
                  <w:rPr>
                    <w:rFonts w:ascii="MS Gothic" w:eastAsia="MS Gothic" w:hAnsi="MS Gothic" w:cs="Segoe UI Symbol" w:hint="eastAsia"/>
                    <w:sz w:val="22"/>
                    <w:szCs w:val="22"/>
                  </w:rPr>
                  <w:t>☒</w:t>
                </w:r>
              </w:sdtContent>
            </w:sdt>
          </w:p>
          <w:p w14:paraId="12BC65FA" w14:textId="4390E391" w:rsidR="00613AD4" w:rsidRPr="002719BB"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091813327"/>
                <w14:checkbox>
                  <w14:checked w14:val="1"/>
                  <w14:checkedState w14:val="2612" w14:font="MS Gothic"/>
                  <w14:uncheckedState w14:val="2610" w14:font="MS Gothic"/>
                </w14:checkbox>
              </w:sdtPr>
              <w:sdtContent>
                <w:r w:rsidR="008F1ACD">
                  <w:rPr>
                    <w:rFonts w:ascii="MS Gothic" w:eastAsia="MS Gothic" w:hAnsi="MS Gothic" w:cs="Segoe UI Symbol" w:hint="eastAsia"/>
                    <w:sz w:val="22"/>
                    <w:szCs w:val="22"/>
                  </w:rPr>
                  <w:t>☒</w:t>
                </w:r>
              </w:sdtContent>
            </w:sdt>
          </w:p>
          <w:p w14:paraId="60A0EA48" w14:textId="7A15B7B7" w:rsidR="00613AD4" w:rsidRPr="002719BB"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26983869"/>
                <w14:checkbox>
                  <w14:checked w14:val="1"/>
                  <w14:checkedState w14:val="2612" w14:font="MS Gothic"/>
                  <w14:uncheckedState w14:val="2610" w14:font="MS Gothic"/>
                </w14:checkbox>
              </w:sdtPr>
              <w:sdtContent>
                <w:r w:rsidR="008F1ACD">
                  <w:rPr>
                    <w:rFonts w:ascii="MS Gothic" w:eastAsia="MS Gothic" w:hAnsi="MS Gothic" w:cs="Segoe UI Symbol" w:hint="eastAsia"/>
                    <w:sz w:val="22"/>
                    <w:szCs w:val="22"/>
                  </w:rPr>
                  <w:t>☒</w:t>
                </w:r>
              </w:sdtContent>
            </w:sdt>
          </w:p>
          <w:p w14:paraId="1848AA6B" w14:textId="61ABE285" w:rsidR="00613AD4" w:rsidRDefault="00E4342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121607374"/>
                <w14:checkbox>
                  <w14:checked w14:val="1"/>
                  <w14:checkedState w14:val="2612" w14:font="MS Gothic"/>
                  <w14:uncheckedState w14:val="2610" w14:font="MS Gothic"/>
                </w14:checkbox>
              </w:sdtPr>
              <w:sdtContent>
                <w:r w:rsidR="008F1ACD">
                  <w:rPr>
                    <w:rFonts w:ascii="MS Gothic" w:eastAsia="MS Gothic" w:hAnsi="MS Gothic" w:cs="Segoe UI Symbol" w:hint="eastAsia"/>
                    <w:sz w:val="22"/>
                    <w:szCs w:val="22"/>
                  </w:rPr>
                  <w:t>☒</w:t>
                </w:r>
              </w:sdtContent>
            </w:sdt>
          </w:p>
        </w:tc>
      </w:tr>
      <w:tr w:rsidR="001A2578" w:rsidRPr="008704EA" w14:paraId="663C56C9" w14:textId="77777777" w:rsidTr="009E322B">
        <w:trPr>
          <w:trHeight w:val="40"/>
        </w:trPr>
        <w:tc>
          <w:tcPr>
            <w:tcW w:w="2330" w:type="dxa"/>
            <w:vMerge/>
            <w:tcBorders>
              <w:left w:val="single" w:sz="4" w:space="0" w:color="auto"/>
              <w:right w:val="single" w:sz="4" w:space="0" w:color="auto"/>
            </w:tcBorders>
            <w:shd w:val="clear" w:color="auto" w:fill="auto"/>
          </w:tcPr>
          <w:p w14:paraId="47E78CA3" w14:textId="77777777" w:rsidR="001A2578" w:rsidRPr="003C0CD7" w:rsidRDefault="001A2578" w:rsidP="001A2578">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190B2D8C" w14:textId="70CF5278" w:rsidR="001A2578" w:rsidRPr="0082062A" w:rsidRDefault="001A2578" w:rsidP="0082062A">
            <w:pPr>
              <w:jc w:val="left"/>
              <w:rPr>
                <w:lang w:val="en-IE" w:eastAsia="en-IE"/>
              </w:rPr>
            </w:pPr>
            <w:r w:rsidRPr="005D6559">
              <w:t>Migration</w:t>
            </w:r>
            <w:r w:rsidR="00091845" w:rsidRPr="00FD71E4">
              <w:rPr>
                <w:rStyle w:val="Refdenotaalpie"/>
              </w:rPr>
              <w:footnoteReference w:id="13"/>
            </w:r>
            <w:r w:rsidR="00091845" w:rsidRPr="00FD71E4">
              <w:rPr>
                <w:rStyle w:val="Hipervnculo"/>
                <w:u w:val="none"/>
              </w:rPr>
              <w:t xml:space="preserve"> </w:t>
            </w:r>
            <w:r w:rsidRPr="001C3485">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DF0FA7" w14:textId="08B05C3D" w:rsidR="001A2578" w:rsidRPr="003C0CD7" w:rsidRDefault="00E4342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9093535"/>
                <w14:checkbox>
                  <w14:checked w14:val="1"/>
                  <w14:checkedState w14:val="2612" w14:font="MS Gothic"/>
                  <w14:uncheckedState w14:val="2610" w14:font="MS Gothic"/>
                </w14:checkbox>
              </w:sdtPr>
              <w:sdtContent>
                <w:r w:rsidR="008F1ACD">
                  <w:rPr>
                    <w:rFonts w:ascii="MS Gothic" w:eastAsia="MS Gothic" w:hAnsi="MS Gothic" w:cs="Segoe UI Symbol" w:hint="eastAsia"/>
                    <w:color w:val="0D0D0D" w:themeColor="text1" w:themeTint="F2"/>
                    <w:lang w:val="en-IE"/>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68518E" w14:textId="77777777" w:rsidR="001A2578" w:rsidRPr="003C0CD7" w:rsidRDefault="00E4342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67423059"/>
                <w14:checkbox>
                  <w14:checked w14:val="0"/>
                  <w14:checkedState w14:val="2612" w14:font="MS Gothic"/>
                  <w14:uncheckedState w14:val="2610" w14:font="MS Gothic"/>
                </w14:checkbox>
              </w:sdtPr>
              <w:sdtContent>
                <w:r w:rsidR="001A2578" w:rsidRPr="003C0CD7">
                  <w:rPr>
                    <w:rFonts w:ascii="MS Gothic" w:eastAsia="MS Gothic" w:hAnsi="MS Gothic" w:cs="Segoe UI Symbol"/>
                    <w:color w:val="0D0D0D" w:themeColor="text1" w:themeTint="F2"/>
                    <w:lang w:val="en-IE"/>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0DB742" w14:textId="77777777" w:rsidR="001A2578" w:rsidRPr="003C0CD7" w:rsidRDefault="00E4342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688097734"/>
                <w14:checkbox>
                  <w14:checked w14:val="0"/>
                  <w14:checkedState w14:val="2612" w14:font="MS Gothic"/>
                  <w14:uncheckedState w14:val="2610" w14:font="MS Gothic"/>
                </w14:checkbox>
              </w:sdt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76DFA26F" w14:textId="77777777" w:rsidTr="009E322B">
        <w:trPr>
          <w:trHeight w:val="40"/>
        </w:trPr>
        <w:tc>
          <w:tcPr>
            <w:tcW w:w="2330" w:type="dxa"/>
            <w:vMerge/>
            <w:tcBorders>
              <w:left w:val="single" w:sz="4" w:space="0" w:color="auto"/>
              <w:right w:val="single" w:sz="4" w:space="0" w:color="auto"/>
            </w:tcBorders>
            <w:shd w:val="clear" w:color="auto" w:fill="auto"/>
          </w:tcPr>
          <w:p w14:paraId="33DA47DE" w14:textId="77777777" w:rsidR="001A2578" w:rsidRPr="003C0CD7" w:rsidRDefault="001A2578" w:rsidP="001A2578">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5803EA3C" w14:textId="5C9BBC47" w:rsidR="001A2578" w:rsidRPr="003C0CD7" w:rsidRDefault="001A2578" w:rsidP="001A2578">
            <w:pPr>
              <w:pStyle w:val="Text1"/>
              <w:spacing w:before="60" w:after="60"/>
              <w:ind w:left="0" w:right="-25"/>
              <w:jc w:val="left"/>
              <w:rPr>
                <w:color w:val="0D0D0D" w:themeColor="text1" w:themeTint="F2"/>
                <w:lang w:val="en-IE"/>
              </w:rPr>
            </w:pPr>
            <w:r>
              <w:t>Reduction of</w:t>
            </w:r>
            <w:r w:rsidRPr="005D6559">
              <w:t xml:space="preserve"> Inequalities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DF0CA" w14:textId="77777777" w:rsidR="001A2578" w:rsidRDefault="00E4342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302380195"/>
                <w14:checkbox>
                  <w14:checked w14:val="0"/>
                  <w14:checkedState w14:val="2612" w14:font="MS Gothic"/>
                  <w14:uncheckedState w14:val="2610" w14:font="MS Gothic"/>
                </w14:checkbox>
              </w:sdtPr>
              <w:sdtContent>
                <w:r w:rsidR="001A2578" w:rsidRPr="000A76A6">
                  <w:rPr>
                    <w:rFonts w:ascii="MS Gothic" w:eastAsia="MS Gothic" w:hAnsi="MS Gothic" w:cs="Segoe UI Symbol"/>
                    <w:color w:val="0D0D0D" w:themeColor="text1" w:themeTint="F2"/>
                    <w:sz w:val="22"/>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4B4BED" w14:textId="77777777" w:rsidR="001A2578" w:rsidRDefault="00E4342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293833487"/>
                <w14:checkbox>
                  <w14:checked w14:val="0"/>
                  <w14:checkedState w14:val="2612" w14:font="MS Gothic"/>
                  <w14:uncheckedState w14:val="2610" w14:font="MS Gothic"/>
                </w14:checkbox>
              </w:sdtPr>
              <w:sdtContent>
                <w:r w:rsidR="001A2578" w:rsidRPr="000A76A6">
                  <w:rPr>
                    <w:rFonts w:ascii="MS Gothic" w:eastAsia="MS Gothic" w:hAnsi="MS Gothic" w:cs="Segoe UI Symbol"/>
                    <w:color w:val="0D0D0D" w:themeColor="text1" w:themeTint="F2"/>
                    <w:sz w:val="22"/>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BAC9513" w14:textId="676FEDEE" w:rsidR="001A2578" w:rsidRDefault="00E4342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926022322"/>
                <w14:checkbox>
                  <w14:checked w14:val="1"/>
                  <w14:checkedState w14:val="2612" w14:font="MS Gothic"/>
                  <w14:uncheckedState w14:val="2610" w14:font="MS Gothic"/>
                </w14:checkbox>
              </w:sdtPr>
              <w:sdtContent>
                <w:r w:rsidR="008F1ACD">
                  <w:rPr>
                    <w:rFonts w:ascii="MS Gothic" w:eastAsia="MS Gothic" w:hAnsi="MS Gothic" w:cs="Segoe UI Symbol" w:hint="eastAsia"/>
                    <w:color w:val="0D0D0D" w:themeColor="text1" w:themeTint="F2"/>
                    <w:sz w:val="22"/>
                  </w:rPr>
                  <w:t>☒</w:t>
                </w:r>
              </w:sdtContent>
            </w:sdt>
          </w:p>
        </w:tc>
      </w:tr>
      <w:tr w:rsidR="001A2578" w:rsidRPr="008704EA" w14:paraId="356B401D" w14:textId="77777777" w:rsidTr="009E322B">
        <w:trPr>
          <w:trHeight w:val="40"/>
        </w:trPr>
        <w:tc>
          <w:tcPr>
            <w:tcW w:w="2330" w:type="dxa"/>
            <w:vMerge/>
            <w:tcBorders>
              <w:left w:val="single" w:sz="4" w:space="0" w:color="auto"/>
              <w:bottom w:val="single" w:sz="4" w:space="0" w:color="auto"/>
              <w:right w:val="single" w:sz="4" w:space="0" w:color="auto"/>
            </w:tcBorders>
            <w:shd w:val="clear" w:color="auto" w:fill="auto"/>
          </w:tcPr>
          <w:p w14:paraId="7C6786CA" w14:textId="77777777" w:rsidR="001A2578" w:rsidRPr="003C0CD7" w:rsidRDefault="001A2578" w:rsidP="001A2578">
            <w:pPr>
              <w:rPr>
                <w:rFonts w:cs="Times New Roman"/>
                <w:b/>
                <w:bCs/>
                <w:color w:val="0D0D0D" w:themeColor="text1" w:themeTint="F2"/>
                <w:szCs w:val="24"/>
                <w:lang w:val="en-IE"/>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2AAAE700" w14:textId="77777777" w:rsidR="001A2578" w:rsidRPr="003C0CD7" w:rsidRDefault="001A2578" w:rsidP="001A2578">
            <w:pPr>
              <w:pStyle w:val="Text1"/>
              <w:spacing w:before="60" w:after="60"/>
              <w:ind w:left="0" w:right="-25"/>
              <w:jc w:val="left"/>
              <w:rPr>
                <w:color w:val="0D0D0D" w:themeColor="text1" w:themeTint="F2"/>
                <w:lang w:val="en-IE"/>
              </w:rPr>
            </w:pPr>
            <w:r>
              <w:rPr>
                <w:lang w:val="en-IE"/>
              </w:rPr>
              <w:t>COVID</w:t>
            </w:r>
            <w:r w:rsidRPr="003C0CD7">
              <w:rPr>
                <w:lang w:val="en-IE"/>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6CA8F6" w14:textId="5DCB0661" w:rsidR="001A2578" w:rsidRPr="003C0CD7" w:rsidRDefault="00E4342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806739341"/>
                <w14:checkbox>
                  <w14:checked w14:val="1"/>
                  <w14:checkedState w14:val="2612" w14:font="MS Gothic"/>
                  <w14:uncheckedState w14:val="2610" w14:font="MS Gothic"/>
                </w14:checkbox>
              </w:sdtPr>
              <w:sdtContent>
                <w:r w:rsidR="008F1ACD">
                  <w:rPr>
                    <w:rFonts w:ascii="MS Gothic" w:eastAsia="MS Gothic" w:hAnsi="MS Gothic" w:cs="Segoe UI Symbol" w:hint="eastAsia"/>
                    <w:color w:val="0D0D0D" w:themeColor="text1" w:themeTint="F2"/>
                    <w:lang w:val="en-IE"/>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9AEDE3" w14:textId="77777777" w:rsidR="001A2578" w:rsidRPr="003C0CD7" w:rsidRDefault="00E4342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544207791"/>
                <w14:checkbox>
                  <w14:checked w14:val="0"/>
                  <w14:checkedState w14:val="2612" w14:font="MS Gothic"/>
                  <w14:uncheckedState w14:val="2610" w14:font="MS Gothic"/>
                </w14:checkbox>
              </w:sdtPr>
              <w:sdtContent>
                <w:r w:rsidR="001A2578" w:rsidRPr="003C0CD7">
                  <w:rPr>
                    <w:rFonts w:ascii="MS Gothic" w:eastAsia="MS Gothic" w:hAnsi="MS Gothic" w:cs="Segoe UI Symbol"/>
                    <w:color w:val="0D0D0D" w:themeColor="text1" w:themeTint="F2"/>
                    <w:lang w:val="en-IE"/>
                  </w:rPr>
                  <w:t>☐</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A4F581" w14:textId="77777777" w:rsidR="001A2578" w:rsidRPr="003C0CD7" w:rsidRDefault="00E4342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761604646"/>
                <w14:checkbox>
                  <w14:checked w14:val="0"/>
                  <w14:checkedState w14:val="2612" w14:font="MS Gothic"/>
                  <w14:uncheckedState w14:val="2610" w14:font="MS Gothic"/>
                </w14:checkbox>
              </w:sdt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5ABD7B42" w14:textId="77777777" w:rsidTr="009E322B">
        <w:tc>
          <w:tcPr>
            <w:tcW w:w="9498" w:type="dxa"/>
            <w:gridSpan w:val="5"/>
            <w:tcBorders>
              <w:top w:val="single" w:sz="4" w:space="0" w:color="auto"/>
              <w:left w:val="single" w:sz="4" w:space="0" w:color="auto"/>
              <w:bottom w:val="single" w:sz="4" w:space="0" w:color="auto"/>
              <w:right w:val="single" w:sz="4" w:space="0" w:color="auto"/>
            </w:tcBorders>
            <w:shd w:val="clear" w:color="auto" w:fill="auto"/>
          </w:tcPr>
          <w:p w14:paraId="6E8761BD" w14:textId="77777777" w:rsidR="001A2578" w:rsidRPr="003C0CD7" w:rsidRDefault="001A2578" w:rsidP="001A2578">
            <w:pPr>
              <w:jc w:val="center"/>
              <w:rPr>
                <w:b/>
                <w:szCs w:val="24"/>
                <w:lang w:val="en-IE"/>
              </w:rPr>
            </w:pPr>
            <w:r w:rsidRPr="003C0CD7">
              <w:rPr>
                <w:b/>
                <w:szCs w:val="24"/>
                <w:lang w:val="en-IE"/>
              </w:rPr>
              <w:t>BUDGET INFORMATION</w:t>
            </w:r>
          </w:p>
        </w:tc>
      </w:tr>
      <w:tr w:rsidR="001A2578" w:rsidRPr="008704EA" w14:paraId="57C6E4A1"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322E6686" w14:textId="77777777" w:rsidR="001A2578" w:rsidRPr="003C0CD7" w:rsidRDefault="001A2578" w:rsidP="001A2578">
            <w:pPr>
              <w:pStyle w:val="Text1"/>
              <w:spacing w:before="60" w:after="60"/>
              <w:ind w:left="0"/>
              <w:jc w:val="left"/>
              <w:rPr>
                <w:b/>
                <w:color w:val="0D0D0D" w:themeColor="text1" w:themeTint="F2"/>
                <w:lang w:val="en-IE"/>
              </w:rPr>
            </w:pPr>
            <w:r w:rsidRPr="003C0CD7">
              <w:rPr>
                <w:b/>
                <w:color w:val="0D0D0D" w:themeColor="text1" w:themeTint="F2"/>
                <w:lang w:val="en-IE"/>
              </w:rPr>
              <w:t>Amounts concerned</w:t>
            </w:r>
          </w:p>
          <w:p w14:paraId="391FEA76" w14:textId="77777777" w:rsidR="001A2578" w:rsidRPr="003C0CD7" w:rsidRDefault="001A2578" w:rsidP="001A2578">
            <w:pPr>
              <w:pStyle w:val="Text1"/>
              <w:spacing w:before="60" w:after="60"/>
              <w:ind w:left="0"/>
              <w:jc w:val="left"/>
              <w:rPr>
                <w:color w:val="0D0D0D" w:themeColor="text1" w:themeTint="F2"/>
                <w:lang w:val="en-IE"/>
              </w:rPr>
            </w:pP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18728B29" w14:textId="6CA795ED" w:rsidR="001A2578" w:rsidRPr="008F1ACD" w:rsidRDefault="001A2578" w:rsidP="008F1ACD">
            <w:pPr>
              <w:jc w:val="left"/>
            </w:pPr>
            <w:r w:rsidRPr="003C0CD7">
              <w:rPr>
                <w:szCs w:val="24"/>
                <w:lang w:val="en-IE"/>
              </w:rPr>
              <w:t xml:space="preserve">Budget line: </w:t>
            </w:r>
            <w:r w:rsidR="008F1ACD">
              <w:t>15.020101.01</w:t>
            </w:r>
          </w:p>
          <w:p w14:paraId="7D5152A5" w14:textId="5980D8DB" w:rsidR="001A2578" w:rsidRPr="003C0CD7" w:rsidRDefault="001A2578" w:rsidP="001A2578">
            <w:pPr>
              <w:spacing w:before="120" w:after="120"/>
              <w:ind w:right="-25"/>
              <w:rPr>
                <w:szCs w:val="24"/>
                <w:lang w:val="en-IE"/>
              </w:rPr>
            </w:pPr>
            <w:r w:rsidRPr="003C0CD7">
              <w:rPr>
                <w:szCs w:val="24"/>
                <w:lang w:val="en-IE"/>
              </w:rPr>
              <w:t xml:space="preserve">Total estimated cost: </w:t>
            </w:r>
            <w:r w:rsidRPr="00970283">
              <w:rPr>
                <w:szCs w:val="24"/>
                <w:highlight w:val="yellow"/>
                <w:lang w:val="en-IE"/>
              </w:rPr>
              <w:t xml:space="preserve">EUR </w:t>
            </w:r>
            <w:r w:rsidR="003B71A4" w:rsidRPr="00970283">
              <w:rPr>
                <w:szCs w:val="24"/>
                <w:highlight w:val="yellow"/>
                <w:lang w:val="en-IE"/>
              </w:rPr>
              <w:t xml:space="preserve">14 </w:t>
            </w:r>
            <w:r w:rsidR="000A6467" w:rsidRPr="00970283">
              <w:rPr>
                <w:szCs w:val="24"/>
                <w:highlight w:val="yellow"/>
                <w:lang w:val="en-IE"/>
              </w:rPr>
              <w:t>6</w:t>
            </w:r>
            <w:r w:rsidR="003B71A4" w:rsidRPr="00970283">
              <w:rPr>
                <w:szCs w:val="24"/>
                <w:highlight w:val="yellow"/>
                <w:lang w:val="en-IE"/>
              </w:rPr>
              <w:t>5</w:t>
            </w:r>
            <w:r w:rsidR="008F1ACD" w:rsidRPr="00970283">
              <w:rPr>
                <w:szCs w:val="24"/>
                <w:highlight w:val="yellow"/>
                <w:lang w:val="en-IE"/>
              </w:rPr>
              <w:t>0 000</w:t>
            </w:r>
          </w:p>
          <w:p w14:paraId="1D90D1A2" w14:textId="538B05A0" w:rsidR="00F5659C" w:rsidRPr="008F1ACD" w:rsidRDefault="001A2578">
            <w:pPr>
              <w:spacing w:before="120"/>
              <w:ind w:right="-25"/>
              <w:rPr>
                <w:szCs w:val="24"/>
                <w:lang w:val="en-IE"/>
              </w:rPr>
            </w:pPr>
            <w:r w:rsidRPr="003C0CD7">
              <w:rPr>
                <w:szCs w:val="24"/>
                <w:lang w:val="en-IE"/>
              </w:rPr>
              <w:t xml:space="preserve">Total amount of EU budget contribution </w:t>
            </w:r>
            <w:r w:rsidRPr="00970283">
              <w:rPr>
                <w:szCs w:val="24"/>
                <w:highlight w:val="yellow"/>
                <w:lang w:val="en-IE"/>
              </w:rPr>
              <w:t xml:space="preserve">EUR </w:t>
            </w:r>
            <w:r w:rsidR="008F1ACD" w:rsidRPr="00970283">
              <w:rPr>
                <w:szCs w:val="24"/>
                <w:highlight w:val="yellow"/>
                <w:lang w:val="en-IE"/>
              </w:rPr>
              <w:t>1</w:t>
            </w:r>
            <w:r w:rsidR="005C25AF" w:rsidRPr="00970283">
              <w:rPr>
                <w:szCs w:val="24"/>
                <w:highlight w:val="yellow"/>
                <w:lang w:val="en-IE"/>
              </w:rPr>
              <w:t>3</w:t>
            </w:r>
            <w:r w:rsidR="008F1ACD" w:rsidRPr="00970283">
              <w:rPr>
                <w:szCs w:val="24"/>
                <w:highlight w:val="yellow"/>
                <w:lang w:val="en-IE"/>
              </w:rPr>
              <w:t xml:space="preserve"> </w:t>
            </w:r>
            <w:r w:rsidR="00BA3C18" w:rsidRPr="00970283">
              <w:rPr>
                <w:szCs w:val="24"/>
                <w:highlight w:val="yellow"/>
                <w:lang w:val="en-IE"/>
              </w:rPr>
              <w:t xml:space="preserve">700 </w:t>
            </w:r>
            <w:r w:rsidR="008F1ACD" w:rsidRPr="00970283">
              <w:rPr>
                <w:szCs w:val="24"/>
                <w:highlight w:val="yellow"/>
                <w:lang w:val="en-IE"/>
              </w:rPr>
              <w:t>000</w:t>
            </w:r>
          </w:p>
        </w:tc>
      </w:tr>
      <w:tr w:rsidR="001A2578" w:rsidRPr="008704EA" w14:paraId="538E4DC3" w14:textId="77777777" w:rsidTr="009E322B">
        <w:tc>
          <w:tcPr>
            <w:tcW w:w="9498" w:type="dxa"/>
            <w:gridSpan w:val="5"/>
            <w:tcBorders>
              <w:top w:val="single" w:sz="4" w:space="0" w:color="auto"/>
              <w:left w:val="single" w:sz="4" w:space="0" w:color="auto"/>
              <w:bottom w:val="single" w:sz="4" w:space="0" w:color="auto"/>
              <w:right w:val="single" w:sz="4" w:space="0" w:color="auto"/>
            </w:tcBorders>
            <w:shd w:val="clear" w:color="auto" w:fill="auto"/>
          </w:tcPr>
          <w:p w14:paraId="043DD7D9" w14:textId="77777777" w:rsidR="001A2578" w:rsidRPr="003C0CD7" w:rsidRDefault="001A2578" w:rsidP="001A2578">
            <w:pPr>
              <w:jc w:val="center"/>
              <w:rPr>
                <w:b/>
                <w:szCs w:val="24"/>
                <w:lang w:val="en-IE"/>
              </w:rPr>
            </w:pPr>
            <w:r w:rsidRPr="003C0CD7">
              <w:rPr>
                <w:b/>
                <w:szCs w:val="24"/>
                <w:lang w:val="en-IE"/>
              </w:rPr>
              <w:t>MANAGEMENT AND IMPLEMENTATION</w:t>
            </w:r>
          </w:p>
        </w:tc>
      </w:tr>
      <w:tr w:rsidR="001A2578" w:rsidRPr="008704EA" w14:paraId="4291B723" w14:textId="77777777" w:rsidTr="009E322B">
        <w:tc>
          <w:tcPr>
            <w:tcW w:w="2330" w:type="dxa"/>
            <w:tcBorders>
              <w:top w:val="single" w:sz="4" w:space="0" w:color="auto"/>
              <w:left w:val="single" w:sz="4" w:space="0" w:color="auto"/>
              <w:bottom w:val="single" w:sz="4" w:space="0" w:color="auto"/>
              <w:right w:val="single" w:sz="4" w:space="0" w:color="auto"/>
            </w:tcBorders>
            <w:shd w:val="clear" w:color="auto" w:fill="auto"/>
          </w:tcPr>
          <w:p w14:paraId="154A18F2" w14:textId="3E305DF4" w:rsidR="001A2578" w:rsidRPr="003C0CD7" w:rsidRDefault="001A2578" w:rsidP="001A2578">
            <w:pPr>
              <w:pStyle w:val="Text1"/>
              <w:spacing w:before="60" w:after="60"/>
              <w:ind w:left="0"/>
              <w:jc w:val="left"/>
              <w:rPr>
                <w:color w:val="0D0D0D" w:themeColor="text1" w:themeTint="F2"/>
                <w:lang w:val="en-IE"/>
              </w:rPr>
            </w:pPr>
            <w:r w:rsidRPr="003C0CD7">
              <w:rPr>
                <w:b/>
                <w:color w:val="0D0D0D" w:themeColor="text1" w:themeTint="F2"/>
                <w:lang w:val="en-IE"/>
              </w:rPr>
              <w:t>Implementation modalities (management mode</w:t>
            </w:r>
            <w:r w:rsidR="00091845">
              <w:rPr>
                <w:b/>
                <w:color w:val="0D0D0D" w:themeColor="text1" w:themeTint="F2"/>
                <w:lang w:val="en-IE"/>
              </w:rPr>
              <w:t xml:space="preserve"> and delivery methods</w:t>
            </w:r>
            <w:r w:rsidRPr="003C0CD7">
              <w:rPr>
                <w:b/>
                <w:color w:val="0D0D0D" w:themeColor="text1" w:themeTint="F2"/>
                <w:lang w:val="en-IE"/>
              </w:rPr>
              <w:t>)</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2074CF88" w14:textId="5A939888" w:rsidR="001A2578" w:rsidRPr="00887216" w:rsidRDefault="001A2578" w:rsidP="001A2578">
            <w:pPr>
              <w:pStyle w:val="Text1"/>
              <w:spacing w:before="60" w:after="60"/>
              <w:ind w:left="0" w:right="-25"/>
              <w:jc w:val="left"/>
              <w:rPr>
                <w:lang w:val="en-IE"/>
              </w:rPr>
            </w:pPr>
            <w:r w:rsidRPr="00887216">
              <w:rPr>
                <w:b/>
                <w:lang w:val="en-IE"/>
              </w:rPr>
              <w:t>Direct management</w:t>
            </w:r>
            <w:r w:rsidRPr="00887216">
              <w:rPr>
                <w:lang w:val="en-IE"/>
              </w:rPr>
              <w:t xml:space="preserve"> through:</w:t>
            </w:r>
          </w:p>
          <w:p w14:paraId="6777F0D6" w14:textId="77777777" w:rsidR="00DC19D1" w:rsidRDefault="00887216" w:rsidP="00DC19D1">
            <w:pPr>
              <w:pStyle w:val="Text1"/>
              <w:numPr>
                <w:ilvl w:val="0"/>
                <w:numId w:val="28"/>
              </w:numPr>
              <w:spacing w:before="60" w:after="60"/>
              <w:ind w:right="-25"/>
              <w:jc w:val="left"/>
            </w:pPr>
            <w:r>
              <w:t>Grant</w:t>
            </w:r>
          </w:p>
          <w:p w14:paraId="1B33F687" w14:textId="5B92BA60" w:rsidR="00DC19D1" w:rsidRPr="00C85643" w:rsidRDefault="00DC19D1" w:rsidP="00DC19D1">
            <w:pPr>
              <w:pStyle w:val="Text1"/>
              <w:numPr>
                <w:ilvl w:val="0"/>
                <w:numId w:val="28"/>
              </w:numPr>
              <w:spacing w:before="60" w:after="60"/>
              <w:ind w:right="-25"/>
              <w:jc w:val="left"/>
              <w:rPr>
                <w:lang w:val="en-IE"/>
              </w:rPr>
            </w:pPr>
            <w:r>
              <w:t>Procurement</w:t>
            </w:r>
            <w:r w:rsidR="00887216">
              <w:t xml:space="preserve"> </w:t>
            </w:r>
          </w:p>
          <w:p w14:paraId="6F524799" w14:textId="489BC170" w:rsidR="00F5659C" w:rsidRPr="00C85643" w:rsidRDefault="00F5659C" w:rsidP="00481D80">
            <w:pPr>
              <w:pStyle w:val="Text1"/>
              <w:spacing w:before="60" w:after="60"/>
              <w:ind w:left="0" w:right="-25"/>
              <w:jc w:val="left"/>
              <w:rPr>
                <w:lang w:val="en-IE"/>
              </w:rPr>
            </w:pPr>
          </w:p>
        </w:tc>
      </w:tr>
      <w:tr w:rsidR="001A2578" w:rsidRPr="008704EA" w14:paraId="74F3EF98" w14:textId="77777777" w:rsidTr="009E322B">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0097CDF8" w14:textId="60CF2201" w:rsidR="001A2578" w:rsidRPr="003C0CD7" w:rsidRDefault="001A2578" w:rsidP="00AA3EA6">
            <w:pPr>
              <w:pStyle w:val="Text1"/>
              <w:spacing w:before="60" w:after="60"/>
              <w:ind w:left="-10" w:right="-108"/>
              <w:jc w:val="left"/>
              <w:rPr>
                <w:b/>
                <w:bCs/>
                <w:color w:val="0D0D0D" w:themeColor="text1" w:themeTint="F2"/>
                <w:lang w:val="en-IE"/>
              </w:rPr>
            </w:pPr>
            <w:r w:rsidRPr="003C0CD7">
              <w:rPr>
                <w:b/>
                <w:bCs/>
                <w:color w:val="0D0D0D" w:themeColor="text1" w:themeTint="F2"/>
                <w:lang w:val="en-IE"/>
              </w:rPr>
              <w:lastRenderedPageBreak/>
              <w:t xml:space="preserve">Final Date for conclusion of Financing Agreement </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5AC564F4" w14:textId="77777777" w:rsidR="001A2578" w:rsidRPr="003C0CD7" w:rsidRDefault="001A2578" w:rsidP="001A2578">
            <w:pPr>
              <w:pStyle w:val="Text1"/>
              <w:spacing w:before="60" w:after="60"/>
              <w:ind w:left="0"/>
              <w:jc w:val="left"/>
              <w:rPr>
                <w:highlight w:val="lightGray"/>
                <w:lang w:val="en-IE" w:eastAsia="de-DE"/>
              </w:rPr>
            </w:pPr>
          </w:p>
          <w:p w14:paraId="61BED7E1" w14:textId="01AF5BA1" w:rsidR="001A2578" w:rsidRPr="003C7A85" w:rsidRDefault="001A2578" w:rsidP="001A2578">
            <w:pPr>
              <w:pStyle w:val="Text1"/>
              <w:spacing w:before="60" w:after="60"/>
              <w:ind w:left="0"/>
              <w:jc w:val="left"/>
              <w:rPr>
                <w:lang w:val="en-IE" w:eastAsia="de-DE"/>
              </w:rPr>
            </w:pPr>
            <w:r w:rsidRPr="003C7A85">
              <w:rPr>
                <w:lang w:val="en-IE" w:eastAsia="de-DE"/>
              </w:rPr>
              <w:t xml:space="preserve">At the latest by 31 December </w:t>
            </w:r>
            <w:r w:rsidR="003C7A85">
              <w:rPr>
                <w:lang w:val="en-IE" w:eastAsia="de-DE"/>
              </w:rPr>
              <w:t>2025</w:t>
            </w:r>
          </w:p>
          <w:p w14:paraId="716CC5FA" w14:textId="77777777" w:rsidR="001A2578" w:rsidRPr="003C0CD7" w:rsidRDefault="001A2578" w:rsidP="001A2578">
            <w:pPr>
              <w:pStyle w:val="Text1"/>
              <w:spacing w:before="60" w:after="60"/>
              <w:ind w:left="0"/>
              <w:jc w:val="left"/>
              <w:rPr>
                <w:highlight w:val="yellow"/>
                <w:lang w:val="en-IE" w:eastAsia="de-DE"/>
              </w:rPr>
            </w:pPr>
          </w:p>
        </w:tc>
      </w:tr>
      <w:tr w:rsidR="001A2578" w:rsidRPr="008704EA" w14:paraId="1BC2E909" w14:textId="77777777" w:rsidTr="009E322B">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002D4F2E" w14:textId="7CEABFBA" w:rsidR="001A2578" w:rsidRPr="00AA3EA6" w:rsidRDefault="001A2578" w:rsidP="007F5D34">
            <w:pPr>
              <w:pStyle w:val="Text1"/>
              <w:spacing w:before="60" w:after="60"/>
              <w:ind w:left="0" w:right="-108"/>
              <w:jc w:val="left"/>
              <w:rPr>
                <w:b/>
                <w:bCs/>
                <w:color w:val="0D0D0D" w:themeColor="text1" w:themeTint="F2"/>
                <w:lang w:val="en-IE"/>
              </w:rPr>
            </w:pPr>
            <w:r w:rsidRPr="00AA3EA6">
              <w:rPr>
                <w:b/>
                <w:bCs/>
                <w:color w:val="0D0D0D" w:themeColor="text1" w:themeTint="F2"/>
                <w:lang w:val="en-IE"/>
              </w:rPr>
              <w:t>Final date for concluding contribution / delegation agreements,  procurement and grant contracts</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5F49BD66" w14:textId="77777777" w:rsidR="001A2578" w:rsidRPr="003C0CD7" w:rsidRDefault="001A2578" w:rsidP="001A2578">
            <w:pPr>
              <w:pStyle w:val="Text1"/>
              <w:spacing w:before="60" w:after="60"/>
              <w:ind w:left="0"/>
              <w:jc w:val="left"/>
              <w:rPr>
                <w:highlight w:val="lightGray"/>
                <w:lang w:val="en-IE" w:eastAsia="de-DE"/>
              </w:rPr>
            </w:pPr>
          </w:p>
          <w:p w14:paraId="2AF3CD05" w14:textId="551AB6FC" w:rsidR="001A2578" w:rsidRPr="00AA3EA6" w:rsidRDefault="001A2578" w:rsidP="001A2578">
            <w:pPr>
              <w:pStyle w:val="Text1"/>
              <w:spacing w:before="60" w:after="60"/>
              <w:ind w:left="0"/>
              <w:jc w:val="left"/>
              <w:rPr>
                <w:lang w:val="en-IE" w:eastAsia="de-DE"/>
              </w:rPr>
            </w:pPr>
            <w:r w:rsidRPr="00AA3EA6">
              <w:rPr>
                <w:lang w:val="en-IE" w:eastAsia="de-DE"/>
              </w:rPr>
              <w:t>3</w:t>
            </w:r>
            <w:r w:rsidR="00AA3EA6">
              <w:rPr>
                <w:lang w:val="en-IE" w:eastAsia="de-DE"/>
              </w:rPr>
              <w:t xml:space="preserve"> </w:t>
            </w:r>
            <w:r w:rsidRPr="00AA3EA6">
              <w:rPr>
                <w:lang w:val="en-IE" w:eastAsia="de-DE"/>
              </w:rPr>
              <w:t>years following the date of conclusion of the financing agreement, with the exception of cases listed under Article 114(2) of the Financial Regulation</w:t>
            </w:r>
          </w:p>
          <w:p w14:paraId="660CFFEC" w14:textId="77777777" w:rsidR="001A2578" w:rsidRPr="003C0CD7" w:rsidRDefault="001A2578" w:rsidP="001A2578">
            <w:pPr>
              <w:pStyle w:val="Text1"/>
              <w:spacing w:before="60" w:after="60"/>
              <w:ind w:left="0"/>
              <w:jc w:val="left"/>
              <w:rPr>
                <w:highlight w:val="lightGray"/>
                <w:lang w:val="en-IE" w:eastAsia="de-DE"/>
              </w:rPr>
            </w:pPr>
          </w:p>
        </w:tc>
      </w:tr>
      <w:tr w:rsidR="001A2578" w:rsidRPr="008704EA" w14:paraId="5A7791B3" w14:textId="77777777" w:rsidTr="009E322B">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2DB0D6A0" w14:textId="14B2019A" w:rsidR="001A2578" w:rsidRPr="003C0CD7" w:rsidRDefault="001A2578" w:rsidP="001A2578">
            <w:pPr>
              <w:pStyle w:val="Text1"/>
              <w:spacing w:before="60" w:after="60"/>
              <w:ind w:left="0" w:right="-108"/>
              <w:jc w:val="left"/>
              <w:rPr>
                <w:b/>
                <w:bCs/>
                <w:color w:val="0D0D0D" w:themeColor="text1" w:themeTint="F2"/>
                <w:highlight w:val="lightGray"/>
                <w:lang w:val="en-IE"/>
              </w:rPr>
            </w:pPr>
            <w:r w:rsidRPr="003C0CD7">
              <w:rPr>
                <w:b/>
                <w:bCs/>
                <w:color w:val="0D0D0D" w:themeColor="text1" w:themeTint="F2"/>
                <w:lang w:val="en-IE"/>
              </w:rPr>
              <w:t xml:space="preserve">Indicative </w:t>
            </w:r>
            <w:r w:rsidRPr="00AA3EA6">
              <w:rPr>
                <w:b/>
                <w:bCs/>
                <w:color w:val="0D0D0D" w:themeColor="text1" w:themeTint="F2"/>
                <w:lang w:val="en-IE"/>
              </w:rPr>
              <w:t xml:space="preserve">operational implementation </w:t>
            </w:r>
            <w:r w:rsidRPr="003C0CD7">
              <w:rPr>
                <w:b/>
                <w:bCs/>
                <w:color w:val="0D0D0D" w:themeColor="text1" w:themeTint="F2"/>
                <w:lang w:val="en-IE"/>
              </w:rPr>
              <w:t>period</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04507E36" w14:textId="73ACEB12" w:rsidR="001A2578" w:rsidRPr="003C0CD7" w:rsidRDefault="00AA3EA6" w:rsidP="001A2578">
            <w:pPr>
              <w:pStyle w:val="Text1"/>
              <w:spacing w:before="60" w:after="60"/>
              <w:ind w:left="0"/>
              <w:jc w:val="left"/>
              <w:rPr>
                <w:highlight w:val="lightGray"/>
                <w:lang w:val="en-IE" w:eastAsia="de-DE"/>
              </w:rPr>
            </w:pPr>
            <w:r>
              <w:rPr>
                <w:lang w:val="en-IE" w:eastAsia="de-DE"/>
              </w:rPr>
              <w:t>72</w:t>
            </w:r>
            <w:r w:rsidR="001A2578" w:rsidRPr="003C0CD7">
              <w:rPr>
                <w:lang w:val="en-IE"/>
              </w:rPr>
              <w:t xml:space="preserve"> </w:t>
            </w:r>
            <w:r w:rsidR="001A2578" w:rsidRPr="00AA3EA6">
              <w:rPr>
                <w:lang w:val="en-IE"/>
              </w:rPr>
              <w:t xml:space="preserve">months </w:t>
            </w:r>
            <w:r w:rsidR="001A2578" w:rsidRPr="00AA3EA6">
              <w:rPr>
                <w:lang w:val="en-IE" w:eastAsia="de-DE"/>
              </w:rPr>
              <w:t>following the conclusion of the Financing Agreement</w:t>
            </w:r>
          </w:p>
          <w:p w14:paraId="1F069464" w14:textId="77777777" w:rsidR="001A2578" w:rsidRPr="003C0CD7" w:rsidRDefault="001A2578" w:rsidP="001A2578">
            <w:pPr>
              <w:pStyle w:val="Text1"/>
              <w:spacing w:before="60" w:after="60"/>
              <w:ind w:left="0"/>
              <w:jc w:val="left"/>
              <w:rPr>
                <w:highlight w:val="lightGray"/>
                <w:lang w:val="en-IE" w:eastAsia="de-DE"/>
              </w:rPr>
            </w:pPr>
          </w:p>
        </w:tc>
      </w:tr>
      <w:tr w:rsidR="001A2578" w:rsidRPr="008704EA" w14:paraId="10E1681C" w14:textId="77777777" w:rsidTr="009E322B">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5A8E99FD" w14:textId="32119ECB" w:rsidR="001A2578" w:rsidRPr="00AA3EA6" w:rsidRDefault="001A2578" w:rsidP="001A2578">
            <w:pPr>
              <w:pStyle w:val="Text1"/>
              <w:spacing w:before="60" w:after="60"/>
              <w:ind w:left="0" w:right="-108"/>
              <w:jc w:val="left"/>
              <w:rPr>
                <w:b/>
                <w:color w:val="000000"/>
                <w:lang w:val="en-IE"/>
              </w:rPr>
            </w:pPr>
            <w:r w:rsidRPr="003C0CD7">
              <w:rPr>
                <w:b/>
                <w:color w:val="000000"/>
                <w:lang w:val="en-IE"/>
              </w:rPr>
              <w:t>Final date for implementing the Financing Agreement</w:t>
            </w:r>
          </w:p>
        </w:tc>
        <w:tc>
          <w:tcPr>
            <w:tcW w:w="7168" w:type="dxa"/>
            <w:gridSpan w:val="4"/>
            <w:tcBorders>
              <w:top w:val="single" w:sz="4" w:space="0" w:color="auto"/>
              <w:left w:val="single" w:sz="4" w:space="0" w:color="auto"/>
              <w:bottom w:val="single" w:sz="4" w:space="0" w:color="auto"/>
              <w:right w:val="single" w:sz="4" w:space="0" w:color="auto"/>
            </w:tcBorders>
            <w:shd w:val="clear" w:color="auto" w:fill="auto"/>
          </w:tcPr>
          <w:p w14:paraId="2BB66F87" w14:textId="42D7ADFE" w:rsidR="001A2578" w:rsidRPr="00AA3EA6" w:rsidRDefault="001A2578" w:rsidP="001A2578">
            <w:pPr>
              <w:pStyle w:val="Text1"/>
              <w:spacing w:before="60" w:after="60"/>
              <w:ind w:left="0"/>
              <w:jc w:val="left"/>
              <w:rPr>
                <w:lang w:val="en-IE" w:eastAsia="de-DE"/>
              </w:rPr>
            </w:pPr>
            <w:r w:rsidRPr="00AA3EA6">
              <w:rPr>
                <w:lang w:val="en-IE" w:eastAsia="de-DE"/>
              </w:rPr>
              <w:t xml:space="preserve">12 years following the conclusion of the </w:t>
            </w:r>
            <w:r w:rsidR="00AA3EA6">
              <w:rPr>
                <w:lang w:val="en-IE" w:eastAsia="de-DE"/>
              </w:rPr>
              <w:t>F</w:t>
            </w:r>
            <w:r w:rsidRPr="00AA3EA6">
              <w:rPr>
                <w:lang w:val="en-IE" w:eastAsia="de-DE"/>
              </w:rPr>
              <w:t xml:space="preserve">inancing </w:t>
            </w:r>
            <w:r w:rsidR="00AA3EA6">
              <w:rPr>
                <w:lang w:val="en-IE" w:eastAsia="de-DE"/>
              </w:rPr>
              <w:t>A</w:t>
            </w:r>
            <w:r w:rsidRPr="00AA3EA6">
              <w:rPr>
                <w:lang w:val="en-IE" w:eastAsia="de-DE"/>
              </w:rPr>
              <w:t>greement</w:t>
            </w:r>
          </w:p>
        </w:tc>
      </w:tr>
    </w:tbl>
    <w:p w14:paraId="3263BA63" w14:textId="77777777" w:rsidR="0020000F" w:rsidRPr="003C0CD7" w:rsidRDefault="00FD7FCD" w:rsidP="003C0CD7">
      <w:pPr>
        <w:pStyle w:val="Ttulo1"/>
        <w:numPr>
          <w:ilvl w:val="1"/>
          <w:numId w:val="1"/>
        </w:numPr>
        <w:rPr>
          <w:lang w:val="en-IE"/>
        </w:rPr>
      </w:pPr>
      <w:bookmarkStart w:id="12" w:name="_Ref58422630"/>
      <w:bookmarkStart w:id="13" w:name="_Ref58422632"/>
      <w:bookmarkStart w:id="14" w:name="_Toc73090732"/>
      <w:r w:rsidRPr="003C0CD7">
        <w:rPr>
          <w:lang w:val="en-IE"/>
        </w:rPr>
        <w:t>Summary of the Action</w:t>
      </w:r>
      <w:bookmarkEnd w:id="12"/>
      <w:bookmarkEnd w:id="13"/>
      <w:bookmarkEnd w:id="14"/>
      <w:r w:rsidR="00532695" w:rsidRPr="003C0CD7">
        <w:rPr>
          <w:lang w:val="en-IE"/>
        </w:rPr>
        <w:t xml:space="preserve"> </w:t>
      </w:r>
    </w:p>
    <w:p w14:paraId="52677DCA" w14:textId="3B05DBCD" w:rsidR="00DC1BA3" w:rsidRDefault="00774C5F" w:rsidP="00970283">
      <w:pPr>
        <w:spacing w:before="120"/>
        <w:ind w:left="283"/>
        <w:rPr>
          <w:lang w:val="en-IE"/>
        </w:rPr>
      </w:pPr>
      <w:r w:rsidRPr="00774C5F">
        <w:rPr>
          <w:lang w:val="en-IE"/>
        </w:rPr>
        <w:t xml:space="preserve">This Action aims to combat discrimination and </w:t>
      </w:r>
      <w:r w:rsidR="004C524D">
        <w:rPr>
          <w:lang w:val="en-IE"/>
        </w:rPr>
        <w:t>ensure</w:t>
      </w:r>
      <w:r w:rsidRPr="00774C5F">
        <w:rPr>
          <w:lang w:val="en-IE"/>
        </w:rPr>
        <w:t xml:space="preserve"> the protection and social integration of vulnerable </w:t>
      </w:r>
      <w:r w:rsidR="006B2E88">
        <w:rPr>
          <w:lang w:val="en-IE"/>
        </w:rPr>
        <w:t>people</w:t>
      </w:r>
      <w:r w:rsidRPr="00774C5F">
        <w:rPr>
          <w:lang w:val="en-IE"/>
        </w:rPr>
        <w:t xml:space="preserve">, including children, women, LGTBI individuals, persons with disabilities, and minorities. </w:t>
      </w:r>
      <w:r w:rsidR="006B2E88">
        <w:rPr>
          <w:lang w:val="en-IE"/>
        </w:rPr>
        <w:t>T</w:t>
      </w:r>
      <w:r w:rsidRPr="00774C5F">
        <w:rPr>
          <w:lang w:val="en-IE"/>
        </w:rPr>
        <w:t xml:space="preserve">he </w:t>
      </w:r>
      <w:r w:rsidR="00AA04A4">
        <w:rPr>
          <w:lang w:val="en-IE"/>
        </w:rPr>
        <w:t xml:space="preserve">EU assistance will support North Macedonia in </w:t>
      </w:r>
      <w:r w:rsidRPr="00774C5F">
        <w:rPr>
          <w:lang w:val="en-IE"/>
        </w:rPr>
        <w:t>improv</w:t>
      </w:r>
      <w:r w:rsidR="00AA04A4">
        <w:rPr>
          <w:lang w:val="en-IE"/>
        </w:rPr>
        <w:t>ing</w:t>
      </w:r>
      <w:r w:rsidRPr="00774C5F">
        <w:rPr>
          <w:lang w:val="en-IE"/>
        </w:rPr>
        <w:t xml:space="preserve"> </w:t>
      </w:r>
      <w:r w:rsidR="006B2E88">
        <w:rPr>
          <w:lang w:val="en-IE"/>
        </w:rPr>
        <w:t xml:space="preserve">the country’s </w:t>
      </w:r>
      <w:r w:rsidRPr="00774C5F">
        <w:rPr>
          <w:lang w:val="en-IE"/>
        </w:rPr>
        <w:t xml:space="preserve">response to gender-based and domestic violence, </w:t>
      </w:r>
      <w:r w:rsidR="00DC1BA3">
        <w:rPr>
          <w:lang w:val="en-IE"/>
        </w:rPr>
        <w:t>school exclusion of Roma children and children with disabilities, and huge gap in Roma access to housing.</w:t>
      </w:r>
    </w:p>
    <w:p w14:paraId="49189F69" w14:textId="6ACE0822" w:rsidR="00201358" w:rsidRPr="00512A0F" w:rsidRDefault="00047D40" w:rsidP="00970283">
      <w:pPr>
        <w:spacing w:before="120"/>
        <w:ind w:left="283"/>
        <w:rPr>
          <w:rFonts w:eastAsia="Times New Roman" w:cs="Times New Roman"/>
          <w:szCs w:val="24"/>
          <w:lang w:eastAsia="en-GB"/>
        </w:rPr>
      </w:pPr>
      <w:r>
        <w:rPr>
          <w:lang w:val="en-IE"/>
        </w:rPr>
        <w:t xml:space="preserve">EU will continue to invest in improving the </w:t>
      </w:r>
      <w:r>
        <w:rPr>
          <w:rFonts w:cs="Times New Roman"/>
          <w:lang w:val="en-IE"/>
        </w:rPr>
        <w:t xml:space="preserve">services </w:t>
      </w:r>
      <w:r w:rsidRPr="00467840">
        <w:rPr>
          <w:rFonts w:cs="Times New Roman"/>
          <w:lang w:val="en-IE"/>
        </w:rPr>
        <w:t xml:space="preserve">for </w:t>
      </w:r>
      <w:r w:rsidRPr="00970283">
        <w:rPr>
          <w:rFonts w:cs="Times New Roman"/>
          <w:lang w:val="en-IE"/>
        </w:rPr>
        <w:t>prevention and protection of gender-based violence</w:t>
      </w:r>
      <w:r>
        <w:rPr>
          <w:rFonts w:cs="Times New Roman"/>
          <w:lang w:val="en-IE"/>
        </w:rPr>
        <w:t xml:space="preserve">. </w:t>
      </w:r>
      <w:r w:rsidRPr="00467840">
        <w:rPr>
          <w:rFonts w:cs="Times New Roman"/>
          <w:lang w:val="en-IE"/>
        </w:rPr>
        <w:t>The Action will s</w:t>
      </w:r>
      <w:r w:rsidRPr="00512A0F">
        <w:rPr>
          <w:rFonts w:cs="Times New Roman"/>
          <w:color w:val="0D0D0D"/>
          <w:lang w:val="en-IE"/>
        </w:rPr>
        <w:t>upport</w:t>
      </w:r>
      <w:r w:rsidRPr="00BD5D9A">
        <w:rPr>
          <w:rFonts w:cs="Times New Roman"/>
          <w:color w:val="0D0D0D"/>
          <w:lang w:val="en-IE"/>
        </w:rPr>
        <w:t xml:space="preserve"> specialised and other essential soci</w:t>
      </w:r>
      <w:r>
        <w:rPr>
          <w:rFonts w:cs="Times New Roman"/>
          <w:color w:val="0D0D0D"/>
          <w:lang w:val="en-IE"/>
        </w:rPr>
        <w:t xml:space="preserve">al services such as </w:t>
      </w:r>
      <w:r w:rsidR="00201358">
        <w:rPr>
          <w:rFonts w:cs="Times New Roman"/>
          <w:color w:val="0D0D0D"/>
          <w:lang w:val="en-IE"/>
        </w:rPr>
        <w:t xml:space="preserve">domestic violence and human trafficking </w:t>
      </w:r>
      <w:r>
        <w:rPr>
          <w:rFonts w:cs="Times New Roman"/>
          <w:color w:val="0D0D0D"/>
          <w:lang w:val="en-IE"/>
        </w:rPr>
        <w:t>shelters</w:t>
      </w:r>
      <w:r w:rsidR="00201358">
        <w:rPr>
          <w:rFonts w:cs="Times New Roman"/>
          <w:color w:val="0D0D0D"/>
          <w:lang w:val="en-IE"/>
        </w:rPr>
        <w:t xml:space="preserve">, providing immediate protection from danger to </w:t>
      </w:r>
      <w:r w:rsidR="00201358" w:rsidRPr="00201358">
        <w:rPr>
          <w:rFonts w:eastAsia="Times New Roman" w:cs="Times New Roman"/>
          <w:szCs w:val="24"/>
          <w:lang w:eastAsia="en-GB"/>
        </w:rPr>
        <w:t>victims of abuse and their children/families</w:t>
      </w:r>
      <w:r w:rsidR="00201358">
        <w:rPr>
          <w:rFonts w:eastAsia="Times New Roman" w:cs="Times New Roman"/>
          <w:szCs w:val="24"/>
          <w:lang w:eastAsia="en-GB"/>
        </w:rPr>
        <w:t xml:space="preserve">, as well as a full range of </w:t>
      </w:r>
      <w:r w:rsidR="00201358">
        <w:rPr>
          <w:rFonts w:cs="Times New Roman"/>
          <w:color w:val="0D0D0D"/>
          <w:lang w:val="en-IE"/>
        </w:rPr>
        <w:t xml:space="preserve">psychological support, </w:t>
      </w:r>
      <w:r w:rsidR="00201358">
        <w:rPr>
          <w:rFonts w:eastAsia="Times New Roman" w:cs="Times New Roman"/>
          <w:szCs w:val="24"/>
          <w:lang w:eastAsia="en-GB"/>
        </w:rPr>
        <w:t>counselling, employment and legal services. This will be paired with</w:t>
      </w:r>
      <w:r w:rsidR="00BD5D9A">
        <w:rPr>
          <w:rFonts w:eastAsia="Times New Roman" w:cs="Times New Roman"/>
          <w:szCs w:val="24"/>
          <w:lang w:eastAsia="en-GB"/>
        </w:rPr>
        <w:t xml:space="preserve"> strong outreach activities, c</w:t>
      </w:r>
      <w:r w:rsidR="00BD5D9A" w:rsidRPr="00467840">
        <w:t>reating awareness and fostering violence prevention</w:t>
      </w:r>
      <w:r w:rsidR="00BD5D9A">
        <w:t xml:space="preserve"> </w:t>
      </w:r>
      <w:r w:rsidR="008F4FAE">
        <w:t>among</w:t>
      </w:r>
      <w:r w:rsidR="00BD5D9A">
        <w:t xml:space="preserve"> institutions, health care establishments, schools,</w:t>
      </w:r>
      <w:r w:rsidR="00BD5D9A" w:rsidRPr="00467840">
        <w:t xml:space="preserve"> </w:t>
      </w:r>
      <w:r w:rsidR="00BD5D9A">
        <w:t xml:space="preserve">municipalities and </w:t>
      </w:r>
      <w:r w:rsidR="00BD5D9A" w:rsidRPr="00467840">
        <w:t>community </w:t>
      </w:r>
      <w:r w:rsidR="00BD5D9A">
        <w:t>organisations</w:t>
      </w:r>
      <w:r w:rsidR="00BD5D9A" w:rsidRPr="00467840">
        <w:t>.</w:t>
      </w:r>
    </w:p>
    <w:p w14:paraId="49B133FC" w14:textId="77264B4C" w:rsidR="00DC1BA3" w:rsidRDefault="00AA04A4" w:rsidP="00970283">
      <w:pPr>
        <w:spacing w:before="120"/>
        <w:ind w:left="283"/>
        <w:rPr>
          <w:lang w:val="en-IE"/>
        </w:rPr>
      </w:pPr>
      <w:r>
        <w:rPr>
          <w:lang w:val="en-IE"/>
        </w:rPr>
        <w:t xml:space="preserve">The Action will also </w:t>
      </w:r>
      <w:r w:rsidR="00953288">
        <w:rPr>
          <w:lang w:val="en-IE"/>
        </w:rPr>
        <w:t xml:space="preserve">ensure the right of </w:t>
      </w:r>
      <w:r w:rsidR="006B2E88">
        <w:rPr>
          <w:lang w:val="en-IE"/>
        </w:rPr>
        <w:t>vulnerable children</w:t>
      </w:r>
      <w:r w:rsidR="005C1EF8">
        <w:rPr>
          <w:lang w:val="en-IE"/>
        </w:rPr>
        <w:t xml:space="preserve"> </w:t>
      </w:r>
      <w:r w:rsidR="00953288">
        <w:rPr>
          <w:lang w:val="en-IE"/>
        </w:rPr>
        <w:t xml:space="preserve">to quality education in a safe and accessible </w:t>
      </w:r>
      <w:r w:rsidR="006B2E88">
        <w:rPr>
          <w:lang w:val="en-IE"/>
        </w:rPr>
        <w:t xml:space="preserve">school </w:t>
      </w:r>
      <w:r w:rsidR="00953288">
        <w:rPr>
          <w:lang w:val="en-IE"/>
        </w:rPr>
        <w:t>environment</w:t>
      </w:r>
      <w:r>
        <w:rPr>
          <w:lang w:val="en-IE"/>
        </w:rPr>
        <w:t xml:space="preserve">. It will invest in improving the physical access to educational establishments for children with disabilities thus promoting an inclusive schooling process. The scholarships to Roma and children with disabilities will create incentives for </w:t>
      </w:r>
      <w:r w:rsidR="00047D40">
        <w:rPr>
          <w:lang w:val="en-IE"/>
        </w:rPr>
        <w:t xml:space="preserve">children and parents for improving the school attendance </w:t>
      </w:r>
      <w:r w:rsidR="00575B88">
        <w:rPr>
          <w:lang w:val="en-IE"/>
        </w:rPr>
        <w:t xml:space="preserve">and </w:t>
      </w:r>
      <w:r>
        <w:rPr>
          <w:lang w:val="en-IE"/>
        </w:rPr>
        <w:t xml:space="preserve">will support the closing of the educational divide. </w:t>
      </w:r>
    </w:p>
    <w:p w14:paraId="4BA779B2" w14:textId="3C4649BF" w:rsidR="00774C5F" w:rsidRPr="00774C5F" w:rsidRDefault="00A571EC" w:rsidP="00970283">
      <w:pPr>
        <w:spacing w:before="120"/>
        <w:ind w:left="283"/>
        <w:rPr>
          <w:lang w:val="en-IE"/>
        </w:rPr>
      </w:pPr>
      <w:r>
        <w:rPr>
          <w:lang w:val="en-IE"/>
        </w:rPr>
        <w:t xml:space="preserve">The </w:t>
      </w:r>
      <w:r w:rsidR="00AA04A4">
        <w:rPr>
          <w:lang w:val="en-IE"/>
        </w:rPr>
        <w:t xml:space="preserve">Action </w:t>
      </w:r>
      <w:r>
        <w:rPr>
          <w:lang w:val="en-IE"/>
        </w:rPr>
        <w:t>will contribute to ensuring</w:t>
      </w:r>
      <w:r w:rsidRPr="00774C5F">
        <w:rPr>
          <w:lang w:val="en-IE"/>
        </w:rPr>
        <w:t xml:space="preserve"> the right of Roma people to legal housing</w:t>
      </w:r>
      <w:r>
        <w:rPr>
          <w:lang w:val="en-IE"/>
        </w:rPr>
        <w:t xml:space="preserve">. It will </w:t>
      </w:r>
      <w:r w:rsidR="00774C5F" w:rsidRPr="00774C5F">
        <w:rPr>
          <w:lang w:val="en-IE"/>
        </w:rPr>
        <w:t xml:space="preserve">support the preparation of urban-spatial plans for </w:t>
      </w:r>
      <w:r>
        <w:rPr>
          <w:lang w:val="en-IE"/>
        </w:rPr>
        <w:t>six</w:t>
      </w:r>
      <w:r w:rsidRPr="00774C5F">
        <w:rPr>
          <w:lang w:val="en-IE"/>
        </w:rPr>
        <w:t xml:space="preserve"> </w:t>
      </w:r>
      <w:r w:rsidR="00774C5F" w:rsidRPr="00774C5F">
        <w:rPr>
          <w:lang w:val="en-IE"/>
        </w:rPr>
        <w:t>municipalities with a high concentration of Roma people and complete technical documentation for future EU investments in urbanising Roma settlements.</w:t>
      </w:r>
    </w:p>
    <w:p w14:paraId="11B55CDD" w14:textId="154FC016" w:rsidR="006E4F2E" w:rsidRDefault="006E4F2E" w:rsidP="00F77AB4">
      <w:pPr>
        <w:pStyle w:val="Ttulo2"/>
        <w:numPr>
          <w:ilvl w:val="1"/>
          <w:numId w:val="12"/>
        </w:numPr>
        <w:ind w:left="788" w:hanging="431"/>
      </w:pPr>
      <w:bookmarkStart w:id="15" w:name="_Hlk115185082"/>
      <w:bookmarkStart w:id="16" w:name="_Ref58421925"/>
      <w:r w:rsidRPr="00C03F96">
        <w:t xml:space="preserve">Beneficiary of the </w:t>
      </w:r>
      <w:r>
        <w:t>A</w:t>
      </w:r>
      <w:r w:rsidRPr="00C03F96">
        <w:t>ction</w:t>
      </w:r>
      <w:r w:rsidRPr="009258FE" w:rsidDel="00C03F96">
        <w:t xml:space="preserve"> </w:t>
      </w:r>
    </w:p>
    <w:p w14:paraId="75B84314" w14:textId="2B5459B5" w:rsidR="006E4F2E" w:rsidRDefault="006E4F2E" w:rsidP="00970283">
      <w:pPr>
        <w:ind w:left="357"/>
        <w:rPr>
          <w:szCs w:val="24"/>
          <w:lang w:val="en-IE"/>
        </w:rPr>
      </w:pPr>
      <w:r w:rsidRPr="0082062A">
        <w:rPr>
          <w:szCs w:val="24"/>
          <w:lang w:val="en-IE"/>
        </w:rPr>
        <w:t xml:space="preserve">The </w:t>
      </w:r>
      <w:r w:rsidR="00376097">
        <w:rPr>
          <w:szCs w:val="24"/>
          <w:lang w:val="en-IE"/>
        </w:rPr>
        <w:t>A</w:t>
      </w:r>
      <w:r w:rsidRPr="0082062A">
        <w:rPr>
          <w:szCs w:val="24"/>
          <w:lang w:val="en-IE"/>
        </w:rPr>
        <w:t xml:space="preserve">ction shall be carried out in </w:t>
      </w:r>
      <w:r w:rsidR="006541AF">
        <w:rPr>
          <w:szCs w:val="24"/>
          <w:lang w:val="en-IE"/>
        </w:rPr>
        <w:t>North Macedonia</w:t>
      </w:r>
      <w:r w:rsidR="00B633A0">
        <w:rPr>
          <w:szCs w:val="24"/>
          <w:lang w:val="en-IE"/>
        </w:rPr>
        <w:t>.</w:t>
      </w:r>
    </w:p>
    <w:p w14:paraId="08ECE6AE" w14:textId="77777777" w:rsidR="00FD7FCD" w:rsidRPr="003C0CD7" w:rsidRDefault="00FD7FCD" w:rsidP="007540C6">
      <w:pPr>
        <w:pStyle w:val="Ttulo1"/>
        <w:rPr>
          <w:lang w:val="en-IE"/>
        </w:rPr>
      </w:pPr>
      <w:bookmarkStart w:id="17" w:name="_Toc73090733"/>
      <w:bookmarkEnd w:id="15"/>
      <w:r w:rsidRPr="003C0CD7">
        <w:rPr>
          <w:lang w:val="en-IE"/>
        </w:rPr>
        <w:lastRenderedPageBreak/>
        <w:t>RATIONALE</w:t>
      </w:r>
      <w:bookmarkEnd w:id="16"/>
      <w:bookmarkEnd w:id="17"/>
    </w:p>
    <w:p w14:paraId="035A54FE" w14:textId="41CF9499" w:rsidR="007C3E5D" w:rsidRDefault="00EE7957" w:rsidP="003C0CD7">
      <w:pPr>
        <w:pStyle w:val="Ttulo1"/>
        <w:numPr>
          <w:ilvl w:val="1"/>
          <w:numId w:val="1"/>
        </w:numPr>
        <w:rPr>
          <w:lang w:val="en-IE"/>
        </w:rPr>
      </w:pPr>
      <w:bookmarkStart w:id="18" w:name="_Toc58681324"/>
      <w:bookmarkStart w:id="19" w:name="_Toc58836454"/>
      <w:bookmarkStart w:id="20" w:name="_Toc58838072"/>
      <w:bookmarkStart w:id="21" w:name="_Toc58838127"/>
      <w:bookmarkStart w:id="22" w:name="_Toc58845970"/>
      <w:bookmarkStart w:id="23" w:name="_Toc58876979"/>
      <w:bookmarkStart w:id="24" w:name="_Toc58878014"/>
      <w:bookmarkStart w:id="25" w:name="_Toc59012327"/>
      <w:bookmarkStart w:id="26" w:name="_Toc59012903"/>
      <w:bookmarkStart w:id="27" w:name="_Toc59020751"/>
      <w:bookmarkStart w:id="28" w:name="_Toc59023350"/>
      <w:bookmarkStart w:id="29" w:name="_Toc59029519"/>
      <w:bookmarkStart w:id="30" w:name="_Toc59030335"/>
      <w:bookmarkStart w:id="31" w:name="_Toc59031652"/>
      <w:bookmarkStart w:id="32" w:name="_Toc62247152"/>
      <w:bookmarkStart w:id="33" w:name="_Toc62247209"/>
      <w:bookmarkStart w:id="34" w:name="_Toc62459251"/>
      <w:bookmarkStart w:id="35" w:name="_Toc62476915"/>
      <w:bookmarkStart w:id="36" w:name="_Toc63235823"/>
      <w:bookmarkStart w:id="37" w:name="_Toc63248929"/>
      <w:bookmarkStart w:id="38" w:name="_Toc63263258"/>
      <w:bookmarkStart w:id="39" w:name="_Toc64043035"/>
      <w:bookmarkStart w:id="40" w:name="_Toc65663746"/>
      <w:bookmarkStart w:id="41" w:name="_Toc65665561"/>
      <w:bookmarkStart w:id="42" w:name="_Toc65665923"/>
      <w:bookmarkStart w:id="43" w:name="_Toc65666102"/>
      <w:bookmarkStart w:id="44" w:name="_Toc65671179"/>
      <w:bookmarkStart w:id="45" w:name="_Toc65671238"/>
      <w:bookmarkStart w:id="46" w:name="_Toc65671895"/>
      <w:bookmarkStart w:id="47" w:name="_Toc65674751"/>
      <w:bookmarkStart w:id="48" w:name="_Toc65676401"/>
      <w:bookmarkStart w:id="49" w:name="_Toc65688238"/>
      <w:bookmarkStart w:id="50" w:name="_Toc66465127"/>
      <w:bookmarkStart w:id="51" w:name="_Toc66465580"/>
      <w:bookmarkStart w:id="52" w:name="_Toc66465639"/>
      <w:bookmarkStart w:id="53" w:name="_Toc66696365"/>
      <w:bookmarkStart w:id="54" w:name="_Toc67665914"/>
      <w:bookmarkStart w:id="55" w:name="_Toc69384673"/>
      <w:bookmarkStart w:id="56" w:name="_Toc69384804"/>
      <w:bookmarkStart w:id="57" w:name="_Toc69384933"/>
      <w:bookmarkStart w:id="58" w:name="_Toc69385061"/>
      <w:bookmarkStart w:id="59" w:name="_Toc69460809"/>
      <w:bookmarkStart w:id="60" w:name="_Toc69460936"/>
      <w:bookmarkStart w:id="61" w:name="_Toc69469897"/>
      <w:bookmarkStart w:id="62" w:name="_Toc69485760"/>
      <w:bookmarkStart w:id="63" w:name="_Toc69487635"/>
      <w:bookmarkStart w:id="64" w:name="_Toc72142225"/>
      <w:bookmarkStart w:id="65" w:name="_Toc72142311"/>
      <w:bookmarkStart w:id="66" w:name="_Toc73090651"/>
      <w:bookmarkStart w:id="67" w:name="_Toc73090734"/>
      <w:bookmarkStart w:id="68" w:name="_Toc59030336"/>
      <w:bookmarkStart w:id="69" w:name="_Toc59031653"/>
      <w:bookmarkStart w:id="70" w:name="_Toc62247153"/>
      <w:bookmarkStart w:id="71" w:name="_Toc62247210"/>
      <w:bookmarkStart w:id="72" w:name="_Toc62459252"/>
      <w:bookmarkStart w:id="73" w:name="_Toc62476916"/>
      <w:bookmarkStart w:id="74" w:name="_Toc63235824"/>
      <w:bookmarkStart w:id="75" w:name="_Toc63248930"/>
      <w:bookmarkStart w:id="76" w:name="_Toc63263259"/>
      <w:bookmarkStart w:id="77" w:name="_Toc64043036"/>
      <w:bookmarkStart w:id="78" w:name="_Toc65663747"/>
      <w:bookmarkStart w:id="79" w:name="_Toc65665562"/>
      <w:bookmarkStart w:id="80" w:name="_Toc65665924"/>
      <w:bookmarkStart w:id="81" w:name="_Toc65666103"/>
      <w:bookmarkStart w:id="82" w:name="_Toc65671180"/>
      <w:bookmarkStart w:id="83" w:name="_Toc65671239"/>
      <w:bookmarkStart w:id="84" w:name="_Toc65671896"/>
      <w:bookmarkStart w:id="85" w:name="_Toc65674752"/>
      <w:bookmarkStart w:id="86" w:name="_Toc65676402"/>
      <w:bookmarkStart w:id="87" w:name="_Toc65688239"/>
      <w:bookmarkStart w:id="88" w:name="_Toc66465128"/>
      <w:bookmarkStart w:id="89" w:name="_Toc66465581"/>
      <w:bookmarkStart w:id="90" w:name="_Toc66465640"/>
      <w:bookmarkStart w:id="91" w:name="_Toc66696366"/>
      <w:bookmarkStart w:id="92" w:name="_Toc67665915"/>
      <w:bookmarkStart w:id="93" w:name="_Toc69384674"/>
      <w:bookmarkStart w:id="94" w:name="_Toc69384805"/>
      <w:bookmarkStart w:id="95" w:name="_Toc69384934"/>
      <w:bookmarkStart w:id="96" w:name="_Toc69385062"/>
      <w:bookmarkStart w:id="97" w:name="_Toc69460810"/>
      <w:bookmarkStart w:id="98" w:name="_Toc69460937"/>
      <w:bookmarkStart w:id="99" w:name="_Toc69469898"/>
      <w:bookmarkStart w:id="100" w:name="_Toc69485761"/>
      <w:bookmarkStart w:id="101" w:name="_Toc69487636"/>
      <w:bookmarkStart w:id="102" w:name="_Toc72142226"/>
      <w:bookmarkStart w:id="103" w:name="_Toc72142312"/>
      <w:bookmarkStart w:id="104" w:name="_Toc73090652"/>
      <w:bookmarkStart w:id="105" w:name="_Toc73090735"/>
      <w:bookmarkStart w:id="106" w:name="_Toc47101944"/>
      <w:bookmarkStart w:id="107" w:name="_Toc51270439"/>
      <w:bookmarkStart w:id="108" w:name="_Ref58358139"/>
      <w:bookmarkStart w:id="109" w:name="_Ref58835173"/>
      <w:bookmarkStart w:id="110" w:name="_Ref58835175"/>
      <w:bookmarkStart w:id="111" w:name="_Ref58835182"/>
      <w:bookmarkStart w:id="112" w:name="_Toc7309073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3C0CD7">
        <w:rPr>
          <w:lang w:val="en-IE"/>
        </w:rPr>
        <w:t>C</w:t>
      </w:r>
      <w:r w:rsidR="00FD7FCD" w:rsidRPr="003C0CD7">
        <w:rPr>
          <w:lang w:val="en-IE"/>
        </w:rPr>
        <w:t>ontext</w:t>
      </w:r>
      <w:bookmarkEnd w:id="106"/>
      <w:bookmarkEnd w:id="107"/>
      <w:bookmarkEnd w:id="108"/>
      <w:bookmarkEnd w:id="109"/>
      <w:bookmarkEnd w:id="110"/>
      <w:bookmarkEnd w:id="111"/>
      <w:bookmarkEnd w:id="112"/>
    </w:p>
    <w:p w14:paraId="1E2510EA" w14:textId="32271997" w:rsidR="006541AF" w:rsidRDefault="006541AF" w:rsidP="00970283">
      <w:pPr>
        <w:pStyle w:val="Ttulo1"/>
        <w:numPr>
          <w:ilvl w:val="0"/>
          <w:numId w:val="0"/>
        </w:numPr>
        <w:spacing w:before="120" w:after="0"/>
        <w:ind w:left="360" w:hanging="360"/>
        <w:rPr>
          <w:lang w:val="en-IE"/>
        </w:rPr>
      </w:pPr>
      <w:r>
        <w:rPr>
          <w:lang w:val="en-IE"/>
        </w:rPr>
        <w:t xml:space="preserve">Gender-based and domestic violence </w:t>
      </w:r>
    </w:p>
    <w:p w14:paraId="766CB974" w14:textId="160E4EFB" w:rsidR="005245CF" w:rsidRDefault="005245CF" w:rsidP="00970283">
      <w:pPr>
        <w:pStyle w:val="Ttulo1"/>
        <w:numPr>
          <w:ilvl w:val="0"/>
          <w:numId w:val="0"/>
        </w:numPr>
        <w:spacing w:before="120" w:after="0"/>
        <w:rPr>
          <w:b w:val="0"/>
          <w:bCs/>
          <w:lang w:val="en-IE"/>
        </w:rPr>
      </w:pPr>
      <w:r w:rsidRPr="005245CF">
        <w:rPr>
          <w:b w:val="0"/>
          <w:bCs/>
          <w:lang w:val="en-IE"/>
        </w:rPr>
        <w:t>North Macedonia has made significant efforts to address gender-based violence against women and domestic violence</w:t>
      </w:r>
      <w:r>
        <w:rPr>
          <w:rStyle w:val="Refdenotaalpie"/>
          <w:b w:val="0"/>
          <w:bCs/>
          <w:lang w:val="en-IE"/>
        </w:rPr>
        <w:footnoteReference w:id="14"/>
      </w:r>
      <w:r>
        <w:rPr>
          <w:b w:val="0"/>
          <w:bCs/>
          <w:lang w:val="en-IE"/>
        </w:rPr>
        <w:t>.</w:t>
      </w:r>
      <w:r w:rsidRPr="005245CF">
        <w:rPr>
          <w:b w:val="0"/>
          <w:bCs/>
          <w:lang w:val="en-IE"/>
        </w:rPr>
        <w:t xml:space="preserve"> The country adopted the </w:t>
      </w:r>
      <w:r w:rsidRPr="005245CF">
        <w:rPr>
          <w:b w:val="0"/>
          <w:bCs/>
          <w:i/>
          <w:iCs/>
          <w:lang w:val="en-IE"/>
        </w:rPr>
        <w:t>Law on Prevention and Protection from Violence against Women and Domestic Violence</w:t>
      </w:r>
      <w:r w:rsidRPr="00741354">
        <w:rPr>
          <w:rStyle w:val="Refdenotaalpie"/>
          <w:rFonts w:cs="Arial"/>
          <w:b w:val="0"/>
          <w:bCs/>
          <w:szCs w:val="20"/>
          <w:lang w:val="en-IE"/>
        </w:rPr>
        <w:footnoteReference w:id="15"/>
      </w:r>
      <w:r w:rsidRPr="005245CF">
        <w:rPr>
          <w:b w:val="0"/>
          <w:bCs/>
          <w:lang w:val="en-IE"/>
        </w:rPr>
        <w:t xml:space="preserve"> in January 2021, which provides a comprehensive framework for preventing, protecting, and responding to such cases. However, further steps are needed to align related laws and adopt operational procedures. To address this, the country adopted an </w:t>
      </w:r>
      <w:r w:rsidRPr="005245CF">
        <w:rPr>
          <w:b w:val="0"/>
          <w:bCs/>
          <w:i/>
          <w:iCs/>
          <w:lang w:val="en-IE"/>
        </w:rPr>
        <w:t>Action Plan for implementing the Istanbul Convention</w:t>
      </w:r>
      <w:r w:rsidRPr="005245CF">
        <w:rPr>
          <w:b w:val="0"/>
          <w:bCs/>
          <w:lang w:val="en-IE"/>
        </w:rPr>
        <w:t xml:space="preserve"> in 2018, which outlines key activities and institutions to incorporate the Convention's provisions into national legislation. The </w:t>
      </w:r>
      <w:r w:rsidRPr="00C03104">
        <w:rPr>
          <w:b w:val="0"/>
          <w:bCs/>
          <w:i/>
          <w:iCs/>
          <w:lang w:val="en-IE"/>
        </w:rPr>
        <w:t>Gender Equality Strategy 2022-2027</w:t>
      </w:r>
      <w:r w:rsidRPr="005245CF">
        <w:rPr>
          <w:b w:val="0"/>
          <w:bCs/>
          <w:lang w:val="en-IE"/>
        </w:rPr>
        <w:t xml:space="preserve"> also includes gender-based violence as a specific objective</w:t>
      </w:r>
      <w:r w:rsidR="00C03104" w:rsidRPr="006541AF">
        <w:rPr>
          <w:rStyle w:val="Refdenotaalpie"/>
          <w:rFonts w:cs="Arial"/>
          <w:b w:val="0"/>
          <w:bCs/>
          <w:lang w:val="en-IE"/>
        </w:rPr>
        <w:footnoteReference w:id="16"/>
      </w:r>
      <w:r w:rsidRPr="005245CF">
        <w:rPr>
          <w:b w:val="0"/>
          <w:bCs/>
          <w:lang w:val="en-IE"/>
        </w:rPr>
        <w:t xml:space="preserve">. The 2019 </w:t>
      </w:r>
      <w:r w:rsidRPr="00D732F1">
        <w:rPr>
          <w:b w:val="0"/>
          <w:bCs/>
          <w:i/>
          <w:iCs/>
          <w:lang w:val="en-IE"/>
        </w:rPr>
        <w:t>Law on Social Protection</w:t>
      </w:r>
      <w:r w:rsidR="00D732F1">
        <w:rPr>
          <w:rStyle w:val="Refdenotaalpie"/>
          <w:b w:val="0"/>
          <w:bCs/>
          <w:i/>
          <w:iCs/>
          <w:lang w:val="en-IE"/>
        </w:rPr>
        <w:footnoteReference w:id="17"/>
      </w:r>
      <w:r w:rsidRPr="005245CF">
        <w:rPr>
          <w:b w:val="0"/>
          <w:bCs/>
          <w:lang w:val="en-IE"/>
        </w:rPr>
        <w:t xml:space="preserve"> also outlines a framework for establishing and operating specialised services.</w:t>
      </w:r>
    </w:p>
    <w:p w14:paraId="3DF8A4F0" w14:textId="79D37BE6" w:rsidR="00D732F1" w:rsidRDefault="00D732F1" w:rsidP="00970283">
      <w:pPr>
        <w:spacing w:before="120"/>
        <w:rPr>
          <w:lang w:val="en-IE"/>
        </w:rPr>
      </w:pPr>
      <w:r w:rsidRPr="00D732F1">
        <w:rPr>
          <w:lang w:val="en-IE"/>
        </w:rPr>
        <w:t xml:space="preserve">The </w:t>
      </w:r>
      <w:r w:rsidRPr="00D732F1">
        <w:rPr>
          <w:i/>
          <w:iCs/>
          <w:lang w:val="en-IE"/>
        </w:rPr>
        <w:t>Law on Prevention and Protection from Violence Against Women and Domestic Violence</w:t>
      </w:r>
      <w:r w:rsidRPr="00D732F1">
        <w:rPr>
          <w:lang w:val="en-IE"/>
        </w:rPr>
        <w:t xml:space="preserve"> outline</w:t>
      </w:r>
      <w:r>
        <w:rPr>
          <w:lang w:val="en-IE"/>
        </w:rPr>
        <w:t>s</w:t>
      </w:r>
      <w:r w:rsidRPr="00D732F1">
        <w:rPr>
          <w:lang w:val="en-IE"/>
        </w:rPr>
        <w:t xml:space="preserve"> actions and measures for victims' prevention, protection, and reintegration, including economic empowerment. The </w:t>
      </w:r>
      <w:r>
        <w:rPr>
          <w:lang w:val="en-IE"/>
        </w:rPr>
        <w:t>L</w:t>
      </w:r>
      <w:r w:rsidRPr="00D732F1">
        <w:rPr>
          <w:lang w:val="en-IE"/>
        </w:rPr>
        <w:t xml:space="preserve">aw emphasises the importance of institutions acting with </w:t>
      </w:r>
      <w:r w:rsidRPr="00D732F1">
        <w:rPr>
          <w:i/>
          <w:iCs/>
          <w:lang w:val="en-IE"/>
        </w:rPr>
        <w:t>due attention</w:t>
      </w:r>
      <w:r w:rsidRPr="00D732F1">
        <w:rPr>
          <w:lang w:val="en-IE"/>
        </w:rPr>
        <w:t xml:space="preserve"> to victims' interests and needs and acknowledges the problem of underreporting of violence due to distrust in institutions. It proposes a protocol for practical multi-sectoral cooperation involving all relevant institutions at national and local levels.</w:t>
      </w:r>
    </w:p>
    <w:p w14:paraId="64256429" w14:textId="79A1A2E2" w:rsidR="00576F15" w:rsidRPr="00D732F1" w:rsidRDefault="00576F15" w:rsidP="00970283">
      <w:pPr>
        <w:spacing w:before="120"/>
        <w:rPr>
          <w:lang w:val="en-IE"/>
        </w:rPr>
      </w:pPr>
      <w:r w:rsidRPr="00576F15">
        <w:rPr>
          <w:lang w:val="en-IE"/>
        </w:rPr>
        <w:t>The Ministry of Labour and Social Policy</w:t>
      </w:r>
      <w:r>
        <w:rPr>
          <w:lang w:val="en-IE"/>
        </w:rPr>
        <w:t xml:space="preserve"> (MLSP)</w:t>
      </w:r>
      <w:r w:rsidRPr="00576F15">
        <w:rPr>
          <w:lang w:val="en-IE"/>
        </w:rPr>
        <w:t xml:space="preserve"> currently tracks gender-based and domestic violence against women through data collected from 30 Social Work Centres</w:t>
      </w:r>
      <w:r>
        <w:rPr>
          <w:lang w:val="en-IE"/>
        </w:rPr>
        <w:t xml:space="preserve"> (SWC)</w:t>
      </w:r>
      <w:r w:rsidRPr="00576F15">
        <w:rPr>
          <w:rStyle w:val="Refdenotaalpie"/>
          <w:color w:val="000000" w:themeColor="text1"/>
          <w:lang w:val="en-IE"/>
        </w:rPr>
        <w:t xml:space="preserve"> </w:t>
      </w:r>
      <w:r w:rsidRPr="00FC39E0">
        <w:rPr>
          <w:rStyle w:val="Refdenotaalpie"/>
          <w:color w:val="000000" w:themeColor="text1"/>
          <w:lang w:val="en-IE"/>
        </w:rPr>
        <w:footnoteReference w:id="18"/>
      </w:r>
      <w:r w:rsidRPr="00576F15">
        <w:rPr>
          <w:lang w:val="en-IE"/>
        </w:rPr>
        <w:t xml:space="preserve">, but only for victims under the 2014 Law on Prevention, Protection and Combat against Domestic Violence. The new </w:t>
      </w:r>
      <w:r>
        <w:rPr>
          <w:lang w:val="en-IE"/>
        </w:rPr>
        <w:t>L</w:t>
      </w:r>
      <w:r w:rsidRPr="00576F15">
        <w:rPr>
          <w:lang w:val="en-IE"/>
        </w:rPr>
        <w:t xml:space="preserve">aw, enacted in 2021, requires all state administration bodies, courts, public prosecution, local self-government units, legal entities exercising public powers, and associations to collect statistical and administrative data on gender-based violence against women and domestic violence based on various data points. The new </w:t>
      </w:r>
      <w:r>
        <w:rPr>
          <w:lang w:val="en-IE"/>
        </w:rPr>
        <w:t>L</w:t>
      </w:r>
      <w:r w:rsidRPr="00576F15">
        <w:rPr>
          <w:lang w:val="en-IE"/>
        </w:rPr>
        <w:t xml:space="preserve">aw emphasises integrated data collection and protection and is subject to the </w:t>
      </w:r>
      <w:r w:rsidRPr="00576F15">
        <w:rPr>
          <w:i/>
          <w:iCs/>
          <w:lang w:val="en-IE"/>
        </w:rPr>
        <w:t>Law on Personal Data Protection</w:t>
      </w:r>
      <w:r w:rsidRPr="00C8210E">
        <w:rPr>
          <w:rStyle w:val="Refdenotaalpie"/>
          <w:rFonts w:cs="Arial"/>
          <w:szCs w:val="20"/>
          <w:lang w:val="en-IE"/>
        </w:rPr>
        <w:footnoteReference w:id="19"/>
      </w:r>
      <w:r>
        <w:rPr>
          <w:i/>
          <w:iCs/>
          <w:lang w:val="en-IE"/>
        </w:rPr>
        <w:t>.</w:t>
      </w:r>
    </w:p>
    <w:p w14:paraId="13AEC434" w14:textId="69BFC124" w:rsidR="00B97D11" w:rsidRDefault="00B97D11" w:rsidP="00970283">
      <w:pPr>
        <w:spacing w:before="120"/>
        <w:rPr>
          <w:lang w:val="en-IE"/>
        </w:rPr>
      </w:pPr>
      <w:r w:rsidRPr="00B97D11">
        <w:rPr>
          <w:lang w:val="en-IE"/>
        </w:rPr>
        <w:t xml:space="preserve">The </w:t>
      </w:r>
      <w:r w:rsidRPr="00B97D11">
        <w:rPr>
          <w:i/>
          <w:iCs/>
          <w:lang w:val="en-IE"/>
        </w:rPr>
        <w:t>Law on Prevention and Protection from Violence against Women and Domestic Violence</w:t>
      </w:r>
      <w:r w:rsidRPr="00B97D11">
        <w:rPr>
          <w:lang w:val="en-IE"/>
        </w:rPr>
        <w:t xml:space="preserve"> designates police officers, professionals from social work centres, and health institutions and workers as competent institutions for dealing with women victims. </w:t>
      </w:r>
      <w:r>
        <w:rPr>
          <w:lang w:val="en-IE"/>
        </w:rPr>
        <w:t>SWC</w:t>
      </w:r>
      <w:r w:rsidRPr="00B97D11">
        <w:rPr>
          <w:lang w:val="en-IE"/>
        </w:rPr>
        <w:t xml:space="preserve"> provide temporary care, medical assistance, social and health care access, and psychosocial intervention and treatment. Police officers perform risk assessments during their first contact with the victim, considering all factors that may increase the risk of future violence. The </w:t>
      </w:r>
      <w:r>
        <w:rPr>
          <w:lang w:val="en-IE"/>
        </w:rPr>
        <w:t>MLSP</w:t>
      </w:r>
      <w:r w:rsidRPr="00B97D11">
        <w:rPr>
          <w:lang w:val="en-IE"/>
        </w:rPr>
        <w:t xml:space="preserve"> has established specialised services for women victims of gender-based and domestic violence in seven regions, as mandated by the</w:t>
      </w:r>
      <w:r>
        <w:rPr>
          <w:lang w:val="en-IE"/>
        </w:rPr>
        <w:t xml:space="preserve"> Law</w:t>
      </w:r>
      <w:r w:rsidRPr="00B97D11">
        <w:rPr>
          <w:lang w:val="en-IE"/>
        </w:rPr>
        <w:t>.</w:t>
      </w:r>
      <w:r>
        <w:rPr>
          <w:lang w:val="en-IE"/>
        </w:rPr>
        <w:t xml:space="preserve"> These services include</w:t>
      </w:r>
      <w:r w:rsidR="003234F3" w:rsidRPr="003234F3">
        <w:rPr>
          <w:lang w:val="en-IE"/>
        </w:rPr>
        <w:t xml:space="preserve"> 13 centres for women and their children who are victims of domestic violence, including eight that are part of local social work centres, two funded by the Ministry and managed by civil society organisations, and one supported by local self-government and managed by an association. There are also 11 specialised counselling centres for women victims of violence </w:t>
      </w:r>
      <w:r w:rsidR="003234F3" w:rsidRPr="003234F3">
        <w:rPr>
          <w:lang w:val="en-IE"/>
        </w:rPr>
        <w:lastRenderedPageBreak/>
        <w:t>and domestic violence and eight specialised counselling centres for psychosocial treatment for perpetrators of domestic violence. Additionally, there are free SOS lines established and managed by civil society organisations, with the Ministry financing a mobile SOS line for the past four years.</w:t>
      </w:r>
    </w:p>
    <w:p w14:paraId="2C7A8175" w14:textId="37D9457F" w:rsidR="00F24B8D" w:rsidRPr="000A339E" w:rsidRDefault="0084095B" w:rsidP="00970283">
      <w:pPr>
        <w:spacing w:before="120"/>
        <w:rPr>
          <w:b/>
          <w:bCs/>
          <w:color w:val="000000" w:themeColor="text1"/>
          <w:szCs w:val="24"/>
          <w:lang w:val="en-IE"/>
        </w:rPr>
      </w:pPr>
      <w:r>
        <w:rPr>
          <w:b/>
          <w:bCs/>
          <w:color w:val="000000" w:themeColor="text1"/>
          <w:szCs w:val="24"/>
          <w:lang w:val="en-IE"/>
        </w:rPr>
        <w:t xml:space="preserve">Improving of access and inclusion of </w:t>
      </w:r>
      <w:r w:rsidRPr="000A339E">
        <w:rPr>
          <w:b/>
          <w:bCs/>
          <w:color w:val="000000" w:themeColor="text1"/>
          <w:szCs w:val="24"/>
          <w:lang w:val="en-IE"/>
        </w:rPr>
        <w:t xml:space="preserve">vulnerable people </w:t>
      </w:r>
      <w:r>
        <w:rPr>
          <w:b/>
          <w:bCs/>
          <w:color w:val="000000" w:themeColor="text1"/>
          <w:szCs w:val="24"/>
          <w:lang w:val="en-IE"/>
        </w:rPr>
        <w:t>in e</w:t>
      </w:r>
      <w:r w:rsidR="00F24B8D" w:rsidRPr="000A339E">
        <w:rPr>
          <w:b/>
          <w:bCs/>
          <w:color w:val="000000" w:themeColor="text1"/>
          <w:szCs w:val="24"/>
          <w:lang w:val="en-IE"/>
        </w:rPr>
        <w:t xml:space="preserve">ducation </w:t>
      </w:r>
      <w:r>
        <w:rPr>
          <w:b/>
          <w:bCs/>
          <w:color w:val="000000" w:themeColor="text1"/>
          <w:szCs w:val="24"/>
          <w:lang w:val="en-IE"/>
        </w:rPr>
        <w:t xml:space="preserve">system </w:t>
      </w:r>
    </w:p>
    <w:p w14:paraId="2DCBB373" w14:textId="794AB514" w:rsidR="008C72FA" w:rsidRPr="000A339E" w:rsidRDefault="008C72FA" w:rsidP="00970283">
      <w:pPr>
        <w:spacing w:before="120"/>
        <w:rPr>
          <w:color w:val="000000" w:themeColor="text1"/>
        </w:rPr>
      </w:pPr>
      <w:r w:rsidRPr="000A339E">
        <w:rPr>
          <w:color w:val="000000" w:themeColor="text1"/>
        </w:rPr>
        <w:t xml:space="preserve">North Macedonia has incorporated the Convention on the Rights of the Child, the Convention on the Rights of Persons with Disabilities, and the UNESCO Salamanca Statement and Framework for Action on Special Needs Education into its legal system. These agreements require </w:t>
      </w:r>
      <w:r w:rsidR="00D73ABD" w:rsidRPr="000A339E">
        <w:rPr>
          <w:color w:val="000000" w:themeColor="text1"/>
        </w:rPr>
        <w:t>S</w:t>
      </w:r>
      <w:r w:rsidRPr="000A339E">
        <w:rPr>
          <w:color w:val="000000" w:themeColor="text1"/>
        </w:rPr>
        <w:t>tates to include children with disabilities in traditional education, with the UNESCO Salamanca Statement emphasising that this should be the norm. The Convention on the Rights of Persons with Disabilities seeks to achieve holistic development of children with disabilities, considering their unique developmental needs and capacities.</w:t>
      </w:r>
    </w:p>
    <w:p w14:paraId="71D4CD52" w14:textId="0B40E1DF" w:rsidR="00D73ABD" w:rsidRDefault="0068134C" w:rsidP="00970283">
      <w:pPr>
        <w:spacing w:before="120"/>
        <w:rPr>
          <w:color w:val="000000" w:themeColor="text1"/>
        </w:rPr>
      </w:pPr>
      <w:r w:rsidRPr="000A339E">
        <w:rPr>
          <w:color w:val="000000" w:themeColor="text1"/>
        </w:rPr>
        <w:t xml:space="preserve">The </w:t>
      </w:r>
      <w:r w:rsidRPr="000A339E">
        <w:rPr>
          <w:i/>
          <w:iCs/>
          <w:color w:val="000000" w:themeColor="text1"/>
        </w:rPr>
        <w:t>Law on Primary Education</w:t>
      </w:r>
      <w:r w:rsidRPr="000A339E">
        <w:rPr>
          <w:color w:val="000000" w:themeColor="text1"/>
        </w:rPr>
        <w:t xml:space="preserve"> in 2019 established a normative framework to ensure no discrimination and equality of children, including those with disabilities. The law requires the inclusion of students with special needs in mainstream education, with special schools set to stop enrolling students by the 2022/2023 school year. In July 2020, the Ministry of Education and Science introduced a </w:t>
      </w:r>
      <w:r w:rsidRPr="000A339E">
        <w:rPr>
          <w:i/>
          <w:iCs/>
          <w:color w:val="000000" w:themeColor="text1"/>
        </w:rPr>
        <w:t>Concept for Inclusive Education</w:t>
      </w:r>
      <w:r w:rsidRPr="000A339E">
        <w:rPr>
          <w:color w:val="000000" w:themeColor="text1"/>
        </w:rPr>
        <w:t xml:space="preserve">, which guides the country's implementation of inclusive education. The </w:t>
      </w:r>
      <w:r w:rsidRPr="000A339E">
        <w:rPr>
          <w:i/>
          <w:iCs/>
          <w:color w:val="000000" w:themeColor="text1"/>
        </w:rPr>
        <w:t>Law on Secondary Education</w:t>
      </w:r>
      <w:r w:rsidRPr="000A339E">
        <w:rPr>
          <w:color w:val="000000" w:themeColor="text1"/>
        </w:rPr>
        <w:t xml:space="preserve"> has been aligned with the included provisions in the Law on Primary Education.</w:t>
      </w:r>
    </w:p>
    <w:p w14:paraId="5325D4E5" w14:textId="30F3FD74" w:rsidR="000C5ECC" w:rsidRPr="000A339E" w:rsidRDefault="000C5ECC" w:rsidP="00970283">
      <w:pPr>
        <w:spacing w:before="120"/>
        <w:rPr>
          <w:color w:val="000000" w:themeColor="text1"/>
        </w:rPr>
      </w:pPr>
      <w:r>
        <w:rPr>
          <w:color w:val="000000" w:themeColor="text1"/>
        </w:rPr>
        <w:t xml:space="preserve">The two laws have provisions on compulsory enrolment in education of all children from 5 to 18 years old.  </w:t>
      </w:r>
    </w:p>
    <w:p w14:paraId="0761B432" w14:textId="2406FFCC" w:rsidR="00EE0518" w:rsidRPr="000A339E" w:rsidRDefault="000D0058" w:rsidP="00970283">
      <w:pPr>
        <w:shd w:val="clear" w:color="auto" w:fill="FFFFFF"/>
        <w:spacing w:before="120"/>
        <w:rPr>
          <w:rFonts w:eastAsia="Times New Roman"/>
          <w:color w:val="000000" w:themeColor="text1"/>
          <w:kern w:val="1"/>
          <w:szCs w:val="24"/>
        </w:rPr>
      </w:pPr>
      <w:r w:rsidRPr="000A339E">
        <w:rPr>
          <w:rFonts w:eastAsia="Times New Roman"/>
          <w:color w:val="000000" w:themeColor="text1"/>
          <w:kern w:val="1"/>
          <w:szCs w:val="24"/>
        </w:rPr>
        <w:t xml:space="preserve">The </w:t>
      </w:r>
      <w:r w:rsidRPr="000A339E">
        <w:rPr>
          <w:rFonts w:eastAsia="Times New Roman"/>
          <w:i/>
          <w:iCs/>
          <w:color w:val="000000" w:themeColor="text1"/>
          <w:kern w:val="1"/>
          <w:szCs w:val="24"/>
        </w:rPr>
        <w:t>Health Strategy of North Macedonia 2021-2030</w:t>
      </w:r>
      <w:r w:rsidRPr="000A339E">
        <w:rPr>
          <w:rFonts w:eastAsia="Times New Roman"/>
          <w:color w:val="000000" w:themeColor="text1"/>
          <w:kern w:val="1"/>
          <w:szCs w:val="24"/>
        </w:rPr>
        <w:t xml:space="preserve"> is a comprehensive plan for improving the population's overall health status, including mental health. The </w:t>
      </w:r>
      <w:r w:rsidRPr="000A339E">
        <w:rPr>
          <w:rFonts w:eastAsia="Times New Roman"/>
          <w:i/>
          <w:iCs/>
          <w:color w:val="000000" w:themeColor="text1"/>
          <w:kern w:val="1"/>
          <w:szCs w:val="24"/>
        </w:rPr>
        <w:t>National Mental Health Strategy 2018-2025</w:t>
      </w:r>
      <w:r w:rsidRPr="000A339E">
        <w:rPr>
          <w:rFonts w:eastAsia="Times New Roman"/>
          <w:color w:val="000000" w:themeColor="text1"/>
          <w:kern w:val="1"/>
          <w:szCs w:val="24"/>
        </w:rPr>
        <w:t xml:space="preserve"> aims to promote the mental health and well-being of all citizens in the country while ensuring equitable and high-quality access to mental health services. The 2015 </w:t>
      </w:r>
      <w:r w:rsidRPr="000A339E">
        <w:rPr>
          <w:rFonts w:eastAsia="Times New Roman"/>
          <w:i/>
          <w:iCs/>
          <w:color w:val="000000" w:themeColor="text1"/>
          <w:kern w:val="1"/>
          <w:szCs w:val="24"/>
        </w:rPr>
        <w:t>Law on Mental Health</w:t>
      </w:r>
      <w:r w:rsidRPr="000A339E">
        <w:rPr>
          <w:rFonts w:eastAsia="Times New Roman"/>
          <w:color w:val="000000" w:themeColor="text1"/>
          <w:kern w:val="1"/>
          <w:szCs w:val="24"/>
        </w:rPr>
        <w:t xml:space="preserve"> is designed to protect and promote mental health and establish the rights and responsibilities of individuals with mental health conditions. Together, these policies represent a robust framework for addressing mental health concerns in North Macedonia.</w:t>
      </w:r>
    </w:p>
    <w:p w14:paraId="5166B2D2" w14:textId="3F9CD8A5" w:rsidR="00A25508" w:rsidRDefault="00A25508" w:rsidP="00970283">
      <w:pPr>
        <w:spacing w:before="120"/>
        <w:rPr>
          <w:b/>
          <w:bCs/>
        </w:rPr>
      </w:pPr>
      <w:r>
        <w:rPr>
          <w:b/>
          <w:bCs/>
        </w:rPr>
        <w:t xml:space="preserve">Roma </w:t>
      </w:r>
    </w:p>
    <w:p w14:paraId="75FBBE57" w14:textId="75F118B7" w:rsidR="00C61689" w:rsidRDefault="00C61689" w:rsidP="00970283">
      <w:pPr>
        <w:spacing w:before="120"/>
      </w:pPr>
      <w:r w:rsidRPr="00C61689">
        <w:t>The Roma community in North Macedonia is the most vulnerable minority group and faces institutional and social obstacles. The community comprises 2.52% of the population and experiences discrimination in daily life, including a higher school dropout rate and exclusion from formal employment. Consequently, many Roma live in substandard conditions, lacking access to necessities like sanitation, safe drinking water, and public transportation.</w:t>
      </w:r>
    </w:p>
    <w:p w14:paraId="312114B2" w14:textId="6C9E7E4F" w:rsidR="00711746" w:rsidRPr="00A25508" w:rsidRDefault="00C61689" w:rsidP="00970283">
      <w:pPr>
        <w:spacing w:before="120"/>
      </w:pPr>
      <w:r w:rsidRPr="00C61689">
        <w:t xml:space="preserve">The Constitution of North Macedonia guarantees non-discrimination and equality before the law, and the Ohrid Framework Agreement ensures adequate and equal representation of communities. The </w:t>
      </w:r>
      <w:r w:rsidRPr="00C61689">
        <w:rPr>
          <w:i/>
          <w:iCs/>
        </w:rPr>
        <w:t xml:space="preserve">Law on Prevention and Protection against Discrimination </w:t>
      </w:r>
      <w:r w:rsidRPr="00C61689">
        <w:t xml:space="preserve">defines different types and establishes the Commission for the Prevention and Protection against Discrimination. The new </w:t>
      </w:r>
      <w:r w:rsidRPr="000976DA">
        <w:rPr>
          <w:i/>
          <w:iCs/>
        </w:rPr>
        <w:t>Strategy for the Inclusion of Roma 2022-2030</w:t>
      </w:r>
      <w:r w:rsidRPr="00C61689">
        <w:t xml:space="preserve"> focuses on areas like employment, housing, education, health, culture, and poverty reduction. Implementing the previous strategy </w:t>
      </w:r>
      <w:r w:rsidR="000976DA">
        <w:t xml:space="preserve">2014-2020 </w:t>
      </w:r>
      <w:r w:rsidRPr="00C61689">
        <w:t xml:space="preserve">and corresponding action plans still </w:t>
      </w:r>
      <w:r w:rsidR="000976DA">
        <w:t>need</w:t>
      </w:r>
      <w:r w:rsidRPr="00C61689">
        <w:t xml:space="preserve"> to be completed. </w:t>
      </w:r>
    </w:p>
    <w:p w14:paraId="2769186C" w14:textId="236B1AD5" w:rsidR="000976DA" w:rsidRDefault="000976DA" w:rsidP="00970283">
      <w:pPr>
        <w:spacing w:before="120"/>
        <w:rPr>
          <w:lang w:val="en-IE"/>
        </w:rPr>
      </w:pPr>
      <w:r w:rsidRPr="000976DA">
        <w:rPr>
          <w:lang w:val="en-IE"/>
        </w:rPr>
        <w:t xml:space="preserve">In 2020, many Roma children could not attend primary or secondary school due to a lack of electronic devices or internet access for online classes. Only 1.16% of new </w:t>
      </w:r>
      <w:r w:rsidR="00F20F30">
        <w:rPr>
          <w:lang w:val="en-IE"/>
        </w:rPr>
        <w:t>enrollees</w:t>
      </w:r>
      <w:r w:rsidRPr="000976DA">
        <w:rPr>
          <w:lang w:val="en-IE"/>
        </w:rPr>
        <w:t xml:space="preserve"> were Roma children, and dropout rates for primary and secondary education were estimated at 6% and 4%, respectively. There is no system or baseline data for reintegrating children who have not enrolled or left school early. While Roma education mediators are included in the Law on Primary Education, they still need to be considered for secondary education. Additionally, segregation in schools remains a significant issue.</w:t>
      </w:r>
      <w:r w:rsidR="00432C94">
        <w:rPr>
          <w:lang w:val="en-IE"/>
        </w:rPr>
        <w:t xml:space="preserve"> The percentage of Roma that have not completed the primary </w:t>
      </w:r>
      <w:r w:rsidR="00432C94">
        <w:rPr>
          <w:lang w:val="en-IE"/>
        </w:rPr>
        <w:lastRenderedPageBreak/>
        <w:t xml:space="preserve">education is significantly higher than national average (eg. in Bitola Municipality there are 20% of such cases among Roma community). </w:t>
      </w:r>
    </w:p>
    <w:p w14:paraId="1A46EEAD" w14:textId="5350E2F8" w:rsidR="0080206A" w:rsidRDefault="00042126" w:rsidP="00970283">
      <w:pPr>
        <w:spacing w:before="120"/>
        <w:rPr>
          <w:lang w:val="en-IE"/>
        </w:rPr>
      </w:pPr>
      <w:r>
        <w:rPr>
          <w:lang w:val="en-IE"/>
        </w:rPr>
        <w:t>D</w:t>
      </w:r>
      <w:r w:rsidR="001811A2" w:rsidRPr="001811A2">
        <w:rPr>
          <w:lang w:val="en-IE"/>
        </w:rPr>
        <w:t xml:space="preserve">iscrimination against Roma in health care is still widespread and goes largely unreported. Although there are no disintegrated data in the field of health statistics by ethnicity, the reports of UNDP 2011, UNDP 2017, AECOM 2018, and ESE 2019 show that the health status of the Roma community is significantly worse compared to other ethnic communities. Roma are at a disadvantage compared to non-Roma and have a considerably shorter life expectancy than non-Roma (ranging from 10 to 20 years), higher infant mortality rates by 25% compared to others and a higher incidence of chronic diseases. </w:t>
      </w:r>
    </w:p>
    <w:p w14:paraId="488F9A10" w14:textId="288934F4" w:rsidR="0080206A" w:rsidRDefault="0080206A" w:rsidP="00970283">
      <w:pPr>
        <w:spacing w:before="120"/>
        <w:rPr>
          <w:lang w:val="en-IE"/>
        </w:rPr>
      </w:pPr>
      <w:r w:rsidRPr="0080206A">
        <w:rPr>
          <w:lang w:val="en-IE"/>
        </w:rPr>
        <w:t>According to the Social Mapping report in 2018, the employment rate of Roma is 23%, almost twice lower than the national average, while the unemployment rate of Roma is at a record high of 67%. The number of unemployed Roma is continuously increasing; 13,703 Roma were registered as unemployed in 2020, compared with 9,239 in 2019. The number of Roma benefiting from active measures for employment is increasing (431 in 2021 against 86 in 2020).</w:t>
      </w:r>
    </w:p>
    <w:p w14:paraId="33BB6848" w14:textId="4D54209F" w:rsidR="00746C3B" w:rsidRDefault="00746C3B" w:rsidP="00970283">
      <w:pPr>
        <w:spacing w:before="120"/>
      </w:pPr>
      <w:r>
        <w:t>The proposed Action</w:t>
      </w:r>
      <w:r w:rsidR="00DE783C">
        <w:t xml:space="preserve"> will address the findings and recommendations of the European Commission’s 2022 Report in </w:t>
      </w:r>
      <w:r w:rsidR="00DE783C" w:rsidRPr="00DE783C">
        <w:rPr>
          <w:b/>
          <w:bCs/>
        </w:rPr>
        <w:t>Chapter 23: Judiciary and Fundamental Rights</w:t>
      </w:r>
      <w:r w:rsidR="00DE783C">
        <w:t xml:space="preserve">, </w:t>
      </w:r>
      <w:r w:rsidR="006D52C8" w:rsidRPr="00D559CE">
        <w:rPr>
          <w:b/>
          <w:bCs/>
          <w:iCs/>
          <w:lang w:val="en-US"/>
        </w:rPr>
        <w:t xml:space="preserve">Chapter 19: Social Policy and Employment </w:t>
      </w:r>
      <w:r w:rsidR="006D52C8" w:rsidRPr="006D52C8">
        <w:rPr>
          <w:iCs/>
          <w:lang w:val="en-US"/>
        </w:rPr>
        <w:t xml:space="preserve">and </w:t>
      </w:r>
      <w:r w:rsidR="006D52C8" w:rsidRPr="00D559CE">
        <w:rPr>
          <w:b/>
          <w:bCs/>
          <w:iCs/>
          <w:lang w:val="en-US"/>
        </w:rPr>
        <w:t>Chapter 26: Education and culture</w:t>
      </w:r>
      <w:r w:rsidR="006D52C8">
        <w:t>.</w:t>
      </w:r>
    </w:p>
    <w:p w14:paraId="098F3743" w14:textId="4035A9D0" w:rsidR="004A261D" w:rsidRDefault="004A261D" w:rsidP="00970283">
      <w:pPr>
        <w:spacing w:before="120"/>
      </w:pPr>
      <w:r w:rsidRPr="004A261D">
        <w:t xml:space="preserve">This Action is designed to contribute to the achievement of the objectives of the IPA III Programming Framework, </w:t>
      </w:r>
      <w:r w:rsidRPr="004A261D">
        <w:rPr>
          <w:b/>
          <w:bCs/>
        </w:rPr>
        <w:t>thematic priority 5: Fundamental rights</w:t>
      </w:r>
      <w:r w:rsidRPr="004A261D">
        <w:t xml:space="preserve"> within </w:t>
      </w:r>
      <w:r w:rsidRPr="004A261D">
        <w:rPr>
          <w:b/>
          <w:bCs/>
        </w:rPr>
        <w:t>Window 1: Rule of law, fundamental rights, and democracy</w:t>
      </w:r>
      <w:r w:rsidRPr="004A261D">
        <w:t xml:space="preserve">, related to ensuring gender equality, combating all forms of sexual and gender-based; domestic violence and discrimination. </w:t>
      </w:r>
    </w:p>
    <w:p w14:paraId="54239B64" w14:textId="77777777" w:rsidR="00177D95" w:rsidRPr="00DE783C" w:rsidRDefault="004A261D" w:rsidP="00970283">
      <w:pPr>
        <w:pStyle w:val="Default"/>
        <w:spacing w:before="120"/>
        <w:jc w:val="both"/>
        <w:rPr>
          <w:rFonts w:ascii="Times New Roman" w:hAnsi="Times New Roman" w:cs="Times New Roman"/>
          <w:bCs/>
          <w:color w:val="auto"/>
        </w:rPr>
      </w:pPr>
      <w:r>
        <w:rPr>
          <w:rFonts w:ascii="Times New Roman" w:hAnsi="Times New Roman" w:cs="Times New Roman"/>
          <w:color w:val="auto"/>
        </w:rPr>
        <w:t xml:space="preserve">The Action will contribute to </w:t>
      </w:r>
      <w:r w:rsidR="00DE783C">
        <w:rPr>
          <w:rFonts w:ascii="Times New Roman" w:hAnsi="Times New Roman" w:cs="Times New Roman"/>
          <w:color w:val="auto"/>
        </w:rPr>
        <w:t xml:space="preserve">achieving objective 5.2 of the </w:t>
      </w:r>
      <w:r w:rsidR="00DE783C" w:rsidRPr="00DE783C">
        <w:rPr>
          <w:rFonts w:ascii="Times New Roman" w:hAnsi="Times New Roman" w:cs="Times New Roman"/>
          <w:b/>
          <w:bCs/>
          <w:color w:val="auto"/>
        </w:rPr>
        <w:t>Strategic Response 2021-2027</w:t>
      </w:r>
      <w:r w:rsidR="00DE783C">
        <w:rPr>
          <w:rFonts w:ascii="Times New Roman" w:hAnsi="Times New Roman" w:cs="Times New Roman"/>
          <w:color w:val="auto"/>
        </w:rPr>
        <w:t>, which aims to fight</w:t>
      </w:r>
      <w:r>
        <w:rPr>
          <w:rFonts w:ascii="Times New Roman" w:hAnsi="Times New Roman" w:cs="Times New Roman"/>
          <w:b/>
          <w:color w:val="auto"/>
        </w:rPr>
        <w:t xml:space="preserve"> </w:t>
      </w:r>
      <w:r w:rsidRPr="00DE783C">
        <w:rPr>
          <w:rFonts w:ascii="Times New Roman" w:hAnsi="Times New Roman" w:cs="Times New Roman"/>
          <w:bCs/>
          <w:color w:val="auto"/>
        </w:rPr>
        <w:t xml:space="preserve">discrimination and </w:t>
      </w:r>
      <w:r w:rsidR="00177D95">
        <w:rPr>
          <w:rFonts w:ascii="Times New Roman" w:hAnsi="Times New Roman" w:cs="Times New Roman"/>
          <w:bCs/>
          <w:color w:val="auto"/>
        </w:rPr>
        <w:t>protect</w:t>
      </w:r>
      <w:r w:rsidR="00177D95" w:rsidRPr="00DE783C">
        <w:rPr>
          <w:rFonts w:ascii="Times New Roman" w:hAnsi="Times New Roman" w:cs="Times New Roman"/>
          <w:bCs/>
          <w:color w:val="auto"/>
        </w:rPr>
        <w:t xml:space="preserve"> children and women, people with disabilities, LGBTI and minorities.</w:t>
      </w:r>
    </w:p>
    <w:p w14:paraId="1C27D499" w14:textId="401B10EC" w:rsidR="004A261D" w:rsidRDefault="00177D95" w:rsidP="00970283">
      <w:pPr>
        <w:spacing w:before="120"/>
      </w:pPr>
      <w:r>
        <w:t xml:space="preserve">The proposed Action will also contribute to achieving the </w:t>
      </w:r>
      <w:r w:rsidR="0018158A" w:rsidRPr="005669A9">
        <w:rPr>
          <w:b/>
          <w:bCs/>
        </w:rPr>
        <w:t>Western Balkans’ Economic and Investment Plan (EIP)</w:t>
      </w:r>
      <w:r w:rsidR="0018158A">
        <w:t xml:space="preserve"> objectives</w:t>
      </w:r>
      <w:r>
        <w:rPr>
          <w:b/>
        </w:rPr>
        <w:t xml:space="preserve">. </w:t>
      </w:r>
      <w:r>
        <w:t xml:space="preserve">The EIP states that the Rule of law, respect for human rights, and </w:t>
      </w:r>
      <w:r w:rsidR="00B53DB3">
        <w:t xml:space="preserve">the </w:t>
      </w:r>
      <w:r w:rsidR="004A261D">
        <w:t xml:space="preserve">functioning of democratic institutions and public administration are </w:t>
      </w:r>
      <w:r w:rsidR="00B53DB3">
        <w:t>the heart of the accession process and</w:t>
      </w:r>
      <w:r w:rsidR="004A261D">
        <w:t xml:space="preserve"> the main engines for the </w:t>
      </w:r>
      <w:r w:rsidR="00B53DB3">
        <w:t>region's economic recovery</w:t>
      </w:r>
      <w:r w:rsidR="004A261D">
        <w:t xml:space="preserve">. </w:t>
      </w:r>
    </w:p>
    <w:p w14:paraId="21516FFF" w14:textId="2B89D930" w:rsidR="00C435EF" w:rsidRDefault="004558D1" w:rsidP="00970283">
      <w:pPr>
        <w:pStyle w:val="Prrafodelista"/>
        <w:tabs>
          <w:tab w:val="left" w:pos="170"/>
        </w:tabs>
        <w:spacing w:before="120"/>
        <w:ind w:left="0"/>
        <w:contextualSpacing w:val="0"/>
      </w:pPr>
      <w:r>
        <w:t xml:space="preserve">The interventions under this Action have been selected based on their relevance and contribution to </w:t>
      </w:r>
      <w:r w:rsidR="00D71D47">
        <w:t xml:space="preserve">the </w:t>
      </w:r>
      <w:r>
        <w:t xml:space="preserve">implementation of national sector strategies </w:t>
      </w:r>
      <w:r w:rsidR="00D71D47">
        <w:t>and</w:t>
      </w:r>
      <w:r>
        <w:t xml:space="preserve"> their link to the accession negotiations</w:t>
      </w:r>
      <w:r w:rsidR="00D71D47">
        <w:t xml:space="preserve">: </w:t>
      </w:r>
    </w:p>
    <w:p w14:paraId="3FD47865" w14:textId="5415C872" w:rsidR="00C435EF" w:rsidRPr="00C435EF" w:rsidRDefault="00D71D47" w:rsidP="00970283">
      <w:pPr>
        <w:pStyle w:val="Prrafodelista"/>
        <w:numPr>
          <w:ilvl w:val="0"/>
          <w:numId w:val="16"/>
        </w:numPr>
        <w:tabs>
          <w:tab w:val="left" w:pos="170"/>
        </w:tabs>
        <w:spacing w:before="120"/>
        <w:ind w:left="527" w:hanging="357"/>
        <w:contextualSpacing w:val="0"/>
        <w:rPr>
          <w:kern w:val="1"/>
        </w:rPr>
      </w:pPr>
      <w:r w:rsidRPr="0032050C">
        <w:t xml:space="preserve">The </w:t>
      </w:r>
      <w:r w:rsidRPr="00C435EF">
        <w:rPr>
          <w:b/>
          <w:bCs/>
        </w:rPr>
        <w:t>Strategy for Gender Equality 2022-2027</w:t>
      </w:r>
      <w:r>
        <w:t xml:space="preserve"> </w:t>
      </w:r>
      <w:r w:rsidRPr="0032050C">
        <w:t xml:space="preserve">aims at accomplishing gender equality in </w:t>
      </w:r>
      <w:r w:rsidR="00C435EF">
        <w:t xml:space="preserve">a </w:t>
      </w:r>
      <w:r w:rsidRPr="0032050C">
        <w:t>society in which women and men, girls and boys have equal rights, access to resources, opportunities, and protection in all spheres of life, as a condition for complete and sustainable economic, demographic and social development and progress of the country</w:t>
      </w:r>
      <w:r>
        <w:t xml:space="preserve">. </w:t>
      </w:r>
    </w:p>
    <w:p w14:paraId="6B5D7C51" w14:textId="77777777" w:rsidR="00F20F30" w:rsidRPr="00F20F30" w:rsidRDefault="00D71D47" w:rsidP="00970283">
      <w:pPr>
        <w:pStyle w:val="Prrafodelista"/>
        <w:numPr>
          <w:ilvl w:val="0"/>
          <w:numId w:val="16"/>
        </w:numPr>
        <w:tabs>
          <w:tab w:val="left" w:pos="170"/>
        </w:tabs>
        <w:spacing w:before="120"/>
        <w:ind w:left="527" w:hanging="357"/>
        <w:contextualSpacing w:val="0"/>
        <w:rPr>
          <w:rFonts w:eastAsia="Times New Roman"/>
          <w:kern w:val="1"/>
          <w:szCs w:val="24"/>
        </w:rPr>
      </w:pPr>
      <w:r>
        <w:t xml:space="preserve">The </w:t>
      </w:r>
      <w:r w:rsidRPr="00F20F30">
        <w:rPr>
          <w:b/>
          <w:bCs/>
          <w:color w:val="000000"/>
          <w:kern w:val="1"/>
        </w:rPr>
        <w:t>National Strategy for Equality and Non-Discrimination 2022-2026 and Operational Plan 2022-2024</w:t>
      </w:r>
      <w:r w:rsidRPr="006B77EB">
        <w:t xml:space="preserve"> </w:t>
      </w:r>
      <w:r w:rsidR="00C435EF">
        <w:t>define</w:t>
      </w:r>
      <w:r w:rsidRPr="006B77EB">
        <w:t xml:space="preserve"> measures </w:t>
      </w:r>
      <w:r w:rsidR="009262FC">
        <w:t>for preventing</w:t>
      </w:r>
      <w:r w:rsidRPr="006B77EB">
        <w:t xml:space="preserve"> hate speech and violence as all forms of discrimination</w:t>
      </w:r>
      <w:r w:rsidRPr="00F20F30">
        <w:rPr>
          <w:b/>
          <w:bCs/>
          <w:kern w:val="1"/>
        </w:rPr>
        <w:t>.</w:t>
      </w:r>
      <w:r w:rsidR="00C435EF" w:rsidRPr="00F20F30">
        <w:rPr>
          <w:b/>
          <w:bCs/>
          <w:kern w:val="1"/>
        </w:rPr>
        <w:t xml:space="preserve"> </w:t>
      </w:r>
    </w:p>
    <w:p w14:paraId="4FA7C81F" w14:textId="709F045B" w:rsidR="00F20F30" w:rsidRPr="00F20F30" w:rsidRDefault="00F20F30" w:rsidP="00970283">
      <w:pPr>
        <w:pStyle w:val="Prrafodelista"/>
        <w:numPr>
          <w:ilvl w:val="0"/>
          <w:numId w:val="16"/>
        </w:numPr>
        <w:tabs>
          <w:tab w:val="left" w:pos="170"/>
        </w:tabs>
        <w:spacing w:before="120"/>
        <w:ind w:left="527" w:hanging="357"/>
        <w:contextualSpacing w:val="0"/>
        <w:rPr>
          <w:kern w:val="1"/>
        </w:rPr>
      </w:pPr>
      <w:r w:rsidRPr="00F20F30">
        <w:rPr>
          <w:rFonts w:eastAsia="Times New Roman"/>
          <w:szCs w:val="24"/>
        </w:rPr>
        <w:t xml:space="preserve">The </w:t>
      </w:r>
      <w:r w:rsidRPr="00F20F30">
        <w:rPr>
          <w:rFonts w:eastAsia="Times New Roman"/>
          <w:b/>
          <w:bCs/>
          <w:szCs w:val="24"/>
        </w:rPr>
        <w:t>National Strategy 2020-2025 and its Action Plan 2020-2022</w:t>
      </w:r>
      <w:r w:rsidR="004A328C">
        <w:rPr>
          <w:rFonts w:eastAsia="Times New Roman"/>
          <w:b/>
          <w:bCs/>
          <w:szCs w:val="24"/>
        </w:rPr>
        <w:t xml:space="preserve"> for Prevention and Protection of Children against Violence</w:t>
      </w:r>
      <w:r w:rsidRPr="00F20F30">
        <w:rPr>
          <w:rFonts w:eastAsia="Times New Roman"/>
          <w:szCs w:val="24"/>
        </w:rPr>
        <w:t xml:space="preserve"> aim</w:t>
      </w:r>
      <w:r w:rsidR="004A328C">
        <w:rPr>
          <w:rFonts w:eastAsia="Times New Roman"/>
          <w:szCs w:val="24"/>
        </w:rPr>
        <w:t>s</w:t>
      </w:r>
      <w:r w:rsidRPr="00F20F30">
        <w:rPr>
          <w:rFonts w:eastAsia="Times New Roman"/>
          <w:szCs w:val="24"/>
        </w:rPr>
        <w:t xml:space="preserve"> to prevent and protect children from violence in North Macedonia. The plan includes measures to address peer violence and related mental health issues through primary and secondary school prevention program</w:t>
      </w:r>
      <w:r w:rsidR="004A328C">
        <w:rPr>
          <w:rFonts w:eastAsia="Times New Roman"/>
          <w:szCs w:val="24"/>
        </w:rPr>
        <w:t>me</w:t>
      </w:r>
      <w:r w:rsidRPr="00F20F30">
        <w:rPr>
          <w:rFonts w:eastAsia="Times New Roman"/>
          <w:szCs w:val="24"/>
        </w:rPr>
        <w:t xml:space="preserve">s focusing on non-violent communication and conflict management skills. The </w:t>
      </w:r>
      <w:r w:rsidR="004A328C">
        <w:rPr>
          <w:rFonts w:eastAsia="Times New Roman"/>
          <w:szCs w:val="24"/>
        </w:rPr>
        <w:t>S</w:t>
      </w:r>
      <w:r w:rsidRPr="00F20F30">
        <w:rPr>
          <w:rFonts w:eastAsia="Times New Roman"/>
          <w:szCs w:val="24"/>
        </w:rPr>
        <w:t>trategy also aims to build the capacity of institutions and services within the health, social, educational, police, and justice systems to support all children who are victims of violence.</w:t>
      </w:r>
      <w:r w:rsidR="00C435EF" w:rsidRPr="00C435EF">
        <w:rPr>
          <w:b/>
          <w:bCs/>
          <w:kern w:val="1"/>
        </w:rPr>
        <w:t xml:space="preserve"> </w:t>
      </w:r>
    </w:p>
    <w:p w14:paraId="4EC7A6A6" w14:textId="6A7FE6FB" w:rsidR="00073849" w:rsidRPr="00C435EF" w:rsidRDefault="00F20F30" w:rsidP="00970283">
      <w:pPr>
        <w:pStyle w:val="Prrafodelista"/>
        <w:numPr>
          <w:ilvl w:val="0"/>
          <w:numId w:val="16"/>
        </w:numPr>
        <w:tabs>
          <w:tab w:val="left" w:pos="170"/>
        </w:tabs>
        <w:spacing w:before="120"/>
        <w:ind w:left="527" w:hanging="357"/>
        <w:contextualSpacing w:val="0"/>
        <w:rPr>
          <w:rStyle w:val="y2iqfc"/>
          <w:kern w:val="1"/>
        </w:rPr>
      </w:pPr>
      <w:r w:rsidRPr="00F20F30">
        <w:rPr>
          <w:rFonts w:eastAsia="StobiSerifRegular"/>
          <w:bCs/>
        </w:rPr>
        <w:t>The</w:t>
      </w:r>
      <w:r>
        <w:rPr>
          <w:rFonts w:eastAsia="StobiSerifRegular"/>
          <w:b/>
        </w:rPr>
        <w:t xml:space="preserve"> </w:t>
      </w:r>
      <w:r w:rsidR="00C435EF" w:rsidRPr="00C435EF">
        <w:rPr>
          <w:rFonts w:eastAsia="StobiSerifRegular"/>
          <w:b/>
          <w:lang w:val="en-US"/>
        </w:rPr>
        <w:t>National Strategy for Roma Inclusion 2022-2030</w:t>
      </w:r>
      <w:r w:rsidR="00C435EF">
        <w:rPr>
          <w:rFonts w:eastAsia="StobiSerifRegular"/>
          <w:b/>
          <w:lang w:val="en-US"/>
        </w:rPr>
        <w:t>,</w:t>
      </w:r>
      <w:r w:rsidR="00C435EF" w:rsidRPr="00C435EF">
        <w:rPr>
          <w:rFonts w:eastAsia="StobiSerifRegular"/>
          <w:b/>
          <w:lang w:val="en-US"/>
        </w:rPr>
        <w:t xml:space="preserve"> </w:t>
      </w:r>
      <w:r w:rsidR="00C435EF" w:rsidRPr="00C435EF">
        <w:rPr>
          <w:rFonts w:eastAsia="StobiSerifRegular"/>
          <w:bCs/>
          <w:lang w:val="en-US"/>
        </w:rPr>
        <w:t xml:space="preserve">among other objectives, </w:t>
      </w:r>
      <w:r w:rsidR="009E06B0">
        <w:rPr>
          <w:rStyle w:val="y2iqfc"/>
        </w:rPr>
        <w:t>seeks to provide permanent, dignified, and non-segregated housing for Roma</w:t>
      </w:r>
      <w:r w:rsidR="00073849">
        <w:rPr>
          <w:rStyle w:val="y2iqfc"/>
        </w:rPr>
        <w:t>, increase the coverage of Roma children and improve their success in all spheres of education.</w:t>
      </w:r>
    </w:p>
    <w:p w14:paraId="1F993CF6" w14:textId="5C51151B" w:rsidR="00C435EF" w:rsidRPr="004C5987" w:rsidRDefault="00073849" w:rsidP="00970283">
      <w:pPr>
        <w:pStyle w:val="Prrafodelista"/>
        <w:widowControl w:val="0"/>
        <w:numPr>
          <w:ilvl w:val="0"/>
          <w:numId w:val="15"/>
        </w:numPr>
        <w:tabs>
          <w:tab w:val="left" w:pos="170"/>
        </w:tabs>
        <w:spacing w:before="120"/>
        <w:ind w:left="527" w:hanging="357"/>
        <w:contextualSpacing w:val="0"/>
        <w:rPr>
          <w:b/>
          <w:bCs/>
          <w:iCs/>
        </w:rPr>
      </w:pPr>
      <w:r w:rsidRPr="004C5987">
        <w:rPr>
          <w:b/>
          <w:bCs/>
          <w:iCs/>
        </w:rPr>
        <w:lastRenderedPageBreak/>
        <w:t xml:space="preserve">Action Plan for protection, promotion, and fulfilment of the human rights of Roma women and girls 2022-2024 </w:t>
      </w:r>
      <w:r w:rsidRPr="004C5987">
        <w:rPr>
          <w:iCs/>
        </w:rPr>
        <w:t xml:space="preserve">foresees activities </w:t>
      </w:r>
      <w:r>
        <w:rPr>
          <w:iCs/>
        </w:rPr>
        <w:t>regarding</w:t>
      </w:r>
      <w:r w:rsidR="00C435EF" w:rsidRPr="004C5987">
        <w:rPr>
          <w:iCs/>
        </w:rPr>
        <w:t xml:space="preserve"> improved effective support of Roma women and girls of all forms of gender-based and domestic violence</w:t>
      </w:r>
      <w:r w:rsidR="00C435EF" w:rsidRPr="004C5987">
        <w:rPr>
          <w:b/>
          <w:bCs/>
          <w:iCs/>
        </w:rPr>
        <w:t>.</w:t>
      </w:r>
    </w:p>
    <w:p w14:paraId="6929BA39" w14:textId="69DBFB64" w:rsidR="004558D1" w:rsidRPr="00AB229A" w:rsidRDefault="00C435EF" w:rsidP="00970283">
      <w:pPr>
        <w:pStyle w:val="Prrafodelista"/>
        <w:widowControl w:val="0"/>
        <w:numPr>
          <w:ilvl w:val="0"/>
          <w:numId w:val="15"/>
        </w:numPr>
        <w:tabs>
          <w:tab w:val="left" w:pos="170"/>
        </w:tabs>
        <w:spacing w:before="120"/>
        <w:ind w:left="527" w:hanging="357"/>
        <w:contextualSpacing w:val="0"/>
      </w:pPr>
      <w:r w:rsidRPr="009E06B0">
        <w:rPr>
          <w:iCs/>
          <w:color w:val="000000"/>
        </w:rPr>
        <w:t xml:space="preserve">The </w:t>
      </w:r>
      <w:r w:rsidRPr="009E06B0">
        <w:rPr>
          <w:b/>
          <w:iCs/>
          <w:color w:val="000000"/>
        </w:rPr>
        <w:t xml:space="preserve">Education Strategy 2018-2025 </w:t>
      </w:r>
      <w:r w:rsidRPr="009E06B0">
        <w:rPr>
          <w:bCs/>
          <w:iCs/>
          <w:color w:val="000000"/>
        </w:rPr>
        <w:t>and Action Plan</w:t>
      </w:r>
      <w:r w:rsidRPr="009E06B0">
        <w:rPr>
          <w:b/>
          <w:iCs/>
          <w:color w:val="000000"/>
        </w:rPr>
        <w:t xml:space="preserve"> </w:t>
      </w:r>
      <w:r w:rsidRPr="009E06B0">
        <w:rPr>
          <w:iCs/>
          <w:color w:val="000000"/>
        </w:rPr>
        <w:t xml:space="preserve">defines a vision </w:t>
      </w:r>
      <w:r w:rsidR="00073849">
        <w:rPr>
          <w:iCs/>
          <w:color w:val="000000"/>
        </w:rPr>
        <w:t xml:space="preserve">of </w:t>
      </w:r>
      <w:r w:rsidRPr="009E06B0">
        <w:rPr>
          <w:iCs/>
          <w:color w:val="000000"/>
        </w:rPr>
        <w:t>comprehensive, inclusive, and integrated education</w:t>
      </w:r>
      <w:r w:rsidR="009262FC">
        <w:rPr>
          <w:iCs/>
          <w:color w:val="000000"/>
        </w:rPr>
        <w:t>.</w:t>
      </w:r>
      <w:r w:rsidRPr="009E06B0">
        <w:rPr>
          <w:iCs/>
          <w:color w:val="000000"/>
        </w:rPr>
        <w:t xml:space="preserve"> The Strategy covers six main pillars of </w:t>
      </w:r>
      <w:r w:rsidR="00073849">
        <w:rPr>
          <w:iCs/>
          <w:color w:val="000000"/>
        </w:rPr>
        <w:t xml:space="preserve">the </w:t>
      </w:r>
      <w:r w:rsidRPr="009E06B0">
        <w:rPr>
          <w:iCs/>
          <w:color w:val="000000"/>
        </w:rPr>
        <w:t xml:space="preserve">education system: -Pre-school Education; -Primary Education; -Secondary Education; -Vocational Education and Training; -Higher Education and Research; and –Adult Learning and Education. </w:t>
      </w:r>
    </w:p>
    <w:p w14:paraId="04FDE6AD" w14:textId="77777777" w:rsidR="007C3E5D" w:rsidRPr="003C0CD7" w:rsidRDefault="00174E00" w:rsidP="003C0CD7">
      <w:pPr>
        <w:pStyle w:val="Ttulo1"/>
        <w:numPr>
          <w:ilvl w:val="1"/>
          <w:numId w:val="1"/>
        </w:numPr>
        <w:rPr>
          <w:lang w:val="en-IE"/>
        </w:rPr>
      </w:pPr>
      <w:bookmarkStart w:id="113" w:name="_Toc69384691"/>
      <w:bookmarkStart w:id="114" w:name="_Toc69384822"/>
      <w:bookmarkStart w:id="115" w:name="_Toc69384951"/>
      <w:bookmarkStart w:id="116" w:name="_Toc69385079"/>
      <w:bookmarkStart w:id="117" w:name="_Toc69460827"/>
      <w:bookmarkStart w:id="118" w:name="_Toc69460954"/>
      <w:bookmarkStart w:id="119" w:name="_Toc73090738"/>
      <w:bookmarkStart w:id="120" w:name="_Toc47101945"/>
      <w:bookmarkStart w:id="121" w:name="_Toc51270440"/>
      <w:bookmarkStart w:id="122" w:name="_Ref58358106"/>
      <w:bookmarkEnd w:id="113"/>
      <w:bookmarkEnd w:id="114"/>
      <w:bookmarkEnd w:id="115"/>
      <w:bookmarkEnd w:id="116"/>
      <w:bookmarkEnd w:id="117"/>
      <w:bookmarkEnd w:id="118"/>
      <w:r w:rsidRPr="003C0CD7">
        <w:rPr>
          <w:lang w:val="en-IE"/>
        </w:rPr>
        <w:t>Problem A</w:t>
      </w:r>
      <w:r w:rsidR="00FD7FCD" w:rsidRPr="003C0CD7">
        <w:rPr>
          <w:lang w:val="en-IE"/>
        </w:rPr>
        <w:t>nalysis</w:t>
      </w:r>
      <w:bookmarkEnd w:id="119"/>
      <w:r w:rsidR="00FD7FCD" w:rsidRPr="003C0CD7">
        <w:rPr>
          <w:lang w:val="en-IE"/>
        </w:rPr>
        <w:t xml:space="preserve"> </w:t>
      </w:r>
      <w:bookmarkStart w:id="123" w:name="_Toc47101946"/>
      <w:bookmarkStart w:id="124" w:name="_Toc51270441"/>
      <w:bookmarkEnd w:id="120"/>
      <w:bookmarkEnd w:id="121"/>
      <w:bookmarkEnd w:id="122"/>
      <w:bookmarkEnd w:id="123"/>
      <w:bookmarkEnd w:id="124"/>
    </w:p>
    <w:p w14:paraId="5B2934D3" w14:textId="77777777" w:rsidR="00B723A4" w:rsidRPr="00C85643" w:rsidRDefault="00B723A4" w:rsidP="00970283">
      <w:pPr>
        <w:spacing w:before="120"/>
        <w:ind w:left="283"/>
        <w:rPr>
          <w:u w:val="single"/>
          <w:lang w:val="en-IE"/>
        </w:rPr>
      </w:pPr>
      <w:r w:rsidRPr="00C85643">
        <w:rPr>
          <w:u w:val="single"/>
          <w:lang w:val="en-IE"/>
        </w:rPr>
        <w:t xml:space="preserve">Short problem analysis </w:t>
      </w:r>
    </w:p>
    <w:p w14:paraId="0D8C6D09" w14:textId="77777777" w:rsidR="006052D2" w:rsidRDefault="006052D2" w:rsidP="00970283">
      <w:pPr>
        <w:spacing w:before="120"/>
        <w:ind w:left="283"/>
        <w:rPr>
          <w:i/>
          <w:iCs/>
          <w:szCs w:val="24"/>
          <w:u w:val="single"/>
          <w:lang w:val="en-IE"/>
        </w:rPr>
      </w:pPr>
      <w:r>
        <w:rPr>
          <w:i/>
          <w:iCs/>
          <w:szCs w:val="24"/>
          <w:u w:val="single"/>
          <w:lang w:val="en-IE"/>
        </w:rPr>
        <w:t>Gender-based and domestic violence</w:t>
      </w:r>
    </w:p>
    <w:p w14:paraId="7DC1D7A2" w14:textId="61920979" w:rsidR="005669A9" w:rsidRDefault="005669A9" w:rsidP="00970283">
      <w:pPr>
        <w:spacing w:before="120"/>
        <w:ind w:left="283"/>
        <w:rPr>
          <w:szCs w:val="24"/>
          <w:lang w:val="en-IE"/>
        </w:rPr>
      </w:pPr>
      <w:r w:rsidRPr="005669A9">
        <w:rPr>
          <w:szCs w:val="24"/>
          <w:lang w:val="en-IE"/>
        </w:rPr>
        <w:t>Due to inappropriate evidence of violence and a lack of systematic follow-up, it is challenging to assess the burden of gender-based and domestic violence against women in North Macedonia. However, an OSCE-led study</w:t>
      </w:r>
      <w:r w:rsidR="00DF281A">
        <w:rPr>
          <w:rStyle w:val="Refdenotaalpie"/>
          <w:rFonts w:cs="Arial"/>
          <w:szCs w:val="24"/>
          <w:lang w:val="en-IE"/>
        </w:rPr>
        <w:footnoteReference w:id="20"/>
      </w:r>
      <w:r w:rsidRPr="005669A9">
        <w:rPr>
          <w:szCs w:val="24"/>
          <w:lang w:val="en-IE"/>
        </w:rPr>
        <w:t xml:space="preserve"> found that 45% of women in North Macedonia have experienced some form of intimate partner violence since the age of 15, and 30% have experienced sexual harassment. Recent data also shows that 82% of domestic violence victims are women. Women's attitudes and perceptions of violence against women</w:t>
      </w:r>
      <w:r w:rsidR="00DF281A">
        <w:rPr>
          <w:rStyle w:val="Refdenotaalpie"/>
          <w:rFonts w:cs="Arial"/>
          <w:szCs w:val="24"/>
          <w:lang w:val="en-IE"/>
        </w:rPr>
        <w:footnoteReference w:id="21"/>
      </w:r>
      <w:r w:rsidRPr="005669A9">
        <w:rPr>
          <w:szCs w:val="24"/>
          <w:lang w:val="en-IE"/>
        </w:rPr>
        <w:t xml:space="preserve"> contribute to low disclosure and reporting rates. In 2020, registered domestic violence cases increased to 1,531 victims, including 1,161 women, 249 men, and 121 children</w:t>
      </w:r>
      <w:r w:rsidR="00DF281A">
        <w:rPr>
          <w:rStyle w:val="Refdenotaalpie"/>
          <w:szCs w:val="24"/>
          <w:lang w:val="en-IE"/>
        </w:rPr>
        <w:footnoteReference w:id="22"/>
      </w:r>
      <w:r w:rsidR="00DF281A">
        <w:rPr>
          <w:szCs w:val="24"/>
          <w:lang w:val="en-IE"/>
        </w:rPr>
        <w:t>.</w:t>
      </w:r>
    </w:p>
    <w:p w14:paraId="62B19930" w14:textId="3CA2E8BB" w:rsidR="00DF281A" w:rsidRDefault="00DF281A" w:rsidP="00970283">
      <w:pPr>
        <w:spacing w:before="120"/>
        <w:ind w:left="283"/>
        <w:rPr>
          <w:szCs w:val="24"/>
          <w:lang w:val="en-IE"/>
        </w:rPr>
      </w:pPr>
      <w:r w:rsidRPr="00DF281A">
        <w:rPr>
          <w:szCs w:val="24"/>
          <w:lang w:val="en-IE"/>
        </w:rPr>
        <w:t>The Safe Community Affiliate Support Centre was established by the Institute of Public Health in 2004 for violence prevention in the health sector. Multiple shelter centres have been opened nationwide since then, followed by the first Family Centre for specialised counselling and psychotherapy services for victims and perpetrators of domestic violence. Although these efforts are a step forward, further action is necessary to achieve Sustainable Development Goals related to violence. Services do not reach all areas of the country, leaving many victims in rural areas without adequate protection.</w:t>
      </w:r>
    </w:p>
    <w:p w14:paraId="347839E3" w14:textId="5B38BEC1" w:rsidR="00967FB9" w:rsidRDefault="00C9188D" w:rsidP="00970283">
      <w:pPr>
        <w:spacing w:before="120"/>
        <w:ind w:left="283"/>
        <w:rPr>
          <w:szCs w:val="24"/>
          <w:lang w:val="en-IE"/>
        </w:rPr>
      </w:pPr>
      <w:r w:rsidRPr="00C9188D">
        <w:rPr>
          <w:szCs w:val="24"/>
          <w:lang w:val="en-IE"/>
        </w:rPr>
        <w:t>The proposed Action will build on the IPA</w:t>
      </w:r>
      <w:r>
        <w:rPr>
          <w:szCs w:val="24"/>
          <w:lang w:val="en-IE"/>
        </w:rPr>
        <w:t xml:space="preserve"> III</w:t>
      </w:r>
      <w:r w:rsidRPr="00C9188D">
        <w:rPr>
          <w:szCs w:val="24"/>
          <w:lang w:val="en-IE"/>
        </w:rPr>
        <w:t xml:space="preserve"> Action 2022 </w:t>
      </w:r>
      <w:r w:rsidRPr="00C9188D">
        <w:rPr>
          <w:i/>
          <w:iCs/>
          <w:szCs w:val="24"/>
          <w:lang w:val="en-IE"/>
        </w:rPr>
        <w:t>"EU to improve health and social protection and gender equality"</w:t>
      </w:r>
      <w:r w:rsidRPr="00C9188D">
        <w:rPr>
          <w:szCs w:val="24"/>
          <w:lang w:val="en-IE"/>
        </w:rPr>
        <w:t xml:space="preserve">, which provides seed funding for the establishment and </w:t>
      </w:r>
      <w:r w:rsidR="004C7252">
        <w:rPr>
          <w:szCs w:val="24"/>
          <w:lang w:val="en-IE"/>
        </w:rPr>
        <w:t>functioning</w:t>
      </w:r>
      <w:r w:rsidRPr="00C9188D">
        <w:rPr>
          <w:szCs w:val="24"/>
          <w:lang w:val="en-IE"/>
        </w:rPr>
        <w:t xml:space="preserve"> of new specialised services and the expansion of existing ones for victims of </w:t>
      </w:r>
      <w:r w:rsidR="004C7252">
        <w:rPr>
          <w:szCs w:val="24"/>
          <w:lang w:val="en-IE"/>
        </w:rPr>
        <w:t xml:space="preserve">gender-based and </w:t>
      </w:r>
      <w:r w:rsidRPr="00C9188D">
        <w:rPr>
          <w:szCs w:val="24"/>
          <w:lang w:val="en-IE"/>
        </w:rPr>
        <w:t xml:space="preserve">domestic violence by creating modern services to provide counselling, </w:t>
      </w:r>
      <w:r w:rsidRPr="00270835">
        <w:rPr>
          <w:color w:val="000000" w:themeColor="text1"/>
          <w:szCs w:val="24"/>
          <w:lang w:val="en-IE"/>
        </w:rPr>
        <w:t>shelter</w:t>
      </w:r>
      <w:r w:rsidR="0018158A" w:rsidRPr="00270835">
        <w:rPr>
          <w:color w:val="000000" w:themeColor="text1"/>
          <w:szCs w:val="24"/>
          <w:lang w:val="en-IE"/>
        </w:rPr>
        <w:t>ing</w:t>
      </w:r>
      <w:r w:rsidRPr="00270835">
        <w:rPr>
          <w:color w:val="000000" w:themeColor="text1"/>
          <w:szCs w:val="24"/>
          <w:lang w:val="en-IE"/>
        </w:rPr>
        <w:t>,</w:t>
      </w:r>
      <w:r w:rsidRPr="0018158A">
        <w:rPr>
          <w:color w:val="FF0000"/>
          <w:szCs w:val="24"/>
          <w:lang w:val="en-IE"/>
        </w:rPr>
        <w:t xml:space="preserve"> </w:t>
      </w:r>
      <w:r w:rsidRPr="00C9188D">
        <w:rPr>
          <w:szCs w:val="24"/>
          <w:lang w:val="en-IE"/>
        </w:rPr>
        <w:t xml:space="preserve">support and reintegration services for victims, including the LGBTI community. This Action will provide operating grants to successful IPA </w:t>
      </w:r>
      <w:r w:rsidR="00D67A2A">
        <w:rPr>
          <w:szCs w:val="24"/>
          <w:lang w:val="en-IE"/>
        </w:rPr>
        <w:t xml:space="preserve">III </w:t>
      </w:r>
      <w:r w:rsidRPr="00C9188D">
        <w:rPr>
          <w:szCs w:val="24"/>
          <w:lang w:val="en-IE"/>
        </w:rPr>
        <w:t xml:space="preserve">2022 grantees and other service operators in the country to maintain, expand and introduce new protection and support services and integrate them into the national public social services system. The operating grants will support service operators to (1) improve the </w:t>
      </w:r>
      <w:r w:rsidR="004C7252">
        <w:rPr>
          <w:szCs w:val="24"/>
          <w:lang w:val="en-IE"/>
        </w:rPr>
        <w:t xml:space="preserve">in-house </w:t>
      </w:r>
      <w:r w:rsidRPr="00C9188D">
        <w:rPr>
          <w:szCs w:val="24"/>
          <w:lang w:val="en-IE"/>
        </w:rPr>
        <w:t xml:space="preserve">services provided to them, which should cover a broad spectrum of support, such as prevention, counselling, </w:t>
      </w:r>
      <w:r w:rsidR="0018158A" w:rsidRPr="00270835">
        <w:rPr>
          <w:color w:val="000000" w:themeColor="text1"/>
          <w:szCs w:val="24"/>
          <w:lang w:val="en-IE"/>
        </w:rPr>
        <w:t>sheltering</w:t>
      </w:r>
      <w:r w:rsidRPr="00C9188D">
        <w:rPr>
          <w:szCs w:val="24"/>
          <w:lang w:val="en-IE"/>
        </w:rPr>
        <w:t>, legal assistance, labour market activation, assistance healthcare and others, and (2) ensure that services meet national and international standards</w:t>
      </w:r>
      <w:r w:rsidR="004C7252">
        <w:rPr>
          <w:szCs w:val="24"/>
          <w:lang w:val="en-IE"/>
        </w:rPr>
        <w:t xml:space="preserve"> and get/remain licenced by the MLSP</w:t>
      </w:r>
      <w:r w:rsidR="004C7252">
        <w:rPr>
          <w:rStyle w:val="Refdenotaalpie"/>
          <w:szCs w:val="24"/>
          <w:lang w:val="en-IE"/>
        </w:rPr>
        <w:footnoteReference w:id="23"/>
      </w:r>
      <w:r w:rsidRPr="00C9188D">
        <w:rPr>
          <w:szCs w:val="24"/>
          <w:lang w:val="en-IE"/>
        </w:rPr>
        <w:t>. Special attention will be paid to the social reintegration of victims into the labour market, health, education and the social protection system.</w:t>
      </w:r>
    </w:p>
    <w:p w14:paraId="75966C02" w14:textId="45950E1C" w:rsidR="00270835" w:rsidRDefault="00270835" w:rsidP="00970283">
      <w:pPr>
        <w:spacing w:before="120"/>
        <w:ind w:left="283"/>
        <w:rPr>
          <w:lang w:val="en-IE"/>
        </w:rPr>
      </w:pPr>
      <w:r w:rsidRPr="00270835">
        <w:rPr>
          <w:lang w:val="en-IE"/>
        </w:rPr>
        <w:lastRenderedPageBreak/>
        <w:t>The fight against gender-based and domestic violence requires coordination across different institutions and policies. One of the main challenges is the lack of comprehensive data on the topic, including cases involving women with disabilities, convictions, and sentences. The Action aims to address this data gap by implementing a national online register for cases of violence against women and domestic violence, supported by an interoperability platform and integrated into existing data management systems in the country.</w:t>
      </w:r>
    </w:p>
    <w:p w14:paraId="1B297901" w14:textId="462403A3" w:rsidR="007F19FF" w:rsidRPr="000A339E" w:rsidRDefault="000C5ECC" w:rsidP="00970283">
      <w:pPr>
        <w:spacing w:before="120"/>
        <w:ind w:left="283"/>
        <w:rPr>
          <w:color w:val="000000" w:themeColor="text1"/>
          <w:u w:val="single"/>
          <w:lang w:val="en-IE"/>
        </w:rPr>
      </w:pPr>
      <w:r w:rsidRPr="000C5ECC">
        <w:rPr>
          <w:i/>
          <w:iCs/>
          <w:color w:val="000000" w:themeColor="text1"/>
          <w:szCs w:val="24"/>
          <w:u w:val="single"/>
          <w:lang w:val="en-IE"/>
        </w:rPr>
        <w:t xml:space="preserve">Improving of access and inclusion of vulnerable people in education system </w:t>
      </w:r>
    </w:p>
    <w:p w14:paraId="67E69DEC" w14:textId="2B505317" w:rsidR="006D6761" w:rsidRPr="006D6761" w:rsidRDefault="006D6761" w:rsidP="00970283">
      <w:pPr>
        <w:spacing w:before="120"/>
        <w:ind w:left="283"/>
        <w:rPr>
          <w:lang w:val="en-IE"/>
        </w:rPr>
      </w:pPr>
      <w:r w:rsidRPr="006D6761">
        <w:rPr>
          <w:lang w:val="en-IE"/>
        </w:rPr>
        <w:t>The Law on Primary Education requires primary schools to establish inclusive teams for students with individual educational plans. Still, only 34% of schools have developed such programmes for students who need them</w:t>
      </w:r>
      <w:r>
        <w:rPr>
          <w:lang w:val="en-IE"/>
        </w:rPr>
        <w:t>.</w:t>
      </w:r>
      <w:r>
        <w:rPr>
          <w:rStyle w:val="Refdenotaalpie"/>
        </w:rPr>
        <w:footnoteReference w:id="24"/>
      </w:r>
      <w:r>
        <w:t xml:space="preserve">. </w:t>
      </w:r>
      <w:r w:rsidRPr="006D6761">
        <w:rPr>
          <w:lang w:val="en-IE"/>
        </w:rPr>
        <w:t>Factors hindering inclusion include inaccessible infrastructure, inadequate learning environments, negative attitudes and lack of acceptance, insufficiently developed professional competencies, larger class sizes, and a shortage of teaching assistants and systematic support. Students with disabilities in inclusive schools receive lower teaching quality, knowledge, and skills than their regular school counterparts.</w:t>
      </w:r>
    </w:p>
    <w:p w14:paraId="1CDCCA23" w14:textId="52394BF4" w:rsidR="007F19FF" w:rsidRDefault="0003318C" w:rsidP="00970283">
      <w:pPr>
        <w:spacing w:before="120"/>
        <w:ind w:left="283"/>
      </w:pPr>
      <w:r>
        <w:t>This Action will promote the inclusive education of children and students from vulnerable groups, such as children and students from low-income families, school dropouts (focusing on women, Roma and other ethnic communities), and children and students with disabilities and special educational needs. It builds on a successful model to support the school integration of Roma students in the country, which will be enhanced and expanded by including a more comprehensive range of vulnerable children (children with disabilities and children from other vulnerable groups). The planned actions (scholarship scheme and capacity-building measures</w:t>
      </w:r>
      <w:r w:rsidR="005E255E">
        <w:t xml:space="preserve"> to raise the skills and motivation of the teachers working with vulnerable student</w:t>
      </w:r>
      <w:r w:rsidR="00CE5283">
        <w:t>s and their parents</w:t>
      </w:r>
      <w:r>
        <w:t>) are</w:t>
      </w:r>
      <w:r w:rsidR="007F19FF">
        <w:t xml:space="preserve"> expected to increase student retention rates, raise individuals’ Grade Point Average (GPA) and decrease dropouts in line with the EU Guidelines on the Promotion and Protection of the Rights of the Child-Leave no Child Behind.</w:t>
      </w:r>
    </w:p>
    <w:p w14:paraId="1E6D6C64" w14:textId="77777777" w:rsidR="00432C94" w:rsidRDefault="007F19FF" w:rsidP="00970283">
      <w:pPr>
        <w:spacing w:before="120"/>
        <w:ind w:left="283"/>
      </w:pPr>
      <w:r>
        <w:t>In the school year 2021/2022, 185.874 students were enrolled in regular primary and lower secondary schools. Of them</w:t>
      </w:r>
      <w:r w:rsidR="003F0484">
        <w:t>,</w:t>
      </w:r>
      <w:r>
        <w:t xml:space="preserve"> 911 are SEN students. In secondary schools, there are 69.223 students enrolled. 312 SEN students are enrolled in regular secondary schools and 232 in special schools. </w:t>
      </w:r>
      <w:r w:rsidR="003F0484">
        <w:t>Regarding</w:t>
      </w:r>
      <w:r>
        <w:t xml:space="preserve"> infrastructures, only 14% of the schools dispose of partially adapted facilities. The EU financing under IPA 2017 has improved the accessibility of 14 key educational establishments in the most underdeveloped regions – Polog, North-East, South-West + Prespa. </w:t>
      </w:r>
    </w:p>
    <w:p w14:paraId="767F31BC" w14:textId="068D32D1" w:rsidR="00432C94" w:rsidRDefault="00432C94" w:rsidP="00970283">
      <w:pPr>
        <w:spacing w:before="120"/>
        <w:ind w:left="283"/>
      </w:pPr>
      <w:r>
        <w:t>The programme provided 735 scholarships to Roma children and around 5</w:t>
      </w:r>
      <w:r w:rsidR="00A646B2">
        <w:t>6</w:t>
      </w:r>
      <w:r>
        <w:t xml:space="preserve">0 scholarships to Children with disabilities. Additionally, the physical </w:t>
      </w:r>
      <w:r w:rsidR="000C5ECC">
        <w:t xml:space="preserve">infrastructure of schools was improved together with capacity building of teachers and other school staff for better inclusion of vulnerable children in the educational system in the first three years of primary school.  </w:t>
      </w:r>
      <w:r>
        <w:t xml:space="preserve"> </w:t>
      </w:r>
    </w:p>
    <w:p w14:paraId="5CA0EB1B" w14:textId="4F9A3E50" w:rsidR="00A646B2" w:rsidRDefault="00A646B2" w:rsidP="00970283">
      <w:pPr>
        <w:spacing w:before="120"/>
        <w:ind w:left="283"/>
      </w:pPr>
      <w:r w:rsidRPr="00A646B2">
        <w:t xml:space="preserve">Inclusive education is a high priority in the educational policy, </w:t>
      </w:r>
      <w:r>
        <w:t>a</w:t>
      </w:r>
      <w:r w:rsidRPr="00A646B2">
        <w:t xml:space="preserve"> Concept for inclusive education was adopted in July 2020. All bylaws have been adopted in accordance with the new Law on Primary Education to support the process for transformation of special schools into primary schools with a resource center that will provide didactic support to the institutions where students with disabilities are enrolled. Inclusive teams have been formed in Primary and Secondary schools and individual educational plans have been prepared for students with disabilities. </w:t>
      </w:r>
    </w:p>
    <w:p w14:paraId="7F293D9E" w14:textId="4030810A" w:rsidR="007F19FF" w:rsidRDefault="007F19FF" w:rsidP="00970283">
      <w:pPr>
        <w:spacing w:before="120"/>
        <w:ind w:left="283"/>
      </w:pPr>
      <w:r>
        <w:t>The present Action will continue adapting the educational infrastructure to the needs of students with disabilities/special needs (SEN).</w:t>
      </w:r>
    </w:p>
    <w:p w14:paraId="32FE0FB2" w14:textId="6F6BE075" w:rsidR="0003318C" w:rsidRPr="007E61B4" w:rsidRDefault="0003318C" w:rsidP="00970283">
      <w:pPr>
        <w:spacing w:before="120"/>
        <w:ind w:left="283"/>
        <w:rPr>
          <w:i/>
          <w:iCs/>
          <w:u w:val="single"/>
          <w:lang w:val="en-US"/>
        </w:rPr>
      </w:pPr>
      <w:r w:rsidRPr="007E61B4">
        <w:rPr>
          <w:i/>
          <w:iCs/>
          <w:u w:val="single"/>
          <w:lang w:val="en-US"/>
        </w:rPr>
        <w:lastRenderedPageBreak/>
        <w:t>Legal housing for Roma</w:t>
      </w:r>
    </w:p>
    <w:p w14:paraId="03761EBD" w14:textId="051005A4" w:rsidR="0003318C" w:rsidRDefault="00815A6D" w:rsidP="00970283">
      <w:pPr>
        <w:spacing w:before="120"/>
        <w:ind w:left="283"/>
      </w:pPr>
      <w:r w:rsidRPr="00815A6D">
        <w:t xml:space="preserve">The Roma community suffers from some of the most inadequate housing conditions in the country, residing in poorly developed settlements with badly constructed housing units that often lack formal registration </w:t>
      </w:r>
      <w:r>
        <w:t>following</w:t>
      </w:r>
      <w:r w:rsidRPr="00815A6D">
        <w:t xml:space="preserve"> urban-spatial and construction legislation. Overcrowding is widespread, with many Roma families living in homes that provide less than 5 square metres per person. This situation has resulted in a negative perception of Roma by </w:t>
      </w:r>
      <w:r w:rsidR="002B2848" w:rsidRPr="00815A6D">
        <w:t>most</w:t>
      </w:r>
      <w:r w:rsidRPr="00815A6D">
        <w:t xml:space="preserve"> non-Roma communities, leading to discrimination in various areas and a lower quality of life. In addition, these conditions have contributed to lower school attendance, lower employment rates, shorter life expectancies, higher mortality rates, increased migration, and higher participation in the informal economy.</w:t>
      </w:r>
    </w:p>
    <w:p w14:paraId="5B4E2894" w14:textId="2DCF8AB4" w:rsidR="0003318C" w:rsidRDefault="00D62A59" w:rsidP="00970283">
      <w:pPr>
        <w:spacing w:before="120"/>
        <w:ind w:left="283"/>
        <w:rPr>
          <w:lang w:val="en-IE"/>
        </w:rPr>
      </w:pPr>
      <w:r w:rsidRPr="00D62A59">
        <w:rPr>
          <w:lang w:val="en-IE"/>
        </w:rPr>
        <w:t>The Covid-19 pandemic exposed systemic shortcomings, particularly in the Roma community, where many settlements lacked basic infrastructure such as access to water, sewerage, and paved roads. The lack of such infrastructure was especially critical during the pandemic, as frequent hand washing and disinfection were recommended but not readily accessible in many Roma settlements</w:t>
      </w:r>
      <w:r w:rsidR="008B2CF3">
        <w:rPr>
          <w:rStyle w:val="Refdenotaalpie"/>
          <w:lang w:val="en-IE"/>
        </w:rPr>
        <w:footnoteReference w:id="25"/>
      </w:r>
      <w:r w:rsidRPr="00D62A59">
        <w:rPr>
          <w:lang w:val="en-IE"/>
        </w:rPr>
        <w:t>.</w:t>
      </w:r>
    </w:p>
    <w:p w14:paraId="6822E414" w14:textId="316CE37E" w:rsidR="0003318C" w:rsidRDefault="00D62A59" w:rsidP="00970283">
      <w:pPr>
        <w:spacing w:before="120"/>
        <w:ind w:left="283"/>
        <w:rPr>
          <w:lang w:val="en-IE"/>
        </w:rPr>
      </w:pPr>
      <w:r w:rsidRPr="00D62A59">
        <w:rPr>
          <w:lang w:val="en-IE"/>
        </w:rPr>
        <w:t>Previous analysis and mapping have shown that approximately 28% of Roma have yet to legalise their housing units, mainly due to the lack of a detailed urban plan in their municipality or the financial burden of the legalisation procedure, which involves several stages and various documents. However, a new draft Law on Legalisation of Illegally Constructed Buildings has been returned for further consultation and is anticipated to be approved by the Assembly.</w:t>
      </w:r>
    </w:p>
    <w:p w14:paraId="055D4D88" w14:textId="6EF7CEF9" w:rsidR="00511BD5" w:rsidRDefault="004C3DD7" w:rsidP="00970283">
      <w:pPr>
        <w:spacing w:before="120"/>
        <w:ind w:left="283"/>
        <w:rPr>
          <w:lang w:val="en-IE"/>
        </w:rPr>
      </w:pPr>
      <w:r>
        <w:rPr>
          <w:lang w:val="en-IE"/>
        </w:rPr>
        <w:t>A</w:t>
      </w:r>
      <w:r w:rsidR="00AC387E" w:rsidRPr="00AC387E">
        <w:rPr>
          <w:lang w:val="en-IE"/>
        </w:rPr>
        <w:t xml:space="preserve"> Detailed Urban Plan (DUP) is essential for achieving the legalisation process and meeting the housing standards. However, over the past 25 years, municipalities have failed to secure appropriate funding for the urbanisation and integration of Roma settlements into the general and detailed urban planning process. This has exacerbated legalisation-related problems, resulting in the exclusion of many Roma settlements from the legalisation process.</w:t>
      </w:r>
      <w:r w:rsidR="00511BD5">
        <w:rPr>
          <w:lang w:val="en-IE"/>
        </w:rPr>
        <w:t xml:space="preserve"> </w:t>
      </w:r>
      <w:r w:rsidR="00511BD5" w:rsidRPr="00511BD5">
        <w:rPr>
          <w:lang w:val="en-IE"/>
        </w:rPr>
        <w:t>The delay in implementing measures to prepare urban plans exacerbates the housing crisis for the Roma community. Consequently, the (re)construction of basic infrastructure such as water supply, sewerage networks, and electricity connections is not legally possible, leading to substandard living conditions. To address this issue, the EU provides financial support for creating new detailed urban plans and legalising several dwellings in municipalities, including Vinica, Suto Orizari, Bitola, Prilep, Stip, Delchevo, Kichevo, and Veles.</w:t>
      </w:r>
    </w:p>
    <w:p w14:paraId="0284BEF9" w14:textId="147FC75D" w:rsidR="00511BD5" w:rsidRDefault="00EB3CF2" w:rsidP="00970283">
      <w:pPr>
        <w:spacing w:before="120"/>
        <w:ind w:left="283"/>
        <w:rPr>
          <w:lang w:val="en-IE"/>
        </w:rPr>
      </w:pPr>
      <w:r w:rsidRPr="00EB3CF2">
        <w:rPr>
          <w:lang w:val="en-IE"/>
        </w:rPr>
        <w:t>The proposed Action aims to support the preparation of urban-spatial plans in six municipalities with a significant concentration of Roma people based on feasibility studies conducted in 2022 by the Regional Cooperation Council (RCC). The aim is to enable the construction and improvement of urban infrastructure, including social housing, by legalising Roma settlements by creating detailed urban plans. The Action will produce technical documentation for future EU investments in urbanising Roma settlements and facilitate partnerships between the MLSP and Local Self-Government Units (LSGUs) to amend municipal General Urban Plans (GUPs) and Detailed Urban Plans (DUPs).</w:t>
      </w:r>
    </w:p>
    <w:p w14:paraId="13163541" w14:textId="5F959719" w:rsidR="00B723A4" w:rsidRPr="00C85643" w:rsidRDefault="009E322B" w:rsidP="00970283">
      <w:pPr>
        <w:spacing w:before="120"/>
        <w:ind w:left="283"/>
        <w:rPr>
          <w:u w:val="single"/>
          <w:lang w:val="en-IE"/>
        </w:rPr>
      </w:pPr>
      <w:r w:rsidRPr="00C85643">
        <w:rPr>
          <w:u w:val="single"/>
          <w:lang w:val="en-IE"/>
        </w:rPr>
        <w:t xml:space="preserve">Main </w:t>
      </w:r>
      <w:r w:rsidR="00B723A4" w:rsidRPr="00C85643">
        <w:rPr>
          <w:u w:val="single"/>
          <w:lang w:val="en-IE"/>
        </w:rPr>
        <w:t>st</w:t>
      </w:r>
      <w:r>
        <w:rPr>
          <w:u w:val="single"/>
          <w:lang w:val="en-IE"/>
        </w:rPr>
        <w:t>akeholders</w:t>
      </w:r>
    </w:p>
    <w:p w14:paraId="3813C434" w14:textId="77777777" w:rsidR="00F93930" w:rsidRPr="004C78B6" w:rsidRDefault="00F93930" w:rsidP="00467840">
      <w:pPr>
        <w:pStyle w:val="Prrafodelista"/>
        <w:numPr>
          <w:ilvl w:val="0"/>
          <w:numId w:val="31"/>
        </w:numPr>
        <w:spacing w:before="120"/>
        <w:contextualSpacing w:val="0"/>
        <w:rPr>
          <w:b/>
          <w:bCs/>
          <w:szCs w:val="24"/>
          <w:lang w:val="en-IE"/>
        </w:rPr>
      </w:pPr>
      <w:r w:rsidRPr="005B1B63">
        <w:rPr>
          <w:b/>
          <w:bCs/>
          <w:szCs w:val="24"/>
          <w:lang w:val="en-IE"/>
        </w:rPr>
        <w:t xml:space="preserve">Ministry of Labour and Social Policy (MLSP). </w:t>
      </w:r>
      <w:r w:rsidRPr="005B1B63">
        <w:rPr>
          <w:i/>
          <w:iCs/>
          <w:szCs w:val="24"/>
          <w:lang w:val="en-IE"/>
        </w:rPr>
        <w:t xml:space="preserve">Gender and domestic violence. </w:t>
      </w:r>
      <w:r w:rsidRPr="005B1B63">
        <w:rPr>
          <w:szCs w:val="24"/>
          <w:lang w:val="en-IE"/>
        </w:rPr>
        <w:t>One of the competencies of the MLSP is creating a legal, strategic and institutional framework for protecting victims from all forms of gender-based violence and domestic violence. As well, the MLSP is responsible for coordinating the line ministries and governmental institutions to integrate Roma issues into the main socio-economic policies and action plans.</w:t>
      </w:r>
    </w:p>
    <w:p w14:paraId="65D08CCE" w14:textId="2F07DCB8" w:rsidR="00511BD5" w:rsidRDefault="004C78B6" w:rsidP="00512A0F">
      <w:pPr>
        <w:pStyle w:val="Prrafodelista"/>
        <w:numPr>
          <w:ilvl w:val="0"/>
          <w:numId w:val="31"/>
        </w:numPr>
        <w:spacing w:before="120"/>
        <w:contextualSpacing w:val="0"/>
        <w:rPr>
          <w:szCs w:val="24"/>
          <w:lang w:val="en-IE"/>
        </w:rPr>
      </w:pPr>
      <w:r w:rsidRPr="00F93930">
        <w:rPr>
          <w:b/>
          <w:bCs/>
          <w:szCs w:val="24"/>
          <w:lang w:val="en-IE"/>
        </w:rPr>
        <w:lastRenderedPageBreak/>
        <w:t xml:space="preserve">Ministry of Interior (MoI). </w:t>
      </w:r>
      <w:r w:rsidRPr="00F93930">
        <w:rPr>
          <w:szCs w:val="24"/>
          <w:lang w:val="en-IE"/>
        </w:rPr>
        <w:t xml:space="preserve">The Ministry, within its competence, provides expert assistance to citizens, legal entities and state bodies in the realisation of prescribed rights and obligations, protection of life and personal security of citizens and property. All police stations dispose of specific instructions in case of reports and actions of victims of domestic violence. There are also handbooks prepared by the Ministry (Providing Gender-Sensitive Support Services to Victims of Domestic Violence and – Reminder for the conduct of police officers in cases of gender-based violence and domestic violence. </w:t>
      </w:r>
    </w:p>
    <w:p w14:paraId="24C4FB56" w14:textId="44136CEB" w:rsidR="00523C6C" w:rsidRDefault="00511BD5" w:rsidP="00970283">
      <w:pPr>
        <w:pStyle w:val="Prrafodelista"/>
        <w:numPr>
          <w:ilvl w:val="0"/>
          <w:numId w:val="17"/>
        </w:numPr>
        <w:spacing w:before="120"/>
        <w:ind w:left="720" w:hanging="360"/>
        <w:contextualSpacing w:val="0"/>
        <w:rPr>
          <w:szCs w:val="24"/>
          <w:lang w:val="en-IE"/>
        </w:rPr>
      </w:pPr>
      <w:r>
        <w:rPr>
          <w:b/>
          <w:bCs/>
          <w:szCs w:val="24"/>
          <w:lang w:val="en-IE"/>
        </w:rPr>
        <w:t xml:space="preserve">Ministry of Health (MoH). </w:t>
      </w:r>
      <w:r>
        <w:rPr>
          <w:szCs w:val="24"/>
          <w:lang w:val="en-IE"/>
        </w:rPr>
        <w:t xml:space="preserve">The Ministry of Health is responsible for setting the </w:t>
      </w:r>
      <w:r w:rsidR="00AF61E4">
        <w:rPr>
          <w:szCs w:val="24"/>
          <w:lang w:val="en-IE"/>
        </w:rPr>
        <w:t>health system’s overall strategic direction and priorities</w:t>
      </w:r>
      <w:r>
        <w:rPr>
          <w:szCs w:val="24"/>
          <w:lang w:val="en-IE"/>
        </w:rPr>
        <w:t>; developing legislation, regulations, standards, policies and directives to support those strategic directions</w:t>
      </w:r>
      <w:r w:rsidR="00AF61E4">
        <w:rPr>
          <w:szCs w:val="24"/>
          <w:lang w:val="en-IE"/>
        </w:rPr>
        <w:t>. T</w:t>
      </w:r>
      <w:r w:rsidR="00523C6C">
        <w:rPr>
          <w:szCs w:val="24"/>
          <w:lang w:val="en-IE"/>
        </w:rPr>
        <w:t>he Ministry of Health has integrated free examinations for victims of sexual violence in the program</w:t>
      </w:r>
      <w:r w:rsidR="00AF61E4">
        <w:rPr>
          <w:szCs w:val="24"/>
          <w:lang w:val="en-IE"/>
        </w:rPr>
        <w:t>me</w:t>
      </w:r>
      <w:r w:rsidR="00523C6C">
        <w:rPr>
          <w:szCs w:val="24"/>
          <w:lang w:val="en-IE"/>
        </w:rPr>
        <w:t xml:space="preserve"> of active attention to the health of mothers and children.</w:t>
      </w:r>
    </w:p>
    <w:p w14:paraId="5B00FD2F" w14:textId="59E9974F" w:rsidR="00520466" w:rsidRDefault="00442764" w:rsidP="00970283">
      <w:pPr>
        <w:pStyle w:val="Prrafodelista"/>
        <w:numPr>
          <w:ilvl w:val="0"/>
          <w:numId w:val="17"/>
        </w:numPr>
        <w:spacing w:before="120"/>
        <w:ind w:left="720" w:hanging="360"/>
        <w:contextualSpacing w:val="0"/>
        <w:rPr>
          <w:szCs w:val="24"/>
          <w:lang w:val="en-IE"/>
        </w:rPr>
      </w:pPr>
      <w:r w:rsidRPr="00AF61E4">
        <w:rPr>
          <w:b/>
          <w:bCs/>
          <w:szCs w:val="24"/>
          <w:lang w:val="en-IE"/>
        </w:rPr>
        <w:t xml:space="preserve">Ministry of Education and Science (MoES). </w:t>
      </w:r>
      <w:r w:rsidR="006D123D" w:rsidRPr="00AF61E4">
        <w:rPr>
          <w:szCs w:val="24"/>
          <w:lang w:val="en-IE"/>
        </w:rPr>
        <w:t xml:space="preserve">The Ministry of Education and Science's mission is to ensure a high-quality educational experience by utilising modern teaching techniques, fostering critical thinking, and integrating information technology and digital skills into the curriculum. </w:t>
      </w:r>
    </w:p>
    <w:p w14:paraId="5DC7F4A3" w14:textId="0293ECF4" w:rsidR="00520466" w:rsidRDefault="00520466" w:rsidP="00970283">
      <w:pPr>
        <w:pStyle w:val="Prrafodelista"/>
        <w:numPr>
          <w:ilvl w:val="0"/>
          <w:numId w:val="17"/>
        </w:numPr>
        <w:spacing w:before="120"/>
        <w:ind w:left="720" w:hanging="360"/>
        <w:contextualSpacing w:val="0"/>
        <w:rPr>
          <w:szCs w:val="24"/>
          <w:lang w:val="en-IE"/>
        </w:rPr>
      </w:pPr>
      <w:r w:rsidRPr="00520466">
        <w:rPr>
          <w:b/>
          <w:bCs/>
          <w:szCs w:val="24"/>
          <w:lang w:val="en-IE"/>
        </w:rPr>
        <w:t>Bureau for Development of Education (BDE).</w:t>
      </w:r>
      <w:r w:rsidR="00AC3DAD">
        <w:rPr>
          <w:b/>
          <w:bCs/>
          <w:szCs w:val="24"/>
          <w:lang w:val="en-IE"/>
        </w:rPr>
        <w:t xml:space="preserve"> </w:t>
      </w:r>
      <w:r w:rsidR="00AC3DAD" w:rsidRPr="00AC3DAD">
        <w:rPr>
          <w:szCs w:val="24"/>
          <w:lang w:val="en-IE"/>
        </w:rPr>
        <w:t xml:space="preserve">The </w:t>
      </w:r>
      <w:r w:rsidR="00F53CAE">
        <w:rPr>
          <w:szCs w:val="24"/>
          <w:lang w:val="en-IE"/>
        </w:rPr>
        <w:t>BDE</w:t>
      </w:r>
      <w:r w:rsidR="00AC3DAD" w:rsidRPr="00AC3DAD">
        <w:rPr>
          <w:szCs w:val="24"/>
          <w:lang w:val="en-IE"/>
        </w:rPr>
        <w:t xml:space="preserve"> is a management body within the </w:t>
      </w:r>
      <w:r w:rsidR="00F93930">
        <w:rPr>
          <w:szCs w:val="24"/>
          <w:lang w:val="en-IE"/>
        </w:rPr>
        <w:t>MoES</w:t>
      </w:r>
      <w:r w:rsidR="00AC3DAD" w:rsidRPr="00AC3DAD">
        <w:rPr>
          <w:szCs w:val="24"/>
          <w:lang w:val="en-IE"/>
        </w:rPr>
        <w:t xml:space="preserve"> with the capacity of a legal entity. It performs professional activities relevant to developing and promoting upbringing and education in the </w:t>
      </w:r>
      <w:r w:rsidR="00F93930">
        <w:rPr>
          <w:szCs w:val="24"/>
          <w:lang w:val="en-IE"/>
        </w:rPr>
        <w:t>country</w:t>
      </w:r>
      <w:r w:rsidR="00AC3DAD" w:rsidRPr="00AC3DAD">
        <w:rPr>
          <w:szCs w:val="24"/>
          <w:lang w:val="en-IE"/>
        </w:rPr>
        <w:t>.</w:t>
      </w:r>
      <w:r w:rsidR="00AC3DAD">
        <w:rPr>
          <w:szCs w:val="24"/>
          <w:lang w:val="en-IE"/>
        </w:rPr>
        <w:t xml:space="preserve"> </w:t>
      </w:r>
      <w:r w:rsidR="00AC3DAD" w:rsidRPr="00AC3DAD">
        <w:rPr>
          <w:szCs w:val="24"/>
          <w:lang w:val="en-IE"/>
        </w:rPr>
        <w:t xml:space="preserve">The </w:t>
      </w:r>
      <w:r w:rsidR="00AC3DAD">
        <w:rPr>
          <w:szCs w:val="24"/>
          <w:lang w:val="en-IE"/>
        </w:rPr>
        <w:t>BDE</w:t>
      </w:r>
      <w:r w:rsidR="00AC3DAD" w:rsidRPr="00AC3DAD">
        <w:rPr>
          <w:szCs w:val="24"/>
          <w:lang w:val="en-IE"/>
        </w:rPr>
        <w:t xml:space="preserve"> seeks to promote and improve teaching and learning by developing new curricula, developmental research, teaching staff counselling and training, evaluating student achievement, and publishing manuals, magazines and other didactic materials.</w:t>
      </w:r>
    </w:p>
    <w:p w14:paraId="191E7663" w14:textId="7819DA6A" w:rsidR="00AF61E4" w:rsidRPr="00AF61E4" w:rsidRDefault="00AF61E4" w:rsidP="00970283">
      <w:pPr>
        <w:pStyle w:val="Prrafodelista"/>
        <w:numPr>
          <w:ilvl w:val="0"/>
          <w:numId w:val="17"/>
        </w:numPr>
        <w:spacing w:before="120"/>
        <w:ind w:left="720" w:hanging="360"/>
        <w:contextualSpacing w:val="0"/>
        <w:rPr>
          <w:szCs w:val="24"/>
          <w:lang w:val="en-IE"/>
        </w:rPr>
      </w:pPr>
      <w:r>
        <w:rPr>
          <w:b/>
          <w:bCs/>
          <w:szCs w:val="24"/>
          <w:lang w:val="en-IE"/>
        </w:rPr>
        <w:t>National Coordination Body for the Protection of Children from Abuse, Violence and Neglect</w:t>
      </w:r>
      <w:r>
        <w:rPr>
          <w:szCs w:val="24"/>
          <w:lang w:val="en-IE"/>
        </w:rPr>
        <w:t xml:space="preserve"> was constituted with Governmental Decision in December 2017. Its purpose is to monitor and coordinate the implementation of activities to protect children from abuse and neglect and ensure annual reporting.</w:t>
      </w:r>
    </w:p>
    <w:p w14:paraId="1721F5F3" w14:textId="559CEA53" w:rsidR="00511BD5" w:rsidRDefault="00523C6C" w:rsidP="00970283">
      <w:pPr>
        <w:pStyle w:val="Prrafodelista"/>
        <w:numPr>
          <w:ilvl w:val="0"/>
          <w:numId w:val="17"/>
        </w:numPr>
        <w:spacing w:before="120"/>
        <w:ind w:left="720" w:hanging="360"/>
        <w:contextualSpacing w:val="0"/>
        <w:rPr>
          <w:szCs w:val="24"/>
          <w:lang w:val="en-IE"/>
        </w:rPr>
      </w:pPr>
      <w:r w:rsidRPr="00AF61E4">
        <w:rPr>
          <w:b/>
          <w:bCs/>
          <w:szCs w:val="24"/>
          <w:lang w:val="en-IE"/>
        </w:rPr>
        <w:t xml:space="preserve">Commission for Prevention and Protection against Discrimination (CPPD). </w:t>
      </w:r>
      <w:r w:rsidRPr="00AF61E4">
        <w:rPr>
          <w:szCs w:val="24"/>
          <w:lang w:val="en-IE"/>
        </w:rPr>
        <w:t xml:space="preserve">The CPPD is the main body for prevention and protection against discrimination, established based on the Law on the Prevention and Protection against Discrimination adopted in January 2021. As an independent legal entity, CPPD has the </w:t>
      </w:r>
      <w:r w:rsidR="00AC3DAD" w:rsidRPr="00AF61E4">
        <w:rPr>
          <w:szCs w:val="24"/>
          <w:lang w:val="en-IE"/>
        </w:rPr>
        <w:t>competency</w:t>
      </w:r>
      <w:r w:rsidRPr="00AF61E4">
        <w:rPr>
          <w:szCs w:val="24"/>
          <w:lang w:val="en-IE"/>
        </w:rPr>
        <w:t xml:space="preserve"> to process complaints against all natural and legal persons. </w:t>
      </w:r>
    </w:p>
    <w:p w14:paraId="0CE52F04" w14:textId="342C1715" w:rsidR="00511BD5" w:rsidRDefault="00511BD5" w:rsidP="00970283">
      <w:pPr>
        <w:pStyle w:val="Prrafodelista"/>
        <w:numPr>
          <w:ilvl w:val="0"/>
          <w:numId w:val="17"/>
        </w:numPr>
        <w:spacing w:before="120"/>
        <w:ind w:left="720" w:hanging="360"/>
        <w:contextualSpacing w:val="0"/>
        <w:rPr>
          <w:b/>
          <w:bCs/>
          <w:szCs w:val="24"/>
          <w:lang w:val="en-IE"/>
        </w:rPr>
      </w:pPr>
      <w:r>
        <w:rPr>
          <w:b/>
          <w:bCs/>
          <w:szCs w:val="24"/>
          <w:lang w:val="en-IE"/>
        </w:rPr>
        <w:t xml:space="preserve">National Coordination Body for Prevention and Protection from Violence </w:t>
      </w:r>
      <w:r w:rsidR="00970283">
        <w:rPr>
          <w:b/>
          <w:bCs/>
          <w:szCs w:val="24"/>
          <w:lang w:val="en-IE"/>
        </w:rPr>
        <w:t>a</w:t>
      </w:r>
      <w:r>
        <w:rPr>
          <w:b/>
          <w:bCs/>
          <w:szCs w:val="24"/>
          <w:lang w:val="en-IE"/>
        </w:rPr>
        <w:t xml:space="preserve">gainst Women and Domestic Violence. </w:t>
      </w:r>
      <w:r>
        <w:rPr>
          <w:szCs w:val="24"/>
          <w:lang w:val="en-IE"/>
        </w:rPr>
        <w:t xml:space="preserve">It includes representatives from the MLSP, MH, MoI, MoES, MoJ, </w:t>
      </w:r>
      <w:r w:rsidR="00523C6C">
        <w:rPr>
          <w:szCs w:val="24"/>
          <w:lang w:val="en-IE"/>
        </w:rPr>
        <w:t>and</w:t>
      </w:r>
      <w:r>
        <w:rPr>
          <w:szCs w:val="24"/>
          <w:lang w:val="en-IE"/>
        </w:rPr>
        <w:t xml:space="preserve"> other civil society organisations. The National Coordination Body performs, among others, the following tasks: coordinates the work of the institutions in the field of prevention and protection from gender-based violence against women and domestic violence; promotes the principle of equality and elimination of stereotypes about gender roles; coordinates and monitors the collection of data on gender-based violence against women and domestic violence according to predetermined indicators.</w:t>
      </w:r>
    </w:p>
    <w:p w14:paraId="4E1CF1AF" w14:textId="1105DD6D" w:rsidR="00511BD5" w:rsidRDefault="00511BD5" w:rsidP="00970283">
      <w:pPr>
        <w:pStyle w:val="Prrafodelista"/>
        <w:numPr>
          <w:ilvl w:val="0"/>
          <w:numId w:val="17"/>
        </w:numPr>
        <w:spacing w:before="120"/>
        <w:ind w:left="720" w:hanging="360"/>
        <w:contextualSpacing w:val="0"/>
        <w:rPr>
          <w:b/>
          <w:bCs/>
          <w:szCs w:val="24"/>
          <w:lang w:val="en-IE"/>
        </w:rPr>
      </w:pPr>
      <w:r>
        <w:rPr>
          <w:b/>
          <w:bCs/>
          <w:szCs w:val="24"/>
          <w:lang w:val="en-IE"/>
        </w:rPr>
        <w:t>Social Work Centres (SWCs).</w:t>
      </w:r>
      <w:r>
        <w:rPr>
          <w:szCs w:val="24"/>
          <w:lang w:val="en-IE"/>
        </w:rPr>
        <w:t xml:space="preserve"> The SWCs are institutions with public authorisations for performing social protection activities, such as administering social protection rights, taking decisions about family law matters, </w:t>
      </w:r>
      <w:r w:rsidR="001108E0">
        <w:rPr>
          <w:szCs w:val="24"/>
          <w:lang w:val="en-IE"/>
        </w:rPr>
        <w:t>acting</w:t>
      </w:r>
      <w:r>
        <w:rPr>
          <w:szCs w:val="24"/>
          <w:lang w:val="en-IE"/>
        </w:rPr>
        <w:t xml:space="preserve"> per the criminal law regulations, and performing other activities determined by law.</w:t>
      </w:r>
      <w:r w:rsidR="0025331D">
        <w:rPr>
          <w:szCs w:val="24"/>
          <w:lang w:val="en-IE"/>
        </w:rPr>
        <w:t xml:space="preserve"> Eight SWCs operate </w:t>
      </w:r>
      <w:r w:rsidR="0025331D">
        <w:rPr>
          <w:lang w:val="en-IE"/>
        </w:rPr>
        <w:t xml:space="preserve">centres for women victims (and their children) of domestic violence, which are </w:t>
      </w:r>
      <w:r w:rsidR="00F53CAE">
        <w:rPr>
          <w:lang w:val="en-IE"/>
        </w:rPr>
        <w:t xml:space="preserve">an </w:t>
      </w:r>
      <w:r w:rsidR="0025331D">
        <w:rPr>
          <w:lang w:val="en-IE"/>
        </w:rPr>
        <w:t>integral part of their organisational structure.</w:t>
      </w:r>
    </w:p>
    <w:p w14:paraId="56EBE061" w14:textId="1AB3C6F8" w:rsidR="00511BD5" w:rsidRDefault="00511BD5" w:rsidP="00970283">
      <w:pPr>
        <w:pStyle w:val="Prrafodelista"/>
        <w:numPr>
          <w:ilvl w:val="0"/>
          <w:numId w:val="17"/>
        </w:numPr>
        <w:spacing w:before="120"/>
        <w:ind w:left="720" w:hanging="360"/>
        <w:contextualSpacing w:val="0"/>
        <w:rPr>
          <w:szCs w:val="24"/>
          <w:lang w:val="en-IE"/>
        </w:rPr>
      </w:pPr>
      <w:r w:rsidRPr="000A6C65">
        <w:rPr>
          <w:b/>
          <w:bCs/>
          <w:szCs w:val="24"/>
          <w:lang w:val="en-IE"/>
        </w:rPr>
        <w:t xml:space="preserve">National Coordination Body (NCB) Roma. </w:t>
      </w:r>
      <w:r w:rsidRPr="000A6C65">
        <w:rPr>
          <w:szCs w:val="24"/>
          <w:lang w:val="en-IE"/>
        </w:rPr>
        <w:t xml:space="preserve">The NCB has the specific role of observing and directing the implementation of strategies and policies for </w:t>
      </w:r>
      <w:r w:rsidR="001108E0" w:rsidRPr="000A6C65">
        <w:rPr>
          <w:szCs w:val="24"/>
          <w:lang w:val="en-IE"/>
        </w:rPr>
        <w:t>Roma's social inclusion and integration</w:t>
      </w:r>
      <w:r w:rsidRPr="000A6C65">
        <w:rPr>
          <w:szCs w:val="24"/>
          <w:lang w:val="en-IE"/>
        </w:rPr>
        <w:t xml:space="preserve">. The NCB should ensure effective coordination between state institutions and </w:t>
      </w:r>
      <w:r w:rsidRPr="000A6C65">
        <w:rPr>
          <w:szCs w:val="24"/>
          <w:lang w:val="en-IE"/>
        </w:rPr>
        <w:lastRenderedPageBreak/>
        <w:t xml:space="preserve">civil society organisations; oversee the implementation of national action plans; prepare annual operations plans, periodic monitoring and evaluation, including the preparation reports, </w:t>
      </w:r>
      <w:r w:rsidR="001108E0" w:rsidRPr="000A6C65">
        <w:rPr>
          <w:szCs w:val="24"/>
          <w:lang w:val="en-IE"/>
        </w:rPr>
        <w:t>and</w:t>
      </w:r>
      <w:r w:rsidRPr="000A6C65">
        <w:rPr>
          <w:szCs w:val="24"/>
          <w:lang w:val="en-IE"/>
        </w:rPr>
        <w:t xml:space="preserve"> a database on </w:t>
      </w:r>
      <w:r w:rsidR="001108E0" w:rsidRPr="000A6C65">
        <w:rPr>
          <w:szCs w:val="24"/>
          <w:lang w:val="en-IE"/>
        </w:rPr>
        <w:t xml:space="preserve">the </w:t>
      </w:r>
      <w:r w:rsidRPr="000A6C65">
        <w:rPr>
          <w:szCs w:val="24"/>
          <w:lang w:val="en-IE"/>
        </w:rPr>
        <w:t xml:space="preserve">social inclusion of Roma. </w:t>
      </w:r>
    </w:p>
    <w:p w14:paraId="20EBDA25" w14:textId="72549BB9" w:rsidR="001108E0" w:rsidRDefault="00511BD5" w:rsidP="00970283">
      <w:pPr>
        <w:pStyle w:val="Prrafodelista"/>
        <w:numPr>
          <w:ilvl w:val="0"/>
          <w:numId w:val="17"/>
        </w:numPr>
        <w:spacing w:before="120"/>
        <w:ind w:left="720" w:hanging="360"/>
        <w:contextualSpacing w:val="0"/>
        <w:rPr>
          <w:szCs w:val="24"/>
          <w:lang w:val="en-IE"/>
        </w:rPr>
      </w:pPr>
      <w:r>
        <w:rPr>
          <w:b/>
          <w:bCs/>
          <w:szCs w:val="24"/>
          <w:lang w:val="en-IE"/>
        </w:rPr>
        <w:t xml:space="preserve">Inter-Party Parliamentary Group for Support of Roma. </w:t>
      </w:r>
      <w:r>
        <w:rPr>
          <w:szCs w:val="24"/>
          <w:lang w:val="en-IE"/>
        </w:rPr>
        <w:t xml:space="preserve">This Parliamentary Group was formed in February 2021. One of the goals is to support </w:t>
      </w:r>
      <w:r w:rsidR="001108E0">
        <w:rPr>
          <w:szCs w:val="24"/>
          <w:lang w:val="en-IE"/>
        </w:rPr>
        <w:t>Roma’s rights, inclusion, and integration in societal flows in the Republic of North Macedonia.</w:t>
      </w:r>
    </w:p>
    <w:p w14:paraId="12EDBDEF" w14:textId="7F377BE6" w:rsidR="00511BD5" w:rsidRDefault="001108E0" w:rsidP="00970283">
      <w:pPr>
        <w:pStyle w:val="Prrafodelista"/>
        <w:numPr>
          <w:ilvl w:val="0"/>
          <w:numId w:val="17"/>
        </w:numPr>
        <w:spacing w:before="120"/>
        <w:ind w:left="720" w:hanging="360"/>
        <w:contextualSpacing w:val="0"/>
        <w:rPr>
          <w:szCs w:val="24"/>
          <w:lang w:val="en-IE"/>
        </w:rPr>
      </w:pPr>
      <w:r>
        <w:rPr>
          <w:b/>
          <w:szCs w:val="24"/>
          <w:lang w:val="en-IE"/>
        </w:rPr>
        <w:t xml:space="preserve">Ministry of Local Self-Government (MLSG). </w:t>
      </w:r>
      <w:r>
        <w:rPr>
          <w:bCs/>
          <w:szCs w:val="24"/>
          <w:lang w:val="en-IE"/>
        </w:rPr>
        <w:t xml:space="preserve">The MLSG allocates funds in the budget to support the implementation of the Local Action Plans for </w:t>
      </w:r>
      <w:r w:rsidR="00442764">
        <w:rPr>
          <w:bCs/>
          <w:szCs w:val="24"/>
          <w:lang w:val="en-IE"/>
        </w:rPr>
        <w:t>integrating</w:t>
      </w:r>
      <w:r>
        <w:rPr>
          <w:bCs/>
          <w:szCs w:val="24"/>
          <w:lang w:val="en-IE"/>
        </w:rPr>
        <w:t xml:space="preserve"> Roma people on the local level. The Ministry provides funds for implementing </w:t>
      </w:r>
      <w:r w:rsidR="00523C6C">
        <w:rPr>
          <w:bCs/>
          <w:szCs w:val="24"/>
          <w:lang w:val="en-IE"/>
        </w:rPr>
        <w:t>housing, employment, education and healthcare activities</w:t>
      </w:r>
      <w:r>
        <w:rPr>
          <w:bCs/>
          <w:szCs w:val="24"/>
          <w:lang w:val="en-IE"/>
        </w:rPr>
        <w:t xml:space="preserve">, depending on the area </w:t>
      </w:r>
      <w:r w:rsidR="00442764">
        <w:rPr>
          <w:bCs/>
          <w:szCs w:val="24"/>
          <w:lang w:val="en-IE"/>
        </w:rPr>
        <w:t>where</w:t>
      </w:r>
      <w:r>
        <w:rPr>
          <w:bCs/>
          <w:szCs w:val="24"/>
          <w:lang w:val="en-IE"/>
        </w:rPr>
        <w:t xml:space="preserve"> the municipality has developed a Local Action Plan (LAP).</w:t>
      </w:r>
    </w:p>
    <w:p w14:paraId="0BF6B619" w14:textId="1F992851" w:rsidR="00511BD5" w:rsidRPr="00B633A0" w:rsidRDefault="00511BD5" w:rsidP="00970283">
      <w:pPr>
        <w:pStyle w:val="Prrafodelista"/>
        <w:numPr>
          <w:ilvl w:val="0"/>
          <w:numId w:val="17"/>
        </w:numPr>
        <w:spacing w:before="120"/>
        <w:ind w:left="720" w:hanging="360"/>
        <w:contextualSpacing w:val="0"/>
        <w:rPr>
          <w:b/>
          <w:bCs/>
          <w:szCs w:val="24"/>
          <w:lang w:val="en-IE"/>
        </w:rPr>
      </w:pPr>
      <w:r w:rsidRPr="00B633A0">
        <w:rPr>
          <w:b/>
          <w:bCs/>
          <w:szCs w:val="24"/>
          <w:lang w:val="en-IE"/>
        </w:rPr>
        <w:t xml:space="preserve">Local Self-Government Units (LSGUs) - Municipalities. </w:t>
      </w:r>
      <w:r w:rsidRPr="00B633A0">
        <w:rPr>
          <w:szCs w:val="24"/>
          <w:lang w:val="en-IE"/>
        </w:rPr>
        <w:t xml:space="preserve">Municipalities as local self-government units are legal entities under the Law on the territorial organisation of local self-government and the Law on the City of Skopje. </w:t>
      </w:r>
      <w:r w:rsidR="001108E0" w:rsidRPr="00B633A0">
        <w:rPr>
          <w:szCs w:val="24"/>
          <w:lang w:val="en-IE"/>
        </w:rPr>
        <w:t>According to these laws, the country has 80 municipalities and the city of Skopje. According to the competencies and responsibilities of the LSGUs, the municipalities are directly responsible for the municipality’s local economic and urban development</w:t>
      </w:r>
      <w:r w:rsidRPr="00B633A0">
        <w:rPr>
          <w:szCs w:val="24"/>
          <w:lang w:val="en-IE"/>
        </w:rPr>
        <w:t xml:space="preserve">. </w:t>
      </w:r>
    </w:p>
    <w:p w14:paraId="5EE5D690" w14:textId="77777777" w:rsidR="004E2D18" w:rsidRPr="003775F2" w:rsidRDefault="004E2D18" w:rsidP="00F77AB4">
      <w:pPr>
        <w:pStyle w:val="Ttulo1"/>
        <w:numPr>
          <w:ilvl w:val="1"/>
          <w:numId w:val="8"/>
        </w:numPr>
        <w:rPr>
          <w:lang w:val="en-IE"/>
        </w:rPr>
      </w:pPr>
      <w:r>
        <w:rPr>
          <w:lang w:val="en-IE"/>
        </w:rPr>
        <w:t>Lessons Learned</w:t>
      </w:r>
    </w:p>
    <w:p w14:paraId="51940DA8" w14:textId="7B295656" w:rsidR="001108E0" w:rsidRDefault="001108E0" w:rsidP="009A78B3">
      <w:pPr>
        <w:ind w:left="283"/>
        <w:rPr>
          <w:rFonts w:cs="Times New Roman"/>
          <w:color w:val="0D0D0D"/>
          <w:szCs w:val="24"/>
        </w:rPr>
      </w:pPr>
      <w:r>
        <w:rPr>
          <w:rFonts w:cs="Times New Roman"/>
          <w:color w:val="0D0D0D"/>
          <w:szCs w:val="24"/>
        </w:rPr>
        <w:t xml:space="preserve">Since 2017, the EU has allocated over EUR 100 million for the development of human capital and support for the most vulnerable people in North Macedonia, turning into the biggest donor </w:t>
      </w:r>
      <w:r w:rsidR="009A78B3">
        <w:rPr>
          <w:rFonts w:cs="Times New Roman"/>
          <w:color w:val="0D0D0D"/>
          <w:szCs w:val="24"/>
        </w:rPr>
        <w:t>to</w:t>
      </w:r>
      <w:r>
        <w:rPr>
          <w:rFonts w:cs="Times New Roman"/>
          <w:color w:val="0D0D0D"/>
          <w:szCs w:val="24"/>
        </w:rPr>
        <w:t xml:space="preserve"> </w:t>
      </w:r>
      <w:r w:rsidR="009A78B3">
        <w:rPr>
          <w:rFonts w:cs="Times New Roman"/>
          <w:color w:val="0D0D0D"/>
          <w:szCs w:val="24"/>
        </w:rPr>
        <w:t xml:space="preserve">fundamental rights protection, </w:t>
      </w:r>
      <w:r>
        <w:rPr>
          <w:rFonts w:cs="Times New Roman"/>
          <w:color w:val="0D0D0D"/>
          <w:szCs w:val="24"/>
        </w:rPr>
        <w:t>education, employment, and social inclusion. This Action is a continuation of the EU support for the</w:t>
      </w:r>
      <w:r w:rsidR="009A78B3">
        <w:rPr>
          <w:rFonts w:cs="Times New Roman"/>
          <w:color w:val="0D0D0D"/>
          <w:szCs w:val="24"/>
        </w:rPr>
        <w:t>se</w:t>
      </w:r>
      <w:r>
        <w:rPr>
          <w:rFonts w:cs="Times New Roman"/>
          <w:color w:val="0D0D0D"/>
          <w:szCs w:val="24"/>
        </w:rPr>
        <w:t xml:space="preserve"> sector</w:t>
      </w:r>
      <w:r w:rsidR="009A78B3">
        <w:rPr>
          <w:rFonts w:cs="Times New Roman"/>
          <w:color w:val="0D0D0D"/>
          <w:szCs w:val="24"/>
        </w:rPr>
        <w:t>s and is based on the following lessons</w:t>
      </w:r>
      <w:r>
        <w:rPr>
          <w:rFonts w:cs="Times New Roman"/>
          <w:color w:val="0D0D0D"/>
          <w:szCs w:val="24"/>
        </w:rPr>
        <w:t>:</w:t>
      </w:r>
    </w:p>
    <w:p w14:paraId="77AAB6EC" w14:textId="679BA16D" w:rsidR="003D61D7" w:rsidRPr="009D040C" w:rsidRDefault="001108E0" w:rsidP="0084095B">
      <w:pPr>
        <w:pStyle w:val="Prrafodelista"/>
        <w:numPr>
          <w:ilvl w:val="0"/>
          <w:numId w:val="20"/>
        </w:numPr>
        <w:spacing w:before="120"/>
        <w:ind w:left="714" w:hanging="357"/>
        <w:contextualSpacing w:val="0"/>
        <w:rPr>
          <w:lang w:val="en-IE"/>
        </w:rPr>
      </w:pPr>
      <w:r w:rsidRPr="009D040C">
        <w:rPr>
          <w:lang w:val="en-IE"/>
        </w:rPr>
        <w:t xml:space="preserve">Strong political commitment </w:t>
      </w:r>
      <w:r w:rsidR="009A78B3" w:rsidRPr="009D040C">
        <w:rPr>
          <w:lang w:val="en-IE"/>
        </w:rPr>
        <w:t xml:space="preserve">to reform the sectors </w:t>
      </w:r>
      <w:r w:rsidRPr="009D040C">
        <w:rPr>
          <w:lang w:val="en-IE"/>
        </w:rPr>
        <w:t xml:space="preserve">and </w:t>
      </w:r>
      <w:r w:rsidR="009A78B3" w:rsidRPr="009D040C">
        <w:rPr>
          <w:lang w:val="en-IE"/>
        </w:rPr>
        <w:t>political steer over the EU assistance</w:t>
      </w:r>
      <w:r w:rsidRPr="009D040C">
        <w:rPr>
          <w:lang w:val="en-IE"/>
        </w:rPr>
        <w:t xml:space="preserve"> </w:t>
      </w:r>
      <w:r w:rsidR="009A78B3" w:rsidRPr="009D040C">
        <w:rPr>
          <w:lang w:val="en-IE"/>
        </w:rPr>
        <w:t xml:space="preserve">shape the implementation framework and </w:t>
      </w:r>
      <w:r w:rsidR="003D61D7" w:rsidRPr="009D040C">
        <w:rPr>
          <w:lang w:val="en-IE"/>
        </w:rPr>
        <w:t>improve the effectiveness of the planned interventions</w:t>
      </w:r>
      <w:r w:rsidRPr="009D040C">
        <w:rPr>
          <w:lang w:val="en-IE"/>
        </w:rPr>
        <w:t>.</w:t>
      </w:r>
      <w:r w:rsidR="003D61D7" w:rsidRPr="009D040C">
        <w:rPr>
          <w:lang w:val="en-IE"/>
        </w:rPr>
        <w:t xml:space="preserve"> The EU accession process creates an important leverage, which </w:t>
      </w:r>
      <w:r w:rsidR="00BA5D6B">
        <w:rPr>
          <w:lang w:val="en-IE"/>
        </w:rPr>
        <w:t>can turn into</w:t>
      </w:r>
      <w:r w:rsidR="003D61D7" w:rsidRPr="009D040C">
        <w:rPr>
          <w:lang w:val="en-IE"/>
        </w:rPr>
        <w:t xml:space="preserve"> a game changer if paired with intense, regular and inclusive of all stakeholders policy dialogue in the country.</w:t>
      </w:r>
      <w:r w:rsidR="009D040C">
        <w:rPr>
          <w:lang w:val="en-IE"/>
        </w:rPr>
        <w:t xml:space="preserve"> </w:t>
      </w:r>
      <w:r w:rsidR="009D040C" w:rsidRPr="009D040C">
        <w:rPr>
          <w:lang w:val="en-IE"/>
        </w:rPr>
        <w:t xml:space="preserve">The </w:t>
      </w:r>
      <w:r w:rsidR="00BA5D6B">
        <w:rPr>
          <w:lang w:val="en-IE"/>
        </w:rPr>
        <w:t xml:space="preserve">existing </w:t>
      </w:r>
      <w:r w:rsidR="009D040C" w:rsidRPr="009D040C">
        <w:rPr>
          <w:lang w:val="en-IE"/>
        </w:rPr>
        <w:t>sector working groups are an appropriate platfo</w:t>
      </w:r>
      <w:r w:rsidR="00BA5D6B">
        <w:rPr>
          <w:lang w:val="en-IE"/>
        </w:rPr>
        <w:t xml:space="preserve">rm to host the sector dialogue in support of the political </w:t>
      </w:r>
      <w:r w:rsidR="00BA5D6B" w:rsidRPr="009D040C">
        <w:rPr>
          <w:lang w:val="en-IE"/>
        </w:rPr>
        <w:t>commitment and ownership</w:t>
      </w:r>
      <w:r w:rsidR="00BA5D6B">
        <w:rPr>
          <w:lang w:val="en-IE"/>
        </w:rPr>
        <w:t xml:space="preserve">. However they need to </w:t>
      </w:r>
      <w:r w:rsidR="009D040C" w:rsidRPr="009D040C">
        <w:rPr>
          <w:lang w:val="en-IE"/>
        </w:rPr>
        <w:t xml:space="preserve">be </w:t>
      </w:r>
      <w:r w:rsidR="00BA5D6B" w:rsidRPr="009D040C">
        <w:rPr>
          <w:lang w:val="en-IE"/>
        </w:rPr>
        <w:t>strengthen</w:t>
      </w:r>
      <w:r w:rsidR="00BA5D6B">
        <w:rPr>
          <w:lang w:val="en-IE"/>
        </w:rPr>
        <w:t>ed</w:t>
      </w:r>
      <w:r w:rsidR="009D040C" w:rsidRPr="009D040C">
        <w:rPr>
          <w:lang w:val="en-IE"/>
        </w:rPr>
        <w:t xml:space="preserve"> to effectively </w:t>
      </w:r>
      <w:r w:rsidR="00BA5D6B" w:rsidRPr="009D040C">
        <w:rPr>
          <w:lang w:val="en-IE"/>
        </w:rPr>
        <w:t>channel various inputs, visions, and concerns</w:t>
      </w:r>
      <w:r w:rsidR="00BA5D6B">
        <w:rPr>
          <w:lang w:val="en-IE"/>
        </w:rPr>
        <w:t xml:space="preserve">. </w:t>
      </w:r>
      <w:r w:rsidR="00BA5D6B" w:rsidRPr="009D040C">
        <w:rPr>
          <w:lang w:val="en-IE"/>
        </w:rPr>
        <w:t xml:space="preserve"> </w:t>
      </w:r>
      <w:r w:rsidR="00BA5D6B">
        <w:rPr>
          <w:lang w:val="en-IE"/>
        </w:rPr>
        <w:t xml:space="preserve">Enhanced </w:t>
      </w:r>
      <w:r w:rsidR="003D61D7" w:rsidRPr="009D040C">
        <w:rPr>
          <w:lang w:val="en-IE"/>
        </w:rPr>
        <w:t xml:space="preserve">sector </w:t>
      </w:r>
      <w:r w:rsidR="00D1147E" w:rsidRPr="009D040C">
        <w:rPr>
          <w:lang w:val="en-IE"/>
        </w:rPr>
        <w:t xml:space="preserve">working group, in synergy with sector-focused </w:t>
      </w:r>
      <w:r w:rsidR="003D61D7" w:rsidRPr="009D040C">
        <w:rPr>
          <w:lang w:val="en-IE"/>
        </w:rPr>
        <w:t>EU assistance</w:t>
      </w:r>
      <w:r w:rsidR="00D1147E" w:rsidRPr="009D040C">
        <w:rPr>
          <w:lang w:val="en-IE"/>
        </w:rPr>
        <w:t xml:space="preserve">, has a strong </w:t>
      </w:r>
      <w:r w:rsidR="00BA5D6B">
        <w:rPr>
          <w:lang w:val="en-IE"/>
        </w:rPr>
        <w:t xml:space="preserve">potential to </w:t>
      </w:r>
      <w:r w:rsidR="00D1147E" w:rsidRPr="009D040C">
        <w:rPr>
          <w:lang w:val="en-IE"/>
        </w:rPr>
        <w:t xml:space="preserve">impact the sector reforms.  </w:t>
      </w:r>
    </w:p>
    <w:p w14:paraId="1C5FE46A" w14:textId="5BAFA977" w:rsidR="001108E0" w:rsidRPr="00AC58F3" w:rsidRDefault="002432F9">
      <w:pPr>
        <w:pStyle w:val="Prrafodelista"/>
        <w:numPr>
          <w:ilvl w:val="0"/>
          <w:numId w:val="20"/>
        </w:numPr>
        <w:spacing w:before="120"/>
        <w:ind w:left="714" w:hanging="357"/>
        <w:contextualSpacing w:val="0"/>
        <w:rPr>
          <w:lang w:val="en-IE"/>
        </w:rPr>
      </w:pPr>
      <w:r w:rsidRPr="00AC58F3">
        <w:rPr>
          <w:lang w:val="en-IE"/>
        </w:rPr>
        <w:t>Given the horizontal and complex nature of the fundamental rights, the success of any intervention is proportional to the national consensus</w:t>
      </w:r>
      <w:r w:rsidR="00335CF3" w:rsidRPr="00AC58F3">
        <w:rPr>
          <w:lang w:val="en-IE"/>
        </w:rPr>
        <w:t xml:space="preserve"> on </w:t>
      </w:r>
      <w:r w:rsidRPr="00AC58F3">
        <w:rPr>
          <w:lang w:val="en-IE"/>
        </w:rPr>
        <w:t xml:space="preserve">mainstreaming the concept of human rights across all sectors and spheres of life and </w:t>
      </w:r>
      <w:r w:rsidR="00335CF3" w:rsidRPr="00AC58F3">
        <w:rPr>
          <w:lang w:val="en-IE"/>
        </w:rPr>
        <w:t xml:space="preserve">to </w:t>
      </w:r>
      <w:r w:rsidRPr="00AC58F3">
        <w:rPr>
          <w:lang w:val="en-IE"/>
        </w:rPr>
        <w:t xml:space="preserve">the degree to which the various stakeholders </w:t>
      </w:r>
      <w:r w:rsidR="002D0273" w:rsidRPr="00AC58F3">
        <w:rPr>
          <w:lang w:val="en-IE"/>
        </w:rPr>
        <w:t>adopt the rights lens</w:t>
      </w:r>
      <w:r w:rsidRPr="00AC58F3">
        <w:rPr>
          <w:lang w:val="en-IE"/>
        </w:rPr>
        <w:t>.</w:t>
      </w:r>
      <w:r w:rsidR="002D0273" w:rsidRPr="00AC58F3">
        <w:rPr>
          <w:lang w:val="en-IE"/>
        </w:rPr>
        <w:t xml:space="preserve"> </w:t>
      </w:r>
      <w:r w:rsidR="00144C32" w:rsidRPr="00AC58F3">
        <w:rPr>
          <w:lang w:val="en-IE"/>
        </w:rPr>
        <w:t xml:space="preserve">Human rights perspective needs to be promoted early in policymaking in all sectors to enlarge the support basis and ensure critical reading of the proposed policies and measures. </w:t>
      </w:r>
      <w:r w:rsidR="002D0273" w:rsidRPr="00AC58F3">
        <w:rPr>
          <w:lang w:val="en-IE"/>
        </w:rPr>
        <w:t xml:space="preserve">To support this process, strong outreach at central and local level </w:t>
      </w:r>
      <w:r w:rsidR="00335CF3" w:rsidRPr="00AC58F3">
        <w:rPr>
          <w:lang w:val="en-IE"/>
        </w:rPr>
        <w:t xml:space="preserve">has to be </w:t>
      </w:r>
      <w:r w:rsidR="002D0273" w:rsidRPr="00AC58F3">
        <w:rPr>
          <w:lang w:val="en-IE"/>
        </w:rPr>
        <w:t>combined with active awareness and involvement approaches</w:t>
      </w:r>
      <w:r w:rsidR="00335CF3" w:rsidRPr="00AC58F3">
        <w:rPr>
          <w:lang w:val="en-IE"/>
        </w:rPr>
        <w:t>,</w:t>
      </w:r>
      <w:r w:rsidR="002D0273" w:rsidRPr="00AC58F3">
        <w:rPr>
          <w:lang w:val="en-IE"/>
        </w:rPr>
        <w:t xml:space="preserve"> targeting </w:t>
      </w:r>
      <w:r w:rsidR="00335CF3" w:rsidRPr="00AC58F3">
        <w:rPr>
          <w:lang w:val="en-IE"/>
        </w:rPr>
        <w:t xml:space="preserve">institutions, </w:t>
      </w:r>
      <w:r w:rsidR="002D0273" w:rsidRPr="00AC58F3">
        <w:rPr>
          <w:lang w:val="en-IE"/>
        </w:rPr>
        <w:t>communities, CSOs, academia, private sector and society at large</w:t>
      </w:r>
      <w:r w:rsidR="00335CF3" w:rsidRPr="00AC58F3">
        <w:rPr>
          <w:lang w:val="en-IE"/>
        </w:rPr>
        <w:t>.</w:t>
      </w:r>
      <w:r w:rsidR="00144C32" w:rsidRPr="00AC58F3">
        <w:rPr>
          <w:lang w:val="en-IE"/>
        </w:rPr>
        <w:t xml:space="preserve"> </w:t>
      </w:r>
      <w:r w:rsidRPr="00AC58F3">
        <w:rPr>
          <w:lang w:val="en-IE"/>
        </w:rPr>
        <w:t xml:space="preserve">In addition, successful </w:t>
      </w:r>
      <w:r w:rsidR="001108E0" w:rsidRPr="00AC58F3">
        <w:rPr>
          <w:lang w:val="en-IE"/>
        </w:rPr>
        <w:t xml:space="preserve">interventions require simultaneous work with central and local levels of decision-making and actions reinforcing the collaboration between state, regional and municipal structures and civil society organisations </w:t>
      </w:r>
      <w:r w:rsidR="00AB229A" w:rsidRPr="00AC58F3">
        <w:rPr>
          <w:lang w:val="en-IE"/>
        </w:rPr>
        <w:t>to deliver better community-based social services and expand</w:t>
      </w:r>
      <w:r w:rsidR="001108E0" w:rsidRPr="00AC58F3">
        <w:rPr>
          <w:lang w:val="en-IE"/>
        </w:rPr>
        <w:t xml:space="preserve"> other basic and essential social services provisions locally.</w:t>
      </w:r>
    </w:p>
    <w:p w14:paraId="641C7A04" w14:textId="7D050F6C" w:rsidR="001108E0" w:rsidRDefault="009A78B3" w:rsidP="009A78B3">
      <w:pPr>
        <w:pStyle w:val="Prrafodelista"/>
        <w:numPr>
          <w:ilvl w:val="0"/>
          <w:numId w:val="20"/>
        </w:numPr>
        <w:spacing w:before="120"/>
        <w:ind w:left="714" w:hanging="357"/>
        <w:contextualSpacing w:val="0"/>
        <w:rPr>
          <w:lang w:val="en-IE"/>
        </w:rPr>
      </w:pPr>
      <w:r>
        <w:rPr>
          <w:lang w:val="en-IE"/>
        </w:rPr>
        <w:t>The</w:t>
      </w:r>
      <w:r w:rsidR="001108E0">
        <w:rPr>
          <w:lang w:val="en-IE"/>
        </w:rPr>
        <w:t xml:space="preserve"> inclusion of the beneficiaries </w:t>
      </w:r>
      <w:r>
        <w:rPr>
          <w:lang w:val="en-IE"/>
        </w:rPr>
        <w:t>from</w:t>
      </w:r>
      <w:r w:rsidR="001108E0">
        <w:rPr>
          <w:lang w:val="en-IE"/>
        </w:rPr>
        <w:t xml:space="preserve"> designing </w:t>
      </w:r>
      <w:r>
        <w:rPr>
          <w:lang w:val="en-IE"/>
        </w:rPr>
        <w:t xml:space="preserve">through </w:t>
      </w:r>
      <w:r w:rsidR="001108E0">
        <w:rPr>
          <w:lang w:val="en-IE"/>
        </w:rPr>
        <w:t>implementing support measures</w:t>
      </w:r>
      <w:r>
        <w:rPr>
          <w:lang w:val="en-IE"/>
        </w:rPr>
        <w:t xml:space="preserve"> is necessary to guarantee the results</w:t>
      </w:r>
      <w:r w:rsidR="001108E0">
        <w:rPr>
          <w:lang w:val="en-IE"/>
        </w:rPr>
        <w:t xml:space="preserve">. This is particularly important when Roma people are concerned due to the significant confidence gap, which creates mistrust and reluctance to participate of Roma people in inclusion activities. Therefore, it is essential to activate </w:t>
      </w:r>
      <w:r w:rsidR="001108E0">
        <w:rPr>
          <w:lang w:val="en-IE"/>
        </w:rPr>
        <w:lastRenderedPageBreak/>
        <w:t>beneficiaries from the beginning, motivate them to join the support measures and empower them by giving them the right to propose, oppose and decide.</w:t>
      </w:r>
    </w:p>
    <w:p w14:paraId="467046F6" w14:textId="462D903B" w:rsidR="00A646B2" w:rsidRDefault="00A646B2" w:rsidP="009A78B3">
      <w:pPr>
        <w:pStyle w:val="Prrafodelista"/>
        <w:numPr>
          <w:ilvl w:val="0"/>
          <w:numId w:val="20"/>
        </w:numPr>
        <w:spacing w:before="120"/>
        <w:ind w:left="714" w:hanging="357"/>
        <w:contextualSpacing w:val="0"/>
        <w:rPr>
          <w:lang w:val="en-IE"/>
        </w:rPr>
      </w:pPr>
      <w:r>
        <w:rPr>
          <w:lang w:val="en-IE"/>
        </w:rPr>
        <w:t xml:space="preserve">Interventions under IPA 2017 supporting improvement of access and inclusion of vulnerable children in education provided positive feedback from the beneficiaries and lowered dropout of vulnerable children from education. </w:t>
      </w:r>
      <w:r w:rsidR="00144C32">
        <w:rPr>
          <w:lang w:val="en-IE"/>
        </w:rPr>
        <w:t>The methodology needs to be further integrated in the regular measures for supporting inclusive education, managed by the Ministry of Education</w:t>
      </w:r>
      <w:r w:rsidR="00970283">
        <w:rPr>
          <w:lang w:val="en-IE"/>
        </w:rPr>
        <w:t xml:space="preserve"> and Science</w:t>
      </w:r>
      <w:r w:rsidR="00144C32">
        <w:rPr>
          <w:lang w:val="en-IE"/>
        </w:rPr>
        <w:t xml:space="preserve">.  </w:t>
      </w:r>
    </w:p>
    <w:p w14:paraId="1E8ECE98" w14:textId="5D02F3C9" w:rsidR="00A646B2" w:rsidRDefault="00A646B2" w:rsidP="009A78B3">
      <w:pPr>
        <w:pStyle w:val="Prrafodelista"/>
        <w:numPr>
          <w:ilvl w:val="0"/>
          <w:numId w:val="20"/>
        </w:numPr>
        <w:spacing w:before="120"/>
        <w:ind w:left="714" w:hanging="357"/>
        <w:contextualSpacing w:val="0"/>
        <w:rPr>
          <w:lang w:val="en-IE"/>
        </w:rPr>
      </w:pPr>
      <w:r>
        <w:rPr>
          <w:lang w:val="en-IE"/>
        </w:rPr>
        <w:t>The capacities of Ministry of Education</w:t>
      </w:r>
      <w:r w:rsidR="00970283">
        <w:rPr>
          <w:lang w:val="en-IE"/>
        </w:rPr>
        <w:t xml:space="preserve"> and Science</w:t>
      </w:r>
      <w:r>
        <w:rPr>
          <w:lang w:val="en-IE"/>
        </w:rPr>
        <w:t xml:space="preserve"> to directly manage and implement IPA funded programmes remains low. </w:t>
      </w:r>
      <w:r w:rsidR="00144C32">
        <w:rPr>
          <w:lang w:val="en-IE"/>
        </w:rPr>
        <w:t>Parallel capacity building, technical assistance and policy advi</w:t>
      </w:r>
      <w:r w:rsidR="00125E12">
        <w:rPr>
          <w:lang w:val="en-IE"/>
        </w:rPr>
        <w:t>c</w:t>
      </w:r>
      <w:r w:rsidR="00144C32">
        <w:rPr>
          <w:lang w:val="en-IE"/>
        </w:rPr>
        <w:t xml:space="preserve">e measures need to be put in place to mitigate the risks and increase the chances to obtain all planned results.  </w:t>
      </w:r>
      <w:r>
        <w:rPr>
          <w:lang w:val="en-IE"/>
        </w:rPr>
        <w:t xml:space="preserve"> </w:t>
      </w:r>
    </w:p>
    <w:p w14:paraId="102D4A0A" w14:textId="77777777" w:rsidR="004E2D18" w:rsidRPr="001108E0" w:rsidRDefault="004E2D18" w:rsidP="004E2D18">
      <w:pPr>
        <w:rPr>
          <w:b/>
          <w:szCs w:val="24"/>
          <w:lang w:val="en-IE"/>
        </w:rPr>
      </w:pPr>
    </w:p>
    <w:p w14:paraId="09A48267" w14:textId="2930B08A" w:rsidR="00FD7FCD" w:rsidRPr="003C0CD7" w:rsidRDefault="00FD7FCD" w:rsidP="007540C6">
      <w:pPr>
        <w:pStyle w:val="Ttulo1"/>
        <w:rPr>
          <w:lang w:val="en-IE"/>
        </w:rPr>
      </w:pPr>
      <w:bookmarkStart w:id="125" w:name="_Toc47101956"/>
      <w:bookmarkStart w:id="126" w:name="_Toc51270451"/>
      <w:bookmarkStart w:id="127" w:name="_Ref58358933"/>
      <w:bookmarkStart w:id="128" w:name="_Ref58877297"/>
      <w:bookmarkStart w:id="129" w:name="_Ref59012514"/>
      <w:bookmarkStart w:id="130" w:name="_Toc73090747"/>
      <w:r w:rsidRPr="003C0CD7">
        <w:rPr>
          <w:lang w:val="en-IE"/>
        </w:rPr>
        <w:t>DESCRIPTION OF THE ACTION</w:t>
      </w:r>
      <w:bookmarkEnd w:id="125"/>
      <w:bookmarkEnd w:id="126"/>
      <w:bookmarkEnd w:id="127"/>
      <w:bookmarkEnd w:id="128"/>
      <w:bookmarkEnd w:id="129"/>
      <w:bookmarkEnd w:id="130"/>
    </w:p>
    <w:p w14:paraId="133A6338" w14:textId="77777777" w:rsidR="00B26539" w:rsidRPr="003C0CD7" w:rsidRDefault="00B26539" w:rsidP="00B26539">
      <w:pPr>
        <w:pStyle w:val="Ttulo1"/>
        <w:numPr>
          <w:ilvl w:val="1"/>
          <w:numId w:val="1"/>
        </w:numPr>
        <w:rPr>
          <w:lang w:val="en-IE"/>
        </w:rPr>
      </w:pPr>
      <w:bookmarkStart w:id="131" w:name="_Toc58681338"/>
      <w:bookmarkStart w:id="132" w:name="_Toc58836468"/>
      <w:bookmarkStart w:id="133" w:name="_Toc58838086"/>
      <w:bookmarkStart w:id="134" w:name="_Toc58838141"/>
      <w:bookmarkStart w:id="135" w:name="_Toc58845983"/>
      <w:bookmarkStart w:id="136" w:name="_Toc58876993"/>
      <w:bookmarkStart w:id="137" w:name="_Toc58878028"/>
      <w:bookmarkStart w:id="138" w:name="_Toc59012341"/>
      <w:bookmarkStart w:id="139" w:name="_Toc59012917"/>
      <w:bookmarkStart w:id="140" w:name="_Toc59020765"/>
      <w:bookmarkStart w:id="141" w:name="_Toc59023365"/>
      <w:bookmarkStart w:id="142" w:name="_Toc59029534"/>
      <w:bookmarkStart w:id="143" w:name="_Toc59030350"/>
      <w:bookmarkStart w:id="144" w:name="_Toc59031667"/>
      <w:bookmarkStart w:id="145" w:name="_Toc62247166"/>
      <w:bookmarkStart w:id="146" w:name="_Toc62247223"/>
      <w:bookmarkStart w:id="147" w:name="_Toc62459265"/>
      <w:bookmarkStart w:id="148" w:name="_Toc62476929"/>
      <w:bookmarkStart w:id="149" w:name="_Toc63235837"/>
      <w:bookmarkStart w:id="150" w:name="_Toc63248943"/>
      <w:bookmarkStart w:id="151" w:name="_Toc63263272"/>
      <w:bookmarkStart w:id="152" w:name="_Toc64043049"/>
      <w:bookmarkStart w:id="153" w:name="_Toc65663761"/>
      <w:bookmarkStart w:id="154" w:name="_Toc65665576"/>
      <w:bookmarkStart w:id="155" w:name="_Toc65665938"/>
      <w:bookmarkStart w:id="156" w:name="_Toc65666117"/>
      <w:bookmarkStart w:id="157" w:name="_Toc65671194"/>
      <w:bookmarkStart w:id="158" w:name="_Toc65671253"/>
      <w:bookmarkStart w:id="159" w:name="_Toc65671909"/>
      <w:bookmarkStart w:id="160" w:name="_Toc65674765"/>
      <w:bookmarkStart w:id="161" w:name="_Toc65676415"/>
      <w:bookmarkStart w:id="162" w:name="_Toc65688252"/>
      <w:bookmarkStart w:id="163" w:name="_Toc66465141"/>
      <w:bookmarkStart w:id="164" w:name="_Toc66465594"/>
      <w:bookmarkStart w:id="165" w:name="_Toc66465653"/>
      <w:bookmarkStart w:id="166" w:name="_Toc66696379"/>
      <w:bookmarkStart w:id="167" w:name="_Toc67665928"/>
      <w:bookmarkStart w:id="168" w:name="_Toc69384712"/>
      <w:bookmarkStart w:id="169" w:name="_Toc69384843"/>
      <w:bookmarkStart w:id="170" w:name="_Toc69384971"/>
      <w:bookmarkStart w:id="171" w:name="_Toc69385099"/>
      <w:bookmarkStart w:id="172" w:name="_Toc69460848"/>
      <w:bookmarkStart w:id="173" w:name="_Toc69460975"/>
      <w:bookmarkStart w:id="174" w:name="_Toc69469911"/>
      <w:bookmarkStart w:id="175" w:name="_Toc69485774"/>
      <w:bookmarkStart w:id="176" w:name="_Toc69487649"/>
      <w:bookmarkStart w:id="177" w:name="_Toc72142239"/>
      <w:bookmarkStart w:id="178" w:name="_Toc72142325"/>
      <w:bookmarkStart w:id="179" w:name="_Toc73090665"/>
      <w:bookmarkStart w:id="180" w:name="_Toc73090748"/>
      <w:bookmarkStart w:id="181" w:name="_Toc73090749"/>
      <w:bookmarkStart w:id="182" w:name="_Ref58337114"/>
      <w:bookmarkStart w:id="183" w:name="_Ref58337116"/>
      <w:bookmarkStart w:id="184" w:name="_Ref58424170"/>
      <w:bookmarkStart w:id="185" w:name="_Ref58688188"/>
      <w:bookmarkStart w:id="186" w:name="_Ref58859220"/>
      <w:bookmarkStart w:id="187" w:name="_Ref58859419"/>
      <w:bookmarkStart w:id="188" w:name="_Ref60739130"/>
      <w:bookmarkStart w:id="189" w:name="_Ref60742845"/>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3C0CD7">
        <w:rPr>
          <w:lang w:val="en-IE"/>
        </w:rPr>
        <w:t xml:space="preserve">Intervention Logic </w:t>
      </w:r>
    </w:p>
    <w:p w14:paraId="760DBAFD" w14:textId="77777777" w:rsidR="00730341" w:rsidRPr="003D45B4" w:rsidRDefault="00730341" w:rsidP="00970283">
      <w:pPr>
        <w:ind w:left="715"/>
        <w:rPr>
          <w:rFonts w:cs="Times New Roman"/>
          <w:color w:val="0D0D0D"/>
          <w:szCs w:val="24"/>
          <w:lang w:val="en-IE"/>
        </w:rPr>
      </w:pPr>
      <w:r w:rsidRPr="00EC4FC6">
        <w:rPr>
          <w:rFonts w:cs="Times New Roman"/>
          <w:color w:val="0D0D0D"/>
          <w:szCs w:val="24"/>
          <w:lang w:val="en-IE"/>
        </w:rPr>
        <w:t xml:space="preserve">The </w:t>
      </w:r>
      <w:r w:rsidRPr="00EC4FC6">
        <w:rPr>
          <w:rFonts w:cs="Times New Roman"/>
          <w:b/>
          <w:bCs/>
          <w:color w:val="0D0D0D"/>
          <w:szCs w:val="24"/>
          <w:lang w:val="en-IE"/>
        </w:rPr>
        <w:t>Overall Objective (Impact)</w:t>
      </w:r>
      <w:r w:rsidRPr="003D45B4">
        <w:rPr>
          <w:rFonts w:cs="Times New Roman"/>
          <w:color w:val="0D0D0D"/>
          <w:szCs w:val="24"/>
          <w:lang w:val="en-IE"/>
        </w:rPr>
        <w:t xml:space="preserve"> of this Action is:</w:t>
      </w:r>
    </w:p>
    <w:p w14:paraId="07CB729A" w14:textId="77777777" w:rsidR="00730341" w:rsidRPr="006F1C97" w:rsidRDefault="00730341" w:rsidP="00970283">
      <w:pPr>
        <w:ind w:left="715"/>
        <w:rPr>
          <w:rFonts w:cs="Times New Roman"/>
          <w:color w:val="0D0D0D"/>
          <w:szCs w:val="24"/>
          <w:lang w:val="en-IE"/>
        </w:rPr>
      </w:pPr>
      <w:r w:rsidRPr="006F1C97">
        <w:rPr>
          <w:rFonts w:cs="Times New Roman"/>
          <w:color w:val="0D0D0D"/>
          <w:szCs w:val="24"/>
          <w:lang w:val="en-IE"/>
        </w:rPr>
        <w:t xml:space="preserve"> </w:t>
      </w:r>
    </w:p>
    <w:p w14:paraId="22F826A2" w14:textId="01F2D527" w:rsidR="00730341" w:rsidRPr="00970283" w:rsidRDefault="00730341" w:rsidP="00970283">
      <w:pPr>
        <w:ind w:left="715"/>
        <w:rPr>
          <w:rFonts w:cs="Times New Roman"/>
          <w:color w:val="0D0D0D"/>
          <w:szCs w:val="24"/>
          <w:lang w:val="en-IE"/>
        </w:rPr>
      </w:pPr>
      <w:r w:rsidRPr="00125E12">
        <w:rPr>
          <w:rFonts w:cs="Times New Roman"/>
          <w:i/>
          <w:iCs/>
          <w:color w:val="000000" w:themeColor="text1"/>
          <w:szCs w:val="24"/>
          <w:lang w:val="en-IE"/>
        </w:rPr>
        <w:t xml:space="preserve">To fight discrimination and </w:t>
      </w:r>
      <w:r w:rsidR="00533DAB" w:rsidRPr="00125E12">
        <w:rPr>
          <w:rFonts w:cs="Times New Roman"/>
          <w:i/>
          <w:iCs/>
          <w:color w:val="000000" w:themeColor="text1"/>
          <w:szCs w:val="24"/>
          <w:lang w:val="en-IE"/>
        </w:rPr>
        <w:t>protect</w:t>
      </w:r>
      <w:r w:rsidRPr="00125E12">
        <w:rPr>
          <w:rFonts w:cs="Times New Roman"/>
          <w:i/>
          <w:iCs/>
          <w:color w:val="000000" w:themeColor="text1"/>
          <w:szCs w:val="24"/>
          <w:lang w:val="en-IE"/>
        </w:rPr>
        <w:t xml:space="preserve"> </w:t>
      </w:r>
      <w:r w:rsidR="00533DAB" w:rsidRPr="00125E12">
        <w:rPr>
          <w:rFonts w:cs="Times New Roman"/>
          <w:i/>
          <w:iCs/>
          <w:color w:val="000000" w:themeColor="text1"/>
          <w:szCs w:val="24"/>
          <w:lang w:val="en-IE"/>
        </w:rPr>
        <w:t xml:space="preserve">the human rights of </w:t>
      </w:r>
      <w:r w:rsidRPr="00125E12">
        <w:rPr>
          <w:rFonts w:cs="Times New Roman"/>
          <w:i/>
          <w:iCs/>
          <w:color w:val="000000" w:themeColor="text1"/>
          <w:szCs w:val="24"/>
          <w:lang w:val="en-IE"/>
        </w:rPr>
        <w:t xml:space="preserve">children </w:t>
      </w:r>
      <w:r w:rsidRPr="00125E12">
        <w:rPr>
          <w:rFonts w:cs="Times New Roman"/>
          <w:i/>
          <w:iCs/>
          <w:color w:val="0D0D0D"/>
          <w:szCs w:val="24"/>
          <w:lang w:val="en-IE"/>
        </w:rPr>
        <w:t xml:space="preserve">and women, persons with </w:t>
      </w:r>
      <w:r w:rsidRPr="0098196E">
        <w:rPr>
          <w:rFonts w:cs="Times New Roman"/>
          <w:i/>
          <w:iCs/>
          <w:color w:val="0D0D0D"/>
          <w:szCs w:val="24"/>
          <w:lang w:val="en-IE"/>
        </w:rPr>
        <w:t>disabilities, LGBTI and minorities.</w:t>
      </w:r>
    </w:p>
    <w:p w14:paraId="24EEE088" w14:textId="77777777" w:rsidR="00730341" w:rsidRPr="00970283" w:rsidRDefault="00730341" w:rsidP="00970283">
      <w:pPr>
        <w:ind w:left="715"/>
        <w:rPr>
          <w:rFonts w:cs="Times New Roman"/>
          <w:color w:val="0D0D0D"/>
          <w:szCs w:val="24"/>
          <w:lang w:val="en-IE"/>
        </w:rPr>
      </w:pPr>
    </w:p>
    <w:p w14:paraId="7B288669" w14:textId="77777777" w:rsidR="00730341" w:rsidRPr="00970283" w:rsidRDefault="00730341" w:rsidP="00970283">
      <w:pPr>
        <w:ind w:left="715"/>
        <w:rPr>
          <w:rFonts w:cs="Times New Roman"/>
          <w:color w:val="0D0D0D"/>
          <w:szCs w:val="24"/>
          <w:lang w:val="en-IE"/>
        </w:rPr>
      </w:pPr>
      <w:r w:rsidRPr="00970283">
        <w:rPr>
          <w:rFonts w:cs="Times New Roman"/>
          <w:color w:val="0D0D0D"/>
          <w:szCs w:val="24"/>
          <w:lang w:val="en-IE"/>
        </w:rPr>
        <w:t xml:space="preserve">The </w:t>
      </w:r>
      <w:r w:rsidRPr="00970283">
        <w:rPr>
          <w:rFonts w:cs="Times New Roman"/>
          <w:b/>
          <w:bCs/>
          <w:color w:val="0D0D0D"/>
          <w:szCs w:val="24"/>
          <w:lang w:val="en-IE"/>
        </w:rPr>
        <w:t>Specific(s) Objective(s) (Outcomes)</w:t>
      </w:r>
      <w:r w:rsidRPr="00970283">
        <w:rPr>
          <w:rFonts w:cs="Times New Roman"/>
          <w:color w:val="0D0D0D"/>
          <w:szCs w:val="24"/>
          <w:lang w:val="en-IE"/>
        </w:rPr>
        <w:t xml:space="preserve"> of this Action are:  </w:t>
      </w:r>
    </w:p>
    <w:p w14:paraId="51DDF6BC" w14:textId="77777777" w:rsidR="00730341" w:rsidRPr="00970283" w:rsidRDefault="00730341" w:rsidP="00970283">
      <w:pPr>
        <w:pStyle w:val="Prrafodelista"/>
        <w:numPr>
          <w:ilvl w:val="1"/>
          <w:numId w:val="21"/>
        </w:numPr>
        <w:ind w:left="1566" w:hanging="360"/>
        <w:rPr>
          <w:color w:val="000000" w:themeColor="text1"/>
          <w:szCs w:val="24"/>
        </w:rPr>
      </w:pPr>
      <w:r w:rsidRPr="00970283">
        <w:rPr>
          <w:rFonts w:cs="Times New Roman"/>
          <w:i/>
          <w:iCs/>
          <w:color w:val="000000" w:themeColor="text1"/>
          <w:szCs w:val="24"/>
          <w:lang w:val="en-IE"/>
        </w:rPr>
        <w:t>To enhance response to gender-based and domestic violence.</w:t>
      </w:r>
    </w:p>
    <w:p w14:paraId="4B4F6376" w14:textId="444FFC54" w:rsidR="00730341" w:rsidRPr="00970283" w:rsidRDefault="00730341" w:rsidP="00970283">
      <w:pPr>
        <w:pStyle w:val="Prrafodelista"/>
        <w:numPr>
          <w:ilvl w:val="1"/>
          <w:numId w:val="21"/>
        </w:numPr>
        <w:ind w:left="1566" w:hanging="360"/>
        <w:rPr>
          <w:color w:val="000000" w:themeColor="text1"/>
          <w:szCs w:val="24"/>
        </w:rPr>
      </w:pPr>
      <w:r w:rsidRPr="00970283">
        <w:rPr>
          <w:rFonts w:cs="Times New Roman"/>
          <w:i/>
          <w:iCs/>
          <w:color w:val="000000" w:themeColor="text1"/>
          <w:szCs w:val="24"/>
          <w:lang w:val="en-IE"/>
        </w:rPr>
        <w:t xml:space="preserve">To </w:t>
      </w:r>
      <w:r w:rsidR="00E72D93" w:rsidRPr="00970283">
        <w:rPr>
          <w:rFonts w:cs="Times New Roman"/>
          <w:i/>
          <w:iCs/>
          <w:color w:val="000000" w:themeColor="text1"/>
          <w:szCs w:val="24"/>
          <w:lang w:val="en-IE"/>
        </w:rPr>
        <w:t>ensure the right of vulnerable people to quality education in a safe and accessible environment</w:t>
      </w:r>
      <w:r w:rsidR="004C3DD7" w:rsidRPr="00970283">
        <w:rPr>
          <w:rFonts w:cs="Times New Roman"/>
          <w:i/>
          <w:iCs/>
          <w:color w:val="000000" w:themeColor="text1"/>
          <w:szCs w:val="24"/>
          <w:lang w:val="en-IE"/>
        </w:rPr>
        <w:t xml:space="preserve"> and their well-being at school</w:t>
      </w:r>
      <w:r w:rsidR="00513D9F" w:rsidRPr="00970283">
        <w:rPr>
          <w:rFonts w:cs="Times New Roman"/>
          <w:i/>
          <w:iCs/>
          <w:color w:val="000000" w:themeColor="text1"/>
          <w:szCs w:val="24"/>
          <w:lang w:val="en-IE"/>
        </w:rPr>
        <w:t>.</w:t>
      </w:r>
    </w:p>
    <w:p w14:paraId="3FA7858D" w14:textId="5CD8C684" w:rsidR="00730341" w:rsidRPr="006F1C97" w:rsidRDefault="00730341" w:rsidP="00970283">
      <w:pPr>
        <w:pStyle w:val="Prrafodelista"/>
        <w:numPr>
          <w:ilvl w:val="1"/>
          <w:numId w:val="21"/>
        </w:numPr>
        <w:ind w:left="1566" w:hanging="360"/>
        <w:rPr>
          <w:szCs w:val="24"/>
        </w:rPr>
      </w:pPr>
      <w:r w:rsidRPr="00970283">
        <w:rPr>
          <w:rFonts w:cs="Times New Roman"/>
          <w:i/>
          <w:iCs/>
          <w:color w:val="0D0D0D"/>
          <w:szCs w:val="24"/>
          <w:lang w:val="en-IE"/>
        </w:rPr>
        <w:t xml:space="preserve">To </w:t>
      </w:r>
      <w:r w:rsidR="00A35843">
        <w:rPr>
          <w:rFonts w:cs="Times New Roman"/>
          <w:i/>
          <w:iCs/>
          <w:color w:val="0D0D0D"/>
          <w:szCs w:val="24"/>
          <w:lang w:val="en-IE"/>
        </w:rPr>
        <w:t>promote</w:t>
      </w:r>
      <w:r w:rsidR="00A35843" w:rsidRPr="006F1C97">
        <w:rPr>
          <w:rFonts w:cs="Times New Roman"/>
          <w:i/>
          <w:iCs/>
          <w:color w:val="0D0D0D"/>
          <w:szCs w:val="24"/>
          <w:lang w:val="en-IE"/>
        </w:rPr>
        <w:t xml:space="preserve"> </w:t>
      </w:r>
      <w:r w:rsidRPr="006F1C97">
        <w:rPr>
          <w:rFonts w:cs="Times New Roman"/>
          <w:i/>
          <w:iCs/>
          <w:color w:val="0D0D0D"/>
          <w:szCs w:val="24"/>
          <w:lang w:val="en-IE"/>
        </w:rPr>
        <w:t>the right of Roma people to legal housing.</w:t>
      </w:r>
    </w:p>
    <w:p w14:paraId="18BB4A57" w14:textId="77777777" w:rsidR="00730341" w:rsidRPr="006F1C97" w:rsidRDefault="00730341" w:rsidP="00970283">
      <w:pPr>
        <w:ind w:left="715"/>
        <w:rPr>
          <w:rFonts w:cs="Times New Roman"/>
          <w:color w:val="0D0D0D"/>
          <w:szCs w:val="24"/>
          <w:lang w:val="en-IE"/>
        </w:rPr>
      </w:pPr>
    </w:p>
    <w:p w14:paraId="641FB675" w14:textId="77777777" w:rsidR="00730341" w:rsidRPr="00125E12" w:rsidRDefault="00730341" w:rsidP="00970283">
      <w:pPr>
        <w:ind w:left="715"/>
        <w:rPr>
          <w:rFonts w:cs="Times New Roman"/>
          <w:color w:val="0D0D0D"/>
          <w:szCs w:val="24"/>
          <w:lang w:val="en-IE"/>
        </w:rPr>
      </w:pPr>
      <w:r w:rsidRPr="00125E12">
        <w:rPr>
          <w:rFonts w:cs="Times New Roman"/>
          <w:color w:val="0D0D0D"/>
          <w:szCs w:val="24"/>
          <w:lang w:val="en-IE"/>
        </w:rPr>
        <w:t>These Outcomes will be achieved through the delivery of the following outputs.</w:t>
      </w:r>
    </w:p>
    <w:p w14:paraId="2FA791F4" w14:textId="77777777" w:rsidR="00730341" w:rsidRPr="00125E12" w:rsidRDefault="00730341" w:rsidP="00970283">
      <w:pPr>
        <w:ind w:left="715"/>
        <w:rPr>
          <w:rFonts w:cs="Times New Roman"/>
          <w:color w:val="0D0D0D"/>
          <w:szCs w:val="24"/>
          <w:lang w:val="en-IE"/>
        </w:rPr>
      </w:pPr>
    </w:p>
    <w:p w14:paraId="4A970340" w14:textId="55938957" w:rsidR="00730341" w:rsidRPr="00970283" w:rsidRDefault="00730341" w:rsidP="00970283">
      <w:pPr>
        <w:ind w:left="715"/>
        <w:rPr>
          <w:rFonts w:cs="Times New Roman"/>
          <w:b/>
          <w:bCs/>
          <w:color w:val="0D0D0D"/>
          <w:szCs w:val="24"/>
          <w:lang w:val="en-IE"/>
        </w:rPr>
      </w:pPr>
      <w:r w:rsidRPr="0098196E">
        <w:rPr>
          <w:rFonts w:cs="Times New Roman"/>
          <w:color w:val="0D0D0D"/>
          <w:szCs w:val="24"/>
          <w:lang w:val="en-IE"/>
        </w:rPr>
        <w:t xml:space="preserve"> </w:t>
      </w:r>
      <w:r w:rsidRPr="00970283">
        <w:rPr>
          <w:rFonts w:cs="Times New Roman"/>
          <w:b/>
          <w:bCs/>
          <w:color w:val="0D0D0D"/>
          <w:szCs w:val="24"/>
          <w:lang w:val="en-IE"/>
        </w:rPr>
        <w:t>Outputs linked to Outcome 1</w:t>
      </w:r>
    </w:p>
    <w:p w14:paraId="1E647E47" w14:textId="77777777" w:rsidR="00730341" w:rsidRPr="00970283" w:rsidRDefault="00730341" w:rsidP="00970283">
      <w:pPr>
        <w:pStyle w:val="Prrafodelista"/>
        <w:ind w:left="1276"/>
        <w:rPr>
          <w:rFonts w:cs="Times New Roman"/>
          <w:color w:val="0D0D0D"/>
          <w:szCs w:val="24"/>
          <w:lang w:val="en-IE"/>
        </w:rPr>
      </w:pPr>
      <w:r w:rsidRPr="00970283">
        <w:rPr>
          <w:rFonts w:cs="Times New Roman"/>
          <w:color w:val="0D0D0D"/>
          <w:szCs w:val="24"/>
          <w:lang w:val="en-IE"/>
        </w:rPr>
        <w:t>Output 1.1 Improved protection services for victims of gender-based and domestic violence.</w:t>
      </w:r>
    </w:p>
    <w:p w14:paraId="104D1CF9" w14:textId="03448D79" w:rsidR="00730341" w:rsidRPr="00970283" w:rsidRDefault="00730341" w:rsidP="00970283">
      <w:pPr>
        <w:pStyle w:val="Prrafodelista"/>
        <w:ind w:left="1276"/>
        <w:rPr>
          <w:rFonts w:cs="Times New Roman"/>
          <w:color w:val="0D0D0D"/>
          <w:szCs w:val="24"/>
          <w:lang w:val="en-IE"/>
        </w:rPr>
      </w:pPr>
      <w:r w:rsidRPr="00970283">
        <w:rPr>
          <w:rFonts w:cs="Times New Roman"/>
          <w:color w:val="0D0D0D"/>
          <w:szCs w:val="24"/>
          <w:lang w:val="en-IE"/>
        </w:rPr>
        <w:t>Output 1.2 Enhanced inter-institutional cooperation at national and local level on gender-based and domestic violence.</w:t>
      </w:r>
    </w:p>
    <w:p w14:paraId="795D3241" w14:textId="77777777" w:rsidR="00730341" w:rsidRPr="00970283" w:rsidRDefault="00730341" w:rsidP="00970283">
      <w:pPr>
        <w:pStyle w:val="Prrafodelista"/>
        <w:ind w:left="1282"/>
        <w:rPr>
          <w:rFonts w:cs="Times New Roman"/>
          <w:color w:val="0D0D0D"/>
          <w:szCs w:val="24"/>
          <w:lang w:val="en-IE"/>
        </w:rPr>
      </w:pPr>
    </w:p>
    <w:p w14:paraId="075DD17E" w14:textId="1808A6A6" w:rsidR="00730341" w:rsidRPr="00970283" w:rsidRDefault="00730341" w:rsidP="00970283">
      <w:pPr>
        <w:ind w:left="715"/>
        <w:rPr>
          <w:rFonts w:cs="Times New Roman"/>
          <w:b/>
          <w:bCs/>
          <w:color w:val="0D0D0D"/>
          <w:szCs w:val="24"/>
          <w:lang w:val="en-IE"/>
        </w:rPr>
      </w:pPr>
      <w:r w:rsidRPr="00970283">
        <w:rPr>
          <w:rFonts w:cs="Times New Roman"/>
          <w:b/>
          <w:bCs/>
          <w:color w:val="0D0D0D"/>
          <w:szCs w:val="24"/>
          <w:lang w:val="en-IE"/>
        </w:rPr>
        <w:t>Outputs linked to Outcome 2</w:t>
      </w:r>
    </w:p>
    <w:p w14:paraId="5CE813C2" w14:textId="6BDC401E" w:rsidR="00512A0F" w:rsidRPr="00EC4FC6" w:rsidRDefault="00512A0F" w:rsidP="00512A0F">
      <w:pPr>
        <w:pStyle w:val="Prrafodelista"/>
        <w:ind w:left="1282"/>
        <w:rPr>
          <w:rFonts w:cs="Times New Roman"/>
          <w:color w:val="0D0D0D"/>
          <w:szCs w:val="24"/>
          <w:lang w:val="en-IE"/>
        </w:rPr>
      </w:pPr>
      <w:r w:rsidRPr="00970283">
        <w:rPr>
          <w:rFonts w:cs="Times New Roman"/>
          <w:color w:val="0D0D0D"/>
          <w:szCs w:val="24"/>
          <w:lang w:val="en-IE"/>
        </w:rPr>
        <w:t>Output 2.1</w:t>
      </w:r>
      <w:r w:rsidRPr="00EC4FC6">
        <w:rPr>
          <w:rFonts w:cs="Times New Roman"/>
          <w:color w:val="0D0D0D"/>
          <w:szCs w:val="24"/>
          <w:lang w:val="en-IE"/>
        </w:rPr>
        <w:t xml:space="preserve"> Strengthened policy and practice on inclusive education</w:t>
      </w:r>
    </w:p>
    <w:p w14:paraId="717901AC" w14:textId="77F4146D" w:rsidR="009E2C67" w:rsidRPr="006F1C97" w:rsidRDefault="00730341" w:rsidP="00970283">
      <w:pPr>
        <w:pStyle w:val="Prrafodelista"/>
        <w:ind w:left="1282"/>
        <w:rPr>
          <w:rFonts w:cs="Times New Roman"/>
          <w:color w:val="0D0D0D"/>
          <w:szCs w:val="24"/>
          <w:lang w:val="en-IE"/>
        </w:rPr>
      </w:pPr>
      <w:r w:rsidRPr="00EC4FC6">
        <w:rPr>
          <w:rFonts w:cs="Times New Roman"/>
          <w:color w:val="0D0D0D"/>
          <w:szCs w:val="24"/>
          <w:lang w:val="en-IE"/>
        </w:rPr>
        <w:t>Output 2.</w:t>
      </w:r>
      <w:r w:rsidR="00512A0F" w:rsidRPr="00970283">
        <w:rPr>
          <w:rFonts w:cs="Times New Roman"/>
          <w:color w:val="0D0D0D"/>
          <w:szCs w:val="24"/>
          <w:lang w:val="en-IE"/>
        </w:rPr>
        <w:t>2</w:t>
      </w:r>
      <w:r w:rsidRPr="00EC4FC6">
        <w:rPr>
          <w:rFonts w:cs="Times New Roman"/>
          <w:color w:val="0D0D0D"/>
          <w:szCs w:val="24"/>
          <w:lang w:val="en-IE"/>
        </w:rPr>
        <w:t xml:space="preserve"> </w:t>
      </w:r>
      <w:r w:rsidR="009E2C67" w:rsidRPr="00EC4FC6">
        <w:rPr>
          <w:rFonts w:cs="Times New Roman"/>
          <w:color w:val="0D0D0D"/>
          <w:szCs w:val="24"/>
          <w:lang w:val="en-IE"/>
        </w:rPr>
        <w:t>Improved school accessibility for children with disabilities</w:t>
      </w:r>
      <w:r w:rsidR="009E2C67" w:rsidRPr="003D45B4" w:rsidDel="00A646B2">
        <w:rPr>
          <w:rFonts w:cs="Times New Roman"/>
          <w:color w:val="0D0D0D"/>
          <w:szCs w:val="24"/>
          <w:lang w:val="en-IE"/>
        </w:rPr>
        <w:t xml:space="preserve"> </w:t>
      </w:r>
    </w:p>
    <w:p w14:paraId="3E38B81F" w14:textId="35622FC4" w:rsidR="00512A0F" w:rsidRPr="00EC4FC6" w:rsidRDefault="009E2C67" w:rsidP="00512A0F">
      <w:pPr>
        <w:pStyle w:val="Prrafodelista"/>
        <w:ind w:left="1282"/>
        <w:rPr>
          <w:rFonts w:cs="Times New Roman"/>
          <w:color w:val="0D0D0D"/>
          <w:szCs w:val="24"/>
          <w:lang w:val="en-IE"/>
        </w:rPr>
      </w:pPr>
      <w:r w:rsidRPr="006F1C97">
        <w:rPr>
          <w:rFonts w:cs="Times New Roman"/>
          <w:color w:val="0D0D0D"/>
          <w:szCs w:val="24"/>
          <w:lang w:val="en-IE"/>
        </w:rPr>
        <w:t>Outpu</w:t>
      </w:r>
      <w:r w:rsidR="00467840" w:rsidRPr="006F1C97">
        <w:rPr>
          <w:rFonts w:cs="Times New Roman"/>
          <w:color w:val="0D0D0D"/>
          <w:szCs w:val="24"/>
          <w:lang w:val="en-IE"/>
        </w:rPr>
        <w:t>t 2.</w:t>
      </w:r>
      <w:r w:rsidR="00512A0F" w:rsidRPr="00970283">
        <w:rPr>
          <w:rFonts w:cs="Times New Roman"/>
          <w:color w:val="0D0D0D"/>
          <w:szCs w:val="24"/>
          <w:lang w:val="en-IE"/>
        </w:rPr>
        <w:t>3</w:t>
      </w:r>
      <w:r w:rsidR="00467840" w:rsidRPr="00EC4FC6">
        <w:rPr>
          <w:rFonts w:cs="Times New Roman"/>
          <w:color w:val="0D0D0D"/>
          <w:szCs w:val="24"/>
          <w:lang w:val="en-IE"/>
        </w:rPr>
        <w:t xml:space="preserve"> </w:t>
      </w:r>
      <w:r w:rsidR="00512A0F" w:rsidRPr="00970283">
        <w:rPr>
          <w:rFonts w:cs="Times New Roman"/>
          <w:color w:val="0D0D0D"/>
          <w:szCs w:val="24"/>
          <w:lang w:val="en-IE"/>
        </w:rPr>
        <w:t>Enhanced chances for vulnerable children to attend school</w:t>
      </w:r>
    </w:p>
    <w:p w14:paraId="4CD21826" w14:textId="77777777" w:rsidR="00730341" w:rsidRPr="00970283" w:rsidRDefault="00730341" w:rsidP="00970283">
      <w:pPr>
        <w:pStyle w:val="Prrafodelista"/>
        <w:ind w:left="1282"/>
        <w:rPr>
          <w:rFonts w:cs="Times New Roman"/>
          <w:color w:val="0D0D0D"/>
          <w:szCs w:val="24"/>
          <w:lang w:val="en-IE"/>
        </w:rPr>
      </w:pPr>
    </w:p>
    <w:p w14:paraId="32F54392" w14:textId="1EEDF231" w:rsidR="00730341" w:rsidRPr="00970283" w:rsidRDefault="00730341" w:rsidP="00970283">
      <w:pPr>
        <w:ind w:left="715"/>
        <w:rPr>
          <w:rFonts w:cs="Times New Roman"/>
          <w:b/>
          <w:bCs/>
          <w:color w:val="0D0D0D"/>
          <w:szCs w:val="24"/>
          <w:lang w:val="en-IE"/>
        </w:rPr>
      </w:pPr>
      <w:r w:rsidRPr="00970283">
        <w:rPr>
          <w:rFonts w:cs="Times New Roman"/>
          <w:b/>
          <w:bCs/>
          <w:color w:val="0D0D0D"/>
          <w:szCs w:val="24"/>
          <w:lang w:val="en-IE"/>
        </w:rPr>
        <w:t>Outputs linked to Outcome 3</w:t>
      </w:r>
    </w:p>
    <w:p w14:paraId="062E02BF" w14:textId="50A23999" w:rsidR="00730341" w:rsidRDefault="00730341" w:rsidP="00970283">
      <w:pPr>
        <w:pStyle w:val="Prrafodelista"/>
        <w:ind w:left="1282"/>
        <w:rPr>
          <w:rFonts w:cs="Times New Roman"/>
          <w:color w:val="0D0D0D"/>
          <w:lang w:val="en-IE"/>
        </w:rPr>
      </w:pPr>
      <w:r w:rsidRPr="00970283">
        <w:rPr>
          <w:rFonts w:cs="Times New Roman"/>
          <w:color w:val="0D0D0D"/>
          <w:szCs w:val="24"/>
          <w:lang w:val="en-IE"/>
        </w:rPr>
        <w:t>Output 3.1 Detailed urban planning for Roma settlements</w:t>
      </w:r>
      <w:r w:rsidR="00EC4FC6">
        <w:rPr>
          <w:rFonts w:cs="Times New Roman"/>
          <w:color w:val="0D0D0D"/>
          <w:szCs w:val="24"/>
          <w:lang w:val="en-IE"/>
        </w:rPr>
        <w:t xml:space="preserve"> </w:t>
      </w:r>
      <w:r w:rsidR="006328B3">
        <w:rPr>
          <w:rFonts w:cs="Times New Roman"/>
          <w:color w:val="0D0D0D"/>
          <w:szCs w:val="24"/>
          <w:lang w:val="en-IE"/>
        </w:rPr>
        <w:t>established</w:t>
      </w:r>
      <w:r w:rsidRPr="003D45B4">
        <w:rPr>
          <w:rFonts w:cs="Times New Roman"/>
          <w:color w:val="0D0D0D"/>
          <w:szCs w:val="24"/>
          <w:lang w:val="en-IE"/>
        </w:rPr>
        <w:t>.</w:t>
      </w:r>
    </w:p>
    <w:p w14:paraId="2E2C1089" w14:textId="77777777" w:rsidR="00730341" w:rsidRDefault="00730341" w:rsidP="00730341">
      <w:pPr>
        <w:rPr>
          <w:rFonts w:cs="Times New Roman"/>
          <w:color w:val="0D0D0D"/>
          <w:lang w:val="en-IE"/>
        </w:rPr>
      </w:pPr>
    </w:p>
    <w:p w14:paraId="6A9132BF" w14:textId="77777777" w:rsidR="00C60BF9" w:rsidRPr="003C0CD7" w:rsidRDefault="00C60BF9" w:rsidP="00C60BF9">
      <w:pPr>
        <w:pStyle w:val="Ttulo1"/>
        <w:numPr>
          <w:ilvl w:val="1"/>
          <w:numId w:val="1"/>
        </w:numPr>
        <w:rPr>
          <w:lang w:val="en-IE"/>
        </w:rPr>
      </w:pPr>
      <w:bookmarkStart w:id="190" w:name="_Ref58424572"/>
      <w:bookmarkStart w:id="191" w:name="_Toc73090752"/>
      <w:bookmarkEnd w:id="181"/>
      <w:r w:rsidRPr="003C0CD7">
        <w:rPr>
          <w:lang w:val="en-IE"/>
        </w:rPr>
        <w:t>Indicative Activities</w:t>
      </w:r>
      <w:bookmarkEnd w:id="190"/>
      <w:bookmarkEnd w:id="191"/>
    </w:p>
    <w:p w14:paraId="448CAC18" w14:textId="6B3BD6DA" w:rsidR="00730341" w:rsidRDefault="00730341" w:rsidP="00970283">
      <w:pPr>
        <w:ind w:left="715"/>
        <w:rPr>
          <w:lang w:val="en-IE"/>
        </w:rPr>
      </w:pPr>
      <w:r>
        <w:rPr>
          <w:lang w:val="en-IE"/>
        </w:rPr>
        <w:t>The Action will be implemented through the following main activities:</w:t>
      </w:r>
    </w:p>
    <w:p w14:paraId="71AE5CBB" w14:textId="77777777" w:rsidR="00C11469" w:rsidRDefault="00C11469" w:rsidP="00970283">
      <w:pPr>
        <w:ind w:left="715"/>
        <w:rPr>
          <w:lang w:val="en-IE"/>
        </w:rPr>
      </w:pPr>
    </w:p>
    <w:p w14:paraId="63B30064" w14:textId="77777777" w:rsidR="00730341" w:rsidRDefault="00730341" w:rsidP="00970283">
      <w:pPr>
        <w:ind w:left="715"/>
        <w:rPr>
          <w:lang w:val="en-IE"/>
        </w:rPr>
      </w:pPr>
    </w:p>
    <w:p w14:paraId="6522D6D7" w14:textId="17303B03" w:rsidR="00730341" w:rsidRDefault="00730341" w:rsidP="00970283">
      <w:pPr>
        <w:spacing w:before="120"/>
        <w:ind w:left="715"/>
        <w:rPr>
          <w:b/>
          <w:bCs/>
          <w:lang w:val="en-IE"/>
        </w:rPr>
      </w:pPr>
      <w:r>
        <w:rPr>
          <w:b/>
          <w:bCs/>
          <w:lang w:val="en-IE"/>
        </w:rPr>
        <w:lastRenderedPageBreak/>
        <w:t xml:space="preserve">Output 1.1 Improved protection </w:t>
      </w:r>
      <w:r w:rsidR="00C64DD2">
        <w:rPr>
          <w:b/>
          <w:bCs/>
          <w:lang w:val="en-IE"/>
        </w:rPr>
        <w:t xml:space="preserve">and prevention </w:t>
      </w:r>
      <w:r>
        <w:rPr>
          <w:b/>
          <w:bCs/>
          <w:lang w:val="en-IE"/>
        </w:rPr>
        <w:t>services for victims of gender-based and domestic violence.</w:t>
      </w:r>
    </w:p>
    <w:p w14:paraId="624118EC" w14:textId="6C0D44F5" w:rsidR="00B34EFF" w:rsidRPr="00B34EFF" w:rsidRDefault="00C64DD2" w:rsidP="00970283">
      <w:pPr>
        <w:spacing w:before="120"/>
        <w:ind w:left="1077"/>
        <w:rPr>
          <w:rFonts w:eastAsia="Times New Roman" w:cs="Times New Roman"/>
          <w:szCs w:val="24"/>
          <w:lang w:eastAsia="en-GB"/>
        </w:rPr>
      </w:pPr>
      <w:r w:rsidRPr="00970283">
        <w:rPr>
          <w:bCs/>
          <w:lang w:val="en-IE"/>
        </w:rPr>
        <w:t xml:space="preserve">The </w:t>
      </w:r>
      <w:r>
        <w:rPr>
          <w:bCs/>
          <w:lang w:val="en-IE"/>
        </w:rPr>
        <w:t>Action is a</w:t>
      </w:r>
      <w:r w:rsidR="006328B3">
        <w:rPr>
          <w:bCs/>
          <w:lang w:val="en-IE"/>
        </w:rPr>
        <w:t xml:space="preserve">n extension </w:t>
      </w:r>
      <w:r>
        <w:rPr>
          <w:bCs/>
          <w:lang w:val="en-IE"/>
        </w:rPr>
        <w:t>of IPA 2022 Action “</w:t>
      </w:r>
      <w:r w:rsidRPr="00970283">
        <w:rPr>
          <w:rFonts w:cs="Times New Roman"/>
          <w:lang w:val="en-IE"/>
        </w:rPr>
        <w:t>EU for Health, Social</w:t>
      </w:r>
      <w:r w:rsidRPr="00467840">
        <w:rPr>
          <w:rFonts w:cs="Times New Roman"/>
          <w:lang w:val="en-IE"/>
        </w:rPr>
        <w:t xml:space="preserve"> Protection and Gender Equality</w:t>
      </w:r>
      <w:r>
        <w:rPr>
          <w:rFonts w:cs="Times New Roman"/>
          <w:lang w:val="en-IE"/>
        </w:rPr>
        <w:t>” (</w:t>
      </w:r>
      <w:r>
        <w:rPr>
          <w:bCs/>
          <w:lang w:val="en-IE"/>
        </w:rPr>
        <w:t>ACT-</w:t>
      </w:r>
      <w:r w:rsidRPr="008F339F">
        <w:rPr>
          <w:rFonts w:cs="Times New Roman"/>
          <w:lang w:val="en-IE"/>
        </w:rPr>
        <w:t>60970</w:t>
      </w:r>
      <w:r>
        <w:rPr>
          <w:rFonts w:cs="Times New Roman"/>
          <w:lang w:val="en-IE"/>
        </w:rPr>
        <w:t>), which s</w:t>
      </w:r>
      <w:r>
        <w:rPr>
          <w:rFonts w:cs="Times New Roman"/>
          <w:color w:val="0D0D0D"/>
          <w:lang w:val="en-IE"/>
        </w:rPr>
        <w:t>upport</w:t>
      </w:r>
      <w:r w:rsidR="00DC2506">
        <w:rPr>
          <w:rFonts w:cs="Times New Roman"/>
          <w:color w:val="0D0D0D"/>
          <w:lang w:val="en-IE"/>
        </w:rPr>
        <w:t>s</w:t>
      </w:r>
      <w:r>
        <w:rPr>
          <w:rFonts w:cs="Times New Roman"/>
          <w:color w:val="0D0D0D"/>
          <w:lang w:val="en-IE"/>
        </w:rPr>
        <w:t xml:space="preserve"> the establishment</w:t>
      </w:r>
      <w:r w:rsidR="006328B3">
        <w:rPr>
          <w:rFonts w:cs="Times New Roman"/>
          <w:color w:val="0D0D0D"/>
          <w:lang w:val="en-IE"/>
        </w:rPr>
        <w:t xml:space="preserve"> and</w:t>
      </w:r>
      <w:r>
        <w:rPr>
          <w:rFonts w:cs="Times New Roman"/>
          <w:color w:val="0D0D0D"/>
          <w:lang w:val="en-IE"/>
        </w:rPr>
        <w:t xml:space="preserve"> initial operation</w:t>
      </w:r>
      <w:r w:rsidR="006328B3">
        <w:rPr>
          <w:rFonts w:cs="Times New Roman"/>
          <w:color w:val="0D0D0D"/>
          <w:lang w:val="en-IE"/>
        </w:rPr>
        <w:t xml:space="preserve"> of at least 3 shelters for victims of domestic violence,</w:t>
      </w:r>
      <w:r>
        <w:rPr>
          <w:rFonts w:cs="Times New Roman"/>
          <w:color w:val="0D0D0D"/>
          <w:lang w:val="en-IE"/>
        </w:rPr>
        <w:t xml:space="preserve"> and prepar</w:t>
      </w:r>
      <w:r w:rsidR="006328B3">
        <w:rPr>
          <w:rFonts w:cs="Times New Roman"/>
          <w:color w:val="0D0D0D"/>
          <w:lang w:val="en-IE"/>
        </w:rPr>
        <w:t xml:space="preserve">e them </w:t>
      </w:r>
      <w:r>
        <w:rPr>
          <w:rFonts w:cs="Times New Roman"/>
          <w:color w:val="0D0D0D"/>
          <w:lang w:val="en-IE"/>
        </w:rPr>
        <w:t xml:space="preserve">for licensing </w:t>
      </w:r>
      <w:r w:rsidR="006328B3">
        <w:rPr>
          <w:rFonts w:cs="Times New Roman"/>
          <w:color w:val="0D0D0D"/>
          <w:lang w:val="en-IE"/>
        </w:rPr>
        <w:t xml:space="preserve">as providers </w:t>
      </w:r>
      <w:r>
        <w:rPr>
          <w:rFonts w:cs="Times New Roman"/>
          <w:color w:val="0D0D0D"/>
          <w:lang w:val="en-IE"/>
        </w:rPr>
        <w:t xml:space="preserve">of specialised social services </w:t>
      </w:r>
      <w:r w:rsidR="007B3ED8">
        <w:rPr>
          <w:rFonts w:cs="Times New Roman"/>
          <w:color w:val="0D0D0D"/>
          <w:lang w:val="en-IE"/>
        </w:rPr>
        <w:t xml:space="preserve">in line with </w:t>
      </w:r>
      <w:r>
        <w:rPr>
          <w:rFonts w:cs="Times New Roman"/>
          <w:color w:val="0D0D0D"/>
          <w:lang w:val="en-IE"/>
        </w:rPr>
        <w:t xml:space="preserve">the applicable national legal framework. </w:t>
      </w:r>
      <w:r w:rsidR="00DC2506">
        <w:rPr>
          <w:rFonts w:cs="Times New Roman"/>
          <w:color w:val="0D0D0D"/>
          <w:lang w:val="en-IE"/>
        </w:rPr>
        <w:t xml:space="preserve">The </w:t>
      </w:r>
      <w:r>
        <w:rPr>
          <w:rFonts w:cs="Times New Roman"/>
          <w:color w:val="0D0D0D"/>
          <w:lang w:val="en-IE"/>
        </w:rPr>
        <w:t>IPA 202</w:t>
      </w:r>
      <w:r w:rsidR="006328B3">
        <w:rPr>
          <w:rFonts w:cs="Times New Roman"/>
          <w:color w:val="0D0D0D"/>
          <w:lang w:val="en-IE"/>
        </w:rPr>
        <w:t>4</w:t>
      </w:r>
      <w:r>
        <w:rPr>
          <w:rFonts w:cs="Times New Roman"/>
          <w:color w:val="0D0D0D"/>
          <w:lang w:val="en-IE"/>
        </w:rPr>
        <w:t xml:space="preserve"> Action </w:t>
      </w:r>
      <w:r w:rsidR="006328B3">
        <w:rPr>
          <w:rFonts w:cs="Times New Roman"/>
          <w:color w:val="0D0D0D"/>
          <w:lang w:val="en-IE"/>
        </w:rPr>
        <w:t xml:space="preserve">will provide additional funding </w:t>
      </w:r>
      <w:r w:rsidR="00DC2506">
        <w:rPr>
          <w:rFonts w:cs="Times New Roman"/>
          <w:color w:val="0D0D0D"/>
          <w:lang w:val="en-IE"/>
        </w:rPr>
        <w:t xml:space="preserve">for sustaining and improving the </w:t>
      </w:r>
      <w:r w:rsidR="007B3ED8">
        <w:rPr>
          <w:rFonts w:cs="Times New Roman"/>
          <w:color w:val="0D0D0D"/>
          <w:lang w:val="en-IE"/>
        </w:rPr>
        <w:t>existing social</w:t>
      </w:r>
      <w:r w:rsidR="00DC2506">
        <w:rPr>
          <w:rFonts w:cs="Times New Roman"/>
          <w:color w:val="0D0D0D"/>
          <w:lang w:val="en-IE"/>
        </w:rPr>
        <w:t xml:space="preserve"> services, </w:t>
      </w:r>
      <w:r w:rsidR="007B3ED8">
        <w:rPr>
          <w:rFonts w:cs="Times New Roman"/>
          <w:color w:val="0D0D0D"/>
          <w:lang w:val="en-IE"/>
        </w:rPr>
        <w:t xml:space="preserve">and </w:t>
      </w:r>
      <w:r w:rsidR="00DC2506">
        <w:rPr>
          <w:rFonts w:cs="Times New Roman"/>
          <w:color w:val="0D0D0D"/>
          <w:lang w:val="en-IE"/>
        </w:rPr>
        <w:t xml:space="preserve">designing and putting in place of new ones, </w:t>
      </w:r>
      <w:r w:rsidR="007B3ED8">
        <w:rPr>
          <w:rFonts w:cs="Times New Roman"/>
          <w:color w:val="0D0D0D"/>
          <w:lang w:val="en-IE"/>
        </w:rPr>
        <w:t>to ensure the full range of services are available to those in need</w:t>
      </w:r>
      <w:r w:rsidR="00730341">
        <w:rPr>
          <w:rFonts w:cs="Times New Roman"/>
          <w:color w:val="0D0D0D"/>
          <w:lang w:val="en-IE"/>
        </w:rPr>
        <w:t>.</w:t>
      </w:r>
      <w:r w:rsidR="00DC2506">
        <w:rPr>
          <w:rFonts w:cs="Times New Roman"/>
          <w:color w:val="0D0D0D"/>
          <w:lang w:val="en-IE"/>
        </w:rPr>
        <w:t xml:space="preserve"> The expected result of </w:t>
      </w:r>
      <w:r w:rsidR="007B3ED8">
        <w:rPr>
          <w:rFonts w:cs="Times New Roman"/>
          <w:color w:val="0D0D0D"/>
          <w:lang w:val="en-IE"/>
        </w:rPr>
        <w:t xml:space="preserve">the two actions will be at least 3 </w:t>
      </w:r>
      <w:r w:rsidR="00DC2506">
        <w:rPr>
          <w:rFonts w:cs="Times New Roman"/>
          <w:color w:val="0D0D0D"/>
          <w:lang w:val="en-IE"/>
        </w:rPr>
        <w:t xml:space="preserve">fully functional </w:t>
      </w:r>
      <w:r w:rsidR="007B3ED8">
        <w:rPr>
          <w:rFonts w:cs="Times New Roman"/>
          <w:color w:val="0D0D0D"/>
          <w:lang w:val="en-IE"/>
        </w:rPr>
        <w:t>d</w:t>
      </w:r>
      <w:r w:rsidR="00BF3427">
        <w:rPr>
          <w:rFonts w:cs="Times New Roman"/>
          <w:color w:val="0D0D0D"/>
          <w:lang w:val="en-IE"/>
        </w:rPr>
        <w:t xml:space="preserve">omestic violence and human trafficking shelters, </w:t>
      </w:r>
      <w:r w:rsidR="00BF3427">
        <w:t>offering immediate crisis help, round-the-clock secured housing along with psychosocial support, advice and counselling related to acute situations</w:t>
      </w:r>
      <w:r w:rsidR="007B3ED8">
        <w:t>, along with</w:t>
      </w:r>
      <w:r w:rsidR="00BF3427">
        <w:rPr>
          <w:rFonts w:cs="Times New Roman"/>
          <w:color w:val="0D0D0D"/>
          <w:lang w:val="en-IE"/>
        </w:rPr>
        <w:t xml:space="preserve"> additional services </w:t>
      </w:r>
      <w:r w:rsidR="00B34EFF">
        <w:rPr>
          <w:rFonts w:cs="Times New Roman"/>
          <w:color w:val="0D0D0D"/>
          <w:lang w:val="en-IE"/>
        </w:rPr>
        <w:t xml:space="preserve">such as </w:t>
      </w:r>
      <w:r w:rsidR="00C8561A" w:rsidRPr="00970283">
        <w:rPr>
          <w:rFonts w:cs="Times New Roman"/>
          <w:color w:val="0D0D0D"/>
          <w:lang w:val="en-IE"/>
        </w:rPr>
        <w:t xml:space="preserve">reintegration, </w:t>
      </w:r>
      <w:r w:rsidR="00730341" w:rsidRPr="00970283">
        <w:rPr>
          <w:rFonts w:cs="Times New Roman"/>
          <w:color w:val="0D0D0D"/>
          <w:lang w:val="en-IE"/>
        </w:rPr>
        <w:t xml:space="preserve">counselling, </w:t>
      </w:r>
      <w:r w:rsidR="00C8561A" w:rsidRPr="00970283">
        <w:rPr>
          <w:rFonts w:cs="Times New Roman"/>
          <w:color w:val="0D0D0D"/>
          <w:lang w:val="en-IE"/>
        </w:rPr>
        <w:t xml:space="preserve">mentoring, </w:t>
      </w:r>
      <w:r w:rsidR="00730341" w:rsidRPr="00970283">
        <w:rPr>
          <w:rFonts w:cs="Times New Roman"/>
          <w:color w:val="0D0D0D"/>
          <w:lang w:val="en-IE"/>
        </w:rPr>
        <w:t>legal assistance, labour market activation, medical care.</w:t>
      </w:r>
      <w:r w:rsidR="00B34EFF">
        <w:rPr>
          <w:rFonts w:cs="Times New Roman"/>
          <w:color w:val="0D0D0D"/>
          <w:lang w:val="en-IE"/>
        </w:rPr>
        <w:t xml:space="preserve"> These services will be paired with strong awareness raising and communication activities targeting local communities, institutions, health and school establishments, and media, with the objective to </w:t>
      </w:r>
      <w:r w:rsidR="00B34EFF" w:rsidRPr="00B34EFF">
        <w:rPr>
          <w:rFonts w:eastAsia="Times New Roman" w:cs="Times New Roman"/>
          <w:szCs w:val="24"/>
          <w:lang w:eastAsia="en-GB"/>
        </w:rPr>
        <w:t xml:space="preserve">promote </w:t>
      </w:r>
      <w:r w:rsidR="00DD58E0">
        <w:rPr>
          <w:rFonts w:eastAsia="Times New Roman" w:cs="Times New Roman"/>
          <w:szCs w:val="24"/>
          <w:lang w:eastAsia="en-GB"/>
        </w:rPr>
        <w:t xml:space="preserve">the available </w:t>
      </w:r>
      <w:r w:rsidR="00B34EFF" w:rsidRPr="00B34EFF">
        <w:rPr>
          <w:rFonts w:eastAsia="Times New Roman" w:cs="Times New Roman"/>
          <w:szCs w:val="24"/>
          <w:lang w:eastAsia="en-GB"/>
        </w:rPr>
        <w:t xml:space="preserve">services on </w:t>
      </w:r>
      <w:r w:rsidR="00B34EFF">
        <w:rPr>
          <w:rFonts w:eastAsia="Times New Roman" w:cs="Times New Roman"/>
          <w:szCs w:val="24"/>
          <w:lang w:eastAsia="en-GB"/>
        </w:rPr>
        <w:t>gender</w:t>
      </w:r>
      <w:r w:rsidR="00B34EFF" w:rsidRPr="00B34EFF">
        <w:rPr>
          <w:rFonts w:eastAsia="Times New Roman" w:cs="Times New Roman"/>
          <w:szCs w:val="24"/>
          <w:lang w:eastAsia="en-GB"/>
        </w:rPr>
        <w:t xml:space="preserve"> violence issues</w:t>
      </w:r>
      <w:r w:rsidR="00DD58E0">
        <w:rPr>
          <w:rFonts w:eastAsia="Times New Roman" w:cs="Times New Roman"/>
          <w:szCs w:val="24"/>
          <w:lang w:eastAsia="en-GB"/>
        </w:rPr>
        <w:t xml:space="preserve"> and</w:t>
      </w:r>
      <w:r w:rsidR="00B34EFF">
        <w:rPr>
          <w:rFonts w:eastAsia="Times New Roman" w:cs="Times New Roman"/>
          <w:szCs w:val="24"/>
          <w:lang w:eastAsia="en-GB"/>
        </w:rPr>
        <w:t xml:space="preserve"> raise the public intolerance to gender discrimination and violence. </w:t>
      </w:r>
      <w:r w:rsidR="00B34EFF" w:rsidRPr="00B34EFF">
        <w:rPr>
          <w:rFonts w:eastAsia="Times New Roman" w:cs="Times New Roman"/>
          <w:szCs w:val="24"/>
          <w:lang w:eastAsia="en-GB"/>
        </w:rPr>
        <w:t xml:space="preserve"> </w:t>
      </w:r>
    </w:p>
    <w:p w14:paraId="1BB908D8" w14:textId="541B527B" w:rsidR="00730341" w:rsidRDefault="00730341" w:rsidP="00970283">
      <w:pPr>
        <w:spacing w:before="120"/>
        <w:ind w:left="715"/>
        <w:rPr>
          <w:b/>
          <w:bCs/>
          <w:lang w:val="en-IE"/>
        </w:rPr>
      </w:pPr>
      <w:r>
        <w:rPr>
          <w:b/>
          <w:bCs/>
          <w:lang w:val="en-IE"/>
        </w:rPr>
        <w:t>Output 1.2 Enhanced inter-institutional cooperation at national and local level on gender-based and domestic violence.</w:t>
      </w:r>
    </w:p>
    <w:p w14:paraId="053C6873" w14:textId="37380CAE" w:rsidR="00730341" w:rsidRDefault="00730341" w:rsidP="00970283">
      <w:pPr>
        <w:pStyle w:val="Prrafodelista"/>
        <w:numPr>
          <w:ilvl w:val="0"/>
          <w:numId w:val="22"/>
        </w:numPr>
        <w:spacing w:before="120"/>
        <w:ind w:left="1418" w:hanging="425"/>
        <w:contextualSpacing w:val="0"/>
        <w:rPr>
          <w:rFonts w:cs="Times New Roman"/>
          <w:color w:val="0D0D0D"/>
          <w:lang w:val="en-IE"/>
        </w:rPr>
      </w:pPr>
      <w:r>
        <w:rPr>
          <w:rFonts w:cs="Times New Roman"/>
          <w:color w:val="0D0D0D"/>
          <w:lang w:val="en-IE"/>
        </w:rPr>
        <w:t xml:space="preserve">Establishing the legal and methodological grounds for data collection and </w:t>
      </w:r>
      <w:r w:rsidR="00DD58E0">
        <w:rPr>
          <w:rFonts w:cs="Times New Roman"/>
          <w:color w:val="0D0D0D"/>
          <w:lang w:val="en-IE"/>
        </w:rPr>
        <w:t xml:space="preserve">management </w:t>
      </w:r>
      <w:r>
        <w:rPr>
          <w:rFonts w:cs="Times New Roman"/>
          <w:color w:val="0D0D0D"/>
          <w:lang w:val="en-IE"/>
        </w:rPr>
        <w:t xml:space="preserve">on gender-based and domestic violence </w:t>
      </w:r>
      <w:r w:rsidR="0016478B">
        <w:rPr>
          <w:rFonts w:cs="Times New Roman"/>
          <w:color w:val="0D0D0D"/>
          <w:lang w:val="en-IE"/>
        </w:rPr>
        <w:t xml:space="preserve">that </w:t>
      </w:r>
      <w:r>
        <w:rPr>
          <w:rFonts w:cs="Times New Roman"/>
          <w:color w:val="0D0D0D"/>
          <w:lang w:val="en-IE"/>
        </w:rPr>
        <w:t>involves harmonising the relevant legislative act with other related laws.</w:t>
      </w:r>
    </w:p>
    <w:p w14:paraId="797FA903" w14:textId="0C9B822C" w:rsidR="00730341" w:rsidRDefault="00730341" w:rsidP="00970283">
      <w:pPr>
        <w:pStyle w:val="Prrafodelista"/>
        <w:numPr>
          <w:ilvl w:val="0"/>
          <w:numId w:val="22"/>
        </w:numPr>
        <w:spacing w:before="120"/>
        <w:ind w:left="1418" w:hanging="425"/>
        <w:contextualSpacing w:val="0"/>
        <w:rPr>
          <w:rFonts w:cs="Times New Roman"/>
          <w:color w:val="0D0D0D"/>
          <w:lang w:val="en-IE"/>
        </w:rPr>
      </w:pPr>
      <w:r>
        <w:rPr>
          <w:rFonts w:cs="Times New Roman"/>
          <w:color w:val="0D0D0D"/>
          <w:lang w:val="en-IE"/>
        </w:rPr>
        <w:t xml:space="preserve">Definition of the architecture and the optimal </w:t>
      </w:r>
      <w:r w:rsidR="00C8561A">
        <w:rPr>
          <w:rFonts w:cs="Times New Roman"/>
          <w:color w:val="0D0D0D"/>
          <w:lang w:val="en-IE"/>
        </w:rPr>
        <w:t>data collection and exchange model also involves defining</w:t>
      </w:r>
      <w:r>
        <w:rPr>
          <w:rFonts w:cs="Times New Roman"/>
          <w:color w:val="0D0D0D"/>
          <w:lang w:val="en-IE"/>
        </w:rPr>
        <w:t xml:space="preserve"> the roles of relevant institutions and </w:t>
      </w:r>
      <w:r w:rsidR="00C8561A">
        <w:rPr>
          <w:rFonts w:cs="Times New Roman"/>
          <w:color w:val="0D0D0D"/>
          <w:lang w:val="en-IE"/>
        </w:rPr>
        <w:t>developing</w:t>
      </w:r>
      <w:r>
        <w:rPr>
          <w:rFonts w:cs="Times New Roman"/>
          <w:color w:val="0D0D0D"/>
          <w:lang w:val="en-IE"/>
        </w:rPr>
        <w:t xml:space="preserve"> business processes</w:t>
      </w:r>
      <w:r w:rsidR="0012486B">
        <w:rPr>
          <w:rFonts w:cs="Times New Roman"/>
          <w:color w:val="0D0D0D"/>
          <w:lang w:val="en-IE"/>
        </w:rPr>
        <w:t xml:space="preserve"> following data protection principles and concepts (privacy by design and default).</w:t>
      </w:r>
    </w:p>
    <w:p w14:paraId="3183E2DC" w14:textId="6902012F" w:rsidR="00730341" w:rsidRDefault="0053180D" w:rsidP="00970283">
      <w:pPr>
        <w:pStyle w:val="Prrafodelista"/>
        <w:numPr>
          <w:ilvl w:val="0"/>
          <w:numId w:val="22"/>
        </w:numPr>
        <w:spacing w:before="120"/>
        <w:ind w:left="1418" w:hanging="425"/>
        <w:contextualSpacing w:val="0"/>
        <w:rPr>
          <w:rFonts w:cs="Times New Roman"/>
          <w:color w:val="0D0D0D"/>
          <w:lang w:val="en-IE"/>
        </w:rPr>
      </w:pPr>
      <w:r>
        <w:rPr>
          <w:rFonts w:cs="Times New Roman"/>
          <w:color w:val="0D0D0D"/>
          <w:lang w:val="en-IE"/>
        </w:rPr>
        <w:t>Develop</w:t>
      </w:r>
      <w:r w:rsidR="0012486B">
        <w:rPr>
          <w:rFonts w:cs="Times New Roman"/>
          <w:color w:val="0D0D0D"/>
          <w:lang w:val="en-IE"/>
        </w:rPr>
        <w:t>ment of the business processes and</w:t>
      </w:r>
      <w:r>
        <w:rPr>
          <w:rFonts w:cs="Times New Roman"/>
          <w:color w:val="0D0D0D"/>
          <w:lang w:val="en-IE"/>
        </w:rPr>
        <w:t xml:space="preserve"> technical specifications for software to support the </w:t>
      </w:r>
      <w:r w:rsidR="00C8561A">
        <w:rPr>
          <w:rFonts w:cs="Times New Roman"/>
          <w:color w:val="0D0D0D"/>
          <w:lang w:val="en-IE"/>
        </w:rPr>
        <w:t xml:space="preserve">existing IT system's register and/or interface </w:t>
      </w:r>
      <w:r>
        <w:rPr>
          <w:rFonts w:cs="Times New Roman"/>
          <w:color w:val="0D0D0D"/>
          <w:lang w:val="en-IE"/>
        </w:rPr>
        <w:t xml:space="preserve">and </w:t>
      </w:r>
      <w:r w:rsidR="0016478B">
        <w:rPr>
          <w:rFonts w:cs="Times New Roman"/>
          <w:color w:val="0D0D0D"/>
          <w:lang w:val="en-IE"/>
        </w:rPr>
        <w:t>preparing</w:t>
      </w:r>
      <w:r w:rsidR="00730341">
        <w:rPr>
          <w:rFonts w:cs="Times New Roman"/>
          <w:color w:val="0D0D0D"/>
          <w:lang w:val="en-IE"/>
        </w:rPr>
        <w:t xml:space="preserve"> technical specifications for the necessary equipment</w:t>
      </w:r>
      <w:r w:rsidR="0012486B">
        <w:rPr>
          <w:rFonts w:cs="Times New Roman"/>
          <w:color w:val="0D0D0D"/>
          <w:lang w:val="en-IE"/>
        </w:rPr>
        <w:t xml:space="preserve"> in relevant institutions</w:t>
      </w:r>
      <w:r w:rsidR="00730341">
        <w:rPr>
          <w:rFonts w:cs="Times New Roman"/>
          <w:color w:val="0D0D0D"/>
          <w:lang w:val="en-IE"/>
        </w:rPr>
        <w:t>.</w:t>
      </w:r>
    </w:p>
    <w:p w14:paraId="1EE5E23C" w14:textId="38F2E51E" w:rsidR="0012486B" w:rsidRPr="0016478B" w:rsidRDefault="0012486B" w:rsidP="00970283">
      <w:pPr>
        <w:pStyle w:val="Prrafodelista"/>
        <w:numPr>
          <w:ilvl w:val="0"/>
          <w:numId w:val="22"/>
        </w:numPr>
        <w:spacing w:before="120"/>
        <w:ind w:left="1418" w:hanging="425"/>
        <w:contextualSpacing w:val="0"/>
        <w:rPr>
          <w:rFonts w:cs="Times New Roman"/>
          <w:color w:val="000000" w:themeColor="text1"/>
          <w:lang w:val="en-IE"/>
        </w:rPr>
      </w:pPr>
      <w:r w:rsidRPr="0016478B">
        <w:rPr>
          <w:rFonts w:cs="Times New Roman"/>
          <w:color w:val="000000" w:themeColor="text1"/>
          <w:lang w:val="en-IE"/>
        </w:rPr>
        <w:t xml:space="preserve">Development, testing and </w:t>
      </w:r>
      <w:r w:rsidR="00AB229A" w:rsidRPr="0016478B">
        <w:rPr>
          <w:rFonts w:cs="Times New Roman"/>
          <w:color w:val="000000" w:themeColor="text1"/>
          <w:lang w:val="en-IE"/>
        </w:rPr>
        <w:t xml:space="preserve">operating the software, including support for rectifying </w:t>
      </w:r>
      <w:r w:rsidRPr="0016478B">
        <w:rPr>
          <w:rFonts w:cs="Times New Roman"/>
          <w:color w:val="000000" w:themeColor="text1"/>
          <w:lang w:val="en-IE"/>
        </w:rPr>
        <w:t>defects</w:t>
      </w:r>
      <w:r w:rsidR="0016478B" w:rsidRPr="0016478B">
        <w:rPr>
          <w:rFonts w:cs="Times New Roman"/>
          <w:color w:val="000000" w:themeColor="text1"/>
          <w:lang w:val="en-IE"/>
        </w:rPr>
        <w:t>, information security</w:t>
      </w:r>
      <w:r w:rsidRPr="0016478B">
        <w:rPr>
          <w:rFonts w:cs="Times New Roman"/>
          <w:color w:val="000000" w:themeColor="text1"/>
          <w:lang w:val="en-IE"/>
        </w:rPr>
        <w:t xml:space="preserve"> and </w:t>
      </w:r>
      <w:r w:rsidR="00AB229A" w:rsidRPr="0016478B">
        <w:rPr>
          <w:rFonts w:cs="Times New Roman"/>
          <w:color w:val="000000" w:themeColor="text1"/>
          <w:lang w:val="en-IE"/>
        </w:rPr>
        <w:t>training</w:t>
      </w:r>
      <w:r w:rsidRPr="0016478B">
        <w:rPr>
          <w:rFonts w:cs="Times New Roman"/>
          <w:color w:val="000000" w:themeColor="text1"/>
          <w:lang w:val="en-IE"/>
        </w:rPr>
        <w:t>.</w:t>
      </w:r>
    </w:p>
    <w:p w14:paraId="27A720ED" w14:textId="207BCAE1" w:rsidR="0012486B" w:rsidRPr="0016478B" w:rsidRDefault="00276338" w:rsidP="00970283">
      <w:pPr>
        <w:pStyle w:val="Prrafodelista"/>
        <w:numPr>
          <w:ilvl w:val="0"/>
          <w:numId w:val="22"/>
        </w:numPr>
        <w:spacing w:before="120"/>
        <w:ind w:left="1418" w:hanging="425"/>
        <w:contextualSpacing w:val="0"/>
        <w:rPr>
          <w:rFonts w:cs="Times New Roman"/>
          <w:color w:val="000000" w:themeColor="text1"/>
          <w:lang w:val="en-IE"/>
        </w:rPr>
      </w:pPr>
      <w:r w:rsidRPr="0016478B">
        <w:rPr>
          <w:rFonts w:cs="Times New Roman"/>
          <w:color w:val="000000" w:themeColor="text1"/>
          <w:lang w:val="en-IE"/>
        </w:rPr>
        <w:t>Linking databases of all relevant institutions via the Interoperability Platform of the Ministry of Information Society and Administration, testing and optimisation.</w:t>
      </w:r>
    </w:p>
    <w:p w14:paraId="059A8514" w14:textId="3BA91613" w:rsidR="00512A0F" w:rsidRPr="00467840" w:rsidRDefault="00512A0F" w:rsidP="00512A0F">
      <w:pPr>
        <w:spacing w:before="240"/>
        <w:ind w:left="714"/>
        <w:rPr>
          <w:b/>
          <w:bCs/>
          <w:lang w:val="en-IE"/>
        </w:rPr>
      </w:pPr>
      <w:r w:rsidRPr="00467840">
        <w:rPr>
          <w:b/>
          <w:bCs/>
          <w:lang w:val="en-IE"/>
        </w:rPr>
        <w:t>Output 2.</w:t>
      </w:r>
      <w:r>
        <w:rPr>
          <w:b/>
          <w:bCs/>
          <w:lang w:val="en-IE"/>
        </w:rPr>
        <w:t>1</w:t>
      </w:r>
      <w:r w:rsidRPr="00467840">
        <w:rPr>
          <w:b/>
          <w:bCs/>
          <w:lang w:val="en-IE"/>
        </w:rPr>
        <w:t xml:space="preserve">  </w:t>
      </w:r>
      <w:r w:rsidRPr="00467840">
        <w:rPr>
          <w:rFonts w:cs="Times New Roman"/>
          <w:b/>
          <w:color w:val="0D0D0D"/>
          <w:lang w:val="en-IE"/>
        </w:rPr>
        <w:t xml:space="preserve"> </w:t>
      </w:r>
      <w:r w:rsidRPr="00D92ECA">
        <w:rPr>
          <w:rFonts w:cs="Times New Roman"/>
          <w:b/>
          <w:color w:val="0D0D0D"/>
          <w:lang w:val="en-IE"/>
        </w:rPr>
        <w:t>Strengthened policy and practice on inclusive education</w:t>
      </w:r>
      <w:r w:rsidRPr="00467840" w:rsidDel="009E2C67">
        <w:rPr>
          <w:b/>
          <w:bCs/>
          <w:lang w:val="en-IE"/>
        </w:rPr>
        <w:t xml:space="preserve"> </w:t>
      </w:r>
    </w:p>
    <w:p w14:paraId="13F00804" w14:textId="1BBA62AB" w:rsidR="00512A0F" w:rsidRDefault="00512A0F" w:rsidP="00512A0F">
      <w:pPr>
        <w:tabs>
          <w:tab w:val="left" w:pos="1191"/>
        </w:tabs>
        <w:spacing w:before="120"/>
        <w:ind w:left="1440"/>
        <w:rPr>
          <w:rFonts w:cs="Times New Roman"/>
          <w:color w:val="0D0D0D"/>
          <w:lang w:val="en-IE"/>
        </w:rPr>
      </w:pPr>
      <w:r>
        <w:rPr>
          <w:rFonts w:cs="Times New Roman"/>
          <w:color w:val="0D0D0D"/>
          <w:lang w:val="en-IE"/>
        </w:rPr>
        <w:t xml:space="preserve">This output will be achieved </w:t>
      </w:r>
      <w:r w:rsidR="004D153B">
        <w:rPr>
          <w:rFonts w:cs="Times New Roman"/>
          <w:color w:val="0D0D0D"/>
          <w:lang w:val="en-IE"/>
        </w:rPr>
        <w:t>through</w:t>
      </w:r>
      <w:r>
        <w:rPr>
          <w:rFonts w:cs="Times New Roman"/>
          <w:color w:val="0D0D0D"/>
          <w:lang w:val="en-IE"/>
        </w:rPr>
        <w:t>:</w:t>
      </w:r>
    </w:p>
    <w:p w14:paraId="33B27295" w14:textId="76AAA63F" w:rsidR="004D153B" w:rsidRPr="002411FF" w:rsidRDefault="001D7D4C" w:rsidP="004D153B">
      <w:pPr>
        <w:pStyle w:val="Prrafodelista"/>
        <w:numPr>
          <w:ilvl w:val="0"/>
          <w:numId w:val="22"/>
        </w:numPr>
        <w:spacing w:before="120"/>
        <w:ind w:left="1722" w:hanging="284"/>
        <w:contextualSpacing w:val="0"/>
        <w:rPr>
          <w:lang w:val="en-IE"/>
        </w:rPr>
      </w:pPr>
      <w:r>
        <w:rPr>
          <w:rFonts w:cs="Times New Roman"/>
          <w:color w:val="0D0D0D"/>
          <w:lang w:val="en-IE"/>
        </w:rPr>
        <w:t xml:space="preserve">Policy advise and technical assistance to the Ministry of Education </w:t>
      </w:r>
      <w:r w:rsidR="00E43421">
        <w:rPr>
          <w:rFonts w:cs="Times New Roman"/>
          <w:color w:val="0D0D0D"/>
          <w:lang w:val="en-IE"/>
        </w:rPr>
        <w:t xml:space="preserve">and Science </w:t>
      </w:r>
      <w:r>
        <w:rPr>
          <w:rFonts w:cs="Times New Roman"/>
          <w:color w:val="0D0D0D"/>
          <w:lang w:val="en-IE"/>
        </w:rPr>
        <w:t xml:space="preserve">for monitoring, analysing and </w:t>
      </w:r>
      <w:r w:rsidR="006A15E5">
        <w:rPr>
          <w:rFonts w:cs="Times New Roman"/>
          <w:color w:val="0D0D0D"/>
          <w:lang w:val="en-IE"/>
        </w:rPr>
        <w:t>preparation of</w:t>
      </w:r>
      <w:r>
        <w:rPr>
          <w:rFonts w:cs="Times New Roman"/>
          <w:color w:val="0D0D0D"/>
          <w:lang w:val="en-IE"/>
        </w:rPr>
        <w:t xml:space="preserve"> </w:t>
      </w:r>
      <w:r w:rsidR="00F84A5B">
        <w:rPr>
          <w:rFonts w:cs="Times New Roman"/>
          <w:color w:val="0D0D0D"/>
          <w:lang w:val="en-IE"/>
        </w:rPr>
        <w:t xml:space="preserve">selected </w:t>
      </w:r>
      <w:r>
        <w:rPr>
          <w:rFonts w:cs="Times New Roman"/>
          <w:color w:val="0D0D0D"/>
          <w:lang w:val="en-IE"/>
        </w:rPr>
        <w:t xml:space="preserve">measures </w:t>
      </w:r>
      <w:r w:rsidR="006A15E5">
        <w:rPr>
          <w:rFonts w:cs="Times New Roman"/>
          <w:color w:val="0D0D0D"/>
          <w:lang w:val="en-IE"/>
        </w:rPr>
        <w:t xml:space="preserve">for ensuring </w:t>
      </w:r>
      <w:r w:rsidR="006A15E5">
        <w:rPr>
          <w:bCs/>
          <w:color w:val="000000" w:themeColor="text1"/>
          <w:lang w:val="en-IE"/>
        </w:rPr>
        <w:t xml:space="preserve">safe and inclusive </w:t>
      </w:r>
      <w:r w:rsidR="00F84A5B">
        <w:rPr>
          <w:bCs/>
          <w:color w:val="000000" w:themeColor="text1"/>
          <w:lang w:val="en-IE"/>
        </w:rPr>
        <w:t xml:space="preserve"> school environment in line with the country’s Educational strategy and the EU principle for inclusive ed</w:t>
      </w:r>
      <w:r w:rsidR="004D153B">
        <w:rPr>
          <w:bCs/>
          <w:color w:val="000000" w:themeColor="text1"/>
          <w:lang w:val="en-IE"/>
        </w:rPr>
        <w:t>ucation</w:t>
      </w:r>
      <w:r w:rsidR="00D2091B" w:rsidRPr="00D2091B">
        <w:rPr>
          <w:bCs/>
          <w:color w:val="000000" w:themeColor="text1"/>
          <w:lang w:val="en-IE"/>
        </w:rPr>
        <w:t xml:space="preserve"> </w:t>
      </w:r>
      <w:r w:rsidR="00D2091B">
        <w:rPr>
          <w:bCs/>
          <w:color w:val="000000" w:themeColor="text1"/>
          <w:lang w:val="en-IE"/>
        </w:rPr>
        <w:t>in safe school environment</w:t>
      </w:r>
      <w:r w:rsidR="004D153B">
        <w:rPr>
          <w:bCs/>
          <w:color w:val="000000" w:themeColor="text1"/>
          <w:lang w:val="en-IE"/>
        </w:rPr>
        <w:t>.</w:t>
      </w:r>
    </w:p>
    <w:p w14:paraId="5C3BCFF5" w14:textId="2E5AD1B9" w:rsidR="00F84A5B" w:rsidRDefault="00F84A5B" w:rsidP="00F84A5B">
      <w:pPr>
        <w:pStyle w:val="Prrafodelista"/>
        <w:numPr>
          <w:ilvl w:val="0"/>
          <w:numId w:val="22"/>
        </w:numPr>
        <w:spacing w:before="120"/>
        <w:ind w:left="1722" w:hanging="284"/>
        <w:contextualSpacing w:val="0"/>
        <w:rPr>
          <w:lang w:val="en-IE"/>
        </w:rPr>
      </w:pPr>
      <w:r>
        <w:rPr>
          <w:lang w:val="en-IE"/>
        </w:rPr>
        <w:t xml:space="preserve">Technical assistance to the Ministry of </w:t>
      </w:r>
      <w:r w:rsidR="00E43421">
        <w:rPr>
          <w:lang w:val="en-IE"/>
        </w:rPr>
        <w:t>E</w:t>
      </w:r>
      <w:r>
        <w:rPr>
          <w:lang w:val="en-IE"/>
        </w:rPr>
        <w:t xml:space="preserve">ducation </w:t>
      </w:r>
      <w:r w:rsidR="00E43421">
        <w:rPr>
          <w:lang w:val="en-IE"/>
        </w:rPr>
        <w:t xml:space="preserve">and Science </w:t>
      </w:r>
      <w:r>
        <w:rPr>
          <w:lang w:val="en-IE"/>
        </w:rPr>
        <w:t>for improving the planning and management  of the EU assistance</w:t>
      </w:r>
      <w:r w:rsidR="004D153B">
        <w:rPr>
          <w:lang w:val="en-IE"/>
        </w:rPr>
        <w:t xml:space="preserve"> for </w:t>
      </w:r>
      <w:r w:rsidR="0093032A">
        <w:rPr>
          <w:lang w:val="en-IE"/>
        </w:rPr>
        <w:t xml:space="preserve"> improving</w:t>
      </w:r>
      <w:r w:rsidR="004D153B">
        <w:rPr>
          <w:lang w:val="en-IE"/>
        </w:rPr>
        <w:t xml:space="preserve"> the non-discrimination policies at school</w:t>
      </w:r>
      <w:r>
        <w:rPr>
          <w:lang w:val="en-IE"/>
        </w:rPr>
        <w:t>;</w:t>
      </w:r>
    </w:p>
    <w:p w14:paraId="563DA90E" w14:textId="20B17E43" w:rsidR="00006F3A" w:rsidRPr="00240E39" w:rsidRDefault="00006F3A" w:rsidP="00F84A5B">
      <w:pPr>
        <w:pStyle w:val="Prrafodelista"/>
        <w:numPr>
          <w:ilvl w:val="0"/>
          <w:numId w:val="22"/>
        </w:numPr>
        <w:spacing w:before="120"/>
        <w:ind w:left="1722" w:hanging="284"/>
        <w:contextualSpacing w:val="0"/>
        <w:rPr>
          <w:lang w:val="en-IE"/>
        </w:rPr>
      </w:pPr>
      <w:r>
        <w:rPr>
          <w:lang w:val="en-IE"/>
        </w:rPr>
        <w:t xml:space="preserve">Capacity building for school staff working with children from Roma origin and children with </w:t>
      </w:r>
      <w:r w:rsidRPr="00240E39">
        <w:rPr>
          <w:lang w:val="en-IE"/>
        </w:rPr>
        <w:t>disabilities on inclusive educations</w:t>
      </w:r>
    </w:p>
    <w:p w14:paraId="5A0641C8" w14:textId="4C43A615" w:rsidR="004D153B" w:rsidRPr="00240E39" w:rsidRDefault="004D153B" w:rsidP="004D153B">
      <w:pPr>
        <w:pStyle w:val="Prrafodelista"/>
        <w:numPr>
          <w:ilvl w:val="0"/>
          <w:numId w:val="22"/>
        </w:numPr>
        <w:spacing w:before="120"/>
        <w:ind w:left="1722" w:hanging="284"/>
        <w:contextualSpacing w:val="0"/>
        <w:rPr>
          <w:lang w:val="en-IE"/>
        </w:rPr>
      </w:pPr>
      <w:r w:rsidRPr="00970283">
        <w:rPr>
          <w:bCs/>
          <w:lang w:val="en-IE"/>
        </w:rPr>
        <w:lastRenderedPageBreak/>
        <w:t>Putting in place measures to monitor, analyse and respond to safety incidents at school involving abuse and discrimination and deteriorating mental health context</w:t>
      </w:r>
      <w:r w:rsidR="00BF1F0F" w:rsidRPr="00970283">
        <w:rPr>
          <w:bCs/>
          <w:lang w:val="en-IE"/>
        </w:rPr>
        <w:t xml:space="preserve"> in terms of improving inclusive education</w:t>
      </w:r>
      <w:r w:rsidRPr="00970283">
        <w:rPr>
          <w:bCs/>
          <w:lang w:val="en-IE"/>
        </w:rPr>
        <w:t xml:space="preserve">. </w:t>
      </w:r>
      <w:r w:rsidR="00D2091B" w:rsidRPr="00970283">
        <w:rPr>
          <w:bCs/>
          <w:lang w:val="en-IE"/>
        </w:rPr>
        <w:t>This will involve also</w:t>
      </w:r>
      <w:r w:rsidRPr="00970283">
        <w:rPr>
          <w:bCs/>
          <w:lang w:val="en-IE"/>
        </w:rPr>
        <w:t xml:space="preserve"> a</w:t>
      </w:r>
      <w:r w:rsidRPr="00970283">
        <w:rPr>
          <w:rFonts w:cs="Times New Roman"/>
          <w:szCs w:val="24"/>
        </w:rPr>
        <w:t>nalysis of the existing legislation, school protocols an</w:t>
      </w:r>
      <w:r w:rsidR="00D2091B" w:rsidRPr="00970283">
        <w:rPr>
          <w:rFonts w:cs="Times New Roman"/>
          <w:szCs w:val="24"/>
        </w:rPr>
        <w:t>d measures;</w:t>
      </w:r>
    </w:p>
    <w:p w14:paraId="0A2CB22E" w14:textId="50B48AA3" w:rsidR="004D153B" w:rsidRPr="00970283" w:rsidRDefault="00BF1F0F" w:rsidP="00970283">
      <w:pPr>
        <w:pStyle w:val="Prrafodelista"/>
        <w:numPr>
          <w:ilvl w:val="0"/>
          <w:numId w:val="22"/>
        </w:numPr>
        <w:spacing w:before="120"/>
        <w:ind w:left="1722" w:hanging="284"/>
        <w:contextualSpacing w:val="0"/>
        <w:rPr>
          <w:lang w:val="en-IE"/>
        </w:rPr>
      </w:pPr>
      <w:r w:rsidRPr="00970283">
        <w:rPr>
          <w:rFonts w:cs="Times New Roman"/>
          <w:szCs w:val="24"/>
        </w:rPr>
        <w:t xml:space="preserve">Piloting of </w:t>
      </w:r>
      <w:r w:rsidR="00F84A5B" w:rsidRPr="006F1C97">
        <w:rPr>
          <w:rFonts w:cs="Times New Roman"/>
          <w:szCs w:val="24"/>
        </w:rPr>
        <w:t xml:space="preserve">educational modules and training programs for teachers, professional associates, school management, and parents to improve </w:t>
      </w:r>
      <w:r w:rsidR="00D2091B" w:rsidRPr="00970283">
        <w:rPr>
          <w:rFonts w:cs="Times New Roman"/>
          <w:szCs w:val="24"/>
        </w:rPr>
        <w:t xml:space="preserve">children’s </w:t>
      </w:r>
      <w:r w:rsidRPr="00970283">
        <w:rPr>
          <w:rFonts w:cs="Times New Roman"/>
          <w:szCs w:val="24"/>
        </w:rPr>
        <w:t xml:space="preserve"> inclusiveness </w:t>
      </w:r>
      <w:r w:rsidR="00B27AE1" w:rsidRPr="00970283">
        <w:rPr>
          <w:rFonts w:cs="Times New Roman"/>
          <w:szCs w:val="24"/>
        </w:rPr>
        <w:t>in education process</w:t>
      </w:r>
      <w:r w:rsidR="00F84A5B" w:rsidRPr="006F1C97">
        <w:rPr>
          <w:rFonts w:cs="Times New Roman"/>
          <w:szCs w:val="24"/>
        </w:rPr>
        <w:t xml:space="preserve">. </w:t>
      </w:r>
    </w:p>
    <w:p w14:paraId="20C61159" w14:textId="5A542DF8" w:rsidR="00730341" w:rsidRDefault="00730341" w:rsidP="00970283">
      <w:pPr>
        <w:spacing w:before="240"/>
        <w:ind w:left="714"/>
        <w:rPr>
          <w:b/>
          <w:bCs/>
          <w:lang w:val="en-IE"/>
        </w:rPr>
      </w:pPr>
      <w:r>
        <w:rPr>
          <w:b/>
          <w:bCs/>
          <w:lang w:val="en-IE"/>
        </w:rPr>
        <w:t>Output 2.</w:t>
      </w:r>
      <w:r w:rsidR="00512A0F">
        <w:rPr>
          <w:b/>
          <w:bCs/>
          <w:lang w:val="en-IE"/>
        </w:rPr>
        <w:t xml:space="preserve">2 </w:t>
      </w:r>
      <w:r>
        <w:rPr>
          <w:b/>
          <w:bCs/>
          <w:lang w:val="en-IE"/>
        </w:rPr>
        <w:t>Improved school accessibility for children with disabilities</w:t>
      </w:r>
    </w:p>
    <w:p w14:paraId="0D51B3F0" w14:textId="477036A6" w:rsidR="002A37F2" w:rsidRDefault="00CE03CD" w:rsidP="00467840">
      <w:pPr>
        <w:spacing w:before="120"/>
        <w:ind w:left="1440"/>
        <w:rPr>
          <w:b/>
          <w:bCs/>
          <w:lang w:val="en-IE"/>
        </w:rPr>
      </w:pPr>
      <w:r w:rsidRPr="00970283">
        <w:rPr>
          <w:bCs/>
          <w:lang w:val="en-IE"/>
        </w:rPr>
        <w:t xml:space="preserve">This output involves the </w:t>
      </w:r>
      <w:r>
        <w:rPr>
          <w:rFonts w:cs="Times New Roman"/>
          <w:color w:val="0D0D0D"/>
          <w:lang w:val="en-IE"/>
        </w:rPr>
        <w:t>a</w:t>
      </w:r>
      <w:r w:rsidR="00730341" w:rsidRPr="00970283">
        <w:rPr>
          <w:rFonts w:cs="Times New Roman"/>
          <w:color w:val="0D0D0D"/>
          <w:lang w:val="en-IE"/>
        </w:rPr>
        <w:t>daptation</w:t>
      </w:r>
      <w:r>
        <w:rPr>
          <w:rFonts w:cs="Times New Roman"/>
          <w:color w:val="0D0D0D"/>
          <w:lang w:val="en-IE"/>
        </w:rPr>
        <w:t xml:space="preserve"> </w:t>
      </w:r>
      <w:r w:rsidR="00730341" w:rsidRPr="00970283">
        <w:rPr>
          <w:rFonts w:cs="Times New Roman"/>
          <w:color w:val="0D0D0D"/>
          <w:lang w:val="en-IE"/>
        </w:rPr>
        <w:t xml:space="preserve">of 20 educational establishments to </w:t>
      </w:r>
      <w:r>
        <w:rPr>
          <w:rFonts w:cs="Times New Roman"/>
          <w:color w:val="0D0D0D"/>
          <w:lang w:val="en-IE"/>
        </w:rPr>
        <w:t>the needs of</w:t>
      </w:r>
      <w:r w:rsidRPr="00970283">
        <w:rPr>
          <w:rFonts w:cs="Times New Roman"/>
          <w:color w:val="0D0D0D"/>
          <w:lang w:val="en-IE"/>
        </w:rPr>
        <w:t xml:space="preserve"> </w:t>
      </w:r>
      <w:r w:rsidR="00730341" w:rsidRPr="00970283">
        <w:rPr>
          <w:rFonts w:cs="Times New Roman"/>
          <w:color w:val="0D0D0D"/>
          <w:lang w:val="en-IE"/>
        </w:rPr>
        <w:t xml:space="preserve">students </w:t>
      </w:r>
      <w:r>
        <w:rPr>
          <w:rFonts w:cs="Times New Roman"/>
          <w:color w:val="0D0D0D"/>
          <w:lang w:val="en-IE"/>
        </w:rPr>
        <w:t xml:space="preserve">with disabilities. The </w:t>
      </w:r>
      <w:r w:rsidR="00926DB0">
        <w:rPr>
          <w:rFonts w:cs="Times New Roman"/>
          <w:color w:val="0D0D0D"/>
          <w:lang w:val="en-IE"/>
        </w:rPr>
        <w:t>adaptation covers the</w:t>
      </w:r>
      <w:r>
        <w:rPr>
          <w:rFonts w:cs="Times New Roman"/>
          <w:color w:val="0D0D0D"/>
          <w:lang w:val="en-IE"/>
        </w:rPr>
        <w:t xml:space="preserve"> installation of </w:t>
      </w:r>
      <w:r w:rsidRPr="00202D48">
        <w:rPr>
          <w:rFonts w:cs="Times New Roman"/>
          <w:color w:val="0D0D0D"/>
          <w:lang w:val="en-IE"/>
        </w:rPr>
        <w:t>accessibility ramps</w:t>
      </w:r>
      <w:r w:rsidR="00926DB0">
        <w:rPr>
          <w:rFonts w:cs="Times New Roman"/>
          <w:color w:val="0D0D0D"/>
          <w:lang w:val="en-IE"/>
        </w:rPr>
        <w:t xml:space="preserve"> and</w:t>
      </w:r>
      <w:r w:rsidRPr="00202D48">
        <w:rPr>
          <w:rFonts w:cs="Times New Roman"/>
          <w:color w:val="0D0D0D"/>
          <w:lang w:val="en-IE"/>
        </w:rPr>
        <w:t xml:space="preserve"> elevators, toilet</w:t>
      </w:r>
      <w:r>
        <w:rPr>
          <w:rFonts w:cs="Times New Roman"/>
          <w:color w:val="0D0D0D"/>
          <w:lang w:val="en-IE"/>
        </w:rPr>
        <w:t>s</w:t>
      </w:r>
      <w:r w:rsidR="00926DB0">
        <w:rPr>
          <w:rFonts w:cs="Times New Roman"/>
          <w:color w:val="0D0D0D"/>
          <w:lang w:val="en-IE"/>
        </w:rPr>
        <w:t xml:space="preserve"> for children with special needs</w:t>
      </w:r>
      <w:r w:rsidRPr="00202D48">
        <w:rPr>
          <w:rFonts w:cs="Times New Roman"/>
          <w:color w:val="0D0D0D"/>
          <w:lang w:val="en-IE"/>
        </w:rPr>
        <w:t>,</w:t>
      </w:r>
      <w:r w:rsidR="00926DB0">
        <w:rPr>
          <w:rFonts w:cs="Times New Roman"/>
          <w:color w:val="0D0D0D"/>
          <w:lang w:val="en-IE"/>
        </w:rPr>
        <w:t xml:space="preserve"> </w:t>
      </w:r>
      <w:r w:rsidR="006F75AC">
        <w:rPr>
          <w:rFonts w:cs="Times New Roman"/>
          <w:color w:val="0D0D0D"/>
          <w:lang w:val="en-IE"/>
        </w:rPr>
        <w:t xml:space="preserve">and </w:t>
      </w:r>
      <w:r w:rsidR="00926DB0">
        <w:rPr>
          <w:rFonts w:cs="Times New Roman"/>
          <w:color w:val="0D0D0D"/>
          <w:lang w:val="en-IE"/>
        </w:rPr>
        <w:t>supply of</w:t>
      </w:r>
      <w:r w:rsidRPr="00202D48">
        <w:rPr>
          <w:rFonts w:cs="Times New Roman"/>
          <w:color w:val="0D0D0D"/>
          <w:lang w:val="en-IE"/>
        </w:rPr>
        <w:t xml:space="preserve"> audio and visual equipment</w:t>
      </w:r>
      <w:r w:rsidR="00926DB0">
        <w:rPr>
          <w:rFonts w:cs="Times New Roman"/>
          <w:color w:val="0D0D0D"/>
          <w:lang w:val="en-IE"/>
        </w:rPr>
        <w:t xml:space="preserve"> to support the learning process for children with </w:t>
      </w:r>
      <w:r w:rsidR="00926DB0" w:rsidRPr="00467840">
        <w:rPr>
          <w:rStyle w:val="nfasis"/>
          <w:i w:val="0"/>
        </w:rPr>
        <w:t>visual</w:t>
      </w:r>
      <w:r w:rsidR="00926DB0" w:rsidRPr="00467840">
        <w:t xml:space="preserve"> and </w:t>
      </w:r>
      <w:r w:rsidR="00926DB0" w:rsidRPr="00467840">
        <w:rPr>
          <w:rStyle w:val="nfasis"/>
          <w:i w:val="0"/>
        </w:rPr>
        <w:t>auditory</w:t>
      </w:r>
      <w:r w:rsidR="00926DB0">
        <w:rPr>
          <w:rStyle w:val="nfasis"/>
          <w:i w:val="0"/>
        </w:rPr>
        <w:t xml:space="preserve"> disorders. </w:t>
      </w:r>
      <w:r w:rsidR="00926DB0">
        <w:rPr>
          <w:rFonts w:cs="Times New Roman"/>
          <w:color w:val="0D0D0D"/>
          <w:lang w:val="en-IE"/>
        </w:rPr>
        <w:t>The action will benefit</w:t>
      </w:r>
      <w:r w:rsidR="002A37F2" w:rsidRPr="00970283">
        <w:rPr>
          <w:rFonts w:cs="Times New Roman"/>
          <w:color w:val="0D0D0D"/>
          <w:lang w:val="en-IE"/>
        </w:rPr>
        <w:t xml:space="preserve"> two types of establishments: </w:t>
      </w:r>
      <w:r w:rsidR="002A37F2" w:rsidRPr="00970283">
        <w:rPr>
          <w:rFonts w:cs="Times New Roman"/>
          <w:i/>
          <w:iCs/>
          <w:color w:val="0D0D0D"/>
          <w:lang w:val="en-IE"/>
        </w:rPr>
        <w:t>1)</w:t>
      </w:r>
      <w:r w:rsidR="002A37F2" w:rsidRPr="00970283">
        <w:rPr>
          <w:rFonts w:cs="Times New Roman"/>
          <w:color w:val="0D0D0D"/>
          <w:lang w:val="en-IE"/>
        </w:rPr>
        <w:t xml:space="preserve"> </w:t>
      </w:r>
      <w:r w:rsidR="002A37F2" w:rsidRPr="00970283">
        <w:rPr>
          <w:rFonts w:cs="Times New Roman"/>
          <w:i/>
          <w:iCs/>
          <w:color w:val="0D0D0D"/>
          <w:lang w:val="en-IE"/>
        </w:rPr>
        <w:t>Inclusive schools</w:t>
      </w:r>
      <w:r w:rsidR="002A37F2" w:rsidRPr="00970283">
        <w:rPr>
          <w:rFonts w:cs="Times New Roman"/>
          <w:color w:val="0D0D0D"/>
          <w:lang w:val="en-IE"/>
        </w:rPr>
        <w:t xml:space="preserve">, mainstream schools </w:t>
      </w:r>
      <w:r w:rsidR="003F1389" w:rsidRPr="00970283">
        <w:rPr>
          <w:rFonts w:cs="Times New Roman"/>
          <w:color w:val="0D0D0D"/>
          <w:lang w:val="en-IE"/>
        </w:rPr>
        <w:t xml:space="preserve">with programmes and resources in place to support students with </w:t>
      </w:r>
      <w:r w:rsidR="00926DB0">
        <w:rPr>
          <w:rFonts w:cs="Times New Roman"/>
          <w:color w:val="0D0D0D"/>
          <w:lang w:val="en-IE"/>
        </w:rPr>
        <w:t>special educational needs</w:t>
      </w:r>
      <w:r w:rsidR="003F1389" w:rsidRPr="00970283">
        <w:rPr>
          <w:rFonts w:cs="Times New Roman"/>
          <w:color w:val="0D0D0D"/>
          <w:lang w:val="en-IE"/>
        </w:rPr>
        <w:t xml:space="preserve">, which </w:t>
      </w:r>
      <w:r w:rsidR="009318E7" w:rsidRPr="00970283">
        <w:rPr>
          <w:rFonts w:cs="Times New Roman"/>
          <w:color w:val="0D0D0D"/>
          <w:lang w:val="en-IE"/>
        </w:rPr>
        <w:t>offer</w:t>
      </w:r>
      <w:r w:rsidR="003F1389" w:rsidRPr="00970283">
        <w:rPr>
          <w:rFonts w:cs="Times New Roman"/>
          <w:color w:val="0D0D0D"/>
          <w:lang w:val="en-IE"/>
        </w:rPr>
        <w:t xml:space="preserve"> a range of support services, such as individualised instruction, assistive technology, and specialised teaching strategies; and </w:t>
      </w:r>
      <w:r w:rsidR="003F1389" w:rsidRPr="00970283">
        <w:rPr>
          <w:rFonts w:cs="Times New Roman"/>
          <w:i/>
          <w:iCs/>
          <w:color w:val="0D0D0D"/>
          <w:lang w:val="en-IE"/>
        </w:rPr>
        <w:t>2)</w:t>
      </w:r>
      <w:r w:rsidR="003F1389" w:rsidRPr="00970283">
        <w:rPr>
          <w:rFonts w:cs="Times New Roman"/>
          <w:color w:val="0D0D0D"/>
          <w:lang w:val="en-IE"/>
        </w:rPr>
        <w:t xml:space="preserve"> </w:t>
      </w:r>
      <w:r w:rsidR="003F1389" w:rsidRPr="00970283">
        <w:rPr>
          <w:rFonts w:cs="Times New Roman"/>
          <w:i/>
          <w:iCs/>
          <w:color w:val="0D0D0D"/>
          <w:lang w:val="en-IE"/>
        </w:rPr>
        <w:t>Resource centres,</w:t>
      </w:r>
      <w:r w:rsidR="003F1389" w:rsidRPr="00970283">
        <w:rPr>
          <w:rFonts w:cs="Times New Roman"/>
          <w:color w:val="0D0D0D"/>
          <w:lang w:val="en-IE"/>
        </w:rPr>
        <w:t xml:space="preserve"> providing specialised support services to st</w:t>
      </w:r>
      <w:r w:rsidR="009318E7" w:rsidRPr="00970283">
        <w:rPr>
          <w:rFonts w:cs="Times New Roman"/>
          <w:color w:val="0D0D0D"/>
          <w:lang w:val="en-IE"/>
        </w:rPr>
        <w:t xml:space="preserve">udents with </w:t>
      </w:r>
      <w:r w:rsidR="00926DB0">
        <w:rPr>
          <w:rFonts w:cs="Times New Roman"/>
          <w:color w:val="0D0D0D"/>
          <w:lang w:val="en-IE"/>
        </w:rPr>
        <w:t xml:space="preserve">special educational needs </w:t>
      </w:r>
      <w:r w:rsidR="009318E7" w:rsidRPr="00970283">
        <w:rPr>
          <w:rFonts w:cs="Times New Roman"/>
          <w:color w:val="0D0D0D"/>
          <w:lang w:val="en-IE"/>
        </w:rPr>
        <w:t xml:space="preserve">who attend mainstream schools. Resources centres offer assistive technology, specialised instructions, and other services to help students succeed in the classroom. </w:t>
      </w:r>
      <w:r w:rsidR="00926DB0">
        <w:rPr>
          <w:rFonts w:cs="Times New Roman"/>
          <w:color w:val="0D0D0D"/>
          <w:lang w:val="en-IE"/>
        </w:rPr>
        <w:t xml:space="preserve">The benefitting schools will be </w:t>
      </w:r>
      <w:r w:rsidR="00926DB0" w:rsidRPr="000B04B2">
        <w:rPr>
          <w:rFonts w:cs="Times New Roman"/>
          <w:color w:val="0D0D0D"/>
          <w:lang w:val="en-IE"/>
        </w:rPr>
        <w:t xml:space="preserve">selected </w:t>
      </w:r>
      <w:r w:rsidR="00926DB0">
        <w:rPr>
          <w:rFonts w:cs="Times New Roman"/>
          <w:color w:val="0D0D0D"/>
          <w:lang w:val="en-IE"/>
        </w:rPr>
        <w:t xml:space="preserve">through </w:t>
      </w:r>
      <w:r w:rsidR="00926DB0" w:rsidRPr="000B04B2">
        <w:rPr>
          <w:rFonts w:cs="Times New Roman"/>
          <w:color w:val="0D0D0D"/>
          <w:lang w:val="en-IE"/>
        </w:rPr>
        <w:t>a call</w:t>
      </w:r>
      <w:r w:rsidR="00926DB0">
        <w:rPr>
          <w:rFonts w:cs="Times New Roman"/>
          <w:color w:val="0D0D0D"/>
          <w:lang w:val="en-IE"/>
        </w:rPr>
        <w:t xml:space="preserve">. </w:t>
      </w:r>
    </w:p>
    <w:p w14:paraId="5AD42998" w14:textId="77777777" w:rsidR="001D7D4C" w:rsidRDefault="001D7D4C" w:rsidP="00970283">
      <w:pPr>
        <w:rPr>
          <w:b/>
          <w:bCs/>
          <w:lang w:val="en-IE"/>
        </w:rPr>
      </w:pPr>
    </w:p>
    <w:p w14:paraId="0D4C4524" w14:textId="4924E315" w:rsidR="001D7D4C" w:rsidRPr="00970283" w:rsidRDefault="00730341" w:rsidP="00970283">
      <w:pPr>
        <w:ind w:left="851"/>
        <w:rPr>
          <w:rFonts w:cs="Times New Roman"/>
          <w:b/>
          <w:color w:val="0D0D0D"/>
          <w:sz w:val="22"/>
          <w:lang w:val="en-IE"/>
        </w:rPr>
      </w:pPr>
      <w:r w:rsidRPr="00CE02F9">
        <w:rPr>
          <w:b/>
          <w:bCs/>
          <w:lang w:val="en-IE"/>
        </w:rPr>
        <w:t>Output 2.</w:t>
      </w:r>
      <w:r w:rsidR="001D7D4C" w:rsidRPr="00CE02F9">
        <w:rPr>
          <w:b/>
          <w:bCs/>
          <w:lang w:val="en-IE"/>
        </w:rPr>
        <w:t>3</w:t>
      </w:r>
      <w:r w:rsidRPr="00CE02F9">
        <w:rPr>
          <w:b/>
          <w:bCs/>
          <w:lang w:val="en-IE"/>
        </w:rPr>
        <w:t xml:space="preserve">  </w:t>
      </w:r>
      <w:r w:rsidR="009E2C67" w:rsidRPr="00970283">
        <w:rPr>
          <w:rFonts w:cs="Times New Roman"/>
          <w:b/>
          <w:color w:val="0D0D0D"/>
          <w:lang w:val="en-IE"/>
        </w:rPr>
        <w:t xml:space="preserve"> </w:t>
      </w:r>
      <w:r w:rsidR="001D7D4C" w:rsidRPr="00970283">
        <w:rPr>
          <w:rFonts w:cs="Times New Roman"/>
          <w:b/>
          <w:color w:val="0D0D0D"/>
          <w:sz w:val="22"/>
          <w:lang w:val="en-IE"/>
        </w:rPr>
        <w:t>Enhanced chances for vulnerable children to attend school</w:t>
      </w:r>
    </w:p>
    <w:p w14:paraId="27DC17B8" w14:textId="2873DB2C" w:rsidR="00467840" w:rsidRDefault="006F75AC" w:rsidP="00970283">
      <w:pPr>
        <w:spacing w:before="120"/>
        <w:ind w:left="1418"/>
        <w:rPr>
          <w:lang w:val="en-IE"/>
        </w:rPr>
      </w:pPr>
      <w:r>
        <w:rPr>
          <w:rFonts w:cs="Times New Roman"/>
          <w:color w:val="0D0D0D"/>
          <w:lang w:val="en-IE"/>
        </w:rPr>
        <w:t xml:space="preserve">This output will be achieved through the </w:t>
      </w:r>
      <w:r w:rsidR="0053180D" w:rsidRPr="00467840">
        <w:rPr>
          <w:rFonts w:cs="Times New Roman"/>
          <w:color w:val="0D0D0D"/>
          <w:lang w:val="en-IE"/>
        </w:rPr>
        <w:t>implement</w:t>
      </w:r>
      <w:r w:rsidRPr="00467840">
        <w:rPr>
          <w:rFonts w:cs="Times New Roman"/>
          <w:color w:val="0D0D0D"/>
          <w:lang w:val="en-IE"/>
        </w:rPr>
        <w:t>ation of</w:t>
      </w:r>
      <w:r w:rsidR="00730341" w:rsidRPr="00467840">
        <w:rPr>
          <w:rFonts w:cs="Times New Roman"/>
          <w:color w:val="0D0D0D"/>
          <w:lang w:val="en-IE"/>
        </w:rPr>
        <w:t xml:space="preserve"> a scholarship scheme</w:t>
      </w:r>
      <w:r w:rsidR="00293413" w:rsidRPr="00467840">
        <w:rPr>
          <w:rFonts w:cs="Times New Roman"/>
          <w:color w:val="0D0D0D"/>
          <w:lang w:val="en-IE"/>
        </w:rPr>
        <w:t xml:space="preserve"> </w:t>
      </w:r>
      <w:r w:rsidR="00730341" w:rsidRPr="00467840">
        <w:rPr>
          <w:rFonts w:cs="Times New Roman"/>
          <w:color w:val="0D0D0D"/>
          <w:lang w:val="en-IE"/>
        </w:rPr>
        <w:t>to strengthen motivation for school participation</w:t>
      </w:r>
      <w:r w:rsidR="00467840" w:rsidRPr="00467840">
        <w:rPr>
          <w:rFonts w:cs="Times New Roman"/>
          <w:color w:val="0D0D0D"/>
          <w:lang w:val="en-IE"/>
        </w:rPr>
        <w:t xml:space="preserve"> of about 500 children of Roma origin and children with disabilities. </w:t>
      </w:r>
      <w:r w:rsidR="00293413" w:rsidRPr="00467840">
        <w:rPr>
          <w:rFonts w:cs="Times New Roman"/>
          <w:color w:val="0D0D0D"/>
          <w:lang w:val="en-IE"/>
        </w:rPr>
        <w:t>The scholarship</w:t>
      </w:r>
      <w:r w:rsidR="005C2145" w:rsidRPr="00467840">
        <w:rPr>
          <w:rFonts w:cs="Times New Roman"/>
          <w:color w:val="0D0D0D"/>
          <w:lang w:val="en-IE"/>
        </w:rPr>
        <w:t xml:space="preserve">s </w:t>
      </w:r>
      <w:r w:rsidR="00D07BA7" w:rsidRPr="00467840">
        <w:rPr>
          <w:rFonts w:cs="Times New Roman"/>
          <w:color w:val="0D0D0D"/>
          <w:lang w:val="en-IE"/>
        </w:rPr>
        <w:t xml:space="preserve">will </w:t>
      </w:r>
      <w:r w:rsidR="005C2145" w:rsidRPr="00467840">
        <w:rPr>
          <w:rFonts w:cs="Times New Roman"/>
          <w:color w:val="0D0D0D"/>
          <w:lang w:val="en-IE"/>
        </w:rPr>
        <w:t>cover tuition fees, textbooks, transportation, and other related expenses</w:t>
      </w:r>
      <w:r w:rsidRPr="00467840">
        <w:rPr>
          <w:rFonts w:cs="Times New Roman"/>
          <w:color w:val="0D0D0D"/>
          <w:lang w:val="en-IE"/>
        </w:rPr>
        <w:t>.</w:t>
      </w:r>
      <w:r w:rsidR="00467840" w:rsidRPr="00467840">
        <w:rPr>
          <w:rFonts w:cs="Times New Roman"/>
          <w:color w:val="0D0D0D"/>
          <w:lang w:val="en-IE"/>
        </w:rPr>
        <w:t xml:space="preserve"> This activity will be implemented in line with the methodology developed through IPA2017 project providing scholarships for children with disabilities. </w:t>
      </w:r>
    </w:p>
    <w:p w14:paraId="6E4AFB12" w14:textId="6FC61726" w:rsidR="00730341" w:rsidRDefault="00730341" w:rsidP="00970283">
      <w:pPr>
        <w:spacing w:before="120"/>
        <w:ind w:left="715"/>
        <w:rPr>
          <w:rFonts w:cs="Times New Roman"/>
          <w:b/>
          <w:bCs/>
          <w:color w:val="0D0D0D"/>
          <w:lang w:val="en-IE"/>
        </w:rPr>
      </w:pPr>
      <w:r>
        <w:rPr>
          <w:b/>
          <w:bCs/>
          <w:lang w:val="en-IE"/>
        </w:rPr>
        <w:t xml:space="preserve">Output 3.1  </w:t>
      </w:r>
      <w:r>
        <w:rPr>
          <w:rFonts w:cs="Times New Roman"/>
          <w:b/>
          <w:bCs/>
          <w:color w:val="0D0D0D"/>
          <w:lang w:val="en-IE"/>
        </w:rPr>
        <w:t xml:space="preserve">Detailed urban planning for Roma settlements </w:t>
      </w:r>
      <w:r w:rsidR="006328B3">
        <w:rPr>
          <w:rFonts w:cs="Times New Roman"/>
          <w:b/>
          <w:bCs/>
          <w:color w:val="0D0D0D"/>
          <w:lang w:val="en-IE"/>
        </w:rPr>
        <w:t>established</w:t>
      </w:r>
      <w:r>
        <w:rPr>
          <w:rFonts w:cs="Times New Roman"/>
          <w:b/>
          <w:bCs/>
          <w:color w:val="0D0D0D"/>
          <w:lang w:val="en-IE"/>
        </w:rPr>
        <w:t>.</w:t>
      </w:r>
    </w:p>
    <w:p w14:paraId="564F5F99" w14:textId="77777777" w:rsidR="001D7D4C" w:rsidRDefault="001D7D4C" w:rsidP="00970283">
      <w:pPr>
        <w:spacing w:before="120"/>
        <w:ind w:left="1134"/>
        <w:rPr>
          <w:rFonts w:cs="Times New Roman"/>
          <w:color w:val="0D0D0D"/>
          <w:lang w:val="en-IE"/>
        </w:rPr>
      </w:pPr>
      <w:r>
        <w:rPr>
          <w:rFonts w:cs="Times New Roman"/>
          <w:color w:val="0D0D0D"/>
          <w:lang w:val="en-IE"/>
        </w:rPr>
        <w:t xml:space="preserve">This output involves </w:t>
      </w:r>
    </w:p>
    <w:p w14:paraId="00E15066" w14:textId="2AF5DAAE" w:rsidR="001D7D4C" w:rsidRPr="00970283" w:rsidRDefault="001D7D4C" w:rsidP="00970283">
      <w:pPr>
        <w:pStyle w:val="Prrafodelista"/>
        <w:numPr>
          <w:ilvl w:val="0"/>
          <w:numId w:val="45"/>
        </w:numPr>
        <w:spacing w:before="120"/>
        <w:ind w:left="1434" w:hanging="357"/>
        <w:contextualSpacing w:val="0"/>
        <w:rPr>
          <w:color w:val="000000" w:themeColor="text1"/>
        </w:rPr>
      </w:pPr>
      <w:r w:rsidRPr="0093032A">
        <w:rPr>
          <w:rFonts w:cs="Times New Roman"/>
          <w:color w:val="0D0D0D"/>
          <w:lang w:val="en-IE"/>
        </w:rPr>
        <w:t xml:space="preserve">preparation </w:t>
      </w:r>
      <w:r>
        <w:rPr>
          <w:rFonts w:cs="Times New Roman"/>
          <w:color w:val="0D0D0D"/>
          <w:lang w:val="en-IE"/>
        </w:rPr>
        <w:t xml:space="preserve">and adoption </w:t>
      </w:r>
      <w:r w:rsidRPr="0093032A">
        <w:rPr>
          <w:rFonts w:cs="Times New Roman"/>
          <w:color w:val="0D0D0D"/>
          <w:lang w:val="en-IE"/>
        </w:rPr>
        <w:t xml:space="preserve">of </w:t>
      </w:r>
      <w:r w:rsidR="00730341" w:rsidRPr="00B27AE1">
        <w:rPr>
          <w:rFonts w:cs="Times New Roman"/>
          <w:color w:val="0D0D0D"/>
          <w:lang w:val="en-IE"/>
        </w:rPr>
        <w:t xml:space="preserve">detailed urban plans for Roma settlements </w:t>
      </w:r>
      <w:r w:rsidR="00730341" w:rsidRPr="00970283">
        <w:rPr>
          <w:rFonts w:cs="Times New Roman"/>
          <w:color w:val="000000" w:themeColor="text1"/>
          <w:lang w:val="en-IE"/>
        </w:rPr>
        <w:t xml:space="preserve">in </w:t>
      </w:r>
      <w:r>
        <w:rPr>
          <w:rFonts w:cs="Times New Roman"/>
          <w:color w:val="000000" w:themeColor="text1"/>
          <w:lang w:val="en-IE"/>
        </w:rPr>
        <w:t>six</w:t>
      </w:r>
      <w:r w:rsidRPr="00970283">
        <w:rPr>
          <w:rFonts w:cs="Times New Roman"/>
          <w:color w:val="000000" w:themeColor="text1"/>
          <w:lang w:val="en-IE"/>
        </w:rPr>
        <w:t xml:space="preserve"> </w:t>
      </w:r>
      <w:r w:rsidR="00730341" w:rsidRPr="00970283">
        <w:rPr>
          <w:rFonts w:cs="Times New Roman"/>
          <w:color w:val="000000" w:themeColor="text1"/>
          <w:lang w:val="en-IE"/>
        </w:rPr>
        <w:t>municipalities with a high concentration of Roma people.</w:t>
      </w:r>
      <w:r w:rsidRPr="00970283">
        <w:rPr>
          <w:rFonts w:cs="Times New Roman"/>
          <w:color w:val="000000" w:themeColor="text1"/>
          <w:lang w:val="en-IE"/>
        </w:rPr>
        <w:t xml:space="preserve"> </w:t>
      </w:r>
    </w:p>
    <w:p w14:paraId="17CC9231" w14:textId="7FB4329D" w:rsidR="001D7D4C" w:rsidRPr="00734002" w:rsidRDefault="001D7D4C" w:rsidP="00970283">
      <w:pPr>
        <w:pStyle w:val="Prrafodelista"/>
        <w:numPr>
          <w:ilvl w:val="0"/>
          <w:numId w:val="45"/>
        </w:numPr>
        <w:spacing w:before="120"/>
        <w:ind w:left="1434" w:hanging="357"/>
        <w:contextualSpacing w:val="0"/>
      </w:pPr>
      <w:r w:rsidRPr="00D2091B">
        <w:rPr>
          <w:lang w:val="en-IE"/>
        </w:rPr>
        <w:t>p</w:t>
      </w:r>
      <w:r w:rsidR="00730341" w:rsidRPr="00D2091B">
        <w:rPr>
          <w:lang w:val="en-IE"/>
        </w:rPr>
        <w:t>repar</w:t>
      </w:r>
      <w:r w:rsidRPr="00D2091B">
        <w:rPr>
          <w:lang w:val="en-IE"/>
        </w:rPr>
        <w:t xml:space="preserve">ation of </w:t>
      </w:r>
      <w:r w:rsidR="00730341" w:rsidRPr="00D2091B">
        <w:rPr>
          <w:lang w:val="en-IE"/>
        </w:rPr>
        <w:t xml:space="preserve">the full technical documentation </w:t>
      </w:r>
      <w:r w:rsidRPr="00D2091B">
        <w:rPr>
          <w:lang w:val="en-IE"/>
        </w:rPr>
        <w:t xml:space="preserve">for urbanisation of </w:t>
      </w:r>
      <w:r w:rsidR="00730341" w:rsidRPr="00D2091B">
        <w:rPr>
          <w:lang w:val="en-IE"/>
        </w:rPr>
        <w:t xml:space="preserve"> </w:t>
      </w:r>
      <w:r w:rsidRPr="00D2091B">
        <w:rPr>
          <w:lang w:val="en-IE"/>
        </w:rPr>
        <w:t xml:space="preserve">the selected Roma settlements in line with the </w:t>
      </w:r>
      <w:r w:rsidR="00730341" w:rsidRPr="00D2091B">
        <w:rPr>
          <w:lang w:val="en-IE"/>
        </w:rPr>
        <w:t>adopted urban-spatial plans</w:t>
      </w:r>
      <w:r>
        <w:rPr>
          <w:lang w:val="en-IE"/>
        </w:rPr>
        <w:t>.</w:t>
      </w:r>
    </w:p>
    <w:p w14:paraId="3CE3B55B" w14:textId="0EAB1C46" w:rsidR="00730341" w:rsidRPr="00970283" w:rsidRDefault="006A15E5" w:rsidP="00970283">
      <w:pPr>
        <w:pStyle w:val="Prrafodelista"/>
        <w:numPr>
          <w:ilvl w:val="0"/>
          <w:numId w:val="45"/>
        </w:numPr>
        <w:spacing w:before="120"/>
        <w:ind w:left="1434" w:hanging="357"/>
        <w:contextualSpacing w:val="0"/>
        <w:rPr>
          <w:color w:val="000000" w:themeColor="text1"/>
        </w:rPr>
      </w:pPr>
      <w:r w:rsidRPr="00D2091B">
        <w:rPr>
          <w:rFonts w:cs="Times New Roman"/>
          <w:color w:val="000000" w:themeColor="text1"/>
          <w:lang w:val="en-IE"/>
        </w:rPr>
        <w:t xml:space="preserve">support </w:t>
      </w:r>
      <w:r>
        <w:rPr>
          <w:rFonts w:cs="Times New Roman"/>
          <w:color w:val="000000" w:themeColor="text1"/>
          <w:lang w:val="en-IE"/>
        </w:rPr>
        <w:t xml:space="preserve">for the </w:t>
      </w:r>
      <w:r w:rsidR="0053180D" w:rsidRPr="00970283">
        <w:rPr>
          <w:rFonts w:cs="Times New Roman"/>
          <w:color w:val="000000" w:themeColor="text1"/>
          <w:lang w:val="en-IE"/>
        </w:rPr>
        <w:t>legalisation</w:t>
      </w:r>
      <w:r w:rsidR="00730341" w:rsidRPr="00970283">
        <w:rPr>
          <w:rFonts w:cs="Times New Roman"/>
          <w:color w:val="000000" w:themeColor="text1"/>
          <w:lang w:val="en-IE"/>
        </w:rPr>
        <w:t xml:space="preserve"> of individual </w:t>
      </w:r>
      <w:r w:rsidR="0019737F" w:rsidRPr="00970283">
        <w:rPr>
          <w:rFonts w:cs="Times New Roman"/>
          <w:color w:val="000000" w:themeColor="text1"/>
          <w:lang w:val="en-IE"/>
        </w:rPr>
        <w:t xml:space="preserve">homes </w:t>
      </w:r>
      <w:r w:rsidR="00730341" w:rsidRPr="00970283">
        <w:rPr>
          <w:rFonts w:cs="Times New Roman"/>
          <w:color w:val="000000" w:themeColor="text1"/>
          <w:lang w:val="en-IE"/>
        </w:rPr>
        <w:t xml:space="preserve">Roma </w:t>
      </w:r>
      <w:r w:rsidR="0019737F" w:rsidRPr="00970283">
        <w:rPr>
          <w:rFonts w:cs="Times New Roman"/>
          <w:color w:val="000000" w:themeColor="text1"/>
          <w:lang w:val="en-IE"/>
        </w:rPr>
        <w:t>families</w:t>
      </w:r>
      <w:r w:rsidR="00730341" w:rsidRPr="00970283">
        <w:rPr>
          <w:rFonts w:cs="Times New Roman"/>
          <w:color w:val="000000" w:themeColor="text1"/>
          <w:lang w:val="en-IE"/>
        </w:rPr>
        <w:t>.</w:t>
      </w:r>
    </w:p>
    <w:p w14:paraId="5D97AE98" w14:textId="78B725A1" w:rsidR="006A15E5" w:rsidRPr="00970283" w:rsidRDefault="006A15E5" w:rsidP="00970283">
      <w:pPr>
        <w:spacing w:before="120"/>
        <w:ind w:left="1077"/>
        <w:rPr>
          <w:color w:val="000000" w:themeColor="text1"/>
        </w:rPr>
      </w:pPr>
      <w:r>
        <w:rPr>
          <w:color w:val="000000" w:themeColor="text1"/>
        </w:rPr>
        <w:t xml:space="preserve">The action will prepare the future EU investments in the urbanisation of Roma settlements. </w:t>
      </w:r>
    </w:p>
    <w:p w14:paraId="0853AD0C" w14:textId="74545B5B" w:rsidR="00C60BF9" w:rsidRDefault="00C60BF9" w:rsidP="00C60BF9"/>
    <w:p w14:paraId="5A247448" w14:textId="51C7A34A" w:rsidR="00C60BF9" w:rsidRDefault="00C60BF9" w:rsidP="00C60BF9">
      <w:pPr>
        <w:pStyle w:val="Ttulo1"/>
        <w:numPr>
          <w:ilvl w:val="1"/>
          <w:numId w:val="1"/>
        </w:numPr>
        <w:rPr>
          <w:lang w:val="en-IE"/>
        </w:rPr>
      </w:pPr>
      <w:bookmarkStart w:id="192" w:name="_Toc47101961"/>
      <w:bookmarkStart w:id="193" w:name="_Toc51270456"/>
      <w:bookmarkStart w:id="194" w:name="_Ref58597072"/>
      <w:bookmarkStart w:id="195" w:name="_Toc73090754"/>
      <w:bookmarkStart w:id="196" w:name="_Toc47101960"/>
      <w:bookmarkStart w:id="197" w:name="_Toc51270455"/>
      <w:bookmarkStart w:id="198" w:name="_Ref58425507"/>
      <w:r w:rsidRPr="003C0CD7">
        <w:rPr>
          <w:lang w:val="en-IE"/>
        </w:rPr>
        <w:t>Mainstreaming</w:t>
      </w:r>
      <w:bookmarkEnd w:id="192"/>
      <w:bookmarkEnd w:id="193"/>
      <w:bookmarkEnd w:id="194"/>
      <w:bookmarkEnd w:id="195"/>
      <w:r w:rsidRPr="003C0CD7">
        <w:rPr>
          <w:lang w:val="en-IE"/>
        </w:rPr>
        <w:t xml:space="preserve"> </w:t>
      </w:r>
    </w:p>
    <w:p w14:paraId="55E75344" w14:textId="77777777" w:rsidR="00C60BF9" w:rsidRDefault="00C60BF9" w:rsidP="00C60BF9">
      <w:pPr>
        <w:ind w:firstLine="720"/>
        <w:rPr>
          <w:rFonts w:cs="Times New Roman"/>
          <w:b/>
          <w:color w:val="0D0D0D" w:themeColor="text1" w:themeTint="F2"/>
          <w:szCs w:val="24"/>
          <w:lang w:val="en-IE"/>
        </w:rPr>
      </w:pPr>
      <w:r w:rsidRPr="003C0CD7">
        <w:rPr>
          <w:rFonts w:cs="Times New Roman"/>
          <w:b/>
          <w:color w:val="0D0D0D" w:themeColor="text1" w:themeTint="F2"/>
          <w:szCs w:val="24"/>
          <w:lang w:val="en-IE"/>
        </w:rPr>
        <w:t>Environmental Protection, Climate Change and Biodiversity</w:t>
      </w:r>
    </w:p>
    <w:p w14:paraId="0FA09BBB" w14:textId="6AB1A58F" w:rsidR="00C75BFF" w:rsidRDefault="00C75BFF" w:rsidP="00970283">
      <w:pPr>
        <w:ind w:left="720"/>
      </w:pPr>
      <w:r>
        <w:t xml:space="preserve">The Action does not directly address environmental and climate change challenges but will support the achievement of the country’s environmental agenda. The activities </w:t>
      </w:r>
      <w:r w:rsidR="00AC58F3">
        <w:t xml:space="preserve">addressing the illegal Roma housing, once completed, will contribute to decreasing the pollution in </w:t>
      </w:r>
      <w:r w:rsidR="00AC58F3">
        <w:lastRenderedPageBreak/>
        <w:t xml:space="preserve">the Roma settlements. The envisaged urbanisation and adaptation </w:t>
      </w:r>
      <w:r>
        <w:t xml:space="preserve">activities </w:t>
      </w:r>
      <w:r w:rsidR="00AC58F3">
        <w:t xml:space="preserve">related to school accessibility </w:t>
      </w:r>
      <w:r>
        <w:t xml:space="preserve">will promote sustainable building practices.  </w:t>
      </w:r>
    </w:p>
    <w:p w14:paraId="57381000" w14:textId="77777777" w:rsidR="00AC58F3" w:rsidRPr="00970283" w:rsidRDefault="00AC58F3" w:rsidP="00C60BF9">
      <w:pPr>
        <w:rPr>
          <w:rFonts w:cs="Times New Roman"/>
          <w:color w:val="0D0D0D" w:themeColor="text1" w:themeTint="F2"/>
          <w:szCs w:val="24"/>
        </w:rPr>
      </w:pPr>
    </w:p>
    <w:p w14:paraId="4D706774" w14:textId="59D724DF" w:rsidR="00C60BF9" w:rsidRDefault="00C60BF9" w:rsidP="00C60BF9">
      <w:pPr>
        <w:ind w:firstLine="720"/>
        <w:rPr>
          <w:rFonts w:cs="Times New Roman"/>
          <w:b/>
          <w:color w:val="0D0D0D" w:themeColor="text1" w:themeTint="F2"/>
          <w:szCs w:val="24"/>
          <w:lang w:val="en-IE"/>
        </w:rPr>
      </w:pPr>
      <w:r w:rsidRPr="003C0CD7">
        <w:rPr>
          <w:rFonts w:cs="Times New Roman"/>
          <w:b/>
          <w:color w:val="0D0D0D" w:themeColor="text1" w:themeTint="F2"/>
          <w:szCs w:val="24"/>
          <w:lang w:val="en-IE"/>
        </w:rPr>
        <w:t>Gender equality and empowerment of women and girls</w:t>
      </w:r>
    </w:p>
    <w:p w14:paraId="2491B5DE" w14:textId="7DA4F0FA" w:rsidR="006F0577" w:rsidRDefault="00C75BFF" w:rsidP="00970283">
      <w:pPr>
        <w:ind w:left="720"/>
        <w:rPr>
          <w:rFonts w:cs="Times New Roman"/>
          <w:color w:val="0D0D0D"/>
        </w:rPr>
      </w:pPr>
      <w:r>
        <w:rPr>
          <w:szCs w:val="24"/>
          <w:lang w:val="en-IE"/>
        </w:rPr>
        <w:t xml:space="preserve">As per OECD Gender DAC codes identified in section 1.1, this action is labelled as </w:t>
      </w:r>
      <w:r w:rsidR="006D25CE">
        <w:rPr>
          <w:szCs w:val="24"/>
          <w:highlight w:val="lightGray"/>
          <w:lang w:val="en-IE"/>
        </w:rPr>
        <w:t>G</w:t>
      </w:r>
      <w:r w:rsidR="00DE3C11">
        <w:rPr>
          <w:szCs w:val="24"/>
          <w:highlight w:val="lightGray"/>
          <w:lang w:val="en-IE"/>
        </w:rPr>
        <w:t>1</w:t>
      </w:r>
      <w:r>
        <w:rPr>
          <w:rStyle w:val="Refdenotaalpie"/>
          <w:rFonts w:cs="Arial"/>
          <w:szCs w:val="24"/>
          <w:highlight w:val="lightGray"/>
          <w:lang w:val="en-IE"/>
        </w:rPr>
        <w:footnoteReference w:id="26"/>
      </w:r>
      <w:r>
        <w:rPr>
          <w:szCs w:val="24"/>
          <w:lang w:val="en-IE"/>
        </w:rPr>
        <w:t xml:space="preserve">. This implies that </w:t>
      </w:r>
      <w:r>
        <w:rPr>
          <w:rFonts w:cs="Times New Roman"/>
          <w:color w:val="0D0D0D"/>
        </w:rPr>
        <w:t xml:space="preserve">the Action is gender </w:t>
      </w:r>
      <w:r w:rsidR="006F0577">
        <w:rPr>
          <w:rFonts w:cs="Times New Roman"/>
          <w:color w:val="0D0D0D"/>
        </w:rPr>
        <w:t xml:space="preserve">sensitive and in line with the governmental commitment to </w:t>
      </w:r>
      <w:r>
        <w:rPr>
          <w:rFonts w:cs="Times New Roman"/>
          <w:color w:val="0D0D0D"/>
        </w:rPr>
        <w:t>adopt the principles and approach stipulated in the Gender Strategy of the European Union 2020-2025 and apply them in all sectoral reforms and support measures.</w:t>
      </w:r>
    </w:p>
    <w:p w14:paraId="7B0F4C5F" w14:textId="69AD29F0" w:rsidR="00717406" w:rsidRDefault="00C75BFF" w:rsidP="00970283">
      <w:pPr>
        <w:ind w:left="720"/>
        <w:rPr>
          <w:rFonts w:cs="Times New Roman"/>
          <w:color w:val="0D0D0D"/>
        </w:rPr>
      </w:pPr>
      <w:r>
        <w:rPr>
          <w:rFonts w:cs="Times New Roman"/>
          <w:color w:val="0D0D0D"/>
        </w:rPr>
        <w:t xml:space="preserve">The Action will directly support the gender equality agenda by improving the system to </w:t>
      </w:r>
      <w:r w:rsidR="006F0577">
        <w:rPr>
          <w:rFonts w:cs="Times New Roman"/>
          <w:color w:val="0D0D0D"/>
        </w:rPr>
        <w:t xml:space="preserve">address </w:t>
      </w:r>
      <w:r>
        <w:rPr>
          <w:rFonts w:cs="Times New Roman"/>
          <w:color w:val="0D0D0D"/>
        </w:rPr>
        <w:t>gender-based and domestic violence, focusing on women and girls from vulnerable groups living in rural areas, Roma or LGBTI.</w:t>
      </w:r>
      <w:r w:rsidR="006F0577">
        <w:rPr>
          <w:rFonts w:cs="Times New Roman"/>
          <w:color w:val="0D0D0D"/>
        </w:rPr>
        <w:t xml:space="preserve"> </w:t>
      </w:r>
    </w:p>
    <w:p w14:paraId="1A52F6B1" w14:textId="6B43ACB9" w:rsidR="006F0577" w:rsidRDefault="006F0577" w:rsidP="00970283">
      <w:pPr>
        <w:spacing w:before="120"/>
        <w:ind w:left="720"/>
        <w:rPr>
          <w:rFonts w:cs="Times New Roman"/>
          <w:lang w:val="en-IE"/>
        </w:rPr>
      </w:pPr>
      <w:r>
        <w:rPr>
          <w:rFonts w:cs="Times New Roman"/>
          <w:color w:val="0D0D0D"/>
        </w:rPr>
        <w:t xml:space="preserve">In addition, the Action aims at stepping up the inclusive and safe education, increasing the chances of </w:t>
      </w:r>
      <w:r w:rsidR="008403E3">
        <w:rPr>
          <w:rFonts w:cs="Times New Roman"/>
          <w:color w:val="0D0D0D"/>
        </w:rPr>
        <w:t xml:space="preserve">vulnerable </w:t>
      </w:r>
      <w:r>
        <w:rPr>
          <w:rFonts w:cs="Times New Roman"/>
          <w:color w:val="0D0D0D"/>
        </w:rPr>
        <w:t xml:space="preserve">children </w:t>
      </w:r>
      <w:r w:rsidR="008403E3">
        <w:rPr>
          <w:rFonts w:cs="Times New Roman"/>
          <w:color w:val="0D0D0D"/>
        </w:rPr>
        <w:t xml:space="preserve">at high risk of dropping out </w:t>
      </w:r>
      <w:r>
        <w:rPr>
          <w:rFonts w:cs="Times New Roman"/>
          <w:color w:val="0D0D0D"/>
        </w:rPr>
        <w:t xml:space="preserve">to go to school and </w:t>
      </w:r>
      <w:r w:rsidR="00717406">
        <w:rPr>
          <w:rFonts w:cs="Times New Roman"/>
          <w:color w:val="0D0D0D"/>
        </w:rPr>
        <w:t xml:space="preserve">seek </w:t>
      </w:r>
      <w:r w:rsidR="00B25874">
        <w:rPr>
          <w:rFonts w:cs="Times New Roman"/>
          <w:color w:val="0D0D0D"/>
        </w:rPr>
        <w:t xml:space="preserve">to support their </w:t>
      </w:r>
      <w:r w:rsidR="00717406">
        <w:rPr>
          <w:rFonts w:cs="Times New Roman"/>
          <w:color w:val="0D0D0D"/>
        </w:rPr>
        <w:t xml:space="preserve">professional realisation in long-term perspective. </w:t>
      </w:r>
      <w:r>
        <w:rPr>
          <w:rFonts w:cs="Times New Roman"/>
          <w:color w:val="0D0D0D"/>
          <w:lang w:val="en-IE"/>
        </w:rPr>
        <w:t xml:space="preserve">This will have a double effect. First, </w:t>
      </w:r>
      <w:r w:rsidR="00B25874">
        <w:rPr>
          <w:rFonts w:cs="Times New Roman"/>
          <w:color w:val="0D0D0D"/>
          <w:lang w:val="en-IE"/>
        </w:rPr>
        <w:t>on activating women. D</w:t>
      </w:r>
      <w:r>
        <w:rPr>
          <w:rFonts w:cs="Times New Roman"/>
          <w:color w:val="0D0D0D"/>
          <w:lang w:val="en-IE"/>
        </w:rPr>
        <w:t xml:space="preserve">ue to the traditional nature of the Macedonian society, women are having key role in caring for children </w:t>
      </w:r>
      <w:r w:rsidR="008403E3">
        <w:rPr>
          <w:rFonts w:cs="Times New Roman"/>
          <w:color w:val="0D0D0D"/>
          <w:lang w:val="en-IE"/>
        </w:rPr>
        <w:t>with special needs</w:t>
      </w:r>
      <w:r>
        <w:rPr>
          <w:rFonts w:cs="Times New Roman"/>
          <w:color w:val="0D0D0D"/>
          <w:lang w:val="en-IE"/>
        </w:rPr>
        <w:t xml:space="preserve">. </w:t>
      </w:r>
      <w:r w:rsidR="008403E3">
        <w:rPr>
          <w:rFonts w:cs="Times New Roman"/>
          <w:color w:val="0D0D0D"/>
          <w:lang w:val="en-IE"/>
        </w:rPr>
        <w:t xml:space="preserve">The promotion of inclusive education </w:t>
      </w:r>
      <w:r>
        <w:rPr>
          <w:rFonts w:cs="Times New Roman"/>
          <w:color w:val="0D0D0D"/>
          <w:lang w:val="en-IE"/>
        </w:rPr>
        <w:t xml:space="preserve">will decrease </w:t>
      </w:r>
      <w:r w:rsidR="008403E3">
        <w:rPr>
          <w:rFonts w:cs="Times New Roman"/>
          <w:color w:val="0D0D0D"/>
          <w:lang w:val="en-IE"/>
        </w:rPr>
        <w:t>women</w:t>
      </w:r>
      <w:r>
        <w:rPr>
          <w:rFonts w:cs="Times New Roman"/>
          <w:color w:val="0D0D0D"/>
          <w:lang w:val="en-IE"/>
        </w:rPr>
        <w:t xml:space="preserve"> involvement in care activities and </w:t>
      </w:r>
      <w:r w:rsidR="008403E3">
        <w:rPr>
          <w:rFonts w:cs="Times New Roman"/>
          <w:color w:val="0D0D0D"/>
          <w:lang w:val="en-IE"/>
        </w:rPr>
        <w:t xml:space="preserve">allow mothers </w:t>
      </w:r>
      <w:r>
        <w:rPr>
          <w:rFonts w:cs="Times New Roman"/>
          <w:color w:val="0D0D0D"/>
          <w:lang w:val="en-IE"/>
        </w:rPr>
        <w:t xml:space="preserve">assume more active role in economic, social, political life. </w:t>
      </w:r>
      <w:r>
        <w:rPr>
          <w:rFonts w:cs="Times New Roman"/>
          <w:lang w:val="en-IE"/>
        </w:rPr>
        <w:t xml:space="preserve">Second, improving the </w:t>
      </w:r>
      <w:r w:rsidR="008403E3">
        <w:rPr>
          <w:rFonts w:cs="Times New Roman"/>
          <w:lang w:val="en-IE"/>
        </w:rPr>
        <w:t xml:space="preserve">school </w:t>
      </w:r>
      <w:r w:rsidR="008560BD">
        <w:rPr>
          <w:rFonts w:cs="Times New Roman"/>
          <w:lang w:val="en-IE"/>
        </w:rPr>
        <w:t>environment</w:t>
      </w:r>
      <w:r>
        <w:rPr>
          <w:rFonts w:cs="Times New Roman"/>
          <w:lang w:val="en-IE"/>
        </w:rPr>
        <w:t xml:space="preserve"> will also improve the working conditions for the workforce in the </w:t>
      </w:r>
      <w:r w:rsidR="0057267B">
        <w:rPr>
          <w:rFonts w:cs="Times New Roman"/>
          <w:lang w:val="en-IE"/>
        </w:rPr>
        <w:t xml:space="preserve">education </w:t>
      </w:r>
      <w:r>
        <w:rPr>
          <w:rFonts w:cs="Times New Roman"/>
          <w:lang w:val="en-IE"/>
        </w:rPr>
        <w:t>sector, which is women dominated.</w:t>
      </w:r>
    </w:p>
    <w:p w14:paraId="071637DD" w14:textId="58D3EF52" w:rsidR="00B335FE" w:rsidRPr="00EC4FC6" w:rsidRDefault="00742CE7" w:rsidP="00970283">
      <w:pPr>
        <w:spacing w:before="120"/>
        <w:ind w:left="720"/>
        <w:rPr>
          <w:rFonts w:cs="Times New Roman"/>
          <w:szCs w:val="24"/>
        </w:rPr>
      </w:pPr>
      <w:r w:rsidRPr="00EC4FC6">
        <w:rPr>
          <w:rFonts w:cs="Times New Roman"/>
          <w:szCs w:val="24"/>
          <w:lang w:val="en-IE"/>
        </w:rPr>
        <w:t xml:space="preserve">Finally, the right of decent living </w:t>
      </w:r>
      <w:r w:rsidR="00C1157E" w:rsidRPr="00EC4FC6">
        <w:rPr>
          <w:rFonts w:cs="Times New Roman"/>
          <w:szCs w:val="24"/>
          <w:lang w:val="en-IE"/>
        </w:rPr>
        <w:t xml:space="preserve">conditions respond to the needs of </w:t>
      </w:r>
      <w:r w:rsidR="00C1157E" w:rsidRPr="003D45B4">
        <w:rPr>
          <w:rFonts w:cs="Times New Roman"/>
          <w:szCs w:val="24"/>
          <w:lang w:val="en-IE"/>
        </w:rPr>
        <w:t>Rom</w:t>
      </w:r>
      <w:r w:rsidR="00C1157E" w:rsidRPr="0071346C">
        <w:rPr>
          <w:rFonts w:cs="Times New Roman"/>
          <w:szCs w:val="24"/>
          <w:lang w:val="en-IE"/>
        </w:rPr>
        <w:t xml:space="preserve">a </w:t>
      </w:r>
      <w:r w:rsidR="00C1157E" w:rsidRPr="006F1C97">
        <w:rPr>
          <w:rFonts w:cs="Times New Roman"/>
          <w:szCs w:val="24"/>
          <w:lang w:val="en-IE"/>
        </w:rPr>
        <w:t xml:space="preserve">women </w:t>
      </w:r>
      <w:r w:rsidR="0050636A" w:rsidRPr="006F1C97">
        <w:rPr>
          <w:rFonts w:cs="Times New Roman"/>
          <w:szCs w:val="24"/>
          <w:lang w:val="en-IE"/>
        </w:rPr>
        <w:t xml:space="preserve">and children who, living in squat and slums, experience increased </w:t>
      </w:r>
      <w:r w:rsidR="0050636A" w:rsidRPr="001A3841">
        <w:rPr>
          <w:rStyle w:val="markedcontent"/>
          <w:rFonts w:cs="Times New Roman"/>
          <w:szCs w:val="24"/>
        </w:rPr>
        <w:t>security</w:t>
      </w:r>
      <w:r w:rsidR="0050636A" w:rsidRPr="006F1C97">
        <w:rPr>
          <w:rFonts w:cs="Times New Roman"/>
          <w:szCs w:val="24"/>
          <w:lang w:val="en-IE"/>
        </w:rPr>
        <w:t xml:space="preserve"> risks</w:t>
      </w:r>
      <w:r w:rsidR="0050636A" w:rsidRPr="006F1C97">
        <w:rPr>
          <w:rFonts w:cs="Times New Roman"/>
          <w:szCs w:val="24"/>
        </w:rPr>
        <w:t xml:space="preserve">, </w:t>
      </w:r>
      <w:r w:rsidR="00B25874" w:rsidRPr="006F1C97">
        <w:rPr>
          <w:rFonts w:cs="Times New Roman"/>
          <w:szCs w:val="24"/>
        </w:rPr>
        <w:t xml:space="preserve">and more acute </w:t>
      </w:r>
      <w:r w:rsidR="0050636A" w:rsidRPr="001A3841">
        <w:rPr>
          <w:rStyle w:val="markedcontent"/>
          <w:rFonts w:cs="Times New Roman"/>
          <w:szCs w:val="24"/>
        </w:rPr>
        <w:t>physical and mental health</w:t>
      </w:r>
      <w:r w:rsidR="0050636A" w:rsidRPr="006F1C97">
        <w:rPr>
          <w:rFonts w:cs="Times New Roman"/>
          <w:szCs w:val="24"/>
        </w:rPr>
        <w:t xml:space="preserve"> challenges</w:t>
      </w:r>
      <w:r w:rsidR="00B25874" w:rsidRPr="006F1C97">
        <w:rPr>
          <w:rFonts w:cs="Times New Roman"/>
          <w:szCs w:val="24"/>
        </w:rPr>
        <w:t xml:space="preserve"> due to lack of </w:t>
      </w:r>
      <w:r w:rsidR="00B25874" w:rsidRPr="001A3841">
        <w:rPr>
          <w:rStyle w:val="markedcontent"/>
          <w:rFonts w:cs="Times New Roman"/>
          <w:szCs w:val="24"/>
        </w:rPr>
        <w:t>services including water, sanitation, electricity, solid waste removal</w:t>
      </w:r>
      <w:r w:rsidR="00B335FE" w:rsidRPr="001A3841">
        <w:rPr>
          <w:rStyle w:val="markedcontent"/>
          <w:rFonts w:cs="Times New Roman"/>
          <w:szCs w:val="24"/>
        </w:rPr>
        <w:t>, health and social care support, police protection and legal aid</w:t>
      </w:r>
      <w:r w:rsidR="00B25874" w:rsidRPr="001A3841">
        <w:rPr>
          <w:rStyle w:val="markedcontent"/>
          <w:rFonts w:cs="Times New Roman"/>
          <w:szCs w:val="24"/>
        </w:rPr>
        <w:t>.</w:t>
      </w:r>
      <w:r w:rsidR="00B335FE" w:rsidRPr="001A3841">
        <w:rPr>
          <w:rStyle w:val="markedcontent"/>
          <w:rFonts w:cs="Times New Roman"/>
          <w:szCs w:val="24"/>
        </w:rPr>
        <w:t xml:space="preserve"> The shift to regular housing for Roma will allow the realisation of a </w:t>
      </w:r>
      <w:r w:rsidR="00B335FE" w:rsidRPr="006F1C97">
        <w:rPr>
          <w:rFonts w:cs="Times New Roman"/>
          <w:szCs w:val="24"/>
        </w:rPr>
        <w:br/>
      </w:r>
      <w:r w:rsidR="00B335FE" w:rsidRPr="00970283">
        <w:rPr>
          <w:rStyle w:val="markedcontent"/>
          <w:rFonts w:cs="Times New Roman"/>
          <w:szCs w:val="24"/>
        </w:rPr>
        <w:t>broad range of human rights</w:t>
      </w:r>
      <w:r w:rsidR="00B335FE">
        <w:rPr>
          <w:rStyle w:val="markedcontent"/>
          <w:rFonts w:cs="Times New Roman"/>
          <w:szCs w:val="24"/>
        </w:rPr>
        <w:t xml:space="preserve"> for the Roma women</w:t>
      </w:r>
      <w:r w:rsidR="00B335FE" w:rsidRPr="00970283">
        <w:rPr>
          <w:rStyle w:val="markedcontent"/>
          <w:rFonts w:cs="Times New Roman"/>
          <w:szCs w:val="24"/>
        </w:rPr>
        <w:t xml:space="preserve">, such as education, employment and health care, </w:t>
      </w:r>
      <w:r w:rsidR="00C55E4E">
        <w:rPr>
          <w:rStyle w:val="markedcontent"/>
          <w:rFonts w:cs="Times New Roman"/>
          <w:szCs w:val="24"/>
        </w:rPr>
        <w:t xml:space="preserve">opportunity for </w:t>
      </w:r>
      <w:r w:rsidR="00B335FE">
        <w:rPr>
          <w:rStyle w:val="markedcontent"/>
          <w:rFonts w:cs="Times New Roman"/>
          <w:szCs w:val="24"/>
        </w:rPr>
        <w:t xml:space="preserve">community and </w:t>
      </w:r>
      <w:r w:rsidR="00B335FE" w:rsidRPr="00970283">
        <w:rPr>
          <w:rStyle w:val="markedcontent"/>
          <w:rFonts w:cs="Times New Roman"/>
          <w:szCs w:val="24"/>
        </w:rPr>
        <w:t>public participation</w:t>
      </w:r>
      <w:r w:rsidR="00C55E4E">
        <w:rPr>
          <w:rStyle w:val="markedcontent"/>
          <w:rFonts w:cs="Times New Roman"/>
          <w:szCs w:val="24"/>
        </w:rPr>
        <w:t>, protection against violence</w:t>
      </w:r>
      <w:r w:rsidR="00B335FE" w:rsidRPr="00970283">
        <w:rPr>
          <w:rStyle w:val="markedcontent"/>
          <w:rFonts w:cs="Times New Roman"/>
          <w:szCs w:val="24"/>
        </w:rPr>
        <w:t>.</w:t>
      </w:r>
    </w:p>
    <w:p w14:paraId="5CEDF405" w14:textId="77777777" w:rsidR="00C23A7C" w:rsidRPr="00C75BFF" w:rsidRDefault="00C23A7C" w:rsidP="00C60BF9">
      <w:pPr>
        <w:rPr>
          <w:szCs w:val="24"/>
        </w:rPr>
      </w:pPr>
    </w:p>
    <w:p w14:paraId="04749ACF" w14:textId="64FE6BD0" w:rsidR="00C60BF9" w:rsidRDefault="00C60BF9" w:rsidP="00C60BF9">
      <w:pPr>
        <w:ind w:firstLine="720"/>
        <w:rPr>
          <w:rFonts w:cs="Times New Roman"/>
          <w:color w:val="0D0D0D" w:themeColor="text1" w:themeTint="F2"/>
          <w:lang w:val="en-IE"/>
        </w:rPr>
      </w:pPr>
      <w:r w:rsidRPr="003C0CD7">
        <w:rPr>
          <w:rFonts w:cs="Times New Roman"/>
          <w:b/>
          <w:color w:val="0D0D0D" w:themeColor="text1" w:themeTint="F2"/>
          <w:lang w:val="en-IE"/>
        </w:rPr>
        <w:t xml:space="preserve">Human Rights </w:t>
      </w:r>
    </w:p>
    <w:p w14:paraId="2034C30B" w14:textId="3AB31C01" w:rsidR="0053180D" w:rsidRDefault="0053180D" w:rsidP="00970283">
      <w:pPr>
        <w:ind w:left="720"/>
        <w:rPr>
          <w:rFonts w:cs="Times New Roman"/>
          <w:color w:val="0D0D0D"/>
        </w:rPr>
      </w:pPr>
      <w:r>
        <w:rPr>
          <w:rFonts w:cs="Times New Roman"/>
          <w:color w:val="0D0D0D"/>
        </w:rPr>
        <w:t xml:space="preserve">The Action </w:t>
      </w:r>
      <w:r w:rsidR="008560BD">
        <w:rPr>
          <w:rFonts w:cs="Times New Roman"/>
          <w:color w:val="0D0D0D"/>
        </w:rPr>
        <w:t>will support the</w:t>
      </w:r>
      <w:r>
        <w:rPr>
          <w:rFonts w:cs="Times New Roman"/>
          <w:color w:val="0D0D0D"/>
        </w:rPr>
        <w:t xml:space="preserve"> human rights </w:t>
      </w:r>
      <w:r w:rsidR="008560BD">
        <w:rPr>
          <w:rFonts w:cs="Times New Roman"/>
          <w:color w:val="0D0D0D"/>
        </w:rPr>
        <w:t>agenda in the country</w:t>
      </w:r>
      <w:r w:rsidR="00472CB4">
        <w:rPr>
          <w:rFonts w:cs="Times New Roman"/>
          <w:color w:val="0D0D0D"/>
        </w:rPr>
        <w:t xml:space="preserve"> in practice</w:t>
      </w:r>
      <w:r w:rsidR="00557A0E">
        <w:rPr>
          <w:rFonts w:cs="Times New Roman"/>
          <w:color w:val="0D0D0D"/>
        </w:rPr>
        <w:t xml:space="preserve"> by addressing the needs of</w:t>
      </w:r>
      <w:r>
        <w:rPr>
          <w:rFonts w:cs="Times New Roman"/>
          <w:color w:val="0D0D0D"/>
        </w:rPr>
        <w:t xml:space="preserve"> people who suffer gender-based and domestic violence and consequently experience a violation of certain human rights</w:t>
      </w:r>
      <w:r w:rsidR="00557A0E">
        <w:rPr>
          <w:rFonts w:cs="Times New Roman"/>
          <w:color w:val="0D0D0D"/>
        </w:rPr>
        <w:t xml:space="preserve"> such as</w:t>
      </w:r>
      <w:r>
        <w:rPr>
          <w:rFonts w:cs="Times New Roman"/>
          <w:color w:val="0D0D0D"/>
        </w:rPr>
        <w:t xml:space="preserve"> the right to life, freedom from torture and degrading treatment, freedom from discrimination and the right to safety and security. The Action focuses </w:t>
      </w:r>
      <w:r w:rsidR="00C55E4E">
        <w:rPr>
          <w:rFonts w:cs="Times New Roman"/>
          <w:color w:val="0D0D0D"/>
        </w:rPr>
        <w:t>to</w:t>
      </w:r>
      <w:r>
        <w:rPr>
          <w:rFonts w:cs="Times New Roman"/>
          <w:color w:val="0D0D0D"/>
        </w:rPr>
        <w:t xml:space="preserve"> reinforc</w:t>
      </w:r>
      <w:r w:rsidR="00C55E4E">
        <w:rPr>
          <w:rFonts w:cs="Times New Roman"/>
          <w:color w:val="0D0D0D"/>
        </w:rPr>
        <w:t>e</w:t>
      </w:r>
      <w:r>
        <w:rPr>
          <w:rFonts w:cs="Times New Roman"/>
          <w:color w:val="0D0D0D"/>
        </w:rPr>
        <w:t xml:space="preserve"> the right to education for vulnerable people</w:t>
      </w:r>
      <w:r w:rsidR="00C55E4E">
        <w:rPr>
          <w:rFonts w:cs="Times New Roman"/>
          <w:color w:val="0D0D0D"/>
        </w:rPr>
        <w:t>, and will allow North Macedonia to apply in practice the</w:t>
      </w:r>
      <w:r>
        <w:rPr>
          <w:rFonts w:cs="Times New Roman"/>
          <w:color w:val="0D0D0D"/>
        </w:rPr>
        <w:t xml:space="preserve"> "leaving no one behind"</w:t>
      </w:r>
      <w:r w:rsidR="00C55E4E">
        <w:rPr>
          <w:rFonts w:cs="Times New Roman"/>
          <w:color w:val="0D0D0D"/>
        </w:rPr>
        <w:t xml:space="preserve"> principle</w:t>
      </w:r>
      <w:r>
        <w:rPr>
          <w:rFonts w:cs="Times New Roman"/>
          <w:color w:val="0D0D0D"/>
        </w:rPr>
        <w:t>. Finally, the Action addresses a critical aspect of fundamental rights such as the right to decent housing</w:t>
      </w:r>
      <w:r w:rsidR="00557A0E">
        <w:rPr>
          <w:rFonts w:cs="Times New Roman"/>
          <w:color w:val="0D0D0D"/>
        </w:rPr>
        <w:t xml:space="preserve"> for</w:t>
      </w:r>
      <w:r>
        <w:rPr>
          <w:rFonts w:cs="Times New Roman"/>
          <w:color w:val="0D0D0D"/>
        </w:rPr>
        <w:t xml:space="preserve"> Roma</w:t>
      </w:r>
      <w:r w:rsidR="00C55E4E">
        <w:rPr>
          <w:rFonts w:cs="Times New Roman"/>
          <w:color w:val="0D0D0D"/>
        </w:rPr>
        <w:t xml:space="preserve">, who leaving in squats and slams </w:t>
      </w:r>
      <w:r w:rsidR="00472CB4">
        <w:rPr>
          <w:rFonts w:cs="Times New Roman"/>
          <w:color w:val="0D0D0D"/>
        </w:rPr>
        <w:t>are deprived of many rights</w:t>
      </w:r>
      <w:r>
        <w:rPr>
          <w:rFonts w:cs="Times New Roman"/>
          <w:color w:val="0D0D0D"/>
        </w:rPr>
        <w:t>.</w:t>
      </w:r>
    </w:p>
    <w:p w14:paraId="1D52ABBF" w14:textId="77777777" w:rsidR="00C60BF9" w:rsidRPr="003C0CD7" w:rsidRDefault="00C60BF9" w:rsidP="00C60BF9">
      <w:pPr>
        <w:rPr>
          <w:rFonts w:cs="Times New Roman"/>
          <w:color w:val="0D0D0D" w:themeColor="text1" w:themeTint="F2"/>
          <w:lang w:val="en-IE"/>
        </w:rPr>
      </w:pPr>
    </w:p>
    <w:p w14:paraId="079376A9" w14:textId="1D70C594" w:rsidR="00C60BF9" w:rsidRDefault="00C60BF9" w:rsidP="00C60BF9">
      <w:pPr>
        <w:ind w:firstLine="720"/>
        <w:rPr>
          <w:rFonts w:cs="Times New Roman"/>
          <w:color w:val="0D0D0D" w:themeColor="text1" w:themeTint="F2"/>
          <w:lang w:val="en-IE"/>
        </w:rPr>
      </w:pPr>
      <w:r w:rsidRPr="003C0CD7">
        <w:rPr>
          <w:rFonts w:cs="Times New Roman"/>
          <w:b/>
          <w:color w:val="0D0D0D" w:themeColor="text1" w:themeTint="F2"/>
          <w:szCs w:val="24"/>
          <w:lang w:val="en-IE"/>
        </w:rPr>
        <w:t xml:space="preserve">Disability </w:t>
      </w:r>
    </w:p>
    <w:p w14:paraId="349C5CE3" w14:textId="273F439B" w:rsidR="0053180D" w:rsidRDefault="0053180D" w:rsidP="00970283">
      <w:pPr>
        <w:tabs>
          <w:tab w:val="left" w:pos="1418"/>
          <w:tab w:val="left" w:pos="8931"/>
        </w:tabs>
        <w:ind w:left="720"/>
      </w:pPr>
      <w:r>
        <w:rPr>
          <w:szCs w:val="24"/>
          <w:lang w:val="en-IE"/>
        </w:rPr>
        <w:t xml:space="preserve">As per OECD Disability DAC codes identified in section 1.1, this action is labelled </w:t>
      </w:r>
      <w:r w:rsidRPr="00557A0E">
        <w:rPr>
          <w:szCs w:val="24"/>
          <w:lang w:val="en-IE"/>
        </w:rPr>
        <w:t xml:space="preserve">as </w:t>
      </w:r>
      <w:r w:rsidR="00557A0E" w:rsidRPr="00970283">
        <w:rPr>
          <w:szCs w:val="24"/>
          <w:lang w:val="en-IE"/>
        </w:rPr>
        <w:t>D</w:t>
      </w:r>
      <w:r w:rsidR="00557A0E" w:rsidRPr="00557A0E">
        <w:rPr>
          <w:szCs w:val="24"/>
          <w:lang w:val="en-IE"/>
        </w:rPr>
        <w:t>1</w:t>
      </w:r>
      <w:r w:rsidRPr="00557A0E">
        <w:rPr>
          <w:szCs w:val="24"/>
          <w:lang w:val="en-IE"/>
        </w:rPr>
        <w:t>.</w:t>
      </w:r>
      <w:r>
        <w:rPr>
          <w:szCs w:val="24"/>
          <w:lang w:val="en-IE"/>
        </w:rPr>
        <w:t xml:space="preserve"> </w:t>
      </w:r>
      <w:r w:rsidR="00D01D16">
        <w:rPr>
          <w:rFonts w:cs="Times New Roman"/>
          <w:color w:val="0D0D0D"/>
          <w:szCs w:val="24"/>
          <w:lang w:val="en-IE"/>
        </w:rPr>
        <w:t>T</w:t>
      </w:r>
      <w:r w:rsidRPr="00557A0E">
        <w:rPr>
          <w:rFonts w:cs="Times New Roman"/>
          <w:color w:val="0D0D0D"/>
          <w:szCs w:val="24"/>
          <w:lang w:val="en-IE"/>
        </w:rPr>
        <w:t>he</w:t>
      </w:r>
      <w:r>
        <w:t xml:space="preserve"> Action will contribute </w:t>
      </w:r>
      <w:r w:rsidR="00472CB4">
        <w:t xml:space="preserve">to </w:t>
      </w:r>
      <w:r>
        <w:t xml:space="preserve">improving the </w:t>
      </w:r>
      <w:r w:rsidR="00472CB4">
        <w:t xml:space="preserve">chances of children with disabilities to quality and safe </w:t>
      </w:r>
      <w:r w:rsidR="00D01D16">
        <w:t xml:space="preserve">non-segregated </w:t>
      </w:r>
      <w:r w:rsidR="00472CB4">
        <w:t xml:space="preserve">education. EU funding will be invested in ensuring the </w:t>
      </w:r>
      <w:r>
        <w:t>accessibility</w:t>
      </w:r>
      <w:r w:rsidR="00D01D16">
        <w:t xml:space="preserve"> </w:t>
      </w:r>
      <w:r>
        <w:t xml:space="preserve">of </w:t>
      </w:r>
      <w:r w:rsidR="00472CB4">
        <w:t xml:space="preserve">20 educational establishments, thus allowing </w:t>
      </w:r>
      <w:r>
        <w:t>students with special education needs (SEN)</w:t>
      </w:r>
      <w:r w:rsidR="00D01D16">
        <w:t xml:space="preserve"> follow the mainstream education</w:t>
      </w:r>
      <w:r>
        <w:t xml:space="preserve">. </w:t>
      </w:r>
      <w:r w:rsidR="00D01D16">
        <w:t>In addition, the support for the urbanisation of the Roma settlements will comply with all accessibility norms and standards.</w:t>
      </w:r>
    </w:p>
    <w:p w14:paraId="3F3BF4AE" w14:textId="77777777" w:rsidR="0006347F" w:rsidRPr="0053180D" w:rsidRDefault="0006347F" w:rsidP="0053180D">
      <w:pPr>
        <w:rPr>
          <w:rFonts w:cs="Times New Roman"/>
          <w:color w:val="0D0D0D" w:themeColor="text1" w:themeTint="F2"/>
        </w:rPr>
      </w:pPr>
    </w:p>
    <w:p w14:paraId="09E64B7A" w14:textId="06A1CB3C" w:rsidR="00C60BF9" w:rsidRDefault="0053180D" w:rsidP="00C60BF9">
      <w:pPr>
        <w:ind w:firstLine="720"/>
        <w:rPr>
          <w:rFonts w:cs="Times New Roman"/>
          <w:color w:val="0D0D0D" w:themeColor="text1" w:themeTint="F2"/>
          <w:lang w:val="en-IE"/>
        </w:rPr>
      </w:pPr>
      <w:r>
        <w:rPr>
          <w:rFonts w:cs="Times New Roman"/>
          <w:b/>
          <w:color w:val="0D0D0D" w:themeColor="text1" w:themeTint="F2"/>
          <w:lang w:val="en-IE"/>
        </w:rPr>
        <w:t xml:space="preserve">Civil Society </w:t>
      </w:r>
      <w:r w:rsidR="00C60BF9" w:rsidRPr="003C0CD7">
        <w:rPr>
          <w:rFonts w:cs="Times New Roman"/>
          <w:b/>
          <w:color w:val="0D0D0D" w:themeColor="text1" w:themeTint="F2"/>
          <w:lang w:val="en-IE"/>
        </w:rPr>
        <w:t xml:space="preserve"> </w:t>
      </w:r>
    </w:p>
    <w:p w14:paraId="2D20A2F7" w14:textId="507CCE30" w:rsidR="0053180D" w:rsidRDefault="0053180D" w:rsidP="00970283">
      <w:pPr>
        <w:ind w:left="715"/>
        <w:rPr>
          <w:rFonts w:cs="Times New Roman"/>
          <w:color w:val="0D0D0D"/>
        </w:rPr>
      </w:pPr>
      <w:r>
        <w:rPr>
          <w:rFonts w:cs="Times New Roman"/>
          <w:color w:val="0D0D0D"/>
        </w:rPr>
        <w:t xml:space="preserve">The Action has been developed in an inclusive process involving civil society as a part of the established sector policy dialogue. This approach will also apply in the next stage, as civil society organisations are part of the Sector Working Groups (SWGs), channelling the policy dialogue on sector priorities, IPA programming and reporting. Civil society organisations will participate </w:t>
      </w:r>
      <w:r w:rsidR="00D01D16">
        <w:rPr>
          <w:rFonts w:cs="Times New Roman"/>
          <w:color w:val="0D0D0D"/>
        </w:rPr>
        <w:t xml:space="preserve">also </w:t>
      </w:r>
      <w:r>
        <w:rPr>
          <w:rFonts w:cs="Times New Roman"/>
          <w:color w:val="0D0D0D"/>
        </w:rPr>
        <w:t>in implementing the Action, particularly in the parts related to combating gender-based violence and domestic violence</w:t>
      </w:r>
      <w:r w:rsidR="00D01D16">
        <w:rPr>
          <w:rFonts w:cs="Times New Roman"/>
          <w:color w:val="0D0D0D"/>
        </w:rPr>
        <w:t>, where community organisations will be engaged in the implementation of the measures for prevention and detection of gender-based violence</w:t>
      </w:r>
      <w:r>
        <w:rPr>
          <w:rFonts w:cs="Times New Roman"/>
          <w:color w:val="0D0D0D"/>
        </w:rPr>
        <w:t xml:space="preserve">. </w:t>
      </w:r>
    </w:p>
    <w:p w14:paraId="62EA4403" w14:textId="77777777" w:rsidR="0006347F" w:rsidRPr="0053180D" w:rsidRDefault="0006347F" w:rsidP="0053180D">
      <w:pPr>
        <w:rPr>
          <w:rFonts w:cs="Times New Roman"/>
          <w:color w:val="0D0D0D" w:themeColor="text1" w:themeTint="F2"/>
        </w:rPr>
      </w:pPr>
    </w:p>
    <w:p w14:paraId="54BDE876" w14:textId="77777777" w:rsidR="00C60BF9" w:rsidRPr="003C0CD7" w:rsidRDefault="00C60BF9" w:rsidP="00C60BF9">
      <w:pPr>
        <w:pStyle w:val="Ttulo1"/>
        <w:numPr>
          <w:ilvl w:val="1"/>
          <w:numId w:val="1"/>
        </w:numPr>
        <w:rPr>
          <w:lang w:val="en-IE"/>
        </w:rPr>
      </w:pPr>
      <w:bookmarkStart w:id="199" w:name="_Toc73090755"/>
      <w:r w:rsidRPr="003C0CD7">
        <w:rPr>
          <w:lang w:val="en-IE"/>
        </w:rPr>
        <w:t>Risks</w:t>
      </w:r>
      <w:bookmarkEnd w:id="196"/>
      <w:bookmarkEnd w:id="197"/>
      <w:bookmarkEnd w:id="198"/>
      <w:bookmarkEnd w:id="199"/>
      <w:r w:rsidRPr="003C0CD7">
        <w:rPr>
          <w:lang w:val="en-IE"/>
        </w:rPr>
        <w:t xml:space="preserve"> and </w:t>
      </w:r>
      <w:r w:rsidR="00653DDC">
        <w:rPr>
          <w:lang w:val="en-IE"/>
        </w:rPr>
        <w:t>Assumptions</w:t>
      </w:r>
    </w:p>
    <w:tbl>
      <w:tblPr>
        <w:tblW w:w="10627" w:type="dxa"/>
        <w:tblInd w:w="-142" w:type="dxa"/>
        <w:tblCellMar>
          <w:left w:w="10" w:type="dxa"/>
          <w:right w:w="10" w:type="dxa"/>
        </w:tblCellMar>
        <w:tblLook w:val="04A0" w:firstRow="1" w:lastRow="0" w:firstColumn="1" w:lastColumn="0" w:noHBand="0" w:noVBand="1"/>
      </w:tblPr>
      <w:tblGrid>
        <w:gridCol w:w="1697"/>
        <w:gridCol w:w="2409"/>
        <w:gridCol w:w="1418"/>
        <w:gridCol w:w="1417"/>
        <w:gridCol w:w="3686"/>
      </w:tblGrid>
      <w:tr w:rsidR="0053180D" w14:paraId="03D8284F" w14:textId="77777777" w:rsidTr="00970283">
        <w:trPr>
          <w:trHeight w:val="757"/>
        </w:trPr>
        <w:tc>
          <w:tcPr>
            <w:tcW w:w="169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13C08B8" w14:textId="77777777" w:rsidR="0053180D" w:rsidRDefault="0053180D" w:rsidP="00A95EC8">
            <w:pPr>
              <w:rPr>
                <w:rFonts w:cs="Times New Roman"/>
                <w:b/>
                <w:lang w:val="en-IE"/>
              </w:rPr>
            </w:pPr>
            <w:r>
              <w:rPr>
                <w:b/>
                <w:lang w:val="en-IE"/>
              </w:rPr>
              <w:t>Category</w:t>
            </w:r>
          </w:p>
        </w:tc>
        <w:tc>
          <w:tcPr>
            <w:tcW w:w="24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275056" w14:textId="77777777" w:rsidR="0053180D" w:rsidRDefault="0053180D" w:rsidP="00A95EC8">
            <w:pPr>
              <w:rPr>
                <w:rFonts w:cs="Times New Roman"/>
                <w:b/>
                <w:lang w:val="en-IE"/>
              </w:rPr>
            </w:pPr>
            <w:r>
              <w:rPr>
                <w:rFonts w:cs="Times New Roman"/>
                <w:b/>
                <w:lang w:val="en-IE"/>
              </w:rPr>
              <w:t>Risks</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A41D6BF" w14:textId="77777777" w:rsidR="0053180D" w:rsidRDefault="0053180D" w:rsidP="00A95EC8">
            <w:pPr>
              <w:jc w:val="left"/>
              <w:rPr>
                <w:rFonts w:cs="Times New Roman"/>
                <w:b/>
                <w:lang w:val="en-IE"/>
              </w:rPr>
            </w:pPr>
            <w:r>
              <w:rPr>
                <w:rFonts w:cs="Times New Roman"/>
                <w:b/>
                <w:lang w:val="en-IE"/>
              </w:rPr>
              <w:t>Likelihood</w:t>
            </w:r>
          </w:p>
          <w:p w14:paraId="7AD83F9D" w14:textId="77777777" w:rsidR="0053180D" w:rsidRDefault="0053180D" w:rsidP="00A95EC8">
            <w:pPr>
              <w:jc w:val="left"/>
              <w:rPr>
                <w:rFonts w:cs="Times New Roman"/>
                <w:b/>
                <w:lang w:val="en-IE"/>
              </w:rPr>
            </w:pPr>
            <w:r>
              <w:rPr>
                <w:rFonts w:cs="Times New Roman"/>
                <w:b/>
                <w:lang w:val="en-IE"/>
              </w:rPr>
              <w:t>(High/</w:t>
            </w:r>
          </w:p>
          <w:p w14:paraId="550D6F42" w14:textId="77777777" w:rsidR="0053180D" w:rsidRDefault="0053180D" w:rsidP="00A95EC8">
            <w:pPr>
              <w:jc w:val="left"/>
              <w:rPr>
                <w:rFonts w:cs="Times New Roman"/>
                <w:b/>
                <w:lang w:val="en-IE"/>
              </w:rPr>
            </w:pPr>
            <w:r>
              <w:rPr>
                <w:rFonts w:cs="Times New Roman"/>
                <w:b/>
                <w:lang w:val="en-IE"/>
              </w:rPr>
              <w:t>Medium/</w:t>
            </w:r>
          </w:p>
          <w:p w14:paraId="7F720F50" w14:textId="77777777" w:rsidR="0053180D" w:rsidRDefault="0053180D" w:rsidP="00A95EC8">
            <w:pPr>
              <w:jc w:val="left"/>
              <w:rPr>
                <w:rFonts w:cs="Times New Roman"/>
                <w:b/>
                <w:lang w:val="en-IE"/>
              </w:rPr>
            </w:pPr>
            <w:r>
              <w:rPr>
                <w:rFonts w:cs="Times New Roman"/>
                <w:b/>
                <w:lang w:val="en-IE"/>
              </w:rPr>
              <w:t>Low)</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5C2762F" w14:textId="77777777" w:rsidR="0053180D" w:rsidRDefault="0053180D" w:rsidP="00A95EC8">
            <w:pPr>
              <w:jc w:val="left"/>
              <w:rPr>
                <w:rFonts w:cs="Times New Roman"/>
                <w:b/>
                <w:lang w:val="en-IE"/>
              </w:rPr>
            </w:pPr>
            <w:r>
              <w:rPr>
                <w:rFonts w:cs="Times New Roman"/>
                <w:b/>
                <w:lang w:val="en-IE"/>
              </w:rPr>
              <w:t xml:space="preserve">Impact </w:t>
            </w:r>
          </w:p>
          <w:p w14:paraId="203CC84F" w14:textId="77777777" w:rsidR="0053180D" w:rsidRDefault="0053180D" w:rsidP="00A95EC8">
            <w:pPr>
              <w:jc w:val="left"/>
              <w:rPr>
                <w:rFonts w:cs="Times New Roman"/>
                <w:b/>
                <w:lang w:val="en-IE"/>
              </w:rPr>
            </w:pPr>
            <w:r>
              <w:rPr>
                <w:rFonts w:cs="Times New Roman"/>
                <w:b/>
                <w:lang w:val="en-IE"/>
              </w:rPr>
              <w:t>(High/</w:t>
            </w:r>
          </w:p>
          <w:p w14:paraId="56DD535E" w14:textId="77777777" w:rsidR="0053180D" w:rsidRDefault="0053180D" w:rsidP="00A95EC8">
            <w:pPr>
              <w:jc w:val="left"/>
              <w:rPr>
                <w:rFonts w:cs="Times New Roman"/>
                <w:b/>
                <w:lang w:val="en-IE"/>
              </w:rPr>
            </w:pPr>
            <w:r>
              <w:rPr>
                <w:rFonts w:cs="Times New Roman"/>
                <w:b/>
                <w:lang w:val="en-IE"/>
              </w:rPr>
              <w:t>Medium/</w:t>
            </w:r>
          </w:p>
          <w:p w14:paraId="03D420BB" w14:textId="77777777" w:rsidR="0053180D" w:rsidRDefault="0053180D" w:rsidP="00A95EC8">
            <w:pPr>
              <w:jc w:val="left"/>
              <w:rPr>
                <w:rFonts w:cs="Times New Roman"/>
                <w:b/>
                <w:lang w:val="en-IE"/>
              </w:rPr>
            </w:pPr>
            <w:r>
              <w:rPr>
                <w:rFonts w:cs="Times New Roman"/>
                <w:b/>
                <w:lang w:val="en-IE"/>
              </w:rPr>
              <w:t>Low)</w:t>
            </w:r>
          </w:p>
        </w:tc>
        <w:tc>
          <w:tcPr>
            <w:tcW w:w="3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BF868C4" w14:textId="77777777" w:rsidR="0053180D" w:rsidRDefault="0053180D" w:rsidP="00A95EC8">
            <w:pPr>
              <w:rPr>
                <w:rFonts w:cs="Times New Roman"/>
                <w:b/>
                <w:lang w:val="en-IE"/>
              </w:rPr>
            </w:pPr>
            <w:r>
              <w:rPr>
                <w:rFonts w:cs="Times New Roman"/>
                <w:b/>
                <w:lang w:val="en-IE"/>
              </w:rPr>
              <w:t>Mitigating measures</w:t>
            </w:r>
          </w:p>
        </w:tc>
      </w:tr>
      <w:tr w:rsidR="0053180D" w14:paraId="252788C9" w14:textId="77777777" w:rsidTr="00970283">
        <w:trPr>
          <w:trHeight w:val="530"/>
        </w:trPr>
        <w:tc>
          <w:tcPr>
            <w:tcW w:w="169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68F10FB" w14:textId="77777777" w:rsidR="0053180D" w:rsidRDefault="0053180D" w:rsidP="00A95EC8">
            <w:pPr>
              <w:jc w:val="left"/>
              <w:rPr>
                <w:rFonts w:cs="Times New Roman"/>
                <w:lang w:val="en-IE"/>
              </w:rPr>
            </w:pPr>
            <w:r>
              <w:rPr>
                <w:rFonts w:cs="Times New Roman"/>
                <w:lang w:val="en-IE"/>
              </w:rPr>
              <w:t>People and the organisation</w:t>
            </w:r>
          </w:p>
        </w:tc>
        <w:tc>
          <w:tcPr>
            <w:tcW w:w="24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98B1C18" w14:textId="74CA1ECE" w:rsidR="0053180D" w:rsidRDefault="0053180D">
            <w:pPr>
              <w:jc w:val="left"/>
              <w:rPr>
                <w:rFonts w:cs="Times New Roman"/>
                <w:b/>
                <w:bCs/>
                <w:lang w:val="en-IE"/>
              </w:rPr>
            </w:pPr>
            <w:r>
              <w:rPr>
                <w:rFonts w:cs="Times New Roman"/>
                <w:szCs w:val="24"/>
              </w:rPr>
              <w:t xml:space="preserve">Lack of political will to continue the implementation of the reforms related to gender-based and domestic violence, </w:t>
            </w:r>
            <w:r w:rsidR="00C11469">
              <w:rPr>
                <w:rFonts w:cs="Times New Roman"/>
                <w:szCs w:val="24"/>
              </w:rPr>
              <w:t xml:space="preserve">vulnerable </w:t>
            </w:r>
            <w:r>
              <w:rPr>
                <w:rFonts w:cs="Times New Roman"/>
                <w:szCs w:val="24"/>
              </w:rPr>
              <w:t>students and Roma inclusion.</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AA83C0A" w14:textId="090CB801" w:rsidR="0053180D" w:rsidRDefault="00D01D16" w:rsidP="00A95EC8">
            <w:pPr>
              <w:jc w:val="center"/>
              <w:rPr>
                <w:rFonts w:cs="Times New Roman"/>
                <w:lang w:val="en-IE"/>
              </w:rPr>
            </w:pPr>
            <w:r>
              <w:rPr>
                <w:rFonts w:cs="Times New Roman"/>
                <w:lang w:val="en-IE"/>
              </w:rPr>
              <w:t>H</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DE4A5EF" w14:textId="77777777" w:rsidR="0053180D" w:rsidRDefault="0053180D" w:rsidP="00A95EC8">
            <w:pPr>
              <w:jc w:val="center"/>
              <w:rPr>
                <w:rFonts w:cs="Times New Roman"/>
                <w:lang w:val="en-IE"/>
              </w:rPr>
            </w:pPr>
            <w:r>
              <w:rPr>
                <w:rFonts w:cs="Times New Roman"/>
                <w:lang w:val="en-IE"/>
              </w:rPr>
              <w:t>H</w:t>
            </w:r>
          </w:p>
        </w:tc>
        <w:tc>
          <w:tcPr>
            <w:tcW w:w="3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7BE9359" w14:textId="1EF08A9F" w:rsidR="0053180D" w:rsidRDefault="00C11469" w:rsidP="0053180D">
            <w:pPr>
              <w:jc w:val="left"/>
              <w:rPr>
                <w:rFonts w:cs="Times New Roman"/>
                <w:lang w:val="en-IE"/>
              </w:rPr>
            </w:pPr>
            <w:r w:rsidRPr="00B44FA6">
              <w:rPr>
                <w:rFonts w:cs="Times New Roman"/>
                <w:lang w:val="en-IE"/>
              </w:rPr>
              <w:t>Engage in continuous policy dialogue wit</w:t>
            </w:r>
            <w:r>
              <w:rPr>
                <w:rFonts w:cs="Times New Roman"/>
                <w:lang w:val="en-IE"/>
              </w:rPr>
              <w:t>h national authorities through the Sector Working Group on Health engaging authorities, donors and international partners and civil society organisation.</w:t>
            </w:r>
          </w:p>
        </w:tc>
      </w:tr>
      <w:tr w:rsidR="0053180D" w14:paraId="24DEDFA9" w14:textId="77777777" w:rsidTr="00970283">
        <w:trPr>
          <w:trHeight w:val="530"/>
        </w:trPr>
        <w:tc>
          <w:tcPr>
            <w:tcW w:w="169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8B75D7C" w14:textId="77777777" w:rsidR="0053180D" w:rsidRDefault="0053180D" w:rsidP="00A95EC8">
            <w:pPr>
              <w:jc w:val="left"/>
              <w:rPr>
                <w:rFonts w:cs="Times New Roman"/>
                <w:lang w:val="en-IE"/>
              </w:rPr>
            </w:pPr>
            <w:r>
              <w:rPr>
                <w:rFonts w:cs="Times New Roman"/>
                <w:lang w:val="en-IE"/>
              </w:rPr>
              <w:t>Planning, processes and system</w:t>
            </w:r>
          </w:p>
        </w:tc>
        <w:tc>
          <w:tcPr>
            <w:tcW w:w="24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D8A4F6A" w14:textId="77777777" w:rsidR="0053180D" w:rsidRDefault="0053180D" w:rsidP="00A95EC8">
            <w:pPr>
              <w:jc w:val="left"/>
              <w:rPr>
                <w:rFonts w:cs="Times New Roman"/>
                <w:b/>
                <w:bCs/>
                <w:lang w:val="en-IE"/>
              </w:rPr>
            </w:pPr>
            <w:r>
              <w:rPr>
                <w:rFonts w:cs="Times New Roman"/>
                <w:szCs w:val="24"/>
              </w:rPr>
              <w:t>Weak administrative capacity, lack of adequate number and quality staffing and insufficient coordination among institutions.</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AB54E25" w14:textId="77777777" w:rsidR="0053180D" w:rsidRDefault="0053180D" w:rsidP="00826813">
            <w:pPr>
              <w:jc w:val="center"/>
              <w:rPr>
                <w:rFonts w:cs="Times New Roman"/>
                <w:bCs/>
                <w:lang w:val="en-IE"/>
              </w:rPr>
            </w:pPr>
            <w:r>
              <w:rPr>
                <w:rFonts w:cs="Times New Roman"/>
                <w:bCs/>
                <w:lang w:val="en-IE"/>
              </w:rPr>
              <w:t>M</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9FFA858" w14:textId="77777777" w:rsidR="0053180D" w:rsidRDefault="0053180D" w:rsidP="00826813">
            <w:pPr>
              <w:jc w:val="center"/>
              <w:rPr>
                <w:rFonts w:cs="Times New Roman"/>
                <w:bCs/>
                <w:lang w:val="en-IE"/>
              </w:rPr>
            </w:pPr>
            <w:r>
              <w:rPr>
                <w:rFonts w:cs="Times New Roman"/>
                <w:bCs/>
                <w:lang w:val="en-IE"/>
              </w:rPr>
              <w:t>M</w:t>
            </w:r>
          </w:p>
        </w:tc>
        <w:tc>
          <w:tcPr>
            <w:tcW w:w="3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FEA26CA" w14:textId="3F421FDC" w:rsidR="0053180D" w:rsidRDefault="00C11469" w:rsidP="00E43421">
            <w:pPr>
              <w:jc w:val="left"/>
              <w:rPr>
                <w:rFonts w:cs="Times New Roman"/>
                <w:bCs/>
                <w:lang w:val="en-IE"/>
              </w:rPr>
            </w:pPr>
            <w:r w:rsidRPr="00F409CB">
              <w:t xml:space="preserve">The ongoing Public Administration Reform (PAR) is expected to address the high staff turnover in all institutions by proposing a viable retention and merit-based policy and modern human resource management. As intermediate mitigation approach, technical assistance and capacity building measures, including by this action, will be put in place.  </w:t>
            </w:r>
          </w:p>
        </w:tc>
      </w:tr>
      <w:tr w:rsidR="0053180D" w14:paraId="519515C3" w14:textId="77777777" w:rsidTr="00970283">
        <w:trPr>
          <w:trHeight w:val="530"/>
        </w:trPr>
        <w:tc>
          <w:tcPr>
            <w:tcW w:w="169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7898D6D" w14:textId="77777777" w:rsidR="0053180D" w:rsidRDefault="0053180D" w:rsidP="00A95EC8">
            <w:pPr>
              <w:jc w:val="left"/>
              <w:rPr>
                <w:rFonts w:cs="Times New Roman"/>
                <w:lang w:val="en-IE"/>
              </w:rPr>
            </w:pPr>
            <w:r>
              <w:rPr>
                <w:rFonts w:cs="Times New Roman"/>
                <w:lang w:val="en-IE"/>
              </w:rPr>
              <w:t>Planning, processes and system</w:t>
            </w:r>
          </w:p>
        </w:tc>
        <w:tc>
          <w:tcPr>
            <w:tcW w:w="24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30392FE" w14:textId="77777777" w:rsidR="0053180D" w:rsidRDefault="0053180D" w:rsidP="00A95EC8">
            <w:pPr>
              <w:pStyle w:val="Default"/>
            </w:pPr>
            <w:r w:rsidRPr="00A05E5D">
              <w:rPr>
                <w:rFonts w:ascii="Times New Roman" w:hAnsi="Times New Roman" w:cs="Times New Roman"/>
              </w:rPr>
              <w:t xml:space="preserve">Slow establishment of functional </w:t>
            </w:r>
            <w:r>
              <w:rPr>
                <w:rFonts w:ascii="Times New Roman" w:hAnsi="Times New Roman" w:cs="Times New Roman"/>
              </w:rPr>
              <w:t>services for victims of gender-based and domestic violence</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B2B18FA" w14:textId="77777777" w:rsidR="0053180D" w:rsidRPr="00A05E5D" w:rsidRDefault="0053180D" w:rsidP="00A95EC8">
            <w:pPr>
              <w:jc w:val="center"/>
              <w:rPr>
                <w:rFonts w:cs="Times New Roman"/>
                <w:bCs/>
              </w:rPr>
            </w:pPr>
            <w:r>
              <w:rPr>
                <w:rFonts w:cs="Times New Roman"/>
                <w:bCs/>
              </w:rPr>
              <w:t>M</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F6A0EA7" w14:textId="77777777" w:rsidR="0053180D" w:rsidRDefault="0053180D" w:rsidP="00A95EC8">
            <w:pPr>
              <w:jc w:val="center"/>
              <w:rPr>
                <w:rFonts w:cs="Times New Roman"/>
                <w:bCs/>
                <w:lang w:val="en-IE"/>
              </w:rPr>
            </w:pPr>
            <w:r>
              <w:rPr>
                <w:rFonts w:cs="Times New Roman"/>
                <w:bCs/>
                <w:lang w:val="en-IE"/>
              </w:rPr>
              <w:t>M</w:t>
            </w:r>
          </w:p>
        </w:tc>
        <w:tc>
          <w:tcPr>
            <w:tcW w:w="3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2C102CB" w14:textId="151B95DB" w:rsidR="0053180D" w:rsidRDefault="00782114" w:rsidP="0053180D">
            <w:pPr>
              <w:jc w:val="left"/>
              <w:rPr>
                <w:rFonts w:cs="Times New Roman"/>
                <w:bCs/>
                <w:lang w:val="en-IE"/>
              </w:rPr>
            </w:pPr>
            <w:r>
              <w:rPr>
                <w:sz w:val="23"/>
                <w:szCs w:val="23"/>
              </w:rPr>
              <w:t xml:space="preserve">The project is a second phase </w:t>
            </w:r>
            <w:r w:rsidR="0053180D">
              <w:rPr>
                <w:sz w:val="23"/>
                <w:szCs w:val="23"/>
              </w:rPr>
              <w:t xml:space="preserve">Support to provide good practice models and encourage networking and peer-to-peer exchange between providers of the services to facilitate and foster their operationalisation according to the provisions of Law on Social Protection and relevant bylaws. </w:t>
            </w:r>
          </w:p>
        </w:tc>
      </w:tr>
      <w:tr w:rsidR="0053180D" w14:paraId="53F60B9D" w14:textId="77777777" w:rsidTr="00970283">
        <w:trPr>
          <w:trHeight w:val="530"/>
        </w:trPr>
        <w:tc>
          <w:tcPr>
            <w:tcW w:w="169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F70C8E2" w14:textId="77777777" w:rsidR="0053180D" w:rsidRDefault="0053180D" w:rsidP="00A95EC8">
            <w:pPr>
              <w:jc w:val="left"/>
              <w:rPr>
                <w:rFonts w:cs="Times New Roman"/>
                <w:lang w:val="en-IE"/>
              </w:rPr>
            </w:pPr>
            <w:r>
              <w:rPr>
                <w:rFonts w:cs="Times New Roman"/>
                <w:lang w:val="en-IE"/>
              </w:rPr>
              <w:t>Planning, processes and system</w:t>
            </w:r>
          </w:p>
        </w:tc>
        <w:tc>
          <w:tcPr>
            <w:tcW w:w="24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4D7674A" w14:textId="0E0EF755" w:rsidR="0053180D" w:rsidRDefault="008A141C" w:rsidP="00A95EC8">
            <w:pPr>
              <w:pStyle w:val="Default"/>
              <w:rPr>
                <w:rFonts w:ascii="Times New Roman" w:hAnsi="Times New Roman" w:cs="Times New Roman"/>
              </w:rPr>
            </w:pPr>
            <w:r>
              <w:rPr>
                <w:rFonts w:ascii="Times New Roman" w:hAnsi="Times New Roman" w:cs="Times New Roman"/>
              </w:rPr>
              <w:t>Lack of interest and resistance among local authorities on the matters linked to legalisations of Roma settlement</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6A2258C" w14:textId="77777777" w:rsidR="0053180D" w:rsidRDefault="0053180D" w:rsidP="00A95EC8">
            <w:pPr>
              <w:jc w:val="center"/>
              <w:rPr>
                <w:rFonts w:cs="Times New Roman"/>
                <w:bCs/>
              </w:rPr>
            </w:pPr>
            <w:r>
              <w:rPr>
                <w:rFonts w:cs="Times New Roman"/>
                <w:bCs/>
              </w:rPr>
              <w:t>M</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5875762" w14:textId="77777777" w:rsidR="0053180D" w:rsidRDefault="0053180D" w:rsidP="00A95EC8">
            <w:pPr>
              <w:jc w:val="center"/>
              <w:rPr>
                <w:rFonts w:cs="Times New Roman"/>
                <w:bCs/>
                <w:lang w:val="en-IE"/>
              </w:rPr>
            </w:pPr>
            <w:r>
              <w:rPr>
                <w:rFonts w:cs="Times New Roman"/>
                <w:bCs/>
                <w:lang w:val="en-IE"/>
              </w:rPr>
              <w:t>M</w:t>
            </w:r>
          </w:p>
        </w:tc>
        <w:tc>
          <w:tcPr>
            <w:tcW w:w="3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430172D" w14:textId="7A30FF98" w:rsidR="0053180D" w:rsidRDefault="00782114">
            <w:pPr>
              <w:jc w:val="left"/>
              <w:rPr>
                <w:sz w:val="23"/>
                <w:szCs w:val="23"/>
              </w:rPr>
            </w:pPr>
            <w:r>
              <w:rPr>
                <w:sz w:val="23"/>
                <w:szCs w:val="23"/>
              </w:rPr>
              <w:t xml:space="preserve">Intense policy dialogue and strong outreach </w:t>
            </w:r>
            <w:r w:rsidR="0053180D">
              <w:rPr>
                <w:sz w:val="23"/>
                <w:szCs w:val="23"/>
              </w:rPr>
              <w:t xml:space="preserve"> </w:t>
            </w:r>
            <w:r>
              <w:rPr>
                <w:sz w:val="23"/>
                <w:szCs w:val="23"/>
              </w:rPr>
              <w:t>to showcase the benefits of the action for the</w:t>
            </w:r>
            <w:r w:rsidR="0053180D">
              <w:rPr>
                <w:sz w:val="23"/>
                <w:szCs w:val="23"/>
              </w:rPr>
              <w:t xml:space="preserve"> </w:t>
            </w:r>
            <w:r>
              <w:rPr>
                <w:sz w:val="23"/>
                <w:szCs w:val="23"/>
              </w:rPr>
              <w:t>municipalities and the communities from improved</w:t>
            </w:r>
            <w:r w:rsidR="0053180D">
              <w:rPr>
                <w:sz w:val="23"/>
                <w:szCs w:val="23"/>
              </w:rPr>
              <w:t xml:space="preserve"> urban-spatial planning </w:t>
            </w:r>
            <w:r>
              <w:rPr>
                <w:sz w:val="23"/>
                <w:szCs w:val="23"/>
              </w:rPr>
              <w:t xml:space="preserve">in the Roma settlements </w:t>
            </w:r>
          </w:p>
        </w:tc>
      </w:tr>
    </w:tbl>
    <w:p w14:paraId="3AE8A23B" w14:textId="77777777" w:rsidR="00C60BF9" w:rsidRDefault="00C60BF9" w:rsidP="00C60BF9">
      <w:pPr>
        <w:rPr>
          <w:b/>
          <w:szCs w:val="24"/>
          <w:lang w:val="en-IE"/>
        </w:rPr>
      </w:pPr>
    </w:p>
    <w:p w14:paraId="54E66AFD" w14:textId="77777777" w:rsidR="009D4EF1" w:rsidRDefault="009D4EF1" w:rsidP="00C60BF9">
      <w:pPr>
        <w:rPr>
          <w:b/>
          <w:szCs w:val="24"/>
        </w:rPr>
      </w:pPr>
    </w:p>
    <w:p w14:paraId="26A35809" w14:textId="77777777" w:rsidR="005B2F62" w:rsidRPr="00162DD2" w:rsidRDefault="005B2F62" w:rsidP="005B2F62">
      <w:pPr>
        <w:rPr>
          <w:rFonts w:cs="Times New Roman"/>
          <w:b/>
          <w:color w:val="0D0D0D" w:themeColor="text1" w:themeTint="F2"/>
        </w:rPr>
      </w:pPr>
      <w:r w:rsidRPr="00162DD2">
        <w:rPr>
          <w:rFonts w:cs="Times New Roman"/>
          <w:b/>
          <w:color w:val="0D0D0D" w:themeColor="text1" w:themeTint="F2"/>
        </w:rPr>
        <w:t>External Assumptions</w:t>
      </w:r>
    </w:p>
    <w:p w14:paraId="459D694D" w14:textId="77777777" w:rsidR="00B533E0" w:rsidRDefault="00B533E0" w:rsidP="00B533E0">
      <w:pPr>
        <w:rPr>
          <w:color w:val="0D0D0D" w:themeColor="text1" w:themeTint="F2"/>
        </w:rPr>
      </w:pPr>
    </w:p>
    <w:p w14:paraId="309C5756" w14:textId="77777777" w:rsidR="003D4F5E" w:rsidRPr="003D4F5E" w:rsidRDefault="003D4F5E" w:rsidP="003D4F5E">
      <w:pPr>
        <w:rPr>
          <w:color w:val="0D0D0D"/>
        </w:rPr>
      </w:pPr>
      <w:r w:rsidRPr="003D4F5E">
        <w:rPr>
          <w:color w:val="0D0D0D"/>
        </w:rPr>
        <w:t>The external assumptions encountered to have an impact on the proposed Action are:</w:t>
      </w:r>
    </w:p>
    <w:p w14:paraId="48733FB0" w14:textId="16793D3B" w:rsidR="00714718" w:rsidRDefault="00714718" w:rsidP="00F77AB4">
      <w:pPr>
        <w:pStyle w:val="Prrafodelista"/>
        <w:numPr>
          <w:ilvl w:val="0"/>
          <w:numId w:val="24"/>
        </w:numPr>
        <w:rPr>
          <w:color w:val="0D0D0D"/>
        </w:rPr>
      </w:pPr>
      <w:r>
        <w:rPr>
          <w:color w:val="0D0D0D"/>
        </w:rPr>
        <w:t>Stable political situation and consistent reform orientation of any new government</w:t>
      </w:r>
      <w:r w:rsidR="00D924C8">
        <w:rPr>
          <w:color w:val="0D0D0D"/>
        </w:rPr>
        <w:t xml:space="preserve"> in support of the fundamental rights agenda</w:t>
      </w:r>
      <w:r>
        <w:rPr>
          <w:color w:val="0D0D0D"/>
        </w:rPr>
        <w:t>.</w:t>
      </w:r>
    </w:p>
    <w:p w14:paraId="34D29253" w14:textId="77777777" w:rsidR="00D924C8" w:rsidRDefault="00D924C8" w:rsidP="00D924C8">
      <w:pPr>
        <w:pStyle w:val="Prrafodelista"/>
        <w:numPr>
          <w:ilvl w:val="0"/>
          <w:numId w:val="24"/>
        </w:numPr>
        <w:rPr>
          <w:color w:val="0D0D0D"/>
        </w:rPr>
      </w:pPr>
      <w:r w:rsidRPr="003D4F5E">
        <w:rPr>
          <w:color w:val="0D0D0D"/>
        </w:rPr>
        <w:t xml:space="preserve">Political determination and effective decision-making procedures are maintained. </w:t>
      </w:r>
    </w:p>
    <w:p w14:paraId="2D0297F9" w14:textId="4DF39895" w:rsidR="00714718" w:rsidRDefault="00714718" w:rsidP="00F77AB4">
      <w:pPr>
        <w:pStyle w:val="Prrafodelista"/>
        <w:numPr>
          <w:ilvl w:val="0"/>
          <w:numId w:val="24"/>
        </w:numPr>
        <w:rPr>
          <w:color w:val="0D0D0D"/>
        </w:rPr>
      </w:pPr>
      <w:r>
        <w:rPr>
          <w:color w:val="0D0D0D"/>
        </w:rPr>
        <w:t>Positive dynamic on the societal flows and improved socioeconomic conditions</w:t>
      </w:r>
      <w:r w:rsidR="00D924C8">
        <w:rPr>
          <w:color w:val="0D0D0D"/>
        </w:rPr>
        <w:t xml:space="preserve"> impacting on the human rights</w:t>
      </w:r>
      <w:r>
        <w:rPr>
          <w:color w:val="0D0D0D"/>
        </w:rPr>
        <w:t>.</w:t>
      </w:r>
    </w:p>
    <w:p w14:paraId="0D86EFC9" w14:textId="77777777" w:rsidR="00D924C8" w:rsidRDefault="00D924C8" w:rsidP="00D924C8">
      <w:pPr>
        <w:pStyle w:val="Prrafodelista"/>
        <w:numPr>
          <w:ilvl w:val="0"/>
          <w:numId w:val="24"/>
        </w:numPr>
        <w:rPr>
          <w:color w:val="0D0D0D"/>
        </w:rPr>
      </w:pPr>
      <w:r w:rsidRPr="003D4F5E">
        <w:rPr>
          <w:color w:val="0D0D0D"/>
        </w:rPr>
        <w:t xml:space="preserve">Social dialogue at the sector level is efficiently working. </w:t>
      </w:r>
    </w:p>
    <w:p w14:paraId="4290308A" w14:textId="15316D9D" w:rsidR="003D4F5E" w:rsidRPr="003D4F5E" w:rsidRDefault="00D924C8" w:rsidP="00F77AB4">
      <w:pPr>
        <w:pStyle w:val="Prrafodelista"/>
        <w:numPr>
          <w:ilvl w:val="0"/>
          <w:numId w:val="24"/>
        </w:numPr>
        <w:rPr>
          <w:color w:val="0D0D0D"/>
        </w:rPr>
      </w:pPr>
      <w:r>
        <w:rPr>
          <w:color w:val="0D0D0D"/>
        </w:rPr>
        <w:t xml:space="preserve">Adequate </w:t>
      </w:r>
      <w:r w:rsidRPr="003D4F5E">
        <w:rPr>
          <w:color w:val="0D0D0D"/>
        </w:rPr>
        <w:t xml:space="preserve">coordination </w:t>
      </w:r>
      <w:r w:rsidR="003D4F5E" w:rsidRPr="003D4F5E">
        <w:rPr>
          <w:color w:val="0D0D0D"/>
        </w:rPr>
        <w:t xml:space="preserve">and cooperation mechanisms between stakeholders </w:t>
      </w:r>
      <w:r>
        <w:rPr>
          <w:color w:val="0D0D0D"/>
        </w:rPr>
        <w:t>to</w:t>
      </w:r>
      <w:r w:rsidRPr="003D4F5E">
        <w:rPr>
          <w:color w:val="0D0D0D"/>
        </w:rPr>
        <w:t xml:space="preserve"> </w:t>
      </w:r>
      <w:r w:rsidR="003D4F5E" w:rsidRPr="003D4F5E">
        <w:rPr>
          <w:color w:val="0D0D0D"/>
        </w:rPr>
        <w:t>ensure the smooth implementation of the projects.</w:t>
      </w:r>
    </w:p>
    <w:p w14:paraId="563123F1" w14:textId="48CEC872" w:rsidR="00890A21" w:rsidRDefault="00890A21" w:rsidP="00EC4FC6">
      <w:pPr>
        <w:pStyle w:val="Prrafodelista"/>
        <w:numPr>
          <w:ilvl w:val="0"/>
          <w:numId w:val="24"/>
        </w:numPr>
        <w:rPr>
          <w:color w:val="0D0D0D"/>
        </w:rPr>
      </w:pPr>
      <w:r>
        <w:rPr>
          <w:color w:val="0D0D0D"/>
        </w:rPr>
        <w:t xml:space="preserve">Relevant institutions are </w:t>
      </w:r>
      <w:r w:rsidR="00D924C8">
        <w:rPr>
          <w:color w:val="0D0D0D"/>
        </w:rPr>
        <w:t xml:space="preserve">committed and dispose with the sufficient resources to implement the project, in including staff, </w:t>
      </w:r>
      <w:r>
        <w:rPr>
          <w:color w:val="0D0D0D"/>
        </w:rPr>
        <w:t xml:space="preserve">infrastructure and </w:t>
      </w:r>
      <w:r w:rsidR="00D924C8">
        <w:rPr>
          <w:color w:val="0D0D0D"/>
        </w:rPr>
        <w:t>mandates</w:t>
      </w:r>
      <w:r>
        <w:rPr>
          <w:color w:val="0D0D0D"/>
        </w:rPr>
        <w:t>.</w:t>
      </w:r>
    </w:p>
    <w:p w14:paraId="02578C3B" w14:textId="35932E6F" w:rsidR="00E346DA" w:rsidRDefault="00E346DA" w:rsidP="00E346DA">
      <w:pPr>
        <w:rPr>
          <w:b/>
          <w:szCs w:val="24"/>
        </w:rPr>
      </w:pPr>
    </w:p>
    <w:p w14:paraId="72ED5E8D" w14:textId="0108EAB9" w:rsidR="00D924C8" w:rsidRPr="007F3658" w:rsidRDefault="00D924C8" w:rsidP="00D924C8">
      <w:pPr>
        <w:pStyle w:val="Default"/>
        <w:tabs>
          <w:tab w:val="left" w:pos="540"/>
        </w:tabs>
        <w:rPr>
          <w:rFonts w:ascii="Times New Roman" w:hAnsi="Times New Roman" w:cs="Times New Roman"/>
          <w:sz w:val="18"/>
          <w:szCs w:val="18"/>
        </w:rPr>
      </w:pPr>
    </w:p>
    <w:p w14:paraId="19E25849" w14:textId="4D7341A7" w:rsidR="00E346DA" w:rsidRDefault="00E346DA" w:rsidP="00E346DA">
      <w:pPr>
        <w:rPr>
          <w:rFonts w:cs="Times New Roman"/>
          <w:b/>
          <w:color w:val="0D0D0D" w:themeColor="text1" w:themeTint="F2"/>
        </w:rPr>
      </w:pPr>
      <w:r>
        <w:rPr>
          <w:rFonts w:cs="Times New Roman"/>
          <w:b/>
          <w:color w:val="0D0D0D" w:themeColor="text1" w:themeTint="F2"/>
        </w:rPr>
        <w:t xml:space="preserve">Preconditions </w:t>
      </w:r>
    </w:p>
    <w:p w14:paraId="20712339" w14:textId="2FB15456" w:rsidR="00E346DA" w:rsidRDefault="00E346DA" w:rsidP="00970283">
      <w:pPr>
        <w:rPr>
          <w:b/>
          <w:szCs w:val="24"/>
        </w:rPr>
      </w:pPr>
    </w:p>
    <w:p w14:paraId="0E6FB2BA" w14:textId="14D947C7" w:rsidR="00E346DA" w:rsidRPr="00970283" w:rsidRDefault="00A571EC" w:rsidP="00970283">
      <w:pPr>
        <w:rPr>
          <w:szCs w:val="24"/>
        </w:rPr>
      </w:pPr>
      <w:r w:rsidRPr="00970283">
        <w:rPr>
          <w:szCs w:val="24"/>
        </w:rPr>
        <w:t>T</w:t>
      </w:r>
      <w:r w:rsidR="00E346DA" w:rsidRPr="00467840">
        <w:rPr>
          <w:szCs w:val="24"/>
        </w:rPr>
        <w:t>he signature of the Direct award to the MoES for implementation of Outcome 2 is conditioned by</w:t>
      </w:r>
      <w:r w:rsidR="00E346DA" w:rsidRPr="00512A0F">
        <w:rPr>
          <w:szCs w:val="24"/>
        </w:rPr>
        <w:t>:</w:t>
      </w:r>
    </w:p>
    <w:p w14:paraId="78BAB0EE" w14:textId="75265453" w:rsidR="00E346DA" w:rsidRDefault="00E346DA" w:rsidP="00970283">
      <w:pPr>
        <w:pStyle w:val="Prrafodelista"/>
        <w:numPr>
          <w:ilvl w:val="0"/>
          <w:numId w:val="38"/>
        </w:numPr>
        <w:rPr>
          <w:szCs w:val="24"/>
        </w:rPr>
      </w:pPr>
      <w:r w:rsidRPr="00970283">
        <w:rPr>
          <w:szCs w:val="24"/>
        </w:rPr>
        <w:t>adequate staffing of the relevant departments within MoES responsible for scholarships, infrastructure and procurement</w:t>
      </w:r>
    </w:p>
    <w:p w14:paraId="529EE2F6" w14:textId="5A5529A7" w:rsidR="006F1C97" w:rsidRPr="00970283" w:rsidRDefault="006F1C97" w:rsidP="00970283">
      <w:pPr>
        <w:pStyle w:val="Prrafodelista"/>
        <w:numPr>
          <w:ilvl w:val="0"/>
          <w:numId w:val="38"/>
        </w:numPr>
        <w:rPr>
          <w:szCs w:val="24"/>
        </w:rPr>
      </w:pPr>
      <w:r>
        <w:rPr>
          <w:szCs w:val="24"/>
        </w:rPr>
        <w:t>MoES has in place proper account</w:t>
      </w:r>
      <w:r w:rsidR="003F63DC">
        <w:rPr>
          <w:szCs w:val="24"/>
        </w:rPr>
        <w:t>ing</w:t>
      </w:r>
      <w:r>
        <w:rPr>
          <w:szCs w:val="24"/>
        </w:rPr>
        <w:t>, procurement and reporting system to implement projects in line with EU rules</w:t>
      </w:r>
    </w:p>
    <w:p w14:paraId="41CA3E13" w14:textId="2D0199FD" w:rsidR="00E346DA" w:rsidRDefault="00E346DA" w:rsidP="00970283">
      <w:pPr>
        <w:rPr>
          <w:b/>
          <w:szCs w:val="24"/>
        </w:rPr>
      </w:pPr>
    </w:p>
    <w:p w14:paraId="317D5B39" w14:textId="2B989871" w:rsidR="00D17364" w:rsidRPr="00970283" w:rsidRDefault="00D17364" w:rsidP="00970283">
      <w:pPr>
        <w:rPr>
          <w:b/>
          <w:szCs w:val="24"/>
        </w:rPr>
        <w:sectPr w:rsidR="00D17364" w:rsidRPr="00970283" w:rsidSect="009E322B">
          <w:headerReference w:type="default" r:id="rId9"/>
          <w:footerReference w:type="default" r:id="rId10"/>
          <w:pgSz w:w="11906" w:h="16838"/>
          <w:pgMar w:top="993" w:right="1416" w:bottom="426" w:left="1134" w:header="510" w:footer="483" w:gutter="0"/>
          <w:cols w:space="708"/>
          <w:docGrid w:linePitch="360"/>
        </w:sectPr>
      </w:pPr>
    </w:p>
    <w:p w14:paraId="47D809D3" w14:textId="0DB1E0E9" w:rsidR="00D370B8" w:rsidRDefault="00D370B8" w:rsidP="00970283">
      <w:pPr>
        <w:pStyle w:val="Ttulo1"/>
        <w:numPr>
          <w:ilvl w:val="1"/>
          <w:numId w:val="1"/>
        </w:numPr>
        <w:spacing w:before="0"/>
        <w:ind w:hanging="431"/>
        <w:rPr>
          <w:lang w:val="en-IE"/>
        </w:rPr>
      </w:pPr>
      <w:bookmarkStart w:id="200" w:name="_Ref58688204"/>
      <w:bookmarkStart w:id="201" w:name="_Ref58688290"/>
      <w:bookmarkStart w:id="202" w:name="_Toc73090750"/>
      <w:r w:rsidRPr="003C0CD7">
        <w:rPr>
          <w:lang w:val="en-IE"/>
        </w:rPr>
        <w:lastRenderedPageBreak/>
        <w:t>Indicative Logical Framework Matrix</w:t>
      </w:r>
      <w:bookmarkEnd w:id="200"/>
      <w:bookmarkEnd w:id="201"/>
      <w:bookmarkEnd w:id="202"/>
      <w:r w:rsidRPr="003C0CD7">
        <w:rPr>
          <w:lang w:val="en-IE"/>
        </w:rPr>
        <w:t xml:space="preserve"> </w:t>
      </w:r>
    </w:p>
    <w:tbl>
      <w:tblPr>
        <w:tblW w:w="15730" w:type="dxa"/>
        <w:tblCellMar>
          <w:left w:w="10" w:type="dxa"/>
          <w:right w:w="10" w:type="dxa"/>
        </w:tblCellMar>
        <w:tblLook w:val="04A0" w:firstRow="1" w:lastRow="0" w:firstColumn="1" w:lastColumn="0" w:noHBand="0" w:noVBand="1"/>
      </w:tblPr>
      <w:tblGrid>
        <w:gridCol w:w="1941"/>
        <w:gridCol w:w="2164"/>
        <w:gridCol w:w="3546"/>
        <w:gridCol w:w="1664"/>
        <w:gridCol w:w="1733"/>
        <w:gridCol w:w="2127"/>
        <w:gridCol w:w="2555"/>
      </w:tblGrid>
      <w:tr w:rsidR="00082834" w14:paraId="040E8672" w14:textId="77777777" w:rsidTr="00970283">
        <w:trPr>
          <w:tblHeader/>
        </w:trPr>
        <w:tc>
          <w:tcPr>
            <w:tcW w:w="617" w:type="pct"/>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14:paraId="72EC4019" w14:textId="77777777" w:rsidR="003D4F5E" w:rsidRPr="00970283" w:rsidRDefault="003D4F5E" w:rsidP="00A95EC8">
            <w:pPr>
              <w:jc w:val="center"/>
              <w:rPr>
                <w:rFonts w:cs="Times New Roman"/>
                <w:b/>
                <w:bCs/>
                <w:color w:val="0D0D0D"/>
                <w:sz w:val="20"/>
                <w:szCs w:val="20"/>
                <w:lang w:val="en-IE"/>
              </w:rPr>
            </w:pPr>
            <w:r w:rsidRPr="00970283">
              <w:rPr>
                <w:rFonts w:cs="Times New Roman"/>
                <w:b/>
                <w:bCs/>
                <w:color w:val="0D0D0D"/>
                <w:sz w:val="20"/>
                <w:szCs w:val="20"/>
                <w:lang w:val="en-IE"/>
              </w:rPr>
              <w:t>Results</w:t>
            </w:r>
          </w:p>
        </w:tc>
        <w:tc>
          <w:tcPr>
            <w:tcW w:w="688" w:type="pct"/>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14:paraId="6C640739" w14:textId="77777777" w:rsidR="003D4F5E" w:rsidRPr="00970283" w:rsidRDefault="003D4F5E" w:rsidP="00A95EC8">
            <w:pPr>
              <w:jc w:val="center"/>
              <w:rPr>
                <w:rFonts w:cs="Times New Roman"/>
                <w:b/>
                <w:color w:val="0D0D0D"/>
                <w:sz w:val="20"/>
                <w:szCs w:val="20"/>
              </w:rPr>
            </w:pPr>
            <w:r w:rsidRPr="00970283">
              <w:rPr>
                <w:rFonts w:cs="Times New Roman"/>
                <w:b/>
                <w:color w:val="0D0D0D"/>
                <w:sz w:val="20"/>
                <w:szCs w:val="20"/>
              </w:rPr>
              <w:t>Results chain:</w:t>
            </w:r>
          </w:p>
          <w:p w14:paraId="5476178F" w14:textId="77777777" w:rsidR="003D4F5E" w:rsidRPr="00970283" w:rsidRDefault="003D4F5E" w:rsidP="00A95EC8">
            <w:pPr>
              <w:jc w:val="center"/>
              <w:rPr>
                <w:rFonts w:cs="Times New Roman"/>
                <w:b/>
                <w:color w:val="0D0D0D"/>
                <w:sz w:val="20"/>
                <w:szCs w:val="20"/>
                <w:lang w:val="en-IE"/>
              </w:rPr>
            </w:pPr>
            <w:r w:rsidRPr="00970283">
              <w:rPr>
                <w:rFonts w:cs="Times New Roman"/>
                <w:b/>
                <w:color w:val="0D0D0D"/>
                <w:sz w:val="20"/>
                <w:szCs w:val="20"/>
              </w:rPr>
              <w:t xml:space="preserve">Main expected results </w:t>
            </w:r>
          </w:p>
        </w:tc>
        <w:tc>
          <w:tcPr>
            <w:tcW w:w="1127" w:type="pct"/>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14:paraId="51729A8C" w14:textId="77777777" w:rsidR="003D4F5E" w:rsidRPr="00970283" w:rsidRDefault="003D4F5E" w:rsidP="00A95EC8">
            <w:pPr>
              <w:jc w:val="center"/>
              <w:rPr>
                <w:rFonts w:cs="Times New Roman"/>
                <w:b/>
                <w:color w:val="0D0D0D"/>
                <w:sz w:val="20"/>
                <w:szCs w:val="20"/>
              </w:rPr>
            </w:pPr>
            <w:r w:rsidRPr="00970283">
              <w:rPr>
                <w:rFonts w:cs="Times New Roman"/>
                <w:b/>
                <w:color w:val="0D0D0D"/>
                <w:sz w:val="20"/>
                <w:szCs w:val="20"/>
              </w:rPr>
              <w:t xml:space="preserve">Indicators </w:t>
            </w:r>
          </w:p>
          <w:p w14:paraId="349FBF48" w14:textId="77777777" w:rsidR="003D4F5E" w:rsidRPr="00970283" w:rsidRDefault="003D4F5E" w:rsidP="00A95EC8">
            <w:pPr>
              <w:jc w:val="center"/>
              <w:rPr>
                <w:rFonts w:cs="Times New Roman"/>
                <w:b/>
                <w:color w:val="0D0D0D"/>
                <w:sz w:val="20"/>
                <w:szCs w:val="20"/>
                <w:lang w:val="en-IE"/>
              </w:rPr>
            </w:pPr>
          </w:p>
        </w:tc>
        <w:tc>
          <w:tcPr>
            <w:tcW w:w="529" w:type="pct"/>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14:paraId="6F79FF80" w14:textId="77777777" w:rsidR="003D4F5E" w:rsidRPr="00970283" w:rsidRDefault="003D4F5E" w:rsidP="00A95EC8">
            <w:pPr>
              <w:jc w:val="center"/>
              <w:rPr>
                <w:rFonts w:cs="Times New Roman"/>
                <w:b/>
                <w:color w:val="0D0D0D"/>
                <w:sz w:val="20"/>
                <w:szCs w:val="20"/>
              </w:rPr>
            </w:pPr>
            <w:r w:rsidRPr="00970283">
              <w:rPr>
                <w:rFonts w:cs="Times New Roman"/>
                <w:b/>
                <w:color w:val="0D0D0D"/>
                <w:sz w:val="20"/>
                <w:szCs w:val="20"/>
              </w:rPr>
              <w:t>Baselines</w:t>
            </w:r>
          </w:p>
          <w:p w14:paraId="364BC33E" w14:textId="77777777" w:rsidR="003D4F5E" w:rsidRPr="00970283" w:rsidRDefault="003D4F5E" w:rsidP="00A95EC8">
            <w:pPr>
              <w:jc w:val="center"/>
              <w:rPr>
                <w:rFonts w:cs="Times New Roman"/>
                <w:b/>
                <w:color w:val="0D0D0D"/>
                <w:sz w:val="20"/>
                <w:szCs w:val="20"/>
                <w:lang w:val="en-IE"/>
              </w:rPr>
            </w:pPr>
            <w:r w:rsidRPr="00970283">
              <w:rPr>
                <w:rFonts w:cs="Times New Roman"/>
                <w:b/>
                <w:color w:val="0D0D0D"/>
                <w:sz w:val="20"/>
                <w:szCs w:val="20"/>
              </w:rPr>
              <w:t>(values and years)</w:t>
            </w:r>
          </w:p>
        </w:tc>
        <w:tc>
          <w:tcPr>
            <w:tcW w:w="551" w:type="pct"/>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14:paraId="138DF12D" w14:textId="77777777" w:rsidR="003D4F5E" w:rsidRPr="00970283" w:rsidRDefault="003D4F5E" w:rsidP="00A95EC8">
            <w:pPr>
              <w:jc w:val="center"/>
              <w:rPr>
                <w:rFonts w:cs="Times New Roman"/>
                <w:b/>
                <w:color w:val="0D0D0D"/>
                <w:sz w:val="20"/>
                <w:szCs w:val="20"/>
              </w:rPr>
            </w:pPr>
            <w:r w:rsidRPr="00970283">
              <w:rPr>
                <w:rFonts w:cs="Times New Roman"/>
                <w:b/>
                <w:color w:val="0D0D0D"/>
                <w:sz w:val="20"/>
                <w:szCs w:val="20"/>
              </w:rPr>
              <w:t>Targets</w:t>
            </w:r>
          </w:p>
          <w:p w14:paraId="476A020C" w14:textId="77777777" w:rsidR="003D4F5E" w:rsidRPr="00970283" w:rsidRDefault="003D4F5E" w:rsidP="00A95EC8">
            <w:pPr>
              <w:jc w:val="center"/>
              <w:rPr>
                <w:rFonts w:cs="Times New Roman"/>
                <w:b/>
                <w:color w:val="0D0D0D"/>
                <w:sz w:val="20"/>
                <w:szCs w:val="20"/>
                <w:lang w:val="en-IE"/>
              </w:rPr>
            </w:pPr>
            <w:r w:rsidRPr="00970283">
              <w:rPr>
                <w:rFonts w:cs="Times New Roman"/>
                <w:b/>
                <w:color w:val="0D0D0D"/>
                <w:sz w:val="20"/>
                <w:szCs w:val="20"/>
              </w:rPr>
              <w:t>(values and years)</w:t>
            </w:r>
          </w:p>
        </w:tc>
        <w:tc>
          <w:tcPr>
            <w:tcW w:w="676" w:type="pct"/>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14:paraId="48DD50C3" w14:textId="77777777" w:rsidR="003D4F5E" w:rsidRPr="00970283" w:rsidRDefault="003D4F5E" w:rsidP="00A95EC8">
            <w:pPr>
              <w:jc w:val="center"/>
              <w:rPr>
                <w:rFonts w:cs="Times New Roman"/>
                <w:b/>
                <w:color w:val="0D0D0D"/>
                <w:sz w:val="20"/>
                <w:szCs w:val="20"/>
                <w:lang w:val="en-IE"/>
              </w:rPr>
            </w:pPr>
            <w:r w:rsidRPr="00970283">
              <w:rPr>
                <w:rFonts w:cs="Times New Roman"/>
                <w:b/>
                <w:color w:val="0D0D0D"/>
                <w:sz w:val="20"/>
                <w:szCs w:val="20"/>
              </w:rPr>
              <w:t>Sources of data</w:t>
            </w:r>
          </w:p>
        </w:tc>
        <w:tc>
          <w:tcPr>
            <w:tcW w:w="812" w:type="pct"/>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14:paraId="6D7030D6" w14:textId="77777777" w:rsidR="003D4F5E" w:rsidRPr="00970283" w:rsidRDefault="003D4F5E" w:rsidP="00A95EC8">
            <w:pPr>
              <w:jc w:val="center"/>
              <w:rPr>
                <w:rFonts w:cs="Times New Roman"/>
                <w:b/>
                <w:color w:val="0D0D0D"/>
                <w:sz w:val="20"/>
                <w:szCs w:val="20"/>
                <w:lang w:val="en-IE"/>
              </w:rPr>
            </w:pPr>
            <w:r w:rsidRPr="00970283">
              <w:rPr>
                <w:rFonts w:cs="Times New Roman"/>
                <w:b/>
                <w:color w:val="0D0D0D"/>
                <w:sz w:val="20"/>
                <w:szCs w:val="20"/>
              </w:rPr>
              <w:t>Assumptions</w:t>
            </w:r>
          </w:p>
        </w:tc>
      </w:tr>
      <w:tr w:rsidR="00082834" w14:paraId="34C6366A" w14:textId="77777777" w:rsidTr="00970283">
        <w:tc>
          <w:tcPr>
            <w:tcW w:w="617" w:type="pct"/>
            <w:vMerge w:val="restart"/>
            <w:tcBorders>
              <w:top w:val="single" w:sz="4" w:space="0" w:color="000000"/>
              <w:left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3C486AE7" w14:textId="77777777" w:rsidR="00082834" w:rsidRPr="00970283" w:rsidRDefault="00082834" w:rsidP="00A95EC8">
            <w:pPr>
              <w:tabs>
                <w:tab w:val="left" w:pos="0"/>
                <w:tab w:val="left" w:pos="132"/>
              </w:tabs>
              <w:ind w:right="113"/>
              <w:rPr>
                <w:rFonts w:cs="Times New Roman"/>
                <w:b/>
                <w:color w:val="0D0D0D"/>
                <w:sz w:val="20"/>
                <w:szCs w:val="20"/>
                <w:lang w:val="en-IE"/>
              </w:rPr>
            </w:pPr>
            <w:r w:rsidRPr="00970283">
              <w:rPr>
                <w:rFonts w:cs="Times New Roman"/>
                <w:b/>
                <w:color w:val="0D0D0D"/>
                <w:sz w:val="20"/>
                <w:szCs w:val="20"/>
                <w:lang w:val="en-IE"/>
              </w:rPr>
              <w:t>Impact</w:t>
            </w:r>
          </w:p>
        </w:tc>
        <w:tc>
          <w:tcPr>
            <w:tcW w:w="688"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14:paraId="4139EF31" w14:textId="102BC955" w:rsidR="00082834" w:rsidRPr="00970283" w:rsidRDefault="00082834" w:rsidP="00A95EC8">
            <w:pPr>
              <w:jc w:val="left"/>
              <w:rPr>
                <w:rFonts w:cs="Times New Roman"/>
                <w:color w:val="0D0D0D"/>
                <w:sz w:val="20"/>
                <w:szCs w:val="20"/>
                <w:lang w:val="en-IE"/>
              </w:rPr>
            </w:pPr>
            <w:r w:rsidRPr="00970283">
              <w:rPr>
                <w:rFonts w:cs="Times New Roman"/>
                <w:color w:val="000000" w:themeColor="text1"/>
                <w:sz w:val="20"/>
                <w:szCs w:val="20"/>
                <w:lang w:val="en-IE"/>
              </w:rPr>
              <w:t xml:space="preserve">To fight discrimination and protect the human rights of children </w:t>
            </w:r>
            <w:r w:rsidRPr="00970283">
              <w:rPr>
                <w:rFonts w:cs="Times New Roman"/>
                <w:color w:val="0D0D0D"/>
                <w:sz w:val="20"/>
                <w:szCs w:val="20"/>
                <w:lang w:val="en-IE"/>
              </w:rPr>
              <w:t>and women, persons with disabilities, LGBTI and minorities.</w:t>
            </w:r>
          </w:p>
        </w:tc>
        <w:tc>
          <w:tcPr>
            <w:tcW w:w="112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69A0B62" w14:textId="77777777" w:rsidR="00082834" w:rsidRPr="00970283" w:rsidRDefault="00082834" w:rsidP="00A95EC8">
            <w:pPr>
              <w:rPr>
                <w:rFonts w:cs="Times New Roman"/>
                <w:color w:val="0D0D0D"/>
                <w:sz w:val="20"/>
                <w:szCs w:val="20"/>
                <w:lang w:val="en-IE"/>
              </w:rPr>
            </w:pPr>
            <w:r w:rsidRPr="00970283">
              <w:rPr>
                <w:rFonts w:cs="Times New Roman"/>
                <w:iCs/>
                <w:sz w:val="20"/>
                <w:szCs w:val="20"/>
              </w:rPr>
              <w:t>At-the-risk of poverty rate</w:t>
            </w:r>
            <w:r w:rsidRPr="00970283">
              <w:rPr>
                <w:rStyle w:val="Refdenotaalpie"/>
                <w:rFonts w:cs="Times New Roman"/>
                <w:sz w:val="20"/>
                <w:szCs w:val="20"/>
              </w:rPr>
              <w:footnoteReference w:id="27"/>
            </w:r>
          </w:p>
        </w:tc>
        <w:tc>
          <w:tcPr>
            <w:tcW w:w="52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81BDEEC" w14:textId="77777777" w:rsidR="00082834" w:rsidRPr="00970283" w:rsidRDefault="00082834" w:rsidP="00A95EC8">
            <w:pPr>
              <w:jc w:val="center"/>
              <w:rPr>
                <w:rFonts w:cs="Times New Roman"/>
                <w:sz w:val="20"/>
                <w:szCs w:val="20"/>
              </w:rPr>
            </w:pPr>
            <w:r w:rsidRPr="00970283">
              <w:rPr>
                <w:rFonts w:cs="Times New Roman"/>
                <w:sz w:val="20"/>
                <w:szCs w:val="20"/>
              </w:rPr>
              <w:t>21.8% (2020)</w:t>
            </w:r>
          </w:p>
          <w:p w14:paraId="225D237C" w14:textId="77777777" w:rsidR="00082834" w:rsidRPr="00970283" w:rsidRDefault="00082834" w:rsidP="00A95EC8">
            <w:pPr>
              <w:jc w:val="center"/>
              <w:rPr>
                <w:rFonts w:cs="Times New Roman"/>
                <w:sz w:val="20"/>
                <w:szCs w:val="20"/>
                <w:lang w:val="en-IE"/>
              </w:rPr>
            </w:pPr>
            <w:r w:rsidRPr="00970283">
              <w:rPr>
                <w:rFonts w:cs="Times New Roman"/>
                <w:sz w:val="20"/>
                <w:szCs w:val="20"/>
                <w:lang w:val="en-IE"/>
              </w:rPr>
              <w:t>21,9% (women)</w:t>
            </w:r>
          </w:p>
          <w:p w14:paraId="3EB38D9C" w14:textId="2C631E33" w:rsidR="00082834" w:rsidRPr="00970283" w:rsidRDefault="00082834" w:rsidP="00A95EC8">
            <w:pPr>
              <w:jc w:val="center"/>
              <w:rPr>
                <w:rFonts w:cs="Times New Roman"/>
                <w:color w:val="0D0D0D"/>
                <w:sz w:val="20"/>
                <w:szCs w:val="20"/>
                <w:u w:val="single"/>
                <w:lang w:val="en-IE"/>
              </w:rPr>
            </w:pPr>
            <w:r w:rsidRPr="00970283">
              <w:rPr>
                <w:rFonts w:cs="Times New Roman"/>
                <w:color w:val="0D0D0D"/>
                <w:sz w:val="20"/>
                <w:szCs w:val="20"/>
                <w:lang w:val="en-IE"/>
              </w:rPr>
              <w:t>21,7% (men)</w:t>
            </w:r>
          </w:p>
        </w:tc>
        <w:tc>
          <w:tcPr>
            <w:tcW w:w="55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94C7FCE" w14:textId="1F038903" w:rsidR="00082834" w:rsidRPr="00970283" w:rsidRDefault="00082834" w:rsidP="00A95EC8">
            <w:pPr>
              <w:jc w:val="center"/>
              <w:rPr>
                <w:rFonts w:cs="Times New Roman"/>
                <w:color w:val="0D0D0D"/>
                <w:sz w:val="20"/>
                <w:szCs w:val="20"/>
                <w:lang w:val="en-IE"/>
              </w:rPr>
            </w:pPr>
            <w:r w:rsidRPr="00970283">
              <w:rPr>
                <w:rFonts w:cs="Times New Roman"/>
                <w:iCs/>
                <w:sz w:val="20"/>
                <w:szCs w:val="20"/>
              </w:rPr>
              <w:t>≤</w:t>
            </w:r>
            <w:r w:rsidRPr="00970283">
              <w:rPr>
                <w:rFonts w:cs="Times New Roman"/>
                <w:iCs/>
                <w:sz w:val="20"/>
                <w:szCs w:val="20"/>
                <w:lang w:val="de-DE"/>
              </w:rPr>
              <w:t xml:space="preserve"> </w:t>
            </w:r>
            <w:r w:rsidRPr="00970283">
              <w:rPr>
                <w:rFonts w:cs="Times New Roman"/>
                <w:iCs/>
                <w:sz w:val="20"/>
                <w:szCs w:val="20"/>
              </w:rPr>
              <w:t>18</w:t>
            </w:r>
            <w:r w:rsidRPr="00970283">
              <w:rPr>
                <w:rFonts w:cs="Times New Roman"/>
                <w:iCs/>
                <w:sz w:val="20"/>
                <w:szCs w:val="20"/>
                <w:lang w:val="de-DE"/>
              </w:rPr>
              <w:t xml:space="preserve"> </w:t>
            </w:r>
            <w:r w:rsidRPr="00970283">
              <w:rPr>
                <w:rFonts w:cs="Times New Roman"/>
                <w:iCs/>
                <w:sz w:val="20"/>
                <w:szCs w:val="20"/>
              </w:rPr>
              <w:t>% (2027)</w:t>
            </w:r>
          </w:p>
        </w:tc>
        <w:tc>
          <w:tcPr>
            <w:tcW w:w="676"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6CFA50D" w14:textId="77777777" w:rsidR="00082834" w:rsidRPr="00970283" w:rsidRDefault="00082834" w:rsidP="00A95EC8">
            <w:pPr>
              <w:rPr>
                <w:rFonts w:cs="Times New Roman"/>
                <w:color w:val="0D0D0D"/>
                <w:sz w:val="20"/>
                <w:szCs w:val="20"/>
                <w:lang w:val="en-IE"/>
              </w:rPr>
            </w:pPr>
            <w:r w:rsidRPr="00970283">
              <w:rPr>
                <w:rFonts w:cs="Times New Roman"/>
                <w:iCs/>
                <w:sz w:val="20"/>
                <w:szCs w:val="20"/>
                <w:lang w:val="en-US"/>
              </w:rPr>
              <w:t>EUROSTAT</w:t>
            </w:r>
            <w:r w:rsidRPr="00970283">
              <w:rPr>
                <w:rFonts w:cs="Times New Roman"/>
                <w:color w:val="0D0D0D"/>
                <w:sz w:val="20"/>
                <w:szCs w:val="20"/>
                <w:lang w:val="en-IE"/>
              </w:rPr>
              <w:t xml:space="preserve"> </w:t>
            </w:r>
          </w:p>
        </w:tc>
        <w:tc>
          <w:tcPr>
            <w:tcW w:w="812" w:type="pct"/>
            <w:vMerge w:val="restart"/>
            <w:tcBorders>
              <w:top w:val="single" w:sz="4" w:space="0" w:color="000000"/>
              <w:left w:val="single" w:sz="4" w:space="0" w:color="000000"/>
              <w:right w:val="single" w:sz="4" w:space="0" w:color="000000"/>
              <w:tl2br w:val="nil"/>
              <w:tr2bl w:val="nil"/>
            </w:tcBorders>
            <w:shd w:val="solid" w:color="7F7F7F" w:fill="auto"/>
            <w:tcMar>
              <w:top w:w="0" w:type="dxa"/>
              <w:left w:w="108" w:type="dxa"/>
              <w:bottom w:w="0" w:type="dxa"/>
              <w:right w:w="108" w:type="dxa"/>
            </w:tcMar>
            <w:vAlign w:val="center"/>
          </w:tcPr>
          <w:p w14:paraId="76FBCBCC" w14:textId="77777777" w:rsidR="00082834" w:rsidRPr="00970283" w:rsidRDefault="00082834" w:rsidP="00A95EC8">
            <w:pPr>
              <w:rPr>
                <w:rFonts w:cs="Times New Roman"/>
                <w:i/>
                <w:color w:val="0D0D0D"/>
                <w:sz w:val="20"/>
                <w:szCs w:val="20"/>
                <w:highlight w:val="yellow"/>
                <w:lang w:val="en-IE"/>
              </w:rPr>
            </w:pPr>
          </w:p>
        </w:tc>
      </w:tr>
      <w:tr w:rsidR="00082834" w14:paraId="3DE92651" w14:textId="77777777" w:rsidTr="00970283">
        <w:tc>
          <w:tcPr>
            <w:tcW w:w="617" w:type="pct"/>
            <w:vMerge/>
            <w:tcBorders>
              <w:left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33224A2A" w14:textId="77777777" w:rsidR="00082834" w:rsidRPr="00970283" w:rsidRDefault="00082834" w:rsidP="00A95EC8">
            <w:pPr>
              <w:rPr>
                <w:rFonts w:cs="Times New Roman"/>
                <w:sz w:val="20"/>
                <w:szCs w:val="20"/>
              </w:rPr>
            </w:pPr>
          </w:p>
        </w:tc>
        <w:tc>
          <w:tcPr>
            <w:tcW w:w="688" w:type="pct"/>
            <w:vMerge/>
            <w:tcBorders>
              <w:left w:val="single" w:sz="4" w:space="0" w:color="000000"/>
              <w:right w:val="single" w:sz="4" w:space="0" w:color="000000"/>
              <w:tl2br w:val="nil"/>
              <w:tr2bl w:val="nil"/>
            </w:tcBorders>
            <w:tcMar>
              <w:top w:w="0" w:type="dxa"/>
              <w:left w:w="108" w:type="dxa"/>
              <w:bottom w:w="0" w:type="dxa"/>
              <w:right w:w="108" w:type="dxa"/>
            </w:tcMar>
            <w:vAlign w:val="center"/>
          </w:tcPr>
          <w:p w14:paraId="4583F5F0" w14:textId="77777777" w:rsidR="00082834" w:rsidRPr="00970283" w:rsidRDefault="00082834" w:rsidP="00A95EC8">
            <w:pPr>
              <w:rPr>
                <w:rFonts w:cs="Times New Roman"/>
                <w:sz w:val="20"/>
                <w:szCs w:val="20"/>
              </w:rPr>
            </w:pPr>
          </w:p>
        </w:tc>
        <w:tc>
          <w:tcPr>
            <w:tcW w:w="112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27ED95E" w14:textId="77777777" w:rsidR="00082834" w:rsidRPr="00970283" w:rsidRDefault="00082834" w:rsidP="00A95EC8">
            <w:pPr>
              <w:rPr>
                <w:rFonts w:cs="Times New Roman"/>
                <w:color w:val="0D0D0D"/>
                <w:sz w:val="20"/>
                <w:szCs w:val="20"/>
                <w:lang w:val="en-IE"/>
              </w:rPr>
            </w:pPr>
            <w:r w:rsidRPr="00970283">
              <w:rPr>
                <w:rFonts w:cs="Times New Roman"/>
                <w:iCs/>
                <w:sz w:val="20"/>
                <w:szCs w:val="20"/>
              </w:rPr>
              <w:t>Gender Equality Index</w:t>
            </w:r>
            <w:r w:rsidRPr="00970283">
              <w:rPr>
                <w:rStyle w:val="Refdenotaalpie"/>
                <w:rFonts w:cs="Times New Roman"/>
                <w:iCs/>
                <w:sz w:val="20"/>
                <w:szCs w:val="20"/>
              </w:rPr>
              <w:footnoteReference w:id="28"/>
            </w:r>
          </w:p>
        </w:tc>
        <w:tc>
          <w:tcPr>
            <w:tcW w:w="52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765DB8B" w14:textId="77777777" w:rsidR="00082834" w:rsidRPr="00970283" w:rsidRDefault="00082834" w:rsidP="00A95EC8">
            <w:pPr>
              <w:jc w:val="center"/>
              <w:rPr>
                <w:rFonts w:cs="Times New Roman"/>
                <w:color w:val="0D0D0D"/>
                <w:sz w:val="20"/>
                <w:szCs w:val="20"/>
                <w:lang w:val="en-IE"/>
              </w:rPr>
            </w:pPr>
            <w:r w:rsidRPr="00970283">
              <w:rPr>
                <w:rFonts w:cs="Times New Roman"/>
                <w:iCs/>
                <w:sz w:val="20"/>
                <w:szCs w:val="20"/>
              </w:rPr>
              <w:t>62 points</w:t>
            </w:r>
          </w:p>
        </w:tc>
        <w:tc>
          <w:tcPr>
            <w:tcW w:w="55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9A428A7" w14:textId="77777777" w:rsidR="00082834" w:rsidRPr="00970283" w:rsidRDefault="00082834" w:rsidP="00A95EC8">
            <w:pPr>
              <w:jc w:val="center"/>
              <w:rPr>
                <w:rFonts w:cs="Times New Roman"/>
                <w:color w:val="0D0D0D"/>
                <w:sz w:val="20"/>
                <w:szCs w:val="20"/>
                <w:lang w:val="en-IE"/>
              </w:rPr>
            </w:pPr>
            <w:r w:rsidRPr="00970283">
              <w:rPr>
                <w:rFonts w:cs="Times New Roman"/>
                <w:iCs/>
                <w:sz w:val="20"/>
                <w:szCs w:val="20"/>
              </w:rPr>
              <w:t>66 points (2027)</w:t>
            </w:r>
          </w:p>
        </w:tc>
        <w:tc>
          <w:tcPr>
            <w:tcW w:w="676"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B8819B" w14:textId="77777777" w:rsidR="00082834" w:rsidRPr="00970283" w:rsidRDefault="00082834" w:rsidP="00A95EC8">
            <w:pPr>
              <w:jc w:val="left"/>
              <w:rPr>
                <w:rFonts w:cs="Times New Roman"/>
                <w:color w:val="0D0D0D"/>
                <w:sz w:val="20"/>
                <w:szCs w:val="20"/>
                <w:lang w:val="en-IE"/>
              </w:rPr>
            </w:pPr>
            <w:r w:rsidRPr="00970283">
              <w:rPr>
                <w:rFonts w:cs="Times New Roman"/>
                <w:iCs/>
                <w:sz w:val="20"/>
                <w:szCs w:val="20"/>
                <w:lang w:val="en-US"/>
              </w:rPr>
              <w:t>European Institute for Gender Equality (EIGE)</w:t>
            </w:r>
          </w:p>
        </w:tc>
        <w:tc>
          <w:tcPr>
            <w:tcW w:w="812" w:type="pct"/>
            <w:vMerge/>
            <w:tcBorders>
              <w:left w:val="single" w:sz="4" w:space="0" w:color="000000"/>
              <w:right w:val="single" w:sz="4" w:space="0" w:color="000000"/>
              <w:tl2br w:val="nil"/>
              <w:tr2bl w:val="nil"/>
            </w:tcBorders>
            <w:shd w:val="solid" w:color="7F7F7F" w:fill="auto"/>
            <w:tcMar>
              <w:top w:w="0" w:type="dxa"/>
              <w:left w:w="108" w:type="dxa"/>
              <w:bottom w:w="0" w:type="dxa"/>
              <w:right w:w="108" w:type="dxa"/>
            </w:tcMar>
            <w:vAlign w:val="center"/>
          </w:tcPr>
          <w:p w14:paraId="16510994" w14:textId="77777777" w:rsidR="00082834" w:rsidRPr="00970283" w:rsidRDefault="00082834" w:rsidP="00A95EC8">
            <w:pPr>
              <w:rPr>
                <w:rFonts w:cs="Times New Roman"/>
                <w:sz w:val="20"/>
                <w:szCs w:val="20"/>
              </w:rPr>
            </w:pPr>
          </w:p>
        </w:tc>
      </w:tr>
      <w:tr w:rsidR="00082834" w14:paraId="7BE0C6F4" w14:textId="77777777" w:rsidTr="00970283">
        <w:tc>
          <w:tcPr>
            <w:tcW w:w="617" w:type="pct"/>
            <w:vMerge/>
            <w:tcBorders>
              <w:left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346FCA11" w14:textId="77777777" w:rsidR="00082834" w:rsidRPr="00970283" w:rsidRDefault="00082834" w:rsidP="00A95EC8">
            <w:pPr>
              <w:rPr>
                <w:rFonts w:cs="Times New Roman"/>
                <w:sz w:val="20"/>
                <w:szCs w:val="20"/>
              </w:rPr>
            </w:pPr>
          </w:p>
        </w:tc>
        <w:tc>
          <w:tcPr>
            <w:tcW w:w="688" w:type="pct"/>
            <w:vMerge/>
            <w:tcBorders>
              <w:left w:val="single" w:sz="4" w:space="0" w:color="000000"/>
              <w:right w:val="single" w:sz="4" w:space="0" w:color="000000"/>
              <w:tl2br w:val="nil"/>
              <w:tr2bl w:val="nil"/>
            </w:tcBorders>
            <w:tcMar>
              <w:top w:w="0" w:type="dxa"/>
              <w:left w:w="108" w:type="dxa"/>
              <w:bottom w:w="0" w:type="dxa"/>
              <w:right w:w="108" w:type="dxa"/>
            </w:tcMar>
            <w:vAlign w:val="center"/>
          </w:tcPr>
          <w:p w14:paraId="3FA7C372" w14:textId="77777777" w:rsidR="00082834" w:rsidRPr="00970283" w:rsidRDefault="00082834" w:rsidP="00A95EC8">
            <w:pPr>
              <w:rPr>
                <w:rFonts w:cs="Times New Roman"/>
                <w:sz w:val="20"/>
                <w:szCs w:val="20"/>
              </w:rPr>
            </w:pPr>
          </w:p>
        </w:tc>
        <w:tc>
          <w:tcPr>
            <w:tcW w:w="112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201BB04" w14:textId="77777777" w:rsidR="00082834" w:rsidRPr="00970283" w:rsidRDefault="00082834" w:rsidP="00A95EC8">
            <w:pPr>
              <w:rPr>
                <w:rFonts w:cs="Times New Roman"/>
                <w:color w:val="0D0D0D"/>
                <w:sz w:val="20"/>
                <w:szCs w:val="20"/>
                <w:lang w:val="en-IE"/>
              </w:rPr>
            </w:pPr>
            <w:r w:rsidRPr="00970283">
              <w:rPr>
                <w:rFonts w:cs="Times New Roman"/>
                <w:sz w:val="20"/>
                <w:szCs w:val="20"/>
              </w:rPr>
              <w:t>Human Development Index</w:t>
            </w:r>
            <w:r w:rsidRPr="00970283">
              <w:rPr>
                <w:rStyle w:val="Refdenotaalpie"/>
                <w:rFonts w:cs="Times New Roman"/>
                <w:sz w:val="20"/>
                <w:szCs w:val="20"/>
              </w:rPr>
              <w:footnoteReference w:id="29"/>
            </w:r>
          </w:p>
        </w:tc>
        <w:tc>
          <w:tcPr>
            <w:tcW w:w="52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77050AF" w14:textId="77777777" w:rsidR="00082834" w:rsidRPr="00970283" w:rsidRDefault="00082834" w:rsidP="00A95EC8">
            <w:pPr>
              <w:jc w:val="center"/>
              <w:rPr>
                <w:rFonts w:cs="Times New Roman"/>
                <w:color w:val="0D0D0D"/>
                <w:sz w:val="20"/>
                <w:szCs w:val="20"/>
                <w:lang w:val="en-IE"/>
              </w:rPr>
            </w:pPr>
            <w:r w:rsidRPr="00970283">
              <w:rPr>
                <w:rFonts w:cs="Times New Roman"/>
                <w:sz w:val="20"/>
                <w:szCs w:val="20"/>
              </w:rPr>
              <w:t>0,77 (2021)</w:t>
            </w:r>
          </w:p>
        </w:tc>
        <w:tc>
          <w:tcPr>
            <w:tcW w:w="55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AD4274F" w14:textId="77777777" w:rsidR="00082834" w:rsidRPr="00970283" w:rsidRDefault="00082834" w:rsidP="00A95EC8">
            <w:pPr>
              <w:jc w:val="center"/>
              <w:rPr>
                <w:rFonts w:cs="Times New Roman"/>
                <w:color w:val="0D0D0D"/>
                <w:sz w:val="20"/>
                <w:szCs w:val="20"/>
                <w:lang w:val="en-IE"/>
              </w:rPr>
            </w:pPr>
            <w:r w:rsidRPr="00970283">
              <w:rPr>
                <w:rFonts w:cs="Times New Roman"/>
                <w:sz w:val="20"/>
                <w:szCs w:val="20"/>
              </w:rPr>
              <w:t>0,790 (2027)</w:t>
            </w:r>
          </w:p>
        </w:tc>
        <w:tc>
          <w:tcPr>
            <w:tcW w:w="676"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7F4E474" w14:textId="77777777" w:rsidR="00082834" w:rsidRPr="00970283" w:rsidRDefault="00082834" w:rsidP="00A95EC8">
            <w:pPr>
              <w:rPr>
                <w:rFonts w:cs="Times New Roman"/>
                <w:color w:val="0D0D0D"/>
                <w:sz w:val="20"/>
                <w:szCs w:val="20"/>
                <w:lang w:val="en-IE"/>
              </w:rPr>
            </w:pPr>
            <w:r w:rsidRPr="00970283">
              <w:rPr>
                <w:rFonts w:cs="Times New Roman"/>
                <w:sz w:val="20"/>
                <w:szCs w:val="20"/>
              </w:rPr>
              <w:t>HRD UNDP</w:t>
            </w:r>
          </w:p>
        </w:tc>
        <w:tc>
          <w:tcPr>
            <w:tcW w:w="812" w:type="pct"/>
            <w:vMerge/>
            <w:tcBorders>
              <w:left w:val="single" w:sz="4" w:space="0" w:color="000000"/>
              <w:right w:val="single" w:sz="4" w:space="0" w:color="000000"/>
              <w:tl2br w:val="nil"/>
              <w:tr2bl w:val="nil"/>
            </w:tcBorders>
            <w:shd w:val="solid" w:color="7F7F7F" w:fill="auto"/>
            <w:tcMar>
              <w:top w:w="0" w:type="dxa"/>
              <w:left w:w="108" w:type="dxa"/>
              <w:bottom w:w="0" w:type="dxa"/>
              <w:right w:w="108" w:type="dxa"/>
            </w:tcMar>
            <w:vAlign w:val="center"/>
          </w:tcPr>
          <w:p w14:paraId="38ED1F91" w14:textId="77777777" w:rsidR="00082834" w:rsidRPr="00970283" w:rsidRDefault="00082834" w:rsidP="00A95EC8">
            <w:pPr>
              <w:rPr>
                <w:rFonts w:cs="Times New Roman"/>
                <w:sz w:val="20"/>
                <w:szCs w:val="20"/>
              </w:rPr>
            </w:pPr>
          </w:p>
        </w:tc>
      </w:tr>
      <w:tr w:rsidR="00082834" w14:paraId="746025CF" w14:textId="77777777" w:rsidTr="00970283">
        <w:tc>
          <w:tcPr>
            <w:tcW w:w="617" w:type="pct"/>
            <w:vMerge/>
            <w:tcBorders>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271D5C76" w14:textId="77777777" w:rsidR="00082834" w:rsidRPr="00970283" w:rsidRDefault="00082834" w:rsidP="006E6305">
            <w:pPr>
              <w:rPr>
                <w:rFonts w:cs="Times New Roman"/>
                <w:sz w:val="20"/>
                <w:szCs w:val="20"/>
              </w:rPr>
            </w:pPr>
          </w:p>
        </w:tc>
        <w:tc>
          <w:tcPr>
            <w:tcW w:w="688"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C70EABE" w14:textId="77777777" w:rsidR="00082834" w:rsidRPr="00970283" w:rsidRDefault="00082834" w:rsidP="006E6305">
            <w:pPr>
              <w:rPr>
                <w:rFonts w:cs="Times New Roman"/>
                <w:sz w:val="20"/>
                <w:szCs w:val="20"/>
              </w:rPr>
            </w:pPr>
          </w:p>
        </w:tc>
        <w:tc>
          <w:tcPr>
            <w:tcW w:w="112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2EA46A1" w14:textId="348E2ED0" w:rsidR="00082834" w:rsidRPr="00970283" w:rsidRDefault="00082834" w:rsidP="006E6305">
            <w:pPr>
              <w:jc w:val="left"/>
              <w:rPr>
                <w:rFonts w:cs="Times New Roman"/>
                <w:sz w:val="20"/>
                <w:szCs w:val="20"/>
              </w:rPr>
            </w:pPr>
            <w:r w:rsidRPr="00970283">
              <w:rPr>
                <w:rFonts w:cs="Times New Roman"/>
                <w:color w:val="0D0D0D"/>
                <w:sz w:val="20"/>
                <w:szCs w:val="20"/>
                <w:lang w:val="en-IE"/>
              </w:rPr>
              <w:t xml:space="preserve">Percentage of pupils coping with stress </w:t>
            </w:r>
          </w:p>
        </w:tc>
        <w:tc>
          <w:tcPr>
            <w:tcW w:w="52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0A44C87" w14:textId="4DA6BED9" w:rsidR="00082834" w:rsidRPr="00970283" w:rsidRDefault="00082834" w:rsidP="006E6305">
            <w:pPr>
              <w:jc w:val="center"/>
              <w:rPr>
                <w:rFonts w:cs="Times New Roman"/>
                <w:sz w:val="20"/>
                <w:szCs w:val="20"/>
              </w:rPr>
            </w:pPr>
            <w:r w:rsidRPr="00970283">
              <w:rPr>
                <w:rFonts w:cs="Times New Roman"/>
                <w:color w:val="0D0D0D"/>
                <w:sz w:val="20"/>
                <w:szCs w:val="20"/>
                <w:lang w:val="en-IE"/>
              </w:rPr>
              <w:t>87% (2018)</w:t>
            </w:r>
            <w:r w:rsidRPr="00970283">
              <w:rPr>
                <w:rStyle w:val="Refdenotaalpie"/>
                <w:rFonts w:cs="Times New Roman"/>
                <w:color w:val="0D0D0D"/>
                <w:sz w:val="20"/>
                <w:szCs w:val="20"/>
                <w:lang w:val="en-IE"/>
              </w:rPr>
              <w:footnoteReference w:id="30"/>
            </w:r>
          </w:p>
        </w:tc>
        <w:tc>
          <w:tcPr>
            <w:tcW w:w="55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A18C02B" w14:textId="7E72C5F0" w:rsidR="00082834" w:rsidRPr="00970283" w:rsidRDefault="00082834" w:rsidP="006E6305">
            <w:pPr>
              <w:jc w:val="center"/>
              <w:rPr>
                <w:rFonts w:cs="Times New Roman"/>
                <w:sz w:val="20"/>
                <w:szCs w:val="20"/>
              </w:rPr>
            </w:pPr>
            <w:r w:rsidRPr="00970283">
              <w:rPr>
                <w:rFonts w:cs="Times New Roman"/>
                <w:color w:val="0D0D0D"/>
                <w:sz w:val="20"/>
                <w:szCs w:val="20"/>
                <w:lang w:val="en-IE"/>
              </w:rPr>
              <w:t>70% (2026 survey with results in 2027)</w:t>
            </w:r>
          </w:p>
        </w:tc>
        <w:tc>
          <w:tcPr>
            <w:tcW w:w="676"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2911C65" w14:textId="4D3EE4DE" w:rsidR="00082834" w:rsidRPr="00970283" w:rsidRDefault="00082834" w:rsidP="006E6305">
            <w:pPr>
              <w:rPr>
                <w:rFonts w:cs="Times New Roman"/>
                <w:sz w:val="20"/>
                <w:szCs w:val="20"/>
              </w:rPr>
            </w:pPr>
            <w:r w:rsidRPr="00970283">
              <w:rPr>
                <w:rFonts w:cs="Times New Roman"/>
                <w:color w:val="0D0D0D"/>
                <w:sz w:val="20"/>
                <w:szCs w:val="20"/>
                <w:lang w:val="en-IE"/>
              </w:rPr>
              <w:t>HBSC</w:t>
            </w:r>
            <w:r w:rsidRPr="00970283">
              <w:rPr>
                <w:rStyle w:val="Refdenotaalpie"/>
                <w:rFonts w:cs="Times New Roman"/>
                <w:color w:val="0D0D0D"/>
                <w:sz w:val="20"/>
                <w:szCs w:val="20"/>
                <w:lang w:val="en-IE"/>
              </w:rPr>
              <w:footnoteReference w:id="31"/>
            </w:r>
            <w:r w:rsidRPr="00970283">
              <w:rPr>
                <w:rFonts w:cs="Times New Roman"/>
                <w:color w:val="0D0D0D"/>
                <w:sz w:val="20"/>
                <w:szCs w:val="20"/>
                <w:lang w:val="en-IE"/>
              </w:rPr>
              <w:t xml:space="preserve"> Study BDE (MoES)</w:t>
            </w:r>
          </w:p>
        </w:tc>
        <w:tc>
          <w:tcPr>
            <w:tcW w:w="812" w:type="pct"/>
            <w:vMerge/>
            <w:tcBorders>
              <w:left w:val="single" w:sz="4" w:space="0" w:color="000000"/>
              <w:bottom w:val="single" w:sz="4" w:space="0" w:color="000000"/>
              <w:right w:val="single" w:sz="4" w:space="0" w:color="000000"/>
              <w:tl2br w:val="nil"/>
              <w:tr2bl w:val="nil"/>
            </w:tcBorders>
            <w:shd w:val="solid" w:color="7F7F7F" w:fill="auto"/>
            <w:tcMar>
              <w:top w:w="0" w:type="dxa"/>
              <w:left w:w="108" w:type="dxa"/>
              <w:bottom w:w="0" w:type="dxa"/>
              <w:right w:w="108" w:type="dxa"/>
            </w:tcMar>
            <w:vAlign w:val="center"/>
          </w:tcPr>
          <w:p w14:paraId="23FB2250" w14:textId="77777777" w:rsidR="00082834" w:rsidRPr="00970283" w:rsidRDefault="00082834" w:rsidP="006E6305">
            <w:pPr>
              <w:rPr>
                <w:rFonts w:cs="Times New Roman"/>
                <w:sz w:val="20"/>
                <w:szCs w:val="20"/>
              </w:rPr>
            </w:pPr>
          </w:p>
        </w:tc>
      </w:tr>
      <w:tr w:rsidR="00082834" w14:paraId="5E88BD56" w14:textId="77777777" w:rsidTr="0071346C">
        <w:tc>
          <w:tcPr>
            <w:tcW w:w="617" w:type="pct"/>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793D7134" w14:textId="77777777" w:rsidR="006E6305" w:rsidRPr="00970283" w:rsidRDefault="006E6305" w:rsidP="006E6305">
            <w:pPr>
              <w:tabs>
                <w:tab w:val="left" w:pos="12"/>
              </w:tabs>
              <w:ind w:left="12"/>
              <w:rPr>
                <w:rFonts w:cs="Times New Roman"/>
                <w:b/>
                <w:color w:val="0D0D0D"/>
                <w:sz w:val="20"/>
                <w:szCs w:val="20"/>
                <w:lang w:val="en-IE"/>
              </w:rPr>
            </w:pPr>
            <w:r w:rsidRPr="00970283">
              <w:rPr>
                <w:rFonts w:cs="Times New Roman"/>
                <w:b/>
                <w:color w:val="0D0D0D"/>
                <w:sz w:val="20"/>
                <w:szCs w:val="20"/>
                <w:lang w:val="en-IE"/>
              </w:rPr>
              <w:t>Outcome 1</w:t>
            </w:r>
          </w:p>
        </w:tc>
        <w:tc>
          <w:tcPr>
            <w:tcW w:w="688"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52CCDC1" w14:textId="77777777" w:rsidR="006E6305" w:rsidRPr="00970283" w:rsidRDefault="006E6305" w:rsidP="006E6305">
            <w:pPr>
              <w:jc w:val="left"/>
              <w:rPr>
                <w:rFonts w:cs="Times New Roman"/>
                <w:color w:val="0D0D0D"/>
                <w:sz w:val="20"/>
                <w:szCs w:val="20"/>
              </w:rPr>
            </w:pPr>
            <w:r w:rsidRPr="00970283">
              <w:rPr>
                <w:rFonts w:cs="Times New Roman"/>
                <w:color w:val="0D0D0D"/>
                <w:sz w:val="20"/>
                <w:szCs w:val="20"/>
              </w:rPr>
              <w:t>Enhanced response to gender-based violence and domestic violence</w:t>
            </w:r>
          </w:p>
        </w:tc>
        <w:tc>
          <w:tcPr>
            <w:tcW w:w="112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2DE3450" w14:textId="63D2C3A6" w:rsidR="006E6305" w:rsidRPr="00970283" w:rsidRDefault="006E6305">
            <w:pPr>
              <w:jc w:val="left"/>
              <w:rPr>
                <w:rFonts w:cs="Times New Roman"/>
                <w:color w:val="0D0D0D"/>
                <w:sz w:val="20"/>
                <w:szCs w:val="20"/>
                <w:lang w:val="en-IE"/>
              </w:rPr>
            </w:pPr>
            <w:r w:rsidRPr="00970283">
              <w:rPr>
                <w:rFonts w:cs="Times New Roman"/>
                <w:bCs/>
                <w:iCs/>
                <w:sz w:val="20"/>
                <w:szCs w:val="20"/>
              </w:rPr>
              <w:t xml:space="preserve">Percentage of </w:t>
            </w:r>
            <w:r w:rsidR="00D46E19" w:rsidRPr="00970283">
              <w:rPr>
                <w:rFonts w:cs="Times New Roman"/>
                <w:bCs/>
                <w:iCs/>
                <w:sz w:val="20"/>
                <w:szCs w:val="20"/>
              </w:rPr>
              <w:t xml:space="preserve">direct beneficiaries </w:t>
            </w:r>
            <w:r w:rsidRPr="00970283">
              <w:rPr>
                <w:rFonts w:cs="Times New Roman"/>
                <w:bCs/>
                <w:iCs/>
                <w:sz w:val="20"/>
                <w:szCs w:val="20"/>
              </w:rPr>
              <w:t>(women, LGBTI, disables and minorities)</w:t>
            </w:r>
            <w:r w:rsidR="00D46E19" w:rsidRPr="00970283">
              <w:rPr>
                <w:rFonts w:cs="Times New Roman"/>
                <w:bCs/>
                <w:iCs/>
                <w:sz w:val="20"/>
                <w:szCs w:val="20"/>
              </w:rPr>
              <w:t xml:space="preserve"> </w:t>
            </w:r>
            <w:r w:rsidRPr="00970283">
              <w:rPr>
                <w:rFonts w:cs="Times New Roman"/>
                <w:bCs/>
                <w:iCs/>
                <w:sz w:val="20"/>
                <w:szCs w:val="20"/>
              </w:rPr>
              <w:t xml:space="preserve"> </w:t>
            </w:r>
            <w:r w:rsidR="00550804" w:rsidRPr="00970283">
              <w:rPr>
                <w:rFonts w:cs="Times New Roman"/>
                <w:bCs/>
                <w:iCs/>
                <w:sz w:val="20"/>
                <w:szCs w:val="20"/>
              </w:rPr>
              <w:t>reintegrated in the active life (</w:t>
            </w:r>
            <w:r w:rsidRPr="00970283">
              <w:rPr>
                <w:rFonts w:cs="Times New Roman"/>
                <w:bCs/>
                <w:iCs/>
                <w:sz w:val="20"/>
                <w:szCs w:val="20"/>
              </w:rPr>
              <w:t>in employment</w:t>
            </w:r>
            <w:r w:rsidR="00550804" w:rsidRPr="00970283">
              <w:rPr>
                <w:rFonts w:cs="Times New Roman"/>
                <w:bCs/>
                <w:iCs/>
                <w:sz w:val="20"/>
                <w:szCs w:val="20"/>
              </w:rPr>
              <w:t>)</w:t>
            </w:r>
          </w:p>
        </w:tc>
        <w:tc>
          <w:tcPr>
            <w:tcW w:w="52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189BAAE" w14:textId="77777777" w:rsidR="006E6305" w:rsidRPr="00970283" w:rsidRDefault="006E6305" w:rsidP="006E6305">
            <w:pPr>
              <w:jc w:val="center"/>
              <w:rPr>
                <w:rFonts w:cs="Times New Roman"/>
                <w:strike/>
                <w:sz w:val="20"/>
                <w:szCs w:val="20"/>
              </w:rPr>
            </w:pPr>
          </w:p>
          <w:p w14:paraId="1BCB61FB" w14:textId="77777777" w:rsidR="006E6305" w:rsidRPr="00970283" w:rsidRDefault="006E6305" w:rsidP="006E6305">
            <w:pPr>
              <w:jc w:val="center"/>
              <w:rPr>
                <w:rFonts w:cs="Times New Roman"/>
                <w:color w:val="0D0D0D"/>
                <w:sz w:val="20"/>
                <w:szCs w:val="20"/>
                <w:highlight w:val="yellow"/>
                <w:lang w:val="en-IE"/>
              </w:rPr>
            </w:pPr>
            <w:r w:rsidRPr="00970283">
              <w:rPr>
                <w:rStyle w:val="tlid-translation"/>
                <w:sz w:val="20"/>
                <w:szCs w:val="20"/>
                <w:lang w:val="en-US"/>
              </w:rPr>
              <w:t>0 (2021)</w:t>
            </w:r>
          </w:p>
        </w:tc>
        <w:tc>
          <w:tcPr>
            <w:tcW w:w="55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47A9992" w14:textId="27A89A96" w:rsidR="006E6305" w:rsidRPr="00970283" w:rsidRDefault="006E6305" w:rsidP="006E6305">
            <w:pPr>
              <w:pStyle w:val="Default"/>
              <w:jc w:val="center"/>
              <w:rPr>
                <w:rFonts w:ascii="Times New Roman" w:hAnsi="Times New Roman" w:cs="Times New Roman"/>
                <w:sz w:val="20"/>
                <w:szCs w:val="20"/>
              </w:rPr>
            </w:pPr>
            <w:r w:rsidRPr="00970283">
              <w:rPr>
                <w:rFonts w:ascii="Times New Roman" w:hAnsi="Times New Roman" w:cs="Times New Roman"/>
                <w:color w:val="auto"/>
                <w:sz w:val="20"/>
                <w:szCs w:val="20"/>
              </w:rPr>
              <w:t xml:space="preserve">≥ </w:t>
            </w:r>
            <w:r w:rsidR="00550804" w:rsidRPr="00970283">
              <w:rPr>
                <w:rFonts w:ascii="Times New Roman" w:hAnsi="Times New Roman" w:cs="Times New Roman"/>
                <w:color w:val="auto"/>
                <w:sz w:val="20"/>
                <w:szCs w:val="20"/>
              </w:rPr>
              <w:t>20</w:t>
            </w:r>
            <w:r w:rsidRPr="00970283">
              <w:rPr>
                <w:rFonts w:ascii="Times New Roman" w:hAnsi="Times New Roman" w:cs="Times New Roman"/>
                <w:color w:val="auto"/>
                <w:sz w:val="20"/>
                <w:szCs w:val="20"/>
              </w:rPr>
              <w:t>%</w:t>
            </w:r>
          </w:p>
          <w:p w14:paraId="4E627501" w14:textId="7EFF0D00" w:rsidR="006E6305" w:rsidRPr="00970283" w:rsidRDefault="006E6305" w:rsidP="006E6305">
            <w:pPr>
              <w:jc w:val="center"/>
              <w:rPr>
                <w:rFonts w:cs="Times New Roman"/>
                <w:color w:val="0D0D0D"/>
                <w:sz w:val="20"/>
                <w:szCs w:val="20"/>
                <w:lang w:val="en-IE"/>
              </w:rPr>
            </w:pPr>
            <w:r w:rsidRPr="00970283">
              <w:rPr>
                <w:rFonts w:cs="Times New Roman"/>
                <w:sz w:val="20"/>
                <w:szCs w:val="20"/>
              </w:rPr>
              <w:t>(2027)</w:t>
            </w:r>
          </w:p>
        </w:tc>
        <w:tc>
          <w:tcPr>
            <w:tcW w:w="676"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22F8C5E" w14:textId="77777777" w:rsidR="006E6305" w:rsidRPr="00970283" w:rsidRDefault="006E6305" w:rsidP="006E6305">
            <w:pPr>
              <w:pBdr>
                <w:top w:val="nil"/>
                <w:left w:val="nil"/>
                <w:bottom w:val="nil"/>
                <w:right w:val="nil"/>
                <w:between w:val="nil"/>
              </w:pBdr>
              <w:shd w:val="solid" w:color="FFFFFF" w:fill="auto"/>
              <w:jc w:val="center"/>
              <w:rPr>
                <w:rFonts w:cs="Times New Roman"/>
                <w:b/>
                <w:strike/>
                <w:sz w:val="20"/>
                <w:szCs w:val="20"/>
              </w:rPr>
            </w:pPr>
          </w:p>
          <w:p w14:paraId="6528C64A" w14:textId="0A3F39D2" w:rsidR="006E6305" w:rsidRPr="00970283" w:rsidRDefault="00D46E19" w:rsidP="006E6305">
            <w:pPr>
              <w:rPr>
                <w:rFonts w:cs="Times New Roman"/>
                <w:color w:val="0D0D0D"/>
                <w:sz w:val="20"/>
                <w:szCs w:val="20"/>
                <w:highlight w:val="yellow"/>
                <w:lang w:val="en-IE"/>
              </w:rPr>
            </w:pPr>
            <w:r w:rsidRPr="00970283">
              <w:rPr>
                <w:rFonts w:cs="Times New Roman"/>
                <w:iCs/>
                <w:sz w:val="20"/>
                <w:szCs w:val="20"/>
                <w:lang w:val="en-US"/>
              </w:rPr>
              <w:t>Project reports</w:t>
            </w:r>
          </w:p>
        </w:tc>
        <w:tc>
          <w:tcPr>
            <w:tcW w:w="812"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F30724E" w14:textId="081B5F60" w:rsidR="00D924C8" w:rsidRPr="00970283" w:rsidRDefault="00D924C8" w:rsidP="00970283">
            <w:pPr>
              <w:spacing w:before="120"/>
              <w:ind w:left="32"/>
              <w:jc w:val="left"/>
              <w:rPr>
                <w:rFonts w:cs="Times New Roman"/>
                <w:color w:val="0D0D0D"/>
                <w:sz w:val="20"/>
                <w:szCs w:val="20"/>
              </w:rPr>
            </w:pPr>
            <w:r w:rsidRPr="00970283">
              <w:rPr>
                <w:rFonts w:cs="Times New Roman"/>
                <w:color w:val="0D0D0D"/>
                <w:sz w:val="20"/>
                <w:szCs w:val="20"/>
              </w:rPr>
              <w:t>Stable political situation and consistent reform orientation of any new government in support of the fundamental rights agenda.</w:t>
            </w:r>
          </w:p>
          <w:p w14:paraId="609E0615" w14:textId="77777777" w:rsidR="00D924C8" w:rsidRPr="00970283" w:rsidRDefault="00D924C8" w:rsidP="00970283">
            <w:pPr>
              <w:spacing w:before="120"/>
              <w:ind w:left="32"/>
              <w:rPr>
                <w:rFonts w:cs="Times New Roman"/>
                <w:color w:val="0D0D0D"/>
                <w:sz w:val="20"/>
                <w:szCs w:val="20"/>
              </w:rPr>
            </w:pPr>
            <w:r w:rsidRPr="00970283">
              <w:rPr>
                <w:rFonts w:cs="Times New Roman"/>
                <w:color w:val="0D0D0D"/>
                <w:sz w:val="20"/>
                <w:szCs w:val="20"/>
              </w:rPr>
              <w:t xml:space="preserve">Political determination and effective decision-making procedures are maintained. </w:t>
            </w:r>
          </w:p>
          <w:p w14:paraId="295C351D" w14:textId="77777777" w:rsidR="00D924C8" w:rsidRPr="00970283" w:rsidRDefault="00D924C8" w:rsidP="00970283">
            <w:pPr>
              <w:spacing w:before="120"/>
              <w:ind w:left="32"/>
              <w:rPr>
                <w:rFonts w:cs="Times New Roman"/>
                <w:color w:val="0D0D0D"/>
                <w:sz w:val="20"/>
                <w:szCs w:val="20"/>
              </w:rPr>
            </w:pPr>
            <w:r w:rsidRPr="00970283">
              <w:rPr>
                <w:rFonts w:cs="Times New Roman"/>
                <w:color w:val="0D0D0D"/>
                <w:sz w:val="20"/>
                <w:szCs w:val="20"/>
              </w:rPr>
              <w:t>Positive dynamic on the societal flows and improved socioeconomic conditions impacting on the human rights.</w:t>
            </w:r>
          </w:p>
          <w:p w14:paraId="5F15B334" w14:textId="7AD22B87" w:rsidR="006E6305" w:rsidRPr="00970283" w:rsidRDefault="00D924C8" w:rsidP="00970283">
            <w:pPr>
              <w:spacing w:before="120"/>
              <w:ind w:left="32"/>
              <w:rPr>
                <w:rFonts w:cs="Times New Roman"/>
                <w:color w:val="0D0D0D"/>
                <w:sz w:val="20"/>
                <w:szCs w:val="20"/>
              </w:rPr>
            </w:pPr>
            <w:r w:rsidRPr="00970283">
              <w:rPr>
                <w:rFonts w:cs="Times New Roman"/>
                <w:color w:val="0D0D0D"/>
                <w:sz w:val="20"/>
                <w:szCs w:val="20"/>
              </w:rPr>
              <w:lastRenderedPageBreak/>
              <w:t xml:space="preserve">Social dialogue at the sector level is efficiently working. </w:t>
            </w:r>
          </w:p>
        </w:tc>
      </w:tr>
      <w:tr w:rsidR="00082834" w14:paraId="4E6CE5FF" w14:textId="77777777" w:rsidTr="00970283">
        <w:tc>
          <w:tcPr>
            <w:tcW w:w="617" w:type="pct"/>
            <w:vMerge w:val="restart"/>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017DDC94" w14:textId="77777777" w:rsidR="006E6305" w:rsidRPr="00970283" w:rsidRDefault="006E6305" w:rsidP="006E6305">
            <w:pPr>
              <w:tabs>
                <w:tab w:val="left" w:pos="0"/>
                <w:tab w:val="left" w:pos="132"/>
              </w:tabs>
              <w:rPr>
                <w:rFonts w:cs="Times New Roman"/>
                <w:b/>
                <w:color w:val="0D0D0D"/>
                <w:sz w:val="20"/>
                <w:szCs w:val="20"/>
                <w:lang w:val="en-IE"/>
              </w:rPr>
            </w:pPr>
            <w:r w:rsidRPr="00970283">
              <w:rPr>
                <w:rFonts w:cs="Times New Roman"/>
                <w:b/>
                <w:color w:val="0D0D0D"/>
                <w:sz w:val="20"/>
                <w:szCs w:val="20"/>
                <w:lang w:val="en-IE"/>
              </w:rPr>
              <w:t>Outcome 2</w:t>
            </w:r>
          </w:p>
          <w:p w14:paraId="5483CD51" w14:textId="77777777" w:rsidR="006E6305" w:rsidRPr="00970283" w:rsidRDefault="006E6305" w:rsidP="006E6305">
            <w:pPr>
              <w:tabs>
                <w:tab w:val="left" w:pos="0"/>
              </w:tabs>
              <w:rPr>
                <w:rFonts w:cs="Times New Roman"/>
                <w:b/>
                <w:color w:val="0D0D0D"/>
                <w:sz w:val="20"/>
                <w:szCs w:val="20"/>
                <w:lang w:val="en-IE"/>
              </w:rPr>
            </w:pPr>
          </w:p>
        </w:tc>
        <w:tc>
          <w:tcPr>
            <w:tcW w:w="688"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7930F72" w14:textId="1D268F63" w:rsidR="005A217F" w:rsidRPr="00970283" w:rsidRDefault="00DA2AE3" w:rsidP="006E6305">
            <w:pPr>
              <w:jc w:val="left"/>
              <w:rPr>
                <w:rFonts w:cs="Times New Roman"/>
                <w:color w:val="000000" w:themeColor="text1"/>
                <w:sz w:val="20"/>
                <w:szCs w:val="20"/>
                <w:lang w:val="en-IE"/>
              </w:rPr>
            </w:pPr>
            <w:r w:rsidRPr="00970283">
              <w:rPr>
                <w:rFonts w:cs="Times New Roman"/>
                <w:color w:val="000000" w:themeColor="text1"/>
                <w:sz w:val="20"/>
                <w:szCs w:val="20"/>
                <w:lang w:val="en-IE"/>
              </w:rPr>
              <w:t>E</w:t>
            </w:r>
            <w:r w:rsidR="005A217F" w:rsidRPr="00970283">
              <w:rPr>
                <w:rFonts w:cs="Times New Roman"/>
                <w:color w:val="000000" w:themeColor="text1"/>
                <w:sz w:val="20"/>
                <w:szCs w:val="20"/>
                <w:lang w:val="en-IE"/>
              </w:rPr>
              <w:t>nsure</w:t>
            </w:r>
            <w:r w:rsidRPr="00970283">
              <w:rPr>
                <w:rFonts w:cs="Times New Roman"/>
                <w:color w:val="000000" w:themeColor="text1"/>
                <w:sz w:val="20"/>
                <w:szCs w:val="20"/>
                <w:lang w:val="en-IE"/>
              </w:rPr>
              <w:t>d</w:t>
            </w:r>
            <w:r w:rsidR="005A217F" w:rsidRPr="00970283">
              <w:rPr>
                <w:rFonts w:cs="Times New Roman"/>
                <w:color w:val="000000" w:themeColor="text1"/>
                <w:sz w:val="20"/>
                <w:szCs w:val="20"/>
                <w:lang w:val="en-IE"/>
              </w:rPr>
              <w:t xml:space="preserve"> right of vulnerable people to quality education in a safe and accessible environment and their well-being at school.</w:t>
            </w:r>
          </w:p>
          <w:p w14:paraId="455FEDE9" w14:textId="77777777" w:rsidR="006E6305" w:rsidRPr="00970283" w:rsidRDefault="006E6305" w:rsidP="00DA2AE3">
            <w:pPr>
              <w:jc w:val="left"/>
              <w:rPr>
                <w:rFonts w:cs="Times New Roman"/>
                <w:color w:val="0D0D0D"/>
                <w:sz w:val="20"/>
                <w:szCs w:val="20"/>
              </w:rPr>
            </w:pPr>
          </w:p>
        </w:tc>
        <w:tc>
          <w:tcPr>
            <w:tcW w:w="1127"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C36CA3B" w14:textId="03072FBB" w:rsidR="006E6305" w:rsidRPr="00970283" w:rsidRDefault="006E6305" w:rsidP="006E6305">
            <w:pPr>
              <w:jc w:val="left"/>
              <w:rPr>
                <w:rFonts w:cs="Times New Roman"/>
                <w:color w:val="000000"/>
                <w:sz w:val="20"/>
                <w:szCs w:val="20"/>
              </w:rPr>
            </w:pPr>
            <w:r w:rsidRPr="00970283">
              <w:rPr>
                <w:rFonts w:cs="Times New Roman"/>
                <w:color w:val="000000"/>
                <w:sz w:val="20"/>
                <w:szCs w:val="20"/>
              </w:rPr>
              <w:t>Number of SEN students enrolled in the regular primary, lower secondary, and special schools</w:t>
            </w:r>
          </w:p>
        </w:tc>
        <w:tc>
          <w:tcPr>
            <w:tcW w:w="529"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CF8F0F5" w14:textId="73F00CF4" w:rsidR="006E6305" w:rsidRPr="00970283" w:rsidRDefault="006E6305" w:rsidP="006E6305">
            <w:pPr>
              <w:jc w:val="center"/>
              <w:rPr>
                <w:rFonts w:cs="Times New Roman"/>
                <w:color w:val="0D0D0D"/>
                <w:sz w:val="20"/>
                <w:szCs w:val="20"/>
                <w:lang w:val="mk-MK"/>
              </w:rPr>
            </w:pPr>
            <w:r w:rsidRPr="00970283">
              <w:rPr>
                <w:rFonts w:cs="Times New Roman"/>
                <w:color w:val="0D0D0D"/>
                <w:sz w:val="20"/>
                <w:szCs w:val="20"/>
                <w:lang w:val="en-IE"/>
              </w:rPr>
              <w:t>136</w:t>
            </w:r>
            <w:r w:rsidRPr="00970283">
              <w:rPr>
                <w:rFonts w:cs="Times New Roman"/>
                <w:color w:val="0D0D0D"/>
                <w:sz w:val="20"/>
                <w:szCs w:val="20"/>
                <w:lang w:val="mk-MK"/>
              </w:rPr>
              <w:t>4</w:t>
            </w:r>
            <w:r w:rsidRPr="00970283">
              <w:rPr>
                <w:rFonts w:cs="Times New Roman"/>
                <w:color w:val="0D0D0D"/>
                <w:sz w:val="20"/>
                <w:szCs w:val="20"/>
                <w:lang w:val="en-US"/>
              </w:rPr>
              <w:t xml:space="preserve"> (Primary) </w:t>
            </w:r>
            <w:r w:rsidRPr="00970283">
              <w:rPr>
                <w:rFonts w:cs="Times New Roman"/>
                <w:color w:val="0D0D0D"/>
                <w:sz w:val="20"/>
                <w:szCs w:val="20"/>
                <w:lang w:val="en-IE"/>
              </w:rPr>
              <w:t>+ 544 (Secondary) 1908 (2022/20</w:t>
            </w:r>
            <w:r w:rsidRPr="00970283">
              <w:rPr>
                <w:rFonts w:cs="Times New Roman"/>
                <w:color w:val="0D0D0D"/>
                <w:sz w:val="20"/>
                <w:szCs w:val="20"/>
                <w:lang w:val="mk-MK"/>
              </w:rPr>
              <w:t>2</w:t>
            </w:r>
            <w:r w:rsidRPr="00970283">
              <w:rPr>
                <w:rFonts w:cs="Times New Roman"/>
                <w:color w:val="0D0D0D"/>
                <w:sz w:val="20"/>
                <w:szCs w:val="20"/>
                <w:lang w:val="en-IE"/>
              </w:rPr>
              <w:t>3</w:t>
            </w:r>
            <w:r w:rsidRPr="00970283">
              <w:rPr>
                <w:rFonts w:cs="Times New Roman"/>
                <w:color w:val="0D0D0D"/>
                <w:sz w:val="20"/>
                <w:szCs w:val="20"/>
                <w:lang w:val="mk-MK"/>
              </w:rPr>
              <w:t>)</w:t>
            </w:r>
            <w:r w:rsidRPr="00970283">
              <w:rPr>
                <w:rStyle w:val="Refdenotaalpie"/>
                <w:rFonts w:cs="Times New Roman"/>
                <w:color w:val="0D0D0D"/>
                <w:sz w:val="20"/>
                <w:szCs w:val="20"/>
                <w:lang w:val="mk-MK"/>
              </w:rPr>
              <w:footnoteReference w:id="32"/>
            </w:r>
          </w:p>
        </w:tc>
        <w:tc>
          <w:tcPr>
            <w:tcW w:w="551"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540B155" w14:textId="5F642420" w:rsidR="006E6305" w:rsidRPr="00970283" w:rsidRDefault="006E6305" w:rsidP="006E6305">
            <w:pPr>
              <w:jc w:val="center"/>
              <w:rPr>
                <w:rFonts w:cs="Times New Roman"/>
                <w:color w:val="0D0D0D"/>
                <w:sz w:val="20"/>
                <w:szCs w:val="20"/>
                <w:lang w:val="en-IE"/>
              </w:rPr>
            </w:pPr>
            <w:r w:rsidRPr="00970283">
              <w:rPr>
                <w:rFonts w:cs="Times New Roman"/>
                <w:iCs/>
                <w:color w:val="000000"/>
                <w:sz w:val="20"/>
                <w:szCs w:val="20"/>
                <w:highlight w:val="yellow"/>
              </w:rPr>
              <w:t>≥ 1,908 (2027)</w:t>
            </w:r>
          </w:p>
        </w:tc>
        <w:tc>
          <w:tcPr>
            <w:tcW w:w="676"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DDFEAE8" w14:textId="77777777" w:rsidR="006E6305" w:rsidRPr="00970283" w:rsidRDefault="006E6305" w:rsidP="006E6305">
            <w:pPr>
              <w:jc w:val="center"/>
              <w:rPr>
                <w:rFonts w:cs="Times New Roman"/>
                <w:color w:val="0D0D0D"/>
                <w:sz w:val="20"/>
                <w:szCs w:val="20"/>
                <w:highlight w:val="yellow"/>
                <w:lang w:val="en-IE"/>
              </w:rPr>
            </w:pPr>
            <w:r w:rsidRPr="00970283">
              <w:rPr>
                <w:rFonts w:cs="Times New Roman"/>
                <w:iCs/>
                <w:color w:val="000000"/>
                <w:sz w:val="20"/>
                <w:szCs w:val="20"/>
                <w:lang w:val="en-US"/>
              </w:rPr>
              <w:t>MoES</w:t>
            </w:r>
          </w:p>
        </w:tc>
        <w:tc>
          <w:tcPr>
            <w:tcW w:w="81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243CF1A" w14:textId="77777777" w:rsidR="006E6305" w:rsidRPr="00970283" w:rsidRDefault="006E6305" w:rsidP="006E6305">
            <w:pPr>
              <w:rPr>
                <w:rFonts w:cs="Times New Roman"/>
                <w:sz w:val="20"/>
                <w:szCs w:val="20"/>
              </w:rPr>
            </w:pPr>
          </w:p>
        </w:tc>
      </w:tr>
      <w:tr w:rsidR="00082834" w14:paraId="2726D5B2" w14:textId="77777777" w:rsidTr="00970283">
        <w:tc>
          <w:tcPr>
            <w:tcW w:w="617" w:type="pct"/>
            <w:vMerge/>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42C04167" w14:textId="77777777" w:rsidR="006E6305" w:rsidRPr="00970283" w:rsidRDefault="006E6305" w:rsidP="006E6305">
            <w:pPr>
              <w:rPr>
                <w:rFonts w:cs="Times New Roman"/>
                <w:sz w:val="20"/>
                <w:szCs w:val="20"/>
              </w:rPr>
            </w:pPr>
          </w:p>
        </w:tc>
        <w:tc>
          <w:tcPr>
            <w:tcW w:w="688"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499D71F" w14:textId="77777777" w:rsidR="006E6305" w:rsidRPr="00970283" w:rsidRDefault="006E6305" w:rsidP="006E6305">
            <w:pPr>
              <w:rPr>
                <w:rFonts w:cs="Times New Roman"/>
                <w:sz w:val="20"/>
                <w:szCs w:val="20"/>
              </w:rPr>
            </w:pPr>
          </w:p>
        </w:tc>
        <w:tc>
          <w:tcPr>
            <w:tcW w:w="1127"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CDE9DC5" w14:textId="77777777" w:rsidR="006E6305" w:rsidRPr="00970283" w:rsidRDefault="006E6305" w:rsidP="006E6305">
            <w:pPr>
              <w:jc w:val="left"/>
              <w:rPr>
                <w:rFonts w:cs="Times New Roman"/>
                <w:color w:val="0D0D0D"/>
                <w:sz w:val="20"/>
                <w:szCs w:val="20"/>
                <w:lang w:val="en-IE"/>
              </w:rPr>
            </w:pPr>
            <w:r w:rsidRPr="00970283">
              <w:rPr>
                <w:rFonts w:cs="Times New Roman"/>
                <w:sz w:val="20"/>
                <w:szCs w:val="20"/>
              </w:rPr>
              <w:t>Percentage of the population over the age of 15 in the country with unsatisfactory level education (2020)</w:t>
            </w:r>
          </w:p>
        </w:tc>
        <w:tc>
          <w:tcPr>
            <w:tcW w:w="529"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35782C9" w14:textId="77777777" w:rsidR="006E6305" w:rsidRPr="00970283" w:rsidRDefault="006E6305" w:rsidP="006E6305">
            <w:pPr>
              <w:jc w:val="center"/>
              <w:rPr>
                <w:rFonts w:cs="Times New Roman"/>
                <w:color w:val="0D0D0D"/>
                <w:sz w:val="20"/>
                <w:szCs w:val="20"/>
                <w:lang w:val="en-IE"/>
              </w:rPr>
            </w:pPr>
            <w:r w:rsidRPr="00970283">
              <w:rPr>
                <w:rFonts w:cs="Times New Roman"/>
                <w:iCs/>
                <w:sz w:val="20"/>
                <w:szCs w:val="20"/>
              </w:rPr>
              <w:t>38% (2020)</w:t>
            </w:r>
          </w:p>
        </w:tc>
        <w:tc>
          <w:tcPr>
            <w:tcW w:w="551"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F410201" w14:textId="3FE93404" w:rsidR="006E6305" w:rsidRPr="00970283" w:rsidRDefault="006E6305" w:rsidP="006E6305">
            <w:pPr>
              <w:jc w:val="center"/>
              <w:rPr>
                <w:rFonts w:cs="Times New Roman"/>
                <w:color w:val="0D0D0D"/>
                <w:sz w:val="20"/>
                <w:szCs w:val="20"/>
                <w:lang w:val="en-IE"/>
              </w:rPr>
            </w:pPr>
            <w:r w:rsidRPr="00970283">
              <w:rPr>
                <w:rFonts w:cs="Times New Roman"/>
                <w:iCs/>
                <w:color w:val="000000"/>
                <w:sz w:val="20"/>
                <w:szCs w:val="20"/>
              </w:rPr>
              <w:t>≤ 30% (2027)</w:t>
            </w:r>
          </w:p>
        </w:tc>
        <w:tc>
          <w:tcPr>
            <w:tcW w:w="676"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4EF2E4D" w14:textId="77777777" w:rsidR="006E6305" w:rsidRPr="00970283" w:rsidRDefault="006E6305" w:rsidP="006E6305">
            <w:pPr>
              <w:jc w:val="center"/>
              <w:rPr>
                <w:rFonts w:cs="Times New Roman"/>
                <w:iCs/>
                <w:sz w:val="20"/>
                <w:szCs w:val="20"/>
                <w:lang w:val="en-US"/>
              </w:rPr>
            </w:pPr>
            <w:r w:rsidRPr="00970283">
              <w:rPr>
                <w:rFonts w:cs="Times New Roman"/>
                <w:iCs/>
                <w:sz w:val="20"/>
                <w:szCs w:val="20"/>
                <w:lang w:val="en-US"/>
              </w:rPr>
              <w:t>PISA</w:t>
            </w:r>
          </w:p>
          <w:p w14:paraId="1246E179" w14:textId="77777777" w:rsidR="006E6305" w:rsidRPr="00970283" w:rsidRDefault="006E6305" w:rsidP="006E6305">
            <w:pPr>
              <w:jc w:val="center"/>
              <w:rPr>
                <w:rFonts w:cs="Times New Roman"/>
                <w:iCs/>
                <w:sz w:val="20"/>
                <w:szCs w:val="20"/>
                <w:lang w:val="en-US"/>
              </w:rPr>
            </w:pPr>
            <w:r w:rsidRPr="00970283">
              <w:rPr>
                <w:rFonts w:cs="Times New Roman"/>
                <w:iCs/>
                <w:sz w:val="20"/>
                <w:szCs w:val="20"/>
                <w:lang w:val="en-US"/>
              </w:rPr>
              <w:t>NEC</w:t>
            </w:r>
          </w:p>
          <w:p w14:paraId="0BF6C7EB" w14:textId="7B977209" w:rsidR="006E6305" w:rsidRPr="00970283" w:rsidRDefault="006E6305" w:rsidP="006E6305">
            <w:pPr>
              <w:jc w:val="center"/>
              <w:rPr>
                <w:rFonts w:cs="Times New Roman"/>
                <w:color w:val="0D0D0D"/>
                <w:sz w:val="20"/>
                <w:szCs w:val="20"/>
                <w:lang w:val="en-IE"/>
              </w:rPr>
            </w:pPr>
            <w:r w:rsidRPr="00970283">
              <w:rPr>
                <w:rFonts w:cs="Times New Roman"/>
                <w:iCs/>
                <w:sz w:val="20"/>
                <w:szCs w:val="20"/>
                <w:lang w:val="en-US"/>
              </w:rPr>
              <w:t>MoES</w:t>
            </w:r>
          </w:p>
        </w:tc>
        <w:tc>
          <w:tcPr>
            <w:tcW w:w="81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56036E6" w14:textId="77777777" w:rsidR="006E6305" w:rsidRPr="00970283" w:rsidRDefault="006E6305" w:rsidP="006E6305">
            <w:pPr>
              <w:rPr>
                <w:rFonts w:cs="Times New Roman"/>
                <w:sz w:val="20"/>
                <w:szCs w:val="20"/>
              </w:rPr>
            </w:pPr>
          </w:p>
        </w:tc>
      </w:tr>
      <w:tr w:rsidR="00082834" w14:paraId="45A4414F" w14:textId="77777777" w:rsidTr="00970283">
        <w:tc>
          <w:tcPr>
            <w:tcW w:w="617" w:type="pct"/>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085E848B" w14:textId="77777777" w:rsidR="006E6305" w:rsidRPr="00970283" w:rsidRDefault="006E6305" w:rsidP="006E6305">
            <w:pPr>
              <w:tabs>
                <w:tab w:val="left" w:pos="0"/>
                <w:tab w:val="left" w:pos="132"/>
              </w:tabs>
              <w:rPr>
                <w:rFonts w:cs="Times New Roman"/>
                <w:b/>
                <w:color w:val="0D0D0D"/>
                <w:sz w:val="20"/>
                <w:szCs w:val="20"/>
                <w:lang w:val="en-IE"/>
              </w:rPr>
            </w:pPr>
            <w:r w:rsidRPr="00970283">
              <w:rPr>
                <w:rFonts w:cs="Times New Roman"/>
                <w:b/>
                <w:color w:val="0D0D0D"/>
                <w:sz w:val="20"/>
                <w:szCs w:val="20"/>
                <w:lang w:val="en-IE"/>
              </w:rPr>
              <w:t>Outcome 3</w:t>
            </w:r>
          </w:p>
        </w:tc>
        <w:tc>
          <w:tcPr>
            <w:tcW w:w="688"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D0F82A4" w14:textId="19EB6315" w:rsidR="006E6305" w:rsidRPr="00970283" w:rsidRDefault="00A35843" w:rsidP="00467840">
            <w:pPr>
              <w:jc w:val="left"/>
              <w:rPr>
                <w:rFonts w:cs="Times New Roman"/>
                <w:color w:val="0D0D0D"/>
                <w:sz w:val="20"/>
                <w:szCs w:val="20"/>
                <w:lang w:val="en-IE"/>
              </w:rPr>
            </w:pPr>
            <w:r w:rsidRPr="00970283">
              <w:rPr>
                <w:rFonts w:cs="Times New Roman"/>
                <w:color w:val="0D0D0D"/>
                <w:sz w:val="20"/>
                <w:szCs w:val="20"/>
                <w:lang w:val="en-IE"/>
              </w:rPr>
              <w:t xml:space="preserve">Promoted </w:t>
            </w:r>
            <w:r w:rsidR="006E6305" w:rsidRPr="00970283">
              <w:rPr>
                <w:rFonts w:cs="Times New Roman"/>
                <w:color w:val="0D0D0D"/>
                <w:sz w:val="20"/>
                <w:szCs w:val="20"/>
                <w:lang w:val="en-IE"/>
              </w:rPr>
              <w:t>right of Roma people to legal housing</w:t>
            </w:r>
          </w:p>
        </w:tc>
        <w:tc>
          <w:tcPr>
            <w:tcW w:w="1127"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713A59E" w14:textId="4B3AD319" w:rsidR="006E6305" w:rsidRPr="00970283" w:rsidRDefault="006E6305">
            <w:pPr>
              <w:jc w:val="left"/>
              <w:rPr>
                <w:rFonts w:cs="Times New Roman"/>
                <w:sz w:val="20"/>
                <w:szCs w:val="20"/>
              </w:rPr>
            </w:pPr>
            <w:r w:rsidRPr="00970283">
              <w:rPr>
                <w:rFonts w:eastAsia="SimSun" w:cs="Times New Roman"/>
                <w:color w:val="000000"/>
                <w:kern w:val="1"/>
                <w:sz w:val="20"/>
                <w:szCs w:val="20"/>
              </w:rPr>
              <w:t xml:space="preserve">Percentage of urbanized </w:t>
            </w:r>
            <w:r w:rsidR="00550804" w:rsidRPr="00970283">
              <w:rPr>
                <w:rFonts w:eastAsia="SimSun" w:cs="Times New Roman"/>
                <w:color w:val="000000"/>
                <w:kern w:val="1"/>
                <w:sz w:val="20"/>
                <w:szCs w:val="20"/>
              </w:rPr>
              <w:t>Roma settlements</w:t>
            </w:r>
            <w:r w:rsidRPr="00970283">
              <w:rPr>
                <w:rStyle w:val="Refdenotaalpie"/>
                <w:rFonts w:eastAsia="SimSun" w:cs="Times New Roman"/>
                <w:color w:val="000000"/>
                <w:kern w:val="1"/>
                <w:sz w:val="20"/>
                <w:szCs w:val="20"/>
              </w:rPr>
              <w:footnoteReference w:id="33"/>
            </w:r>
          </w:p>
        </w:tc>
        <w:tc>
          <w:tcPr>
            <w:tcW w:w="529"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7C588A5" w14:textId="77777777" w:rsidR="006E6305" w:rsidRPr="00970283" w:rsidRDefault="006E6305" w:rsidP="006E6305">
            <w:pPr>
              <w:jc w:val="center"/>
              <w:rPr>
                <w:rFonts w:cs="Times New Roman"/>
                <w:iCs/>
                <w:sz w:val="20"/>
                <w:szCs w:val="20"/>
              </w:rPr>
            </w:pPr>
            <w:r w:rsidRPr="00970283">
              <w:rPr>
                <w:rFonts w:cs="Times New Roman"/>
                <w:iCs/>
                <w:color w:val="000000"/>
                <w:sz w:val="20"/>
                <w:szCs w:val="20"/>
              </w:rPr>
              <w:t>0 % (2022)</w:t>
            </w:r>
          </w:p>
        </w:tc>
        <w:tc>
          <w:tcPr>
            <w:tcW w:w="551"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0181182" w14:textId="104BEF4C" w:rsidR="006E6305" w:rsidRPr="00970283" w:rsidRDefault="006E6305" w:rsidP="006E6305">
            <w:pPr>
              <w:jc w:val="center"/>
              <w:rPr>
                <w:rFonts w:cs="Times New Roman"/>
                <w:iCs/>
                <w:color w:val="000000"/>
                <w:sz w:val="20"/>
                <w:szCs w:val="20"/>
              </w:rPr>
            </w:pPr>
            <w:r w:rsidRPr="00970283">
              <w:rPr>
                <w:rFonts w:cs="Times New Roman"/>
                <w:iCs/>
                <w:color w:val="000000"/>
                <w:sz w:val="20"/>
                <w:szCs w:val="20"/>
              </w:rPr>
              <w:t>60% (2027)</w:t>
            </w:r>
          </w:p>
        </w:tc>
        <w:tc>
          <w:tcPr>
            <w:tcW w:w="676"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66493D3" w14:textId="77777777" w:rsidR="006E6305" w:rsidRPr="00970283" w:rsidRDefault="006E6305" w:rsidP="006E6305">
            <w:pPr>
              <w:jc w:val="center"/>
              <w:rPr>
                <w:rFonts w:cs="Times New Roman"/>
                <w:iCs/>
                <w:sz w:val="20"/>
                <w:szCs w:val="20"/>
                <w:lang w:val="en-US"/>
              </w:rPr>
            </w:pPr>
            <w:r w:rsidRPr="00970283">
              <w:rPr>
                <w:rFonts w:cs="Times New Roman"/>
                <w:iCs/>
                <w:color w:val="000000"/>
                <w:sz w:val="20"/>
                <w:szCs w:val="20"/>
                <w:lang w:val="en-US"/>
              </w:rPr>
              <w:t>Regional research</w:t>
            </w:r>
          </w:p>
        </w:tc>
        <w:tc>
          <w:tcPr>
            <w:tcW w:w="81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B87D933" w14:textId="77777777" w:rsidR="006E6305" w:rsidRPr="00970283" w:rsidRDefault="006E6305" w:rsidP="006E6305">
            <w:pPr>
              <w:rPr>
                <w:rFonts w:cs="Times New Roman"/>
                <w:sz w:val="20"/>
                <w:szCs w:val="20"/>
              </w:rPr>
            </w:pPr>
          </w:p>
        </w:tc>
      </w:tr>
      <w:tr w:rsidR="00550804" w14:paraId="6DE60E32" w14:textId="77777777" w:rsidTr="00A952E0">
        <w:tc>
          <w:tcPr>
            <w:tcW w:w="617" w:type="pct"/>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04267650" w14:textId="77777777" w:rsidR="00550804" w:rsidRPr="00970283" w:rsidRDefault="00550804" w:rsidP="00550804">
            <w:pPr>
              <w:tabs>
                <w:tab w:val="left" w:pos="0"/>
                <w:tab w:val="left" w:pos="132"/>
              </w:tabs>
              <w:jc w:val="left"/>
              <w:rPr>
                <w:rFonts w:cs="Times New Roman"/>
                <w:b/>
                <w:color w:val="0D0D0D"/>
                <w:sz w:val="20"/>
                <w:szCs w:val="20"/>
                <w:lang w:val="en-IE"/>
              </w:rPr>
            </w:pPr>
            <w:r w:rsidRPr="00970283">
              <w:rPr>
                <w:rFonts w:cs="Times New Roman"/>
                <w:b/>
                <w:color w:val="0D0D0D"/>
                <w:sz w:val="20"/>
                <w:szCs w:val="20"/>
                <w:lang w:val="en-IE"/>
              </w:rPr>
              <w:t>Output 1.1</w:t>
            </w:r>
          </w:p>
          <w:p w14:paraId="0E3EB808" w14:textId="460B1509" w:rsidR="00550804" w:rsidRPr="00970283" w:rsidRDefault="00550804" w:rsidP="00550804">
            <w:pPr>
              <w:tabs>
                <w:tab w:val="left" w:pos="0"/>
                <w:tab w:val="left" w:pos="132"/>
              </w:tabs>
              <w:jc w:val="left"/>
              <w:rPr>
                <w:rFonts w:cs="Times New Roman"/>
                <w:b/>
                <w:color w:val="0D0D0D"/>
                <w:sz w:val="20"/>
                <w:szCs w:val="20"/>
                <w:lang w:val="en-IE"/>
              </w:rPr>
            </w:pPr>
            <w:r w:rsidRPr="00970283">
              <w:rPr>
                <w:rFonts w:cs="Times New Roman"/>
                <w:b/>
                <w:color w:val="0D0D0D"/>
                <w:sz w:val="20"/>
                <w:szCs w:val="20"/>
                <w:lang w:val="en-IE"/>
              </w:rPr>
              <w:t>Related to Outcome 1</w:t>
            </w:r>
          </w:p>
        </w:tc>
        <w:tc>
          <w:tcPr>
            <w:tcW w:w="688"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726CB92" w14:textId="77777777" w:rsidR="00550804" w:rsidRPr="00970283" w:rsidRDefault="00550804" w:rsidP="00550804">
            <w:pPr>
              <w:jc w:val="left"/>
              <w:rPr>
                <w:rFonts w:cs="Times New Roman"/>
                <w:color w:val="0D0D0D"/>
                <w:sz w:val="20"/>
                <w:szCs w:val="20"/>
                <w:lang w:val="en-IE"/>
              </w:rPr>
            </w:pPr>
            <w:r w:rsidRPr="00970283">
              <w:rPr>
                <w:rFonts w:cs="Times New Roman"/>
                <w:sz w:val="20"/>
                <w:szCs w:val="20"/>
                <w:lang w:val="en-US"/>
              </w:rPr>
              <w:t>Improved protection services for victims of gender-based and domestic violence</w:t>
            </w:r>
            <w:r w:rsidRPr="00970283">
              <w:rPr>
                <w:rFonts w:cs="Times New Roman"/>
                <w:color w:val="0D0D0D"/>
                <w:sz w:val="20"/>
                <w:szCs w:val="20"/>
                <w:lang w:val="en-IE"/>
              </w:rPr>
              <w:t xml:space="preserve"> </w:t>
            </w:r>
          </w:p>
        </w:tc>
        <w:tc>
          <w:tcPr>
            <w:tcW w:w="1127"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65C7083" w14:textId="69546351" w:rsidR="00550804" w:rsidRPr="00970283" w:rsidRDefault="00550804" w:rsidP="00550804">
            <w:pPr>
              <w:jc w:val="left"/>
              <w:rPr>
                <w:rFonts w:cs="Times New Roman"/>
                <w:color w:val="0D0D0D"/>
                <w:sz w:val="20"/>
                <w:szCs w:val="20"/>
                <w:lang w:val="en-IE"/>
              </w:rPr>
            </w:pPr>
            <w:r w:rsidRPr="00970283">
              <w:rPr>
                <w:rStyle w:val="tlid-translation"/>
                <w:sz w:val="20"/>
                <w:szCs w:val="20"/>
              </w:rPr>
              <w:t>Number of supported victims of domestic violence in the frame of the services supported by this Action by type of services (</w:t>
            </w:r>
            <w:r w:rsidRPr="00970283">
              <w:rPr>
                <w:rFonts w:cs="Times New Roman"/>
                <w:color w:val="000000"/>
                <w:sz w:val="20"/>
                <w:szCs w:val="20"/>
              </w:rPr>
              <w:t>psycho-social assistance, legal aid, employment measures</w:t>
            </w:r>
            <w:r w:rsidRPr="00970283">
              <w:rPr>
                <w:rFonts w:cs="Times New Roman"/>
                <w:color w:val="000000"/>
                <w:sz w:val="20"/>
                <w:szCs w:val="20"/>
                <w:lang w:val="mk-MK"/>
              </w:rPr>
              <w:t xml:space="preserve">, </w:t>
            </w:r>
            <w:r w:rsidRPr="00970283">
              <w:rPr>
                <w:rFonts w:cs="Times New Roman"/>
                <w:color w:val="000000"/>
                <w:sz w:val="20"/>
                <w:szCs w:val="20"/>
                <w:lang w:val="en-US"/>
              </w:rPr>
              <w:t>etc.</w:t>
            </w:r>
            <w:r w:rsidRPr="00970283">
              <w:rPr>
                <w:rFonts w:cs="Times New Roman"/>
                <w:color w:val="000000"/>
                <w:sz w:val="20"/>
                <w:szCs w:val="20"/>
              </w:rPr>
              <w:t>), gender and age</w:t>
            </w:r>
          </w:p>
        </w:tc>
        <w:tc>
          <w:tcPr>
            <w:tcW w:w="529"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3552E93" w14:textId="65731921" w:rsidR="00550804" w:rsidRPr="00970283" w:rsidRDefault="00550804" w:rsidP="00550804">
            <w:pPr>
              <w:jc w:val="center"/>
              <w:rPr>
                <w:rFonts w:cs="Times New Roman"/>
                <w:color w:val="0D0D0D"/>
                <w:sz w:val="20"/>
                <w:szCs w:val="20"/>
                <w:lang w:val="en-IE"/>
              </w:rPr>
            </w:pPr>
            <w:r w:rsidRPr="00970283">
              <w:rPr>
                <w:rFonts w:cs="Times New Roman"/>
                <w:iCs/>
                <w:sz w:val="20"/>
                <w:szCs w:val="20"/>
              </w:rPr>
              <w:t>0 (2022)</w:t>
            </w:r>
          </w:p>
        </w:tc>
        <w:tc>
          <w:tcPr>
            <w:tcW w:w="551"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74BCD27" w14:textId="77777777" w:rsidR="00550804" w:rsidRPr="00970283" w:rsidRDefault="00550804" w:rsidP="00550804">
            <w:pPr>
              <w:jc w:val="center"/>
              <w:rPr>
                <w:rFonts w:cs="Times New Roman"/>
                <w:iCs/>
                <w:sz w:val="20"/>
                <w:szCs w:val="20"/>
              </w:rPr>
            </w:pPr>
            <w:r w:rsidRPr="00970283">
              <w:rPr>
                <w:rFonts w:cs="Times New Roman"/>
                <w:iCs/>
                <w:sz w:val="20"/>
                <w:szCs w:val="20"/>
              </w:rPr>
              <w:t>At least 300</w:t>
            </w:r>
          </w:p>
          <w:p w14:paraId="59633BA6" w14:textId="7AF744B0" w:rsidR="00550804" w:rsidRPr="00970283" w:rsidRDefault="00550804" w:rsidP="00550804">
            <w:pPr>
              <w:jc w:val="center"/>
              <w:rPr>
                <w:rFonts w:cs="Times New Roman"/>
                <w:color w:val="0D0D0D"/>
                <w:sz w:val="20"/>
                <w:szCs w:val="20"/>
                <w:lang w:val="en-IE"/>
              </w:rPr>
            </w:pPr>
            <w:r w:rsidRPr="00970283">
              <w:rPr>
                <w:rFonts w:eastAsia="Times New Roman" w:cs="Times New Roman"/>
                <w:iCs/>
                <w:color w:val="000000"/>
                <w:sz w:val="20"/>
                <w:szCs w:val="20"/>
              </w:rPr>
              <w:t>(2027)</w:t>
            </w:r>
          </w:p>
        </w:tc>
        <w:tc>
          <w:tcPr>
            <w:tcW w:w="676"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EF42D44" w14:textId="7B12FFC2" w:rsidR="00550804" w:rsidRPr="00970283" w:rsidRDefault="00550804" w:rsidP="00550804">
            <w:pPr>
              <w:jc w:val="center"/>
              <w:rPr>
                <w:rFonts w:cs="Times New Roman"/>
                <w:color w:val="0D0D0D"/>
                <w:sz w:val="20"/>
                <w:szCs w:val="20"/>
                <w:highlight w:val="yellow"/>
                <w:lang w:val="en-IE"/>
              </w:rPr>
            </w:pPr>
            <w:r w:rsidRPr="00970283">
              <w:rPr>
                <w:rFonts w:cs="Times New Roman"/>
                <w:sz w:val="20"/>
                <w:szCs w:val="20"/>
              </w:rPr>
              <w:t>Reports of the service providers supported by the Action</w:t>
            </w:r>
          </w:p>
        </w:tc>
        <w:tc>
          <w:tcPr>
            <w:tcW w:w="812"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14:paraId="0387A15D" w14:textId="77777777" w:rsidR="00550804" w:rsidRPr="00970283" w:rsidRDefault="00550804" w:rsidP="00970283">
            <w:pPr>
              <w:spacing w:before="120"/>
              <w:jc w:val="left"/>
              <w:rPr>
                <w:rFonts w:cs="Times New Roman"/>
                <w:color w:val="0D0D0D"/>
                <w:sz w:val="20"/>
                <w:szCs w:val="20"/>
              </w:rPr>
            </w:pPr>
            <w:r w:rsidRPr="00970283">
              <w:rPr>
                <w:rFonts w:cs="Times New Roman"/>
                <w:color w:val="0D0D0D"/>
                <w:sz w:val="20"/>
                <w:szCs w:val="20"/>
              </w:rPr>
              <w:t>Adequate coordination and cooperation mechanisms between stakeholders to ensure the smooth implementation of the projects.</w:t>
            </w:r>
          </w:p>
          <w:p w14:paraId="16A92022" w14:textId="77777777" w:rsidR="00550804" w:rsidRPr="00970283" w:rsidRDefault="00550804" w:rsidP="00550804">
            <w:pPr>
              <w:jc w:val="left"/>
              <w:rPr>
                <w:rFonts w:cs="Times New Roman"/>
                <w:color w:val="0D0D0D"/>
                <w:sz w:val="20"/>
                <w:szCs w:val="20"/>
              </w:rPr>
            </w:pPr>
          </w:p>
          <w:p w14:paraId="7BFB2C79" w14:textId="45B7432F" w:rsidR="00550804" w:rsidRPr="00970283" w:rsidRDefault="00550804" w:rsidP="00550804">
            <w:pPr>
              <w:jc w:val="left"/>
              <w:rPr>
                <w:rFonts w:cs="Times New Roman"/>
                <w:sz w:val="20"/>
                <w:szCs w:val="20"/>
                <w:highlight w:val="yellow"/>
                <w:lang w:val="en-IE"/>
              </w:rPr>
            </w:pPr>
            <w:r w:rsidRPr="00970283">
              <w:rPr>
                <w:rFonts w:cs="Times New Roman"/>
                <w:color w:val="0D0D0D"/>
                <w:sz w:val="20"/>
                <w:szCs w:val="20"/>
              </w:rPr>
              <w:t>Relevant institutions are committed and dispose with the sufficient resources to implement the project, in including staff, infrastructure and mandates</w:t>
            </w:r>
          </w:p>
        </w:tc>
      </w:tr>
      <w:tr w:rsidR="00550804" w14:paraId="591BCC83" w14:textId="77777777" w:rsidTr="006328B3">
        <w:tc>
          <w:tcPr>
            <w:tcW w:w="617" w:type="pct"/>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4043E3D3" w14:textId="77777777" w:rsidR="00550804" w:rsidRPr="00970283" w:rsidRDefault="00550804" w:rsidP="00550804">
            <w:pPr>
              <w:tabs>
                <w:tab w:val="left" w:pos="0"/>
                <w:tab w:val="left" w:pos="132"/>
              </w:tabs>
              <w:jc w:val="left"/>
              <w:rPr>
                <w:rFonts w:cs="Times New Roman"/>
                <w:b/>
                <w:color w:val="0D0D0D"/>
                <w:sz w:val="20"/>
                <w:szCs w:val="20"/>
                <w:lang w:val="en-IE"/>
              </w:rPr>
            </w:pPr>
            <w:r w:rsidRPr="00970283">
              <w:rPr>
                <w:rFonts w:cs="Times New Roman"/>
                <w:b/>
                <w:color w:val="0D0D0D"/>
                <w:sz w:val="20"/>
                <w:szCs w:val="20"/>
                <w:lang w:val="en-IE"/>
              </w:rPr>
              <w:t xml:space="preserve">Output 1.2 </w:t>
            </w:r>
          </w:p>
          <w:p w14:paraId="516C0939" w14:textId="598000B0" w:rsidR="00550804" w:rsidRPr="00970283" w:rsidRDefault="00550804" w:rsidP="00550804">
            <w:pPr>
              <w:tabs>
                <w:tab w:val="left" w:pos="0"/>
                <w:tab w:val="left" w:pos="132"/>
              </w:tabs>
              <w:jc w:val="left"/>
              <w:rPr>
                <w:rFonts w:cs="Times New Roman"/>
                <w:b/>
                <w:color w:val="0D0D0D"/>
                <w:sz w:val="20"/>
                <w:szCs w:val="20"/>
                <w:lang w:val="en-IE"/>
              </w:rPr>
            </w:pPr>
            <w:r w:rsidRPr="00970283">
              <w:rPr>
                <w:rFonts w:cs="Times New Roman"/>
                <w:b/>
                <w:color w:val="0D0D0D"/>
                <w:sz w:val="20"/>
                <w:szCs w:val="20"/>
                <w:lang w:val="en-IE"/>
              </w:rPr>
              <w:t>Related to Outcome 1</w:t>
            </w:r>
          </w:p>
        </w:tc>
        <w:tc>
          <w:tcPr>
            <w:tcW w:w="688"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8AAC38C" w14:textId="77777777" w:rsidR="00550804" w:rsidRPr="00970283" w:rsidRDefault="00550804" w:rsidP="00550804">
            <w:pPr>
              <w:jc w:val="left"/>
              <w:rPr>
                <w:rFonts w:cs="Times New Roman"/>
                <w:color w:val="0D0D0D"/>
                <w:sz w:val="20"/>
                <w:szCs w:val="20"/>
                <w:lang w:val="en-IE"/>
              </w:rPr>
            </w:pPr>
            <w:r w:rsidRPr="00970283">
              <w:rPr>
                <w:rFonts w:cs="Times New Roman"/>
                <w:sz w:val="20"/>
                <w:szCs w:val="20"/>
                <w:lang w:val="en-US"/>
              </w:rPr>
              <w:t xml:space="preserve">Enhanced inter-institutional cooperation at national and local level on gender-based and -domestic violence </w:t>
            </w:r>
          </w:p>
        </w:tc>
        <w:tc>
          <w:tcPr>
            <w:tcW w:w="1127"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A1CA4A9" w14:textId="6A93DD93" w:rsidR="00550804" w:rsidRPr="00970283" w:rsidRDefault="00550804">
            <w:pPr>
              <w:jc w:val="left"/>
              <w:rPr>
                <w:rFonts w:cs="Times New Roman"/>
                <w:color w:val="0D0D0D"/>
                <w:sz w:val="20"/>
                <w:szCs w:val="20"/>
                <w:lang w:val="en-IE"/>
              </w:rPr>
            </w:pPr>
            <w:r w:rsidRPr="00970283">
              <w:rPr>
                <w:rStyle w:val="tlid-translation"/>
                <w:sz w:val="20"/>
                <w:szCs w:val="20"/>
              </w:rPr>
              <w:t xml:space="preserve">Number of users of the integrated systems for data collection on Gender Based Violence </w:t>
            </w:r>
          </w:p>
        </w:tc>
        <w:tc>
          <w:tcPr>
            <w:tcW w:w="529"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7E58FDC" w14:textId="77777777" w:rsidR="00550804" w:rsidRPr="00970283" w:rsidRDefault="00550804" w:rsidP="00550804">
            <w:pPr>
              <w:jc w:val="center"/>
              <w:rPr>
                <w:rFonts w:cs="Times New Roman"/>
                <w:color w:val="0D0D0D"/>
                <w:sz w:val="20"/>
                <w:szCs w:val="20"/>
                <w:lang w:val="en-IE"/>
              </w:rPr>
            </w:pPr>
            <w:r w:rsidRPr="00970283">
              <w:rPr>
                <w:rFonts w:cs="Times New Roman"/>
                <w:iCs/>
                <w:sz w:val="20"/>
                <w:szCs w:val="20"/>
              </w:rPr>
              <w:t>0 (2022)</w:t>
            </w:r>
          </w:p>
        </w:tc>
        <w:tc>
          <w:tcPr>
            <w:tcW w:w="551"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CCCA1B3" w14:textId="45A84BA9" w:rsidR="00550804" w:rsidRPr="00970283" w:rsidRDefault="00A952E0" w:rsidP="00550804">
            <w:pPr>
              <w:jc w:val="center"/>
              <w:rPr>
                <w:rFonts w:cs="Times New Roman"/>
                <w:color w:val="0D0D0D"/>
                <w:sz w:val="20"/>
                <w:szCs w:val="20"/>
                <w:lang w:val="en-IE"/>
              </w:rPr>
            </w:pPr>
            <w:r w:rsidRPr="00970283">
              <w:rPr>
                <w:rFonts w:cs="Times New Roman"/>
                <w:iCs/>
                <w:sz w:val="20"/>
                <w:szCs w:val="20"/>
              </w:rPr>
              <w:t xml:space="preserve">&gt;60 </w:t>
            </w:r>
            <w:r w:rsidR="00550804" w:rsidRPr="00970283">
              <w:rPr>
                <w:rFonts w:cs="Times New Roman"/>
                <w:iCs/>
                <w:sz w:val="20"/>
                <w:szCs w:val="20"/>
              </w:rPr>
              <w:t>(2027)</w:t>
            </w:r>
          </w:p>
        </w:tc>
        <w:tc>
          <w:tcPr>
            <w:tcW w:w="676"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714854A" w14:textId="77777777" w:rsidR="00550804" w:rsidRPr="00970283" w:rsidRDefault="00550804" w:rsidP="00550804">
            <w:pPr>
              <w:jc w:val="center"/>
              <w:rPr>
                <w:rFonts w:cs="Times New Roman"/>
                <w:sz w:val="20"/>
                <w:szCs w:val="20"/>
              </w:rPr>
            </w:pPr>
            <w:r w:rsidRPr="00970283">
              <w:rPr>
                <w:rFonts w:cs="Times New Roman"/>
                <w:sz w:val="20"/>
                <w:szCs w:val="20"/>
              </w:rPr>
              <w:t>MLSP</w:t>
            </w:r>
          </w:p>
          <w:p w14:paraId="2163FB0A" w14:textId="45BA444C" w:rsidR="00550804" w:rsidRPr="00970283" w:rsidRDefault="00550804" w:rsidP="00550804">
            <w:pPr>
              <w:jc w:val="center"/>
              <w:rPr>
                <w:rFonts w:cs="Times New Roman"/>
                <w:color w:val="0D0D0D"/>
                <w:sz w:val="20"/>
                <w:szCs w:val="20"/>
                <w:highlight w:val="yellow"/>
                <w:lang w:val="en-IE"/>
              </w:rPr>
            </w:pPr>
            <w:r w:rsidRPr="00970283">
              <w:rPr>
                <w:rFonts w:cs="Times New Roman"/>
                <w:sz w:val="20"/>
                <w:szCs w:val="20"/>
              </w:rPr>
              <w:t>Project progress reports</w:t>
            </w:r>
          </w:p>
        </w:tc>
        <w:tc>
          <w:tcPr>
            <w:tcW w:w="812" w:type="pct"/>
            <w:vMerge/>
            <w:tcBorders>
              <w:left w:val="single" w:sz="4" w:space="0" w:color="000000"/>
              <w:right w:val="single" w:sz="4" w:space="0" w:color="000000"/>
              <w:tl2br w:val="nil"/>
              <w:tr2bl w:val="nil"/>
            </w:tcBorders>
            <w:tcMar>
              <w:top w:w="0" w:type="dxa"/>
              <w:left w:w="108" w:type="dxa"/>
              <w:bottom w:w="0" w:type="dxa"/>
              <w:right w:w="108" w:type="dxa"/>
            </w:tcMar>
            <w:vAlign w:val="center"/>
          </w:tcPr>
          <w:p w14:paraId="13A26C27" w14:textId="77777777" w:rsidR="00550804" w:rsidRPr="00970283" w:rsidRDefault="00550804" w:rsidP="00550804">
            <w:pPr>
              <w:rPr>
                <w:rFonts w:cs="Times New Roman"/>
                <w:sz w:val="20"/>
                <w:szCs w:val="20"/>
              </w:rPr>
            </w:pPr>
          </w:p>
        </w:tc>
      </w:tr>
      <w:tr w:rsidR="00550804" w14:paraId="1D4EC296" w14:textId="77777777" w:rsidTr="006328B3">
        <w:tc>
          <w:tcPr>
            <w:tcW w:w="617" w:type="pct"/>
            <w:tcBorders>
              <w:top w:val="single" w:sz="4" w:space="0" w:color="000000"/>
              <w:left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00B8BF6D" w14:textId="14FBA969" w:rsidR="00550804" w:rsidRPr="00970283" w:rsidRDefault="00550804" w:rsidP="00550804">
            <w:pPr>
              <w:rPr>
                <w:rFonts w:cs="Times New Roman"/>
                <w:b/>
                <w:bCs/>
                <w:color w:val="000000" w:themeColor="text1"/>
                <w:sz w:val="20"/>
                <w:szCs w:val="20"/>
                <w:lang w:val="en-IE"/>
              </w:rPr>
            </w:pPr>
            <w:r w:rsidRPr="00970283">
              <w:rPr>
                <w:rFonts w:cs="Times New Roman"/>
                <w:b/>
                <w:bCs/>
                <w:color w:val="000000" w:themeColor="text1"/>
                <w:sz w:val="20"/>
                <w:szCs w:val="20"/>
                <w:lang w:val="en-IE"/>
              </w:rPr>
              <w:t xml:space="preserve">Output 2.1 </w:t>
            </w:r>
          </w:p>
          <w:p w14:paraId="4A946A6D" w14:textId="77777777" w:rsidR="00550804" w:rsidRPr="00970283" w:rsidDel="00923CCC" w:rsidRDefault="00550804" w:rsidP="00550804">
            <w:pPr>
              <w:rPr>
                <w:rFonts w:cs="Times New Roman"/>
                <w:bCs/>
                <w:sz w:val="20"/>
                <w:szCs w:val="20"/>
              </w:rPr>
            </w:pPr>
            <w:r w:rsidRPr="00970283">
              <w:rPr>
                <w:rFonts w:cs="Times New Roman"/>
                <w:b/>
                <w:color w:val="0D0D0D"/>
                <w:sz w:val="20"/>
                <w:szCs w:val="20"/>
                <w:lang w:val="en-IE"/>
              </w:rPr>
              <w:t>Related to Outcome 2</w:t>
            </w:r>
          </w:p>
        </w:tc>
        <w:tc>
          <w:tcPr>
            <w:tcW w:w="688"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14:paraId="7F1A7DC4" w14:textId="77777777" w:rsidR="00550804" w:rsidRPr="00970283" w:rsidRDefault="00550804" w:rsidP="00970283">
            <w:pPr>
              <w:rPr>
                <w:rFonts w:cs="Times New Roman"/>
                <w:color w:val="0D0D0D"/>
                <w:sz w:val="20"/>
                <w:szCs w:val="20"/>
                <w:lang w:val="en-IE"/>
              </w:rPr>
            </w:pPr>
            <w:r w:rsidRPr="00970283">
              <w:rPr>
                <w:rFonts w:cs="Times New Roman"/>
                <w:color w:val="0D0D0D"/>
                <w:sz w:val="20"/>
                <w:szCs w:val="20"/>
                <w:lang w:val="en-IE"/>
              </w:rPr>
              <w:t>Strengthened policy and practice on inclusive education</w:t>
            </w:r>
          </w:p>
          <w:p w14:paraId="3AC3A96C" w14:textId="457A479F" w:rsidR="00550804" w:rsidRPr="003B71A4" w:rsidDel="00923CCC" w:rsidRDefault="00550804" w:rsidP="00550804">
            <w:pPr>
              <w:jc w:val="left"/>
              <w:rPr>
                <w:rFonts w:cs="Times New Roman"/>
                <w:color w:val="000000" w:themeColor="text1"/>
                <w:sz w:val="20"/>
                <w:szCs w:val="20"/>
                <w:lang w:val="en-IE"/>
              </w:rPr>
            </w:pPr>
          </w:p>
        </w:tc>
        <w:tc>
          <w:tcPr>
            <w:tcW w:w="1127"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F4760A8" w14:textId="11589CC0" w:rsidR="00550804" w:rsidRPr="00970283" w:rsidDel="00923CCC" w:rsidRDefault="00550804" w:rsidP="00550804">
            <w:pPr>
              <w:jc w:val="left"/>
              <w:rPr>
                <w:rFonts w:cs="Times New Roman"/>
                <w:color w:val="000000" w:themeColor="text1"/>
                <w:sz w:val="20"/>
                <w:szCs w:val="20"/>
              </w:rPr>
            </w:pPr>
            <w:r w:rsidRPr="00970283">
              <w:rPr>
                <w:rFonts w:cs="Times New Roman"/>
                <w:color w:val="000000" w:themeColor="text1"/>
                <w:sz w:val="20"/>
                <w:szCs w:val="20"/>
              </w:rPr>
              <w:t>Number of measures on inclusive and safe educational environment  developed and tested</w:t>
            </w:r>
          </w:p>
        </w:tc>
        <w:tc>
          <w:tcPr>
            <w:tcW w:w="529" w:type="pct"/>
            <w:tcBorders>
              <w:top w:val="single" w:sz="4" w:space="0" w:color="000000"/>
              <w:left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05417B9" w14:textId="3613590F" w:rsidR="00550804" w:rsidRPr="00970283" w:rsidDel="00923CCC" w:rsidRDefault="00550804" w:rsidP="00550804">
            <w:pPr>
              <w:jc w:val="center"/>
              <w:rPr>
                <w:rFonts w:cs="Times New Roman"/>
                <w:color w:val="000000" w:themeColor="text1"/>
                <w:sz w:val="20"/>
                <w:szCs w:val="20"/>
              </w:rPr>
            </w:pPr>
            <w:r w:rsidRPr="00970283">
              <w:rPr>
                <w:rFonts w:cs="Times New Roman"/>
                <w:color w:val="000000" w:themeColor="text1"/>
                <w:sz w:val="20"/>
                <w:szCs w:val="20"/>
              </w:rPr>
              <w:t>0 (2022)</w:t>
            </w:r>
          </w:p>
        </w:tc>
        <w:tc>
          <w:tcPr>
            <w:tcW w:w="551" w:type="pct"/>
            <w:tcBorders>
              <w:top w:val="single" w:sz="4" w:space="0" w:color="000000"/>
              <w:left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51EF670" w14:textId="646B6484" w:rsidR="00550804" w:rsidRPr="00970283" w:rsidDel="00923CCC" w:rsidRDefault="00550804">
            <w:pPr>
              <w:jc w:val="center"/>
              <w:rPr>
                <w:rFonts w:cs="Times New Roman"/>
                <w:color w:val="000000" w:themeColor="text1"/>
                <w:sz w:val="20"/>
                <w:szCs w:val="20"/>
              </w:rPr>
            </w:pPr>
            <w:r w:rsidRPr="00970283">
              <w:rPr>
                <w:rFonts w:cs="Times New Roman"/>
                <w:color w:val="000000" w:themeColor="text1"/>
                <w:sz w:val="20"/>
                <w:szCs w:val="20"/>
              </w:rPr>
              <w:t>&gt;</w:t>
            </w:r>
            <w:r w:rsidR="00A952E0" w:rsidRPr="00970283">
              <w:rPr>
                <w:rFonts w:cs="Times New Roman"/>
                <w:color w:val="000000" w:themeColor="text1"/>
                <w:sz w:val="20"/>
                <w:szCs w:val="20"/>
              </w:rPr>
              <w:t>5</w:t>
            </w:r>
            <w:r w:rsidRPr="00970283">
              <w:rPr>
                <w:rFonts w:cs="Times New Roman"/>
                <w:color w:val="000000" w:themeColor="text1"/>
                <w:sz w:val="20"/>
                <w:szCs w:val="20"/>
              </w:rPr>
              <w:t xml:space="preserve"> (2026)</w:t>
            </w:r>
          </w:p>
        </w:tc>
        <w:tc>
          <w:tcPr>
            <w:tcW w:w="676" w:type="pct"/>
            <w:tcBorders>
              <w:top w:val="single" w:sz="4" w:space="0" w:color="000000"/>
              <w:left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2AC969B" w14:textId="77777777" w:rsidR="00550804" w:rsidRPr="00970283" w:rsidRDefault="00550804" w:rsidP="00550804">
            <w:pPr>
              <w:jc w:val="center"/>
              <w:rPr>
                <w:rFonts w:cs="Times New Roman"/>
                <w:color w:val="0D0D0D"/>
                <w:sz w:val="20"/>
                <w:szCs w:val="20"/>
                <w:lang w:val="en-IE"/>
              </w:rPr>
            </w:pPr>
            <w:r w:rsidRPr="00970283">
              <w:rPr>
                <w:rFonts w:cs="Times New Roman"/>
                <w:color w:val="0D0D0D"/>
                <w:sz w:val="20"/>
                <w:szCs w:val="20"/>
                <w:lang w:val="en-IE"/>
              </w:rPr>
              <w:t>MoES</w:t>
            </w:r>
          </w:p>
          <w:p w14:paraId="6FE1059E" w14:textId="135DCBF1" w:rsidR="00550804" w:rsidRPr="00970283" w:rsidDel="00923CCC" w:rsidRDefault="00550804" w:rsidP="00550804">
            <w:pPr>
              <w:jc w:val="center"/>
              <w:rPr>
                <w:rFonts w:cs="Times New Roman"/>
                <w:color w:val="0D0D0D"/>
                <w:sz w:val="20"/>
                <w:szCs w:val="20"/>
                <w:lang w:val="en-IE"/>
              </w:rPr>
            </w:pPr>
            <w:r w:rsidRPr="00970283">
              <w:rPr>
                <w:rFonts w:cs="Times New Roman"/>
                <w:sz w:val="20"/>
                <w:szCs w:val="20"/>
              </w:rPr>
              <w:t>Project progress reports</w:t>
            </w:r>
          </w:p>
        </w:tc>
        <w:tc>
          <w:tcPr>
            <w:tcW w:w="812" w:type="pct"/>
            <w:vMerge/>
            <w:tcBorders>
              <w:left w:val="single" w:sz="4" w:space="0" w:color="000000"/>
              <w:right w:val="single" w:sz="4" w:space="0" w:color="000000"/>
              <w:tl2br w:val="nil"/>
              <w:tr2bl w:val="nil"/>
            </w:tcBorders>
            <w:tcMar>
              <w:top w:w="0" w:type="dxa"/>
              <w:left w:w="108" w:type="dxa"/>
              <w:bottom w:w="0" w:type="dxa"/>
              <w:right w:w="108" w:type="dxa"/>
            </w:tcMar>
            <w:vAlign w:val="center"/>
          </w:tcPr>
          <w:p w14:paraId="26A183EC" w14:textId="77777777" w:rsidR="00550804" w:rsidRPr="00970283" w:rsidRDefault="00550804" w:rsidP="00550804">
            <w:pPr>
              <w:rPr>
                <w:rFonts w:cs="Times New Roman"/>
                <w:sz w:val="20"/>
                <w:szCs w:val="20"/>
              </w:rPr>
            </w:pPr>
          </w:p>
        </w:tc>
      </w:tr>
      <w:tr w:rsidR="00550804" w14:paraId="75432AA0" w14:textId="77777777" w:rsidTr="0071346C">
        <w:tc>
          <w:tcPr>
            <w:tcW w:w="617" w:type="pct"/>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5C1BBDDA" w14:textId="06FBF8CB" w:rsidR="00550804" w:rsidRPr="00970283" w:rsidRDefault="00550804" w:rsidP="00550804">
            <w:pPr>
              <w:tabs>
                <w:tab w:val="left" w:pos="0"/>
                <w:tab w:val="left" w:pos="132"/>
              </w:tabs>
              <w:jc w:val="left"/>
              <w:rPr>
                <w:rFonts w:cs="Times New Roman"/>
                <w:b/>
                <w:color w:val="0D0D0D"/>
                <w:sz w:val="20"/>
                <w:szCs w:val="20"/>
                <w:lang w:val="en-IE"/>
              </w:rPr>
            </w:pPr>
            <w:r w:rsidRPr="00970283">
              <w:rPr>
                <w:rFonts w:cs="Times New Roman"/>
                <w:b/>
                <w:color w:val="0D0D0D"/>
                <w:sz w:val="20"/>
                <w:szCs w:val="20"/>
                <w:lang w:val="en-IE"/>
              </w:rPr>
              <w:t>Output 2.2</w:t>
            </w:r>
          </w:p>
          <w:p w14:paraId="13C58C83" w14:textId="6CAF4E3F" w:rsidR="00550804" w:rsidRPr="00970283" w:rsidRDefault="00550804" w:rsidP="00550804">
            <w:pPr>
              <w:tabs>
                <w:tab w:val="left" w:pos="0"/>
                <w:tab w:val="left" w:pos="132"/>
              </w:tabs>
              <w:jc w:val="left"/>
              <w:rPr>
                <w:rFonts w:cs="Times New Roman"/>
                <w:b/>
                <w:color w:val="0D0D0D"/>
                <w:sz w:val="20"/>
                <w:szCs w:val="20"/>
                <w:lang w:val="en-IE"/>
              </w:rPr>
            </w:pPr>
            <w:r w:rsidRPr="00970283">
              <w:rPr>
                <w:rFonts w:cs="Times New Roman"/>
                <w:b/>
                <w:color w:val="0D0D0D"/>
                <w:sz w:val="20"/>
                <w:szCs w:val="20"/>
                <w:lang w:val="en-IE"/>
              </w:rPr>
              <w:t>Related to Outcome 2</w:t>
            </w:r>
          </w:p>
        </w:tc>
        <w:tc>
          <w:tcPr>
            <w:tcW w:w="688"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CAC4466" w14:textId="77777777" w:rsidR="00550804" w:rsidRPr="00970283" w:rsidRDefault="00550804" w:rsidP="00550804">
            <w:pPr>
              <w:jc w:val="left"/>
              <w:rPr>
                <w:rFonts w:cs="Times New Roman"/>
                <w:color w:val="0D0D0D"/>
                <w:sz w:val="20"/>
                <w:szCs w:val="20"/>
                <w:lang w:val="en-IE"/>
              </w:rPr>
            </w:pPr>
            <w:r w:rsidRPr="00970283">
              <w:rPr>
                <w:rFonts w:cs="Times New Roman"/>
                <w:color w:val="000000"/>
                <w:sz w:val="20"/>
                <w:szCs w:val="20"/>
              </w:rPr>
              <w:t xml:space="preserve">Improved school accessibility for children with disabilities </w:t>
            </w:r>
          </w:p>
        </w:tc>
        <w:tc>
          <w:tcPr>
            <w:tcW w:w="1127"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7C8C97C" w14:textId="536D4BBB" w:rsidR="00550804" w:rsidRPr="00970283" w:rsidRDefault="00550804" w:rsidP="00550804">
            <w:pPr>
              <w:jc w:val="left"/>
              <w:rPr>
                <w:rFonts w:cs="Times New Roman"/>
                <w:color w:val="0D0D0D"/>
                <w:sz w:val="20"/>
                <w:szCs w:val="20"/>
                <w:lang w:val="en-IE"/>
              </w:rPr>
            </w:pPr>
            <w:r w:rsidRPr="00970283">
              <w:rPr>
                <w:rFonts w:cs="Times New Roman"/>
                <w:color w:val="000000"/>
                <w:sz w:val="20"/>
                <w:szCs w:val="20"/>
              </w:rPr>
              <w:t>Number of refurbished inclusive schools</w:t>
            </w:r>
            <w:r w:rsidRPr="00970283">
              <w:rPr>
                <w:rFonts w:cs="Times New Roman"/>
                <w:sz w:val="20"/>
                <w:szCs w:val="20"/>
              </w:rPr>
              <w:t xml:space="preserve"> </w:t>
            </w:r>
            <w:r w:rsidR="00A952E0" w:rsidRPr="00970283">
              <w:rPr>
                <w:rFonts w:cs="Times New Roman"/>
                <w:sz w:val="20"/>
                <w:szCs w:val="20"/>
              </w:rPr>
              <w:t xml:space="preserve">and resource centres </w:t>
            </w:r>
            <w:r w:rsidRPr="00970283">
              <w:rPr>
                <w:rFonts w:cs="Times New Roman"/>
                <w:color w:val="000000"/>
                <w:sz w:val="20"/>
                <w:szCs w:val="20"/>
              </w:rPr>
              <w:t>with this intervention</w:t>
            </w:r>
          </w:p>
        </w:tc>
        <w:tc>
          <w:tcPr>
            <w:tcW w:w="529"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CE65804" w14:textId="0B843940" w:rsidR="00550804" w:rsidRPr="00970283" w:rsidRDefault="00A952E0" w:rsidP="00550804">
            <w:pPr>
              <w:jc w:val="center"/>
              <w:rPr>
                <w:rFonts w:cs="Times New Roman"/>
                <w:color w:val="0D0D0D"/>
                <w:sz w:val="20"/>
                <w:szCs w:val="20"/>
                <w:lang w:val="en-IE"/>
              </w:rPr>
            </w:pPr>
            <w:r w:rsidRPr="00970283">
              <w:rPr>
                <w:rFonts w:cs="Times New Roman"/>
                <w:color w:val="000000"/>
                <w:sz w:val="20"/>
                <w:szCs w:val="20"/>
              </w:rPr>
              <w:t xml:space="preserve">20 </w:t>
            </w:r>
            <w:r w:rsidR="00550804" w:rsidRPr="00970283">
              <w:rPr>
                <w:rFonts w:cs="Times New Roman"/>
                <w:color w:val="000000"/>
                <w:sz w:val="20"/>
                <w:szCs w:val="20"/>
              </w:rPr>
              <w:t>(2022)</w:t>
            </w:r>
          </w:p>
        </w:tc>
        <w:tc>
          <w:tcPr>
            <w:tcW w:w="551"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BCB4D3E" w14:textId="6A94F3E3" w:rsidR="00550804" w:rsidRPr="00970283" w:rsidRDefault="00550804">
            <w:pPr>
              <w:jc w:val="center"/>
              <w:rPr>
                <w:rFonts w:cs="Times New Roman"/>
                <w:color w:val="0D0D0D"/>
                <w:sz w:val="20"/>
                <w:szCs w:val="20"/>
                <w:lang w:val="en-IE"/>
              </w:rPr>
            </w:pPr>
            <w:r w:rsidRPr="00970283">
              <w:rPr>
                <w:rFonts w:cs="Times New Roman"/>
                <w:color w:val="000000"/>
                <w:sz w:val="20"/>
                <w:szCs w:val="20"/>
              </w:rPr>
              <w:t xml:space="preserve">≥ </w:t>
            </w:r>
            <w:r w:rsidR="00A952E0" w:rsidRPr="00970283">
              <w:rPr>
                <w:rFonts w:cs="Times New Roman"/>
                <w:color w:val="000000"/>
                <w:sz w:val="20"/>
                <w:szCs w:val="20"/>
              </w:rPr>
              <w:t xml:space="preserve">40 </w:t>
            </w:r>
            <w:r w:rsidRPr="00970283">
              <w:rPr>
                <w:rFonts w:cs="Times New Roman"/>
                <w:color w:val="000000"/>
                <w:sz w:val="20"/>
                <w:szCs w:val="20"/>
              </w:rPr>
              <w:t>(2027)</w:t>
            </w:r>
          </w:p>
        </w:tc>
        <w:tc>
          <w:tcPr>
            <w:tcW w:w="676"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976B62D" w14:textId="77777777" w:rsidR="00550804" w:rsidRPr="00970283" w:rsidRDefault="00550804" w:rsidP="00550804">
            <w:pPr>
              <w:jc w:val="center"/>
              <w:rPr>
                <w:rFonts w:cs="Times New Roman"/>
                <w:color w:val="0D0D0D"/>
                <w:sz w:val="20"/>
                <w:szCs w:val="20"/>
                <w:lang w:val="en-IE"/>
              </w:rPr>
            </w:pPr>
            <w:r w:rsidRPr="00970283">
              <w:rPr>
                <w:rFonts w:cs="Times New Roman"/>
                <w:color w:val="0D0D0D"/>
                <w:sz w:val="20"/>
                <w:szCs w:val="20"/>
                <w:lang w:val="en-IE"/>
              </w:rPr>
              <w:t>MoES</w:t>
            </w:r>
          </w:p>
          <w:p w14:paraId="415F41C7" w14:textId="113531E1" w:rsidR="00550804" w:rsidRPr="00970283" w:rsidRDefault="00550804" w:rsidP="00550804">
            <w:pPr>
              <w:jc w:val="center"/>
              <w:rPr>
                <w:rFonts w:cs="Times New Roman"/>
                <w:color w:val="0D0D0D"/>
                <w:sz w:val="20"/>
                <w:szCs w:val="20"/>
                <w:highlight w:val="yellow"/>
                <w:lang w:val="en-IE"/>
              </w:rPr>
            </w:pPr>
            <w:r w:rsidRPr="00970283">
              <w:rPr>
                <w:rFonts w:cs="Times New Roman"/>
                <w:sz w:val="20"/>
                <w:szCs w:val="20"/>
              </w:rPr>
              <w:t>Project progress reports</w:t>
            </w:r>
          </w:p>
        </w:tc>
        <w:tc>
          <w:tcPr>
            <w:tcW w:w="812" w:type="pct"/>
            <w:vMerge/>
            <w:tcBorders>
              <w:left w:val="single" w:sz="4" w:space="0" w:color="000000"/>
              <w:right w:val="single" w:sz="4" w:space="0" w:color="000000"/>
              <w:tl2br w:val="nil"/>
              <w:tr2bl w:val="nil"/>
            </w:tcBorders>
            <w:tcMar>
              <w:top w:w="0" w:type="dxa"/>
              <w:left w:w="108" w:type="dxa"/>
              <w:bottom w:w="0" w:type="dxa"/>
              <w:right w:w="108" w:type="dxa"/>
            </w:tcMar>
            <w:vAlign w:val="center"/>
          </w:tcPr>
          <w:p w14:paraId="7E6B4BAD" w14:textId="77777777" w:rsidR="00550804" w:rsidRPr="00970283" w:rsidRDefault="00550804" w:rsidP="00550804">
            <w:pPr>
              <w:rPr>
                <w:rFonts w:cs="Times New Roman"/>
                <w:sz w:val="20"/>
                <w:szCs w:val="20"/>
              </w:rPr>
            </w:pPr>
          </w:p>
        </w:tc>
      </w:tr>
      <w:tr w:rsidR="00550804" w14:paraId="0ABEC0DA" w14:textId="77777777" w:rsidTr="006328B3">
        <w:tc>
          <w:tcPr>
            <w:tcW w:w="617" w:type="pct"/>
            <w:tcBorders>
              <w:top w:val="single" w:sz="4" w:space="0" w:color="000000"/>
              <w:left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0FF84EE5" w14:textId="6F5D28AC" w:rsidR="00550804" w:rsidRPr="00970283" w:rsidRDefault="00550804" w:rsidP="00550804">
            <w:pPr>
              <w:rPr>
                <w:rFonts w:cs="Times New Roman"/>
                <w:b/>
                <w:bCs/>
                <w:sz w:val="20"/>
                <w:szCs w:val="20"/>
              </w:rPr>
            </w:pPr>
            <w:r w:rsidRPr="00970283">
              <w:rPr>
                <w:rFonts w:cs="Times New Roman"/>
                <w:b/>
                <w:bCs/>
                <w:sz w:val="20"/>
                <w:szCs w:val="20"/>
              </w:rPr>
              <w:t>Output 2.3</w:t>
            </w:r>
          </w:p>
          <w:p w14:paraId="10F286AC" w14:textId="58930D6B" w:rsidR="00550804" w:rsidRPr="00970283" w:rsidRDefault="00550804" w:rsidP="00550804">
            <w:pPr>
              <w:rPr>
                <w:rFonts w:cs="Times New Roman"/>
                <w:b/>
                <w:bCs/>
                <w:sz w:val="20"/>
                <w:szCs w:val="20"/>
              </w:rPr>
            </w:pPr>
            <w:r w:rsidRPr="00970283">
              <w:rPr>
                <w:rFonts w:cs="Times New Roman"/>
                <w:b/>
                <w:color w:val="0D0D0D"/>
                <w:sz w:val="20"/>
                <w:szCs w:val="20"/>
                <w:lang w:val="en-IE"/>
              </w:rPr>
              <w:t>Related to Outcome 2</w:t>
            </w:r>
          </w:p>
        </w:tc>
        <w:tc>
          <w:tcPr>
            <w:tcW w:w="688"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14:paraId="43254003" w14:textId="48140A45" w:rsidR="00550804" w:rsidRPr="00970283" w:rsidRDefault="00550804" w:rsidP="00550804">
            <w:pPr>
              <w:rPr>
                <w:rFonts w:cs="Times New Roman"/>
                <w:sz w:val="20"/>
                <w:szCs w:val="20"/>
              </w:rPr>
            </w:pPr>
            <w:r w:rsidRPr="00970283">
              <w:rPr>
                <w:rFonts w:cs="Times New Roman"/>
                <w:color w:val="0D0D0D"/>
                <w:sz w:val="20"/>
                <w:szCs w:val="20"/>
                <w:lang w:val="en-IE"/>
              </w:rPr>
              <w:t xml:space="preserve">Enhanced chances for vulnerable children to attend school </w:t>
            </w:r>
          </w:p>
        </w:tc>
        <w:tc>
          <w:tcPr>
            <w:tcW w:w="1127"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7159087" w14:textId="0F173065" w:rsidR="00550804" w:rsidRPr="00970283" w:rsidRDefault="00550804" w:rsidP="00550804">
            <w:pPr>
              <w:jc w:val="left"/>
              <w:rPr>
                <w:rFonts w:cs="Times New Roman"/>
                <w:color w:val="000000"/>
                <w:sz w:val="20"/>
                <w:szCs w:val="20"/>
              </w:rPr>
            </w:pPr>
            <w:r w:rsidRPr="00970283">
              <w:rPr>
                <w:rFonts w:cs="Times New Roman"/>
                <w:color w:val="000000"/>
                <w:sz w:val="20"/>
                <w:szCs w:val="20"/>
              </w:rPr>
              <w:t>Number of scholarships awarded to vulnerable students with special needs</w:t>
            </w:r>
          </w:p>
        </w:tc>
        <w:tc>
          <w:tcPr>
            <w:tcW w:w="529" w:type="pct"/>
            <w:tcBorders>
              <w:top w:val="single" w:sz="4" w:space="0" w:color="000000"/>
              <w:left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15651EC" w14:textId="39854D06" w:rsidR="00550804" w:rsidRPr="00970283" w:rsidRDefault="00550804" w:rsidP="00550804">
            <w:pPr>
              <w:jc w:val="center"/>
              <w:rPr>
                <w:rFonts w:cs="Times New Roman"/>
                <w:color w:val="000000"/>
                <w:sz w:val="20"/>
                <w:szCs w:val="20"/>
              </w:rPr>
            </w:pPr>
            <w:r w:rsidRPr="00970283">
              <w:rPr>
                <w:rFonts w:cs="Times New Roman"/>
                <w:color w:val="000000" w:themeColor="text1"/>
                <w:sz w:val="20"/>
                <w:szCs w:val="20"/>
              </w:rPr>
              <w:t>0 (2022)</w:t>
            </w:r>
          </w:p>
        </w:tc>
        <w:tc>
          <w:tcPr>
            <w:tcW w:w="551" w:type="pct"/>
            <w:tcBorders>
              <w:top w:val="single" w:sz="4" w:space="0" w:color="000000"/>
              <w:left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791C47E" w14:textId="43DADF1E" w:rsidR="00550804" w:rsidRPr="00970283" w:rsidRDefault="00550804" w:rsidP="00550804">
            <w:pPr>
              <w:jc w:val="center"/>
              <w:rPr>
                <w:rFonts w:cs="Times New Roman"/>
                <w:color w:val="000000"/>
                <w:sz w:val="20"/>
                <w:szCs w:val="20"/>
              </w:rPr>
            </w:pPr>
            <w:r w:rsidRPr="00970283">
              <w:rPr>
                <w:rFonts w:cs="Times New Roman"/>
                <w:color w:val="000000"/>
                <w:sz w:val="20"/>
                <w:szCs w:val="20"/>
              </w:rPr>
              <w:t>≥500 (2027)</w:t>
            </w:r>
          </w:p>
        </w:tc>
        <w:tc>
          <w:tcPr>
            <w:tcW w:w="676" w:type="pct"/>
            <w:tcBorders>
              <w:top w:val="single" w:sz="4" w:space="0" w:color="000000"/>
              <w:left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BCB7581" w14:textId="77777777" w:rsidR="00550804" w:rsidRPr="00970283" w:rsidRDefault="00550804" w:rsidP="00550804">
            <w:pPr>
              <w:jc w:val="center"/>
              <w:rPr>
                <w:rFonts w:cs="Times New Roman"/>
                <w:color w:val="0D0D0D"/>
                <w:sz w:val="20"/>
                <w:szCs w:val="20"/>
                <w:lang w:val="en-IE"/>
              </w:rPr>
            </w:pPr>
            <w:r w:rsidRPr="00970283">
              <w:rPr>
                <w:rFonts w:cs="Times New Roman"/>
                <w:color w:val="0D0D0D"/>
                <w:sz w:val="20"/>
                <w:szCs w:val="20"/>
                <w:lang w:val="en-IE"/>
              </w:rPr>
              <w:t>MoES</w:t>
            </w:r>
          </w:p>
          <w:p w14:paraId="3E2BF5FB" w14:textId="176786A5" w:rsidR="00550804" w:rsidRPr="00970283" w:rsidRDefault="00550804" w:rsidP="00550804">
            <w:pPr>
              <w:jc w:val="center"/>
              <w:rPr>
                <w:rFonts w:cs="Times New Roman"/>
                <w:color w:val="0D0D0D"/>
                <w:sz w:val="20"/>
                <w:szCs w:val="20"/>
                <w:lang w:val="en-IE"/>
              </w:rPr>
            </w:pPr>
            <w:r w:rsidRPr="00970283">
              <w:rPr>
                <w:rFonts w:cs="Times New Roman"/>
                <w:sz w:val="20"/>
                <w:szCs w:val="20"/>
              </w:rPr>
              <w:t>Project progress reports</w:t>
            </w:r>
          </w:p>
        </w:tc>
        <w:tc>
          <w:tcPr>
            <w:tcW w:w="812" w:type="pct"/>
            <w:vMerge/>
            <w:tcBorders>
              <w:left w:val="single" w:sz="4" w:space="0" w:color="000000"/>
              <w:right w:val="single" w:sz="4" w:space="0" w:color="000000"/>
              <w:tl2br w:val="nil"/>
              <w:tr2bl w:val="nil"/>
            </w:tcBorders>
            <w:tcMar>
              <w:top w:w="0" w:type="dxa"/>
              <w:left w:w="108" w:type="dxa"/>
              <w:bottom w:w="0" w:type="dxa"/>
              <w:right w:w="108" w:type="dxa"/>
            </w:tcMar>
            <w:vAlign w:val="center"/>
          </w:tcPr>
          <w:p w14:paraId="378880B7" w14:textId="77777777" w:rsidR="00550804" w:rsidRPr="00970283" w:rsidRDefault="00550804" w:rsidP="00550804">
            <w:pPr>
              <w:rPr>
                <w:rFonts w:cs="Times New Roman"/>
                <w:sz w:val="20"/>
                <w:szCs w:val="20"/>
              </w:rPr>
            </w:pPr>
          </w:p>
        </w:tc>
      </w:tr>
      <w:tr w:rsidR="00550804" w14:paraId="70E078A8" w14:textId="77777777" w:rsidTr="006328B3">
        <w:tc>
          <w:tcPr>
            <w:tcW w:w="617" w:type="pct"/>
            <w:vMerge w:val="restart"/>
            <w:tcBorders>
              <w:top w:val="single" w:sz="4" w:space="0" w:color="000000"/>
              <w:left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61BA6757" w14:textId="77777777" w:rsidR="00550804" w:rsidRPr="00970283" w:rsidRDefault="00550804" w:rsidP="00550804">
            <w:pPr>
              <w:tabs>
                <w:tab w:val="left" w:pos="0"/>
                <w:tab w:val="left" w:pos="132"/>
              </w:tabs>
              <w:jc w:val="left"/>
              <w:rPr>
                <w:rFonts w:cs="Times New Roman"/>
                <w:b/>
                <w:color w:val="0D0D0D"/>
                <w:sz w:val="20"/>
                <w:szCs w:val="20"/>
                <w:lang w:val="en-IE"/>
              </w:rPr>
            </w:pPr>
            <w:r w:rsidRPr="00970283">
              <w:rPr>
                <w:rFonts w:cs="Times New Roman"/>
                <w:b/>
                <w:color w:val="0D0D0D"/>
                <w:sz w:val="20"/>
                <w:szCs w:val="20"/>
                <w:lang w:val="en-IE"/>
              </w:rPr>
              <w:lastRenderedPageBreak/>
              <w:t>Output 3.1</w:t>
            </w:r>
          </w:p>
          <w:p w14:paraId="2FA1AA5B" w14:textId="6BA100BB" w:rsidR="00550804" w:rsidRPr="00970283" w:rsidRDefault="00550804" w:rsidP="00550804">
            <w:pPr>
              <w:tabs>
                <w:tab w:val="left" w:pos="0"/>
                <w:tab w:val="left" w:pos="132"/>
              </w:tabs>
              <w:jc w:val="left"/>
              <w:rPr>
                <w:rFonts w:cs="Times New Roman"/>
                <w:b/>
                <w:color w:val="0D0D0D"/>
                <w:sz w:val="20"/>
                <w:szCs w:val="20"/>
                <w:lang w:val="en-IE"/>
              </w:rPr>
            </w:pPr>
            <w:r w:rsidRPr="00970283">
              <w:rPr>
                <w:rFonts w:cs="Times New Roman"/>
                <w:b/>
                <w:color w:val="0D0D0D"/>
                <w:sz w:val="20"/>
                <w:szCs w:val="20"/>
                <w:lang w:val="en-IE"/>
              </w:rPr>
              <w:t>Related to Outcome 3</w:t>
            </w:r>
          </w:p>
        </w:tc>
        <w:tc>
          <w:tcPr>
            <w:tcW w:w="688"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14:paraId="681120D9" w14:textId="3EAE6AE0" w:rsidR="00550804" w:rsidRPr="00970283" w:rsidRDefault="00550804">
            <w:pPr>
              <w:jc w:val="left"/>
              <w:rPr>
                <w:rFonts w:cs="Times New Roman"/>
                <w:color w:val="0D0D0D"/>
                <w:sz w:val="20"/>
                <w:szCs w:val="20"/>
                <w:lang w:val="en-IE"/>
              </w:rPr>
            </w:pPr>
            <w:r w:rsidRPr="00970283">
              <w:rPr>
                <w:rFonts w:cs="Times New Roman"/>
                <w:color w:val="0D0D0D"/>
                <w:sz w:val="20"/>
                <w:szCs w:val="20"/>
                <w:lang w:val="en-IE"/>
              </w:rPr>
              <w:t>Detailed Urban planning for Roma settlements established</w:t>
            </w:r>
          </w:p>
        </w:tc>
        <w:tc>
          <w:tcPr>
            <w:tcW w:w="1127"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4262315" w14:textId="498150ED" w:rsidR="00550804" w:rsidRPr="00970283" w:rsidRDefault="00550804" w:rsidP="00550804">
            <w:pPr>
              <w:jc w:val="left"/>
              <w:rPr>
                <w:rFonts w:cs="Times New Roman"/>
                <w:color w:val="0D0D0D"/>
                <w:sz w:val="20"/>
                <w:szCs w:val="20"/>
                <w:lang w:val="en-IE"/>
              </w:rPr>
            </w:pPr>
            <w:r w:rsidRPr="00970283">
              <w:rPr>
                <w:rFonts w:cs="Times New Roman"/>
                <w:color w:val="0D0D0D"/>
                <w:sz w:val="20"/>
                <w:szCs w:val="20"/>
                <w:lang w:val="en-IE"/>
              </w:rPr>
              <w:t>Number of new Roma settlements integrated in urban plans at municipal levels</w:t>
            </w:r>
          </w:p>
        </w:tc>
        <w:tc>
          <w:tcPr>
            <w:tcW w:w="529"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61CDF4D" w14:textId="53CE2CC9" w:rsidR="00550804" w:rsidRPr="00970283" w:rsidRDefault="00550804" w:rsidP="00550804">
            <w:pPr>
              <w:jc w:val="center"/>
              <w:rPr>
                <w:rFonts w:cs="Times New Roman"/>
                <w:color w:val="0D0D0D"/>
                <w:sz w:val="20"/>
                <w:szCs w:val="20"/>
                <w:lang w:val="en-IE"/>
              </w:rPr>
            </w:pPr>
            <w:r w:rsidRPr="00970283">
              <w:rPr>
                <w:rFonts w:cs="Times New Roman"/>
                <w:color w:val="0D0D0D"/>
                <w:sz w:val="20"/>
                <w:szCs w:val="20"/>
                <w:lang w:val="en-IE"/>
              </w:rPr>
              <w:t>0 (2022)</w:t>
            </w:r>
          </w:p>
        </w:tc>
        <w:tc>
          <w:tcPr>
            <w:tcW w:w="551"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CAF84C8" w14:textId="255C35EF" w:rsidR="00550804" w:rsidRPr="00970283" w:rsidRDefault="00550804" w:rsidP="00550804">
            <w:pPr>
              <w:jc w:val="center"/>
              <w:rPr>
                <w:rFonts w:cs="Times New Roman"/>
                <w:color w:val="000000" w:themeColor="text1"/>
                <w:sz w:val="20"/>
                <w:szCs w:val="20"/>
              </w:rPr>
            </w:pPr>
            <w:r w:rsidRPr="00970283">
              <w:rPr>
                <w:rFonts w:cs="Times New Roman"/>
                <w:color w:val="000000" w:themeColor="text1"/>
                <w:sz w:val="20"/>
                <w:szCs w:val="20"/>
              </w:rPr>
              <w:t>≥ 3 (2027)</w:t>
            </w:r>
            <w:r w:rsidRPr="00970283">
              <w:rPr>
                <w:rStyle w:val="Refdenotaalpie"/>
                <w:rFonts w:cs="Times New Roman"/>
                <w:color w:val="000000" w:themeColor="text1"/>
                <w:sz w:val="20"/>
                <w:szCs w:val="20"/>
              </w:rPr>
              <w:footnoteReference w:id="34"/>
            </w:r>
          </w:p>
        </w:tc>
        <w:tc>
          <w:tcPr>
            <w:tcW w:w="676"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485D795" w14:textId="07171A05" w:rsidR="00550804" w:rsidRPr="00970283" w:rsidRDefault="00550804" w:rsidP="00550804">
            <w:pPr>
              <w:jc w:val="center"/>
              <w:rPr>
                <w:rFonts w:cs="Times New Roman"/>
                <w:color w:val="0D0D0D"/>
                <w:sz w:val="20"/>
                <w:szCs w:val="20"/>
                <w:lang w:val="en-IE"/>
              </w:rPr>
            </w:pPr>
            <w:r w:rsidRPr="00970283">
              <w:rPr>
                <w:rFonts w:cs="Times New Roman"/>
                <w:color w:val="0D0D0D"/>
                <w:sz w:val="20"/>
                <w:szCs w:val="20"/>
                <w:lang w:val="en-IE"/>
              </w:rPr>
              <w:t>Project report</w:t>
            </w:r>
          </w:p>
        </w:tc>
        <w:tc>
          <w:tcPr>
            <w:tcW w:w="812" w:type="pct"/>
            <w:vMerge/>
            <w:tcBorders>
              <w:left w:val="single" w:sz="4" w:space="0" w:color="000000"/>
              <w:right w:val="single" w:sz="4" w:space="0" w:color="000000"/>
              <w:tl2br w:val="nil"/>
              <w:tr2bl w:val="nil"/>
            </w:tcBorders>
            <w:tcMar>
              <w:top w:w="0" w:type="dxa"/>
              <w:left w:w="108" w:type="dxa"/>
              <w:bottom w:w="0" w:type="dxa"/>
              <w:right w:w="108" w:type="dxa"/>
            </w:tcMar>
            <w:vAlign w:val="center"/>
          </w:tcPr>
          <w:p w14:paraId="1DAC2A53" w14:textId="77777777" w:rsidR="00550804" w:rsidRPr="00970283" w:rsidRDefault="00550804" w:rsidP="00550804">
            <w:pPr>
              <w:rPr>
                <w:rFonts w:cs="Times New Roman"/>
                <w:sz w:val="20"/>
                <w:szCs w:val="20"/>
              </w:rPr>
            </w:pPr>
          </w:p>
        </w:tc>
      </w:tr>
      <w:tr w:rsidR="00550804" w14:paraId="3524793A" w14:textId="77777777" w:rsidTr="006328B3">
        <w:tc>
          <w:tcPr>
            <w:tcW w:w="617" w:type="pct"/>
            <w:vMerge/>
            <w:tcBorders>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vAlign w:val="center"/>
          </w:tcPr>
          <w:p w14:paraId="57ED94BA" w14:textId="014648B0" w:rsidR="00550804" w:rsidRPr="00970283" w:rsidRDefault="00550804" w:rsidP="00550804">
            <w:pPr>
              <w:tabs>
                <w:tab w:val="left" w:pos="0"/>
                <w:tab w:val="left" w:pos="132"/>
              </w:tabs>
              <w:jc w:val="left"/>
              <w:rPr>
                <w:rFonts w:cs="Times New Roman"/>
                <w:b/>
                <w:color w:val="0D0D0D"/>
                <w:sz w:val="20"/>
                <w:szCs w:val="20"/>
                <w:lang w:val="en-IE"/>
              </w:rPr>
            </w:pPr>
          </w:p>
        </w:tc>
        <w:tc>
          <w:tcPr>
            <w:tcW w:w="688"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06F7E4F" w14:textId="24747798" w:rsidR="00550804" w:rsidRPr="00970283" w:rsidRDefault="00550804" w:rsidP="00550804">
            <w:pPr>
              <w:jc w:val="left"/>
              <w:rPr>
                <w:rFonts w:cs="Times New Roman"/>
                <w:color w:val="0D0D0D"/>
                <w:sz w:val="20"/>
                <w:szCs w:val="20"/>
                <w:lang w:val="en-IE"/>
              </w:rPr>
            </w:pPr>
          </w:p>
        </w:tc>
        <w:tc>
          <w:tcPr>
            <w:tcW w:w="1127"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04D7543" w14:textId="6C3D7D2D" w:rsidR="00550804" w:rsidRPr="00970283" w:rsidRDefault="00550804" w:rsidP="00550804">
            <w:pPr>
              <w:jc w:val="left"/>
              <w:rPr>
                <w:rFonts w:cs="Times New Roman"/>
                <w:color w:val="0D0D0D"/>
                <w:sz w:val="20"/>
                <w:szCs w:val="20"/>
                <w:lang w:val="en-IE"/>
              </w:rPr>
            </w:pPr>
            <w:r w:rsidRPr="00970283">
              <w:rPr>
                <w:rFonts w:cs="Times New Roman"/>
                <w:color w:val="0D0D0D"/>
                <w:sz w:val="20"/>
                <w:szCs w:val="20"/>
                <w:lang w:val="en-IE"/>
              </w:rPr>
              <w:t>Number of legalised houses of Roma families in selected municipalities</w:t>
            </w:r>
          </w:p>
        </w:tc>
        <w:tc>
          <w:tcPr>
            <w:tcW w:w="529"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6988002" w14:textId="77777777" w:rsidR="00550804" w:rsidRPr="00970283" w:rsidRDefault="00550804" w:rsidP="00550804">
            <w:pPr>
              <w:jc w:val="center"/>
              <w:rPr>
                <w:rFonts w:cs="Times New Roman"/>
                <w:color w:val="0D0D0D"/>
                <w:sz w:val="20"/>
                <w:szCs w:val="20"/>
                <w:lang w:val="en-IE"/>
              </w:rPr>
            </w:pPr>
            <w:r w:rsidRPr="00970283">
              <w:rPr>
                <w:rFonts w:cs="Times New Roman"/>
                <w:color w:val="0D0D0D"/>
                <w:sz w:val="20"/>
                <w:szCs w:val="20"/>
                <w:lang w:val="en-IE"/>
              </w:rPr>
              <w:t>0 (2022)</w:t>
            </w:r>
          </w:p>
        </w:tc>
        <w:tc>
          <w:tcPr>
            <w:tcW w:w="551"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3737915" w14:textId="237225AA" w:rsidR="00550804" w:rsidRPr="00970283" w:rsidRDefault="00550804" w:rsidP="00550804">
            <w:pPr>
              <w:jc w:val="center"/>
              <w:rPr>
                <w:rFonts w:cs="Times New Roman"/>
                <w:color w:val="000000" w:themeColor="text1"/>
                <w:sz w:val="20"/>
                <w:szCs w:val="20"/>
                <w:lang w:val="en-IE"/>
              </w:rPr>
            </w:pPr>
            <w:r w:rsidRPr="00970283">
              <w:rPr>
                <w:rFonts w:cs="Times New Roman"/>
                <w:color w:val="000000"/>
                <w:sz w:val="20"/>
                <w:szCs w:val="20"/>
              </w:rPr>
              <w:t>≥ 200 (2027)</w:t>
            </w:r>
            <w:r w:rsidRPr="00970283">
              <w:rPr>
                <w:rStyle w:val="Refdenotaalpie"/>
                <w:rFonts w:cs="Times New Roman"/>
                <w:color w:val="000000"/>
                <w:sz w:val="20"/>
                <w:szCs w:val="20"/>
              </w:rPr>
              <w:footnoteReference w:id="35"/>
            </w:r>
          </w:p>
        </w:tc>
        <w:tc>
          <w:tcPr>
            <w:tcW w:w="676" w:type="pc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FF908DA" w14:textId="77777777" w:rsidR="00550804" w:rsidRPr="00970283" w:rsidRDefault="00550804" w:rsidP="00550804">
            <w:pPr>
              <w:jc w:val="center"/>
              <w:rPr>
                <w:rFonts w:cs="Times New Roman"/>
                <w:color w:val="0D0D0D"/>
                <w:sz w:val="20"/>
                <w:szCs w:val="20"/>
                <w:highlight w:val="yellow"/>
                <w:lang w:val="en-IE"/>
              </w:rPr>
            </w:pPr>
            <w:r w:rsidRPr="00970283">
              <w:rPr>
                <w:rFonts w:cs="Times New Roman"/>
                <w:color w:val="0D0D0D"/>
                <w:sz w:val="20"/>
                <w:szCs w:val="20"/>
                <w:lang w:val="en-IE"/>
              </w:rPr>
              <w:t>Project report</w:t>
            </w:r>
          </w:p>
        </w:tc>
        <w:tc>
          <w:tcPr>
            <w:tcW w:w="812"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FD54E29" w14:textId="77777777" w:rsidR="00550804" w:rsidRPr="00970283" w:rsidRDefault="00550804" w:rsidP="00550804">
            <w:pPr>
              <w:rPr>
                <w:rFonts w:cs="Times New Roman"/>
                <w:sz w:val="20"/>
                <w:szCs w:val="20"/>
              </w:rPr>
            </w:pPr>
          </w:p>
        </w:tc>
      </w:tr>
    </w:tbl>
    <w:p w14:paraId="46235675" w14:textId="084E828A" w:rsidR="00FE149A" w:rsidRDefault="00FE149A" w:rsidP="00D370B8">
      <w:pPr>
        <w:rPr>
          <w:lang w:val="en-IE"/>
        </w:rPr>
      </w:pPr>
    </w:p>
    <w:p w14:paraId="5EE51430" w14:textId="77777777" w:rsidR="00FE149A" w:rsidRDefault="00FE149A" w:rsidP="00D370B8">
      <w:pPr>
        <w:rPr>
          <w:lang w:val="en-IE"/>
        </w:rPr>
        <w:sectPr w:rsidR="00FE149A" w:rsidSect="00BD5D9A">
          <w:pgSz w:w="16838" w:h="11906" w:orient="landscape" w:code="9"/>
          <w:pgMar w:top="1276" w:right="1134" w:bottom="1276" w:left="720" w:header="567" w:footer="510" w:gutter="0"/>
          <w:cols w:space="708"/>
          <w:docGrid w:linePitch="360"/>
        </w:sectPr>
      </w:pPr>
    </w:p>
    <w:p w14:paraId="3A5C7703" w14:textId="113950FF" w:rsidR="00A571EC" w:rsidRDefault="00A571EC" w:rsidP="00D370B8">
      <w:pPr>
        <w:rPr>
          <w:lang w:val="en-IE"/>
        </w:rPr>
      </w:pPr>
    </w:p>
    <w:p w14:paraId="6BBE1648" w14:textId="77777777" w:rsidR="008E6AFF" w:rsidRPr="009B333B" w:rsidRDefault="008E6AFF" w:rsidP="009B333B">
      <w:pPr>
        <w:pStyle w:val="Ttulo1"/>
      </w:pPr>
      <w:bookmarkStart w:id="204" w:name="_Toc47101964"/>
      <w:bookmarkStart w:id="205" w:name="_Toc51270459"/>
      <w:bookmarkStart w:id="206" w:name="_Toc59031675"/>
      <w:bookmarkStart w:id="207" w:name="_Toc73090757"/>
      <w:bookmarkStart w:id="208" w:name="_Ref58337274"/>
      <w:bookmarkStart w:id="209" w:name="_Toc47101982"/>
      <w:bookmarkStart w:id="210" w:name="_Toc51270477"/>
      <w:bookmarkStart w:id="211" w:name="_Ref58359378"/>
      <w:bookmarkEnd w:id="182"/>
      <w:bookmarkEnd w:id="183"/>
      <w:bookmarkEnd w:id="184"/>
      <w:bookmarkEnd w:id="185"/>
      <w:bookmarkEnd w:id="186"/>
      <w:bookmarkEnd w:id="187"/>
      <w:bookmarkEnd w:id="188"/>
      <w:bookmarkEnd w:id="189"/>
      <w:r w:rsidRPr="009B333B">
        <w:t xml:space="preserve">IMPLEMENTATION </w:t>
      </w:r>
      <w:bookmarkEnd w:id="204"/>
      <w:bookmarkEnd w:id="205"/>
      <w:r w:rsidRPr="009B333B">
        <w:t>ARRANGEMENTS</w:t>
      </w:r>
      <w:bookmarkEnd w:id="206"/>
      <w:bookmarkEnd w:id="207"/>
      <w:r w:rsidR="00635A0A">
        <w:rPr>
          <w:rStyle w:val="Refdenotaalpie"/>
          <w:lang w:val="en-IE"/>
        </w:rPr>
        <w:footnoteReference w:id="36"/>
      </w:r>
      <w:r w:rsidRPr="009B333B">
        <w:t xml:space="preserve"> </w:t>
      </w:r>
      <w:bookmarkStart w:id="212" w:name="_Toc59023374"/>
      <w:bookmarkStart w:id="213" w:name="_Toc59029543"/>
      <w:bookmarkStart w:id="214" w:name="_Toc59030359"/>
      <w:bookmarkStart w:id="215" w:name="_Toc59031676"/>
      <w:bookmarkStart w:id="216" w:name="_Toc62247175"/>
      <w:bookmarkStart w:id="217" w:name="_Toc62247232"/>
      <w:bookmarkStart w:id="218" w:name="_Toc62459274"/>
      <w:bookmarkStart w:id="219" w:name="_Toc62476938"/>
      <w:bookmarkStart w:id="220" w:name="_Toc63235846"/>
      <w:bookmarkStart w:id="221" w:name="_Toc63248952"/>
      <w:bookmarkStart w:id="222" w:name="_Toc63263281"/>
      <w:bookmarkStart w:id="223" w:name="_Toc64043058"/>
      <w:bookmarkStart w:id="224" w:name="_Toc65663771"/>
      <w:bookmarkStart w:id="225" w:name="_Toc65665587"/>
      <w:bookmarkStart w:id="226" w:name="_Toc65665949"/>
      <w:bookmarkStart w:id="227" w:name="_Toc65666126"/>
      <w:bookmarkStart w:id="228" w:name="_Toc65671203"/>
      <w:bookmarkStart w:id="229" w:name="_Toc65671262"/>
      <w:bookmarkStart w:id="230" w:name="_Toc65671919"/>
      <w:bookmarkStart w:id="231" w:name="_Toc65674775"/>
      <w:bookmarkStart w:id="232" w:name="_Toc65676425"/>
      <w:bookmarkStart w:id="233" w:name="_Toc65688262"/>
      <w:bookmarkStart w:id="234" w:name="_Toc66465152"/>
      <w:bookmarkStart w:id="235" w:name="_Toc66465605"/>
      <w:bookmarkStart w:id="236" w:name="_Toc66465664"/>
      <w:bookmarkStart w:id="237" w:name="_Toc66696390"/>
      <w:bookmarkStart w:id="238" w:name="_Toc67665938"/>
      <w:bookmarkStart w:id="239" w:name="_Toc69384766"/>
      <w:bookmarkStart w:id="240" w:name="_Toc69384897"/>
      <w:bookmarkStart w:id="241" w:name="_Toc69385025"/>
      <w:bookmarkStart w:id="242" w:name="_Toc69385153"/>
      <w:bookmarkStart w:id="243" w:name="_Toc69460902"/>
      <w:bookmarkStart w:id="244" w:name="_Toc69461029"/>
      <w:bookmarkStart w:id="245" w:name="_Toc69469921"/>
      <w:bookmarkStart w:id="246" w:name="_Toc69485784"/>
      <w:bookmarkStart w:id="247" w:name="_Toc69487659"/>
      <w:bookmarkStart w:id="248" w:name="_Toc72142249"/>
      <w:bookmarkStart w:id="249" w:name="_Toc72142335"/>
      <w:bookmarkStart w:id="250" w:name="_Toc73090675"/>
      <w:bookmarkStart w:id="251" w:name="_Toc73090758"/>
      <w:bookmarkStart w:id="252" w:name="_Toc47101965"/>
      <w:bookmarkStart w:id="253" w:name="_Toc51270460"/>
      <w:bookmarkStart w:id="254" w:name="_Ref58359167"/>
      <w:bookmarkEnd w:id="208"/>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669B506" w14:textId="77777777" w:rsidR="008E6AFF" w:rsidRPr="003C0CD7" w:rsidRDefault="008E6AFF" w:rsidP="003C0CD7">
      <w:pPr>
        <w:pStyle w:val="Ttulo1"/>
        <w:numPr>
          <w:ilvl w:val="1"/>
          <w:numId w:val="1"/>
        </w:numPr>
        <w:rPr>
          <w:lang w:val="en-IE"/>
        </w:rPr>
      </w:pPr>
      <w:bookmarkStart w:id="255" w:name="_Toc59031677"/>
      <w:bookmarkStart w:id="256" w:name="_Ref65665776"/>
      <w:bookmarkStart w:id="257" w:name="_Toc73090759"/>
      <w:r w:rsidRPr="003C0CD7">
        <w:rPr>
          <w:lang w:val="en-IE"/>
        </w:rPr>
        <w:t>Financing Agreement</w:t>
      </w:r>
      <w:bookmarkEnd w:id="252"/>
      <w:bookmarkEnd w:id="253"/>
      <w:bookmarkEnd w:id="254"/>
      <w:bookmarkEnd w:id="255"/>
      <w:bookmarkEnd w:id="256"/>
      <w:bookmarkEnd w:id="257"/>
    </w:p>
    <w:p w14:paraId="7230EA11" w14:textId="47FB6CEF" w:rsidR="004A3EFD" w:rsidRPr="003C0CD7" w:rsidRDefault="004A3EFD" w:rsidP="00970283">
      <w:pPr>
        <w:ind w:left="283"/>
        <w:rPr>
          <w:lang w:val="en-IE"/>
        </w:rPr>
      </w:pPr>
      <w:bookmarkStart w:id="258" w:name="_Toc47101966"/>
      <w:bookmarkStart w:id="259" w:name="_Toc51270461"/>
      <w:bookmarkStart w:id="260" w:name="_Toc59031678"/>
      <w:r w:rsidRPr="003C0CD7">
        <w:rPr>
          <w:lang w:val="en-IE"/>
        </w:rPr>
        <w:t xml:space="preserve">In order to implement this </w:t>
      </w:r>
      <w:r w:rsidR="00713689">
        <w:rPr>
          <w:lang w:val="en-IE"/>
        </w:rPr>
        <w:t>A</w:t>
      </w:r>
      <w:r w:rsidRPr="003C0CD7">
        <w:rPr>
          <w:lang w:val="en-IE"/>
        </w:rPr>
        <w:t xml:space="preserve">ction, it is envisaged to conclude a financing agreement with the </w:t>
      </w:r>
      <w:r w:rsidR="003D7FB9">
        <w:rPr>
          <w:lang w:val="en-IE"/>
        </w:rPr>
        <w:t>North Macedonia.</w:t>
      </w:r>
    </w:p>
    <w:p w14:paraId="16A5142A" w14:textId="28DD878F" w:rsidR="008E6AFF" w:rsidRPr="003C0CD7" w:rsidRDefault="008E6AFF" w:rsidP="003C0CD7">
      <w:pPr>
        <w:pStyle w:val="Ttulo1"/>
        <w:numPr>
          <w:ilvl w:val="1"/>
          <w:numId w:val="1"/>
        </w:numPr>
        <w:rPr>
          <w:color w:val="auto"/>
          <w:lang w:val="en-IE"/>
        </w:rPr>
      </w:pPr>
      <w:bookmarkStart w:id="261" w:name="_Toc73090760"/>
      <w:r w:rsidRPr="00DC3DEB">
        <w:rPr>
          <w:lang w:val="en-IE"/>
        </w:rPr>
        <w:t>Indicative</w:t>
      </w:r>
      <w:r w:rsidRPr="00DC3DEB">
        <w:rPr>
          <w:color w:val="auto"/>
          <w:lang w:val="en-IE"/>
        </w:rPr>
        <w:t xml:space="preserve"> </w:t>
      </w:r>
      <w:r w:rsidRPr="00A112B0">
        <w:rPr>
          <w:color w:val="auto"/>
          <w:lang w:val="en-IE"/>
        </w:rPr>
        <w:t>Implementation</w:t>
      </w:r>
      <w:r w:rsidR="00E655AA" w:rsidRPr="00A112B0">
        <w:rPr>
          <w:color w:val="auto"/>
          <w:lang w:val="en-IE"/>
        </w:rPr>
        <w:t xml:space="preserve"> </w:t>
      </w:r>
      <w:r w:rsidRPr="003C0CD7">
        <w:rPr>
          <w:color w:val="auto"/>
          <w:lang w:val="en-IE"/>
        </w:rPr>
        <w:t>Period</w:t>
      </w:r>
      <w:bookmarkEnd w:id="258"/>
      <w:bookmarkEnd w:id="259"/>
      <w:bookmarkEnd w:id="260"/>
      <w:bookmarkEnd w:id="261"/>
      <w:r w:rsidRPr="003C0CD7">
        <w:rPr>
          <w:color w:val="auto"/>
          <w:lang w:val="en-IE"/>
        </w:rPr>
        <w:t xml:space="preserve"> </w:t>
      </w:r>
    </w:p>
    <w:p w14:paraId="4F73F51A" w14:textId="607C1B4F" w:rsidR="00A32BB1" w:rsidRDefault="00A32BB1" w:rsidP="00970283">
      <w:pPr>
        <w:ind w:left="283"/>
        <w:rPr>
          <w:rFonts w:cs="Times New Roman"/>
          <w:lang w:val="en-IE"/>
        </w:rPr>
      </w:pPr>
      <w:bookmarkStart w:id="262" w:name="_Toc47101967"/>
      <w:bookmarkStart w:id="263" w:name="_Toc51270462"/>
      <w:bookmarkStart w:id="264" w:name="_Ref58357974"/>
      <w:bookmarkStart w:id="265" w:name="_Ref58360386"/>
      <w:bookmarkStart w:id="266" w:name="_Ref58360539"/>
      <w:bookmarkStart w:id="267" w:name="_Ref58440441"/>
      <w:bookmarkStart w:id="268" w:name="_Ref58878099"/>
      <w:bookmarkStart w:id="269" w:name="_Ref58878176"/>
      <w:bookmarkStart w:id="270" w:name="_Ref58878177"/>
      <w:bookmarkStart w:id="271" w:name="_Ref58878225"/>
      <w:bookmarkStart w:id="272" w:name="_Toc59031679"/>
      <w:r w:rsidRPr="003C0CD7">
        <w:rPr>
          <w:rFonts w:cs="Times New Roman"/>
          <w:lang w:val="en-IE"/>
        </w:rPr>
        <w:t xml:space="preserve">The indicative operational implementation period of this </w:t>
      </w:r>
      <w:r w:rsidR="003D7FB9">
        <w:rPr>
          <w:rFonts w:cs="Times New Roman"/>
          <w:lang w:val="en-IE"/>
        </w:rPr>
        <w:t>A</w:t>
      </w:r>
      <w:r w:rsidRPr="003C0CD7">
        <w:rPr>
          <w:rFonts w:cs="Times New Roman"/>
          <w:lang w:val="en-IE"/>
        </w:rPr>
        <w:t xml:space="preserve">ction, during which the activities described in section </w:t>
      </w:r>
      <w:r w:rsidR="00C242E3">
        <w:rPr>
          <w:rFonts w:cs="Times New Roman"/>
          <w:lang w:val="en-IE"/>
        </w:rPr>
        <w:t>3</w:t>
      </w:r>
      <w:r w:rsidRPr="003C0CD7">
        <w:rPr>
          <w:rFonts w:cs="Times New Roman"/>
          <w:lang w:val="en-IE"/>
        </w:rPr>
        <w:t xml:space="preserve"> will be carried out and the corresponding contracts and agreements implemented, is </w:t>
      </w:r>
      <w:r w:rsidR="00081510" w:rsidRPr="00081510">
        <w:rPr>
          <w:rFonts w:cs="Times New Roman"/>
          <w:lang w:val="en-IE"/>
        </w:rPr>
        <w:t xml:space="preserve">72 months from the date of </w:t>
      </w:r>
      <w:r w:rsidR="005E0501">
        <w:rPr>
          <w:rFonts w:cs="Times New Roman"/>
          <w:lang w:val="en-IE"/>
        </w:rPr>
        <w:t>conclusion</w:t>
      </w:r>
      <w:r w:rsidR="00081510" w:rsidRPr="00081510">
        <w:rPr>
          <w:rFonts w:cs="Times New Roman"/>
          <w:lang w:val="en-IE"/>
        </w:rPr>
        <w:t xml:space="preserve"> of the financing agreement. </w:t>
      </w:r>
      <w:r w:rsidRPr="00081510">
        <w:rPr>
          <w:rFonts w:cs="Times New Roman"/>
          <w:lang w:val="en-IE"/>
        </w:rPr>
        <w:t xml:space="preserve"> </w:t>
      </w:r>
    </w:p>
    <w:p w14:paraId="73B3FB11" w14:textId="77777777" w:rsidR="00081510" w:rsidRPr="003C0CD7" w:rsidRDefault="00081510" w:rsidP="00970283">
      <w:pPr>
        <w:ind w:left="283"/>
        <w:rPr>
          <w:rFonts w:cs="Times New Roman"/>
          <w:lang w:val="en-IE"/>
        </w:rPr>
      </w:pPr>
    </w:p>
    <w:p w14:paraId="2E8ED09F" w14:textId="77777777" w:rsidR="00A32BB1" w:rsidRPr="003C0CD7" w:rsidRDefault="00A32BB1" w:rsidP="00970283">
      <w:pPr>
        <w:ind w:left="283"/>
        <w:rPr>
          <w:rFonts w:cs="Times New Roman"/>
          <w:lang w:val="en-IE"/>
        </w:rPr>
      </w:pPr>
      <w:r w:rsidRPr="003C0CD7">
        <w:rPr>
          <w:rFonts w:cs="Times New Roman"/>
          <w:lang w:val="en-IE"/>
        </w:rPr>
        <w:t>Extensions of the implementation period may be agreed by the Commission’s responsible authorising officer by amending this Financing Decision and the relevant contracts and agreements.</w:t>
      </w:r>
    </w:p>
    <w:p w14:paraId="2D812006" w14:textId="36870B89" w:rsidR="008E6AFF" w:rsidRPr="003C0CD7" w:rsidRDefault="00240ECF" w:rsidP="003C0CD7">
      <w:pPr>
        <w:pStyle w:val="Ttulo1"/>
        <w:numPr>
          <w:ilvl w:val="1"/>
          <w:numId w:val="1"/>
        </w:numPr>
        <w:rPr>
          <w:lang w:val="en-IE"/>
        </w:rPr>
      </w:pPr>
      <w:bookmarkStart w:id="273" w:name="_Toc73090765"/>
      <w:bookmarkEnd w:id="262"/>
      <w:bookmarkEnd w:id="263"/>
      <w:bookmarkEnd w:id="264"/>
      <w:bookmarkEnd w:id="265"/>
      <w:bookmarkEnd w:id="266"/>
      <w:bookmarkEnd w:id="267"/>
      <w:bookmarkEnd w:id="268"/>
      <w:bookmarkEnd w:id="269"/>
      <w:bookmarkEnd w:id="270"/>
      <w:bookmarkEnd w:id="271"/>
      <w:bookmarkEnd w:id="272"/>
      <w:r>
        <w:rPr>
          <w:lang w:val="en-IE"/>
        </w:rPr>
        <w:t>Implementation Modalities</w:t>
      </w:r>
      <w:r w:rsidR="008E6AFF" w:rsidRPr="003C0CD7">
        <w:rPr>
          <w:lang w:val="en-IE"/>
        </w:rPr>
        <w:t xml:space="preserve"> </w:t>
      </w:r>
      <w:bookmarkEnd w:id="273"/>
    </w:p>
    <w:p w14:paraId="28174481" w14:textId="77777777" w:rsidR="00A32BB1" w:rsidRDefault="00A32BB1" w:rsidP="00970283">
      <w:pPr>
        <w:spacing w:before="120" w:after="120"/>
        <w:ind w:left="283"/>
        <w:rPr>
          <w:rFonts w:cs="Times New Roman"/>
          <w:lang w:val="en-IE"/>
        </w:rPr>
      </w:pPr>
      <w:r w:rsidRPr="003C0CD7">
        <w:rPr>
          <w:rFonts w:cs="Times New Roman"/>
          <w:lang w:val="en-IE"/>
        </w:rPr>
        <w:t>The Commission will ensure that the EU appropriate rules and procedures for providing financing to third parties are respected, including review procedures, where appropriate, and compliance of the action with EU restrictive measures</w:t>
      </w:r>
      <w:r w:rsidRPr="003C0CD7">
        <w:rPr>
          <w:rFonts w:cs="Times New Roman"/>
          <w:vertAlign w:val="superscript"/>
          <w:lang w:val="en-IE"/>
        </w:rPr>
        <w:footnoteReference w:id="37"/>
      </w:r>
      <w:r w:rsidRPr="003C0CD7">
        <w:rPr>
          <w:rFonts w:cs="Times New Roman"/>
          <w:lang w:val="en-IE"/>
        </w:rPr>
        <w:t>.</w:t>
      </w:r>
    </w:p>
    <w:p w14:paraId="1DAC8184" w14:textId="77777777" w:rsidR="008E6AFF" w:rsidRPr="003C0CD7" w:rsidRDefault="008E6AFF" w:rsidP="003C0CD7">
      <w:pPr>
        <w:pStyle w:val="Ttulo1"/>
        <w:numPr>
          <w:ilvl w:val="2"/>
          <w:numId w:val="1"/>
        </w:numPr>
        <w:rPr>
          <w:lang w:val="en-IE"/>
        </w:rPr>
      </w:pPr>
      <w:bookmarkStart w:id="274" w:name="_Toc47101972"/>
      <w:bookmarkStart w:id="275" w:name="_Toc51270467"/>
      <w:bookmarkStart w:id="276" w:name="_Ref58360228"/>
      <w:bookmarkStart w:id="277" w:name="_Ref58360553"/>
      <w:bookmarkStart w:id="278" w:name="_Ref58360670"/>
      <w:bookmarkStart w:id="279" w:name="_Ref58360706"/>
      <w:bookmarkStart w:id="280" w:name="_Ref58678954"/>
      <w:bookmarkStart w:id="281" w:name="_Ref58875949"/>
      <w:bookmarkStart w:id="282" w:name="_Toc59031684"/>
      <w:bookmarkStart w:id="283" w:name="_Toc73090766"/>
      <w:r w:rsidRPr="003C0CD7">
        <w:rPr>
          <w:lang w:val="en-IE"/>
        </w:rPr>
        <w:t>Direct Management (Grants</w:t>
      </w:r>
      <w:r w:rsidR="00994F13">
        <w:rPr>
          <w:lang w:val="en-IE"/>
        </w:rPr>
        <w:t>)</w:t>
      </w:r>
      <w:bookmarkEnd w:id="274"/>
      <w:bookmarkEnd w:id="275"/>
      <w:bookmarkEnd w:id="276"/>
      <w:bookmarkEnd w:id="277"/>
      <w:bookmarkEnd w:id="278"/>
      <w:bookmarkEnd w:id="279"/>
      <w:bookmarkEnd w:id="280"/>
      <w:bookmarkEnd w:id="281"/>
      <w:bookmarkEnd w:id="282"/>
      <w:bookmarkEnd w:id="283"/>
    </w:p>
    <w:p w14:paraId="082FA897" w14:textId="5A3EF740" w:rsidR="008501FE" w:rsidRPr="00970283" w:rsidRDefault="00F3577A" w:rsidP="00970283">
      <w:pPr>
        <w:pStyle w:val="Ttulo1"/>
        <w:numPr>
          <w:ilvl w:val="0"/>
          <w:numId w:val="0"/>
        </w:numPr>
        <w:ind w:left="1080" w:hanging="360"/>
        <w:rPr>
          <w:bCs/>
          <w:i/>
          <w:iCs/>
          <w:lang w:val="fr-BE"/>
        </w:rPr>
      </w:pPr>
      <w:r w:rsidDel="00F3577A">
        <w:rPr>
          <w:color w:val="auto"/>
        </w:rPr>
        <w:t xml:space="preserve"> </w:t>
      </w:r>
      <w:r w:rsidR="008501FE" w:rsidRPr="00970283">
        <w:rPr>
          <w:bCs/>
          <w:i/>
          <w:iCs/>
          <w:lang w:val="fr-BE"/>
        </w:rPr>
        <w:t xml:space="preserve">(1) </w:t>
      </w:r>
      <w:r w:rsidR="008501FE" w:rsidRPr="00970283">
        <w:rPr>
          <w:bCs/>
          <w:i/>
          <w:iCs/>
          <w:u w:val="single"/>
          <w:lang w:val="fr-BE"/>
        </w:rPr>
        <w:t>Grant “EU against Gender Violence”</w:t>
      </w:r>
      <w:r w:rsidR="00DE4C35" w:rsidRPr="00970283">
        <w:rPr>
          <w:bCs/>
          <w:i/>
          <w:iCs/>
          <w:u w:val="single"/>
          <w:lang w:val="fr-BE"/>
        </w:rPr>
        <w:t xml:space="preserve"> </w:t>
      </w:r>
      <w:r w:rsidR="00DE4C35">
        <w:rPr>
          <w:bCs/>
          <w:i/>
          <w:iCs/>
          <w:u w:val="single"/>
          <w:lang w:val="fr-BE"/>
        </w:rPr>
        <w:t>II</w:t>
      </w:r>
    </w:p>
    <w:p w14:paraId="2B5E0918" w14:textId="77777777" w:rsidR="008501FE" w:rsidRPr="008501FE" w:rsidRDefault="008501FE" w:rsidP="00970283">
      <w:pPr>
        <w:pStyle w:val="Ttulo1"/>
        <w:numPr>
          <w:ilvl w:val="0"/>
          <w:numId w:val="0"/>
        </w:numPr>
        <w:ind w:left="1080"/>
        <w:rPr>
          <w:lang w:val="en-IE"/>
        </w:rPr>
      </w:pPr>
      <w:r w:rsidRPr="008501FE">
        <w:rPr>
          <w:lang w:val="en-IE"/>
        </w:rPr>
        <w:t>(a) Purpose of the grant(s)</w:t>
      </w:r>
    </w:p>
    <w:p w14:paraId="0E8DBCA3" w14:textId="4AF58242" w:rsidR="008501FE" w:rsidRPr="008501FE" w:rsidRDefault="008501FE" w:rsidP="00970283">
      <w:pPr>
        <w:pStyle w:val="Ttulo1"/>
        <w:numPr>
          <w:ilvl w:val="0"/>
          <w:numId w:val="0"/>
        </w:numPr>
        <w:ind w:left="1080"/>
        <w:rPr>
          <w:b w:val="0"/>
          <w:bCs/>
          <w:lang w:val="en-IE"/>
        </w:rPr>
      </w:pPr>
      <w:r w:rsidRPr="008501FE">
        <w:rPr>
          <w:b w:val="0"/>
          <w:bCs/>
          <w:lang w:val="en-IE"/>
        </w:rPr>
        <w:t xml:space="preserve">To ensure the implementation of </w:t>
      </w:r>
      <w:r w:rsidRPr="008501FE">
        <w:rPr>
          <w:b w:val="0"/>
          <w:bCs/>
          <w:i/>
          <w:iCs/>
          <w:lang w:val="en-IE"/>
        </w:rPr>
        <w:t>Outcome 1: Enhanced response to gender-based violence and domestic violence</w:t>
      </w:r>
      <w:r w:rsidRPr="008501FE">
        <w:rPr>
          <w:b w:val="0"/>
          <w:bCs/>
          <w:lang w:val="en-IE"/>
        </w:rPr>
        <w:t xml:space="preserve"> through delivering </w:t>
      </w:r>
      <w:r w:rsidR="00732C7C">
        <w:rPr>
          <w:b w:val="0"/>
          <w:bCs/>
          <w:lang w:val="en-IE"/>
        </w:rPr>
        <w:t>O</w:t>
      </w:r>
      <w:r w:rsidRPr="008501FE">
        <w:rPr>
          <w:b w:val="0"/>
          <w:bCs/>
          <w:lang w:val="en-IE"/>
        </w:rPr>
        <w:t>utput 1.1. Improved protection services for victims of gender-based and domestic violence. The grant</w:t>
      </w:r>
      <w:r w:rsidR="00DE4C35">
        <w:rPr>
          <w:b w:val="0"/>
          <w:bCs/>
          <w:lang w:val="en-IE"/>
        </w:rPr>
        <w:t>s</w:t>
      </w:r>
      <w:r w:rsidRPr="008501FE">
        <w:rPr>
          <w:b w:val="0"/>
          <w:bCs/>
          <w:lang w:val="en-IE"/>
        </w:rPr>
        <w:t xml:space="preserve"> will be selected after a call for proposals.</w:t>
      </w:r>
    </w:p>
    <w:p w14:paraId="6E8A75E7" w14:textId="77777777" w:rsidR="008501FE" w:rsidRPr="008501FE" w:rsidRDefault="008501FE" w:rsidP="00970283">
      <w:pPr>
        <w:pStyle w:val="Ttulo1"/>
        <w:numPr>
          <w:ilvl w:val="0"/>
          <w:numId w:val="0"/>
        </w:numPr>
        <w:ind w:left="1080"/>
        <w:rPr>
          <w:lang w:val="en-IE"/>
        </w:rPr>
      </w:pPr>
      <w:r w:rsidRPr="008501FE">
        <w:rPr>
          <w:lang w:val="en-IE"/>
        </w:rPr>
        <w:t>(b) Type of applicants targeted</w:t>
      </w:r>
    </w:p>
    <w:p w14:paraId="50DA2411" w14:textId="6C085902" w:rsidR="008501FE" w:rsidRDefault="008501FE" w:rsidP="00970283">
      <w:pPr>
        <w:pStyle w:val="Ttulo1"/>
        <w:numPr>
          <w:ilvl w:val="0"/>
          <w:numId w:val="0"/>
        </w:numPr>
        <w:ind w:left="1080"/>
        <w:rPr>
          <w:b w:val="0"/>
          <w:bCs/>
          <w:lang w:val="en-IE"/>
        </w:rPr>
      </w:pPr>
      <w:r w:rsidRPr="008501FE">
        <w:rPr>
          <w:b w:val="0"/>
          <w:bCs/>
          <w:lang w:val="en-IE"/>
        </w:rPr>
        <w:t>Applicants must be legal entities, civil society organisations, public bodies, or international organisations established in North Macedonia</w:t>
      </w:r>
      <w:r w:rsidR="00807A5A">
        <w:rPr>
          <w:b w:val="0"/>
          <w:bCs/>
          <w:lang w:val="en-IE"/>
        </w:rPr>
        <w:t xml:space="preserve"> </w:t>
      </w:r>
      <w:r w:rsidR="005A217F">
        <w:rPr>
          <w:b w:val="0"/>
          <w:bCs/>
          <w:lang w:val="en-IE"/>
        </w:rPr>
        <w:t xml:space="preserve">and </w:t>
      </w:r>
      <w:r w:rsidR="00807A5A">
        <w:rPr>
          <w:b w:val="0"/>
          <w:bCs/>
          <w:lang w:val="en-IE"/>
        </w:rPr>
        <w:t>licence</w:t>
      </w:r>
      <w:r w:rsidR="005A217F">
        <w:rPr>
          <w:b w:val="0"/>
          <w:bCs/>
          <w:lang w:val="en-IE"/>
        </w:rPr>
        <w:t>d to implement social services</w:t>
      </w:r>
      <w:r w:rsidRPr="008501FE">
        <w:rPr>
          <w:b w:val="0"/>
          <w:bCs/>
          <w:lang w:val="en-IE"/>
        </w:rPr>
        <w:t>.</w:t>
      </w:r>
    </w:p>
    <w:p w14:paraId="0D47AEAD" w14:textId="688EF3C6" w:rsidR="008501FE" w:rsidRPr="000A339E" w:rsidRDefault="008501FE" w:rsidP="00970283">
      <w:pPr>
        <w:tabs>
          <w:tab w:val="left" w:pos="426"/>
        </w:tabs>
        <w:ind w:left="1004" w:hanging="284"/>
        <w:rPr>
          <w:rFonts w:cs="Times New Roman"/>
          <w:b/>
          <w:bCs/>
          <w:i/>
          <w:iCs/>
          <w:color w:val="000000" w:themeColor="text1"/>
          <w:u w:val="single"/>
          <w:lang w:val="en-IE"/>
        </w:rPr>
      </w:pPr>
      <w:r w:rsidRPr="000A339E">
        <w:rPr>
          <w:rFonts w:cs="Times New Roman"/>
          <w:b/>
          <w:bCs/>
          <w:i/>
          <w:iCs/>
          <w:color w:val="000000" w:themeColor="text1"/>
          <w:lang w:val="en-IE"/>
        </w:rPr>
        <w:t>(</w:t>
      </w:r>
      <w:r w:rsidR="00EB00B2">
        <w:rPr>
          <w:rFonts w:cs="Times New Roman"/>
          <w:b/>
          <w:bCs/>
          <w:i/>
          <w:iCs/>
          <w:color w:val="000000" w:themeColor="text1"/>
          <w:lang w:val="en-IE"/>
        </w:rPr>
        <w:t>2</w:t>
      </w:r>
      <w:r w:rsidRPr="000A339E">
        <w:rPr>
          <w:rFonts w:cs="Times New Roman"/>
          <w:b/>
          <w:bCs/>
          <w:i/>
          <w:iCs/>
          <w:color w:val="000000" w:themeColor="text1"/>
          <w:lang w:val="en-IE"/>
        </w:rPr>
        <w:t xml:space="preserve">) </w:t>
      </w:r>
      <w:r w:rsidR="00B07FC7" w:rsidRPr="000A339E">
        <w:rPr>
          <w:rFonts w:cs="Times New Roman"/>
          <w:b/>
          <w:bCs/>
          <w:i/>
          <w:iCs/>
          <w:color w:val="000000" w:themeColor="text1"/>
          <w:u w:val="single"/>
          <w:lang w:val="en-IE"/>
        </w:rPr>
        <w:t xml:space="preserve">Grant </w:t>
      </w:r>
      <w:r w:rsidRPr="000A339E">
        <w:rPr>
          <w:rFonts w:cs="Times New Roman"/>
          <w:b/>
          <w:bCs/>
          <w:i/>
          <w:iCs/>
          <w:color w:val="000000" w:themeColor="text1"/>
          <w:u w:val="single"/>
          <w:lang w:val="en-IE"/>
        </w:rPr>
        <w:t xml:space="preserve">“EU for the right to </w:t>
      </w:r>
      <w:r w:rsidR="00732C7C" w:rsidRPr="000A339E">
        <w:rPr>
          <w:rFonts w:cs="Times New Roman"/>
          <w:b/>
          <w:bCs/>
          <w:i/>
          <w:iCs/>
          <w:color w:val="000000" w:themeColor="text1"/>
          <w:u w:val="single"/>
          <w:lang w:val="en-IE"/>
        </w:rPr>
        <w:t xml:space="preserve">quality </w:t>
      </w:r>
      <w:r w:rsidRPr="000A339E">
        <w:rPr>
          <w:rFonts w:cs="Times New Roman"/>
          <w:b/>
          <w:bCs/>
          <w:i/>
          <w:iCs/>
          <w:color w:val="000000" w:themeColor="text1"/>
          <w:u w:val="single"/>
          <w:lang w:val="en-IE"/>
        </w:rPr>
        <w:t>education for vulnerable people</w:t>
      </w:r>
      <w:r w:rsidR="007B21A0" w:rsidRPr="000A339E">
        <w:rPr>
          <w:rFonts w:cs="Times New Roman"/>
          <w:b/>
          <w:bCs/>
          <w:i/>
          <w:iCs/>
          <w:color w:val="000000" w:themeColor="text1"/>
          <w:u w:val="single"/>
          <w:lang w:val="en-IE"/>
        </w:rPr>
        <w:t xml:space="preserve"> </w:t>
      </w:r>
      <w:r w:rsidR="00732C7C" w:rsidRPr="000A339E">
        <w:rPr>
          <w:rFonts w:cs="Times New Roman"/>
          <w:b/>
          <w:bCs/>
          <w:i/>
          <w:iCs/>
          <w:color w:val="000000" w:themeColor="text1"/>
          <w:u w:val="single"/>
          <w:lang w:val="en-IE"/>
        </w:rPr>
        <w:t>in a</w:t>
      </w:r>
      <w:r w:rsidR="007B21A0" w:rsidRPr="000A339E">
        <w:rPr>
          <w:rFonts w:cs="Times New Roman"/>
          <w:b/>
          <w:bCs/>
          <w:i/>
          <w:iCs/>
          <w:color w:val="000000" w:themeColor="text1"/>
          <w:u w:val="single"/>
          <w:lang w:val="en-IE"/>
        </w:rPr>
        <w:t xml:space="preserve"> </w:t>
      </w:r>
      <w:r w:rsidR="00732C7C" w:rsidRPr="000A339E">
        <w:rPr>
          <w:rFonts w:cs="Times New Roman"/>
          <w:b/>
          <w:bCs/>
          <w:i/>
          <w:iCs/>
          <w:color w:val="000000" w:themeColor="text1"/>
          <w:u w:val="single"/>
          <w:lang w:val="en-IE"/>
        </w:rPr>
        <w:t>safe and accessible environment</w:t>
      </w:r>
    </w:p>
    <w:p w14:paraId="0CD89962" w14:textId="77777777" w:rsidR="00732C7C" w:rsidRPr="000A339E" w:rsidRDefault="00732C7C" w:rsidP="00970283">
      <w:pPr>
        <w:ind w:left="720"/>
        <w:rPr>
          <w:rFonts w:cs="Times New Roman"/>
          <w:b/>
          <w:color w:val="000000" w:themeColor="text1"/>
          <w:lang w:val="en-IE"/>
        </w:rPr>
      </w:pPr>
    </w:p>
    <w:p w14:paraId="1204C9BD" w14:textId="77777777" w:rsidR="008501FE" w:rsidRPr="000A339E" w:rsidRDefault="008501FE" w:rsidP="00970283">
      <w:pPr>
        <w:ind w:left="1004"/>
        <w:rPr>
          <w:rFonts w:cs="Times New Roman"/>
          <w:b/>
          <w:color w:val="000000" w:themeColor="text1"/>
          <w:lang w:val="en-IE"/>
        </w:rPr>
      </w:pPr>
      <w:r w:rsidRPr="000A339E">
        <w:rPr>
          <w:rFonts w:cs="Times New Roman"/>
          <w:b/>
          <w:color w:val="000000" w:themeColor="text1"/>
          <w:lang w:val="en-IE"/>
        </w:rPr>
        <w:t>(a) Purpose of the grant(s)</w:t>
      </w:r>
    </w:p>
    <w:p w14:paraId="5CBC158D" w14:textId="0951A7D5" w:rsidR="008501FE" w:rsidRPr="00970283" w:rsidRDefault="008501FE" w:rsidP="00970283">
      <w:pPr>
        <w:spacing w:before="120"/>
        <w:ind w:left="1004"/>
        <w:rPr>
          <w:rFonts w:cs="Times New Roman"/>
          <w:sz w:val="22"/>
          <w:lang w:val="en-IE"/>
        </w:rPr>
      </w:pPr>
      <w:r w:rsidRPr="00970283">
        <w:rPr>
          <w:rFonts w:cs="Times New Roman"/>
          <w:color w:val="000000" w:themeColor="text1"/>
          <w:sz w:val="22"/>
          <w:lang w:val="en-IE"/>
        </w:rPr>
        <w:lastRenderedPageBreak/>
        <w:t xml:space="preserve">To ensure the implementation of </w:t>
      </w:r>
      <w:r w:rsidRPr="00970283">
        <w:rPr>
          <w:rFonts w:cs="Times New Roman"/>
          <w:i/>
          <w:iCs/>
          <w:color w:val="000000" w:themeColor="text1"/>
          <w:sz w:val="22"/>
          <w:lang w:val="en-IE"/>
        </w:rPr>
        <w:t xml:space="preserve">Outcome 2: </w:t>
      </w:r>
      <w:r w:rsidR="00DA2AE3" w:rsidRPr="00970283">
        <w:rPr>
          <w:rFonts w:cs="Times New Roman"/>
          <w:i/>
          <w:iCs/>
          <w:color w:val="000000" w:themeColor="text1"/>
          <w:sz w:val="22"/>
          <w:lang w:val="en-IE"/>
        </w:rPr>
        <w:t xml:space="preserve">Ensure the right of vulnerable people to quality education in a safe and accessible environment and their well-being at school </w:t>
      </w:r>
      <w:r w:rsidRPr="00970283">
        <w:rPr>
          <w:rFonts w:cs="Times New Roman"/>
          <w:color w:val="000000" w:themeColor="text1"/>
          <w:sz w:val="22"/>
          <w:lang w:val="en-IE"/>
        </w:rPr>
        <w:t xml:space="preserve">through delivering all </w:t>
      </w:r>
      <w:r w:rsidR="00732C7C" w:rsidRPr="00970283">
        <w:rPr>
          <w:rFonts w:cs="Times New Roman"/>
          <w:color w:val="000000" w:themeColor="text1"/>
          <w:sz w:val="22"/>
          <w:lang w:val="en-IE"/>
        </w:rPr>
        <w:t>O</w:t>
      </w:r>
      <w:r w:rsidRPr="00970283">
        <w:rPr>
          <w:rFonts w:cs="Times New Roman"/>
          <w:color w:val="000000" w:themeColor="text1"/>
          <w:sz w:val="22"/>
          <w:lang w:val="en-IE"/>
        </w:rPr>
        <w:t>utput</w:t>
      </w:r>
      <w:r w:rsidR="00732C7C" w:rsidRPr="00970283">
        <w:rPr>
          <w:rFonts w:cs="Times New Roman"/>
          <w:color w:val="000000" w:themeColor="text1"/>
          <w:sz w:val="22"/>
          <w:lang w:val="en-IE"/>
        </w:rPr>
        <w:t xml:space="preserve"> 2.</w:t>
      </w:r>
      <w:r w:rsidR="00D557FF" w:rsidRPr="00970283">
        <w:rPr>
          <w:rFonts w:cs="Times New Roman"/>
          <w:color w:val="000000" w:themeColor="text1"/>
          <w:sz w:val="22"/>
          <w:lang w:val="en-IE"/>
        </w:rPr>
        <w:t xml:space="preserve">2 </w:t>
      </w:r>
      <w:r w:rsidR="00732C7C" w:rsidRPr="00970283">
        <w:rPr>
          <w:rFonts w:cs="Times New Roman"/>
          <w:color w:val="000000" w:themeColor="text1"/>
          <w:sz w:val="22"/>
          <w:lang w:val="en-IE"/>
        </w:rPr>
        <w:t>Improved school accessibility for children with disabilities</w:t>
      </w:r>
      <w:r w:rsidR="00DA2AE3" w:rsidRPr="00970283">
        <w:rPr>
          <w:rFonts w:cs="Times New Roman"/>
          <w:color w:val="000000" w:themeColor="text1"/>
          <w:sz w:val="22"/>
          <w:lang w:val="en-IE"/>
        </w:rPr>
        <w:t xml:space="preserve"> and</w:t>
      </w:r>
      <w:r w:rsidR="00732C7C" w:rsidRPr="00970283">
        <w:rPr>
          <w:rFonts w:cs="Times New Roman"/>
          <w:color w:val="000000" w:themeColor="text1"/>
          <w:sz w:val="22"/>
          <w:lang w:val="en-IE"/>
        </w:rPr>
        <w:t xml:space="preserve"> Output 2.</w:t>
      </w:r>
      <w:r w:rsidR="00D557FF" w:rsidRPr="00970283">
        <w:rPr>
          <w:rFonts w:cs="Times New Roman"/>
          <w:color w:val="000000" w:themeColor="text1"/>
          <w:sz w:val="22"/>
          <w:lang w:val="en-IE"/>
        </w:rPr>
        <w:t xml:space="preserve">3 </w:t>
      </w:r>
      <w:r w:rsidR="00D557FF" w:rsidRPr="00970283">
        <w:rPr>
          <w:rFonts w:cs="Times New Roman"/>
          <w:color w:val="0D0D0D"/>
          <w:sz w:val="22"/>
          <w:lang w:val="en-IE"/>
        </w:rPr>
        <w:t>Enhanced chances for vulnerable children to attend school</w:t>
      </w:r>
      <w:r w:rsidR="0046382C" w:rsidRPr="00970283">
        <w:rPr>
          <w:rFonts w:cs="Times New Roman"/>
          <w:sz w:val="22"/>
          <w:lang w:val="en-IE"/>
        </w:rPr>
        <w:t>.</w:t>
      </w:r>
    </w:p>
    <w:p w14:paraId="36939D69" w14:textId="77777777" w:rsidR="008501FE" w:rsidRDefault="008501FE" w:rsidP="00970283">
      <w:pPr>
        <w:ind w:left="1004"/>
        <w:rPr>
          <w:rFonts w:cs="Times New Roman"/>
          <w:b/>
          <w:lang w:val="en-IE"/>
        </w:rPr>
      </w:pPr>
    </w:p>
    <w:p w14:paraId="580AA128" w14:textId="77777777" w:rsidR="008501FE" w:rsidRDefault="008501FE" w:rsidP="00970283">
      <w:pPr>
        <w:ind w:left="1004"/>
        <w:rPr>
          <w:rFonts w:cs="Times New Roman"/>
          <w:b/>
          <w:lang w:val="en-IE"/>
        </w:rPr>
      </w:pPr>
      <w:r>
        <w:rPr>
          <w:rFonts w:cs="Times New Roman"/>
          <w:b/>
          <w:lang w:val="en-IE"/>
        </w:rPr>
        <w:t>(b) Type of applicants targeted</w:t>
      </w:r>
    </w:p>
    <w:p w14:paraId="4B91BF87" w14:textId="656095EE" w:rsidR="00D557FF" w:rsidRPr="00AA55FC" w:rsidRDefault="00D557FF" w:rsidP="00970283">
      <w:pPr>
        <w:pStyle w:val="Prrafodelista"/>
        <w:autoSpaceDE w:val="0"/>
        <w:autoSpaceDN w:val="0"/>
        <w:adjustRightInd w:val="0"/>
        <w:spacing w:before="120"/>
        <w:ind w:left="998"/>
        <w:contextualSpacing w:val="0"/>
        <w:rPr>
          <w:rFonts w:eastAsia="Arial Unicode MS"/>
          <w:szCs w:val="24"/>
          <w:lang w:eastAsia="de-DE"/>
        </w:rPr>
      </w:pPr>
      <w:r w:rsidRPr="00AA55FC">
        <w:rPr>
          <w:szCs w:val="24"/>
          <w:lang w:eastAsia="mk-MK"/>
        </w:rPr>
        <w:t xml:space="preserve">Public body of North Macedonia with legal competency </w:t>
      </w:r>
      <w:r w:rsidRPr="00AA55FC">
        <w:rPr>
          <w:szCs w:val="24"/>
          <w:shd w:val="clear" w:color="auto" w:fill="FFFFFF"/>
        </w:rPr>
        <w:t xml:space="preserve">and national mandate to implement the national laws and regulations in the area of </w:t>
      </w:r>
      <w:r>
        <w:rPr>
          <w:szCs w:val="24"/>
          <w:shd w:val="clear" w:color="auto" w:fill="FFFFFF"/>
        </w:rPr>
        <w:t>education</w:t>
      </w:r>
      <w:r w:rsidRPr="00AA55FC">
        <w:rPr>
          <w:szCs w:val="24"/>
          <w:shd w:val="clear" w:color="auto" w:fill="FFFFFF"/>
        </w:rPr>
        <w:t xml:space="preserve"> has a direct responsibility for the management of </w:t>
      </w:r>
      <w:r>
        <w:rPr>
          <w:szCs w:val="24"/>
          <w:shd w:val="clear" w:color="auto" w:fill="FFFFFF"/>
        </w:rPr>
        <w:t>scholarships in North Macedonia and the refurbishments and supplies in school environment</w:t>
      </w:r>
      <w:r w:rsidRPr="00AA55FC">
        <w:rPr>
          <w:szCs w:val="24"/>
          <w:shd w:val="clear" w:color="auto" w:fill="FFFFFF"/>
        </w:rPr>
        <w:t>.</w:t>
      </w:r>
    </w:p>
    <w:p w14:paraId="6ED213A8" w14:textId="4D8019BF" w:rsidR="00D557FF" w:rsidRDefault="00D557FF" w:rsidP="00970283">
      <w:pPr>
        <w:ind w:left="1004"/>
        <w:rPr>
          <w:lang w:val="en-IE"/>
        </w:rPr>
      </w:pPr>
    </w:p>
    <w:p w14:paraId="52BB7931" w14:textId="039FE02C" w:rsidR="001B5A4C" w:rsidRPr="00035E80" w:rsidRDefault="001B5A4C" w:rsidP="00970283">
      <w:pPr>
        <w:ind w:left="998"/>
        <w:rPr>
          <w:lang w:val="en-IE"/>
        </w:rPr>
      </w:pPr>
      <w:r w:rsidRPr="00035E80">
        <w:rPr>
          <w:b/>
          <w:lang w:val="en-IE"/>
        </w:rPr>
        <w:t>(c) Justification of a direct grant</w:t>
      </w:r>
    </w:p>
    <w:p w14:paraId="656CE857" w14:textId="5043D1C6" w:rsidR="00D043D6" w:rsidRDefault="00A32BB1" w:rsidP="00970283">
      <w:pPr>
        <w:pStyle w:val="Text2"/>
        <w:ind w:left="1004"/>
        <w:rPr>
          <w:lang w:val="en-IE"/>
        </w:rPr>
      </w:pPr>
      <w:r w:rsidRPr="00153397">
        <w:rPr>
          <w:lang w:val="en-IE"/>
        </w:rPr>
        <w:t xml:space="preserve">Under the responsibility of the Commission’s authorising officer responsible, the grant may be awarded without a call for proposals to </w:t>
      </w:r>
      <w:r w:rsidR="007E2608" w:rsidRPr="00153397">
        <w:rPr>
          <w:lang w:val="en-IE"/>
        </w:rPr>
        <w:t xml:space="preserve">the Ministry of Education and Science (MoES) </w:t>
      </w:r>
      <w:r w:rsidR="00D043D6" w:rsidRPr="00AA55FC">
        <w:t xml:space="preserve">on the grounds of Article 195(c) and (f). The </w:t>
      </w:r>
      <w:r w:rsidR="00D043D6">
        <w:t>MoES</w:t>
      </w:r>
      <w:r w:rsidR="003D45B4">
        <w:t xml:space="preserve"> has the administrative power and competencies to implement the relevant activities, p</w:t>
      </w:r>
      <w:r w:rsidR="00D043D6" w:rsidRPr="00AA55FC">
        <w:t>ossesses de jure and de facto monopol</w:t>
      </w:r>
      <w:r w:rsidR="00D043D6">
        <w:t>y over the educational system of the country</w:t>
      </w:r>
      <w:r w:rsidR="00D043D6">
        <w:rPr>
          <w:lang w:val="en-IE"/>
        </w:rPr>
        <w:t xml:space="preserve">, </w:t>
      </w:r>
      <w:r w:rsidR="003D45B4">
        <w:rPr>
          <w:lang w:val="en-IE"/>
        </w:rPr>
        <w:t xml:space="preserve">and </w:t>
      </w:r>
      <w:r w:rsidR="00D043D6">
        <w:rPr>
          <w:lang w:val="en-IE"/>
        </w:rPr>
        <w:t xml:space="preserve">is </w:t>
      </w:r>
      <w:r w:rsidR="00D043D6" w:rsidRPr="00153397">
        <w:rPr>
          <w:lang w:val="en-IE"/>
        </w:rPr>
        <w:t xml:space="preserve">the key institution </w:t>
      </w:r>
      <w:r w:rsidR="00D043D6">
        <w:rPr>
          <w:lang w:val="en-IE"/>
        </w:rPr>
        <w:t xml:space="preserve">responsible for ensuring inclusive education in line with the EU standards. </w:t>
      </w:r>
      <w:r w:rsidR="00D043D6" w:rsidRPr="00153397">
        <w:rPr>
          <w:lang w:val="en-IE"/>
        </w:rPr>
        <w:t xml:space="preserve"> The direct grant to the MoES represents the most efficient financial instrument to support a wide range of activities </w:t>
      </w:r>
      <w:r w:rsidR="006459BE">
        <w:rPr>
          <w:lang w:val="en-IE"/>
        </w:rPr>
        <w:t xml:space="preserve">such as scholarships and infrastructure works and supplies at school, </w:t>
      </w:r>
      <w:r w:rsidR="00D043D6">
        <w:rPr>
          <w:lang w:val="en-IE"/>
        </w:rPr>
        <w:t>promoting the right to education for vulnerable people and preventing and reinforcing non-discrimination at</w:t>
      </w:r>
      <w:r w:rsidR="006459BE">
        <w:rPr>
          <w:lang w:val="en-IE"/>
        </w:rPr>
        <w:t xml:space="preserve"> school. This approach will </w:t>
      </w:r>
      <w:r w:rsidR="003D45B4" w:rsidRPr="00F3501C">
        <w:t>allow encompassing the EU funding and the national funding in one single operation</w:t>
      </w:r>
      <w:r w:rsidR="006459BE">
        <w:t xml:space="preserve">, which </w:t>
      </w:r>
      <w:r w:rsidR="003D45B4" w:rsidRPr="00F3501C">
        <w:t xml:space="preserve">creates </w:t>
      </w:r>
      <w:r w:rsidR="003D45B4">
        <w:t xml:space="preserve">ownership, </w:t>
      </w:r>
      <w:r w:rsidR="003D45B4" w:rsidRPr="00F3501C">
        <w:t xml:space="preserve">leverage </w:t>
      </w:r>
      <w:r w:rsidR="003D45B4">
        <w:t xml:space="preserve">and sustainability. </w:t>
      </w:r>
    </w:p>
    <w:p w14:paraId="587C4700" w14:textId="48B4FA31" w:rsidR="008E6AFF" w:rsidRPr="003C0CD7" w:rsidRDefault="008E6AFF" w:rsidP="002E40C7">
      <w:pPr>
        <w:pStyle w:val="Ttulo1"/>
        <w:numPr>
          <w:ilvl w:val="2"/>
          <w:numId w:val="1"/>
        </w:numPr>
        <w:spacing w:before="360"/>
        <w:ind w:left="1225" w:hanging="505"/>
        <w:rPr>
          <w:lang w:val="en-IE"/>
        </w:rPr>
      </w:pPr>
      <w:bookmarkStart w:id="284" w:name="_Toc47101974"/>
      <w:bookmarkStart w:id="285" w:name="_Toc51270469"/>
      <w:bookmarkStart w:id="286" w:name="_Ref58360241"/>
      <w:bookmarkStart w:id="287" w:name="_Ref58360566"/>
      <w:bookmarkStart w:id="288" w:name="_Ref58360631"/>
      <w:bookmarkStart w:id="289" w:name="_Ref58360683"/>
      <w:bookmarkStart w:id="290" w:name="_Ref58678977"/>
      <w:bookmarkStart w:id="291" w:name="_Toc59031686"/>
      <w:bookmarkStart w:id="292" w:name="_Toc73090768"/>
      <w:r w:rsidRPr="003C0CD7">
        <w:rPr>
          <w:lang w:val="en-IE"/>
        </w:rPr>
        <w:t>Direct Management (Procurement)</w:t>
      </w:r>
      <w:bookmarkEnd w:id="284"/>
      <w:bookmarkEnd w:id="285"/>
      <w:bookmarkEnd w:id="286"/>
      <w:bookmarkEnd w:id="287"/>
      <w:bookmarkEnd w:id="288"/>
      <w:bookmarkEnd w:id="289"/>
      <w:bookmarkEnd w:id="290"/>
      <w:bookmarkEnd w:id="291"/>
      <w:bookmarkEnd w:id="292"/>
    </w:p>
    <w:p w14:paraId="222A8F51" w14:textId="79300654" w:rsidR="00BE1BA7" w:rsidRDefault="008501FE" w:rsidP="00970283">
      <w:pPr>
        <w:pStyle w:val="Ttulo1"/>
        <w:numPr>
          <w:ilvl w:val="0"/>
          <w:numId w:val="0"/>
        </w:numPr>
        <w:ind w:left="715"/>
        <w:rPr>
          <w:b w:val="0"/>
          <w:bCs/>
        </w:rPr>
      </w:pPr>
      <w:r w:rsidRPr="008501FE">
        <w:rPr>
          <w:b w:val="0"/>
          <w:bCs/>
        </w:rPr>
        <w:t>Procurement will be used for achieving</w:t>
      </w:r>
      <w:r w:rsidR="008D238A">
        <w:rPr>
          <w:b w:val="0"/>
          <w:bCs/>
        </w:rPr>
        <w:t xml:space="preserve"> </w:t>
      </w:r>
      <w:r w:rsidR="006328B3">
        <w:rPr>
          <w:b w:val="0"/>
          <w:bCs/>
        </w:rPr>
        <w:t>the following</w:t>
      </w:r>
      <w:r w:rsidR="008D238A">
        <w:rPr>
          <w:b w:val="0"/>
          <w:bCs/>
        </w:rPr>
        <w:t xml:space="preserve"> outcomes and outputs:</w:t>
      </w:r>
    </w:p>
    <w:p w14:paraId="160D34CE" w14:textId="426FAFF7" w:rsidR="008D238A" w:rsidRPr="00970283" w:rsidRDefault="008D238A" w:rsidP="00970283">
      <w:pPr>
        <w:pStyle w:val="Prrafodelista"/>
        <w:numPr>
          <w:ilvl w:val="0"/>
          <w:numId w:val="56"/>
        </w:numPr>
        <w:ind w:left="1075"/>
        <w:rPr>
          <w:b/>
          <w:bCs/>
          <w:i/>
          <w:iCs/>
        </w:rPr>
      </w:pPr>
      <w:r w:rsidRPr="00970283">
        <w:rPr>
          <w:b/>
          <w:bCs/>
          <w:i/>
          <w:iCs/>
        </w:rPr>
        <w:t>Outcome 1: Enhanced inter-institutional cooperation at the national and local level on gender-based and domestic violence,</w:t>
      </w:r>
      <w:r w:rsidRPr="00970283">
        <w:rPr>
          <w:b/>
          <w:bCs/>
        </w:rPr>
        <w:t xml:space="preserve"> </w:t>
      </w:r>
      <w:r w:rsidRPr="002D1CC9">
        <w:rPr>
          <w:rFonts w:cs="Times New Roman"/>
          <w:color w:val="0D0D0D"/>
          <w:szCs w:val="24"/>
          <w:lang w:val="en-IE"/>
        </w:rPr>
        <w:t>Output 1.2 Enhanced inter-institutional cooperation at national and local level on gender-based and domestic violence.</w:t>
      </w:r>
      <w:r w:rsidRPr="00970283">
        <w:rPr>
          <w:b/>
          <w:bCs/>
          <w:i/>
          <w:iCs/>
        </w:rPr>
        <w:t xml:space="preserve"> </w:t>
      </w:r>
    </w:p>
    <w:p w14:paraId="310BA27E" w14:textId="77777777" w:rsidR="008D238A" w:rsidRDefault="008D238A" w:rsidP="00970283">
      <w:pPr>
        <w:ind w:left="1070"/>
        <w:rPr>
          <w:b/>
          <w:bCs/>
          <w:i/>
          <w:iCs/>
        </w:rPr>
      </w:pPr>
    </w:p>
    <w:p w14:paraId="4081D106" w14:textId="51BE5C7D" w:rsidR="002D1CC9" w:rsidRPr="00EC4FC6" w:rsidRDefault="008D238A" w:rsidP="00970283">
      <w:pPr>
        <w:pStyle w:val="Prrafodelista"/>
        <w:numPr>
          <w:ilvl w:val="0"/>
          <w:numId w:val="56"/>
        </w:numPr>
        <w:ind w:left="1075"/>
        <w:rPr>
          <w:rFonts w:cs="Times New Roman"/>
          <w:color w:val="0D0D0D"/>
          <w:szCs w:val="24"/>
          <w:lang w:val="en-IE"/>
        </w:rPr>
      </w:pPr>
      <w:r w:rsidRPr="00C76302">
        <w:rPr>
          <w:b/>
          <w:bCs/>
          <w:i/>
          <w:iCs/>
        </w:rPr>
        <w:t xml:space="preserve">Outcome </w:t>
      </w:r>
      <w:r>
        <w:rPr>
          <w:b/>
          <w:bCs/>
          <w:i/>
          <w:iCs/>
        </w:rPr>
        <w:t>2</w:t>
      </w:r>
      <w:r w:rsidRPr="00C76302">
        <w:rPr>
          <w:b/>
          <w:bCs/>
          <w:i/>
          <w:iCs/>
        </w:rPr>
        <w:t xml:space="preserve">: </w:t>
      </w:r>
      <w:r w:rsidRPr="002D1CC9">
        <w:rPr>
          <w:b/>
          <w:bCs/>
          <w:i/>
          <w:iCs/>
        </w:rPr>
        <w:t>E</w:t>
      </w:r>
      <w:r w:rsidRPr="00970283">
        <w:rPr>
          <w:rFonts w:cs="Times New Roman"/>
          <w:b/>
          <w:i/>
          <w:iCs/>
          <w:color w:val="000000" w:themeColor="text1"/>
          <w:szCs w:val="24"/>
          <w:lang w:val="en-IE"/>
        </w:rPr>
        <w:t>nsured right of vulnerable people to quality education in a safe and accessible environment and their well-being at school</w:t>
      </w:r>
      <w:r w:rsidR="002D1CC9">
        <w:rPr>
          <w:rFonts w:cs="Times New Roman"/>
          <w:b/>
          <w:i/>
          <w:iCs/>
          <w:color w:val="000000" w:themeColor="text1"/>
          <w:szCs w:val="24"/>
          <w:lang w:val="en-IE"/>
        </w:rPr>
        <w:t>,</w:t>
      </w:r>
      <w:r w:rsidR="002D1CC9" w:rsidRPr="002D1CC9">
        <w:rPr>
          <w:rFonts w:cs="Times New Roman"/>
          <w:color w:val="0D0D0D"/>
          <w:szCs w:val="24"/>
          <w:lang w:val="en-IE"/>
        </w:rPr>
        <w:t xml:space="preserve"> </w:t>
      </w:r>
      <w:r w:rsidR="002D1CC9" w:rsidRPr="00306714">
        <w:rPr>
          <w:rFonts w:cs="Times New Roman"/>
          <w:color w:val="0D0D0D"/>
          <w:szCs w:val="24"/>
          <w:lang w:val="en-IE"/>
        </w:rPr>
        <w:t>Output 2.1</w:t>
      </w:r>
      <w:r w:rsidR="002D1CC9" w:rsidRPr="00EC4FC6">
        <w:rPr>
          <w:rFonts w:cs="Times New Roman"/>
          <w:color w:val="0D0D0D"/>
          <w:szCs w:val="24"/>
          <w:lang w:val="en-IE"/>
        </w:rPr>
        <w:t xml:space="preserve"> Strengthened policy and practice on inclusive education</w:t>
      </w:r>
    </w:p>
    <w:p w14:paraId="436AA209" w14:textId="73CA86B7" w:rsidR="008D238A" w:rsidRDefault="008D238A" w:rsidP="00970283">
      <w:pPr>
        <w:ind w:left="1070"/>
        <w:rPr>
          <w:rFonts w:cs="Times New Roman"/>
          <w:color w:val="0D0D0D"/>
          <w:szCs w:val="24"/>
          <w:lang w:val="en-IE"/>
        </w:rPr>
      </w:pPr>
    </w:p>
    <w:p w14:paraId="19591EBE" w14:textId="28546C6D" w:rsidR="008D238A" w:rsidRPr="002D1CC9" w:rsidRDefault="008D238A" w:rsidP="00970283">
      <w:pPr>
        <w:pStyle w:val="Prrafodelista"/>
        <w:numPr>
          <w:ilvl w:val="0"/>
          <w:numId w:val="56"/>
        </w:numPr>
        <w:ind w:left="1075"/>
        <w:rPr>
          <w:szCs w:val="24"/>
        </w:rPr>
      </w:pPr>
      <w:r w:rsidRPr="00970283">
        <w:rPr>
          <w:rFonts w:cs="Times New Roman"/>
          <w:b/>
          <w:i/>
          <w:color w:val="0D0D0D"/>
          <w:szCs w:val="24"/>
          <w:lang w:val="en-IE"/>
        </w:rPr>
        <w:t xml:space="preserve">Outcome 3: </w:t>
      </w:r>
      <w:r w:rsidRPr="00970283">
        <w:rPr>
          <w:b/>
          <w:bCs/>
          <w:i/>
        </w:rPr>
        <w:t>Promoted</w:t>
      </w:r>
      <w:r w:rsidRPr="00970283">
        <w:rPr>
          <w:rFonts w:cs="Times New Roman"/>
          <w:b/>
          <w:i/>
          <w:iCs/>
          <w:color w:val="0D0D0D"/>
          <w:szCs w:val="24"/>
          <w:lang w:val="en-IE"/>
        </w:rPr>
        <w:t xml:space="preserve"> right of Roma people to legal housing</w:t>
      </w:r>
      <w:r w:rsidR="006328B3" w:rsidRPr="00970283">
        <w:rPr>
          <w:rFonts w:cs="Times New Roman"/>
          <w:i/>
          <w:iCs/>
          <w:color w:val="0D0D0D"/>
          <w:szCs w:val="24"/>
          <w:lang w:val="en-IE"/>
        </w:rPr>
        <w:t xml:space="preserve">, </w:t>
      </w:r>
      <w:r w:rsidR="006328B3" w:rsidRPr="00970283">
        <w:rPr>
          <w:b/>
          <w:bCs/>
        </w:rPr>
        <w:t xml:space="preserve"> </w:t>
      </w:r>
      <w:r w:rsidR="006328B3" w:rsidRPr="00970283">
        <w:rPr>
          <w:bCs/>
        </w:rPr>
        <w:t xml:space="preserve">Output 3.1 Detailed Urban planning for Roma settlements </w:t>
      </w:r>
      <w:r w:rsidR="001633E3" w:rsidRPr="00970283">
        <w:rPr>
          <w:bCs/>
        </w:rPr>
        <w:t>established</w:t>
      </w:r>
    </w:p>
    <w:p w14:paraId="1149A2FC" w14:textId="5B71969D" w:rsidR="008D238A" w:rsidRDefault="008D238A" w:rsidP="00970283">
      <w:pPr>
        <w:ind w:left="355"/>
      </w:pPr>
    </w:p>
    <w:p w14:paraId="52BEC8B4" w14:textId="77777777" w:rsidR="008D238A" w:rsidRPr="00970283" w:rsidRDefault="008D238A" w:rsidP="00970283">
      <w:pPr>
        <w:rPr>
          <w:b/>
        </w:rPr>
      </w:pPr>
    </w:p>
    <w:p w14:paraId="33A2FCA3" w14:textId="3C58EB2D" w:rsidR="000037A3" w:rsidRPr="00970283" w:rsidRDefault="000037A3" w:rsidP="00970283">
      <w:pPr>
        <w:pStyle w:val="Style2"/>
        <w:shd w:val="clear" w:color="auto" w:fill="auto"/>
        <w:ind w:left="715"/>
        <w:rPr>
          <w:b/>
          <w:szCs w:val="24"/>
        </w:rPr>
      </w:pPr>
      <w:r w:rsidRPr="00970283">
        <w:rPr>
          <w:b/>
          <w:sz w:val="24"/>
          <w:szCs w:val="24"/>
        </w:rPr>
        <w:t>4.</w:t>
      </w:r>
      <w:r w:rsidR="006459BE" w:rsidRPr="00970283">
        <w:rPr>
          <w:b/>
          <w:sz w:val="24"/>
          <w:szCs w:val="24"/>
        </w:rPr>
        <w:t>3.3.</w:t>
      </w:r>
      <w:r w:rsidRPr="00970283">
        <w:rPr>
          <w:b/>
          <w:sz w:val="24"/>
          <w:szCs w:val="24"/>
        </w:rPr>
        <w:t xml:space="preserve"> Changes from indirect to direct management (and vice versa) mode due to exceptional circumstances </w:t>
      </w:r>
    </w:p>
    <w:p w14:paraId="51221AD9" w14:textId="4A60E076" w:rsidR="0071346C" w:rsidRDefault="0071346C" w:rsidP="00970283">
      <w:pPr>
        <w:pStyle w:val="Text2"/>
        <w:ind w:left="720"/>
        <w:rPr>
          <w:lang w:val="en-IE"/>
        </w:rPr>
      </w:pPr>
      <w:r w:rsidRPr="00970283">
        <w:rPr>
          <w:lang w:val="en-IE"/>
        </w:rPr>
        <w:t>In the case the preconditions for grants award are not met and</w:t>
      </w:r>
      <w:r>
        <w:rPr>
          <w:lang w:val="en-IE"/>
        </w:rPr>
        <w:t>/or the quality of the proposed description of activities proposed by the MoES is not sufficient</w:t>
      </w:r>
      <w:r w:rsidR="0098196E">
        <w:rPr>
          <w:lang w:val="en-IE"/>
        </w:rPr>
        <w:t xml:space="preserve"> within 1 year of invitation for submission of grant proposal</w:t>
      </w:r>
      <w:r>
        <w:rPr>
          <w:lang w:val="en-IE"/>
        </w:rPr>
        <w:t>,</w:t>
      </w:r>
      <w:r w:rsidRPr="00970283">
        <w:rPr>
          <w:lang w:val="en-IE"/>
        </w:rPr>
        <w:t xml:space="preserve"> the action may be implemented through indirect management with an entrusted entity, selected by the Commission’s services on the grounds of the following criteria: financial and operational capacity, including (1) existing well-staffed and equipped operational structure in North Macedonia, able to manage the intervention as of day one of the contract implementation, and (2) experience in the implementation of similar projects.</w:t>
      </w:r>
      <w:r>
        <w:rPr>
          <w:lang w:val="en-IE"/>
        </w:rPr>
        <w:t xml:space="preserve"> </w:t>
      </w:r>
    </w:p>
    <w:p w14:paraId="4EE819DD" w14:textId="77777777" w:rsidR="000037A3" w:rsidRPr="003D45B4" w:rsidRDefault="000037A3" w:rsidP="00970283"/>
    <w:p w14:paraId="4B43CBD8" w14:textId="77777777" w:rsidR="008E6AFF" w:rsidRPr="003C0CD7" w:rsidRDefault="008E6AFF" w:rsidP="003C0CD7">
      <w:pPr>
        <w:pStyle w:val="Ttulo1"/>
        <w:numPr>
          <w:ilvl w:val="1"/>
          <w:numId w:val="1"/>
        </w:numPr>
        <w:rPr>
          <w:lang w:val="en-IE"/>
        </w:rPr>
      </w:pPr>
      <w:bookmarkStart w:id="293" w:name="_Toc47101979"/>
      <w:bookmarkStart w:id="294" w:name="_Toc51270474"/>
      <w:bookmarkStart w:id="295" w:name="_Ref58440353"/>
      <w:bookmarkStart w:id="296" w:name="_Toc73090774"/>
      <w:r w:rsidRPr="003C0CD7">
        <w:rPr>
          <w:lang w:val="en-IE"/>
        </w:rPr>
        <w:t>Scope of geographical eligibility for procurement and grants</w:t>
      </w:r>
      <w:bookmarkEnd w:id="293"/>
      <w:bookmarkEnd w:id="294"/>
      <w:bookmarkEnd w:id="295"/>
      <w:bookmarkEnd w:id="296"/>
    </w:p>
    <w:p w14:paraId="02EFF3A4" w14:textId="77777777" w:rsidR="00E360A2" w:rsidRPr="003C0CD7" w:rsidRDefault="00E360A2" w:rsidP="00970283">
      <w:pPr>
        <w:pStyle w:val="Text2"/>
        <w:ind w:left="715"/>
        <w:rPr>
          <w:lang w:val="en-IE"/>
        </w:rPr>
      </w:pPr>
      <w:r w:rsidRPr="003C0CD7">
        <w:rPr>
          <w:lang w:val="en-IE"/>
        </w:rPr>
        <w:t>The geographical eligibility in terms of place of establishment for participating in procurement and grant award procedures and in terms of origin of supplies purchased as established in the basic act and set out in the relevant contractual documents shall apply, subject to the following provisions.</w:t>
      </w:r>
    </w:p>
    <w:p w14:paraId="4A6289B5" w14:textId="101DE9D1" w:rsidR="00622FAE" w:rsidRDefault="00622FAE" w:rsidP="00970283">
      <w:pPr>
        <w:pStyle w:val="Text2"/>
        <w:ind w:left="715"/>
        <w:rPr>
          <w:szCs w:val="22"/>
          <w:lang w:val="en-IE" w:eastAsia="en-GB"/>
        </w:rPr>
      </w:pPr>
      <w:r w:rsidRPr="003C0CD7">
        <w:rPr>
          <w:szCs w:val="22"/>
          <w:lang w:val="en-IE"/>
        </w:rPr>
        <w:t xml:space="preserve">The Commission’s authorising officer responsible may extend the geographical eligibility </w:t>
      </w:r>
      <w:r w:rsidRPr="003C0CD7">
        <w:rPr>
          <w:szCs w:val="22"/>
          <w:lang w:val="en-IE" w:eastAsia="en-GB"/>
        </w:rPr>
        <w:t>on the basis of urgency or of unavailability of services in the markets of the countries or territories concerned, or in other duly substantiated cases where application of the eligibility rules would make the realisation of this action impossible or exceedingly difficult (Article 28(10) NDICI-Global Europe</w:t>
      </w:r>
      <w:r w:rsidRPr="003C0CD7">
        <w:rPr>
          <w:szCs w:val="22"/>
          <w:lang w:val="en-IE"/>
        </w:rPr>
        <w:t xml:space="preserve"> Regulation</w:t>
      </w:r>
      <w:r w:rsidRPr="003C0CD7">
        <w:rPr>
          <w:szCs w:val="22"/>
          <w:lang w:val="en-IE" w:eastAsia="en-GB"/>
        </w:rPr>
        <w:t>).</w:t>
      </w:r>
    </w:p>
    <w:p w14:paraId="4AC73E69" w14:textId="77777777" w:rsidR="008E6AFF" w:rsidRPr="003C0CD7" w:rsidRDefault="008E6AFF" w:rsidP="003C0CD7">
      <w:pPr>
        <w:pStyle w:val="Ttulo1"/>
        <w:numPr>
          <w:ilvl w:val="1"/>
          <w:numId w:val="1"/>
        </w:numPr>
        <w:rPr>
          <w:lang w:val="en-IE"/>
        </w:rPr>
      </w:pPr>
      <w:bookmarkStart w:id="297" w:name="_Toc47101980"/>
      <w:bookmarkStart w:id="298" w:name="_Toc51270475"/>
      <w:bookmarkStart w:id="299" w:name="_Ref58357938"/>
      <w:bookmarkStart w:id="300" w:name="_Ref58358953"/>
      <w:bookmarkStart w:id="301" w:name="_Ref58359519"/>
      <w:bookmarkStart w:id="302" w:name="_Ref58360787"/>
      <w:bookmarkStart w:id="303" w:name="_Ref58360817"/>
      <w:bookmarkStart w:id="304" w:name="_Toc59031692"/>
      <w:bookmarkStart w:id="305" w:name="_Toc73090775"/>
      <w:r w:rsidRPr="003C0CD7">
        <w:rPr>
          <w:lang w:val="en-IE"/>
        </w:rPr>
        <w:t>Indicative Budget</w:t>
      </w:r>
      <w:bookmarkEnd w:id="297"/>
      <w:bookmarkEnd w:id="298"/>
      <w:bookmarkEnd w:id="299"/>
      <w:bookmarkEnd w:id="300"/>
      <w:bookmarkEnd w:id="301"/>
      <w:bookmarkEnd w:id="302"/>
      <w:bookmarkEnd w:id="303"/>
      <w:bookmarkEnd w:id="304"/>
      <w:bookmarkEnd w:id="305"/>
    </w:p>
    <w:tbl>
      <w:tblPr>
        <w:tblW w:w="9463" w:type="dxa"/>
        <w:tblInd w:w="-113" w:type="dxa"/>
        <w:tblCellMar>
          <w:left w:w="10" w:type="dxa"/>
          <w:right w:w="10" w:type="dxa"/>
        </w:tblCellMar>
        <w:tblLook w:val="04A0" w:firstRow="1" w:lastRow="0" w:firstColumn="1" w:lastColumn="0" w:noHBand="0" w:noVBand="1"/>
      </w:tblPr>
      <w:tblGrid>
        <w:gridCol w:w="5353"/>
        <w:gridCol w:w="1984"/>
        <w:gridCol w:w="2126"/>
      </w:tblGrid>
      <w:tr w:rsidR="002C42E7" w14:paraId="2772083D" w14:textId="77777777" w:rsidTr="00970283">
        <w:trPr>
          <w:trHeight w:val="1367"/>
        </w:trPr>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118F89B" w14:textId="77777777" w:rsidR="002C42E7" w:rsidRDefault="002C42E7" w:rsidP="00A95EC8">
            <w:pPr>
              <w:pStyle w:val="Text2"/>
              <w:spacing w:before="60" w:after="60"/>
              <w:ind w:left="0"/>
              <w:jc w:val="center"/>
              <w:rPr>
                <w:b/>
                <w:bCs/>
                <w:lang w:val="en-IE"/>
              </w:rPr>
            </w:pPr>
            <w:r>
              <w:rPr>
                <w:b/>
                <w:bCs/>
                <w:lang w:val="en-IE"/>
              </w:rPr>
              <w:t>Indicative Budget components</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6061CCB" w14:textId="77777777" w:rsidR="002C42E7" w:rsidRDefault="002C42E7" w:rsidP="00A95EC8">
            <w:pPr>
              <w:pStyle w:val="Text2"/>
              <w:spacing w:before="60" w:after="60"/>
              <w:ind w:left="0"/>
              <w:jc w:val="center"/>
              <w:rPr>
                <w:b/>
                <w:lang w:val="en-IE"/>
              </w:rPr>
            </w:pPr>
            <w:r>
              <w:rPr>
                <w:b/>
                <w:lang w:val="en-IE"/>
              </w:rPr>
              <w:t>EU contribution</w:t>
            </w:r>
          </w:p>
          <w:p w14:paraId="338B39FD" w14:textId="77777777" w:rsidR="002C42E7" w:rsidRDefault="002C42E7" w:rsidP="00A95EC8">
            <w:pPr>
              <w:pStyle w:val="Text2"/>
              <w:spacing w:before="60" w:after="60"/>
              <w:ind w:left="0"/>
              <w:jc w:val="center"/>
              <w:rPr>
                <w:b/>
                <w:lang w:val="en-IE"/>
              </w:rPr>
            </w:pPr>
            <w:r>
              <w:rPr>
                <w:b/>
                <w:lang w:val="en-IE"/>
              </w:rPr>
              <w:t>(amount in EUR)</w:t>
            </w:r>
          </w:p>
          <w:p w14:paraId="7F3C791F" w14:textId="77777777" w:rsidR="002C42E7" w:rsidRDefault="002C42E7" w:rsidP="00A95EC8">
            <w:pPr>
              <w:pStyle w:val="Text2"/>
              <w:spacing w:before="60" w:after="60"/>
              <w:ind w:left="0"/>
              <w:jc w:val="center"/>
              <w:rPr>
                <w:b/>
                <w:lang w:val="en-IE"/>
              </w:rPr>
            </w:pPr>
          </w:p>
          <w:p w14:paraId="4DFF8EC6" w14:textId="77777777" w:rsidR="002C42E7" w:rsidRDefault="002C42E7" w:rsidP="00A95EC8">
            <w:pPr>
              <w:pStyle w:val="Text2"/>
              <w:spacing w:before="60" w:after="60"/>
              <w:ind w:left="0"/>
              <w:jc w:val="center"/>
              <w:rPr>
                <w:b/>
                <w:lang w:val="en-IE"/>
              </w:rPr>
            </w:pPr>
            <w:r>
              <w:rPr>
                <w:b/>
                <w:lang w:val="en-IE"/>
              </w:rPr>
              <w:t xml:space="preserve"> </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0152D27" w14:textId="77777777" w:rsidR="002C42E7" w:rsidRDefault="002C42E7" w:rsidP="00A95EC8">
            <w:pPr>
              <w:pStyle w:val="Text2"/>
              <w:spacing w:before="60" w:after="60"/>
              <w:ind w:left="0"/>
              <w:jc w:val="center"/>
              <w:rPr>
                <w:lang w:val="en-IE"/>
              </w:rPr>
            </w:pPr>
            <w:r>
              <w:rPr>
                <w:b/>
                <w:bCs/>
                <w:lang w:val="en-IE"/>
              </w:rPr>
              <w:t>Indicative third-party contribution, in currency identified</w:t>
            </w:r>
          </w:p>
        </w:tc>
      </w:tr>
      <w:tr w:rsidR="004176DE" w14:paraId="50844820"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74B58F4" w14:textId="00718541" w:rsidR="004176DE" w:rsidRPr="004176DE" w:rsidRDefault="004176DE" w:rsidP="00A95EC8">
            <w:pPr>
              <w:pStyle w:val="Text2"/>
              <w:spacing w:before="60" w:after="60"/>
              <w:ind w:left="0"/>
              <w:rPr>
                <w:b/>
                <w:lang w:val="en-IE"/>
              </w:rPr>
            </w:pPr>
            <w:r w:rsidRPr="004176DE">
              <w:rPr>
                <w:b/>
                <w:lang w:val="en-IE"/>
              </w:rPr>
              <w:t>Methods of implementation, cf section 4.3</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0A04B66" w14:textId="77777777" w:rsidR="004176DE" w:rsidRDefault="004176DE" w:rsidP="00A95EC8">
            <w:pPr>
              <w:pStyle w:val="Text2"/>
              <w:spacing w:before="60" w:after="60"/>
              <w:ind w:left="0"/>
              <w:jc w:val="center"/>
              <w:rPr>
                <w:b/>
                <w:bCs/>
                <w:lang w:val="en-IE"/>
              </w:rPr>
            </w:pP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0798231" w14:textId="77777777" w:rsidR="004176DE" w:rsidRDefault="004176DE" w:rsidP="00A95EC8">
            <w:pPr>
              <w:pStyle w:val="Text2"/>
              <w:spacing w:before="60" w:after="60"/>
              <w:ind w:left="0"/>
              <w:jc w:val="center"/>
              <w:rPr>
                <w:highlight w:val="yellow"/>
                <w:lang w:val="en-IE"/>
              </w:rPr>
            </w:pPr>
          </w:p>
        </w:tc>
      </w:tr>
      <w:tr w:rsidR="002C42E7" w14:paraId="52DDF8AD"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CB2C22F" w14:textId="77777777" w:rsidR="002C42E7" w:rsidRDefault="002C42E7" w:rsidP="00A95EC8">
            <w:pPr>
              <w:pStyle w:val="Text2"/>
              <w:spacing w:before="60" w:after="60"/>
              <w:ind w:left="0"/>
              <w:rPr>
                <w:highlight w:val="lightGray"/>
                <w:lang w:val="en-IE"/>
              </w:rPr>
            </w:pPr>
            <w:r w:rsidRPr="004176DE">
              <w:rPr>
                <w:b/>
                <w:lang w:val="en-IE"/>
              </w:rPr>
              <w:t>Outcome 1:</w:t>
            </w:r>
            <w:r>
              <w:rPr>
                <w:b/>
                <w:lang w:val="en-IE"/>
              </w:rPr>
              <w:t xml:space="preserve"> </w:t>
            </w:r>
            <w:r>
              <w:rPr>
                <w:b/>
                <w:bCs/>
                <w:color w:val="0D0D0D"/>
              </w:rPr>
              <w:t>Enhanced response to gender-based violence and domestic violence</w:t>
            </w:r>
            <w:r>
              <w:rPr>
                <w:b/>
                <w:lang w:val="en-IE"/>
              </w:rPr>
              <w:t xml:space="preserve"> </w:t>
            </w:r>
            <w:r>
              <w:rPr>
                <w:lang w:val="en-IE"/>
              </w:rPr>
              <w:t>composed of</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0D05D7D" w14:textId="0A15C277" w:rsidR="002C42E7" w:rsidRDefault="00F63F99">
            <w:pPr>
              <w:pStyle w:val="Text2"/>
              <w:spacing w:before="60" w:after="60"/>
              <w:ind w:left="0"/>
              <w:jc w:val="center"/>
              <w:rPr>
                <w:b/>
                <w:bCs/>
                <w:lang w:val="en-IE"/>
              </w:rPr>
            </w:pPr>
            <w:r>
              <w:rPr>
                <w:b/>
                <w:bCs/>
                <w:lang w:val="en-IE"/>
              </w:rPr>
              <w:t>4 0</w:t>
            </w:r>
            <w:r w:rsidR="002C42E7">
              <w:rPr>
                <w:b/>
                <w:bCs/>
                <w:lang w:val="en-IE"/>
              </w:rPr>
              <w:t>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49F6B23" w14:textId="5473CC63" w:rsidR="002C42E7" w:rsidRPr="00970283" w:rsidRDefault="003B71A4" w:rsidP="00A95EC8">
            <w:pPr>
              <w:pStyle w:val="Text2"/>
              <w:spacing w:before="60" w:after="60"/>
              <w:ind w:left="0"/>
              <w:jc w:val="center"/>
              <w:rPr>
                <w:b/>
                <w:highlight w:val="yellow"/>
                <w:lang w:val="en-IE"/>
              </w:rPr>
            </w:pPr>
            <w:r w:rsidRPr="00970283">
              <w:rPr>
                <w:b/>
                <w:lang w:val="en-IE"/>
              </w:rPr>
              <w:t>350 000</w:t>
            </w:r>
          </w:p>
        </w:tc>
      </w:tr>
      <w:tr w:rsidR="002C42E7" w14:paraId="02522A2B"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899F252" w14:textId="7FD20879" w:rsidR="002C42E7" w:rsidRDefault="002C42E7" w:rsidP="00A95EC8">
            <w:pPr>
              <w:pStyle w:val="Text2"/>
              <w:spacing w:before="60" w:after="60"/>
              <w:ind w:left="0"/>
              <w:rPr>
                <w:lang w:val="en-IE"/>
              </w:rPr>
            </w:pPr>
            <w:r>
              <w:rPr>
                <w:lang w:val="en-IE"/>
              </w:rPr>
              <w:t xml:space="preserve">Grants (direct management) – cf. section </w:t>
            </w:r>
            <w:r>
              <w:rPr>
                <w:lang w:val="en-IE"/>
              </w:rPr>
              <w:fldChar w:fldCharType="begin"/>
            </w:r>
            <w:r>
              <w:rPr>
                <w:lang w:val="en-IE"/>
              </w:rPr>
              <w:instrText xml:space="preserve"> REF _Ref58360553 \n \h \* Arabic </w:instrText>
            </w:r>
            <w:r>
              <w:rPr>
                <w:lang w:val="en-IE"/>
              </w:rPr>
            </w:r>
            <w:r>
              <w:rPr>
                <w:lang w:val="en-IE"/>
              </w:rPr>
              <w:fldChar w:fldCharType="separate"/>
            </w:r>
            <w:r w:rsidR="00D32E00">
              <w:rPr>
                <w:lang w:val="en-IE"/>
              </w:rPr>
              <w:t>4</w:t>
            </w:r>
            <w:r>
              <w:rPr>
                <w:lang w:val="en-IE"/>
              </w:rPr>
              <w:fldChar w:fldCharType="end"/>
            </w:r>
            <w:r w:rsidR="00F3577A">
              <w:rPr>
                <w:lang w:val="en-IE"/>
              </w:rPr>
              <w:t>.</w:t>
            </w:r>
            <w:r w:rsidR="004D1124">
              <w:rPr>
                <w:lang w:val="en-IE"/>
              </w:rPr>
              <w:t>3.1</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4F1F5BA" w14:textId="78AA63D3" w:rsidR="002C42E7" w:rsidRDefault="00F63F99" w:rsidP="00A95EC8">
            <w:pPr>
              <w:pStyle w:val="Text2"/>
              <w:spacing w:before="60" w:after="60"/>
              <w:ind w:left="0"/>
              <w:jc w:val="center"/>
              <w:rPr>
                <w:highlight w:val="yellow"/>
                <w:lang w:val="en-IE"/>
              </w:rPr>
            </w:pPr>
            <w:r>
              <w:rPr>
                <w:lang w:val="en-IE"/>
              </w:rPr>
              <w:t xml:space="preserve">3 </w:t>
            </w:r>
            <w:r w:rsidR="002C42E7">
              <w:rPr>
                <w:lang w:val="en-IE"/>
              </w:rPr>
              <w:t>000 000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16CB46A" w14:textId="58CFDE8E" w:rsidR="002C42E7" w:rsidRDefault="00F63F99" w:rsidP="00A95EC8">
            <w:pPr>
              <w:pStyle w:val="Text2"/>
              <w:spacing w:before="60" w:after="60"/>
              <w:ind w:left="0"/>
              <w:jc w:val="center"/>
              <w:rPr>
                <w:highlight w:val="yellow"/>
                <w:lang w:val="en-IE"/>
              </w:rPr>
            </w:pPr>
            <w:r w:rsidRPr="00970283">
              <w:rPr>
                <w:lang w:val="en-IE"/>
              </w:rPr>
              <w:t>350</w:t>
            </w:r>
            <w:r w:rsidR="00E43421">
              <w:rPr>
                <w:lang w:val="en-IE"/>
              </w:rPr>
              <w:t xml:space="preserve"> </w:t>
            </w:r>
            <w:r w:rsidRPr="00970283">
              <w:rPr>
                <w:lang w:val="en-IE"/>
              </w:rPr>
              <w:t>000</w:t>
            </w:r>
          </w:p>
        </w:tc>
      </w:tr>
      <w:tr w:rsidR="002C42E7" w14:paraId="07C533FF"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5285710" w14:textId="3BC49EC6" w:rsidR="002C42E7" w:rsidRPr="00970283" w:rsidRDefault="002C42E7">
            <w:pPr>
              <w:pStyle w:val="Text2"/>
              <w:spacing w:before="60" w:after="60"/>
              <w:ind w:left="0"/>
              <w:rPr>
                <w:lang w:val="fr-BE"/>
              </w:rPr>
            </w:pPr>
            <w:r w:rsidRPr="009E322B">
              <w:rPr>
                <w:lang w:val="fr-BE"/>
              </w:rPr>
              <w:t>Procurement (</w:t>
            </w:r>
            <w:r>
              <w:rPr>
                <w:lang w:val="fr-BE"/>
              </w:rPr>
              <w:t xml:space="preserve">direct management) – cf. section </w:t>
            </w:r>
            <w:r w:rsidR="00F3577A">
              <w:rPr>
                <w:lang w:val="fr-BE"/>
              </w:rPr>
              <w:t>4.</w:t>
            </w:r>
            <w:r w:rsidR="004D1124">
              <w:rPr>
                <w:lang w:val="fr-BE"/>
              </w:rPr>
              <w:t>3.2</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7A0D76F" w14:textId="010BD4FF" w:rsidR="002C42E7" w:rsidRDefault="004D1124">
            <w:pPr>
              <w:pStyle w:val="Text2"/>
              <w:spacing w:before="60" w:after="60"/>
              <w:ind w:left="0"/>
              <w:jc w:val="center"/>
              <w:rPr>
                <w:highlight w:val="yellow"/>
                <w:lang w:val="en-IE"/>
              </w:rPr>
            </w:pPr>
            <w:r>
              <w:rPr>
                <w:lang w:val="en-IE"/>
              </w:rPr>
              <w:t xml:space="preserve">1 </w:t>
            </w:r>
            <w:r w:rsidR="00F63F99">
              <w:rPr>
                <w:lang w:val="en-IE"/>
              </w:rPr>
              <w:t xml:space="preserve">000 </w:t>
            </w:r>
            <w:r w:rsidR="002C42E7">
              <w:rPr>
                <w:lang w:val="en-IE"/>
              </w:rPr>
              <w:t>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7586E8" w14:textId="77777777" w:rsidR="002C42E7" w:rsidRDefault="002C42E7" w:rsidP="00A95EC8">
            <w:pPr>
              <w:pStyle w:val="Text2"/>
              <w:spacing w:before="60" w:after="60"/>
              <w:ind w:left="0"/>
              <w:jc w:val="center"/>
              <w:rPr>
                <w:highlight w:val="yellow"/>
                <w:lang w:val="en-IE"/>
              </w:rPr>
            </w:pPr>
          </w:p>
        </w:tc>
      </w:tr>
      <w:tr w:rsidR="002C42E7" w14:paraId="7F190830"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687C94" w14:textId="3DF6DD8E" w:rsidR="002C42E7" w:rsidRDefault="002C42E7">
            <w:pPr>
              <w:jc w:val="left"/>
              <w:rPr>
                <w:color w:val="0D0D0D"/>
                <w:lang w:val="en-IE"/>
              </w:rPr>
            </w:pPr>
            <w:r>
              <w:rPr>
                <w:b/>
                <w:lang w:val="en-IE"/>
              </w:rPr>
              <w:t xml:space="preserve">Outcome  2: </w:t>
            </w:r>
            <w:r>
              <w:rPr>
                <w:rFonts w:cs="Times New Roman"/>
                <w:b/>
                <w:bCs/>
                <w:color w:val="0D0D0D"/>
                <w:szCs w:val="24"/>
                <w:lang w:val="en-IE"/>
              </w:rPr>
              <w:t xml:space="preserve">Promoted right </w:t>
            </w:r>
            <w:r w:rsidR="00D24083">
              <w:rPr>
                <w:rFonts w:cs="Times New Roman"/>
                <w:b/>
                <w:bCs/>
                <w:color w:val="0D0D0D"/>
                <w:szCs w:val="24"/>
                <w:lang w:val="en-IE"/>
              </w:rPr>
              <w:t>of vulnerable people to quality education in a safe and accessible environment</w:t>
            </w:r>
            <w:r w:rsidR="00306115">
              <w:rPr>
                <w:rFonts w:cs="Times New Roman"/>
                <w:b/>
                <w:bCs/>
                <w:color w:val="0D0D0D"/>
                <w:szCs w:val="24"/>
                <w:lang w:val="en-IE"/>
              </w:rPr>
              <w:t xml:space="preserve"> </w:t>
            </w:r>
            <w:r>
              <w:rPr>
                <w:rFonts w:cs="Times New Roman"/>
                <w:color w:val="0D0D0D"/>
                <w:szCs w:val="24"/>
                <w:lang w:val="en-IE"/>
              </w:rPr>
              <w:t>composed of</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A80036B" w14:textId="75AC14A3" w:rsidR="002C42E7" w:rsidRDefault="00D24083" w:rsidP="00A95EC8">
            <w:pPr>
              <w:pStyle w:val="Text2"/>
              <w:spacing w:before="60" w:after="60"/>
              <w:ind w:left="0"/>
              <w:jc w:val="center"/>
              <w:rPr>
                <w:b/>
                <w:bCs/>
                <w:lang w:val="en-IE"/>
              </w:rPr>
            </w:pPr>
            <w:r>
              <w:rPr>
                <w:b/>
                <w:bCs/>
                <w:lang w:val="en-IE"/>
              </w:rPr>
              <w:t>7 200</w:t>
            </w:r>
            <w:r w:rsidR="002C42E7">
              <w:rPr>
                <w:b/>
                <w:bCs/>
                <w:lang w:val="en-IE"/>
              </w:rPr>
              <w:t xml:space="preserve">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C100EEB" w14:textId="22D757E1" w:rsidR="002C42E7" w:rsidRDefault="00A81057" w:rsidP="00A95EC8">
            <w:pPr>
              <w:pStyle w:val="Text2"/>
              <w:spacing w:before="60" w:after="60"/>
              <w:ind w:left="0"/>
              <w:jc w:val="center"/>
              <w:rPr>
                <w:b/>
                <w:bCs/>
                <w:highlight w:val="yellow"/>
                <w:lang w:val="en-IE"/>
              </w:rPr>
            </w:pPr>
            <w:r>
              <w:rPr>
                <w:b/>
                <w:bCs/>
                <w:lang w:val="en-IE"/>
              </w:rPr>
              <w:t>6</w:t>
            </w:r>
            <w:r w:rsidR="002C42E7">
              <w:rPr>
                <w:b/>
                <w:bCs/>
                <w:lang w:val="en-IE"/>
              </w:rPr>
              <w:t>00 000</w:t>
            </w:r>
          </w:p>
        </w:tc>
      </w:tr>
      <w:tr w:rsidR="002C42E7" w14:paraId="5C4AA0E4"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5C09D4" w14:textId="429E5CCA" w:rsidR="002C42E7" w:rsidRDefault="002C42E7" w:rsidP="00A95EC8">
            <w:pPr>
              <w:jc w:val="left"/>
              <w:rPr>
                <w:lang w:val="en-IE"/>
              </w:rPr>
            </w:pPr>
            <w:r>
              <w:rPr>
                <w:lang w:val="en-IE"/>
              </w:rPr>
              <w:t xml:space="preserve">Grants (direct management) – cf. section </w:t>
            </w:r>
            <w:r>
              <w:rPr>
                <w:lang w:val="en-IE"/>
              </w:rPr>
              <w:fldChar w:fldCharType="begin"/>
            </w:r>
            <w:r>
              <w:rPr>
                <w:lang w:val="en-IE"/>
              </w:rPr>
              <w:instrText xml:space="preserve"> REF _Ref58360553 \n \h \* Arabic </w:instrText>
            </w:r>
            <w:r>
              <w:rPr>
                <w:lang w:val="en-IE"/>
              </w:rPr>
            </w:r>
            <w:r>
              <w:rPr>
                <w:lang w:val="en-IE"/>
              </w:rPr>
              <w:fldChar w:fldCharType="separate"/>
            </w:r>
            <w:r w:rsidR="00D32E00">
              <w:rPr>
                <w:lang w:val="en-IE"/>
              </w:rPr>
              <w:t>4</w:t>
            </w:r>
            <w:r>
              <w:rPr>
                <w:lang w:val="en-IE"/>
              </w:rPr>
              <w:fldChar w:fldCharType="end"/>
            </w:r>
            <w:r w:rsidR="00F3577A">
              <w:rPr>
                <w:lang w:val="en-IE"/>
              </w:rPr>
              <w:t>.</w:t>
            </w:r>
            <w:r w:rsidR="004D1124">
              <w:rPr>
                <w:lang w:val="en-IE"/>
              </w:rPr>
              <w:t>3.1</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BF1F58A" w14:textId="60AFAE66" w:rsidR="002C42E7" w:rsidRDefault="004932B0" w:rsidP="006F1C97">
            <w:pPr>
              <w:pStyle w:val="Text2"/>
              <w:spacing w:before="60" w:after="60"/>
              <w:ind w:left="0"/>
              <w:jc w:val="center"/>
              <w:rPr>
                <w:highlight w:val="yellow"/>
                <w:lang w:val="en-IE"/>
              </w:rPr>
            </w:pPr>
            <w:r>
              <w:rPr>
                <w:lang w:val="en-IE"/>
              </w:rPr>
              <w:t xml:space="preserve">5 </w:t>
            </w:r>
            <w:r w:rsidR="006F1C97">
              <w:rPr>
                <w:lang w:val="en-IE"/>
              </w:rPr>
              <w:t>2</w:t>
            </w:r>
            <w:r>
              <w:rPr>
                <w:lang w:val="en-IE"/>
              </w:rPr>
              <w:t>00 000</w:t>
            </w:r>
          </w:p>
        </w:tc>
        <w:tc>
          <w:tcPr>
            <w:tcW w:w="212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C657BC8" w14:textId="23945EEE" w:rsidR="002C42E7" w:rsidRDefault="00A81057" w:rsidP="00A95EC8">
            <w:pPr>
              <w:pStyle w:val="Text2"/>
              <w:spacing w:before="60" w:after="60"/>
              <w:ind w:left="0"/>
              <w:jc w:val="center"/>
              <w:rPr>
                <w:highlight w:val="yellow"/>
                <w:lang w:val="en-IE"/>
              </w:rPr>
            </w:pPr>
            <w:r>
              <w:rPr>
                <w:lang w:val="en-IE"/>
              </w:rPr>
              <w:t>6</w:t>
            </w:r>
            <w:r w:rsidR="00A95EC8">
              <w:rPr>
                <w:lang w:val="en-IE"/>
              </w:rPr>
              <w:t xml:space="preserve">00 </w:t>
            </w:r>
            <w:r w:rsidR="00A95EC8" w:rsidRPr="00A95EC8">
              <w:rPr>
                <w:lang w:val="en-IE"/>
              </w:rPr>
              <w:t>000</w:t>
            </w:r>
          </w:p>
        </w:tc>
      </w:tr>
      <w:tr w:rsidR="00D50F35" w14:paraId="48EBD696"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28CEC48" w14:textId="4EC25D77" w:rsidR="00D50F35" w:rsidRPr="00970283" w:rsidRDefault="00D50F35" w:rsidP="00A95EC8">
            <w:pPr>
              <w:jc w:val="left"/>
              <w:rPr>
                <w:lang w:val="fr-BE"/>
              </w:rPr>
            </w:pPr>
            <w:r w:rsidRPr="00970283">
              <w:rPr>
                <w:lang w:val="fr-BE"/>
              </w:rPr>
              <w:t>Procurement (direct management)</w:t>
            </w:r>
            <w:r w:rsidR="00F3577A" w:rsidRPr="00970283">
              <w:rPr>
                <w:lang w:val="fr-BE"/>
              </w:rPr>
              <w:t xml:space="preserve">, </w:t>
            </w:r>
            <w:r w:rsidR="00F3577A">
              <w:rPr>
                <w:lang w:val="fr-BE"/>
              </w:rPr>
              <w:t>cf. section 4.3.2</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3513954" w14:textId="118872FA" w:rsidR="00D50F35" w:rsidRPr="00D50F35" w:rsidRDefault="004932B0" w:rsidP="00A95EC8">
            <w:pPr>
              <w:pStyle w:val="Text2"/>
              <w:spacing w:before="60" w:after="60"/>
              <w:ind w:left="0"/>
              <w:jc w:val="center"/>
              <w:rPr>
                <w:bCs/>
                <w:lang w:val="en-IE"/>
              </w:rPr>
            </w:pPr>
            <w:r>
              <w:rPr>
                <w:bCs/>
                <w:lang w:val="en-IE"/>
              </w:rPr>
              <w:t xml:space="preserve">2 </w:t>
            </w:r>
            <w:r w:rsidR="00D50F35" w:rsidRPr="00D50F35">
              <w:rPr>
                <w:bCs/>
                <w:lang w:val="en-IE"/>
              </w:rPr>
              <w:t>000 000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E114E0C" w14:textId="77777777" w:rsidR="00D50F35" w:rsidRDefault="00D50F35" w:rsidP="00A95EC8">
            <w:pPr>
              <w:pStyle w:val="Text2"/>
              <w:spacing w:before="60" w:after="60"/>
              <w:ind w:left="0"/>
              <w:jc w:val="center"/>
              <w:rPr>
                <w:highlight w:val="yellow"/>
                <w:lang w:val="en-IE"/>
              </w:rPr>
            </w:pPr>
          </w:p>
        </w:tc>
      </w:tr>
      <w:tr w:rsidR="002C42E7" w14:paraId="2A7B4066"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60B20C6" w14:textId="77777777" w:rsidR="002C42E7" w:rsidRDefault="002C42E7" w:rsidP="00A95EC8">
            <w:pPr>
              <w:jc w:val="left"/>
              <w:rPr>
                <w:lang w:val="en-IE"/>
              </w:rPr>
            </w:pPr>
            <w:r>
              <w:rPr>
                <w:b/>
                <w:lang w:val="en-IE"/>
              </w:rPr>
              <w:t xml:space="preserve">Outcome </w:t>
            </w:r>
            <w:r>
              <w:rPr>
                <w:b/>
                <w:szCs w:val="24"/>
                <w:lang w:val="en-IE"/>
              </w:rPr>
              <w:t>3:</w:t>
            </w:r>
            <w:r>
              <w:rPr>
                <w:rFonts w:cs="Times New Roman"/>
                <w:b/>
                <w:bCs/>
                <w:color w:val="0D0D0D"/>
                <w:szCs w:val="24"/>
                <w:lang w:val="en-IE"/>
              </w:rPr>
              <w:t xml:space="preserve"> Ensured the right of Roma people to legal housing </w:t>
            </w:r>
            <w:r>
              <w:rPr>
                <w:rFonts w:cs="Times New Roman"/>
                <w:color w:val="0D0D0D"/>
                <w:szCs w:val="24"/>
                <w:lang w:val="en-IE"/>
              </w:rPr>
              <w:t>composed of</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3F50C84" w14:textId="77777777" w:rsidR="002C42E7" w:rsidRDefault="002C42E7" w:rsidP="00A95EC8">
            <w:pPr>
              <w:pStyle w:val="Text2"/>
              <w:spacing w:before="60" w:after="60"/>
              <w:ind w:left="0"/>
              <w:jc w:val="center"/>
              <w:rPr>
                <w:b/>
                <w:bCs/>
                <w:lang w:val="en-IE"/>
              </w:rPr>
            </w:pPr>
            <w:r>
              <w:rPr>
                <w:b/>
                <w:bCs/>
                <w:lang w:val="en-IE"/>
              </w:rPr>
              <w:t>2 500 000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AEE13D2" w14:textId="77777777" w:rsidR="002C42E7" w:rsidRDefault="002C42E7" w:rsidP="00A95EC8">
            <w:pPr>
              <w:pStyle w:val="Text2"/>
              <w:spacing w:before="60" w:after="60"/>
              <w:ind w:left="0"/>
              <w:jc w:val="center"/>
              <w:rPr>
                <w:highlight w:val="yellow"/>
                <w:lang w:val="en-IE"/>
              </w:rPr>
            </w:pPr>
          </w:p>
        </w:tc>
      </w:tr>
      <w:tr w:rsidR="002C42E7" w14:paraId="327BD46F"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5624C1D" w14:textId="7F59FC70" w:rsidR="002C42E7" w:rsidRPr="009E322B" w:rsidRDefault="002C42E7" w:rsidP="00A95EC8">
            <w:pPr>
              <w:jc w:val="left"/>
              <w:rPr>
                <w:b/>
                <w:lang w:val="fr-BE"/>
              </w:rPr>
            </w:pPr>
            <w:r w:rsidRPr="009E322B">
              <w:rPr>
                <w:lang w:val="fr-BE"/>
              </w:rPr>
              <w:t>Procurement (</w:t>
            </w:r>
            <w:r>
              <w:rPr>
                <w:lang w:val="fr-BE"/>
              </w:rPr>
              <w:t xml:space="preserve">direct management) – </w:t>
            </w:r>
            <w:r w:rsidR="00F3577A">
              <w:rPr>
                <w:lang w:val="fr-BE"/>
              </w:rPr>
              <w:t>cf. section 4.3.2</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70EE42E" w14:textId="77777777" w:rsidR="002C42E7" w:rsidRDefault="002C42E7" w:rsidP="00A95EC8">
            <w:pPr>
              <w:pStyle w:val="Text2"/>
              <w:spacing w:before="60" w:after="60"/>
              <w:ind w:left="0"/>
              <w:jc w:val="center"/>
              <w:rPr>
                <w:lang w:val="en-IE"/>
              </w:rPr>
            </w:pPr>
            <w:r>
              <w:rPr>
                <w:lang w:val="en-IE"/>
              </w:rPr>
              <w:t>2 500 000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15484EA" w14:textId="77777777" w:rsidR="002C42E7" w:rsidRDefault="002C42E7" w:rsidP="00A95EC8">
            <w:pPr>
              <w:pStyle w:val="Text2"/>
              <w:spacing w:before="60" w:after="60"/>
              <w:ind w:left="0"/>
              <w:jc w:val="center"/>
              <w:rPr>
                <w:highlight w:val="yellow"/>
                <w:lang w:val="en-IE"/>
              </w:rPr>
            </w:pPr>
          </w:p>
        </w:tc>
      </w:tr>
      <w:tr w:rsidR="00FE149A" w14:paraId="01C9A493" w14:textId="77777777" w:rsidTr="00BD5D9A">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FF4167" w14:textId="77777777" w:rsidR="00FE149A" w:rsidRDefault="00FE149A" w:rsidP="00A95EC8">
            <w:pPr>
              <w:jc w:val="left"/>
              <w:rPr>
                <w:b/>
                <w:bCs/>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A7CC990" w14:textId="77777777" w:rsidR="00FE149A" w:rsidRDefault="00FE149A" w:rsidP="00A95EC8">
            <w:pPr>
              <w:pStyle w:val="Text2"/>
              <w:spacing w:before="60" w:after="60"/>
              <w:ind w:left="0"/>
              <w:jc w:val="center"/>
              <w:rPr>
                <w:lang w:val="en-IE"/>
              </w:rPr>
            </w:pP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4D552F" w14:textId="77777777" w:rsidR="00FE149A" w:rsidRDefault="00FE149A" w:rsidP="00A95EC8">
            <w:pPr>
              <w:pStyle w:val="Text2"/>
              <w:spacing w:before="60" w:after="60"/>
              <w:ind w:left="0"/>
              <w:jc w:val="center"/>
              <w:rPr>
                <w:highlight w:val="yellow"/>
                <w:lang w:val="en-IE"/>
              </w:rPr>
            </w:pPr>
          </w:p>
        </w:tc>
      </w:tr>
      <w:tr w:rsidR="002C42E7" w14:paraId="34699C92"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3916E7B" w14:textId="77777777" w:rsidR="002C42E7" w:rsidRDefault="002C42E7" w:rsidP="00A95EC8">
            <w:pPr>
              <w:jc w:val="left"/>
            </w:pPr>
            <w:r>
              <w:rPr>
                <w:b/>
                <w:bCs/>
              </w:rPr>
              <w:t>Grants-</w:t>
            </w:r>
            <w:r>
              <w:t>total envelope under section 4.3.1</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D483B74" w14:textId="3A36562A" w:rsidR="002C42E7" w:rsidRPr="00970283" w:rsidRDefault="00BA3C18" w:rsidP="00A95EC8">
            <w:pPr>
              <w:pStyle w:val="Text2"/>
              <w:spacing w:before="60" w:after="60"/>
              <w:ind w:left="0"/>
              <w:jc w:val="center"/>
              <w:rPr>
                <w:b/>
                <w:lang w:val="en-IE"/>
              </w:rPr>
            </w:pPr>
            <w:r w:rsidRPr="00970283">
              <w:rPr>
                <w:b/>
                <w:highlight w:val="yellow"/>
                <w:lang w:val="en-IE"/>
              </w:rPr>
              <w:t xml:space="preserve">8 </w:t>
            </w:r>
            <w:r w:rsidR="00D24083" w:rsidRPr="00970283">
              <w:rPr>
                <w:b/>
                <w:highlight w:val="yellow"/>
                <w:lang w:val="en-IE"/>
              </w:rPr>
              <w:t>2</w:t>
            </w:r>
            <w:r w:rsidR="002C42E7" w:rsidRPr="00970283">
              <w:rPr>
                <w:b/>
                <w:highlight w:val="yellow"/>
                <w:lang w:val="en-IE"/>
              </w:rPr>
              <w:t>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71D91A8" w14:textId="2D09E1F0" w:rsidR="002C42E7" w:rsidRPr="00970283" w:rsidRDefault="00D13353" w:rsidP="00A95EC8">
            <w:pPr>
              <w:pStyle w:val="Text2"/>
              <w:spacing w:before="60" w:after="60"/>
              <w:ind w:left="0"/>
              <w:jc w:val="center"/>
              <w:rPr>
                <w:b/>
                <w:highlight w:val="yellow"/>
                <w:lang w:val="en-IE"/>
              </w:rPr>
            </w:pPr>
            <w:r w:rsidRPr="00970283">
              <w:rPr>
                <w:b/>
                <w:lang w:val="en-IE"/>
              </w:rPr>
              <w:t>950,000</w:t>
            </w:r>
          </w:p>
        </w:tc>
      </w:tr>
      <w:tr w:rsidR="002C42E7" w14:paraId="37F93D00"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2A84BE7" w14:textId="77777777" w:rsidR="002C42E7" w:rsidRDefault="002C42E7" w:rsidP="00A95EC8">
            <w:pPr>
              <w:jc w:val="left"/>
            </w:pPr>
            <w:r>
              <w:rPr>
                <w:b/>
                <w:bCs/>
              </w:rPr>
              <w:t>Procurement</w:t>
            </w:r>
            <w:r>
              <w:t>- total envelope under section 4.3.2</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D74C5F8" w14:textId="4B8C5780" w:rsidR="002C42E7" w:rsidRPr="00970283" w:rsidRDefault="00BA3C18">
            <w:pPr>
              <w:pStyle w:val="Text2"/>
              <w:spacing w:before="60" w:after="60"/>
              <w:ind w:left="0"/>
              <w:jc w:val="center"/>
              <w:rPr>
                <w:b/>
                <w:lang w:val="en-IE"/>
              </w:rPr>
            </w:pPr>
            <w:r w:rsidRPr="00970283">
              <w:rPr>
                <w:b/>
                <w:highlight w:val="yellow"/>
                <w:lang w:val="en-IE"/>
              </w:rPr>
              <w:t xml:space="preserve">5 500 </w:t>
            </w:r>
            <w:r w:rsidR="002C42E7" w:rsidRPr="00970283">
              <w:rPr>
                <w:b/>
                <w:highlight w:val="yellow"/>
                <w:lang w:val="en-IE"/>
              </w:rPr>
              <w:t>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3DB87E6" w14:textId="77777777" w:rsidR="002C42E7" w:rsidRDefault="002C42E7" w:rsidP="00A95EC8">
            <w:pPr>
              <w:pStyle w:val="Text2"/>
              <w:spacing w:before="60" w:after="60"/>
              <w:ind w:left="0"/>
              <w:jc w:val="center"/>
              <w:rPr>
                <w:highlight w:val="yellow"/>
                <w:lang w:val="en-IE"/>
              </w:rPr>
            </w:pPr>
          </w:p>
        </w:tc>
      </w:tr>
      <w:tr w:rsidR="002C42E7" w14:paraId="1DE3FC7E"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FA5F68C" w14:textId="77777777" w:rsidR="002C42E7" w:rsidRDefault="002C42E7" w:rsidP="00A95EC8">
            <w:pPr>
              <w:pStyle w:val="Text2"/>
              <w:spacing w:before="60" w:after="60"/>
              <w:ind w:left="0"/>
              <w:rPr>
                <w:lang w:val="en-IE"/>
              </w:rPr>
            </w:pPr>
            <w:r>
              <w:rPr>
                <w:b/>
                <w:lang w:val="en-IE"/>
              </w:rPr>
              <w:t xml:space="preserve">Evaluation </w:t>
            </w:r>
            <w:r>
              <w:rPr>
                <w:lang w:val="en-IE"/>
              </w:rPr>
              <w:t>– cf. section 5.2</w:t>
            </w:r>
          </w:p>
          <w:p w14:paraId="4CF058FC" w14:textId="77777777" w:rsidR="002C42E7" w:rsidRDefault="002C42E7" w:rsidP="00A95EC8">
            <w:pPr>
              <w:pStyle w:val="Text2"/>
              <w:spacing w:before="60" w:after="60"/>
              <w:ind w:left="0"/>
              <w:rPr>
                <w:b/>
                <w:lang w:val="en-IE"/>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B92ACC4" w14:textId="77777777" w:rsidR="002C42E7" w:rsidRDefault="002C42E7" w:rsidP="00A95EC8">
            <w:pPr>
              <w:pStyle w:val="Text2"/>
              <w:spacing w:before="60" w:after="60"/>
              <w:ind w:left="0"/>
              <w:jc w:val="center"/>
              <w:rPr>
                <w:lang w:val="en-IE"/>
              </w:rPr>
            </w:pPr>
            <w:r>
              <w:rPr>
                <w:lang w:val="en-IE"/>
              </w:rPr>
              <w:t xml:space="preserve"> Will be covered by another Decision</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4FAA04A" w14:textId="77777777" w:rsidR="002C42E7" w:rsidRDefault="002C42E7" w:rsidP="00A95EC8">
            <w:pPr>
              <w:pStyle w:val="Text2"/>
              <w:spacing w:before="60" w:after="60"/>
              <w:ind w:left="0"/>
              <w:jc w:val="center"/>
              <w:rPr>
                <w:highlight w:val="yellow"/>
                <w:lang w:val="en-IE"/>
              </w:rPr>
            </w:pPr>
            <w:r>
              <w:rPr>
                <w:lang w:val="en-IE"/>
              </w:rPr>
              <w:t>N.A.</w:t>
            </w:r>
          </w:p>
        </w:tc>
      </w:tr>
      <w:tr w:rsidR="002C42E7" w14:paraId="183D3F42"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E5A3DCC" w14:textId="77777777" w:rsidR="002C42E7" w:rsidRDefault="002C42E7" w:rsidP="00A95EC8">
            <w:pPr>
              <w:pStyle w:val="Text2"/>
              <w:spacing w:before="60" w:after="60"/>
              <w:ind w:left="0"/>
              <w:rPr>
                <w:bCs/>
                <w:lang w:val="en-IE"/>
              </w:rPr>
            </w:pPr>
            <w:r>
              <w:rPr>
                <w:b/>
                <w:lang w:val="en-IE"/>
              </w:rPr>
              <w:t>Audit/Expenditure verification</w:t>
            </w:r>
            <w:r>
              <w:rPr>
                <w:bCs/>
                <w:lang w:val="en-IE"/>
              </w:rPr>
              <w:t>- cf. section 5.3</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70194A5" w14:textId="77777777" w:rsidR="002C42E7" w:rsidRDefault="002C42E7" w:rsidP="00A95EC8">
            <w:pPr>
              <w:pStyle w:val="Text2"/>
              <w:spacing w:before="60" w:after="60"/>
              <w:ind w:left="0"/>
              <w:jc w:val="center"/>
              <w:rPr>
                <w:lang w:val="en-IE"/>
              </w:rPr>
            </w:pPr>
            <w:r>
              <w:rPr>
                <w:lang w:val="en-IE"/>
              </w:rPr>
              <w:t>Will be covered by another Decision</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2B08078" w14:textId="77777777" w:rsidR="002C42E7" w:rsidRDefault="002C42E7" w:rsidP="00A95EC8">
            <w:pPr>
              <w:pStyle w:val="Text2"/>
              <w:spacing w:before="60" w:after="60"/>
              <w:ind w:left="0"/>
              <w:jc w:val="center"/>
              <w:rPr>
                <w:lang w:val="en-IE"/>
              </w:rPr>
            </w:pPr>
            <w:r>
              <w:rPr>
                <w:lang w:val="en-IE"/>
              </w:rPr>
              <w:t>N.A.</w:t>
            </w:r>
          </w:p>
        </w:tc>
      </w:tr>
      <w:tr w:rsidR="002C42E7" w14:paraId="3B2DBD99"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0B07B48" w14:textId="77777777" w:rsidR="002C42E7" w:rsidRDefault="002C42E7" w:rsidP="00A95EC8">
            <w:pPr>
              <w:pStyle w:val="Text2"/>
              <w:spacing w:before="60" w:after="60"/>
              <w:ind w:left="0"/>
              <w:rPr>
                <w:lang w:val="en-IE"/>
              </w:rPr>
            </w:pPr>
            <w:r>
              <w:rPr>
                <w:b/>
                <w:lang w:val="en-IE"/>
              </w:rPr>
              <w:lastRenderedPageBreak/>
              <w:t xml:space="preserve">Communication and visibility </w:t>
            </w:r>
            <w:r>
              <w:rPr>
                <w:lang w:val="en-IE"/>
              </w:rPr>
              <w:t>– cf. section 6</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D762465" w14:textId="77777777" w:rsidR="002C42E7" w:rsidRDefault="002C42E7" w:rsidP="00A95EC8">
            <w:pPr>
              <w:pStyle w:val="Text2"/>
              <w:spacing w:before="60" w:after="60"/>
              <w:ind w:left="0"/>
              <w:jc w:val="center"/>
              <w:rPr>
                <w:lang w:val="en-IE"/>
              </w:rPr>
            </w:pPr>
            <w:r>
              <w:rPr>
                <w:lang w:val="en-IE"/>
              </w:rPr>
              <w:t>Will be covered by another Decision</w:t>
            </w:r>
            <w:r>
              <w:rPr>
                <w:highlight w:val="lightGray"/>
                <w:lang w:val="en-IE"/>
              </w:rPr>
              <w:t xml:space="preserve"> </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85EE2C1" w14:textId="77777777" w:rsidR="002C42E7" w:rsidRDefault="002C42E7" w:rsidP="00A95EC8">
            <w:pPr>
              <w:pStyle w:val="Text2"/>
              <w:spacing w:before="60" w:after="60"/>
              <w:ind w:left="0"/>
              <w:jc w:val="center"/>
              <w:rPr>
                <w:highlight w:val="yellow"/>
                <w:lang w:val="en-IE"/>
              </w:rPr>
            </w:pPr>
            <w:r>
              <w:rPr>
                <w:lang w:val="en-IE"/>
              </w:rPr>
              <w:t>N.A.</w:t>
            </w:r>
          </w:p>
        </w:tc>
      </w:tr>
      <w:tr w:rsidR="002C42E7" w14:paraId="282E6146"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4CF709B" w14:textId="77777777" w:rsidR="002C42E7" w:rsidRDefault="002C42E7" w:rsidP="00A95EC8">
            <w:pPr>
              <w:pStyle w:val="Text2"/>
              <w:spacing w:before="60" w:after="60"/>
              <w:ind w:left="0"/>
              <w:rPr>
                <w:lang w:val="en-IE"/>
              </w:rPr>
            </w:pPr>
            <w:r>
              <w:rPr>
                <w:b/>
                <w:bCs/>
                <w:lang w:val="en-IE"/>
              </w:rPr>
              <w:t>Contingencies</w:t>
            </w:r>
            <w:r>
              <w:rPr>
                <w:rStyle w:val="Refdenotaalpie"/>
                <w:lang w:val="en-IE"/>
              </w:rPr>
              <w:footnoteReference w:id="38"/>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51FE08D" w14:textId="77777777" w:rsidR="002C42E7" w:rsidRDefault="002C42E7" w:rsidP="00A95EC8">
            <w:pPr>
              <w:pStyle w:val="Text2"/>
              <w:spacing w:before="60" w:after="60"/>
              <w:ind w:left="0"/>
              <w:jc w:val="center"/>
            </w:pPr>
            <w:r>
              <w:rPr>
                <w:lang w:val="en-IE"/>
              </w:rPr>
              <w:t>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2F62677" w14:textId="77777777" w:rsidR="002C42E7" w:rsidRDefault="002C42E7" w:rsidP="00A95EC8">
            <w:pPr>
              <w:pStyle w:val="Text2"/>
              <w:spacing w:before="60" w:after="60"/>
              <w:ind w:left="0"/>
              <w:jc w:val="center"/>
              <w:rPr>
                <w:highlight w:val="yellow"/>
                <w:lang w:val="en-IE"/>
              </w:rPr>
            </w:pPr>
            <w:r>
              <w:rPr>
                <w:lang w:val="en-IE"/>
              </w:rPr>
              <w:t>N.A.</w:t>
            </w:r>
          </w:p>
        </w:tc>
      </w:tr>
      <w:tr w:rsidR="002C42E7" w14:paraId="62C28A7E" w14:textId="77777777" w:rsidTr="00970283">
        <w:tc>
          <w:tcPr>
            <w:tcW w:w="53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6567D32" w14:textId="77777777" w:rsidR="002C42E7" w:rsidRDefault="002C42E7" w:rsidP="00A95EC8">
            <w:pPr>
              <w:pStyle w:val="Text2"/>
              <w:spacing w:before="60" w:after="60"/>
              <w:ind w:left="0"/>
              <w:rPr>
                <w:lang w:val="en-IE"/>
              </w:rPr>
            </w:pPr>
            <w:r>
              <w:rPr>
                <w:b/>
                <w:lang w:val="en-IE"/>
              </w:rPr>
              <w:t xml:space="preserve">Totals </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F0D9493" w14:textId="0DC26D7F" w:rsidR="002C42E7" w:rsidRDefault="002C42E7">
            <w:pPr>
              <w:pStyle w:val="Text2"/>
              <w:spacing w:before="60" w:after="60"/>
              <w:ind w:left="0"/>
              <w:jc w:val="center"/>
              <w:rPr>
                <w:lang w:val="en-IE"/>
              </w:rPr>
            </w:pPr>
            <w:r w:rsidRPr="00970283">
              <w:rPr>
                <w:b/>
                <w:bCs/>
                <w:highlight w:val="yellow"/>
                <w:lang w:val="en-IE"/>
              </w:rPr>
              <w:t>1</w:t>
            </w:r>
            <w:r w:rsidR="00D24083" w:rsidRPr="00970283">
              <w:rPr>
                <w:b/>
                <w:bCs/>
                <w:highlight w:val="yellow"/>
                <w:lang w:val="en-IE"/>
              </w:rPr>
              <w:t>3</w:t>
            </w:r>
            <w:r w:rsidRPr="00970283">
              <w:rPr>
                <w:b/>
                <w:bCs/>
                <w:highlight w:val="yellow"/>
                <w:lang w:val="en-IE"/>
              </w:rPr>
              <w:t xml:space="preserve"> </w:t>
            </w:r>
            <w:r w:rsidR="00EE1C40" w:rsidRPr="00970283">
              <w:rPr>
                <w:b/>
                <w:bCs/>
                <w:highlight w:val="yellow"/>
                <w:lang w:val="en-IE"/>
              </w:rPr>
              <w:t xml:space="preserve">700 </w:t>
            </w:r>
            <w:r w:rsidRPr="00970283">
              <w:rPr>
                <w:b/>
                <w:bCs/>
                <w:highlight w:val="yellow"/>
                <w:lang w:val="en-IE"/>
              </w:rPr>
              <w:t>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70981BA" w14:textId="56A1FBCD" w:rsidR="002C42E7" w:rsidRDefault="005F0C16" w:rsidP="00A95EC8">
            <w:pPr>
              <w:pStyle w:val="Text2"/>
              <w:spacing w:before="60" w:after="60"/>
              <w:ind w:left="0"/>
              <w:jc w:val="center"/>
              <w:rPr>
                <w:b/>
                <w:bCs/>
                <w:highlight w:val="yellow"/>
                <w:lang w:val="en-IE"/>
              </w:rPr>
            </w:pPr>
            <w:r>
              <w:rPr>
                <w:b/>
                <w:bCs/>
                <w:lang w:val="en-IE"/>
              </w:rPr>
              <w:t xml:space="preserve">950 </w:t>
            </w:r>
            <w:r w:rsidR="002C42E7">
              <w:rPr>
                <w:b/>
                <w:bCs/>
                <w:lang w:val="en-IE"/>
              </w:rPr>
              <w:t>000</w:t>
            </w:r>
          </w:p>
        </w:tc>
      </w:tr>
    </w:tbl>
    <w:p w14:paraId="613820D0" w14:textId="77777777" w:rsidR="008E6AFF" w:rsidRPr="003C0CD7" w:rsidRDefault="008E6AFF" w:rsidP="003C0CD7">
      <w:pPr>
        <w:pStyle w:val="Ttulo1"/>
        <w:numPr>
          <w:ilvl w:val="1"/>
          <w:numId w:val="1"/>
        </w:numPr>
        <w:rPr>
          <w:lang w:val="en-IE"/>
        </w:rPr>
      </w:pPr>
      <w:bookmarkStart w:id="306" w:name="_Toc47101981"/>
      <w:bookmarkStart w:id="307" w:name="_Toc51270476"/>
      <w:bookmarkStart w:id="308" w:name="_Toc59031693"/>
      <w:bookmarkStart w:id="309" w:name="_Toc73090776"/>
      <w:r w:rsidRPr="003C0CD7">
        <w:rPr>
          <w:lang w:val="en-IE"/>
        </w:rPr>
        <w:t>Organisational Set-up and Responsibilities</w:t>
      </w:r>
      <w:bookmarkEnd w:id="306"/>
      <w:bookmarkEnd w:id="307"/>
      <w:bookmarkEnd w:id="308"/>
      <w:bookmarkEnd w:id="309"/>
    </w:p>
    <w:p w14:paraId="1E3C787E" w14:textId="72D7BB45" w:rsidR="00F62BA5" w:rsidRPr="00F62BA5" w:rsidRDefault="00F62BA5" w:rsidP="00970283">
      <w:pPr>
        <w:pStyle w:val="Ttulo1"/>
        <w:numPr>
          <w:ilvl w:val="0"/>
          <w:numId w:val="0"/>
        </w:numPr>
        <w:ind w:left="283"/>
        <w:rPr>
          <w:b w:val="0"/>
          <w:bCs/>
          <w:lang w:val="en-IE"/>
        </w:rPr>
      </w:pPr>
      <w:r w:rsidRPr="00F62BA5">
        <w:rPr>
          <w:b w:val="0"/>
          <w:bCs/>
          <w:lang w:val="en-IE"/>
        </w:rPr>
        <w:t xml:space="preserve">The Delegation of the European Union (EUD) to North Macedonia is in charge of </w:t>
      </w:r>
      <w:r w:rsidR="002D6FD2">
        <w:rPr>
          <w:b w:val="0"/>
          <w:bCs/>
          <w:lang w:val="en-IE"/>
        </w:rPr>
        <w:t>implementing</w:t>
      </w:r>
      <w:r w:rsidRPr="00F62BA5">
        <w:rPr>
          <w:b w:val="0"/>
          <w:bCs/>
          <w:lang w:val="en-IE"/>
        </w:rPr>
        <w:t xml:space="preserve"> the Action</w:t>
      </w:r>
      <w:r w:rsidR="002D6FD2">
        <w:rPr>
          <w:b w:val="0"/>
          <w:bCs/>
          <w:lang w:val="en-IE"/>
        </w:rPr>
        <w:t>. It will</w:t>
      </w:r>
      <w:r w:rsidRPr="00F62BA5">
        <w:rPr>
          <w:b w:val="0"/>
          <w:bCs/>
          <w:lang w:val="en-IE"/>
        </w:rPr>
        <w:t xml:space="preserve"> collaborate with the </w:t>
      </w:r>
      <w:r w:rsidR="007074D8" w:rsidRPr="00F62BA5">
        <w:rPr>
          <w:b w:val="0"/>
          <w:bCs/>
          <w:lang w:val="en-IE"/>
        </w:rPr>
        <w:t xml:space="preserve">NIPAC Office </w:t>
      </w:r>
      <w:r w:rsidR="007074D8">
        <w:rPr>
          <w:b w:val="0"/>
          <w:bCs/>
          <w:lang w:val="en-IE"/>
        </w:rPr>
        <w:t xml:space="preserve">within the </w:t>
      </w:r>
      <w:r w:rsidRPr="00F62BA5">
        <w:rPr>
          <w:b w:val="0"/>
          <w:bCs/>
          <w:lang w:val="en-IE"/>
        </w:rPr>
        <w:t>Secretaria</w:t>
      </w:r>
      <w:r w:rsidR="007074D8">
        <w:rPr>
          <w:b w:val="0"/>
          <w:bCs/>
          <w:lang w:val="en-IE"/>
        </w:rPr>
        <w:t>t for European Affairs</w:t>
      </w:r>
      <w:r w:rsidRPr="00F62BA5">
        <w:rPr>
          <w:b w:val="0"/>
          <w:bCs/>
          <w:lang w:val="en-IE"/>
        </w:rPr>
        <w:t>, the line ministries</w:t>
      </w:r>
      <w:r w:rsidR="00D24083">
        <w:rPr>
          <w:b w:val="0"/>
          <w:bCs/>
          <w:lang w:val="en-IE"/>
        </w:rPr>
        <w:t>, and</w:t>
      </w:r>
      <w:r w:rsidRPr="00F62BA5">
        <w:rPr>
          <w:b w:val="0"/>
          <w:bCs/>
          <w:lang w:val="en-IE"/>
        </w:rPr>
        <w:t xml:space="preserve"> all stakeholders and implementing partners.</w:t>
      </w:r>
    </w:p>
    <w:p w14:paraId="10CB15E6" w14:textId="34C64A53" w:rsidR="00F62BA5" w:rsidRDefault="00F62BA5" w:rsidP="00970283">
      <w:pPr>
        <w:pStyle w:val="Ttulo1"/>
        <w:numPr>
          <w:ilvl w:val="0"/>
          <w:numId w:val="0"/>
        </w:numPr>
        <w:ind w:left="283"/>
        <w:rPr>
          <w:b w:val="0"/>
          <w:bCs/>
          <w:lang w:val="en-IE"/>
        </w:rPr>
      </w:pPr>
      <w:r w:rsidRPr="00F62BA5">
        <w:rPr>
          <w:b w:val="0"/>
          <w:bCs/>
          <w:lang w:val="en-IE"/>
        </w:rPr>
        <w:t>At the policy level</w:t>
      </w:r>
      <w:r w:rsidR="002D6FD2">
        <w:rPr>
          <w:b w:val="0"/>
          <w:bCs/>
          <w:lang w:val="en-IE"/>
        </w:rPr>
        <w:t>, the implementing partners will be accountable to the relevant Sector Working Groups (Education, Employment and Social Policy and Justice and Fundamental Rights) and</w:t>
      </w:r>
      <w:r w:rsidRPr="00F62BA5">
        <w:rPr>
          <w:b w:val="0"/>
          <w:bCs/>
          <w:lang w:val="en-IE"/>
        </w:rPr>
        <w:t xml:space="preserve"> the IPA Monitoring Committee.</w:t>
      </w:r>
    </w:p>
    <w:p w14:paraId="7490F819" w14:textId="77777777" w:rsidR="002D6FD2" w:rsidRDefault="002D6FD2" w:rsidP="00970283">
      <w:pPr>
        <w:pStyle w:val="Text2"/>
        <w:spacing w:before="0" w:after="0"/>
        <w:ind w:left="283"/>
        <w:rPr>
          <w:lang w:val="en-IE"/>
        </w:rPr>
      </w:pPr>
      <w:r>
        <w:rPr>
          <w:lang w:val="en-IE"/>
        </w:rPr>
        <w:t>At the contract level, the implementation arrangements will be discussed through the project Steering Committees having advisory functions and composed of EUD, the relevant national authorities and all relevant implementing partners.</w:t>
      </w:r>
    </w:p>
    <w:p w14:paraId="1E023FA2" w14:textId="77777777" w:rsidR="002D6FD2" w:rsidRPr="002D6FD2" w:rsidRDefault="002D6FD2" w:rsidP="00970283">
      <w:pPr>
        <w:ind w:left="283"/>
        <w:rPr>
          <w:lang w:val="en-IE"/>
        </w:rPr>
      </w:pPr>
    </w:p>
    <w:p w14:paraId="77081673" w14:textId="2E531D36" w:rsidR="00384709" w:rsidRDefault="00E360A2" w:rsidP="00970283">
      <w:pPr>
        <w:ind w:left="283"/>
        <w:rPr>
          <w:szCs w:val="24"/>
          <w:lang w:val="en-IE"/>
        </w:rPr>
      </w:pPr>
      <w:r w:rsidRPr="003C0CD7">
        <w:rPr>
          <w:szCs w:val="24"/>
          <w:lang w:val="en-IE"/>
        </w:rPr>
        <w:t>As part of its prerogative of budget implementation and to safeguard the financial interests of the Union, the Commission may participate in the above governance structures set up for governing the implementation of the action.</w:t>
      </w:r>
    </w:p>
    <w:p w14:paraId="459463AE" w14:textId="77777777" w:rsidR="00F62BA5" w:rsidRPr="003C0CD7" w:rsidRDefault="00F62BA5" w:rsidP="00E360A2">
      <w:pPr>
        <w:rPr>
          <w:lang w:val="en-IE"/>
        </w:rPr>
      </w:pPr>
    </w:p>
    <w:p w14:paraId="43117A76" w14:textId="77777777" w:rsidR="000827CD" w:rsidRPr="0006347F" w:rsidRDefault="001706D6" w:rsidP="0006347F">
      <w:pPr>
        <w:pStyle w:val="Ttulo1"/>
      </w:pPr>
      <w:bookmarkStart w:id="310" w:name="_Toc73090777"/>
      <w:r w:rsidRPr="0006347F">
        <w:t>PERFORMANCE</w:t>
      </w:r>
      <w:bookmarkEnd w:id="209"/>
      <w:bookmarkEnd w:id="210"/>
      <w:bookmarkEnd w:id="211"/>
      <w:r w:rsidR="00D07ECD" w:rsidRPr="0006347F">
        <w:t xml:space="preserve"> MEASUREMENT</w:t>
      </w:r>
      <w:bookmarkEnd w:id="310"/>
      <w:r w:rsidR="00D23527" w:rsidRPr="0006347F">
        <w:t xml:space="preserve"> </w:t>
      </w:r>
      <w:bookmarkStart w:id="311" w:name="_Toc59023393"/>
      <w:bookmarkStart w:id="312" w:name="_Toc59029562"/>
      <w:bookmarkStart w:id="313" w:name="_Toc59030378"/>
      <w:bookmarkStart w:id="314" w:name="_Toc59031695"/>
      <w:bookmarkStart w:id="315" w:name="_Toc62247194"/>
      <w:bookmarkStart w:id="316" w:name="_Toc62247251"/>
      <w:bookmarkStart w:id="317" w:name="_Toc62459293"/>
      <w:bookmarkStart w:id="318" w:name="_Toc62476957"/>
      <w:bookmarkStart w:id="319" w:name="_Toc63235865"/>
      <w:bookmarkStart w:id="320" w:name="_Toc63248971"/>
      <w:bookmarkStart w:id="321" w:name="_Toc63263300"/>
      <w:bookmarkStart w:id="322" w:name="_Toc64043077"/>
      <w:bookmarkStart w:id="323" w:name="_Toc65663790"/>
      <w:bookmarkStart w:id="324" w:name="_Toc65665606"/>
      <w:bookmarkStart w:id="325" w:name="_Toc65665968"/>
      <w:bookmarkStart w:id="326" w:name="_Toc65666145"/>
      <w:bookmarkStart w:id="327" w:name="_Toc65671222"/>
      <w:bookmarkStart w:id="328" w:name="_Toc65671281"/>
      <w:bookmarkStart w:id="329" w:name="_Toc65671938"/>
      <w:bookmarkStart w:id="330" w:name="_Toc65674794"/>
      <w:bookmarkStart w:id="331" w:name="_Toc65676444"/>
      <w:bookmarkStart w:id="332" w:name="_Toc65688281"/>
      <w:bookmarkStart w:id="333" w:name="_Toc66465171"/>
      <w:bookmarkStart w:id="334" w:name="_Toc66465624"/>
      <w:bookmarkStart w:id="335" w:name="_Toc66465683"/>
      <w:bookmarkStart w:id="336" w:name="_Toc66696409"/>
      <w:bookmarkStart w:id="337" w:name="_Toc67665957"/>
      <w:bookmarkStart w:id="338" w:name="_Toc69384786"/>
      <w:bookmarkStart w:id="339" w:name="_Toc69384917"/>
      <w:bookmarkStart w:id="340" w:name="_Toc69385045"/>
      <w:bookmarkStart w:id="341" w:name="_Toc69385173"/>
      <w:bookmarkStart w:id="342" w:name="_Toc69460921"/>
      <w:bookmarkStart w:id="343" w:name="_Toc69461048"/>
      <w:bookmarkStart w:id="344" w:name="_Toc69469940"/>
      <w:bookmarkStart w:id="345" w:name="_Toc69485803"/>
      <w:bookmarkStart w:id="346" w:name="_Toc69487678"/>
      <w:bookmarkStart w:id="347" w:name="_Toc72142271"/>
      <w:bookmarkStart w:id="348" w:name="_Toc72142356"/>
      <w:bookmarkStart w:id="349" w:name="_Toc73090695"/>
      <w:bookmarkStart w:id="350" w:name="_Toc73090778"/>
      <w:bookmarkStart w:id="351" w:name="_Toc47101983"/>
      <w:bookmarkStart w:id="352" w:name="_Toc51270478"/>
      <w:bookmarkStart w:id="353" w:name="_Ref58359135"/>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093D371" w14:textId="77777777" w:rsidR="00811AA9" w:rsidRPr="003C0CD7" w:rsidRDefault="00811AA9" w:rsidP="003C0CD7">
      <w:pPr>
        <w:pStyle w:val="Ttulo1"/>
        <w:numPr>
          <w:ilvl w:val="1"/>
          <w:numId w:val="1"/>
        </w:numPr>
        <w:rPr>
          <w:lang w:val="en-IE"/>
        </w:rPr>
      </w:pPr>
      <w:bookmarkStart w:id="354" w:name="_Toc73090779"/>
      <w:r w:rsidRPr="003C0CD7">
        <w:rPr>
          <w:lang w:val="en-IE"/>
        </w:rPr>
        <w:t>Monitoring</w:t>
      </w:r>
      <w:bookmarkEnd w:id="351"/>
      <w:bookmarkEnd w:id="352"/>
      <w:bookmarkEnd w:id="353"/>
      <w:r w:rsidRPr="003C0CD7">
        <w:rPr>
          <w:lang w:val="en-IE"/>
        </w:rPr>
        <w:t xml:space="preserve"> and Reporting</w:t>
      </w:r>
      <w:bookmarkEnd w:id="354"/>
    </w:p>
    <w:p w14:paraId="1A8905BB" w14:textId="31A6ECF0" w:rsidR="00335DC3" w:rsidRPr="003C0CD7" w:rsidRDefault="003F0B77" w:rsidP="00970283">
      <w:pPr>
        <w:pStyle w:val="Text2"/>
        <w:spacing w:before="60" w:after="60"/>
        <w:ind w:left="283"/>
        <w:rPr>
          <w:lang w:val="en-IE"/>
        </w:rPr>
      </w:pPr>
      <w:bookmarkStart w:id="355" w:name="_Toc391992328"/>
      <w:bookmarkStart w:id="356" w:name="_Toc391999078"/>
      <w:r w:rsidRPr="00C85643">
        <w:t xml:space="preserve">The day-to-day technical and financial monitoring of the implementation of this action will be a continuous process, and part of the implementing partner’s responsibilities. To this aim, the implementing partner shall establish a permanent internal, technical and financial monitoring system for the action and elaborate regular progress reports (not less than annual) and final reports. </w:t>
      </w:r>
      <w:bookmarkEnd w:id="355"/>
      <w:bookmarkEnd w:id="356"/>
      <w:r w:rsidRPr="00C85643">
        <w:t xml:space="preserve">Every report shall provide an accurate account of implementation of the action, difficulties encountered, changes introduced, as well as the degree of achievement of its Outputs and </w:t>
      </w:r>
      <w:r>
        <w:t>contribution to the achievement of</w:t>
      </w:r>
      <w:r w:rsidRPr="005D6559">
        <w:t xml:space="preserve"> </w:t>
      </w:r>
      <w:r>
        <w:t>its</w:t>
      </w:r>
      <w:r w:rsidRPr="00C85643">
        <w:t xml:space="preserve"> Outcomes</w:t>
      </w:r>
      <w:r>
        <w:t xml:space="preserve">, and if possible at the time of reporting, contribution to the achievement of its Impacts, </w:t>
      </w:r>
      <w:r w:rsidRPr="00C85643">
        <w:t xml:space="preserve"> as measured by corresponding indicators, using as reference </w:t>
      </w:r>
      <w:r w:rsidRPr="00D96A70">
        <w:t xml:space="preserve">the logframe matrix </w:t>
      </w:r>
      <w:r w:rsidRPr="00D96A70" w:rsidDel="0008697A">
        <w:t>(</w:t>
      </w:r>
      <w:r w:rsidRPr="00D96A70">
        <w:t>for project modality</w:t>
      </w:r>
      <w:r w:rsidRPr="00D96A70" w:rsidDel="0008697A">
        <w:t>)</w:t>
      </w:r>
      <w:r w:rsidRPr="00D96A70" w:rsidDel="000C475F">
        <w:t xml:space="preserve"> </w:t>
      </w:r>
      <w:r w:rsidRPr="00D96A70">
        <w:t>and</w:t>
      </w:r>
      <w:r w:rsidR="00D96A70" w:rsidRPr="00D96A70">
        <w:t xml:space="preserve"> </w:t>
      </w:r>
      <w:r w:rsidRPr="00D96A70">
        <w:t>the partner’s strategy, policy or reform action plan</w:t>
      </w:r>
      <w:r w:rsidRPr="00D96A70" w:rsidDel="00E52AC2">
        <w:t xml:space="preserve"> </w:t>
      </w:r>
      <w:r w:rsidRPr="00D96A70">
        <w:t xml:space="preserve">list </w:t>
      </w:r>
      <w:r w:rsidRPr="00D96A70" w:rsidDel="0008697A">
        <w:t>(</w:t>
      </w:r>
      <w:r w:rsidRPr="00D96A70">
        <w:t>for budget support</w:t>
      </w:r>
      <w:r w:rsidRPr="00D96A70" w:rsidDel="0008697A">
        <w:t>)</w:t>
      </w:r>
      <w:r w:rsidRPr="00D96A70">
        <w:t>.</w:t>
      </w:r>
      <w:r w:rsidRPr="005D6559">
        <w:t xml:space="preserve"> </w:t>
      </w:r>
      <w:bookmarkStart w:id="357" w:name="_Toc391992329"/>
      <w:bookmarkStart w:id="358" w:name="_Toc391999079"/>
      <w:r w:rsidR="00335DC3" w:rsidRPr="003C0CD7">
        <w:rPr>
          <w:lang w:val="en-IE"/>
        </w:rPr>
        <w:t>The Commission may undertake additional project monitoring visits both through its own staff and through independent consultants recruited directly by the Commission for independent monitoring reviews (or recruited by the responsible agent contracted by the Commission for implementing such reviews).</w:t>
      </w:r>
      <w:bookmarkEnd w:id="357"/>
      <w:bookmarkEnd w:id="358"/>
      <w:r w:rsidR="00335DC3" w:rsidRPr="003C0CD7">
        <w:rPr>
          <w:lang w:val="en-IE"/>
        </w:rPr>
        <w:t xml:space="preserve"> </w:t>
      </w:r>
    </w:p>
    <w:p w14:paraId="6436B2CA" w14:textId="4B183B4B" w:rsidR="00D96A70" w:rsidRDefault="000113D1" w:rsidP="00970283">
      <w:pPr>
        <w:spacing w:before="120"/>
        <w:ind w:left="283"/>
        <w:rPr>
          <w:rFonts w:cs="Times New Roman"/>
        </w:rPr>
      </w:pPr>
      <w:r>
        <w:rPr>
          <w:rFonts w:cs="Times New Roman"/>
          <w:szCs w:val="24"/>
        </w:rPr>
        <w:t>Arrangements for monitoring and reporting, including r</w:t>
      </w:r>
      <w:r w:rsidR="00335DC3" w:rsidRPr="003C0CD7">
        <w:rPr>
          <w:rFonts w:cs="Times New Roman"/>
          <w:lang w:val="en-IE"/>
        </w:rPr>
        <w:t>oles and responsibilities for data collection, analysis and monitoring:</w:t>
      </w:r>
      <w:r w:rsidR="00D96A70">
        <w:rPr>
          <w:rFonts w:cs="Times New Roman"/>
          <w:lang w:val="en-IE"/>
        </w:rPr>
        <w:t xml:space="preserve"> </w:t>
      </w:r>
      <w:r w:rsidR="00D96A70">
        <w:rPr>
          <w:rFonts w:cs="Times New Roman"/>
        </w:rPr>
        <w:t xml:space="preserve">The implementation of the Action will be monitored at </w:t>
      </w:r>
      <w:r w:rsidR="002D6FD2">
        <w:rPr>
          <w:rFonts w:cs="Times New Roman"/>
        </w:rPr>
        <w:t xml:space="preserve">the </w:t>
      </w:r>
      <w:r w:rsidR="00D96A70">
        <w:rPr>
          <w:rFonts w:cs="Times New Roman"/>
        </w:rPr>
        <w:t xml:space="preserve">sector level through the established 2020 Performance Assessment Framework (PAF), which includes outcome and impact indicators, targets and baseline data. PAF has been established as </w:t>
      </w:r>
      <w:r w:rsidR="00D96A70">
        <w:rPr>
          <w:rFonts w:cs="Times New Roman"/>
        </w:rPr>
        <w:lastRenderedPageBreak/>
        <w:t xml:space="preserve">a web-based application (backed up by a government decision on responsibilities and deadlines), allowing regular electronic data input, </w:t>
      </w:r>
      <w:r w:rsidR="0085730A">
        <w:rPr>
          <w:rFonts w:cs="Times New Roman"/>
        </w:rPr>
        <w:t>processing, and</w:t>
      </w:r>
      <w:r w:rsidR="00D96A70">
        <w:rPr>
          <w:rFonts w:cs="Times New Roman"/>
        </w:rPr>
        <w:t xml:space="preserve"> analytics. The PAF data will be used in the Sector Working Groups on Education, Employment and Social Policy and Justice and Fundamental Rights, which is also the inclusive platform </w:t>
      </w:r>
      <w:r w:rsidR="002D6FD2">
        <w:rPr>
          <w:rFonts w:cs="Times New Roman"/>
        </w:rPr>
        <w:t>for</w:t>
      </w:r>
      <w:r w:rsidR="00D96A70">
        <w:rPr>
          <w:rFonts w:cs="Times New Roman"/>
        </w:rPr>
        <w:t xml:space="preserve"> all stakeholders to monitor the implementation of the sector priorities. </w:t>
      </w:r>
    </w:p>
    <w:p w14:paraId="2175CA6C" w14:textId="280BC438" w:rsidR="00D96A70" w:rsidRDefault="00D96A70" w:rsidP="00970283">
      <w:pPr>
        <w:spacing w:before="120"/>
        <w:ind w:left="283"/>
        <w:rPr>
          <w:rFonts w:cs="Times New Roman"/>
        </w:rPr>
      </w:pPr>
      <w:r>
        <w:rPr>
          <w:rFonts w:cs="Times New Roman"/>
        </w:rPr>
        <w:t xml:space="preserve">At the output level, data about </w:t>
      </w:r>
      <w:r w:rsidR="002D6FD2">
        <w:rPr>
          <w:rFonts w:cs="Times New Roman"/>
        </w:rPr>
        <w:t xml:space="preserve">each project and contract implementation </w:t>
      </w:r>
      <w:r>
        <w:rPr>
          <w:rFonts w:cs="Times New Roman"/>
        </w:rPr>
        <w:t>will be collected in OPSYS. They will be based on official reports, acceptance certificates or equivalent documents. The competent actors (e.g. MLSP and M</w:t>
      </w:r>
      <w:r w:rsidR="002D6FD2">
        <w:rPr>
          <w:rFonts w:cs="Times New Roman"/>
        </w:rPr>
        <w:t>oES</w:t>
      </w:r>
      <w:r>
        <w:rPr>
          <w:rFonts w:cs="Times New Roman"/>
        </w:rPr>
        <w:t>) are expected to produce timely and meaningful data to monitor the results and impact of the Action.</w:t>
      </w:r>
    </w:p>
    <w:p w14:paraId="470BBD67" w14:textId="77777777" w:rsidR="00143C18" w:rsidRPr="003C0CD7" w:rsidRDefault="00FD7FCD" w:rsidP="003C0CD7">
      <w:pPr>
        <w:pStyle w:val="Ttulo1"/>
        <w:numPr>
          <w:ilvl w:val="1"/>
          <w:numId w:val="1"/>
        </w:numPr>
        <w:rPr>
          <w:lang w:val="en-IE"/>
        </w:rPr>
      </w:pPr>
      <w:bookmarkStart w:id="359" w:name="_Toc47101985"/>
      <w:bookmarkStart w:id="360" w:name="_Toc51270480"/>
      <w:bookmarkStart w:id="361" w:name="_Ref58841072"/>
      <w:bookmarkStart w:id="362" w:name="_Toc73090780"/>
      <w:r w:rsidRPr="003C0CD7">
        <w:rPr>
          <w:lang w:val="en-IE"/>
        </w:rPr>
        <w:t>Evaluation</w:t>
      </w:r>
      <w:bookmarkEnd w:id="359"/>
      <w:bookmarkEnd w:id="360"/>
      <w:bookmarkEnd w:id="361"/>
      <w:bookmarkEnd w:id="362"/>
    </w:p>
    <w:p w14:paraId="63210778" w14:textId="0EC6745A" w:rsidR="00DA44FD" w:rsidRDefault="00D54B6E" w:rsidP="00970283">
      <w:pPr>
        <w:ind w:left="283"/>
      </w:pPr>
      <w:r w:rsidRPr="00C85643">
        <w:t xml:space="preserve">Having regard to the </w:t>
      </w:r>
      <w:r w:rsidRPr="0085730A">
        <w:t>importance</w:t>
      </w:r>
      <w:r w:rsidR="0085730A">
        <w:t xml:space="preserve"> </w:t>
      </w:r>
      <w:r w:rsidRPr="00C85643">
        <w:t xml:space="preserve">of the action, </w:t>
      </w:r>
      <w:r w:rsidRPr="002D6FD2">
        <w:t>a final</w:t>
      </w:r>
      <w:r w:rsidR="002D6FD2">
        <w:t xml:space="preserve"> </w:t>
      </w:r>
      <w:r w:rsidRPr="00C85643">
        <w:t xml:space="preserve">evaluation </w:t>
      </w:r>
      <w:r w:rsidR="002D6FD2">
        <w:t xml:space="preserve">will </w:t>
      </w:r>
      <w:r w:rsidRPr="00C85643">
        <w:t xml:space="preserve">be carried out for this </w:t>
      </w:r>
      <w:r w:rsidR="002D6FD2">
        <w:t>A</w:t>
      </w:r>
      <w:r w:rsidRPr="00C85643">
        <w:t xml:space="preserve">ction or </w:t>
      </w:r>
      <w:r w:rsidRPr="005D6559">
        <w:rPr>
          <w:snapToGrid w:val="0"/>
          <w:szCs w:val="24"/>
        </w:rPr>
        <w:t>its components</w:t>
      </w:r>
      <w:r w:rsidRPr="00C85643">
        <w:t xml:space="preserve"> </w:t>
      </w:r>
      <w:r w:rsidRPr="002D6FD2">
        <w:t>via independent consultants</w:t>
      </w:r>
      <w:r w:rsidR="00DA44FD" w:rsidRPr="00DA44FD">
        <w:t xml:space="preserve">. </w:t>
      </w:r>
      <w:r w:rsidRPr="00DA44FD">
        <w:t>It will be carried out for accountability and learning purposes at various levels (including for policy revision</w:t>
      </w:r>
      <w:r w:rsidR="004F31A3">
        <w:t>).</w:t>
      </w:r>
    </w:p>
    <w:p w14:paraId="3BBB795D" w14:textId="77777777" w:rsidR="00DA44FD" w:rsidRPr="00C85643" w:rsidRDefault="00DA44FD" w:rsidP="00970283">
      <w:pPr>
        <w:ind w:left="283"/>
      </w:pPr>
    </w:p>
    <w:p w14:paraId="4528B394" w14:textId="3BEDC2D1" w:rsidR="00D54B6E" w:rsidRPr="004F31A3" w:rsidRDefault="00D54B6E" w:rsidP="00970283">
      <w:pPr>
        <w:spacing w:line="280" w:lineRule="atLeast"/>
        <w:ind w:left="283"/>
        <w:rPr>
          <w:snapToGrid w:val="0"/>
          <w:szCs w:val="24"/>
        </w:rPr>
      </w:pPr>
      <w:r w:rsidRPr="00C85643">
        <w:t xml:space="preserve"> </w:t>
      </w:r>
      <w:r w:rsidRPr="004F31A3">
        <w:rPr>
          <w:szCs w:val="24"/>
        </w:rPr>
        <w:t xml:space="preserve">The Commission shall form a Reference Group (RG) composed by representatives from the main stakeholders at both EU and national (representatives from the government, from civil society organisations (private sector, NGOs, etc.), etc.) levels. If deemed necessary, other donors will be invited to join. </w:t>
      </w:r>
      <w:r w:rsidRPr="004F31A3">
        <w:t xml:space="preserve">The Commission shall inform the implementing partner at least </w:t>
      </w:r>
      <w:r w:rsidR="004F31A3" w:rsidRPr="004F31A3">
        <w:t xml:space="preserve">2 </w:t>
      </w:r>
      <w:r w:rsidRPr="004F31A3">
        <w:t>months</w:t>
      </w:r>
      <w:r w:rsidR="004F31A3" w:rsidRPr="004F31A3">
        <w:t xml:space="preserve"> </w:t>
      </w:r>
      <w:r w:rsidRPr="004F31A3">
        <w:t xml:space="preserve">in advance of the dates envisaged for the evaluation </w:t>
      </w:r>
      <w:r w:rsidRPr="004F31A3">
        <w:rPr>
          <w:snapToGrid w:val="0"/>
          <w:szCs w:val="24"/>
        </w:rPr>
        <w:t xml:space="preserve">exercise and </w:t>
      </w:r>
      <w:r w:rsidRPr="004F31A3">
        <w:t>missions. The implementing partner shall collaborate efficiently and effectively with the evaluation experts, and inter alia provide them with all necessary information and documentation, as well as access to the project premises and activities.</w:t>
      </w:r>
      <w:r w:rsidRPr="004F31A3">
        <w:rPr>
          <w:snapToGrid w:val="0"/>
          <w:szCs w:val="24"/>
        </w:rPr>
        <w:t xml:space="preserve"> </w:t>
      </w:r>
    </w:p>
    <w:p w14:paraId="457E01DE" w14:textId="77777777" w:rsidR="00D54B6E" w:rsidRDefault="00D54B6E" w:rsidP="00970283">
      <w:pPr>
        <w:spacing w:line="280" w:lineRule="atLeast"/>
        <w:ind w:left="283"/>
        <w:rPr>
          <w:snapToGrid w:val="0"/>
          <w:szCs w:val="24"/>
        </w:rPr>
      </w:pPr>
    </w:p>
    <w:p w14:paraId="0E1A77F8" w14:textId="77777777" w:rsidR="00D54B6E" w:rsidRPr="00C85643" w:rsidRDefault="00D54B6E" w:rsidP="00970283">
      <w:pPr>
        <w:spacing w:line="280" w:lineRule="atLeast"/>
        <w:ind w:left="283"/>
      </w:pPr>
      <w:r w:rsidRPr="00C85643">
        <w:t>The evaluation reports shall be shared with the partner country and other key stakeholders following the best practice of evaluation dissemination</w:t>
      </w:r>
      <w:r w:rsidRPr="00C85643">
        <w:rPr>
          <w:rStyle w:val="Refdenotaalpie"/>
        </w:rPr>
        <w:footnoteReference w:id="39"/>
      </w:r>
      <w:r w:rsidRPr="00C85643">
        <w:t xml:space="preserve">. The implementing partner and the Commission shall analyse the conclusions and recommendations of the evaluations and, where appropriate, in agreement with the partner country, jointly decide on the follow-up actions to be taken and any adjustments necessary, including, if indicated, the reorientation of the project. </w:t>
      </w:r>
    </w:p>
    <w:p w14:paraId="3BE06045" w14:textId="77777777" w:rsidR="00143C18" w:rsidRPr="003C0CD7" w:rsidRDefault="00BA0E8A" w:rsidP="003C0CD7">
      <w:pPr>
        <w:pStyle w:val="Ttulo1"/>
        <w:numPr>
          <w:ilvl w:val="1"/>
          <w:numId w:val="1"/>
        </w:numPr>
        <w:rPr>
          <w:lang w:val="en-IE"/>
        </w:rPr>
      </w:pPr>
      <w:bookmarkStart w:id="363" w:name="_Ref58841050"/>
      <w:bookmarkStart w:id="364" w:name="_Toc73090781"/>
      <w:r w:rsidRPr="003C0CD7">
        <w:rPr>
          <w:lang w:val="en-IE"/>
        </w:rPr>
        <w:t xml:space="preserve">Audit and </w:t>
      </w:r>
      <w:r w:rsidR="0079347D" w:rsidRPr="003C0CD7">
        <w:rPr>
          <w:lang w:val="en-IE"/>
        </w:rPr>
        <w:t>V</w:t>
      </w:r>
      <w:r w:rsidR="000F408A" w:rsidRPr="003C0CD7">
        <w:rPr>
          <w:lang w:val="en-IE"/>
        </w:rPr>
        <w:t>erifications</w:t>
      </w:r>
      <w:bookmarkEnd w:id="363"/>
      <w:bookmarkEnd w:id="364"/>
    </w:p>
    <w:p w14:paraId="29DA0225" w14:textId="77777777" w:rsidR="00E360A2" w:rsidRPr="006477D1" w:rsidRDefault="00E360A2" w:rsidP="00970283">
      <w:pPr>
        <w:ind w:left="283"/>
        <w:rPr>
          <w:rFonts w:cs="Times New Roman"/>
          <w:lang w:val="en-IE"/>
        </w:rPr>
      </w:pPr>
      <w:r w:rsidRPr="003C0CD7">
        <w:rPr>
          <w:rFonts w:cs="Times New Roman"/>
          <w:lang w:val="en-IE"/>
        </w:rPr>
        <w:t>Without prejudice to the obligations applicable to contracts concluded for the implementation of this action, the Commission may, on the basis of a risk assessment, contract independent audit or verification assignments for one or s</w:t>
      </w:r>
      <w:r w:rsidR="006477D1">
        <w:rPr>
          <w:rFonts w:cs="Times New Roman"/>
          <w:lang w:val="en-IE"/>
        </w:rPr>
        <w:t>everal contracts or agreements.</w:t>
      </w:r>
    </w:p>
    <w:p w14:paraId="2B911F6F" w14:textId="77777777" w:rsidR="00143C18" w:rsidRDefault="00B85F70" w:rsidP="007540C6">
      <w:pPr>
        <w:pStyle w:val="Ttulo1"/>
        <w:rPr>
          <w:lang w:val="en-IE"/>
        </w:rPr>
      </w:pPr>
      <w:bookmarkStart w:id="365" w:name="_Toc47101987"/>
      <w:bookmarkStart w:id="366" w:name="_Toc51270482"/>
      <w:bookmarkStart w:id="367" w:name="_Ref58359370"/>
      <w:bookmarkStart w:id="368" w:name="_Ref58841100"/>
      <w:bookmarkStart w:id="369" w:name="_Toc73090782"/>
      <w:r>
        <w:rPr>
          <w:lang w:val="en-IE"/>
        </w:rPr>
        <w:t xml:space="preserve">STRATEGIC </w:t>
      </w:r>
      <w:r w:rsidR="00BE77D6" w:rsidRPr="003C0CD7">
        <w:rPr>
          <w:lang w:val="en-IE"/>
        </w:rPr>
        <w:t xml:space="preserve">COMMUNICATION AND </w:t>
      </w:r>
      <w:bookmarkEnd w:id="365"/>
      <w:bookmarkEnd w:id="366"/>
      <w:bookmarkEnd w:id="367"/>
      <w:bookmarkEnd w:id="368"/>
      <w:bookmarkEnd w:id="369"/>
      <w:r>
        <w:rPr>
          <w:lang w:val="en-IE"/>
        </w:rPr>
        <w:t>PUBLIC DIPLOMACY</w:t>
      </w:r>
      <w:r w:rsidRPr="003C0CD7">
        <w:rPr>
          <w:lang w:val="en-IE"/>
        </w:rPr>
        <w:t xml:space="preserve"> </w:t>
      </w:r>
    </w:p>
    <w:p w14:paraId="58C3E6E4" w14:textId="77777777" w:rsidR="00A571EC" w:rsidRDefault="00A571EC" w:rsidP="00A571EC">
      <w:pPr>
        <w:ind w:left="360"/>
        <w:rPr>
          <w:rFonts w:cs="Times New Roman"/>
          <w:color w:val="0D0D0D" w:themeColor="text1" w:themeTint="F2"/>
          <w:szCs w:val="24"/>
        </w:rPr>
      </w:pPr>
      <w:r w:rsidRPr="00076DCC">
        <w:rPr>
          <w:szCs w:val="24"/>
        </w:rPr>
        <w:t>A</w:t>
      </w:r>
      <w:r w:rsidRPr="00076DCC">
        <w:rPr>
          <w:szCs w:val="24"/>
          <w:lang w:val="en-US"/>
        </w:rPr>
        <w:t xml:space="preserve">ll entities implementing EU-funded external actions have the contractual obligation to inform the relevant audiences of the Union’s support for their work by displaying the EU emblem and a short funding statement as appropriate on all communication materials related to the actions concerned. </w:t>
      </w:r>
      <w:r w:rsidRPr="00076DCC">
        <w:rPr>
          <w:rFonts w:cs="Times New Roman"/>
          <w:color w:val="0D0D0D" w:themeColor="text1" w:themeTint="F2"/>
          <w:szCs w:val="24"/>
        </w:rPr>
        <w:t xml:space="preserve">To that end they must comply with the instructions given in the </w:t>
      </w:r>
      <w:r>
        <w:rPr>
          <w:rFonts w:cs="Times New Roman"/>
          <w:color w:val="0D0D0D" w:themeColor="text1" w:themeTint="F2"/>
          <w:szCs w:val="24"/>
        </w:rPr>
        <w:t xml:space="preserve">2022 guidance document </w:t>
      </w:r>
      <w:hyperlink r:id="rId11" w:history="1">
        <w:r w:rsidRPr="00FC5D8D">
          <w:rPr>
            <w:rStyle w:val="Hipervnculo"/>
            <w:rFonts w:cs="Times New Roman"/>
            <w:i/>
            <w:szCs w:val="24"/>
          </w:rPr>
          <w:t>Communicating and raising EU visibility: Guidance for external actions</w:t>
        </w:r>
      </w:hyperlink>
      <w:r w:rsidRPr="008C7B9F">
        <w:rPr>
          <w:rFonts w:cs="Times New Roman"/>
          <w:color w:val="0D0D0D" w:themeColor="text1" w:themeTint="F2"/>
          <w:szCs w:val="24"/>
        </w:rPr>
        <w:t xml:space="preserve"> </w:t>
      </w:r>
      <w:r w:rsidRPr="00076DCC">
        <w:rPr>
          <w:rFonts w:cs="Times New Roman"/>
          <w:color w:val="0D0D0D" w:themeColor="text1" w:themeTint="F2"/>
          <w:szCs w:val="24"/>
        </w:rPr>
        <w:t xml:space="preserve">(or any successor document).  </w:t>
      </w:r>
    </w:p>
    <w:p w14:paraId="6E7D8CF8" w14:textId="77777777" w:rsidR="00A571EC" w:rsidRDefault="00A571EC" w:rsidP="00A571EC">
      <w:pPr>
        <w:ind w:left="360"/>
        <w:rPr>
          <w:rFonts w:cs="Times New Roman"/>
          <w:color w:val="0D0D0D" w:themeColor="text1" w:themeTint="F2"/>
          <w:szCs w:val="24"/>
        </w:rPr>
      </w:pPr>
    </w:p>
    <w:p w14:paraId="6196059F" w14:textId="77777777" w:rsidR="00A571EC" w:rsidRPr="00C85643" w:rsidRDefault="00A571EC" w:rsidP="00A571EC">
      <w:pPr>
        <w:ind w:left="360"/>
        <w:rPr>
          <w:color w:val="0D0D0D" w:themeColor="text1" w:themeTint="F2"/>
        </w:rPr>
      </w:pPr>
      <w:r w:rsidRPr="00076DCC">
        <w:rPr>
          <w:rFonts w:cs="Times New Roman"/>
          <w:color w:val="0D0D0D" w:themeColor="text1" w:themeTint="F2"/>
          <w:szCs w:val="24"/>
        </w:rPr>
        <w:t>This obligation will apply equally, regardless of whether</w:t>
      </w:r>
      <w:r w:rsidRPr="00C85643">
        <w:rPr>
          <w:color w:val="0D0D0D" w:themeColor="text1" w:themeTint="F2"/>
        </w:rPr>
        <w:t xml:space="preserve"> the </w:t>
      </w:r>
      <w:r w:rsidRPr="00076DCC">
        <w:rPr>
          <w:rFonts w:cs="Times New Roman"/>
          <w:color w:val="0D0D0D" w:themeColor="text1" w:themeTint="F2"/>
          <w:szCs w:val="24"/>
        </w:rPr>
        <w:t>actions concerned are</w:t>
      </w:r>
      <w:r w:rsidRPr="00C85643">
        <w:rPr>
          <w:color w:val="0D0D0D" w:themeColor="text1" w:themeTint="F2"/>
        </w:rPr>
        <w:t xml:space="preserve"> implemented by the </w:t>
      </w:r>
      <w:r w:rsidRPr="00076DCC">
        <w:rPr>
          <w:rFonts w:cs="Times New Roman"/>
          <w:color w:val="0D0D0D" w:themeColor="text1" w:themeTint="F2"/>
          <w:szCs w:val="24"/>
        </w:rPr>
        <w:t>Commission,</w:t>
      </w:r>
      <w:r w:rsidRPr="00C85643">
        <w:rPr>
          <w:color w:val="0D0D0D" w:themeColor="text1" w:themeTint="F2"/>
        </w:rPr>
        <w:t xml:space="preserve"> the </w:t>
      </w:r>
      <w:r w:rsidRPr="00076DCC">
        <w:rPr>
          <w:rFonts w:cs="Times New Roman"/>
          <w:color w:val="0D0D0D" w:themeColor="text1" w:themeTint="F2"/>
          <w:szCs w:val="24"/>
        </w:rPr>
        <w:t xml:space="preserve">partner country, service providers, </w:t>
      </w:r>
      <w:r w:rsidRPr="00C85643">
        <w:rPr>
          <w:color w:val="0D0D0D" w:themeColor="text1" w:themeTint="F2"/>
        </w:rPr>
        <w:t>grant beneficiaries</w:t>
      </w:r>
      <w:r w:rsidRPr="00076DCC">
        <w:rPr>
          <w:rFonts w:cs="Times New Roman"/>
          <w:color w:val="0D0D0D" w:themeColor="text1" w:themeTint="F2"/>
          <w:szCs w:val="24"/>
        </w:rPr>
        <w:t xml:space="preserve"> or </w:t>
      </w:r>
      <w:r w:rsidRPr="00076DCC">
        <w:rPr>
          <w:rFonts w:cs="Times New Roman"/>
          <w:color w:val="0D0D0D" w:themeColor="text1" w:themeTint="F2"/>
          <w:szCs w:val="24"/>
        </w:rPr>
        <w:lastRenderedPageBreak/>
        <w:t xml:space="preserve">entrusted or delegated entities such as UN agencies, international financial institutions and agencies of EU Member States. In each case, a reference to the relevant </w:t>
      </w:r>
      <w:r w:rsidRPr="00C85643">
        <w:rPr>
          <w:color w:val="0D0D0D" w:themeColor="text1" w:themeTint="F2"/>
        </w:rPr>
        <w:t xml:space="preserve">contractual obligations </w:t>
      </w:r>
      <w:r w:rsidRPr="00076DCC">
        <w:rPr>
          <w:rFonts w:cs="Times New Roman"/>
          <w:color w:val="0D0D0D" w:themeColor="text1" w:themeTint="F2"/>
          <w:szCs w:val="24"/>
        </w:rPr>
        <w:t>must</w:t>
      </w:r>
      <w:r w:rsidRPr="00C85643">
        <w:rPr>
          <w:color w:val="0D0D0D" w:themeColor="text1" w:themeTint="F2"/>
        </w:rPr>
        <w:t xml:space="preserve"> be included in </w:t>
      </w:r>
      <w:r w:rsidRPr="00076DCC">
        <w:rPr>
          <w:rFonts w:cs="Times New Roman"/>
          <w:color w:val="0D0D0D" w:themeColor="text1" w:themeTint="F2"/>
          <w:szCs w:val="24"/>
        </w:rPr>
        <w:t xml:space="preserve">the respective </w:t>
      </w:r>
      <w:r w:rsidRPr="00C85643">
        <w:rPr>
          <w:color w:val="0D0D0D" w:themeColor="text1" w:themeTint="F2"/>
        </w:rPr>
        <w:t xml:space="preserve">financing </w:t>
      </w:r>
      <w:r w:rsidRPr="00076DCC">
        <w:rPr>
          <w:rFonts w:cs="Times New Roman"/>
          <w:color w:val="0D0D0D" w:themeColor="text1" w:themeTint="F2"/>
          <w:szCs w:val="24"/>
        </w:rPr>
        <w:t>agreement,</w:t>
      </w:r>
      <w:r w:rsidRPr="00C85643">
        <w:rPr>
          <w:color w:val="0D0D0D" w:themeColor="text1" w:themeTint="F2"/>
        </w:rPr>
        <w:t xml:space="preserve"> procurement and grant contracts</w:t>
      </w:r>
      <w:r w:rsidRPr="00076DCC">
        <w:rPr>
          <w:rFonts w:cs="Times New Roman"/>
          <w:color w:val="0D0D0D" w:themeColor="text1" w:themeTint="F2"/>
          <w:szCs w:val="24"/>
        </w:rPr>
        <w:t xml:space="preserve">, and </w:t>
      </w:r>
      <w:r>
        <w:rPr>
          <w:rFonts w:cs="Times New Roman"/>
          <w:color w:val="0D0D0D" w:themeColor="text1" w:themeTint="F2"/>
          <w:szCs w:val="24"/>
        </w:rPr>
        <w:t>contribution</w:t>
      </w:r>
      <w:r w:rsidRPr="00076DCC">
        <w:rPr>
          <w:rFonts w:cs="Times New Roman"/>
          <w:color w:val="0D0D0D" w:themeColor="text1" w:themeTint="F2"/>
          <w:szCs w:val="24"/>
        </w:rPr>
        <w:t xml:space="preserve"> agreements</w:t>
      </w:r>
      <w:r w:rsidRPr="00C85643">
        <w:rPr>
          <w:color w:val="0D0D0D" w:themeColor="text1" w:themeTint="F2"/>
        </w:rPr>
        <w:t>.</w:t>
      </w:r>
    </w:p>
    <w:p w14:paraId="6071410D" w14:textId="77777777" w:rsidR="0099058C" w:rsidRPr="003C0CD7" w:rsidRDefault="0099058C" w:rsidP="001B2E35">
      <w:pPr>
        <w:pStyle w:val="Ttulo1"/>
        <w:rPr>
          <w:sz w:val="32"/>
          <w:lang w:val="en-IE"/>
        </w:rPr>
      </w:pPr>
      <w:bookmarkStart w:id="370" w:name="_Toc72142276"/>
      <w:bookmarkStart w:id="371" w:name="_Toc72142361"/>
      <w:bookmarkStart w:id="372" w:name="_Toc73090700"/>
      <w:bookmarkStart w:id="373" w:name="_Toc73090783"/>
      <w:bookmarkStart w:id="374" w:name="_Toc72142277"/>
      <w:bookmarkStart w:id="375" w:name="_Toc72142362"/>
      <w:bookmarkStart w:id="376" w:name="_Toc73090701"/>
      <w:bookmarkStart w:id="377" w:name="_Toc73090784"/>
      <w:bookmarkStart w:id="378" w:name="_Toc72142278"/>
      <w:bookmarkStart w:id="379" w:name="_Toc72142363"/>
      <w:bookmarkStart w:id="380" w:name="_Toc73090702"/>
      <w:bookmarkStart w:id="381" w:name="_Toc73090785"/>
      <w:bookmarkStart w:id="382" w:name="_Toc72142279"/>
      <w:bookmarkStart w:id="383" w:name="_Toc72142364"/>
      <w:bookmarkStart w:id="384" w:name="_Toc73090703"/>
      <w:bookmarkStart w:id="385" w:name="_Toc73090786"/>
      <w:bookmarkStart w:id="386" w:name="_Toc72142280"/>
      <w:bookmarkStart w:id="387" w:name="_Toc72142365"/>
      <w:bookmarkStart w:id="388" w:name="_Toc73090704"/>
      <w:bookmarkStart w:id="389" w:name="_Toc73090787"/>
      <w:bookmarkStart w:id="390" w:name="_Toc72142281"/>
      <w:bookmarkStart w:id="391" w:name="_Toc72142366"/>
      <w:bookmarkStart w:id="392" w:name="_Toc73090705"/>
      <w:bookmarkStart w:id="393" w:name="_Toc73090788"/>
      <w:bookmarkStart w:id="394" w:name="_Toc72142285"/>
      <w:bookmarkStart w:id="395" w:name="_Toc72142370"/>
      <w:bookmarkStart w:id="396" w:name="_Toc73090709"/>
      <w:bookmarkStart w:id="397" w:name="_Toc73090792"/>
      <w:bookmarkStart w:id="398" w:name="_Toc72142286"/>
      <w:bookmarkStart w:id="399" w:name="_Toc72142371"/>
      <w:bookmarkStart w:id="400" w:name="_Toc73090710"/>
      <w:bookmarkStart w:id="401" w:name="_Toc73090793"/>
      <w:bookmarkStart w:id="402" w:name="_Toc72142287"/>
      <w:bookmarkStart w:id="403" w:name="_Toc72142372"/>
      <w:bookmarkStart w:id="404" w:name="_Toc73090711"/>
      <w:bookmarkStart w:id="405" w:name="_Toc73090794"/>
      <w:bookmarkStart w:id="406" w:name="_Toc72142291"/>
      <w:bookmarkStart w:id="407" w:name="_Toc72142376"/>
      <w:bookmarkStart w:id="408" w:name="_Toc73090715"/>
      <w:bookmarkStart w:id="409" w:name="_Toc73090798"/>
      <w:bookmarkStart w:id="410" w:name="_Toc72142292"/>
      <w:bookmarkStart w:id="411" w:name="_Toc72142377"/>
      <w:bookmarkStart w:id="412" w:name="_Toc73090716"/>
      <w:bookmarkStart w:id="413" w:name="_Toc73090799"/>
      <w:bookmarkStart w:id="414" w:name="_Toc72142293"/>
      <w:bookmarkStart w:id="415" w:name="_Toc72142378"/>
      <w:bookmarkStart w:id="416" w:name="_Toc73090717"/>
      <w:bookmarkStart w:id="417" w:name="_Toc73090800"/>
      <w:bookmarkStart w:id="418" w:name="_Toc72142297"/>
      <w:bookmarkStart w:id="419" w:name="_Toc72142382"/>
      <w:bookmarkStart w:id="420" w:name="_Toc73090721"/>
      <w:bookmarkStart w:id="421" w:name="_Toc73090804"/>
      <w:bookmarkStart w:id="422" w:name="_Toc72142298"/>
      <w:bookmarkStart w:id="423" w:name="_Toc72142383"/>
      <w:bookmarkStart w:id="424" w:name="_Toc73090722"/>
      <w:bookmarkStart w:id="425" w:name="_Toc73090805"/>
      <w:bookmarkStart w:id="426" w:name="_Toc72142299"/>
      <w:bookmarkStart w:id="427" w:name="_Toc72142384"/>
      <w:bookmarkStart w:id="428" w:name="_Toc73090723"/>
      <w:bookmarkStart w:id="429" w:name="_Toc73090806"/>
      <w:bookmarkStart w:id="430" w:name="_Toc57195485"/>
      <w:bookmarkStart w:id="431" w:name="_Toc57203809"/>
      <w:bookmarkStart w:id="432" w:name="_Toc57204007"/>
      <w:bookmarkStart w:id="433" w:name="_Toc57205822"/>
      <w:bookmarkStart w:id="434" w:name="_Toc73090807"/>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3C0CD7">
        <w:rPr>
          <w:lang w:val="en-IE"/>
        </w:rPr>
        <w:t>SUSTAINABILITY</w:t>
      </w:r>
      <w:bookmarkEnd w:id="430"/>
      <w:bookmarkEnd w:id="431"/>
      <w:bookmarkEnd w:id="432"/>
      <w:bookmarkEnd w:id="433"/>
      <w:bookmarkEnd w:id="434"/>
    </w:p>
    <w:p w14:paraId="2007FCC0" w14:textId="5EA6D5EA" w:rsidR="007E74CF" w:rsidRPr="007E74CF" w:rsidRDefault="007E74CF" w:rsidP="00970283">
      <w:pPr>
        <w:spacing w:before="120"/>
        <w:ind w:left="357"/>
        <w:rPr>
          <w:rFonts w:cs="Times New Roman"/>
          <w:lang w:val="en-IE"/>
        </w:rPr>
      </w:pPr>
      <w:r w:rsidRPr="007E74CF">
        <w:rPr>
          <w:rFonts w:cs="Times New Roman"/>
          <w:lang w:val="en-IE"/>
        </w:rPr>
        <w:t xml:space="preserve">The Action has a high potential for sustainability at various levels, including institutional, regulatory, and financial. This potential is determined by several factors, such as </w:t>
      </w:r>
      <w:r w:rsidR="00253E23">
        <w:rPr>
          <w:rFonts w:cs="Times New Roman"/>
          <w:lang w:val="en-IE"/>
        </w:rPr>
        <w:t>policy</w:t>
      </w:r>
      <w:r w:rsidR="00936E83">
        <w:rPr>
          <w:rFonts w:cs="Times New Roman"/>
          <w:lang w:val="en-IE"/>
        </w:rPr>
        <w:t>, institutional, methodological</w:t>
      </w:r>
      <w:r w:rsidR="00253E23">
        <w:rPr>
          <w:rFonts w:cs="Times New Roman"/>
          <w:lang w:val="en-IE"/>
        </w:rPr>
        <w:t xml:space="preserve"> and operational improvements,</w:t>
      </w:r>
      <w:r w:rsidR="00253E23" w:rsidRPr="007E74CF">
        <w:rPr>
          <w:rFonts w:cs="Times New Roman"/>
          <w:lang w:val="en-IE"/>
        </w:rPr>
        <w:t xml:space="preserve"> </w:t>
      </w:r>
      <w:r w:rsidR="00253E23">
        <w:rPr>
          <w:rFonts w:cs="Times New Roman"/>
          <w:lang w:val="en-IE"/>
        </w:rPr>
        <w:t xml:space="preserve">administrative capacity, </w:t>
      </w:r>
      <w:r w:rsidRPr="007E74CF">
        <w:rPr>
          <w:rFonts w:cs="Times New Roman"/>
          <w:lang w:val="en-IE"/>
        </w:rPr>
        <w:t xml:space="preserve">investment in social infrastructure, </w:t>
      </w:r>
      <w:r w:rsidR="00936E83">
        <w:rPr>
          <w:rFonts w:cs="Times New Roman"/>
          <w:lang w:val="en-IE"/>
        </w:rPr>
        <w:t>and raised public awareness.</w:t>
      </w:r>
      <w:r w:rsidR="00936E83" w:rsidRPr="007E74CF">
        <w:rPr>
          <w:rFonts w:cs="Times New Roman"/>
          <w:lang w:val="en-IE"/>
        </w:rPr>
        <w:t xml:space="preserve"> </w:t>
      </w:r>
    </w:p>
    <w:p w14:paraId="3175C7D8" w14:textId="674D12B5" w:rsidR="007E74CF" w:rsidRPr="007E74CF" w:rsidRDefault="006A7F0B" w:rsidP="00970283">
      <w:pPr>
        <w:spacing w:before="120"/>
        <w:ind w:left="357"/>
        <w:rPr>
          <w:rFonts w:cs="Times New Roman"/>
          <w:lang w:val="en-IE"/>
        </w:rPr>
      </w:pPr>
      <w:r>
        <w:rPr>
          <w:rFonts w:cs="Times New Roman"/>
          <w:lang w:val="en-IE"/>
        </w:rPr>
        <w:t xml:space="preserve">The action is expected to result in new facilities, particularly shelters for victims of violence and trafficking and accessibility improvements to educational buildings allowing children </w:t>
      </w:r>
      <w:r w:rsidRPr="007E74CF">
        <w:rPr>
          <w:rFonts w:cs="Times New Roman"/>
          <w:lang w:val="en-IE"/>
        </w:rPr>
        <w:t>with disabilities</w:t>
      </w:r>
      <w:r>
        <w:rPr>
          <w:rFonts w:cs="Times New Roman"/>
          <w:lang w:val="en-IE"/>
        </w:rPr>
        <w:t xml:space="preserve"> to attend school. </w:t>
      </w:r>
      <w:r w:rsidR="00936E83">
        <w:rPr>
          <w:rFonts w:cs="Times New Roman"/>
          <w:lang w:val="en-IE"/>
        </w:rPr>
        <w:t>The beneficiary institutions and organisations undertake the responsibility to maintain all infrastructure delivered through the Action in good conditions and ready to serve the target groups</w:t>
      </w:r>
      <w:r>
        <w:rPr>
          <w:rFonts w:cs="Times New Roman"/>
          <w:lang w:val="en-IE"/>
        </w:rPr>
        <w:t>, and to</w:t>
      </w:r>
      <w:r w:rsidR="007E74CF" w:rsidRPr="007E74CF">
        <w:rPr>
          <w:rFonts w:cs="Times New Roman"/>
          <w:lang w:val="en-IE"/>
        </w:rPr>
        <w:t xml:space="preserve"> maintain and upgrade the </w:t>
      </w:r>
      <w:r>
        <w:rPr>
          <w:rFonts w:cs="Times New Roman"/>
          <w:lang w:val="en-IE"/>
        </w:rPr>
        <w:t>relevant facilities</w:t>
      </w:r>
      <w:r w:rsidR="007E74CF" w:rsidRPr="007E74CF">
        <w:rPr>
          <w:rFonts w:cs="Times New Roman"/>
          <w:lang w:val="en-IE"/>
        </w:rPr>
        <w:t>.</w:t>
      </w:r>
      <w:r w:rsidR="00CF4D8B">
        <w:rPr>
          <w:rFonts w:cs="Times New Roman"/>
          <w:lang w:val="en-IE"/>
        </w:rPr>
        <w:t xml:space="preserve"> The urbanisation plans for the Roma settlements will create the necessary pre-conditions to channel EU, national and other donors’ investments to urbanisation of the Roma quarters and dramatic improvement of the living conditions. </w:t>
      </w:r>
    </w:p>
    <w:p w14:paraId="2DFEA724" w14:textId="03EFBFF1" w:rsidR="00165032" w:rsidRDefault="006A7F0B" w:rsidP="00970283">
      <w:pPr>
        <w:spacing w:before="120"/>
        <w:ind w:left="357"/>
        <w:rPr>
          <w:rFonts w:cs="Times New Roman"/>
          <w:lang w:val="en-IE"/>
        </w:rPr>
      </w:pPr>
      <w:r>
        <w:rPr>
          <w:rFonts w:cs="Times New Roman"/>
          <w:lang w:val="en-IE"/>
        </w:rPr>
        <w:t>The action is expected to result in policy improvements</w:t>
      </w:r>
      <w:r w:rsidR="00A57E45">
        <w:rPr>
          <w:rFonts w:cs="Times New Roman"/>
          <w:lang w:val="en-IE"/>
        </w:rPr>
        <w:t xml:space="preserve"> related to prevention and protection of violence and inclusive education. The established data on gendered based violence will guide the future policy-making and will support the inter-institutional coordination in mid-term </w:t>
      </w:r>
      <w:r w:rsidR="00165032">
        <w:rPr>
          <w:rFonts w:cs="Times New Roman"/>
          <w:lang w:val="en-IE"/>
        </w:rPr>
        <w:t>perspective</w:t>
      </w:r>
      <w:r w:rsidR="00A57E45">
        <w:rPr>
          <w:rFonts w:cs="Times New Roman"/>
          <w:lang w:val="en-IE"/>
        </w:rPr>
        <w:t xml:space="preserve">. The </w:t>
      </w:r>
      <w:r w:rsidR="00165032">
        <w:rPr>
          <w:rFonts w:cs="Times New Roman"/>
          <w:lang w:val="en-IE"/>
        </w:rPr>
        <w:t>action will support the definition and piloting of measures on inclusive education with special focus on a</w:t>
      </w:r>
      <w:r w:rsidR="007E74CF" w:rsidRPr="007E74CF">
        <w:rPr>
          <w:rFonts w:cs="Times New Roman"/>
          <w:lang w:val="en-IE"/>
        </w:rPr>
        <w:t xml:space="preserve">ddressing school violence </w:t>
      </w:r>
      <w:r w:rsidR="00165032">
        <w:rPr>
          <w:rFonts w:cs="Times New Roman"/>
          <w:lang w:val="en-IE"/>
        </w:rPr>
        <w:t>and discrimination at school. These measures are expected to be mainstreamed in the schools, which will ensure a high multiplication effect of the EU funding.</w:t>
      </w:r>
      <w:r w:rsidR="00165032" w:rsidRPr="00165032">
        <w:rPr>
          <w:rFonts w:cs="Times New Roman"/>
          <w:lang w:val="en-IE"/>
        </w:rPr>
        <w:t xml:space="preserve"> </w:t>
      </w:r>
      <w:r w:rsidR="00165032" w:rsidRPr="007E74CF">
        <w:rPr>
          <w:rFonts w:cs="Times New Roman"/>
          <w:lang w:val="en-IE"/>
        </w:rPr>
        <w:t>Inclusive political dialogue is another vector of sustainability expected to support the implementation of coherent sectoral policies</w:t>
      </w:r>
      <w:r w:rsidR="00CF4D8B">
        <w:rPr>
          <w:rFonts w:cs="Times New Roman"/>
          <w:lang w:val="en-IE"/>
        </w:rPr>
        <w:t xml:space="preserve"> in future</w:t>
      </w:r>
      <w:r w:rsidR="00165032" w:rsidRPr="007E74CF">
        <w:rPr>
          <w:rFonts w:cs="Times New Roman"/>
          <w:lang w:val="en-IE"/>
        </w:rPr>
        <w:t xml:space="preserve">. </w:t>
      </w:r>
    </w:p>
    <w:p w14:paraId="06FB1049" w14:textId="1FB8FCBD" w:rsidR="00C10A17" w:rsidRPr="003C0CD7" w:rsidRDefault="00165032" w:rsidP="00970283">
      <w:pPr>
        <w:spacing w:before="120"/>
        <w:ind w:left="357"/>
        <w:rPr>
          <w:lang w:val="en-IE"/>
        </w:rPr>
      </w:pPr>
      <w:r>
        <w:rPr>
          <w:rFonts w:cs="Times New Roman"/>
          <w:lang w:val="en-IE"/>
        </w:rPr>
        <w:t xml:space="preserve">In addition, through outreach and awareness raising activities, the </w:t>
      </w:r>
      <w:r w:rsidR="007E74CF" w:rsidRPr="007E74CF">
        <w:rPr>
          <w:rFonts w:cs="Times New Roman"/>
          <w:lang w:val="en-IE"/>
        </w:rPr>
        <w:t xml:space="preserve">Action </w:t>
      </w:r>
      <w:r>
        <w:rPr>
          <w:rFonts w:cs="Times New Roman"/>
          <w:lang w:val="en-IE"/>
        </w:rPr>
        <w:t>will contribute to a</w:t>
      </w:r>
      <w:r w:rsidR="007E74CF" w:rsidRPr="007E74CF">
        <w:rPr>
          <w:rFonts w:cs="Times New Roman"/>
          <w:lang w:val="en-IE"/>
        </w:rPr>
        <w:t xml:space="preserve"> culture of respect, tolerance, and non-violence within schools </w:t>
      </w:r>
      <w:r>
        <w:rPr>
          <w:rFonts w:cs="Times New Roman"/>
          <w:lang w:val="en-IE"/>
        </w:rPr>
        <w:t>and society and to promoting</w:t>
      </w:r>
      <w:r w:rsidR="007E74CF" w:rsidRPr="007E74CF">
        <w:rPr>
          <w:rFonts w:cs="Times New Roman"/>
          <w:lang w:val="en-IE"/>
        </w:rPr>
        <w:t xml:space="preserve"> positive behavioural norms. </w:t>
      </w:r>
    </w:p>
    <w:p w14:paraId="68AC798A" w14:textId="77777777" w:rsidR="006B5FFC" w:rsidRDefault="00AA1275" w:rsidP="00970283">
      <w:pPr>
        <w:spacing w:before="120"/>
        <w:ind w:left="357"/>
        <w:rPr>
          <w:lang w:val="en-IE"/>
        </w:rPr>
      </w:pPr>
      <w:r w:rsidRPr="003C0CD7">
        <w:rPr>
          <w:lang w:val="en-IE"/>
        </w:rPr>
        <w:br w:type="page"/>
      </w:r>
      <w:bookmarkStart w:id="435" w:name="_Ref58428013"/>
    </w:p>
    <w:p w14:paraId="3BBF85BD" w14:textId="5EFEE443" w:rsidR="005F6437" w:rsidRPr="00C85643" w:rsidRDefault="005F6437" w:rsidP="005F6437">
      <w:pPr>
        <w:rPr>
          <w:b/>
        </w:rPr>
      </w:pPr>
      <w:r w:rsidRPr="00C85643">
        <w:rPr>
          <w:b/>
        </w:rPr>
        <w:lastRenderedPageBreak/>
        <w:t xml:space="preserve">Appendix </w:t>
      </w:r>
      <w:r w:rsidRPr="00C85643">
        <w:rPr>
          <w:b/>
        </w:rPr>
        <w:fldChar w:fldCharType="begin"/>
      </w:r>
      <w:r w:rsidRPr="00C85643">
        <w:rPr>
          <w:b/>
        </w:rPr>
        <w:instrText xml:space="preserve"> SEQ Appendix \* ARABIC </w:instrText>
      </w:r>
      <w:r w:rsidRPr="00C85643">
        <w:rPr>
          <w:b/>
        </w:rPr>
        <w:fldChar w:fldCharType="separate"/>
      </w:r>
      <w:r w:rsidR="00D32E00">
        <w:rPr>
          <w:b/>
          <w:noProof/>
        </w:rPr>
        <w:t>1</w:t>
      </w:r>
      <w:r w:rsidRPr="00C85643">
        <w:rPr>
          <w:b/>
        </w:rPr>
        <w:fldChar w:fldCharType="end"/>
      </w:r>
      <w:r w:rsidRPr="00C85643">
        <w:rPr>
          <w:b/>
        </w:rPr>
        <w:t xml:space="preserve">: </w:t>
      </w:r>
      <w:r>
        <w:rPr>
          <w:b/>
          <w:szCs w:val="24"/>
        </w:rPr>
        <w:t xml:space="preserve">IDENTIFICATION OF THE PRIMARY INTERVENTION LEVEL FOR </w:t>
      </w:r>
      <w:r w:rsidRPr="00C85643">
        <w:rPr>
          <w:b/>
        </w:rPr>
        <w:t>REPORTING IN OPSYS</w:t>
      </w:r>
    </w:p>
    <w:p w14:paraId="3D7A7F00" w14:textId="77777777" w:rsidR="005F6437" w:rsidRPr="00C85643" w:rsidRDefault="005F6437" w:rsidP="005F6437">
      <w:pPr>
        <w:rPr>
          <w:b/>
          <w:i/>
        </w:rPr>
      </w:pPr>
    </w:p>
    <w:p w14:paraId="1F66E696" w14:textId="77777777" w:rsidR="005F6437" w:rsidRPr="00C85643" w:rsidRDefault="005F6437" w:rsidP="005F6437">
      <w:r w:rsidRPr="005F1DC7">
        <w:rPr>
          <w:rFonts w:cs="Times New Roman"/>
          <w:szCs w:val="24"/>
        </w:rPr>
        <w:t>A Primary intervention</w:t>
      </w:r>
      <w:r w:rsidRPr="000A76A6">
        <w:rPr>
          <w:rStyle w:val="Refdenotaalpie"/>
          <w:szCs w:val="24"/>
          <w:lang w:val="en-US"/>
        </w:rPr>
        <w:footnoteReference w:id="40"/>
      </w:r>
      <w:r w:rsidRPr="00AA3E2A">
        <w:rPr>
          <w:rFonts w:cs="Times New Roman"/>
          <w:szCs w:val="24"/>
        </w:rPr>
        <w:t xml:space="preserve"> </w:t>
      </w:r>
      <w:r w:rsidRPr="005F1DC7">
        <w:rPr>
          <w:rFonts w:cs="Times New Roman"/>
          <w:szCs w:val="24"/>
        </w:rPr>
        <w:t>(</w:t>
      </w:r>
      <w:r w:rsidRPr="00C85643">
        <w:t xml:space="preserve">project/programme) is a coherent set of results structured in a logical framework aiming at delivering development change or progress. </w:t>
      </w:r>
      <w:r w:rsidRPr="005F1DC7">
        <w:rPr>
          <w:rFonts w:cs="Times New Roman"/>
          <w:szCs w:val="24"/>
        </w:rPr>
        <w:t xml:space="preserve">Identifying the level of </w:t>
      </w:r>
      <w:r w:rsidRPr="00C85643">
        <w:t xml:space="preserve">the primary intervention </w:t>
      </w:r>
      <w:r w:rsidRPr="005F1DC7">
        <w:rPr>
          <w:rFonts w:cs="Times New Roman"/>
          <w:szCs w:val="24"/>
        </w:rPr>
        <w:t>will allow for:</w:t>
      </w:r>
      <w:r w:rsidRPr="005F1DC7" w:rsidDel="00B247CF">
        <w:rPr>
          <w:rFonts w:cs="Times New Roman"/>
          <w:szCs w:val="24"/>
        </w:rPr>
        <w:t xml:space="preserve"> </w:t>
      </w:r>
    </w:p>
    <w:p w14:paraId="49A8DC30" w14:textId="77777777" w:rsidR="005F6437" w:rsidRPr="00541660" w:rsidRDefault="005F6437" w:rsidP="005F6437">
      <w:pPr>
        <w:autoSpaceDE w:val="0"/>
        <w:autoSpaceDN w:val="0"/>
        <w:adjustRightInd w:val="0"/>
        <w:jc w:val="left"/>
        <w:rPr>
          <w:rFonts w:cs="Times New Roman"/>
          <w:color w:val="000000"/>
          <w:szCs w:val="23"/>
          <w:lang w:val="en-US"/>
        </w:rPr>
      </w:pPr>
    </w:p>
    <w:p w14:paraId="6E13F327" w14:textId="77777777" w:rsidR="005F6437" w:rsidRPr="00541660" w:rsidRDefault="005F6437" w:rsidP="00F77AB4">
      <w:pPr>
        <w:pStyle w:val="Prrafodelista"/>
        <w:numPr>
          <w:ilvl w:val="0"/>
          <w:numId w:val="10"/>
        </w:numPr>
        <w:autoSpaceDE w:val="0"/>
        <w:autoSpaceDN w:val="0"/>
        <w:adjustRightInd w:val="0"/>
        <w:spacing w:after="169"/>
        <w:jc w:val="left"/>
        <w:rPr>
          <w:rFonts w:cs="Times New Roman"/>
          <w:color w:val="000000"/>
          <w:szCs w:val="23"/>
          <w:lang w:val="en-US"/>
        </w:rPr>
      </w:pPr>
      <w:r w:rsidRPr="00541660">
        <w:rPr>
          <w:rFonts w:cs="Times New Roman"/>
          <w:color w:val="000000"/>
          <w:szCs w:val="23"/>
          <w:lang w:val="en-US"/>
        </w:rPr>
        <w:t xml:space="preserve">Differentiating these Actions or Contracts from those that do not produce direct reportable development results, defined as support entities (i.e. audits, evaluations); </w:t>
      </w:r>
    </w:p>
    <w:p w14:paraId="0E641795" w14:textId="77777777" w:rsidR="005F6437" w:rsidRPr="00541660" w:rsidRDefault="005F6437" w:rsidP="00F77AB4">
      <w:pPr>
        <w:pStyle w:val="Prrafodelista"/>
        <w:numPr>
          <w:ilvl w:val="0"/>
          <w:numId w:val="10"/>
        </w:numPr>
        <w:autoSpaceDE w:val="0"/>
        <w:autoSpaceDN w:val="0"/>
        <w:adjustRightInd w:val="0"/>
        <w:spacing w:after="169"/>
        <w:jc w:val="left"/>
        <w:rPr>
          <w:rFonts w:cs="Times New Roman"/>
          <w:color w:val="000000"/>
          <w:szCs w:val="23"/>
          <w:lang w:val="en-US"/>
        </w:rPr>
      </w:pPr>
      <w:r w:rsidRPr="00541660">
        <w:rPr>
          <w:rFonts w:cs="Times New Roman"/>
          <w:color w:val="000000"/>
          <w:szCs w:val="23"/>
          <w:lang w:val="en-US"/>
        </w:rPr>
        <w:t xml:space="preserve">Articulating Actions and/or Contracts according to an expected common chain of results and therefore allowing them to ensure a more efficient and aggregated monitoring and reporting of performance; </w:t>
      </w:r>
    </w:p>
    <w:p w14:paraId="30E95EB6" w14:textId="77777777" w:rsidR="005F6437" w:rsidRPr="00541660" w:rsidRDefault="005F6437" w:rsidP="00F77AB4">
      <w:pPr>
        <w:pStyle w:val="Prrafodelista"/>
        <w:numPr>
          <w:ilvl w:val="0"/>
          <w:numId w:val="10"/>
        </w:numPr>
        <w:rPr>
          <w:rFonts w:cs="Times New Roman"/>
          <w:color w:val="000000"/>
          <w:szCs w:val="23"/>
          <w:lang w:val="en-US"/>
        </w:rPr>
      </w:pPr>
      <w:r w:rsidRPr="00541660">
        <w:rPr>
          <w:rFonts w:cs="Times New Roman"/>
          <w:color w:val="000000"/>
          <w:szCs w:val="23"/>
          <w:lang w:val="en-US"/>
        </w:rPr>
        <w:t>Having a complete and exhaustive mapping of all results-bearing Actions and Contracts.</w:t>
      </w:r>
    </w:p>
    <w:p w14:paraId="03E32CB6" w14:textId="77777777" w:rsidR="005F6437" w:rsidRPr="003C0CD7" w:rsidRDefault="005F6437" w:rsidP="004D2C15">
      <w:pPr>
        <w:rPr>
          <w:lang w:val="en-IE"/>
        </w:rPr>
      </w:pPr>
    </w:p>
    <w:p w14:paraId="06E32FC5" w14:textId="2A85AACA" w:rsidR="005F6437" w:rsidRPr="00AE4A5B" w:rsidRDefault="005F6437" w:rsidP="005F6437">
      <w:pPr>
        <w:rPr>
          <w:lang w:val="en-US"/>
        </w:rPr>
      </w:pPr>
      <w:r>
        <w:rPr>
          <w:lang w:val="en-US"/>
        </w:rPr>
        <w:t xml:space="preserve">The present Action identifies as </w:t>
      </w:r>
    </w:p>
    <w:p w14:paraId="54AC40F4" w14:textId="77777777" w:rsidR="005F6437" w:rsidRPr="003C0CD7" w:rsidRDefault="005F6437" w:rsidP="005F6437">
      <w:pPr>
        <w:rPr>
          <w:rFonts w:cs="Calibri"/>
          <w:i/>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047"/>
        <w:gridCol w:w="6841"/>
      </w:tblGrid>
      <w:tr w:rsidR="005F6437" w:rsidRPr="008704EA" w14:paraId="61E5F1E1" w14:textId="77777777" w:rsidTr="00FD71E4">
        <w:trPr>
          <w:trHeight w:val="422"/>
        </w:trPr>
        <w:tc>
          <w:tcPr>
            <w:tcW w:w="10230" w:type="dxa"/>
            <w:gridSpan w:val="3"/>
            <w:tcBorders>
              <w:top w:val="single" w:sz="4" w:space="0" w:color="auto"/>
              <w:left w:val="single" w:sz="4" w:space="0" w:color="auto"/>
              <w:bottom w:val="single" w:sz="4" w:space="0" w:color="auto"/>
              <w:right w:val="single" w:sz="4" w:space="0" w:color="auto"/>
            </w:tcBorders>
          </w:tcPr>
          <w:p w14:paraId="6F44A6CE" w14:textId="77777777" w:rsidR="005F6437" w:rsidRDefault="005F6437" w:rsidP="00FD71E4">
            <w:r w:rsidRPr="003C0CD7">
              <w:rPr>
                <w:b/>
                <w:bCs/>
                <w:lang w:val="en-IE"/>
              </w:rPr>
              <w:t>Action level</w:t>
            </w:r>
            <w:r>
              <w:rPr>
                <w:b/>
                <w:bCs/>
                <w:lang w:val="en-IE"/>
              </w:rPr>
              <w:t xml:space="preserve"> </w:t>
            </w:r>
            <w:r w:rsidRPr="003775F2">
              <w:rPr>
                <w:bCs/>
              </w:rPr>
              <w:t>(i.e. Budget support, Blending)</w:t>
            </w:r>
          </w:p>
          <w:p w14:paraId="37C028B1" w14:textId="77777777" w:rsidR="005F6437" w:rsidRPr="00C85643" w:rsidRDefault="005F6437" w:rsidP="00FD71E4">
            <w:pPr>
              <w:pStyle w:val="Text1"/>
              <w:spacing w:before="60" w:after="60" w:line="254" w:lineRule="auto"/>
              <w:ind w:left="0" w:right="-25"/>
              <w:jc w:val="left"/>
              <w:rPr>
                <w:b/>
              </w:rPr>
            </w:pPr>
          </w:p>
        </w:tc>
      </w:tr>
      <w:tr w:rsidR="005F6437" w:rsidRPr="008704EA" w14:paraId="619AAE0E" w14:textId="77777777" w:rsidTr="00FD71E4">
        <w:trPr>
          <w:trHeight w:val="547"/>
        </w:trPr>
        <w:tc>
          <w:tcPr>
            <w:tcW w:w="456" w:type="dxa"/>
            <w:tcBorders>
              <w:top w:val="single" w:sz="4" w:space="0" w:color="auto"/>
              <w:left w:val="single" w:sz="4" w:space="0" w:color="auto"/>
              <w:bottom w:val="single" w:sz="4" w:space="0" w:color="auto"/>
              <w:right w:val="single" w:sz="4" w:space="0" w:color="auto"/>
            </w:tcBorders>
          </w:tcPr>
          <w:p w14:paraId="4D7D2DF0" w14:textId="64F5D010" w:rsidR="005F6437" w:rsidRPr="003C0CD7" w:rsidRDefault="00E43421" w:rsidP="00FD71E4">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499083052"/>
                <w14:checkbox>
                  <w14:checked w14:val="1"/>
                  <w14:checkedState w14:val="2612" w14:font="MS Gothic"/>
                  <w14:uncheckedState w14:val="2610" w14:font="MS Gothic"/>
                </w14:checkbox>
              </w:sdtPr>
              <w:sdtContent>
                <w:r w:rsidR="00A571EC">
                  <w:rPr>
                    <w:rFonts w:ascii="MS Gothic" w:eastAsia="MS Gothic" w:hAnsi="MS Gothic" w:cs="Segoe UI Symbol" w:hint="eastAsia"/>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56582AED" w14:textId="77777777" w:rsidR="005F6437" w:rsidRPr="003C0CD7" w:rsidRDefault="005F6437" w:rsidP="00FD71E4">
            <w:pPr>
              <w:pStyle w:val="Text1"/>
              <w:spacing w:before="60" w:after="60" w:line="254" w:lineRule="auto"/>
              <w:ind w:left="0" w:right="-25"/>
              <w:jc w:val="left"/>
              <w:rPr>
                <w:lang w:val="en-IE"/>
              </w:rPr>
            </w:pPr>
            <w:r w:rsidRPr="003C0CD7">
              <w:rPr>
                <w:lang w:val="en-IE"/>
              </w:rPr>
              <w:t>Single action</w:t>
            </w:r>
          </w:p>
        </w:tc>
        <w:tc>
          <w:tcPr>
            <w:tcW w:w="7579" w:type="dxa"/>
            <w:tcBorders>
              <w:top w:val="single" w:sz="4" w:space="0" w:color="auto"/>
              <w:left w:val="single" w:sz="4" w:space="0" w:color="auto"/>
              <w:bottom w:val="single" w:sz="4" w:space="0" w:color="auto"/>
              <w:right w:val="single" w:sz="4" w:space="0" w:color="auto"/>
            </w:tcBorders>
          </w:tcPr>
          <w:p w14:paraId="0F739EAB" w14:textId="77777777" w:rsidR="005F6437" w:rsidRPr="003C0CD7" w:rsidRDefault="005F6437" w:rsidP="00FD71E4">
            <w:pPr>
              <w:pStyle w:val="Text1"/>
              <w:spacing w:before="60" w:after="60" w:line="254" w:lineRule="auto"/>
              <w:ind w:left="0" w:right="-25"/>
              <w:jc w:val="left"/>
              <w:rPr>
                <w:lang w:val="en-IE"/>
              </w:rPr>
            </w:pPr>
            <w:r w:rsidRPr="003C0CD7">
              <w:rPr>
                <w:lang w:val="en-IE"/>
              </w:rPr>
              <w:t>Present action: all contracts in the present action</w:t>
            </w:r>
          </w:p>
        </w:tc>
      </w:tr>
      <w:tr w:rsidR="005F6437" w:rsidRPr="008704EA" w14:paraId="532187D7" w14:textId="77777777" w:rsidTr="00FD71E4">
        <w:trPr>
          <w:trHeight w:val="408"/>
        </w:trPr>
        <w:tc>
          <w:tcPr>
            <w:tcW w:w="10230" w:type="dxa"/>
            <w:gridSpan w:val="3"/>
            <w:tcBorders>
              <w:top w:val="single" w:sz="4" w:space="0" w:color="auto"/>
              <w:left w:val="single" w:sz="4" w:space="0" w:color="auto"/>
              <w:bottom w:val="single" w:sz="4" w:space="0" w:color="auto"/>
              <w:right w:val="single" w:sz="4" w:space="0" w:color="auto"/>
            </w:tcBorders>
          </w:tcPr>
          <w:p w14:paraId="0614482D" w14:textId="77777777" w:rsidR="005F6437" w:rsidRPr="00C85643" w:rsidRDefault="005F6437" w:rsidP="00FD71E4">
            <w:r w:rsidRPr="003C0CD7">
              <w:rPr>
                <w:b/>
                <w:bCs/>
                <w:lang w:val="en-IE"/>
              </w:rPr>
              <w:t>Group of actions level</w:t>
            </w:r>
            <w:r>
              <w:rPr>
                <w:b/>
                <w:bCs/>
                <w:lang w:val="en-IE"/>
              </w:rPr>
              <w:t xml:space="preserve"> </w:t>
            </w:r>
            <w:r>
              <w:rPr>
                <w:bCs/>
              </w:rPr>
              <w:t>(i.e:</w:t>
            </w:r>
            <w:r w:rsidRPr="003775F2">
              <w:rPr>
                <w:bCs/>
              </w:rPr>
              <w:t xml:space="preserve"> i) top-up cases, ii) second, third, etc. phases of a programme)</w:t>
            </w:r>
          </w:p>
        </w:tc>
      </w:tr>
      <w:tr w:rsidR="005F6437" w:rsidRPr="008704EA" w14:paraId="424158C8" w14:textId="77777777" w:rsidTr="00FD71E4">
        <w:trPr>
          <w:trHeight w:val="1114"/>
        </w:trPr>
        <w:tc>
          <w:tcPr>
            <w:tcW w:w="456" w:type="dxa"/>
            <w:tcBorders>
              <w:top w:val="single" w:sz="4" w:space="0" w:color="auto"/>
              <w:left w:val="single" w:sz="4" w:space="0" w:color="auto"/>
              <w:bottom w:val="single" w:sz="4" w:space="0" w:color="auto"/>
              <w:right w:val="single" w:sz="4" w:space="0" w:color="auto"/>
            </w:tcBorders>
          </w:tcPr>
          <w:p w14:paraId="4865245D" w14:textId="77777777" w:rsidR="005F6437" w:rsidRPr="003C0CD7" w:rsidRDefault="00E43421" w:rsidP="00FD71E4">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418776351"/>
                <w14:checkbox>
                  <w14:checked w14:val="0"/>
                  <w14:checkedState w14:val="2612" w14:font="MS Gothic"/>
                  <w14:uncheckedState w14:val="2610" w14:font="MS Gothic"/>
                </w14:checkbox>
              </w:sdtPr>
              <w:sdtContent>
                <w:r w:rsidR="005F6437" w:rsidRPr="003C0CD7">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6B30D4C8" w14:textId="77777777" w:rsidR="005F6437" w:rsidRPr="003C0CD7" w:rsidRDefault="005F6437" w:rsidP="00FD71E4">
            <w:pPr>
              <w:pStyle w:val="Text1"/>
              <w:spacing w:before="60" w:after="60" w:line="254" w:lineRule="auto"/>
              <w:ind w:left="0" w:right="-25"/>
              <w:jc w:val="left"/>
              <w:rPr>
                <w:color w:val="0D0D0D" w:themeColor="text1" w:themeTint="F2"/>
                <w:highlight w:val="yellow"/>
                <w:lang w:val="en-IE"/>
              </w:rPr>
            </w:pPr>
            <w:r w:rsidRPr="003C0CD7">
              <w:rPr>
                <w:lang w:val="en-IE"/>
              </w:rPr>
              <w:t>Group of actions</w:t>
            </w:r>
          </w:p>
        </w:tc>
        <w:tc>
          <w:tcPr>
            <w:tcW w:w="7579" w:type="dxa"/>
            <w:tcBorders>
              <w:top w:val="single" w:sz="4" w:space="0" w:color="auto"/>
              <w:left w:val="single" w:sz="4" w:space="0" w:color="auto"/>
              <w:bottom w:val="single" w:sz="4" w:space="0" w:color="auto"/>
              <w:right w:val="single" w:sz="4" w:space="0" w:color="auto"/>
            </w:tcBorders>
          </w:tcPr>
          <w:p w14:paraId="40F997CD" w14:textId="286E75BC" w:rsidR="005F6437" w:rsidRPr="003C0CD7" w:rsidRDefault="005F6437" w:rsidP="00512A0F">
            <w:pPr>
              <w:pStyle w:val="Text1"/>
              <w:spacing w:before="60" w:after="60" w:line="254" w:lineRule="auto"/>
              <w:ind w:left="0" w:right="-25"/>
              <w:jc w:val="left"/>
              <w:rPr>
                <w:lang w:val="en-IE"/>
              </w:rPr>
            </w:pPr>
            <w:r w:rsidRPr="003C0CD7">
              <w:rPr>
                <w:lang w:val="en-IE"/>
              </w:rPr>
              <w:t>Actions reference (CRIS#/OPSYS#):</w:t>
            </w:r>
            <w:r w:rsidR="00A571EC">
              <w:rPr>
                <w:lang w:val="en-IE"/>
              </w:rPr>
              <w:t xml:space="preserve"> N/A</w:t>
            </w:r>
          </w:p>
        </w:tc>
      </w:tr>
      <w:tr w:rsidR="005F6437" w:rsidRPr="008704EA" w14:paraId="403A1AA5" w14:textId="77777777" w:rsidTr="00FD71E4">
        <w:trPr>
          <w:trHeight w:val="483"/>
        </w:trPr>
        <w:tc>
          <w:tcPr>
            <w:tcW w:w="10230" w:type="dxa"/>
            <w:gridSpan w:val="3"/>
            <w:tcBorders>
              <w:top w:val="single" w:sz="4" w:space="0" w:color="auto"/>
              <w:left w:val="single" w:sz="4" w:space="0" w:color="auto"/>
              <w:bottom w:val="single" w:sz="4" w:space="0" w:color="auto"/>
              <w:right w:val="single" w:sz="4" w:space="0" w:color="auto"/>
            </w:tcBorders>
          </w:tcPr>
          <w:p w14:paraId="5FF7CB2B" w14:textId="77777777" w:rsidR="005F6437" w:rsidRPr="00C85643" w:rsidRDefault="005F6437" w:rsidP="00FD71E4">
            <w:r w:rsidRPr="003C0CD7">
              <w:rPr>
                <w:b/>
                <w:bCs/>
                <w:color w:val="0D0D0D" w:themeColor="text1" w:themeTint="F2"/>
                <w:lang w:val="en-IE"/>
              </w:rPr>
              <w:t>Contract level</w:t>
            </w:r>
            <w:r>
              <w:rPr>
                <w:b/>
                <w:bCs/>
                <w:color w:val="0D0D0D" w:themeColor="text1" w:themeTint="F2"/>
                <w:lang w:val="en-IE"/>
              </w:rPr>
              <w:t xml:space="preserve"> </w:t>
            </w:r>
            <w:r w:rsidRPr="003775F2">
              <w:rPr>
                <w:bCs/>
                <w:color w:val="0D0D0D" w:themeColor="text1" w:themeTint="F2"/>
              </w:rPr>
              <w:t>(i.e. Grants, Contribution Agreements, any case in which foreseen individual legal commitments identified in the budget will have different log frames, even if part of the same Action Document)</w:t>
            </w:r>
          </w:p>
        </w:tc>
      </w:tr>
      <w:tr w:rsidR="005F6437" w:rsidRPr="008704EA" w14:paraId="1B620ABD" w14:textId="77777777" w:rsidTr="00FD71E4">
        <w:trPr>
          <w:trHeight w:val="466"/>
        </w:trPr>
        <w:tc>
          <w:tcPr>
            <w:tcW w:w="456" w:type="dxa"/>
            <w:tcBorders>
              <w:top w:val="single" w:sz="4" w:space="0" w:color="auto"/>
              <w:left w:val="single" w:sz="4" w:space="0" w:color="auto"/>
              <w:bottom w:val="single" w:sz="4" w:space="0" w:color="auto"/>
              <w:right w:val="single" w:sz="4" w:space="0" w:color="auto"/>
            </w:tcBorders>
          </w:tcPr>
          <w:p w14:paraId="101D069C" w14:textId="77777777" w:rsidR="005F6437" w:rsidRPr="003C0CD7" w:rsidRDefault="00E43421" w:rsidP="00FD71E4">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799881472"/>
                <w14:checkbox>
                  <w14:checked w14:val="0"/>
                  <w14:checkedState w14:val="2612" w14:font="MS Gothic"/>
                  <w14:uncheckedState w14:val="2610" w14:font="MS Gothic"/>
                </w14:checkbox>
              </w:sdtPr>
              <w:sdtContent>
                <w:r w:rsidR="005F6437" w:rsidRPr="003C0CD7">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449339E8" w14:textId="77777777" w:rsidR="005F6437" w:rsidRPr="003C0CD7" w:rsidRDefault="005F6437" w:rsidP="00FD71E4">
            <w:pPr>
              <w:pStyle w:val="Text1"/>
              <w:spacing w:before="60" w:after="60" w:line="254" w:lineRule="auto"/>
              <w:ind w:left="0" w:right="-25"/>
              <w:jc w:val="left"/>
              <w:rPr>
                <w:lang w:val="en-IE"/>
              </w:rPr>
            </w:pPr>
            <w:r w:rsidRPr="003C0CD7">
              <w:rPr>
                <w:lang w:val="en-IE"/>
              </w:rPr>
              <w:t>Single Contract 1</w:t>
            </w:r>
          </w:p>
        </w:tc>
        <w:tc>
          <w:tcPr>
            <w:tcW w:w="7579" w:type="dxa"/>
            <w:tcBorders>
              <w:top w:val="single" w:sz="4" w:space="0" w:color="auto"/>
              <w:left w:val="single" w:sz="4" w:space="0" w:color="auto"/>
              <w:bottom w:val="single" w:sz="4" w:space="0" w:color="auto"/>
              <w:right w:val="single" w:sz="4" w:space="0" w:color="auto"/>
            </w:tcBorders>
          </w:tcPr>
          <w:p w14:paraId="5F214BB3" w14:textId="23E17371" w:rsidR="005F6437" w:rsidRPr="003C0CD7" w:rsidRDefault="00A571EC" w:rsidP="00FD71E4">
            <w:pPr>
              <w:pStyle w:val="Text1"/>
              <w:spacing w:before="60" w:after="60" w:line="254" w:lineRule="auto"/>
              <w:ind w:left="0" w:right="-25"/>
              <w:jc w:val="left"/>
              <w:rPr>
                <w:lang w:val="en-IE"/>
              </w:rPr>
            </w:pPr>
            <w:r>
              <w:rPr>
                <w:lang w:val="en-IE"/>
              </w:rPr>
              <w:t>N/A</w:t>
            </w:r>
          </w:p>
        </w:tc>
      </w:tr>
      <w:tr w:rsidR="005F6437" w:rsidRPr="008704EA" w14:paraId="529A7DB2" w14:textId="77777777" w:rsidTr="00FD71E4">
        <w:trPr>
          <w:trHeight w:val="466"/>
        </w:trPr>
        <w:tc>
          <w:tcPr>
            <w:tcW w:w="10230" w:type="dxa"/>
            <w:gridSpan w:val="3"/>
            <w:tcBorders>
              <w:top w:val="single" w:sz="4" w:space="0" w:color="auto"/>
              <w:left w:val="single" w:sz="4" w:space="0" w:color="auto"/>
              <w:bottom w:val="single" w:sz="4" w:space="0" w:color="auto"/>
              <w:right w:val="single" w:sz="4" w:space="0" w:color="auto"/>
            </w:tcBorders>
          </w:tcPr>
          <w:p w14:paraId="1705BFC4" w14:textId="77777777" w:rsidR="005F6437" w:rsidRPr="00CA6227" w:rsidRDefault="005F6437" w:rsidP="00FD71E4">
            <w:r w:rsidRPr="00162DD2">
              <w:rPr>
                <w:b/>
                <w:bCs/>
              </w:rPr>
              <w:t xml:space="preserve">Group of contracts level </w:t>
            </w:r>
            <w:r w:rsidRPr="003775F2">
              <w:rPr>
                <w:bCs/>
              </w:rPr>
              <w:t>(i.e: i) series of programme estimates, ii) cases in which an Action Document foresees many foreseen individual legal commitments (for instance four contracts and one of them being a Technical Assistance) and two of them, a technical assistance contract and a contribution agreement, aim at the same objectives and complement each other, iii) follow up contracts that share the same log frame of the original contract)</w:t>
            </w:r>
          </w:p>
        </w:tc>
      </w:tr>
      <w:tr w:rsidR="005F6437" w:rsidRPr="008704EA" w14:paraId="799836C3" w14:textId="77777777" w:rsidTr="00970283">
        <w:trPr>
          <w:trHeight w:val="466"/>
        </w:trPr>
        <w:tc>
          <w:tcPr>
            <w:tcW w:w="456" w:type="dxa"/>
            <w:tcBorders>
              <w:top w:val="single" w:sz="4" w:space="0" w:color="auto"/>
              <w:left w:val="single" w:sz="4" w:space="0" w:color="auto"/>
              <w:bottom w:val="single" w:sz="4" w:space="0" w:color="auto"/>
              <w:right w:val="single" w:sz="4" w:space="0" w:color="auto"/>
            </w:tcBorders>
          </w:tcPr>
          <w:p w14:paraId="0BD4F80C" w14:textId="77777777" w:rsidR="005F6437" w:rsidRDefault="00E43421" w:rsidP="00FD71E4">
            <w:pPr>
              <w:pStyle w:val="Text1"/>
              <w:spacing w:before="60" w:after="60" w:line="254" w:lineRule="auto"/>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rPr>
                <w:id w:val="-357436702"/>
                <w14:checkbox>
                  <w14:checked w14:val="0"/>
                  <w14:checkedState w14:val="2612" w14:font="MS Gothic"/>
                  <w14:uncheckedState w14:val="2610" w14:font="MS Gothic"/>
                </w14:checkbox>
              </w:sdtPr>
              <w:sdtContent>
                <w:r w:rsidR="005F6437" w:rsidRPr="00AA3E2A">
                  <w:rPr>
                    <w:rFonts w:ascii="MS Gothic" w:eastAsia="MS Gothic" w:hAnsi="MS Gothic" w:cs="Segoe UI Symbol"/>
                    <w:color w:val="0D0D0D" w:themeColor="text1" w:themeTint="F2"/>
                  </w:rPr>
                  <w:t>☐</w:t>
                </w:r>
              </w:sdtContent>
            </w:sdt>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043CAACC" w14:textId="77777777" w:rsidR="005F6437" w:rsidRPr="00512A0F" w:rsidRDefault="005F6437" w:rsidP="00FD71E4">
            <w:pPr>
              <w:pStyle w:val="Text1"/>
              <w:spacing w:before="60" w:after="60" w:line="254" w:lineRule="auto"/>
              <w:ind w:left="0" w:right="-25"/>
              <w:jc w:val="left"/>
              <w:rPr>
                <w:lang w:val="en-IE"/>
              </w:rPr>
            </w:pPr>
            <w:r w:rsidRPr="00467840">
              <w:t>Group of contracts</w:t>
            </w:r>
          </w:p>
        </w:tc>
        <w:tc>
          <w:tcPr>
            <w:tcW w:w="7579" w:type="dxa"/>
            <w:tcBorders>
              <w:top w:val="single" w:sz="4" w:space="0" w:color="auto"/>
              <w:left w:val="single" w:sz="4" w:space="0" w:color="auto"/>
              <w:bottom w:val="single" w:sz="4" w:space="0" w:color="auto"/>
              <w:right w:val="single" w:sz="4" w:space="0" w:color="auto"/>
            </w:tcBorders>
            <w:shd w:val="clear" w:color="auto" w:fill="auto"/>
          </w:tcPr>
          <w:p w14:paraId="31C8A615" w14:textId="2D7E6C95" w:rsidR="005F6437" w:rsidRPr="00970283" w:rsidRDefault="00A571EC">
            <w:pPr>
              <w:pStyle w:val="Text1"/>
              <w:spacing w:before="60" w:after="60" w:line="254" w:lineRule="auto"/>
              <w:ind w:left="0" w:right="-25"/>
              <w:jc w:val="left"/>
              <w:rPr>
                <w:lang w:val="en-IE"/>
              </w:rPr>
            </w:pPr>
            <w:r w:rsidRPr="00970283">
              <w:t>N/A</w:t>
            </w:r>
          </w:p>
        </w:tc>
      </w:tr>
      <w:bookmarkEnd w:id="435"/>
    </w:tbl>
    <w:p w14:paraId="33DB0448" w14:textId="77777777" w:rsidR="00C43D26" w:rsidRPr="00C85643" w:rsidRDefault="00C43D26" w:rsidP="00467840">
      <w:pPr>
        <w:rPr>
          <w:b/>
          <w:sz w:val="22"/>
          <w:lang w:val="en-IE"/>
        </w:rPr>
      </w:pPr>
    </w:p>
    <w:sectPr w:rsidR="00C43D26" w:rsidRPr="00C85643" w:rsidSect="00970283">
      <w:pgSz w:w="11906" w:h="16838" w:code="9"/>
      <w:pgMar w:top="1134" w:right="1276" w:bottom="720"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F77D6" w14:textId="77777777" w:rsidR="00A15DDA" w:rsidRDefault="00A15DDA" w:rsidP="0022259C">
      <w:r>
        <w:separator/>
      </w:r>
    </w:p>
    <w:p w14:paraId="541536FE" w14:textId="77777777" w:rsidR="00A15DDA" w:rsidRDefault="00A15DDA"/>
    <w:p w14:paraId="4CEB85DD" w14:textId="77777777" w:rsidR="00A15DDA" w:rsidRDefault="00A15DDA"/>
  </w:endnote>
  <w:endnote w:type="continuationSeparator" w:id="0">
    <w:p w14:paraId="50A26BEC" w14:textId="77777777" w:rsidR="00A15DDA" w:rsidRDefault="00A15DDA" w:rsidP="0022259C">
      <w:r>
        <w:continuationSeparator/>
      </w:r>
    </w:p>
    <w:p w14:paraId="02132617" w14:textId="77777777" w:rsidR="00A15DDA" w:rsidRDefault="00A15DDA"/>
    <w:p w14:paraId="33A8F34F" w14:textId="77777777" w:rsidR="00A15DDA" w:rsidRDefault="00A15DDA"/>
  </w:endnote>
  <w:endnote w:type="continuationNotice" w:id="1">
    <w:p w14:paraId="327E71E2" w14:textId="77777777" w:rsidR="00A15DDA" w:rsidRDefault="00A15DDA"/>
    <w:p w14:paraId="37E3ADB7" w14:textId="77777777" w:rsidR="00A15DDA" w:rsidRDefault="00A15DDA"/>
    <w:p w14:paraId="348C0B51" w14:textId="77777777" w:rsidR="00A15DDA" w:rsidRDefault="00A15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0" w:usb2="00000012" w:usb3="00000000" w:csb0="0002009F" w:csb1="00000000"/>
  </w:font>
  <w:font w:name="EC Square Sans Pro Thin">
    <w:altName w:val="Calibri"/>
    <w:charset w:val="00"/>
    <w:family w:val="swiss"/>
    <w:pitch w:val="variable"/>
    <w:sig w:usb0="A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biSerifRegular">
    <w:altName w:val="Calibri"/>
    <w:charset w:val="CC"/>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472689"/>
      <w:docPartObj>
        <w:docPartGallery w:val="Page Numbers (Bottom of Page)"/>
        <w:docPartUnique/>
      </w:docPartObj>
    </w:sdtPr>
    <w:sdtEndPr>
      <w:rPr>
        <w:noProof/>
        <w:sz w:val="22"/>
      </w:rPr>
    </w:sdtEndPr>
    <w:sdtContent>
      <w:p w14:paraId="7AABFF9E" w14:textId="01D9D09C" w:rsidR="00E43421" w:rsidRPr="00A958DB" w:rsidRDefault="00E43421">
        <w:pPr>
          <w:pStyle w:val="Piedepgina"/>
          <w:jc w:val="right"/>
          <w:rPr>
            <w:sz w:val="22"/>
          </w:rPr>
        </w:pPr>
        <w:r w:rsidRPr="00A958DB">
          <w:rPr>
            <w:sz w:val="22"/>
          </w:rPr>
          <w:fldChar w:fldCharType="begin"/>
        </w:r>
        <w:r w:rsidRPr="00A958DB">
          <w:rPr>
            <w:sz w:val="22"/>
          </w:rPr>
          <w:instrText xml:space="preserve"> PAGE   \* MERGEFORMAT </w:instrText>
        </w:r>
        <w:r w:rsidRPr="00A958DB">
          <w:rPr>
            <w:sz w:val="22"/>
          </w:rPr>
          <w:fldChar w:fldCharType="separate"/>
        </w:r>
        <w:r w:rsidR="00D15EA5">
          <w:rPr>
            <w:noProof/>
            <w:sz w:val="22"/>
          </w:rPr>
          <w:t>29</w:t>
        </w:r>
        <w:r w:rsidRPr="00A958DB">
          <w:rPr>
            <w:noProof/>
            <w:sz w:val="22"/>
          </w:rPr>
          <w:fldChar w:fldCharType="end"/>
        </w:r>
      </w:p>
    </w:sdtContent>
  </w:sdt>
  <w:p w14:paraId="337A5266" w14:textId="77777777" w:rsidR="00E43421" w:rsidRDefault="00E434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23043" w14:textId="77777777" w:rsidR="00A15DDA" w:rsidRDefault="00A15DDA" w:rsidP="0022259C">
      <w:r>
        <w:separator/>
      </w:r>
    </w:p>
    <w:p w14:paraId="27323A1B" w14:textId="77777777" w:rsidR="00A15DDA" w:rsidRDefault="00A15DDA"/>
    <w:p w14:paraId="4CEBE763" w14:textId="77777777" w:rsidR="00A15DDA" w:rsidRDefault="00A15DDA"/>
  </w:footnote>
  <w:footnote w:type="continuationSeparator" w:id="0">
    <w:p w14:paraId="7A19C9EF" w14:textId="77777777" w:rsidR="00A15DDA" w:rsidRDefault="00A15DDA" w:rsidP="0022259C">
      <w:r>
        <w:continuationSeparator/>
      </w:r>
    </w:p>
    <w:p w14:paraId="4A64C5D7" w14:textId="77777777" w:rsidR="00A15DDA" w:rsidRDefault="00A15DDA"/>
    <w:p w14:paraId="1706B83A" w14:textId="77777777" w:rsidR="00A15DDA" w:rsidRDefault="00A15DDA"/>
  </w:footnote>
  <w:footnote w:type="continuationNotice" w:id="1">
    <w:p w14:paraId="73029FD4" w14:textId="77777777" w:rsidR="00A15DDA" w:rsidRDefault="00A15DDA"/>
    <w:p w14:paraId="46BA73FD" w14:textId="77777777" w:rsidR="00A15DDA" w:rsidRDefault="00A15DDA"/>
    <w:p w14:paraId="7A008101" w14:textId="77777777" w:rsidR="00A15DDA" w:rsidRDefault="00A15DDA"/>
  </w:footnote>
  <w:footnote w:id="2">
    <w:p w14:paraId="0FF2B164" w14:textId="77777777" w:rsidR="00E43421" w:rsidRPr="006B2E88" w:rsidRDefault="00E43421" w:rsidP="006B2E88">
      <w:pPr>
        <w:pStyle w:val="Style2"/>
        <w:shd w:val="clear" w:color="auto" w:fill="auto"/>
      </w:pPr>
      <w:r w:rsidRPr="006B2E88">
        <w:rPr>
          <w:rStyle w:val="Refdenotaalpie"/>
        </w:rPr>
        <w:footnoteRef/>
      </w:r>
      <w:r w:rsidRPr="006B2E88">
        <w:t xml:space="preserve"> Depending on the availability of OPSYS at the time of encoding, a provisional CRIS number may need to be provided.</w:t>
      </w:r>
    </w:p>
  </w:footnote>
  <w:footnote w:id="3">
    <w:p w14:paraId="52E10BD3" w14:textId="77777777" w:rsidR="00E43421" w:rsidRPr="006B2E88" w:rsidRDefault="00E43421" w:rsidP="006B2E88">
      <w:pPr>
        <w:pStyle w:val="Style2"/>
        <w:shd w:val="clear" w:color="auto" w:fill="auto"/>
      </w:pPr>
      <w:r w:rsidRPr="006B2E88">
        <w:rPr>
          <w:rStyle w:val="Refdenotaalpie"/>
        </w:rPr>
        <w:footnoteRef/>
      </w:r>
      <w:r w:rsidRPr="006B2E88">
        <w:t xml:space="preserve"> The share of the priority areas should be linked to the NEAR EIP sub-tags: Transport, Energy, Environment and climate resilience, Digital, Economic development (incl. private sector, trade, and macroeconomic support), Human Development (incl. human capital and youth), Health resilience, Migration and mobility, Agriculture, food security and rural development, Rule of law, governance and public administration reform, Other.</w:t>
      </w:r>
    </w:p>
  </w:footnote>
  <w:footnote w:id="4">
    <w:p w14:paraId="1E8F7C97" w14:textId="77777777" w:rsidR="00E43421" w:rsidRPr="00C85643" w:rsidRDefault="00E43421" w:rsidP="006B2E88">
      <w:pPr>
        <w:pStyle w:val="Style2"/>
        <w:shd w:val="clear" w:color="auto" w:fill="auto"/>
        <w:rPr>
          <w:lang w:val="en-IE"/>
        </w:rPr>
      </w:pPr>
      <w:r w:rsidRPr="006B2E88">
        <w:rPr>
          <w:rStyle w:val="Refdenotaalpie"/>
        </w:rPr>
        <w:footnoteRef/>
      </w:r>
      <w:r w:rsidRPr="006B2E88">
        <w:t xml:space="preserve"> </w:t>
      </w:r>
      <w:r w:rsidRPr="006B2E88">
        <w:rPr>
          <w:lang w:val="en-IE"/>
        </w:rPr>
        <w:t>Please specify if this action is going to be part of the Team Europe approach.</w:t>
      </w:r>
    </w:p>
  </w:footnote>
  <w:footnote w:id="5">
    <w:p w14:paraId="01AB65A8" w14:textId="77777777" w:rsidR="00E43421" w:rsidRPr="00B85F70" w:rsidRDefault="00E43421" w:rsidP="006B2E88">
      <w:pPr>
        <w:pStyle w:val="Style2"/>
        <w:shd w:val="clear" w:color="auto" w:fill="auto"/>
      </w:pPr>
      <w:r w:rsidRPr="00AE4250">
        <w:rPr>
          <w:rStyle w:val="Refdenotaalpie"/>
        </w:rPr>
        <w:footnoteRef/>
      </w:r>
      <w:r w:rsidRPr="00AE4250">
        <w:t xml:space="preserve"> Indicate the </w:t>
      </w:r>
      <w:r w:rsidRPr="00EC4FC6">
        <w:t>l</w:t>
      </w:r>
      <w:r w:rsidRPr="00970283">
        <w:t>ead window and thematic priority as identified in the relevant programming document. Please indicate for each thematic priority the approximate share (%) of the window budget it represents.</w:t>
      </w:r>
    </w:p>
  </w:footnote>
  <w:footnote w:id="6">
    <w:p w14:paraId="2767855F" w14:textId="77777777" w:rsidR="00E43421" w:rsidRPr="00001C85" w:rsidRDefault="00E43421" w:rsidP="006B2E88">
      <w:pPr>
        <w:pStyle w:val="Style2"/>
        <w:shd w:val="clear" w:color="auto" w:fill="auto"/>
      </w:pPr>
      <w:r w:rsidRPr="00AE4250">
        <w:rPr>
          <w:rStyle w:val="Refdenotaalpie"/>
        </w:rPr>
        <w:footnoteRef/>
      </w:r>
      <w:r w:rsidRPr="00AE4250">
        <w:t xml:space="preserve"> </w:t>
      </w:r>
      <w:bookmarkStart w:id="10" w:name="_Hlk115183886"/>
      <w:r w:rsidRPr="0034769F">
        <w:t>Development Assistance Committee</w:t>
      </w:r>
      <w:r>
        <w:t xml:space="preserve"> (</w:t>
      </w:r>
      <w:r w:rsidRPr="00AE4250">
        <w:t>DAC</w:t>
      </w:r>
      <w:r>
        <w:t>)</w:t>
      </w:r>
      <w:r w:rsidRPr="00AE4250">
        <w:t xml:space="preserve"> sectors (codes and descriptions) are indicated in the first and fourth columns of the tab ‘purpose codes’ in the following document: </w:t>
      </w:r>
      <w:hyperlink r:id="rId1" w:history="1">
        <w:r>
          <w:rPr>
            <w:rStyle w:val="Hipervnculo"/>
            <w:rFonts w:eastAsiaTheme="majorEastAsia"/>
          </w:rPr>
          <w:t>DAC and CRS code lists - OECD</w:t>
        </w:r>
      </w:hyperlink>
      <w:r>
        <w:t xml:space="preserve"> </w:t>
      </w:r>
      <w:bookmarkEnd w:id="10"/>
    </w:p>
  </w:footnote>
  <w:footnote w:id="7">
    <w:p w14:paraId="49744EDA" w14:textId="77777777" w:rsidR="00E43421" w:rsidRPr="00E16935" w:rsidRDefault="00E43421" w:rsidP="006B2E88">
      <w:pPr>
        <w:pStyle w:val="Style2"/>
        <w:shd w:val="clear" w:color="auto" w:fill="auto"/>
        <w:ind w:left="142" w:hanging="142"/>
      </w:pPr>
      <w:r w:rsidRPr="00AE4250">
        <w:rPr>
          <w:rFonts w:eastAsia="Times New Roman"/>
          <w:vertAlign w:val="superscript"/>
        </w:rPr>
        <w:footnoteRef/>
      </w:r>
      <w:r w:rsidRPr="00AE4250">
        <w:rPr>
          <w:rFonts w:eastAsia="Times New Roman"/>
        </w:rPr>
        <w:t xml:space="preserve"> For guidance, see </w:t>
      </w:r>
      <w:hyperlink r:id="rId2" w:history="1">
        <w:r>
          <w:rPr>
            <w:rStyle w:val="Hipervnculo"/>
          </w:rPr>
          <w:t>Development finance standards - OECD</w:t>
        </w:r>
      </w:hyperlink>
      <w:r w:rsidRPr="00AE4250">
        <w:rPr>
          <w:color w:val="1F497D"/>
        </w:rPr>
        <w:t xml:space="preserve"> </w:t>
      </w:r>
      <w:r>
        <w:rPr>
          <w:color w:val="1F497D"/>
        </w:rPr>
        <w:t>(</w:t>
      </w:r>
      <w:r w:rsidRPr="00B85F70">
        <w:t>G</w:t>
      </w:r>
      <w:r w:rsidRPr="00001C85">
        <w:t>o to “Data collection and resources for reporters”, select Addendum 2, annexes 18 (policy) and 19 (Rio) of the reporting directive.</w:t>
      </w:r>
      <w:r>
        <w:t xml:space="preserve"> </w:t>
      </w:r>
      <w:r w:rsidRPr="00001C85">
        <w:rPr>
          <w:rFonts w:eastAsia="Times New Roman"/>
        </w:rPr>
        <w:t>If an action is marked in the DAC form as contributing to one of the general policy objectives or to RIO principles as a principal objective or a significant objective, then this should be reflected in the logframe matrix (in the results chain and indicators).</w:t>
      </w:r>
    </w:p>
  </w:footnote>
  <w:footnote w:id="8">
    <w:p w14:paraId="0E01DAAA" w14:textId="77777777" w:rsidR="00E43421" w:rsidRPr="00B85F70" w:rsidRDefault="00E43421" w:rsidP="006B2E88">
      <w:pPr>
        <w:pStyle w:val="Textonotapie"/>
        <w:jc w:val="left"/>
      </w:pPr>
      <w:r w:rsidRPr="00AE4250">
        <w:rPr>
          <w:rStyle w:val="Refdenotaalpie"/>
        </w:rPr>
        <w:footnoteRef/>
      </w:r>
      <w:r w:rsidRPr="00AE4250">
        <w:t xml:space="preserve"> Please check the </w:t>
      </w:r>
      <w:hyperlink r:id="rId3" w:history="1">
        <w:r w:rsidRPr="00B85F70">
          <w:rPr>
            <w:rStyle w:val="Hipervnculo"/>
          </w:rPr>
          <w:t>Handbook on the OECD-DAC Nutrition Policy Marker</w:t>
        </w:r>
      </w:hyperlink>
      <w:r w:rsidRPr="00AE4250">
        <w:rPr>
          <w:rStyle w:val="Hipervnculo"/>
        </w:rPr>
        <w:t>.</w:t>
      </w:r>
    </w:p>
  </w:footnote>
  <w:footnote w:id="9">
    <w:p w14:paraId="782E5A96" w14:textId="77777777" w:rsidR="00E43421" w:rsidRPr="00001C85" w:rsidRDefault="00E43421" w:rsidP="006B2E88">
      <w:pPr>
        <w:pStyle w:val="Textocomentario"/>
        <w:ind w:left="142" w:hanging="142"/>
      </w:pPr>
      <w:r w:rsidRPr="00AE4250">
        <w:rPr>
          <w:rStyle w:val="Refdenotaalpie"/>
        </w:rPr>
        <w:footnoteRef/>
      </w:r>
      <w:r w:rsidRPr="00AE4250">
        <w:t xml:space="preserve"> T</w:t>
      </w:r>
      <w:r w:rsidRPr="00B85F70">
        <w:t xml:space="preserve">hese markers </w:t>
      </w:r>
      <w:r w:rsidRPr="006B2E88">
        <w:rPr>
          <w:rStyle w:val="Style1Char"/>
        </w:rPr>
        <w:t>have a different scope/rationale than the DAC codes. They are drawn from the level of budget allocation and emphasis</w:t>
      </w:r>
      <w:r w:rsidRPr="00467840">
        <w:rPr>
          <w:rStyle w:val="Style1Char"/>
        </w:rPr>
        <w:t>e the action in terms of main objective(s) selected. The definition of objectives and outputs in the description of the action should be in line with this section.</w:t>
      </w:r>
    </w:p>
  </w:footnote>
  <w:footnote w:id="10">
    <w:p w14:paraId="25561A7D" w14:textId="77777777" w:rsidR="00E43421" w:rsidRDefault="00E43421" w:rsidP="006B2E88">
      <w:pPr>
        <w:pStyle w:val="Style2"/>
        <w:shd w:val="clear" w:color="auto" w:fill="auto"/>
      </w:pPr>
      <w:r>
        <w:rPr>
          <w:rStyle w:val="Refdenotaalpie"/>
        </w:rPr>
        <w:footnoteRef/>
      </w:r>
      <w:r>
        <w:t xml:space="preserve"> When a marker is Significant or Principal Objective, please indicate the relevant tags by selecting “YES” or “NO”.</w:t>
      </w:r>
    </w:p>
  </w:footnote>
  <w:footnote w:id="11">
    <w:p w14:paraId="7342F9C2" w14:textId="77777777" w:rsidR="00E43421" w:rsidRPr="006B2E88" w:rsidRDefault="00E43421" w:rsidP="006B2E88">
      <w:pPr>
        <w:pStyle w:val="Style1"/>
        <w:shd w:val="clear" w:color="auto" w:fill="auto"/>
        <w:rPr>
          <w:lang w:val="en-IE"/>
        </w:rPr>
      </w:pPr>
      <w:r w:rsidRPr="006B2E88">
        <w:rPr>
          <w:rStyle w:val="Refdenotaalpie"/>
        </w:rPr>
        <w:footnoteRef/>
      </w:r>
      <w:r w:rsidRPr="006B2E88">
        <w:t xml:space="preserve"> Please address the digitalisation marker in line with the note ARES(2019)7611708, which provides internal guidelines on the criteria to be used to assess the degree of relevance of the marker for the action (not targeted, significant or main objective).</w:t>
      </w:r>
    </w:p>
  </w:footnote>
  <w:footnote w:id="12">
    <w:p w14:paraId="6B748B33" w14:textId="77777777" w:rsidR="00E43421" w:rsidRPr="006B2E88" w:rsidRDefault="00E43421" w:rsidP="006B2E88">
      <w:pPr>
        <w:pStyle w:val="Style1"/>
        <w:shd w:val="clear" w:color="auto" w:fill="auto"/>
      </w:pPr>
      <w:r w:rsidRPr="006B2E88">
        <w:rPr>
          <w:vertAlign w:val="superscript"/>
          <w:lang w:val="en-IE"/>
        </w:rPr>
        <w:footnoteRef/>
      </w:r>
      <w:r w:rsidRPr="006B2E88">
        <w:rPr>
          <w:lang w:val="en-IE"/>
        </w:rPr>
        <w:t xml:space="preserve"> </w:t>
      </w:r>
      <w:bookmarkStart w:id="11" w:name="_Hlk115174995"/>
      <w:r w:rsidRPr="006B2E88">
        <w:rPr>
          <w:lang w:val="en-IE"/>
        </w:rPr>
        <w:t>When a marker is “Significant Objective“ or “Principal Objective”, please indicate the relevant tags by selecting “YES” or “NO</w:t>
      </w:r>
      <w:r w:rsidRPr="006B2E88">
        <w:t>”</w:t>
      </w:r>
      <w:bookmarkEnd w:id="11"/>
      <w:r w:rsidRPr="006B2E88">
        <w:t>.</w:t>
      </w:r>
    </w:p>
  </w:footnote>
  <w:footnote w:id="13">
    <w:p w14:paraId="710D09F4" w14:textId="77777777" w:rsidR="00E43421" w:rsidRDefault="00E43421" w:rsidP="006B2E88">
      <w:pPr>
        <w:pStyle w:val="Style2"/>
        <w:shd w:val="clear" w:color="auto" w:fill="auto"/>
      </w:pPr>
      <w:r w:rsidRPr="006B2E88">
        <w:rPr>
          <w:rStyle w:val="Refdenotaalpie"/>
        </w:rPr>
        <w:footnoteRef/>
      </w:r>
      <w:r w:rsidRPr="006B2E88">
        <w:t xml:space="preserve"> Please address the migration marker in line with the note Ares(2021)6077013.</w:t>
      </w:r>
      <w:r>
        <w:t xml:space="preserve"> </w:t>
      </w:r>
    </w:p>
  </w:footnote>
  <w:footnote w:id="14">
    <w:p w14:paraId="7F1EBA1A" w14:textId="77777777" w:rsidR="00E43421" w:rsidRPr="00576F15" w:rsidRDefault="00E43421" w:rsidP="005245CF">
      <w:pPr>
        <w:pStyle w:val="Textonotapie"/>
        <w:rPr>
          <w:sz w:val="16"/>
          <w:szCs w:val="16"/>
        </w:rPr>
      </w:pPr>
      <w:r w:rsidRPr="00576F15">
        <w:rPr>
          <w:rStyle w:val="Refdenotaalpie"/>
          <w:sz w:val="16"/>
          <w:szCs w:val="16"/>
        </w:rPr>
        <w:footnoteRef/>
      </w:r>
      <w:r w:rsidRPr="00576F15">
        <w:rPr>
          <w:sz w:val="16"/>
          <w:szCs w:val="16"/>
        </w:rPr>
        <w:t xml:space="preserve"> Macedonian legislation recognised and criminalised domestic violence, initially in 2004, by adding a separate chapter for domestic violence in the Family Law and in the Criminal code as an aggravating circumstance for several criminal acts include bodily injury, serious bodily injury, coercion, unlawful deprivation of liberty, endangerment of security and murder. The first separate law on domestic violence was adopted in September 2014 –Law on Prevention, Protection and Combating Domestic Violence, which came into force on the 1st of January 2015.</w:t>
      </w:r>
    </w:p>
  </w:footnote>
  <w:footnote w:id="15">
    <w:p w14:paraId="2A1E629F" w14:textId="77777777" w:rsidR="00E43421" w:rsidRPr="00576F15" w:rsidRDefault="00E43421" w:rsidP="005245CF">
      <w:pPr>
        <w:pStyle w:val="Textonotapie"/>
        <w:rPr>
          <w:sz w:val="16"/>
          <w:szCs w:val="16"/>
        </w:rPr>
      </w:pPr>
      <w:r w:rsidRPr="00576F15">
        <w:rPr>
          <w:rStyle w:val="Refdenotaalpie"/>
          <w:sz w:val="16"/>
          <w:szCs w:val="16"/>
        </w:rPr>
        <w:footnoteRef/>
      </w:r>
      <w:r w:rsidRPr="00576F15">
        <w:rPr>
          <w:sz w:val="16"/>
          <w:szCs w:val="16"/>
        </w:rPr>
        <w:t xml:space="preserve"> </w:t>
      </w:r>
      <w:hyperlink r:id="rId4" w:history="1">
        <w:r w:rsidRPr="00576F15">
          <w:rPr>
            <w:rStyle w:val="Hipervnculo"/>
            <w:sz w:val="16"/>
            <w:szCs w:val="16"/>
          </w:rPr>
          <w:t>https://mtsp.gov.mk/content/pdf/2021/1a28a922f364401e94935d4d694b9d75.pdf</w:t>
        </w:r>
      </w:hyperlink>
      <w:r w:rsidRPr="00576F15">
        <w:rPr>
          <w:sz w:val="16"/>
          <w:szCs w:val="16"/>
        </w:rPr>
        <w:t xml:space="preserve"> </w:t>
      </w:r>
    </w:p>
  </w:footnote>
  <w:footnote w:id="16">
    <w:p w14:paraId="1F5440AD" w14:textId="48F2AD4A" w:rsidR="00E43421" w:rsidRPr="00576F15" w:rsidRDefault="00E43421" w:rsidP="00C03104">
      <w:pPr>
        <w:pStyle w:val="Textonotapie"/>
        <w:rPr>
          <w:sz w:val="16"/>
          <w:szCs w:val="16"/>
        </w:rPr>
      </w:pPr>
      <w:r w:rsidRPr="00576F15">
        <w:rPr>
          <w:rStyle w:val="Refdenotaalpie"/>
          <w:sz w:val="16"/>
          <w:szCs w:val="16"/>
        </w:rPr>
        <w:footnoteRef/>
      </w:r>
      <w:r w:rsidRPr="00576F15">
        <w:rPr>
          <w:sz w:val="16"/>
          <w:szCs w:val="16"/>
        </w:rPr>
        <w:t xml:space="preserve"> https://mtsp.gov.mk/content/pdf/2022/strategija_2022_2027.pdf</w:t>
      </w:r>
    </w:p>
  </w:footnote>
  <w:footnote w:id="17">
    <w:p w14:paraId="41337963" w14:textId="77777777" w:rsidR="00E43421" w:rsidRPr="00576F15" w:rsidRDefault="00E43421" w:rsidP="00D732F1">
      <w:pPr>
        <w:pStyle w:val="Textonotapie"/>
        <w:rPr>
          <w:sz w:val="16"/>
          <w:szCs w:val="16"/>
        </w:rPr>
      </w:pPr>
      <w:r w:rsidRPr="00576F15">
        <w:rPr>
          <w:rStyle w:val="Refdenotaalpie"/>
          <w:sz w:val="16"/>
          <w:szCs w:val="16"/>
        </w:rPr>
        <w:footnoteRef/>
      </w:r>
      <w:r w:rsidRPr="00576F15">
        <w:rPr>
          <w:sz w:val="16"/>
          <w:szCs w:val="16"/>
        </w:rPr>
        <w:t xml:space="preserve"> </w:t>
      </w:r>
      <w:hyperlink r:id="rId5" w:history="1">
        <w:r w:rsidRPr="00576F15">
          <w:rPr>
            <w:rStyle w:val="Hipervnculo"/>
            <w:sz w:val="16"/>
            <w:szCs w:val="16"/>
          </w:rPr>
          <w:t>https://www.slvesnik.com.mk/Issues/e19ef6763a344beeaddf059157344512.pdf</w:t>
        </w:r>
      </w:hyperlink>
    </w:p>
  </w:footnote>
  <w:footnote w:id="18">
    <w:p w14:paraId="2450CE7E" w14:textId="77777777" w:rsidR="00E43421" w:rsidRPr="00576F15" w:rsidRDefault="00E43421" w:rsidP="00576F15">
      <w:pPr>
        <w:pStyle w:val="NormalWeb"/>
        <w:shd w:val="clear" w:color="auto" w:fill="FFFFFF"/>
        <w:spacing w:before="0" w:beforeAutospacing="0" w:after="0" w:afterAutospacing="0"/>
        <w:rPr>
          <w:color w:val="000000"/>
          <w:sz w:val="16"/>
          <w:szCs w:val="16"/>
          <w:lang w:eastAsia="es-ES_tradnl"/>
        </w:rPr>
      </w:pPr>
      <w:r w:rsidRPr="00576F15">
        <w:rPr>
          <w:rStyle w:val="Refdenotaalpie"/>
          <w:sz w:val="16"/>
          <w:szCs w:val="16"/>
        </w:rPr>
        <w:footnoteRef/>
      </w:r>
      <w:r w:rsidRPr="00576F15">
        <w:rPr>
          <w:sz w:val="16"/>
          <w:szCs w:val="16"/>
        </w:rPr>
        <w:t xml:space="preserve"> </w:t>
      </w:r>
      <w:r w:rsidRPr="00576F15">
        <w:rPr>
          <w:color w:val="000000"/>
          <w:sz w:val="16"/>
          <w:szCs w:val="16"/>
          <w:lang w:eastAsia="es-ES_tradnl"/>
        </w:rPr>
        <w:t xml:space="preserve">According to figures from the Ministry of Labour and Social Policy, in the first six months of 2022 social services registered a total of 622 victims of gender-based violence and family violence, including 463 women, 116 men, and 83 children. </w:t>
      </w:r>
    </w:p>
    <w:p w14:paraId="4B0E6DF2" w14:textId="77777777" w:rsidR="00E43421" w:rsidRPr="00576F15" w:rsidRDefault="00E43421" w:rsidP="00576F15">
      <w:pPr>
        <w:pStyle w:val="Textonotapie"/>
        <w:rPr>
          <w:sz w:val="16"/>
          <w:szCs w:val="16"/>
        </w:rPr>
      </w:pPr>
    </w:p>
  </w:footnote>
  <w:footnote w:id="19">
    <w:p w14:paraId="55460103" w14:textId="77777777" w:rsidR="00E43421" w:rsidRPr="00576F15" w:rsidRDefault="00E43421" w:rsidP="00576F15">
      <w:pPr>
        <w:pStyle w:val="Textonotapie"/>
        <w:rPr>
          <w:sz w:val="16"/>
          <w:szCs w:val="16"/>
        </w:rPr>
      </w:pPr>
      <w:r w:rsidRPr="00576F15">
        <w:rPr>
          <w:rStyle w:val="Refdenotaalpie"/>
          <w:sz w:val="16"/>
          <w:szCs w:val="16"/>
        </w:rPr>
        <w:footnoteRef/>
      </w:r>
      <w:r w:rsidRPr="00576F15">
        <w:rPr>
          <w:sz w:val="16"/>
          <w:szCs w:val="16"/>
        </w:rPr>
        <w:t xml:space="preserve"> https://www.slvesnik.com.mk/Issues/606043d405e847ee92c7eaed5c8bd389.pdf</w:t>
      </w:r>
    </w:p>
  </w:footnote>
  <w:footnote w:id="20">
    <w:p w14:paraId="73E1DC30" w14:textId="77777777" w:rsidR="00E43421" w:rsidRDefault="00E43421" w:rsidP="00DF281A">
      <w:pPr>
        <w:pStyle w:val="Textonotapie"/>
      </w:pPr>
      <w:r>
        <w:rPr>
          <w:rStyle w:val="Refdenotaalpie"/>
          <w:sz w:val="16"/>
          <w:szCs w:val="16"/>
        </w:rPr>
        <w:footnoteRef/>
      </w:r>
      <w:r w:rsidRPr="007360E7">
        <w:rPr>
          <w:sz w:val="16"/>
          <w:szCs w:val="16"/>
        </w:rPr>
        <w:t xml:space="preserve"> https://www.osce.org/files/f/documents/3/5/419264_1.pdf</w:t>
      </w:r>
    </w:p>
  </w:footnote>
  <w:footnote w:id="21">
    <w:p w14:paraId="68E5EE5D" w14:textId="77777777" w:rsidR="00E43421" w:rsidRDefault="00E43421" w:rsidP="00DF281A">
      <w:pPr>
        <w:pStyle w:val="Textonotapie"/>
      </w:pPr>
      <w:r>
        <w:rPr>
          <w:rStyle w:val="Refdenotaalpie"/>
          <w:sz w:val="16"/>
          <w:szCs w:val="16"/>
        </w:rPr>
        <w:footnoteRef/>
      </w:r>
      <w:r w:rsidRPr="007360E7">
        <w:rPr>
          <w:sz w:val="16"/>
          <w:szCs w:val="16"/>
        </w:rPr>
        <w:t xml:space="preserve"> https://eca.unwomen.org/en/digital-library/publications/2022/04/2021-public-perceptions-of-gender-equality-and-violence-against-women</w:t>
      </w:r>
    </w:p>
  </w:footnote>
  <w:footnote w:id="22">
    <w:p w14:paraId="304BA8A8" w14:textId="77777777" w:rsidR="00E43421" w:rsidRPr="004C7252" w:rsidRDefault="00E43421" w:rsidP="00DF281A">
      <w:pPr>
        <w:pStyle w:val="Textonotapie"/>
        <w:rPr>
          <w:sz w:val="16"/>
          <w:szCs w:val="16"/>
        </w:rPr>
      </w:pPr>
      <w:r w:rsidRPr="004C7252">
        <w:rPr>
          <w:rStyle w:val="Refdenotaalpie"/>
          <w:sz w:val="16"/>
          <w:szCs w:val="16"/>
        </w:rPr>
        <w:footnoteRef/>
      </w:r>
      <w:r w:rsidRPr="004C7252">
        <w:rPr>
          <w:sz w:val="16"/>
          <w:szCs w:val="16"/>
        </w:rPr>
        <w:t xml:space="preserve"> </w:t>
      </w:r>
      <w:r w:rsidRPr="004C7252">
        <w:rPr>
          <w:sz w:val="16"/>
          <w:szCs w:val="16"/>
          <w:lang w:val="en-US"/>
        </w:rPr>
        <w:t>Source of data: Administrative data obtained by MLSP based on information gathered from 30 Social Work Centers. Due to type of violence, the most present were physic and physical violence, and less present were economic and sexual violence.</w:t>
      </w:r>
    </w:p>
  </w:footnote>
  <w:footnote w:id="23">
    <w:p w14:paraId="5621D2BA" w14:textId="77777777" w:rsidR="00E43421" w:rsidRPr="004C7252" w:rsidRDefault="00E43421" w:rsidP="004C7252">
      <w:pPr>
        <w:pStyle w:val="Textonotapie"/>
        <w:rPr>
          <w:sz w:val="16"/>
          <w:szCs w:val="16"/>
        </w:rPr>
      </w:pPr>
      <w:r w:rsidRPr="004C7252">
        <w:rPr>
          <w:rStyle w:val="Refdenotaalpie"/>
          <w:sz w:val="16"/>
          <w:szCs w:val="16"/>
        </w:rPr>
        <w:footnoteRef/>
      </w:r>
      <w:r w:rsidRPr="004C7252">
        <w:rPr>
          <w:sz w:val="16"/>
          <w:szCs w:val="16"/>
        </w:rPr>
        <w:t xml:space="preserve"> Another EU-project will support the Ministry of Labour and Social Policy to establish a monitoring system of the quality of the social services and upgrade the methodological basis for the state financing of the public services in the social area.</w:t>
      </w:r>
    </w:p>
    <w:p w14:paraId="1E96FD4C" w14:textId="6A9E07AE" w:rsidR="00E43421" w:rsidRPr="004C7252" w:rsidRDefault="00E43421">
      <w:pPr>
        <w:pStyle w:val="Textonotapie"/>
        <w:rPr>
          <w:sz w:val="16"/>
          <w:szCs w:val="16"/>
        </w:rPr>
      </w:pPr>
    </w:p>
  </w:footnote>
  <w:footnote w:id="24">
    <w:p w14:paraId="53B6957D" w14:textId="77777777" w:rsidR="00E43421" w:rsidRPr="00240001" w:rsidRDefault="00E43421" w:rsidP="006D6761">
      <w:pPr>
        <w:pStyle w:val="Textonotapie"/>
        <w:rPr>
          <w:sz w:val="18"/>
          <w:szCs w:val="18"/>
          <w:lang w:val="en-US"/>
        </w:rPr>
      </w:pPr>
      <w:r w:rsidRPr="00F04700">
        <w:rPr>
          <w:rStyle w:val="Refdenotaalpie"/>
          <w:sz w:val="16"/>
          <w:szCs w:val="16"/>
        </w:rPr>
        <w:footnoteRef/>
      </w:r>
      <w:r w:rsidRPr="00F04700">
        <w:rPr>
          <w:sz w:val="16"/>
          <w:szCs w:val="16"/>
        </w:rPr>
        <w:t xml:space="preserve"> Inclusion of children and youth with disabilities</w:t>
      </w:r>
      <w:r w:rsidRPr="00A05E5D">
        <w:rPr>
          <w:sz w:val="16"/>
          <w:szCs w:val="16"/>
        </w:rPr>
        <w:t xml:space="preserve"> in mainstream secondary education. Research Report. Ombudsman, Republic of North Macedonia.</w:t>
      </w:r>
    </w:p>
  </w:footnote>
  <w:footnote w:id="25">
    <w:p w14:paraId="0E08E26D" w14:textId="4F68306E" w:rsidR="00E43421" w:rsidRPr="008B2CF3" w:rsidRDefault="00E43421" w:rsidP="008B2CF3">
      <w:pPr>
        <w:pStyle w:val="Textonotapie"/>
        <w:rPr>
          <w:sz w:val="16"/>
          <w:szCs w:val="16"/>
        </w:rPr>
      </w:pPr>
      <w:r w:rsidRPr="008B2CF3">
        <w:rPr>
          <w:rStyle w:val="Refdenotaalpie"/>
          <w:sz w:val="16"/>
          <w:szCs w:val="16"/>
        </w:rPr>
        <w:footnoteRef/>
      </w:r>
      <w:r w:rsidRPr="008B2CF3">
        <w:rPr>
          <w:sz w:val="16"/>
          <w:szCs w:val="16"/>
        </w:rPr>
        <w:t xml:space="preserve"> North Macedonia Roma COVID-19 Emergency Response and Social Inclusion Project", November 2020</w:t>
      </w:r>
      <w:r>
        <w:rPr>
          <w:sz w:val="16"/>
          <w:szCs w:val="16"/>
        </w:rPr>
        <w:t>.</w:t>
      </w:r>
    </w:p>
  </w:footnote>
  <w:footnote w:id="26">
    <w:p w14:paraId="75AC6C85" w14:textId="77777777" w:rsidR="00E43421" w:rsidRDefault="00E43421" w:rsidP="00C75BFF">
      <w:pPr>
        <w:pStyle w:val="Textonotapie"/>
      </w:pPr>
      <w:r>
        <w:rPr>
          <w:rStyle w:val="Refdenotaalpie"/>
          <w:sz w:val="16"/>
          <w:szCs w:val="16"/>
        </w:rPr>
        <w:footnoteRef/>
      </w:r>
      <w:r w:rsidRPr="00A05E5D">
        <w:rPr>
          <w:sz w:val="16"/>
          <w:szCs w:val="16"/>
        </w:rPr>
        <w:t xml:space="preserve"> Principal objective / significant objective/ not targeted.</w:t>
      </w:r>
    </w:p>
  </w:footnote>
  <w:footnote w:id="27">
    <w:p w14:paraId="6C2CE890" w14:textId="77777777" w:rsidR="00E43421" w:rsidRPr="00306115" w:rsidRDefault="00E43421" w:rsidP="00D03D2C">
      <w:pPr>
        <w:pStyle w:val="Textonotapie"/>
        <w:rPr>
          <w:sz w:val="16"/>
          <w:szCs w:val="16"/>
        </w:rPr>
      </w:pPr>
      <w:r w:rsidRPr="00306115">
        <w:rPr>
          <w:rStyle w:val="Refdenotaalpie"/>
          <w:sz w:val="16"/>
          <w:szCs w:val="16"/>
        </w:rPr>
        <w:footnoteRef/>
      </w:r>
      <w:r w:rsidRPr="00306115">
        <w:rPr>
          <w:sz w:val="16"/>
          <w:szCs w:val="16"/>
        </w:rPr>
        <w:t xml:space="preserve"> </w:t>
      </w:r>
      <w:hyperlink r:id="rId6" w:history="1">
        <w:r w:rsidRPr="00306115">
          <w:rPr>
            <w:rStyle w:val="Hipervnculo"/>
            <w:sz w:val="16"/>
            <w:szCs w:val="16"/>
          </w:rPr>
          <w:t>https://ec.europa.eu/eurostat/databrowser/view/tespm010/default/table?lang=en</w:t>
        </w:r>
      </w:hyperlink>
      <w:r w:rsidRPr="00306115">
        <w:rPr>
          <w:sz w:val="16"/>
          <w:szCs w:val="16"/>
        </w:rPr>
        <w:t xml:space="preserve"> </w:t>
      </w:r>
    </w:p>
  </w:footnote>
  <w:footnote w:id="28">
    <w:p w14:paraId="11E2C8D0" w14:textId="77777777" w:rsidR="00E43421" w:rsidRPr="00306115" w:rsidRDefault="00E43421" w:rsidP="00D03D2C">
      <w:pPr>
        <w:pStyle w:val="Textonotapie"/>
        <w:rPr>
          <w:sz w:val="16"/>
          <w:szCs w:val="16"/>
        </w:rPr>
      </w:pPr>
      <w:r w:rsidRPr="00306115">
        <w:rPr>
          <w:rStyle w:val="Refdenotaalpie"/>
          <w:sz w:val="16"/>
          <w:szCs w:val="16"/>
        </w:rPr>
        <w:footnoteRef/>
      </w:r>
      <w:r w:rsidRPr="00306115">
        <w:rPr>
          <w:sz w:val="16"/>
          <w:szCs w:val="16"/>
        </w:rPr>
        <w:t xml:space="preserve"> </w:t>
      </w:r>
      <w:hyperlink r:id="rId7" w:history="1">
        <w:r w:rsidRPr="00306115">
          <w:rPr>
            <w:rStyle w:val="Hipervnculo"/>
            <w:sz w:val="16"/>
            <w:szCs w:val="16"/>
          </w:rPr>
          <w:t>https://eige.europa.eu/north-macedonia</w:t>
        </w:r>
      </w:hyperlink>
      <w:r w:rsidRPr="00306115">
        <w:rPr>
          <w:sz w:val="16"/>
          <w:szCs w:val="16"/>
        </w:rPr>
        <w:t xml:space="preserve"> </w:t>
      </w:r>
    </w:p>
  </w:footnote>
  <w:footnote w:id="29">
    <w:p w14:paraId="443E87A3" w14:textId="77777777" w:rsidR="00E43421" w:rsidRPr="00306115" w:rsidRDefault="00E43421" w:rsidP="00D03D2C">
      <w:pPr>
        <w:pStyle w:val="Textonotapie"/>
        <w:rPr>
          <w:sz w:val="16"/>
          <w:szCs w:val="16"/>
        </w:rPr>
      </w:pPr>
      <w:r w:rsidRPr="00306115">
        <w:rPr>
          <w:rStyle w:val="Refdenotaalpie"/>
          <w:sz w:val="16"/>
          <w:szCs w:val="16"/>
        </w:rPr>
        <w:footnoteRef/>
      </w:r>
      <w:r w:rsidRPr="00306115">
        <w:rPr>
          <w:sz w:val="16"/>
          <w:szCs w:val="16"/>
        </w:rPr>
        <w:t xml:space="preserve"> </w:t>
      </w:r>
      <w:hyperlink r:id="rId8" w:history="1">
        <w:r w:rsidRPr="00306115">
          <w:rPr>
            <w:rStyle w:val="Hipervnculo"/>
            <w:sz w:val="16"/>
            <w:szCs w:val="16"/>
          </w:rPr>
          <w:t>http://hdr.undp.org/en/composite/HDI</w:t>
        </w:r>
      </w:hyperlink>
    </w:p>
  </w:footnote>
  <w:footnote w:id="30">
    <w:p w14:paraId="0B98C2B8" w14:textId="58EBD584" w:rsidR="00E43421" w:rsidRPr="00D03D2C" w:rsidRDefault="00E43421" w:rsidP="00D03D2C">
      <w:pPr>
        <w:pStyle w:val="Textonotapie"/>
        <w:rPr>
          <w:sz w:val="16"/>
          <w:szCs w:val="16"/>
        </w:rPr>
      </w:pPr>
      <w:r w:rsidRPr="00D03D2C">
        <w:rPr>
          <w:rStyle w:val="Refdenotaalpie"/>
          <w:sz w:val="16"/>
          <w:szCs w:val="16"/>
        </w:rPr>
        <w:footnoteRef/>
      </w:r>
      <w:r w:rsidRPr="00D03D2C">
        <w:rPr>
          <w:sz w:val="16"/>
          <w:szCs w:val="16"/>
        </w:rPr>
        <w:t xml:space="preserve"> </w:t>
      </w:r>
      <w:bookmarkStart w:id="203" w:name="_Hlk127966224"/>
      <w:r w:rsidRPr="00D03D2C">
        <w:rPr>
          <w:sz w:val="16"/>
          <w:szCs w:val="16"/>
          <w:shd w:val="clear" w:color="auto" w:fill="FFFFFF"/>
        </w:rPr>
        <w:t>Results from the HBSC study 2022 will be published in 2Q 2023</w:t>
      </w:r>
      <w:bookmarkEnd w:id="203"/>
    </w:p>
  </w:footnote>
  <w:footnote w:id="31">
    <w:p w14:paraId="00DEEB39" w14:textId="20D2EABA" w:rsidR="00E43421" w:rsidRPr="00B02F4B" w:rsidRDefault="00E43421">
      <w:pPr>
        <w:pStyle w:val="Textonotapie"/>
        <w:rPr>
          <w:sz w:val="16"/>
          <w:szCs w:val="16"/>
        </w:rPr>
      </w:pPr>
      <w:r w:rsidRPr="00B02F4B">
        <w:rPr>
          <w:rStyle w:val="Refdenotaalpie"/>
          <w:sz w:val="16"/>
          <w:szCs w:val="16"/>
        </w:rPr>
        <w:footnoteRef/>
      </w:r>
      <w:r w:rsidRPr="00B02F4B">
        <w:rPr>
          <w:sz w:val="16"/>
          <w:szCs w:val="16"/>
        </w:rPr>
        <w:t xml:space="preserve"> https://hbsc.org/</w:t>
      </w:r>
    </w:p>
  </w:footnote>
  <w:footnote w:id="32">
    <w:p w14:paraId="3C6195BB" w14:textId="77777777" w:rsidR="00E43421" w:rsidRPr="00306115" w:rsidRDefault="00E43421" w:rsidP="00306115">
      <w:pPr>
        <w:pStyle w:val="Textonotapie"/>
        <w:rPr>
          <w:sz w:val="16"/>
          <w:szCs w:val="16"/>
          <w:lang w:val="en-US"/>
        </w:rPr>
      </w:pPr>
      <w:r w:rsidRPr="00306115">
        <w:rPr>
          <w:rStyle w:val="Refdenotaalpie"/>
          <w:sz w:val="16"/>
          <w:szCs w:val="16"/>
        </w:rPr>
        <w:footnoteRef/>
      </w:r>
      <w:r w:rsidRPr="00306115">
        <w:rPr>
          <w:rStyle w:val="Refdenotaalpie"/>
          <w:sz w:val="16"/>
          <w:szCs w:val="16"/>
        </w:rPr>
        <w:t xml:space="preserve"> </w:t>
      </w:r>
      <w:r w:rsidRPr="00306115">
        <w:rPr>
          <w:sz w:val="16"/>
          <w:szCs w:val="16"/>
        </w:rPr>
        <w:t>Administrative data from the Department for Primary Education and Department for Secondary Education in MoES</w:t>
      </w:r>
    </w:p>
  </w:footnote>
  <w:footnote w:id="33">
    <w:p w14:paraId="0AFC4ED1" w14:textId="77777777" w:rsidR="00E43421" w:rsidRPr="00306115" w:rsidRDefault="00E43421" w:rsidP="00D03D2C">
      <w:pPr>
        <w:pStyle w:val="Textonotapie"/>
        <w:rPr>
          <w:sz w:val="16"/>
          <w:szCs w:val="16"/>
        </w:rPr>
      </w:pPr>
      <w:r w:rsidRPr="00306115">
        <w:rPr>
          <w:sz w:val="16"/>
          <w:szCs w:val="16"/>
          <w:shd w:val="clear" w:color="auto" w:fill="FFFFFF"/>
        </w:rPr>
        <w:footnoteRef/>
      </w:r>
      <w:r w:rsidRPr="00306115">
        <w:rPr>
          <w:sz w:val="16"/>
          <w:szCs w:val="16"/>
          <w:shd w:val="clear" w:color="auto" w:fill="FFFFFF"/>
        </w:rPr>
        <w:t xml:space="preserve"> It is calculated dividing the number of Roma settlements with urban plan by the total number of Roma settlements. </w:t>
      </w:r>
    </w:p>
  </w:footnote>
  <w:footnote w:id="34">
    <w:p w14:paraId="5C60AE75" w14:textId="77777777" w:rsidR="00E43421" w:rsidRPr="007F3658" w:rsidRDefault="00E43421">
      <w:pPr>
        <w:pStyle w:val="Textonotapie"/>
        <w:rPr>
          <w:sz w:val="16"/>
          <w:szCs w:val="16"/>
        </w:rPr>
      </w:pPr>
      <w:r w:rsidRPr="007F3658">
        <w:rPr>
          <w:rStyle w:val="Refdenotaalpie"/>
          <w:sz w:val="16"/>
          <w:szCs w:val="16"/>
        </w:rPr>
        <w:footnoteRef/>
      </w:r>
      <w:r w:rsidRPr="007F3658">
        <w:rPr>
          <w:sz w:val="16"/>
          <w:szCs w:val="16"/>
        </w:rPr>
        <w:t xml:space="preserve"> Roma settlements will be selected based on housing feasibility study prepared for assessment of social housing in Roma communities. So far, housing feasibility study have been prepared for municipalities of Kumanovo and Stio (https://www.rcc.int/romaintegration2020/download/docs/Housing%20Feasibility%20Study%20for%20Roma%20settlements%20in%20the%20cities%20Stip%20and%20Kumanovo.pdf/786c89469a5d951f73887f50c7dea12e.pdf), in which certain percentage of Roma population live. In total 6 settlements had been encompassed with the studies (3 settlements per each municipality). The housing feasibility study was prepared with the support of RCC – Roma Integration 2020. It is expected housing feasibility studies to be prepared for Roma settlements in other municipalities in forthcoming period.</w:t>
      </w:r>
    </w:p>
  </w:footnote>
  <w:footnote w:id="35">
    <w:p w14:paraId="5CAB0C6B" w14:textId="77777777" w:rsidR="00E43421" w:rsidRDefault="00E43421" w:rsidP="002E361E">
      <w:pPr>
        <w:pStyle w:val="Textonotapie"/>
      </w:pPr>
      <w:r w:rsidRPr="002A094A">
        <w:rPr>
          <w:rStyle w:val="Refdenotaalpie"/>
          <w:sz w:val="16"/>
          <w:szCs w:val="16"/>
        </w:rPr>
        <w:footnoteRef/>
      </w:r>
      <w:r w:rsidRPr="002A094A">
        <w:rPr>
          <w:sz w:val="16"/>
          <w:szCs w:val="16"/>
        </w:rPr>
        <w:t xml:space="preserve"> Number of legalized houses of Roma families will be encompassed in selected municipalities in which urban planning will be done</w:t>
      </w:r>
      <w:r w:rsidRPr="002A094A">
        <w:rPr>
          <w:sz w:val="16"/>
          <w:szCs w:val="16"/>
          <w:lang w:val="mk-MK"/>
        </w:rPr>
        <w:t xml:space="preserve"> </w:t>
      </w:r>
      <w:r w:rsidRPr="002A094A">
        <w:rPr>
          <w:sz w:val="16"/>
          <w:szCs w:val="16"/>
          <w:lang w:val="en-US"/>
        </w:rPr>
        <w:t>previously</w:t>
      </w:r>
      <w:r w:rsidRPr="002A094A">
        <w:rPr>
          <w:sz w:val="16"/>
          <w:szCs w:val="16"/>
        </w:rPr>
        <w:t>.</w:t>
      </w:r>
      <w:r>
        <w:t xml:space="preserve"> </w:t>
      </w:r>
    </w:p>
  </w:footnote>
  <w:footnote w:id="36">
    <w:p w14:paraId="24372EDB" w14:textId="77777777" w:rsidR="00E43421" w:rsidRPr="00AE4250" w:rsidRDefault="00E43421" w:rsidP="00635A0A">
      <w:pPr>
        <w:pStyle w:val="Textonotapie"/>
        <w:shd w:val="clear" w:color="auto" w:fill="B4C6E7" w:themeFill="accent5" w:themeFillTint="66"/>
      </w:pPr>
      <w:r w:rsidRPr="00001C85">
        <w:rPr>
          <w:rStyle w:val="Refdenotaalpie"/>
        </w:rPr>
        <w:footnoteRef/>
      </w:r>
      <w:r w:rsidRPr="00001C85">
        <w:t xml:space="preserve"> This section is to be completed by the EU Office/</w:t>
      </w:r>
      <w:r w:rsidRPr="00AE4250">
        <w:t>Delegation.</w:t>
      </w:r>
    </w:p>
  </w:footnote>
  <w:footnote w:id="37">
    <w:p w14:paraId="09890AAB" w14:textId="77777777" w:rsidR="00E43421" w:rsidRPr="00001C85" w:rsidRDefault="00E43421" w:rsidP="001B258E">
      <w:pPr>
        <w:pStyle w:val="Textonotapie"/>
        <w:shd w:val="clear" w:color="auto" w:fill="B4C6E7" w:themeFill="accent5" w:themeFillTint="66"/>
        <w:ind w:left="284" w:hanging="284"/>
      </w:pPr>
      <w:r w:rsidRPr="00001C85">
        <w:rPr>
          <w:rStyle w:val="Refdenotaalpie"/>
        </w:rPr>
        <w:footnoteRef/>
      </w:r>
      <w:r w:rsidRPr="00001C85">
        <w:t xml:space="preserve"> </w:t>
      </w:r>
      <w:r>
        <w:tab/>
      </w:r>
      <w:hyperlink r:id="rId9" w:anchor="/main" w:history="1">
        <w:r w:rsidRPr="001B258E">
          <w:rPr>
            <w:rStyle w:val="Hipervnculo"/>
          </w:rPr>
          <w:t>EU Sanctions Map</w:t>
        </w:r>
      </w:hyperlink>
      <w:r>
        <w:t xml:space="preserve">. </w:t>
      </w:r>
      <w:r w:rsidRPr="00001C85">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footnote>
  <w:footnote w:id="38">
    <w:p w14:paraId="21A1636A" w14:textId="77777777" w:rsidR="00E43421" w:rsidRDefault="00E43421" w:rsidP="002C42E7">
      <w:pPr>
        <w:pStyle w:val="Textonotapie"/>
        <w:pBdr>
          <w:top w:val="nil"/>
          <w:left w:val="nil"/>
          <w:bottom w:val="nil"/>
          <w:right w:val="nil"/>
          <w:between w:val="nil"/>
        </w:pBdr>
        <w:shd w:val="solid" w:color="B4C6E7" w:fill="auto"/>
      </w:pPr>
      <w:r>
        <w:rPr>
          <w:rStyle w:val="Refdenotaalpie"/>
        </w:rPr>
        <w:footnoteRef/>
      </w:r>
      <w:r>
        <w:t xml:space="preserve"> Consider that contracts where no financing agreement is concluded, contingencies have to be covered by individual and legal commitments by 31 December of N+1.</w:t>
      </w:r>
    </w:p>
  </w:footnote>
  <w:footnote w:id="39">
    <w:p w14:paraId="47A8CC5A" w14:textId="77777777" w:rsidR="00E43421" w:rsidRPr="0089490C" w:rsidRDefault="00E43421" w:rsidP="008F4E2E">
      <w:pPr>
        <w:pStyle w:val="Style2"/>
      </w:pPr>
      <w:r w:rsidRPr="0089490C">
        <w:rPr>
          <w:rStyle w:val="Refdenotaalpie"/>
        </w:rPr>
        <w:footnoteRef/>
      </w:r>
      <w:r w:rsidRPr="0089490C">
        <w:t xml:space="preserve"> See </w:t>
      </w:r>
      <w:r w:rsidRPr="0089490C">
        <w:rPr>
          <w:rFonts w:cs="Calibri"/>
        </w:rPr>
        <w:t xml:space="preserve">best </w:t>
      </w:r>
      <w:hyperlink r:id="rId10" w:history="1">
        <w:r w:rsidRPr="0089490C">
          <w:rPr>
            <w:rStyle w:val="Hipervnculo"/>
            <w:rFonts w:cs="Calibri"/>
          </w:rPr>
          <w:t>practice of evaluation dissemination</w:t>
        </w:r>
      </w:hyperlink>
      <w:r w:rsidRPr="0089490C">
        <w:rPr>
          <w:rFonts w:cs="Calibri"/>
        </w:rPr>
        <w:t xml:space="preserve"> </w:t>
      </w:r>
    </w:p>
  </w:footnote>
  <w:footnote w:id="40">
    <w:p w14:paraId="31B47CF4" w14:textId="77777777" w:rsidR="00E43421" w:rsidRPr="0089490C" w:rsidRDefault="00E43421" w:rsidP="005F6437">
      <w:pPr>
        <w:pStyle w:val="Style2"/>
      </w:pPr>
      <w:r w:rsidRPr="0089490C">
        <w:rPr>
          <w:rStyle w:val="Refdenotaalpie"/>
        </w:rPr>
        <w:footnoteRef/>
      </w:r>
      <w:r w:rsidRPr="0089490C">
        <w:t xml:space="preserve"> For the purpose of consistency between terms in OPSYS, DG INTPA, DG NEAR and FPI have harmonised 5 key terms, including ‘Action’ and ‘Intervention’ where an ‘Action’ is the content (or part of the content) of a Commission </w:t>
      </w:r>
      <w:r>
        <w:t>f</w:t>
      </w:r>
      <w:r w:rsidRPr="0089490C">
        <w:t xml:space="preserve">inancing Decision and ‘Intervention’ is a coherent set of activities and results which constitutes an effective level for the operational follow-up by the EC of its operations on the ground. See more on the </w:t>
      </w:r>
      <w:hyperlink r:id="rId11" w:history="1">
        <w:r w:rsidRPr="0089490C">
          <w:rPr>
            <w:rStyle w:val="Hipervnculo"/>
          </w:rPr>
          <w:t>concept of intervention</w:t>
        </w:r>
      </w:hyperlink>
      <w:r>
        <w:rPr>
          <w:rStyle w:val="Hipervnculo"/>
        </w:rPr>
        <w:t xml:space="preserve"> </w:t>
      </w:r>
      <w:r w:rsidRPr="0073170D">
        <w:rPr>
          <w:rStyle w:val="Hipervnculo"/>
          <w:i/>
          <w:lang w:val="en-IE"/>
        </w:rPr>
        <w:t>[</w:t>
      </w:r>
      <w:r>
        <w:rPr>
          <w:rStyle w:val="Hipervnculo"/>
          <w:i/>
          <w:lang w:val="en-IE"/>
        </w:rPr>
        <w:t xml:space="preserve">to access the link an </w:t>
      </w:r>
      <w:r w:rsidRPr="0073170D">
        <w:rPr>
          <w:rStyle w:val="Hipervnculo"/>
          <w:i/>
          <w:lang w:val="en-IE"/>
        </w:rPr>
        <w:t>EU Login is needed]</w:t>
      </w:r>
      <w:r>
        <w:rPr>
          <w:rStyle w:val="Hipervnculo"/>
        </w:rPr>
        <w:t>.</w:t>
      </w:r>
      <w:bookmarkStart w:id="436" w:name="_GoBack"/>
      <w:bookmarkEnd w:id="43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168E" w14:textId="2D852688" w:rsidR="00E43421" w:rsidRPr="004257C0" w:rsidRDefault="00E43421">
    <w:pPr>
      <w:pStyle w:val="Encabezado"/>
      <w:rPr>
        <w:lang w:val="en-IE"/>
      </w:rPr>
    </w:pPr>
    <w:r w:rsidRPr="004257C0">
      <w:rPr>
        <w:lang w:val="en-IE"/>
      </w:rPr>
      <w:t xml:space="preserve">IPA III Action Document template </w:t>
    </w:r>
    <w:r>
      <w:rPr>
        <w:lang w:val="en-IE"/>
      </w:rPr>
      <w:t xml:space="preserve">of January 2023 – For </w:t>
    </w:r>
    <w:r w:rsidRPr="004257C0">
      <w:rPr>
        <w:lang w:val="en-IE"/>
      </w:rPr>
      <w:t>202</w:t>
    </w:r>
    <w:r>
      <w:rPr>
        <w:lang w:val="en-IE"/>
      </w:rPr>
      <w:t>4</w:t>
    </w:r>
    <w:r w:rsidRPr="004257C0">
      <w:rPr>
        <w:lang w:val="en-IE"/>
      </w:rPr>
      <w:t xml:space="preserve"> and </w:t>
    </w:r>
    <w:r w:rsidRPr="00C85643">
      <w:rPr>
        <w:lang w:val="en-IE"/>
      </w:rPr>
      <w:t>subsequent</w:t>
    </w:r>
    <w:r w:rsidRPr="004257C0">
      <w:rPr>
        <w:lang w:val="en-IE"/>
      </w:rPr>
      <w:t xml:space="preserve"> years</w:t>
    </w:r>
    <w:r>
      <w:rPr>
        <w:lang w:val="en-IE"/>
      </w:rPr>
      <w:t xml:space="preserve"> (Western Balkans)</w:t>
    </w:r>
  </w:p>
  <w:p w14:paraId="359F39F3" w14:textId="77777777" w:rsidR="00E43421" w:rsidRPr="004257C0" w:rsidRDefault="00E43421">
    <w:pPr>
      <w:pStyle w:val="Encabezado"/>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66A3AF8"/>
    <w:lvl w:ilvl="0">
      <w:start w:val="1"/>
      <w:numFmt w:val="decimal"/>
      <w:lvlText w:val="%1."/>
      <w:lvlJc w:val="left"/>
      <w:pPr>
        <w:tabs>
          <w:tab w:val="num" w:pos="643"/>
        </w:tabs>
        <w:ind w:left="643" w:hanging="360"/>
      </w:pPr>
      <w:rPr>
        <w:rFonts w:cs="Times New Roman"/>
      </w:rPr>
    </w:lvl>
  </w:abstractNum>
  <w:abstractNum w:abstractNumId="1" w15:restartNumberingAfterBreak="0">
    <w:nsid w:val="02F17F26"/>
    <w:multiLevelType w:val="hybridMultilevel"/>
    <w:tmpl w:val="4AECB384"/>
    <w:lvl w:ilvl="0" w:tplc="7A5A5A4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B66CF"/>
    <w:multiLevelType w:val="hybridMultilevel"/>
    <w:tmpl w:val="9C56363C"/>
    <w:name w:val="Numbered list 20"/>
    <w:lvl w:ilvl="0" w:tplc="08CCB974">
      <w:numFmt w:val="bullet"/>
      <w:lvlText w:val="-"/>
      <w:lvlJc w:val="left"/>
      <w:pPr>
        <w:ind w:left="830" w:firstLine="0"/>
      </w:pPr>
      <w:rPr>
        <w:rFonts w:ascii="Times New Roman" w:eastAsia="Times New Roman" w:hAnsi="Times New Roman"/>
      </w:rPr>
    </w:lvl>
    <w:lvl w:ilvl="1" w:tplc="33B87C72">
      <w:numFmt w:val="bullet"/>
      <w:lvlText w:val="o"/>
      <w:lvlJc w:val="left"/>
      <w:pPr>
        <w:ind w:left="1550" w:firstLine="0"/>
      </w:pPr>
      <w:rPr>
        <w:rFonts w:ascii="Courier New" w:hAnsi="Courier New"/>
      </w:rPr>
    </w:lvl>
    <w:lvl w:ilvl="2" w:tplc="A2C87DC6">
      <w:numFmt w:val="bullet"/>
      <w:lvlText w:val=""/>
      <w:lvlJc w:val="left"/>
      <w:pPr>
        <w:ind w:left="2270" w:firstLine="0"/>
      </w:pPr>
      <w:rPr>
        <w:rFonts w:ascii="Wingdings" w:eastAsia="Wingdings" w:hAnsi="Wingdings" w:cs="Wingdings"/>
      </w:rPr>
    </w:lvl>
    <w:lvl w:ilvl="3" w:tplc="83EC7790">
      <w:numFmt w:val="bullet"/>
      <w:lvlText w:val=""/>
      <w:lvlJc w:val="left"/>
      <w:pPr>
        <w:ind w:left="2990" w:firstLine="0"/>
      </w:pPr>
      <w:rPr>
        <w:rFonts w:ascii="Symbol" w:hAnsi="Symbol"/>
      </w:rPr>
    </w:lvl>
    <w:lvl w:ilvl="4" w:tplc="4D7260B4">
      <w:numFmt w:val="bullet"/>
      <w:lvlText w:val="o"/>
      <w:lvlJc w:val="left"/>
      <w:pPr>
        <w:ind w:left="3710" w:firstLine="0"/>
      </w:pPr>
      <w:rPr>
        <w:rFonts w:ascii="Courier New" w:hAnsi="Courier New"/>
      </w:rPr>
    </w:lvl>
    <w:lvl w:ilvl="5" w:tplc="4D02C5B0">
      <w:numFmt w:val="bullet"/>
      <w:lvlText w:val=""/>
      <w:lvlJc w:val="left"/>
      <w:pPr>
        <w:ind w:left="4430" w:firstLine="0"/>
      </w:pPr>
      <w:rPr>
        <w:rFonts w:ascii="Wingdings" w:eastAsia="Wingdings" w:hAnsi="Wingdings" w:cs="Wingdings"/>
      </w:rPr>
    </w:lvl>
    <w:lvl w:ilvl="6" w:tplc="AA8AF0A4">
      <w:numFmt w:val="bullet"/>
      <w:lvlText w:val=""/>
      <w:lvlJc w:val="left"/>
      <w:pPr>
        <w:ind w:left="5150" w:firstLine="0"/>
      </w:pPr>
      <w:rPr>
        <w:rFonts w:ascii="Symbol" w:hAnsi="Symbol"/>
      </w:rPr>
    </w:lvl>
    <w:lvl w:ilvl="7" w:tplc="454E5036">
      <w:numFmt w:val="bullet"/>
      <w:lvlText w:val="o"/>
      <w:lvlJc w:val="left"/>
      <w:pPr>
        <w:ind w:left="5870" w:firstLine="0"/>
      </w:pPr>
      <w:rPr>
        <w:rFonts w:ascii="Courier New" w:hAnsi="Courier New"/>
      </w:rPr>
    </w:lvl>
    <w:lvl w:ilvl="8" w:tplc="95D471B8">
      <w:numFmt w:val="bullet"/>
      <w:lvlText w:val=""/>
      <w:lvlJc w:val="left"/>
      <w:pPr>
        <w:ind w:left="6590" w:firstLine="0"/>
      </w:pPr>
      <w:rPr>
        <w:rFonts w:ascii="Wingdings" w:eastAsia="Wingdings" w:hAnsi="Wingdings" w:cs="Wingdings"/>
      </w:rPr>
    </w:lvl>
  </w:abstractNum>
  <w:abstractNum w:abstractNumId="3" w15:restartNumberingAfterBreak="0">
    <w:nsid w:val="06CF715B"/>
    <w:multiLevelType w:val="multilevel"/>
    <w:tmpl w:val="41CEC786"/>
    <w:lvl w:ilvl="0">
      <w:start w:val="1"/>
      <w:numFmt w:val="decimal"/>
      <w:lvlText w:val="%1."/>
      <w:lvlJc w:val="left"/>
      <w:pPr>
        <w:ind w:left="360" w:hanging="360"/>
      </w:pPr>
      <w:rPr>
        <w:rFonts w:ascii="Times New Roman" w:hAnsi="Times New Roman" w:cs="Times New Roman" w:hint="default"/>
        <w:color w:val="auto"/>
      </w:rPr>
    </w:lvl>
    <w:lvl w:ilvl="1">
      <w:start w:val="1"/>
      <w:numFmt w:val="decimal"/>
      <w:pStyle w:val="Ttulo2"/>
      <w:lvlText w:val="%1.%2."/>
      <w:lvlJc w:val="left"/>
      <w:pPr>
        <w:ind w:left="2417" w:hanging="432"/>
      </w:pPr>
      <w:rPr>
        <w:rFonts w:ascii="Times New Roman" w:hAnsi="Times New Roman" w:cs="Times New Roman" w:hint="default"/>
        <w:color w:val="auto"/>
      </w:rPr>
    </w:lvl>
    <w:lvl w:ilvl="2">
      <w:start w:val="1"/>
      <w:numFmt w:val="decimal"/>
      <w:pStyle w:val="Ttulo3"/>
      <w:lvlText w:val="%1.%2.%3."/>
      <w:lvlJc w:val="left"/>
      <w:pPr>
        <w:ind w:left="1214" w:hanging="504"/>
      </w:pPr>
      <w:rPr>
        <w:rFonts w:hint="default"/>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0E40AA"/>
    <w:multiLevelType w:val="hybridMultilevel"/>
    <w:tmpl w:val="0DAE1204"/>
    <w:name w:val="Numbered list 13"/>
    <w:lvl w:ilvl="0" w:tplc="7CF667A2">
      <w:numFmt w:val="bullet"/>
      <w:lvlText w:val=""/>
      <w:lvlJc w:val="left"/>
      <w:pPr>
        <w:ind w:left="360" w:firstLine="0"/>
      </w:pPr>
      <w:rPr>
        <w:rFonts w:ascii="Symbol" w:hAnsi="Symbol"/>
      </w:rPr>
    </w:lvl>
    <w:lvl w:ilvl="1" w:tplc="4A0C0BC6">
      <w:numFmt w:val="bullet"/>
      <w:lvlText w:val="o"/>
      <w:lvlJc w:val="left"/>
      <w:pPr>
        <w:ind w:left="1080" w:firstLine="0"/>
      </w:pPr>
      <w:rPr>
        <w:rFonts w:ascii="Courier New" w:hAnsi="Courier New"/>
      </w:rPr>
    </w:lvl>
    <w:lvl w:ilvl="2" w:tplc="FE4675EC">
      <w:numFmt w:val="bullet"/>
      <w:lvlText w:val=""/>
      <w:lvlJc w:val="left"/>
      <w:pPr>
        <w:ind w:left="1800" w:firstLine="0"/>
      </w:pPr>
      <w:rPr>
        <w:rFonts w:ascii="Wingdings" w:eastAsia="Wingdings" w:hAnsi="Wingdings" w:cs="Wingdings"/>
      </w:rPr>
    </w:lvl>
    <w:lvl w:ilvl="3" w:tplc="8150834A">
      <w:numFmt w:val="bullet"/>
      <w:lvlText w:val=""/>
      <w:lvlJc w:val="left"/>
      <w:pPr>
        <w:ind w:left="2520" w:firstLine="0"/>
      </w:pPr>
      <w:rPr>
        <w:rFonts w:ascii="Symbol" w:hAnsi="Symbol"/>
      </w:rPr>
    </w:lvl>
    <w:lvl w:ilvl="4" w:tplc="36B062DE">
      <w:numFmt w:val="bullet"/>
      <w:lvlText w:val="o"/>
      <w:lvlJc w:val="left"/>
      <w:pPr>
        <w:ind w:left="3240" w:firstLine="0"/>
      </w:pPr>
      <w:rPr>
        <w:rFonts w:ascii="Courier New" w:hAnsi="Courier New"/>
      </w:rPr>
    </w:lvl>
    <w:lvl w:ilvl="5" w:tplc="35324CE0">
      <w:numFmt w:val="bullet"/>
      <w:lvlText w:val=""/>
      <w:lvlJc w:val="left"/>
      <w:pPr>
        <w:ind w:left="3960" w:firstLine="0"/>
      </w:pPr>
      <w:rPr>
        <w:rFonts w:ascii="Wingdings" w:eastAsia="Wingdings" w:hAnsi="Wingdings" w:cs="Wingdings"/>
      </w:rPr>
    </w:lvl>
    <w:lvl w:ilvl="6" w:tplc="903CCA6E">
      <w:numFmt w:val="bullet"/>
      <w:lvlText w:val=""/>
      <w:lvlJc w:val="left"/>
      <w:pPr>
        <w:ind w:left="4680" w:firstLine="0"/>
      </w:pPr>
      <w:rPr>
        <w:rFonts w:ascii="Symbol" w:hAnsi="Symbol"/>
      </w:rPr>
    </w:lvl>
    <w:lvl w:ilvl="7" w:tplc="8AE4D1DE">
      <w:numFmt w:val="bullet"/>
      <w:lvlText w:val="o"/>
      <w:lvlJc w:val="left"/>
      <w:pPr>
        <w:ind w:left="5400" w:firstLine="0"/>
      </w:pPr>
      <w:rPr>
        <w:rFonts w:ascii="Courier New" w:hAnsi="Courier New"/>
      </w:rPr>
    </w:lvl>
    <w:lvl w:ilvl="8" w:tplc="B07E860C">
      <w:numFmt w:val="bullet"/>
      <w:lvlText w:val=""/>
      <w:lvlJc w:val="left"/>
      <w:pPr>
        <w:ind w:left="6120" w:firstLine="0"/>
      </w:pPr>
      <w:rPr>
        <w:rFonts w:ascii="Wingdings" w:eastAsia="Wingdings" w:hAnsi="Wingdings" w:cs="Wingdings"/>
      </w:rPr>
    </w:lvl>
  </w:abstractNum>
  <w:abstractNum w:abstractNumId="5" w15:restartNumberingAfterBreak="0">
    <w:nsid w:val="0B89387E"/>
    <w:multiLevelType w:val="multilevel"/>
    <w:tmpl w:val="0016B1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156D01"/>
    <w:multiLevelType w:val="hybridMultilevel"/>
    <w:tmpl w:val="1CD4549E"/>
    <w:lvl w:ilvl="0" w:tplc="7A5A5A44">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2F692F"/>
    <w:multiLevelType w:val="hybridMultilevel"/>
    <w:tmpl w:val="EFD8F8E0"/>
    <w:lvl w:ilvl="0" w:tplc="7A5A5A4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D0385"/>
    <w:multiLevelType w:val="hybridMultilevel"/>
    <w:tmpl w:val="ECDC5C5E"/>
    <w:lvl w:ilvl="0" w:tplc="040A0001">
      <w:start w:val="1"/>
      <w:numFmt w:val="bullet"/>
      <w:lvlText w:val=""/>
      <w:lvlJc w:val="left"/>
      <w:pPr>
        <w:ind w:left="632" w:hanging="360"/>
      </w:pPr>
      <w:rPr>
        <w:rFonts w:ascii="Symbol" w:hAnsi="Symbol" w:hint="default"/>
      </w:rPr>
    </w:lvl>
    <w:lvl w:ilvl="1" w:tplc="040A0003">
      <w:start w:val="1"/>
      <w:numFmt w:val="bullet"/>
      <w:lvlText w:val="o"/>
      <w:lvlJc w:val="left"/>
      <w:pPr>
        <w:ind w:left="720" w:hanging="360"/>
      </w:pPr>
      <w:rPr>
        <w:rFonts w:ascii="Courier New" w:hAnsi="Courier New" w:cs="Courier New" w:hint="default"/>
      </w:rPr>
    </w:lvl>
    <w:lvl w:ilvl="2" w:tplc="040A0005" w:tentative="1">
      <w:start w:val="1"/>
      <w:numFmt w:val="bullet"/>
      <w:lvlText w:val=""/>
      <w:lvlJc w:val="left"/>
      <w:pPr>
        <w:ind w:left="1440" w:hanging="360"/>
      </w:pPr>
      <w:rPr>
        <w:rFonts w:ascii="Wingdings" w:hAnsi="Wingdings" w:hint="default"/>
      </w:rPr>
    </w:lvl>
    <w:lvl w:ilvl="3" w:tplc="040A0001" w:tentative="1">
      <w:start w:val="1"/>
      <w:numFmt w:val="bullet"/>
      <w:lvlText w:val=""/>
      <w:lvlJc w:val="left"/>
      <w:pPr>
        <w:ind w:left="2160" w:hanging="360"/>
      </w:pPr>
      <w:rPr>
        <w:rFonts w:ascii="Symbol" w:hAnsi="Symbol" w:hint="default"/>
      </w:rPr>
    </w:lvl>
    <w:lvl w:ilvl="4" w:tplc="040A0003" w:tentative="1">
      <w:start w:val="1"/>
      <w:numFmt w:val="bullet"/>
      <w:lvlText w:val="o"/>
      <w:lvlJc w:val="left"/>
      <w:pPr>
        <w:ind w:left="2880" w:hanging="360"/>
      </w:pPr>
      <w:rPr>
        <w:rFonts w:ascii="Courier New" w:hAnsi="Courier New" w:cs="Courier New" w:hint="default"/>
      </w:rPr>
    </w:lvl>
    <w:lvl w:ilvl="5" w:tplc="040A0005" w:tentative="1">
      <w:start w:val="1"/>
      <w:numFmt w:val="bullet"/>
      <w:lvlText w:val=""/>
      <w:lvlJc w:val="left"/>
      <w:pPr>
        <w:ind w:left="3600" w:hanging="360"/>
      </w:pPr>
      <w:rPr>
        <w:rFonts w:ascii="Wingdings" w:hAnsi="Wingdings" w:hint="default"/>
      </w:rPr>
    </w:lvl>
    <w:lvl w:ilvl="6" w:tplc="040A0001" w:tentative="1">
      <w:start w:val="1"/>
      <w:numFmt w:val="bullet"/>
      <w:lvlText w:val=""/>
      <w:lvlJc w:val="left"/>
      <w:pPr>
        <w:ind w:left="4320" w:hanging="360"/>
      </w:pPr>
      <w:rPr>
        <w:rFonts w:ascii="Symbol" w:hAnsi="Symbol" w:hint="default"/>
      </w:rPr>
    </w:lvl>
    <w:lvl w:ilvl="7" w:tplc="040A0003" w:tentative="1">
      <w:start w:val="1"/>
      <w:numFmt w:val="bullet"/>
      <w:lvlText w:val="o"/>
      <w:lvlJc w:val="left"/>
      <w:pPr>
        <w:ind w:left="5040" w:hanging="360"/>
      </w:pPr>
      <w:rPr>
        <w:rFonts w:ascii="Courier New" w:hAnsi="Courier New" w:cs="Courier New" w:hint="default"/>
      </w:rPr>
    </w:lvl>
    <w:lvl w:ilvl="8" w:tplc="040A0005" w:tentative="1">
      <w:start w:val="1"/>
      <w:numFmt w:val="bullet"/>
      <w:lvlText w:val=""/>
      <w:lvlJc w:val="left"/>
      <w:pPr>
        <w:ind w:left="5760" w:hanging="360"/>
      </w:pPr>
      <w:rPr>
        <w:rFonts w:ascii="Wingdings" w:hAnsi="Wingdings" w:hint="default"/>
      </w:rPr>
    </w:lvl>
  </w:abstractNum>
  <w:abstractNum w:abstractNumId="9" w15:restartNumberingAfterBreak="0">
    <w:nsid w:val="23CD1C15"/>
    <w:multiLevelType w:val="hybridMultilevel"/>
    <w:tmpl w:val="15BE8C00"/>
    <w:lvl w:ilvl="0" w:tplc="7A5A5A44">
      <w:numFmt w:val="bullet"/>
      <w:lvlText w:val="-"/>
      <w:lvlJc w:val="left"/>
      <w:pPr>
        <w:ind w:left="1080" w:hanging="360"/>
      </w:pPr>
      <w:rPr>
        <w:rFonts w:ascii="Calibri" w:eastAsia="Calibri" w:hAnsi="Calibri"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15:restartNumberingAfterBreak="0">
    <w:nsid w:val="27906F9B"/>
    <w:multiLevelType w:val="hybridMultilevel"/>
    <w:tmpl w:val="AB5ECA12"/>
    <w:lvl w:ilvl="0" w:tplc="F0360EE6">
      <w:numFmt w:val="bullet"/>
      <w:lvlText w:val="-"/>
      <w:lvlJc w:val="left"/>
      <w:pPr>
        <w:ind w:left="1551" w:hanging="360"/>
      </w:pPr>
      <w:rPr>
        <w:rFonts w:ascii="Times New Roman" w:eastAsia="Times New Roman" w:hAnsi="Times New Roman" w:cs="Times New Roman"/>
      </w:rPr>
    </w:lvl>
    <w:lvl w:ilvl="1" w:tplc="040A0003" w:tentative="1">
      <w:start w:val="1"/>
      <w:numFmt w:val="bullet"/>
      <w:lvlText w:val="o"/>
      <w:lvlJc w:val="left"/>
      <w:pPr>
        <w:ind w:left="2271" w:hanging="360"/>
      </w:pPr>
      <w:rPr>
        <w:rFonts w:ascii="Courier New" w:hAnsi="Courier New" w:cs="Courier New" w:hint="default"/>
      </w:rPr>
    </w:lvl>
    <w:lvl w:ilvl="2" w:tplc="040A0005" w:tentative="1">
      <w:start w:val="1"/>
      <w:numFmt w:val="bullet"/>
      <w:lvlText w:val=""/>
      <w:lvlJc w:val="left"/>
      <w:pPr>
        <w:ind w:left="2991" w:hanging="360"/>
      </w:pPr>
      <w:rPr>
        <w:rFonts w:ascii="Wingdings" w:hAnsi="Wingdings" w:hint="default"/>
      </w:rPr>
    </w:lvl>
    <w:lvl w:ilvl="3" w:tplc="040A0001" w:tentative="1">
      <w:start w:val="1"/>
      <w:numFmt w:val="bullet"/>
      <w:lvlText w:val=""/>
      <w:lvlJc w:val="left"/>
      <w:pPr>
        <w:ind w:left="3711" w:hanging="360"/>
      </w:pPr>
      <w:rPr>
        <w:rFonts w:ascii="Symbol" w:hAnsi="Symbol" w:hint="default"/>
      </w:rPr>
    </w:lvl>
    <w:lvl w:ilvl="4" w:tplc="040A0003" w:tentative="1">
      <w:start w:val="1"/>
      <w:numFmt w:val="bullet"/>
      <w:lvlText w:val="o"/>
      <w:lvlJc w:val="left"/>
      <w:pPr>
        <w:ind w:left="4431" w:hanging="360"/>
      </w:pPr>
      <w:rPr>
        <w:rFonts w:ascii="Courier New" w:hAnsi="Courier New" w:cs="Courier New" w:hint="default"/>
      </w:rPr>
    </w:lvl>
    <w:lvl w:ilvl="5" w:tplc="040A0005" w:tentative="1">
      <w:start w:val="1"/>
      <w:numFmt w:val="bullet"/>
      <w:lvlText w:val=""/>
      <w:lvlJc w:val="left"/>
      <w:pPr>
        <w:ind w:left="5151" w:hanging="360"/>
      </w:pPr>
      <w:rPr>
        <w:rFonts w:ascii="Wingdings" w:hAnsi="Wingdings" w:hint="default"/>
      </w:rPr>
    </w:lvl>
    <w:lvl w:ilvl="6" w:tplc="040A0001" w:tentative="1">
      <w:start w:val="1"/>
      <w:numFmt w:val="bullet"/>
      <w:lvlText w:val=""/>
      <w:lvlJc w:val="left"/>
      <w:pPr>
        <w:ind w:left="5871" w:hanging="360"/>
      </w:pPr>
      <w:rPr>
        <w:rFonts w:ascii="Symbol" w:hAnsi="Symbol" w:hint="default"/>
      </w:rPr>
    </w:lvl>
    <w:lvl w:ilvl="7" w:tplc="040A0003" w:tentative="1">
      <w:start w:val="1"/>
      <w:numFmt w:val="bullet"/>
      <w:lvlText w:val="o"/>
      <w:lvlJc w:val="left"/>
      <w:pPr>
        <w:ind w:left="6591" w:hanging="360"/>
      </w:pPr>
      <w:rPr>
        <w:rFonts w:ascii="Courier New" w:hAnsi="Courier New" w:cs="Courier New" w:hint="default"/>
      </w:rPr>
    </w:lvl>
    <w:lvl w:ilvl="8" w:tplc="040A0005" w:tentative="1">
      <w:start w:val="1"/>
      <w:numFmt w:val="bullet"/>
      <w:lvlText w:val=""/>
      <w:lvlJc w:val="left"/>
      <w:pPr>
        <w:ind w:left="7311" w:hanging="360"/>
      </w:pPr>
      <w:rPr>
        <w:rFonts w:ascii="Wingdings" w:hAnsi="Wingdings" w:hint="default"/>
      </w:rPr>
    </w:lvl>
  </w:abstractNum>
  <w:abstractNum w:abstractNumId="11" w15:restartNumberingAfterBreak="0">
    <w:nsid w:val="2AC16E60"/>
    <w:multiLevelType w:val="hybridMultilevel"/>
    <w:tmpl w:val="5D2E0B7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D042AFD"/>
    <w:multiLevelType w:val="hybridMultilevel"/>
    <w:tmpl w:val="82100928"/>
    <w:lvl w:ilvl="0" w:tplc="6786F61E">
      <w:start w:val="200"/>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EFD6BBC"/>
    <w:multiLevelType w:val="hybridMultilevel"/>
    <w:tmpl w:val="9BB4F602"/>
    <w:name w:val="Numbered list 6"/>
    <w:lvl w:ilvl="0" w:tplc="3216D31A">
      <w:numFmt w:val="bullet"/>
      <w:lvlText w:val=""/>
      <w:lvlJc w:val="left"/>
      <w:pPr>
        <w:ind w:left="170" w:firstLine="0"/>
      </w:pPr>
      <w:rPr>
        <w:rFonts w:ascii="Symbol" w:hAnsi="Symbol"/>
      </w:rPr>
    </w:lvl>
    <w:lvl w:ilvl="1" w:tplc="25048D82">
      <w:numFmt w:val="bullet"/>
      <w:lvlText w:val="o"/>
      <w:lvlJc w:val="left"/>
      <w:pPr>
        <w:ind w:left="890" w:firstLine="0"/>
      </w:pPr>
      <w:rPr>
        <w:rFonts w:ascii="Courier New" w:hAnsi="Courier New" w:cs="Courier New"/>
      </w:rPr>
    </w:lvl>
    <w:lvl w:ilvl="2" w:tplc="156C46BE">
      <w:numFmt w:val="bullet"/>
      <w:lvlText w:val=""/>
      <w:lvlJc w:val="left"/>
      <w:pPr>
        <w:ind w:left="1610" w:firstLine="0"/>
      </w:pPr>
      <w:rPr>
        <w:rFonts w:ascii="Wingdings" w:eastAsia="Wingdings" w:hAnsi="Wingdings" w:cs="Wingdings"/>
      </w:rPr>
    </w:lvl>
    <w:lvl w:ilvl="3" w:tplc="3F8E98E8">
      <w:numFmt w:val="bullet"/>
      <w:lvlText w:val=""/>
      <w:lvlJc w:val="left"/>
      <w:pPr>
        <w:ind w:left="2330" w:firstLine="0"/>
      </w:pPr>
      <w:rPr>
        <w:rFonts w:ascii="Symbol" w:hAnsi="Symbol"/>
      </w:rPr>
    </w:lvl>
    <w:lvl w:ilvl="4" w:tplc="A65A733C">
      <w:numFmt w:val="bullet"/>
      <w:lvlText w:val="o"/>
      <w:lvlJc w:val="left"/>
      <w:pPr>
        <w:ind w:left="3050" w:firstLine="0"/>
      </w:pPr>
      <w:rPr>
        <w:rFonts w:ascii="Courier New" w:hAnsi="Courier New" w:cs="Courier New"/>
      </w:rPr>
    </w:lvl>
    <w:lvl w:ilvl="5" w:tplc="3398A774">
      <w:numFmt w:val="bullet"/>
      <w:lvlText w:val=""/>
      <w:lvlJc w:val="left"/>
      <w:pPr>
        <w:ind w:left="3770" w:firstLine="0"/>
      </w:pPr>
      <w:rPr>
        <w:rFonts w:ascii="Wingdings" w:eastAsia="Wingdings" w:hAnsi="Wingdings" w:cs="Wingdings"/>
      </w:rPr>
    </w:lvl>
    <w:lvl w:ilvl="6" w:tplc="AE98B1AA">
      <w:numFmt w:val="bullet"/>
      <w:lvlText w:val=""/>
      <w:lvlJc w:val="left"/>
      <w:pPr>
        <w:ind w:left="4490" w:firstLine="0"/>
      </w:pPr>
      <w:rPr>
        <w:rFonts w:ascii="Symbol" w:hAnsi="Symbol"/>
      </w:rPr>
    </w:lvl>
    <w:lvl w:ilvl="7" w:tplc="35F09724">
      <w:numFmt w:val="bullet"/>
      <w:lvlText w:val="o"/>
      <w:lvlJc w:val="left"/>
      <w:pPr>
        <w:ind w:left="5210" w:firstLine="0"/>
      </w:pPr>
      <w:rPr>
        <w:rFonts w:ascii="Courier New" w:hAnsi="Courier New" w:cs="Courier New"/>
      </w:rPr>
    </w:lvl>
    <w:lvl w:ilvl="8" w:tplc="D2021EBA">
      <w:numFmt w:val="bullet"/>
      <w:lvlText w:val=""/>
      <w:lvlJc w:val="left"/>
      <w:pPr>
        <w:ind w:left="5930" w:firstLine="0"/>
      </w:pPr>
      <w:rPr>
        <w:rFonts w:ascii="Wingdings" w:eastAsia="Wingdings" w:hAnsi="Wingdings" w:cs="Wingdings"/>
      </w:rPr>
    </w:lvl>
  </w:abstractNum>
  <w:abstractNum w:abstractNumId="14" w15:restartNumberingAfterBreak="0">
    <w:nsid w:val="316D5278"/>
    <w:multiLevelType w:val="hybridMultilevel"/>
    <w:tmpl w:val="D45AFC5E"/>
    <w:name w:val="List Number 2__1"/>
    <w:lvl w:ilvl="0" w:tplc="1096906E">
      <w:start w:val="1"/>
      <w:numFmt w:val="decimal"/>
      <w:pStyle w:val="Listaconnmeros2"/>
      <w:lvlText w:val="(%1)"/>
      <w:lvlJc w:val="left"/>
      <w:pPr>
        <w:tabs>
          <w:tab w:val="num" w:pos="1560"/>
        </w:tabs>
        <w:ind w:left="1560" w:hanging="709"/>
      </w:pPr>
      <w:rPr>
        <w:rFonts w:cs="Times New Roman"/>
      </w:rPr>
    </w:lvl>
    <w:lvl w:ilvl="1" w:tplc="5AA4D41A">
      <w:start w:val="1"/>
      <w:numFmt w:val="lowerLetter"/>
      <w:pStyle w:val="ListNumber2Level2"/>
      <w:lvlText w:val="(%2)"/>
      <w:lvlJc w:val="left"/>
      <w:pPr>
        <w:tabs>
          <w:tab w:val="num" w:pos="2268"/>
        </w:tabs>
        <w:ind w:left="2268" w:hanging="708"/>
      </w:pPr>
      <w:rPr>
        <w:rFonts w:cs="Times New Roman"/>
      </w:rPr>
    </w:lvl>
    <w:lvl w:ilvl="2" w:tplc="95986C5C">
      <w:start w:val="1"/>
      <w:numFmt w:val="bullet"/>
      <w:pStyle w:val="ListNumber2Level3"/>
      <w:lvlText w:val="–"/>
      <w:lvlJc w:val="left"/>
      <w:pPr>
        <w:tabs>
          <w:tab w:val="num" w:pos="2977"/>
        </w:tabs>
        <w:ind w:left="2977" w:hanging="709"/>
      </w:pPr>
      <w:rPr>
        <w:rFonts w:ascii="Times New Roman" w:hAnsi="Times New Roman"/>
      </w:rPr>
    </w:lvl>
    <w:lvl w:ilvl="3" w:tplc="8D743EC2">
      <w:start w:val="1"/>
      <w:numFmt w:val="bullet"/>
      <w:pStyle w:val="ListNumber2Level4"/>
      <w:lvlText w:val=""/>
      <w:lvlJc w:val="left"/>
      <w:pPr>
        <w:tabs>
          <w:tab w:val="num" w:pos="3686"/>
        </w:tabs>
        <w:ind w:left="3686" w:hanging="709"/>
      </w:pPr>
      <w:rPr>
        <w:rFonts w:ascii="Symbol" w:hAnsi="Symbol" w:hint="default"/>
      </w:rPr>
    </w:lvl>
    <w:lvl w:ilvl="4" w:tplc="EC366EE4">
      <w:start w:val="1"/>
      <w:numFmt w:val="lowerLetter"/>
      <w:lvlText w:val="(%5)"/>
      <w:lvlJc w:val="left"/>
      <w:pPr>
        <w:tabs>
          <w:tab w:val="num" w:pos="1800"/>
        </w:tabs>
        <w:ind w:left="1800" w:hanging="360"/>
      </w:pPr>
      <w:rPr>
        <w:rFonts w:cs="Times New Roman"/>
      </w:rPr>
    </w:lvl>
    <w:lvl w:ilvl="5" w:tplc="AE208EFE">
      <w:start w:val="1"/>
      <w:numFmt w:val="lowerRoman"/>
      <w:lvlText w:val="(%6)"/>
      <w:lvlJc w:val="left"/>
      <w:pPr>
        <w:tabs>
          <w:tab w:val="num" w:pos="2160"/>
        </w:tabs>
        <w:ind w:left="2160" w:hanging="360"/>
      </w:pPr>
      <w:rPr>
        <w:rFonts w:cs="Times New Roman"/>
      </w:rPr>
    </w:lvl>
    <w:lvl w:ilvl="6" w:tplc="1AFA425A">
      <w:start w:val="1"/>
      <w:numFmt w:val="decimal"/>
      <w:lvlText w:val="%7."/>
      <w:lvlJc w:val="left"/>
      <w:pPr>
        <w:tabs>
          <w:tab w:val="num" w:pos="2520"/>
        </w:tabs>
        <w:ind w:left="2520" w:hanging="360"/>
      </w:pPr>
      <w:rPr>
        <w:rFonts w:cs="Times New Roman"/>
      </w:rPr>
    </w:lvl>
    <w:lvl w:ilvl="7" w:tplc="06320F60">
      <w:start w:val="1"/>
      <w:numFmt w:val="lowerLetter"/>
      <w:lvlText w:val="%8."/>
      <w:lvlJc w:val="left"/>
      <w:pPr>
        <w:tabs>
          <w:tab w:val="num" w:pos="2880"/>
        </w:tabs>
        <w:ind w:left="2880" w:hanging="360"/>
      </w:pPr>
      <w:rPr>
        <w:rFonts w:cs="Times New Roman"/>
      </w:rPr>
    </w:lvl>
    <w:lvl w:ilvl="8" w:tplc="34EA71AE">
      <w:start w:val="1"/>
      <w:numFmt w:val="lowerRoman"/>
      <w:lvlText w:val="%9."/>
      <w:lvlJc w:val="left"/>
      <w:pPr>
        <w:tabs>
          <w:tab w:val="num" w:pos="3240"/>
        </w:tabs>
        <w:ind w:left="3240" w:hanging="360"/>
      </w:pPr>
      <w:rPr>
        <w:rFonts w:cs="Times New Roman"/>
      </w:rPr>
    </w:lvl>
  </w:abstractNum>
  <w:abstractNum w:abstractNumId="15" w15:restartNumberingAfterBreak="0">
    <w:nsid w:val="35A716D8"/>
    <w:multiLevelType w:val="multilevel"/>
    <w:tmpl w:val="28640716"/>
    <w:name w:val="Numbered list 11"/>
    <w:lvl w:ilvl="0">
      <w:start w:val="1"/>
      <w:numFmt w:val="decimal"/>
      <w:lvlText w:val="%1"/>
      <w:lvlJc w:val="left"/>
      <w:pPr>
        <w:ind w:left="0" w:firstLine="0"/>
      </w:pPr>
      <w:rPr>
        <w:rFonts w:cs="Times New Roman"/>
      </w:rPr>
    </w:lvl>
    <w:lvl w:ilvl="1">
      <w:start w:val="1"/>
      <w:numFmt w:val="decimal"/>
      <w:lvlText w:val="%2."/>
      <w:lvlJc w:val="left"/>
      <w:pPr>
        <w:ind w:left="425" w:firstLine="0"/>
      </w:pPr>
      <w:rPr>
        <w:rFonts w:ascii="Times New Roman" w:eastAsia="Times New Roman" w:hAnsi="Times New Roman" w:cs="Times New Roman"/>
      </w:rPr>
    </w:lvl>
    <w:lvl w:ilvl="2">
      <w:start w:val="1"/>
      <w:numFmt w:val="decimal"/>
      <w:lvlText w:val="%1.%2.%3"/>
      <w:lvlJc w:val="left"/>
      <w:pPr>
        <w:ind w:left="1440" w:firstLine="0"/>
      </w:pPr>
      <w:rPr>
        <w:rFonts w:cs="Times New Roman"/>
      </w:rPr>
    </w:lvl>
    <w:lvl w:ilvl="3">
      <w:start w:val="1"/>
      <w:numFmt w:val="decimal"/>
      <w:lvlText w:val="%1.%2.%3.%4"/>
      <w:lvlJc w:val="left"/>
      <w:pPr>
        <w:ind w:left="2160" w:firstLine="0"/>
      </w:pPr>
      <w:rPr>
        <w:rFonts w:cs="Times New Roman"/>
      </w:rPr>
    </w:lvl>
    <w:lvl w:ilvl="4">
      <w:start w:val="1"/>
      <w:numFmt w:val="decimal"/>
      <w:lvlText w:val="%1.%2.%3.%4.%5"/>
      <w:lvlJc w:val="left"/>
      <w:pPr>
        <w:ind w:left="2880" w:firstLine="0"/>
      </w:pPr>
      <w:rPr>
        <w:rFonts w:cs="Times New Roman"/>
      </w:rPr>
    </w:lvl>
    <w:lvl w:ilvl="5">
      <w:start w:val="1"/>
      <w:numFmt w:val="decimal"/>
      <w:lvlText w:val="%1.%2.%3.%4.%5.%6"/>
      <w:lvlJc w:val="left"/>
      <w:pPr>
        <w:ind w:left="3600" w:firstLine="0"/>
      </w:pPr>
      <w:rPr>
        <w:rFonts w:cs="Times New Roman"/>
      </w:rPr>
    </w:lvl>
    <w:lvl w:ilvl="6">
      <w:start w:val="1"/>
      <w:numFmt w:val="decimal"/>
      <w:lvlText w:val="%1.%2.%3.%4.%5.%6.%7"/>
      <w:lvlJc w:val="left"/>
      <w:pPr>
        <w:ind w:left="4320" w:firstLine="0"/>
      </w:pPr>
      <w:rPr>
        <w:rFonts w:cs="Times New Roman"/>
      </w:rPr>
    </w:lvl>
    <w:lvl w:ilvl="7">
      <w:start w:val="1"/>
      <w:numFmt w:val="decimal"/>
      <w:lvlText w:val="%1.%2.%3.%4.%5.%6.%7.%8"/>
      <w:lvlJc w:val="left"/>
      <w:pPr>
        <w:ind w:left="5040" w:firstLine="0"/>
      </w:pPr>
      <w:rPr>
        <w:rFonts w:cs="Times New Roman"/>
      </w:rPr>
    </w:lvl>
    <w:lvl w:ilvl="8">
      <w:start w:val="1"/>
      <w:numFmt w:val="decimal"/>
      <w:lvlText w:val="%1.%2.%3.%4.%5.%6.%7.%8.%9"/>
      <w:lvlJc w:val="left"/>
      <w:pPr>
        <w:ind w:left="5760" w:firstLine="0"/>
      </w:pPr>
      <w:rPr>
        <w:rFonts w:cs="Times New Roman"/>
      </w:rPr>
    </w:lvl>
  </w:abstractNum>
  <w:abstractNum w:abstractNumId="16" w15:restartNumberingAfterBreak="0">
    <w:nsid w:val="38B668D7"/>
    <w:multiLevelType w:val="hybridMultilevel"/>
    <w:tmpl w:val="8932B8AA"/>
    <w:lvl w:ilvl="0" w:tplc="7A5A5A44">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DF0A00"/>
    <w:multiLevelType w:val="hybridMultilevel"/>
    <w:tmpl w:val="AFACFBE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4293B"/>
    <w:multiLevelType w:val="hybridMultilevel"/>
    <w:tmpl w:val="E0C8D2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887263C"/>
    <w:multiLevelType w:val="hybridMultilevel"/>
    <w:tmpl w:val="1CCC116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488C5AF1"/>
    <w:multiLevelType w:val="hybridMultilevel"/>
    <w:tmpl w:val="E63E6C36"/>
    <w:lvl w:ilvl="0" w:tplc="B61CDFC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4508B"/>
    <w:multiLevelType w:val="hybridMultilevel"/>
    <w:tmpl w:val="3A0A1620"/>
    <w:lvl w:ilvl="0" w:tplc="7A5A5A4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06131"/>
    <w:multiLevelType w:val="hybridMultilevel"/>
    <w:tmpl w:val="ABCE9A54"/>
    <w:name w:val="Numbered list 7"/>
    <w:lvl w:ilvl="0" w:tplc="F93AEDE8">
      <w:numFmt w:val="bullet"/>
      <w:lvlText w:val=""/>
      <w:lvlJc w:val="left"/>
      <w:pPr>
        <w:ind w:left="360" w:firstLine="0"/>
      </w:pPr>
      <w:rPr>
        <w:rFonts w:ascii="Symbol" w:hAnsi="Symbol"/>
      </w:rPr>
    </w:lvl>
    <w:lvl w:ilvl="1" w:tplc="635C5DE2">
      <w:numFmt w:val="bullet"/>
      <w:lvlText w:val="o"/>
      <w:lvlJc w:val="left"/>
      <w:pPr>
        <w:ind w:left="1080" w:firstLine="0"/>
      </w:pPr>
      <w:rPr>
        <w:rFonts w:ascii="Courier New" w:hAnsi="Courier New"/>
      </w:rPr>
    </w:lvl>
    <w:lvl w:ilvl="2" w:tplc="2BC2F534">
      <w:numFmt w:val="bullet"/>
      <w:lvlText w:val=""/>
      <w:lvlJc w:val="left"/>
      <w:pPr>
        <w:ind w:left="1800" w:firstLine="0"/>
      </w:pPr>
      <w:rPr>
        <w:rFonts w:ascii="Wingdings" w:eastAsia="Wingdings" w:hAnsi="Wingdings" w:cs="Wingdings"/>
      </w:rPr>
    </w:lvl>
    <w:lvl w:ilvl="3" w:tplc="65980D2C">
      <w:numFmt w:val="bullet"/>
      <w:lvlText w:val=""/>
      <w:lvlJc w:val="left"/>
      <w:pPr>
        <w:ind w:left="2520" w:firstLine="0"/>
      </w:pPr>
      <w:rPr>
        <w:rFonts w:ascii="Symbol" w:hAnsi="Symbol"/>
      </w:rPr>
    </w:lvl>
    <w:lvl w:ilvl="4" w:tplc="A508B0B2">
      <w:numFmt w:val="bullet"/>
      <w:lvlText w:val="o"/>
      <w:lvlJc w:val="left"/>
      <w:pPr>
        <w:ind w:left="3240" w:firstLine="0"/>
      </w:pPr>
      <w:rPr>
        <w:rFonts w:ascii="Courier New" w:hAnsi="Courier New"/>
      </w:rPr>
    </w:lvl>
    <w:lvl w:ilvl="5" w:tplc="232471B0">
      <w:numFmt w:val="bullet"/>
      <w:lvlText w:val=""/>
      <w:lvlJc w:val="left"/>
      <w:pPr>
        <w:ind w:left="3960" w:firstLine="0"/>
      </w:pPr>
      <w:rPr>
        <w:rFonts w:ascii="Wingdings" w:eastAsia="Wingdings" w:hAnsi="Wingdings" w:cs="Wingdings"/>
      </w:rPr>
    </w:lvl>
    <w:lvl w:ilvl="6" w:tplc="DBBEA960">
      <w:numFmt w:val="bullet"/>
      <w:lvlText w:val=""/>
      <w:lvlJc w:val="left"/>
      <w:pPr>
        <w:ind w:left="4680" w:firstLine="0"/>
      </w:pPr>
      <w:rPr>
        <w:rFonts w:ascii="Symbol" w:hAnsi="Symbol"/>
      </w:rPr>
    </w:lvl>
    <w:lvl w:ilvl="7" w:tplc="74F8E1FC">
      <w:numFmt w:val="bullet"/>
      <w:lvlText w:val="o"/>
      <w:lvlJc w:val="left"/>
      <w:pPr>
        <w:ind w:left="5400" w:firstLine="0"/>
      </w:pPr>
      <w:rPr>
        <w:rFonts w:ascii="Courier New" w:hAnsi="Courier New"/>
      </w:rPr>
    </w:lvl>
    <w:lvl w:ilvl="8" w:tplc="0C70A64A">
      <w:numFmt w:val="bullet"/>
      <w:lvlText w:val=""/>
      <w:lvlJc w:val="left"/>
      <w:pPr>
        <w:ind w:left="6120" w:firstLine="0"/>
      </w:pPr>
      <w:rPr>
        <w:rFonts w:ascii="Wingdings" w:eastAsia="Wingdings" w:hAnsi="Wingdings" w:cs="Wingdings"/>
      </w:rPr>
    </w:lvl>
  </w:abstractNum>
  <w:abstractNum w:abstractNumId="23" w15:restartNumberingAfterBreak="0">
    <w:nsid w:val="4B303C86"/>
    <w:multiLevelType w:val="hybridMultilevel"/>
    <w:tmpl w:val="57B88C7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C101C"/>
    <w:multiLevelType w:val="multilevel"/>
    <w:tmpl w:val="28640716"/>
    <w:lvl w:ilvl="0">
      <w:start w:val="1"/>
      <w:numFmt w:val="decimal"/>
      <w:lvlText w:val="%1"/>
      <w:lvlJc w:val="left"/>
      <w:pPr>
        <w:ind w:left="0" w:firstLine="0"/>
      </w:pPr>
      <w:rPr>
        <w:rFonts w:cs="Times New Roman"/>
      </w:rPr>
    </w:lvl>
    <w:lvl w:ilvl="1">
      <w:start w:val="1"/>
      <w:numFmt w:val="decimal"/>
      <w:lvlText w:val="%2."/>
      <w:lvlJc w:val="left"/>
      <w:pPr>
        <w:ind w:left="425" w:firstLine="0"/>
      </w:pPr>
      <w:rPr>
        <w:rFonts w:ascii="Times New Roman" w:eastAsia="Times New Roman" w:hAnsi="Times New Roman" w:cs="Times New Roman"/>
      </w:rPr>
    </w:lvl>
    <w:lvl w:ilvl="2">
      <w:start w:val="1"/>
      <w:numFmt w:val="decimal"/>
      <w:lvlText w:val="%1.%2.%3"/>
      <w:lvlJc w:val="left"/>
      <w:pPr>
        <w:ind w:left="1440" w:firstLine="0"/>
      </w:pPr>
      <w:rPr>
        <w:rFonts w:cs="Times New Roman"/>
      </w:rPr>
    </w:lvl>
    <w:lvl w:ilvl="3">
      <w:start w:val="1"/>
      <w:numFmt w:val="decimal"/>
      <w:lvlText w:val="%1.%2.%3.%4"/>
      <w:lvlJc w:val="left"/>
      <w:pPr>
        <w:ind w:left="2160" w:firstLine="0"/>
      </w:pPr>
      <w:rPr>
        <w:rFonts w:cs="Times New Roman"/>
      </w:rPr>
    </w:lvl>
    <w:lvl w:ilvl="4">
      <w:start w:val="1"/>
      <w:numFmt w:val="decimal"/>
      <w:lvlText w:val="%1.%2.%3.%4.%5"/>
      <w:lvlJc w:val="left"/>
      <w:pPr>
        <w:ind w:left="2880" w:firstLine="0"/>
      </w:pPr>
      <w:rPr>
        <w:rFonts w:cs="Times New Roman"/>
      </w:rPr>
    </w:lvl>
    <w:lvl w:ilvl="5">
      <w:start w:val="1"/>
      <w:numFmt w:val="decimal"/>
      <w:lvlText w:val="%1.%2.%3.%4.%5.%6"/>
      <w:lvlJc w:val="left"/>
      <w:pPr>
        <w:ind w:left="3600" w:firstLine="0"/>
      </w:pPr>
      <w:rPr>
        <w:rFonts w:cs="Times New Roman"/>
      </w:rPr>
    </w:lvl>
    <w:lvl w:ilvl="6">
      <w:start w:val="1"/>
      <w:numFmt w:val="decimal"/>
      <w:lvlText w:val="%1.%2.%3.%4.%5.%6.%7"/>
      <w:lvlJc w:val="left"/>
      <w:pPr>
        <w:ind w:left="4320" w:firstLine="0"/>
      </w:pPr>
      <w:rPr>
        <w:rFonts w:cs="Times New Roman"/>
      </w:rPr>
    </w:lvl>
    <w:lvl w:ilvl="7">
      <w:start w:val="1"/>
      <w:numFmt w:val="decimal"/>
      <w:lvlText w:val="%1.%2.%3.%4.%5.%6.%7.%8"/>
      <w:lvlJc w:val="left"/>
      <w:pPr>
        <w:ind w:left="5040" w:firstLine="0"/>
      </w:pPr>
      <w:rPr>
        <w:rFonts w:cs="Times New Roman"/>
      </w:rPr>
    </w:lvl>
    <w:lvl w:ilvl="8">
      <w:start w:val="1"/>
      <w:numFmt w:val="decimal"/>
      <w:lvlText w:val="%1.%2.%3.%4.%5.%6.%7.%8.%9"/>
      <w:lvlJc w:val="left"/>
      <w:pPr>
        <w:ind w:left="5760" w:firstLine="0"/>
      </w:pPr>
      <w:rPr>
        <w:rFonts w:cs="Times New Roman"/>
      </w:rPr>
    </w:lvl>
  </w:abstractNum>
  <w:abstractNum w:abstractNumId="25" w15:restartNumberingAfterBreak="0">
    <w:nsid w:val="4ED51954"/>
    <w:multiLevelType w:val="multilevel"/>
    <w:tmpl w:val="C1A8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A3EF5"/>
    <w:multiLevelType w:val="multilevel"/>
    <w:tmpl w:val="1E12E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6AB251B"/>
    <w:multiLevelType w:val="hybridMultilevel"/>
    <w:tmpl w:val="508805E6"/>
    <w:lvl w:ilvl="0" w:tplc="7A5A5A44">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9A568A3"/>
    <w:multiLevelType w:val="hybridMultilevel"/>
    <w:tmpl w:val="E89641DC"/>
    <w:name w:val="Numbered list 1"/>
    <w:lvl w:ilvl="0" w:tplc="F0360EE6">
      <w:numFmt w:val="bullet"/>
      <w:lvlText w:val="-"/>
      <w:lvlJc w:val="left"/>
      <w:pPr>
        <w:ind w:left="-496" w:firstLine="0"/>
      </w:pPr>
      <w:rPr>
        <w:rFonts w:ascii="Times New Roman" w:eastAsia="Times New Roman" w:hAnsi="Times New Roman" w:cs="Times New Roman"/>
      </w:rPr>
    </w:lvl>
    <w:lvl w:ilvl="1" w:tplc="F2646A62">
      <w:numFmt w:val="bullet"/>
      <w:lvlText w:val="o"/>
      <w:lvlJc w:val="left"/>
      <w:pPr>
        <w:ind w:left="224" w:firstLine="0"/>
      </w:pPr>
      <w:rPr>
        <w:rFonts w:ascii="Courier New" w:hAnsi="Courier New" w:cs="Courier New"/>
      </w:rPr>
    </w:lvl>
    <w:lvl w:ilvl="2" w:tplc="8AA09CC2">
      <w:numFmt w:val="bullet"/>
      <w:lvlText w:val=""/>
      <w:lvlJc w:val="left"/>
      <w:pPr>
        <w:ind w:left="944" w:firstLine="0"/>
      </w:pPr>
      <w:rPr>
        <w:rFonts w:ascii="Wingdings" w:eastAsia="Wingdings" w:hAnsi="Wingdings" w:cs="Wingdings"/>
      </w:rPr>
    </w:lvl>
    <w:lvl w:ilvl="3" w:tplc="2D20A52C">
      <w:numFmt w:val="bullet"/>
      <w:lvlText w:val=""/>
      <w:lvlJc w:val="left"/>
      <w:pPr>
        <w:ind w:left="1664" w:firstLine="0"/>
      </w:pPr>
      <w:rPr>
        <w:rFonts w:ascii="Symbol" w:hAnsi="Symbol"/>
      </w:rPr>
    </w:lvl>
    <w:lvl w:ilvl="4" w:tplc="06BEF93C">
      <w:numFmt w:val="bullet"/>
      <w:lvlText w:val="o"/>
      <w:lvlJc w:val="left"/>
      <w:pPr>
        <w:ind w:left="2384" w:firstLine="0"/>
      </w:pPr>
      <w:rPr>
        <w:rFonts w:ascii="Courier New" w:hAnsi="Courier New" w:cs="Courier New"/>
      </w:rPr>
    </w:lvl>
    <w:lvl w:ilvl="5" w:tplc="279615A6">
      <w:numFmt w:val="bullet"/>
      <w:lvlText w:val=""/>
      <w:lvlJc w:val="left"/>
      <w:pPr>
        <w:ind w:left="3104" w:firstLine="0"/>
      </w:pPr>
      <w:rPr>
        <w:rFonts w:ascii="Wingdings" w:eastAsia="Wingdings" w:hAnsi="Wingdings" w:cs="Wingdings"/>
      </w:rPr>
    </w:lvl>
    <w:lvl w:ilvl="6" w:tplc="F6163312">
      <w:numFmt w:val="bullet"/>
      <w:lvlText w:val=""/>
      <w:lvlJc w:val="left"/>
      <w:pPr>
        <w:ind w:left="3824" w:firstLine="0"/>
      </w:pPr>
      <w:rPr>
        <w:rFonts w:ascii="Symbol" w:hAnsi="Symbol"/>
      </w:rPr>
    </w:lvl>
    <w:lvl w:ilvl="7" w:tplc="92FC7864">
      <w:numFmt w:val="bullet"/>
      <w:lvlText w:val="o"/>
      <w:lvlJc w:val="left"/>
      <w:pPr>
        <w:ind w:left="4544" w:firstLine="0"/>
      </w:pPr>
      <w:rPr>
        <w:rFonts w:ascii="Courier New" w:hAnsi="Courier New" w:cs="Courier New"/>
      </w:rPr>
    </w:lvl>
    <w:lvl w:ilvl="8" w:tplc="F73689C8">
      <w:numFmt w:val="bullet"/>
      <w:lvlText w:val=""/>
      <w:lvlJc w:val="left"/>
      <w:pPr>
        <w:ind w:left="5264" w:firstLine="0"/>
      </w:pPr>
      <w:rPr>
        <w:rFonts w:ascii="Wingdings" w:eastAsia="Wingdings" w:hAnsi="Wingdings" w:cs="Wingdings"/>
      </w:rPr>
    </w:lvl>
  </w:abstractNum>
  <w:abstractNum w:abstractNumId="29" w15:restartNumberingAfterBreak="0">
    <w:nsid w:val="5BE47CFB"/>
    <w:multiLevelType w:val="hybridMultilevel"/>
    <w:tmpl w:val="19D2CEE8"/>
    <w:lvl w:ilvl="0" w:tplc="99141F5E">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F6016F"/>
    <w:multiLevelType w:val="hybridMultilevel"/>
    <w:tmpl w:val="564C3AAA"/>
    <w:name w:val="Numbered list 10"/>
    <w:lvl w:ilvl="0" w:tplc="1EE82BCA">
      <w:numFmt w:val="bullet"/>
      <w:lvlText w:val=""/>
      <w:lvlJc w:val="left"/>
      <w:pPr>
        <w:ind w:left="360" w:firstLine="0"/>
      </w:pPr>
      <w:rPr>
        <w:rFonts w:ascii="Symbol" w:hAnsi="Symbol"/>
      </w:rPr>
    </w:lvl>
    <w:lvl w:ilvl="1" w:tplc="4A6A40D4">
      <w:numFmt w:val="bullet"/>
      <w:lvlText w:val="o"/>
      <w:lvlJc w:val="left"/>
      <w:pPr>
        <w:ind w:left="1080" w:firstLine="0"/>
      </w:pPr>
      <w:rPr>
        <w:rFonts w:ascii="Courier New" w:hAnsi="Courier New"/>
      </w:rPr>
    </w:lvl>
    <w:lvl w:ilvl="2" w:tplc="6A40AECA">
      <w:numFmt w:val="bullet"/>
      <w:lvlText w:val=""/>
      <w:lvlJc w:val="left"/>
      <w:pPr>
        <w:ind w:left="1800" w:firstLine="0"/>
      </w:pPr>
      <w:rPr>
        <w:rFonts w:ascii="Wingdings" w:eastAsia="Wingdings" w:hAnsi="Wingdings" w:cs="Wingdings"/>
      </w:rPr>
    </w:lvl>
    <w:lvl w:ilvl="3" w:tplc="18F268CC">
      <w:numFmt w:val="bullet"/>
      <w:lvlText w:val=""/>
      <w:lvlJc w:val="left"/>
      <w:pPr>
        <w:ind w:left="2520" w:firstLine="0"/>
      </w:pPr>
      <w:rPr>
        <w:rFonts w:ascii="Symbol" w:hAnsi="Symbol"/>
      </w:rPr>
    </w:lvl>
    <w:lvl w:ilvl="4" w:tplc="E39C5550">
      <w:numFmt w:val="bullet"/>
      <w:lvlText w:val="o"/>
      <w:lvlJc w:val="left"/>
      <w:pPr>
        <w:ind w:left="3240" w:firstLine="0"/>
      </w:pPr>
      <w:rPr>
        <w:rFonts w:ascii="Courier New" w:hAnsi="Courier New"/>
      </w:rPr>
    </w:lvl>
    <w:lvl w:ilvl="5" w:tplc="61265070">
      <w:numFmt w:val="bullet"/>
      <w:lvlText w:val=""/>
      <w:lvlJc w:val="left"/>
      <w:pPr>
        <w:ind w:left="3960" w:firstLine="0"/>
      </w:pPr>
      <w:rPr>
        <w:rFonts w:ascii="Wingdings" w:eastAsia="Wingdings" w:hAnsi="Wingdings" w:cs="Wingdings"/>
      </w:rPr>
    </w:lvl>
    <w:lvl w:ilvl="6" w:tplc="68FCE528">
      <w:numFmt w:val="bullet"/>
      <w:lvlText w:val=""/>
      <w:lvlJc w:val="left"/>
      <w:pPr>
        <w:ind w:left="4680" w:firstLine="0"/>
      </w:pPr>
      <w:rPr>
        <w:rFonts w:ascii="Symbol" w:hAnsi="Symbol"/>
      </w:rPr>
    </w:lvl>
    <w:lvl w:ilvl="7" w:tplc="D4B833C2">
      <w:numFmt w:val="bullet"/>
      <w:lvlText w:val="o"/>
      <w:lvlJc w:val="left"/>
      <w:pPr>
        <w:ind w:left="5400" w:firstLine="0"/>
      </w:pPr>
      <w:rPr>
        <w:rFonts w:ascii="Courier New" w:hAnsi="Courier New"/>
      </w:rPr>
    </w:lvl>
    <w:lvl w:ilvl="8" w:tplc="EC2E3FFE">
      <w:numFmt w:val="bullet"/>
      <w:lvlText w:val=""/>
      <w:lvlJc w:val="left"/>
      <w:pPr>
        <w:ind w:left="6120" w:firstLine="0"/>
      </w:pPr>
      <w:rPr>
        <w:rFonts w:ascii="Wingdings" w:eastAsia="Wingdings" w:hAnsi="Wingdings" w:cs="Wingdings"/>
      </w:rPr>
    </w:lvl>
  </w:abstractNum>
  <w:abstractNum w:abstractNumId="31" w15:restartNumberingAfterBreak="0">
    <w:nsid w:val="5D3516DC"/>
    <w:multiLevelType w:val="hybridMultilevel"/>
    <w:tmpl w:val="39A00F8E"/>
    <w:lvl w:ilvl="0" w:tplc="7A5A5A4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725E8"/>
    <w:multiLevelType w:val="multilevel"/>
    <w:tmpl w:val="1E065536"/>
    <w:lvl w:ilvl="0">
      <w:start w:val="1"/>
      <w:numFmt w:val="decimal"/>
      <w:pStyle w:val="Ttulo1"/>
      <w:lvlText w:val="%1."/>
      <w:lvlJc w:val="left"/>
      <w:pPr>
        <w:ind w:left="360" w:hanging="360"/>
      </w:pPr>
      <w:rPr>
        <w:color w:val="auto"/>
        <w:sz w:val="24"/>
      </w:rPr>
    </w:lvl>
    <w:lvl w:ilvl="1">
      <w:start w:val="1"/>
      <w:numFmt w:val="decimal"/>
      <w:lvlText w:val="%1.%2."/>
      <w:lvlJc w:val="left"/>
      <w:pPr>
        <w:ind w:left="715" w:hanging="432"/>
      </w:p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7C48FF"/>
    <w:multiLevelType w:val="hybridMultilevel"/>
    <w:tmpl w:val="5BAEA860"/>
    <w:lvl w:ilvl="0" w:tplc="7A5A5A44">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33D6CB6"/>
    <w:multiLevelType w:val="hybridMultilevel"/>
    <w:tmpl w:val="E4BCAB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5175E98"/>
    <w:multiLevelType w:val="hybridMultilevel"/>
    <w:tmpl w:val="5D7CF84A"/>
    <w:lvl w:ilvl="0" w:tplc="F0360EE6">
      <w:numFmt w:val="bullet"/>
      <w:lvlText w:val="-"/>
      <w:lvlJc w:val="left"/>
      <w:pPr>
        <w:ind w:left="1080" w:hanging="360"/>
      </w:pPr>
      <w:rPr>
        <w:rFonts w:ascii="Times New Roman" w:eastAsia="Times New Roman" w:hAnsi="Times New Roman" w:cs="Times New Roman"/>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6" w15:restartNumberingAfterBreak="0">
    <w:nsid w:val="663C66C1"/>
    <w:multiLevelType w:val="hybridMultilevel"/>
    <w:tmpl w:val="6D84BFEE"/>
    <w:lvl w:ilvl="0" w:tplc="B74A1C86">
      <w:numFmt w:val="bullet"/>
      <w:lvlText w:val=""/>
      <w:lvlJc w:val="left"/>
      <w:pPr>
        <w:ind w:left="360" w:firstLine="0"/>
      </w:pPr>
      <w:rPr>
        <w:rFonts w:ascii="Symbol" w:hAnsi="Symbol"/>
      </w:rPr>
    </w:lvl>
    <w:lvl w:ilvl="1" w:tplc="A9FC958C">
      <w:numFmt w:val="bullet"/>
      <w:lvlText w:val="o"/>
      <w:lvlJc w:val="left"/>
      <w:pPr>
        <w:ind w:left="1080" w:firstLine="0"/>
      </w:pPr>
      <w:rPr>
        <w:rFonts w:ascii="Courier New" w:hAnsi="Courier New" w:cs="Courier New"/>
      </w:rPr>
    </w:lvl>
    <w:lvl w:ilvl="2" w:tplc="A4C6D09C">
      <w:numFmt w:val="bullet"/>
      <w:lvlText w:val=""/>
      <w:lvlJc w:val="left"/>
      <w:pPr>
        <w:ind w:left="1800" w:firstLine="0"/>
      </w:pPr>
      <w:rPr>
        <w:rFonts w:ascii="Wingdings" w:eastAsia="Wingdings" w:hAnsi="Wingdings" w:cs="Wingdings"/>
      </w:rPr>
    </w:lvl>
    <w:lvl w:ilvl="3" w:tplc="A5567012">
      <w:numFmt w:val="bullet"/>
      <w:lvlText w:val=""/>
      <w:lvlJc w:val="left"/>
      <w:pPr>
        <w:ind w:left="2520" w:firstLine="0"/>
      </w:pPr>
      <w:rPr>
        <w:rFonts w:ascii="Symbol" w:hAnsi="Symbol"/>
      </w:rPr>
    </w:lvl>
    <w:lvl w:ilvl="4" w:tplc="C4C65DC2">
      <w:numFmt w:val="bullet"/>
      <w:lvlText w:val="o"/>
      <w:lvlJc w:val="left"/>
      <w:pPr>
        <w:ind w:left="3240" w:firstLine="0"/>
      </w:pPr>
      <w:rPr>
        <w:rFonts w:ascii="Courier New" w:hAnsi="Courier New" w:cs="Courier New"/>
      </w:rPr>
    </w:lvl>
    <w:lvl w:ilvl="5" w:tplc="5C825BCA">
      <w:numFmt w:val="bullet"/>
      <w:lvlText w:val=""/>
      <w:lvlJc w:val="left"/>
      <w:pPr>
        <w:ind w:left="3960" w:firstLine="0"/>
      </w:pPr>
      <w:rPr>
        <w:rFonts w:ascii="Wingdings" w:eastAsia="Wingdings" w:hAnsi="Wingdings" w:cs="Wingdings"/>
      </w:rPr>
    </w:lvl>
    <w:lvl w:ilvl="6" w:tplc="DBEC91F0">
      <w:numFmt w:val="bullet"/>
      <w:lvlText w:val=""/>
      <w:lvlJc w:val="left"/>
      <w:pPr>
        <w:ind w:left="4680" w:firstLine="0"/>
      </w:pPr>
      <w:rPr>
        <w:rFonts w:ascii="Symbol" w:hAnsi="Symbol"/>
      </w:rPr>
    </w:lvl>
    <w:lvl w:ilvl="7" w:tplc="2432E0E6">
      <w:numFmt w:val="bullet"/>
      <w:lvlText w:val="o"/>
      <w:lvlJc w:val="left"/>
      <w:pPr>
        <w:ind w:left="5400" w:firstLine="0"/>
      </w:pPr>
      <w:rPr>
        <w:rFonts w:ascii="Courier New" w:hAnsi="Courier New" w:cs="Courier New"/>
      </w:rPr>
    </w:lvl>
    <w:lvl w:ilvl="8" w:tplc="7884E45A">
      <w:numFmt w:val="bullet"/>
      <w:lvlText w:val=""/>
      <w:lvlJc w:val="left"/>
      <w:pPr>
        <w:ind w:left="6120" w:firstLine="0"/>
      </w:pPr>
      <w:rPr>
        <w:rFonts w:ascii="Wingdings" w:eastAsia="Wingdings" w:hAnsi="Wingdings" w:cs="Wingdings"/>
      </w:rPr>
    </w:lvl>
  </w:abstractNum>
  <w:abstractNum w:abstractNumId="37" w15:restartNumberingAfterBreak="0">
    <w:nsid w:val="676C771A"/>
    <w:multiLevelType w:val="hybridMultilevel"/>
    <w:tmpl w:val="C0F27F60"/>
    <w:lvl w:ilvl="0" w:tplc="7A5A5A4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20B12"/>
    <w:multiLevelType w:val="hybridMultilevel"/>
    <w:tmpl w:val="C2109A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6A1861A1"/>
    <w:multiLevelType w:val="hybridMultilevel"/>
    <w:tmpl w:val="1618EB76"/>
    <w:name w:val="Numbered list 16"/>
    <w:lvl w:ilvl="0" w:tplc="8D14E474">
      <w:numFmt w:val="bullet"/>
      <w:lvlText w:val=""/>
      <w:lvlJc w:val="left"/>
      <w:pPr>
        <w:ind w:left="412" w:firstLine="0"/>
      </w:pPr>
      <w:rPr>
        <w:rFonts w:ascii="Symbol" w:hAnsi="Symbol"/>
      </w:rPr>
    </w:lvl>
    <w:lvl w:ilvl="1" w:tplc="DC704486">
      <w:numFmt w:val="bullet"/>
      <w:lvlText w:val="o"/>
      <w:lvlJc w:val="left"/>
      <w:pPr>
        <w:ind w:left="360" w:firstLine="0"/>
      </w:pPr>
      <w:rPr>
        <w:rFonts w:ascii="Courier New" w:hAnsi="Courier New"/>
      </w:rPr>
    </w:lvl>
    <w:lvl w:ilvl="2" w:tplc="3490DE0E">
      <w:numFmt w:val="bullet"/>
      <w:lvlText w:val=""/>
      <w:lvlJc w:val="left"/>
      <w:pPr>
        <w:ind w:left="1080" w:firstLine="0"/>
      </w:pPr>
      <w:rPr>
        <w:rFonts w:ascii="Wingdings" w:eastAsia="Wingdings" w:hAnsi="Wingdings" w:cs="Wingdings"/>
      </w:rPr>
    </w:lvl>
    <w:lvl w:ilvl="3" w:tplc="581A31B8">
      <w:numFmt w:val="bullet"/>
      <w:lvlText w:val=""/>
      <w:lvlJc w:val="left"/>
      <w:pPr>
        <w:ind w:left="1800" w:firstLine="0"/>
      </w:pPr>
      <w:rPr>
        <w:rFonts w:ascii="Symbol" w:hAnsi="Symbol"/>
      </w:rPr>
    </w:lvl>
    <w:lvl w:ilvl="4" w:tplc="B1627BB6">
      <w:numFmt w:val="bullet"/>
      <w:lvlText w:val="o"/>
      <w:lvlJc w:val="left"/>
      <w:pPr>
        <w:ind w:left="2520" w:firstLine="0"/>
      </w:pPr>
      <w:rPr>
        <w:rFonts w:ascii="Courier New" w:hAnsi="Courier New"/>
      </w:rPr>
    </w:lvl>
    <w:lvl w:ilvl="5" w:tplc="5D1429B6">
      <w:numFmt w:val="bullet"/>
      <w:lvlText w:val=""/>
      <w:lvlJc w:val="left"/>
      <w:pPr>
        <w:ind w:left="3240" w:firstLine="0"/>
      </w:pPr>
      <w:rPr>
        <w:rFonts w:ascii="Wingdings" w:eastAsia="Wingdings" w:hAnsi="Wingdings" w:cs="Wingdings"/>
      </w:rPr>
    </w:lvl>
    <w:lvl w:ilvl="6" w:tplc="848ED142">
      <w:numFmt w:val="bullet"/>
      <w:lvlText w:val=""/>
      <w:lvlJc w:val="left"/>
      <w:pPr>
        <w:ind w:left="3960" w:firstLine="0"/>
      </w:pPr>
      <w:rPr>
        <w:rFonts w:ascii="Symbol" w:hAnsi="Symbol"/>
      </w:rPr>
    </w:lvl>
    <w:lvl w:ilvl="7" w:tplc="868290D8">
      <w:numFmt w:val="bullet"/>
      <w:lvlText w:val="o"/>
      <w:lvlJc w:val="left"/>
      <w:pPr>
        <w:ind w:left="4680" w:firstLine="0"/>
      </w:pPr>
      <w:rPr>
        <w:rFonts w:ascii="Courier New" w:hAnsi="Courier New"/>
      </w:rPr>
    </w:lvl>
    <w:lvl w:ilvl="8" w:tplc="511280E2">
      <w:numFmt w:val="bullet"/>
      <w:lvlText w:val=""/>
      <w:lvlJc w:val="left"/>
      <w:pPr>
        <w:ind w:left="5400" w:firstLine="0"/>
      </w:pPr>
      <w:rPr>
        <w:rFonts w:ascii="Wingdings" w:eastAsia="Wingdings" w:hAnsi="Wingdings" w:cs="Wingdings"/>
      </w:rPr>
    </w:lvl>
  </w:abstractNum>
  <w:abstractNum w:abstractNumId="40" w15:restartNumberingAfterBreak="0">
    <w:nsid w:val="6AA51B5D"/>
    <w:multiLevelType w:val="hybridMultilevel"/>
    <w:tmpl w:val="DE867B14"/>
    <w:name w:val="Numbered list 8"/>
    <w:lvl w:ilvl="0" w:tplc="4784077A">
      <w:numFmt w:val="bullet"/>
      <w:lvlText w:val="-"/>
      <w:lvlJc w:val="left"/>
      <w:pPr>
        <w:ind w:left="1080" w:firstLine="0"/>
      </w:pPr>
      <w:rPr>
        <w:rFonts w:ascii="Calibri" w:eastAsia="Times New Roman" w:hAnsi="Calibri"/>
      </w:rPr>
    </w:lvl>
    <w:lvl w:ilvl="1" w:tplc="11403C42">
      <w:numFmt w:val="bullet"/>
      <w:lvlText w:val="o"/>
      <w:lvlJc w:val="left"/>
      <w:pPr>
        <w:ind w:left="1800" w:firstLine="0"/>
      </w:pPr>
      <w:rPr>
        <w:rFonts w:ascii="Courier New" w:hAnsi="Courier New"/>
      </w:rPr>
    </w:lvl>
    <w:lvl w:ilvl="2" w:tplc="2DA68CA8">
      <w:numFmt w:val="bullet"/>
      <w:lvlText w:val=""/>
      <w:lvlJc w:val="left"/>
      <w:pPr>
        <w:ind w:left="2520" w:firstLine="0"/>
      </w:pPr>
      <w:rPr>
        <w:rFonts w:ascii="Wingdings" w:eastAsia="Wingdings" w:hAnsi="Wingdings" w:cs="Wingdings"/>
      </w:rPr>
    </w:lvl>
    <w:lvl w:ilvl="3" w:tplc="946A3820">
      <w:numFmt w:val="bullet"/>
      <w:lvlText w:val=""/>
      <w:lvlJc w:val="left"/>
      <w:pPr>
        <w:ind w:left="3240" w:firstLine="0"/>
      </w:pPr>
      <w:rPr>
        <w:rFonts w:ascii="Symbol" w:hAnsi="Symbol"/>
      </w:rPr>
    </w:lvl>
    <w:lvl w:ilvl="4" w:tplc="73C016B8">
      <w:numFmt w:val="bullet"/>
      <w:lvlText w:val="o"/>
      <w:lvlJc w:val="left"/>
      <w:pPr>
        <w:ind w:left="3960" w:firstLine="0"/>
      </w:pPr>
      <w:rPr>
        <w:rFonts w:ascii="Courier New" w:hAnsi="Courier New"/>
      </w:rPr>
    </w:lvl>
    <w:lvl w:ilvl="5" w:tplc="0EBCA39A">
      <w:numFmt w:val="bullet"/>
      <w:lvlText w:val=""/>
      <w:lvlJc w:val="left"/>
      <w:pPr>
        <w:ind w:left="4680" w:firstLine="0"/>
      </w:pPr>
      <w:rPr>
        <w:rFonts w:ascii="Wingdings" w:eastAsia="Wingdings" w:hAnsi="Wingdings" w:cs="Wingdings"/>
      </w:rPr>
    </w:lvl>
    <w:lvl w:ilvl="6" w:tplc="B846FDEE">
      <w:numFmt w:val="bullet"/>
      <w:lvlText w:val=""/>
      <w:lvlJc w:val="left"/>
      <w:pPr>
        <w:ind w:left="5400" w:firstLine="0"/>
      </w:pPr>
      <w:rPr>
        <w:rFonts w:ascii="Symbol" w:hAnsi="Symbol"/>
      </w:rPr>
    </w:lvl>
    <w:lvl w:ilvl="7" w:tplc="6156A8BE">
      <w:numFmt w:val="bullet"/>
      <w:lvlText w:val="o"/>
      <w:lvlJc w:val="left"/>
      <w:pPr>
        <w:ind w:left="6120" w:firstLine="0"/>
      </w:pPr>
      <w:rPr>
        <w:rFonts w:ascii="Courier New" w:hAnsi="Courier New"/>
      </w:rPr>
    </w:lvl>
    <w:lvl w:ilvl="8" w:tplc="31C01800">
      <w:numFmt w:val="bullet"/>
      <w:lvlText w:val=""/>
      <w:lvlJc w:val="left"/>
      <w:pPr>
        <w:ind w:left="6840" w:firstLine="0"/>
      </w:pPr>
      <w:rPr>
        <w:rFonts w:ascii="Wingdings" w:eastAsia="Wingdings" w:hAnsi="Wingdings" w:cs="Wingdings"/>
      </w:rPr>
    </w:lvl>
  </w:abstractNum>
  <w:abstractNum w:abstractNumId="41" w15:restartNumberingAfterBreak="0">
    <w:nsid w:val="6AF03D33"/>
    <w:multiLevelType w:val="multilevel"/>
    <w:tmpl w:val="05BC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A21FEF"/>
    <w:multiLevelType w:val="hybridMultilevel"/>
    <w:tmpl w:val="7B3C43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6B3274"/>
    <w:multiLevelType w:val="hybridMultilevel"/>
    <w:tmpl w:val="12D49A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6F68AF"/>
    <w:multiLevelType w:val="hybridMultilevel"/>
    <w:tmpl w:val="AB10F818"/>
    <w:lvl w:ilvl="0" w:tplc="99141F5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A15306"/>
    <w:multiLevelType w:val="hybridMultilevel"/>
    <w:tmpl w:val="32E2759E"/>
    <w:name w:val="List Number 1__1"/>
    <w:lvl w:ilvl="0" w:tplc="341C9CE0">
      <w:start w:val="1"/>
      <w:numFmt w:val="decimal"/>
      <w:lvlRestart w:val="0"/>
      <w:pStyle w:val="ListNumber1"/>
      <w:lvlText w:val="(%1)"/>
      <w:lvlJc w:val="left"/>
      <w:pPr>
        <w:tabs>
          <w:tab w:val="num" w:pos="1560"/>
        </w:tabs>
        <w:ind w:left="1560" w:hanging="709"/>
      </w:pPr>
    </w:lvl>
    <w:lvl w:ilvl="1" w:tplc="EA6AA808">
      <w:start w:val="1"/>
      <w:numFmt w:val="lowerLetter"/>
      <w:pStyle w:val="ListNumber1Level2"/>
      <w:lvlText w:val="(%2)"/>
      <w:lvlJc w:val="left"/>
      <w:pPr>
        <w:tabs>
          <w:tab w:val="num" w:pos="2268"/>
        </w:tabs>
        <w:ind w:left="2268" w:hanging="708"/>
      </w:pPr>
    </w:lvl>
    <w:lvl w:ilvl="2" w:tplc="E45C5DB0">
      <w:start w:val="1"/>
      <w:numFmt w:val="bullet"/>
      <w:pStyle w:val="ListNumber1Level3"/>
      <w:lvlText w:val="–"/>
      <w:lvlJc w:val="left"/>
      <w:pPr>
        <w:tabs>
          <w:tab w:val="num" w:pos="2977"/>
        </w:tabs>
        <w:ind w:left="2977" w:hanging="709"/>
      </w:pPr>
      <w:rPr>
        <w:rFonts w:ascii="Times New Roman" w:hAnsi="Times New Roman" w:cs="Times New Roman"/>
      </w:rPr>
    </w:lvl>
    <w:lvl w:ilvl="3" w:tplc="805473E0">
      <w:start w:val="1"/>
      <w:numFmt w:val="bullet"/>
      <w:pStyle w:val="ListNumber1Level4"/>
      <w:lvlText w:val=""/>
      <w:lvlJc w:val="left"/>
      <w:pPr>
        <w:tabs>
          <w:tab w:val="num" w:pos="3686"/>
        </w:tabs>
        <w:ind w:left="3686" w:hanging="709"/>
      </w:pPr>
      <w:rPr>
        <w:rFonts w:ascii="Symbol" w:hAnsi="Symbol" w:hint="default"/>
      </w:rPr>
    </w:lvl>
    <w:lvl w:ilvl="4" w:tplc="EF683302">
      <w:start w:val="1"/>
      <w:numFmt w:val="lowerLetter"/>
      <w:lvlText w:val="(%5)"/>
      <w:lvlJc w:val="left"/>
      <w:pPr>
        <w:tabs>
          <w:tab w:val="num" w:pos="1800"/>
        </w:tabs>
        <w:ind w:left="1800" w:hanging="360"/>
      </w:pPr>
    </w:lvl>
    <w:lvl w:ilvl="5" w:tplc="38604306">
      <w:start w:val="1"/>
      <w:numFmt w:val="lowerRoman"/>
      <w:lvlText w:val="(%6)"/>
      <w:lvlJc w:val="left"/>
      <w:pPr>
        <w:tabs>
          <w:tab w:val="num" w:pos="2160"/>
        </w:tabs>
        <w:ind w:left="2160" w:hanging="360"/>
      </w:pPr>
    </w:lvl>
    <w:lvl w:ilvl="6" w:tplc="AFA84112">
      <w:start w:val="1"/>
      <w:numFmt w:val="decimal"/>
      <w:lvlText w:val="%7."/>
      <w:lvlJc w:val="left"/>
      <w:pPr>
        <w:tabs>
          <w:tab w:val="num" w:pos="2520"/>
        </w:tabs>
        <w:ind w:left="2520" w:hanging="360"/>
      </w:pPr>
    </w:lvl>
    <w:lvl w:ilvl="7" w:tplc="BA340A8A">
      <w:start w:val="1"/>
      <w:numFmt w:val="lowerLetter"/>
      <w:lvlText w:val="%8."/>
      <w:lvlJc w:val="left"/>
      <w:pPr>
        <w:tabs>
          <w:tab w:val="num" w:pos="2880"/>
        </w:tabs>
        <w:ind w:left="2880" w:hanging="360"/>
      </w:pPr>
    </w:lvl>
    <w:lvl w:ilvl="8" w:tplc="A6FEF9AE">
      <w:start w:val="1"/>
      <w:numFmt w:val="lowerRoman"/>
      <w:lvlText w:val="%9."/>
      <w:lvlJc w:val="left"/>
      <w:pPr>
        <w:tabs>
          <w:tab w:val="num" w:pos="3240"/>
        </w:tabs>
        <w:ind w:left="3240" w:hanging="360"/>
      </w:pPr>
    </w:lvl>
  </w:abstractNum>
  <w:abstractNum w:abstractNumId="46" w15:restartNumberingAfterBreak="0">
    <w:nsid w:val="784659B0"/>
    <w:multiLevelType w:val="hybridMultilevel"/>
    <w:tmpl w:val="D2C0A178"/>
    <w:lvl w:ilvl="0" w:tplc="F4D08554">
      <w:start w:val="3"/>
      <w:numFmt w:val="bullet"/>
      <w:lvlText w:val="-"/>
      <w:lvlJc w:val="left"/>
      <w:pPr>
        <w:ind w:left="1154" w:hanging="360"/>
      </w:pPr>
      <w:rPr>
        <w:rFonts w:ascii="Times New Roman" w:eastAsia="Calibri" w:hAnsi="Times New Roman" w:cs="Times New Roman" w:hint="default"/>
      </w:rPr>
    </w:lvl>
    <w:lvl w:ilvl="1" w:tplc="040A0003" w:tentative="1">
      <w:start w:val="1"/>
      <w:numFmt w:val="bullet"/>
      <w:lvlText w:val="o"/>
      <w:lvlJc w:val="left"/>
      <w:pPr>
        <w:ind w:left="1874" w:hanging="360"/>
      </w:pPr>
      <w:rPr>
        <w:rFonts w:ascii="Courier New" w:hAnsi="Courier New" w:cs="Courier New" w:hint="default"/>
      </w:rPr>
    </w:lvl>
    <w:lvl w:ilvl="2" w:tplc="040A0005" w:tentative="1">
      <w:start w:val="1"/>
      <w:numFmt w:val="bullet"/>
      <w:lvlText w:val=""/>
      <w:lvlJc w:val="left"/>
      <w:pPr>
        <w:ind w:left="2594" w:hanging="360"/>
      </w:pPr>
      <w:rPr>
        <w:rFonts w:ascii="Wingdings" w:hAnsi="Wingdings" w:hint="default"/>
      </w:rPr>
    </w:lvl>
    <w:lvl w:ilvl="3" w:tplc="040A0001" w:tentative="1">
      <w:start w:val="1"/>
      <w:numFmt w:val="bullet"/>
      <w:lvlText w:val=""/>
      <w:lvlJc w:val="left"/>
      <w:pPr>
        <w:ind w:left="3314" w:hanging="360"/>
      </w:pPr>
      <w:rPr>
        <w:rFonts w:ascii="Symbol" w:hAnsi="Symbol" w:hint="default"/>
      </w:rPr>
    </w:lvl>
    <w:lvl w:ilvl="4" w:tplc="040A0003" w:tentative="1">
      <w:start w:val="1"/>
      <w:numFmt w:val="bullet"/>
      <w:lvlText w:val="o"/>
      <w:lvlJc w:val="left"/>
      <w:pPr>
        <w:ind w:left="4034" w:hanging="360"/>
      </w:pPr>
      <w:rPr>
        <w:rFonts w:ascii="Courier New" w:hAnsi="Courier New" w:cs="Courier New" w:hint="default"/>
      </w:rPr>
    </w:lvl>
    <w:lvl w:ilvl="5" w:tplc="040A0005" w:tentative="1">
      <w:start w:val="1"/>
      <w:numFmt w:val="bullet"/>
      <w:lvlText w:val=""/>
      <w:lvlJc w:val="left"/>
      <w:pPr>
        <w:ind w:left="4754" w:hanging="360"/>
      </w:pPr>
      <w:rPr>
        <w:rFonts w:ascii="Wingdings" w:hAnsi="Wingdings" w:hint="default"/>
      </w:rPr>
    </w:lvl>
    <w:lvl w:ilvl="6" w:tplc="040A0001" w:tentative="1">
      <w:start w:val="1"/>
      <w:numFmt w:val="bullet"/>
      <w:lvlText w:val=""/>
      <w:lvlJc w:val="left"/>
      <w:pPr>
        <w:ind w:left="5474" w:hanging="360"/>
      </w:pPr>
      <w:rPr>
        <w:rFonts w:ascii="Symbol" w:hAnsi="Symbol" w:hint="default"/>
      </w:rPr>
    </w:lvl>
    <w:lvl w:ilvl="7" w:tplc="040A0003" w:tentative="1">
      <w:start w:val="1"/>
      <w:numFmt w:val="bullet"/>
      <w:lvlText w:val="o"/>
      <w:lvlJc w:val="left"/>
      <w:pPr>
        <w:ind w:left="6194" w:hanging="360"/>
      </w:pPr>
      <w:rPr>
        <w:rFonts w:ascii="Courier New" w:hAnsi="Courier New" w:cs="Courier New" w:hint="default"/>
      </w:rPr>
    </w:lvl>
    <w:lvl w:ilvl="8" w:tplc="040A0005" w:tentative="1">
      <w:start w:val="1"/>
      <w:numFmt w:val="bullet"/>
      <w:lvlText w:val=""/>
      <w:lvlJc w:val="left"/>
      <w:pPr>
        <w:ind w:left="6914" w:hanging="360"/>
      </w:pPr>
      <w:rPr>
        <w:rFonts w:ascii="Wingdings" w:hAnsi="Wingdings" w:hint="default"/>
      </w:rPr>
    </w:lvl>
  </w:abstractNum>
  <w:abstractNum w:abstractNumId="47" w15:restartNumberingAfterBreak="0">
    <w:nsid w:val="7C1D3842"/>
    <w:multiLevelType w:val="hybridMultilevel"/>
    <w:tmpl w:val="F552D8B2"/>
    <w:lvl w:ilvl="0" w:tplc="F4D08554">
      <w:start w:val="3"/>
      <w:numFmt w:val="bullet"/>
      <w:lvlText w:val="-"/>
      <w:lvlJc w:val="left"/>
      <w:pPr>
        <w:ind w:left="1154" w:hanging="360"/>
      </w:pPr>
      <w:rPr>
        <w:rFonts w:ascii="Times New Roman" w:eastAsia="Calibri" w:hAnsi="Times New Roman" w:cs="Times New Roman" w:hint="default"/>
      </w:rPr>
    </w:lvl>
    <w:lvl w:ilvl="1" w:tplc="040A0003" w:tentative="1">
      <w:start w:val="1"/>
      <w:numFmt w:val="bullet"/>
      <w:lvlText w:val="o"/>
      <w:lvlJc w:val="left"/>
      <w:pPr>
        <w:ind w:left="1874" w:hanging="360"/>
      </w:pPr>
      <w:rPr>
        <w:rFonts w:ascii="Courier New" w:hAnsi="Courier New" w:cs="Courier New" w:hint="default"/>
      </w:rPr>
    </w:lvl>
    <w:lvl w:ilvl="2" w:tplc="040A0005" w:tentative="1">
      <w:start w:val="1"/>
      <w:numFmt w:val="bullet"/>
      <w:lvlText w:val=""/>
      <w:lvlJc w:val="left"/>
      <w:pPr>
        <w:ind w:left="2594" w:hanging="360"/>
      </w:pPr>
      <w:rPr>
        <w:rFonts w:ascii="Wingdings" w:hAnsi="Wingdings" w:hint="default"/>
      </w:rPr>
    </w:lvl>
    <w:lvl w:ilvl="3" w:tplc="040A0001" w:tentative="1">
      <w:start w:val="1"/>
      <w:numFmt w:val="bullet"/>
      <w:lvlText w:val=""/>
      <w:lvlJc w:val="left"/>
      <w:pPr>
        <w:ind w:left="3314" w:hanging="360"/>
      </w:pPr>
      <w:rPr>
        <w:rFonts w:ascii="Symbol" w:hAnsi="Symbol" w:hint="default"/>
      </w:rPr>
    </w:lvl>
    <w:lvl w:ilvl="4" w:tplc="040A0003" w:tentative="1">
      <w:start w:val="1"/>
      <w:numFmt w:val="bullet"/>
      <w:lvlText w:val="o"/>
      <w:lvlJc w:val="left"/>
      <w:pPr>
        <w:ind w:left="4034" w:hanging="360"/>
      </w:pPr>
      <w:rPr>
        <w:rFonts w:ascii="Courier New" w:hAnsi="Courier New" w:cs="Courier New" w:hint="default"/>
      </w:rPr>
    </w:lvl>
    <w:lvl w:ilvl="5" w:tplc="040A0005" w:tentative="1">
      <w:start w:val="1"/>
      <w:numFmt w:val="bullet"/>
      <w:lvlText w:val=""/>
      <w:lvlJc w:val="left"/>
      <w:pPr>
        <w:ind w:left="4754" w:hanging="360"/>
      </w:pPr>
      <w:rPr>
        <w:rFonts w:ascii="Wingdings" w:hAnsi="Wingdings" w:hint="default"/>
      </w:rPr>
    </w:lvl>
    <w:lvl w:ilvl="6" w:tplc="040A0001" w:tentative="1">
      <w:start w:val="1"/>
      <w:numFmt w:val="bullet"/>
      <w:lvlText w:val=""/>
      <w:lvlJc w:val="left"/>
      <w:pPr>
        <w:ind w:left="5474" w:hanging="360"/>
      </w:pPr>
      <w:rPr>
        <w:rFonts w:ascii="Symbol" w:hAnsi="Symbol" w:hint="default"/>
      </w:rPr>
    </w:lvl>
    <w:lvl w:ilvl="7" w:tplc="040A0003" w:tentative="1">
      <w:start w:val="1"/>
      <w:numFmt w:val="bullet"/>
      <w:lvlText w:val="o"/>
      <w:lvlJc w:val="left"/>
      <w:pPr>
        <w:ind w:left="6194" w:hanging="360"/>
      </w:pPr>
      <w:rPr>
        <w:rFonts w:ascii="Courier New" w:hAnsi="Courier New" w:cs="Courier New" w:hint="default"/>
      </w:rPr>
    </w:lvl>
    <w:lvl w:ilvl="8" w:tplc="040A0005" w:tentative="1">
      <w:start w:val="1"/>
      <w:numFmt w:val="bullet"/>
      <w:lvlText w:val=""/>
      <w:lvlJc w:val="left"/>
      <w:pPr>
        <w:ind w:left="6914" w:hanging="360"/>
      </w:pPr>
      <w:rPr>
        <w:rFonts w:ascii="Wingdings" w:hAnsi="Wingdings" w:hint="default"/>
      </w:rPr>
    </w:lvl>
  </w:abstractNum>
  <w:abstractNum w:abstractNumId="48" w15:restartNumberingAfterBreak="0">
    <w:nsid w:val="7C290E9A"/>
    <w:multiLevelType w:val="hybridMultilevel"/>
    <w:tmpl w:val="D960D314"/>
    <w:lvl w:ilvl="0" w:tplc="7A5A5A44">
      <w:numFmt w:val="bullet"/>
      <w:lvlText w:val="-"/>
      <w:lvlJc w:val="left"/>
      <w:pPr>
        <w:ind w:left="2220" w:hanging="360"/>
      </w:pPr>
      <w:rPr>
        <w:rFonts w:ascii="Calibri" w:eastAsia="Calibri" w:hAnsi="Calibri" w:cs="Times New Roman"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9" w15:restartNumberingAfterBreak="0">
    <w:nsid w:val="7C910C57"/>
    <w:multiLevelType w:val="hybridMultilevel"/>
    <w:tmpl w:val="4CC6B0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7CC30963"/>
    <w:multiLevelType w:val="hybridMultilevel"/>
    <w:tmpl w:val="7A78C04E"/>
    <w:name w:val="Numbered list 21"/>
    <w:lvl w:ilvl="0" w:tplc="E86898C2">
      <w:numFmt w:val="bullet"/>
      <w:lvlText w:val="-"/>
      <w:lvlJc w:val="left"/>
      <w:pPr>
        <w:ind w:left="792" w:firstLine="0"/>
      </w:pPr>
      <w:rPr>
        <w:rFonts w:ascii="StobiSerif Regular" w:eastAsia="Times New Roman" w:hAnsi="StobiSerif Regular"/>
      </w:rPr>
    </w:lvl>
    <w:lvl w:ilvl="1" w:tplc="E5C8BE60">
      <w:numFmt w:val="bullet"/>
      <w:lvlText w:val="o"/>
      <w:lvlJc w:val="left"/>
      <w:pPr>
        <w:ind w:left="792" w:firstLine="0"/>
      </w:pPr>
      <w:rPr>
        <w:rFonts w:ascii="Courier New" w:hAnsi="Courier New"/>
      </w:rPr>
    </w:lvl>
    <w:lvl w:ilvl="2" w:tplc="0D863B32">
      <w:numFmt w:val="bullet"/>
      <w:lvlText w:val=""/>
      <w:lvlJc w:val="left"/>
      <w:pPr>
        <w:ind w:left="1512" w:firstLine="0"/>
      </w:pPr>
      <w:rPr>
        <w:rFonts w:ascii="Wingdings" w:eastAsia="Wingdings" w:hAnsi="Wingdings" w:cs="Wingdings"/>
      </w:rPr>
    </w:lvl>
    <w:lvl w:ilvl="3" w:tplc="4C1E90FC">
      <w:numFmt w:val="bullet"/>
      <w:lvlText w:val=""/>
      <w:lvlJc w:val="left"/>
      <w:pPr>
        <w:ind w:left="2232" w:firstLine="0"/>
      </w:pPr>
      <w:rPr>
        <w:rFonts w:ascii="Symbol" w:hAnsi="Symbol"/>
      </w:rPr>
    </w:lvl>
    <w:lvl w:ilvl="4" w:tplc="7EE21E60">
      <w:numFmt w:val="bullet"/>
      <w:lvlText w:val="o"/>
      <w:lvlJc w:val="left"/>
      <w:pPr>
        <w:ind w:left="2952" w:firstLine="0"/>
      </w:pPr>
      <w:rPr>
        <w:rFonts w:ascii="Courier New" w:hAnsi="Courier New"/>
      </w:rPr>
    </w:lvl>
    <w:lvl w:ilvl="5" w:tplc="B09E4D2A">
      <w:numFmt w:val="bullet"/>
      <w:lvlText w:val=""/>
      <w:lvlJc w:val="left"/>
      <w:pPr>
        <w:ind w:left="3672" w:firstLine="0"/>
      </w:pPr>
      <w:rPr>
        <w:rFonts w:ascii="Wingdings" w:eastAsia="Wingdings" w:hAnsi="Wingdings" w:cs="Wingdings"/>
      </w:rPr>
    </w:lvl>
    <w:lvl w:ilvl="6" w:tplc="D2B4F258">
      <w:numFmt w:val="bullet"/>
      <w:lvlText w:val=""/>
      <w:lvlJc w:val="left"/>
      <w:pPr>
        <w:ind w:left="4392" w:firstLine="0"/>
      </w:pPr>
      <w:rPr>
        <w:rFonts w:ascii="Symbol" w:hAnsi="Symbol"/>
      </w:rPr>
    </w:lvl>
    <w:lvl w:ilvl="7" w:tplc="B6CC59B2">
      <w:numFmt w:val="bullet"/>
      <w:lvlText w:val="o"/>
      <w:lvlJc w:val="left"/>
      <w:pPr>
        <w:ind w:left="5112" w:firstLine="0"/>
      </w:pPr>
      <w:rPr>
        <w:rFonts w:ascii="Courier New" w:hAnsi="Courier New"/>
      </w:rPr>
    </w:lvl>
    <w:lvl w:ilvl="8" w:tplc="69D80BEC">
      <w:numFmt w:val="bullet"/>
      <w:lvlText w:val=""/>
      <w:lvlJc w:val="left"/>
      <w:pPr>
        <w:ind w:left="5832" w:firstLine="0"/>
      </w:pPr>
      <w:rPr>
        <w:rFonts w:ascii="Wingdings" w:eastAsia="Wingdings" w:hAnsi="Wingdings" w:cs="Wingdings"/>
      </w:rPr>
    </w:lvl>
  </w:abstractNum>
  <w:abstractNum w:abstractNumId="51" w15:restartNumberingAfterBreak="0">
    <w:nsid w:val="7D7D06DE"/>
    <w:multiLevelType w:val="hybridMultilevel"/>
    <w:tmpl w:val="B504D7F0"/>
    <w:lvl w:ilvl="0" w:tplc="3B50B9C6">
      <w:start w:val="2"/>
      <w:numFmt w:val="bullet"/>
      <w:lvlText w:val="→"/>
      <w:lvlJc w:val="left"/>
      <w:pPr>
        <w:ind w:left="1440" w:hanging="360"/>
      </w:pPr>
      <w:rPr>
        <w:rFonts w:ascii="Arial" w:eastAsia="Arial Unicode MS"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EFD73FF"/>
    <w:multiLevelType w:val="hybridMultilevel"/>
    <w:tmpl w:val="8B1A0EAE"/>
    <w:lvl w:ilvl="0" w:tplc="0809000D">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3"/>
  </w:num>
  <w:num w:numId="3">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44"/>
  </w:num>
  <w:num w:numId="6">
    <w:abstractNumId w:val="52"/>
  </w:num>
  <w:num w:numId="7">
    <w:abstractNumId w:val="26"/>
  </w:num>
  <w:num w:numId="8">
    <w:abstractNumId w:val="32"/>
  </w:num>
  <w:num w:numId="9">
    <w:abstractNumId w:val="32"/>
  </w:num>
  <w:num w:numId="10">
    <w:abstractNumId w:val="11"/>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39"/>
  </w:num>
  <w:num w:numId="15">
    <w:abstractNumId w:val="13"/>
  </w:num>
  <w:num w:numId="16">
    <w:abstractNumId w:val="34"/>
  </w:num>
  <w:num w:numId="17">
    <w:abstractNumId w:val="22"/>
  </w:num>
  <w:num w:numId="18">
    <w:abstractNumId w:val="40"/>
  </w:num>
  <w:num w:numId="19">
    <w:abstractNumId w:val="49"/>
  </w:num>
  <w:num w:numId="20">
    <w:abstractNumId w:val="4"/>
  </w:num>
  <w:num w:numId="21">
    <w:abstractNumId w:val="15"/>
  </w:num>
  <w:num w:numId="22">
    <w:abstractNumId w:val="2"/>
  </w:num>
  <w:num w:numId="23">
    <w:abstractNumId w:val="50"/>
  </w:num>
  <w:num w:numId="24">
    <w:abstractNumId w:val="38"/>
  </w:num>
  <w:num w:numId="25">
    <w:abstractNumId w:val="35"/>
  </w:num>
  <w:num w:numId="26">
    <w:abstractNumId w:val="9"/>
  </w:num>
  <w:num w:numId="27">
    <w:abstractNumId w:val="0"/>
  </w:num>
  <w:num w:numId="28">
    <w:abstractNumId w:val="12"/>
  </w:num>
  <w:num w:numId="29">
    <w:abstractNumId w:val="36"/>
  </w:num>
  <w:num w:numId="30">
    <w:abstractNumId w:val="30"/>
  </w:num>
  <w:num w:numId="31">
    <w:abstractNumId w:val="8"/>
  </w:num>
  <w:num w:numId="32">
    <w:abstractNumId w:val="28"/>
  </w:num>
  <w:num w:numId="33">
    <w:abstractNumId w:val="10"/>
  </w:num>
  <w:num w:numId="34">
    <w:abstractNumId w:val="24"/>
  </w:num>
  <w:num w:numId="35">
    <w:abstractNumId w:val="47"/>
  </w:num>
  <w:num w:numId="36">
    <w:abstractNumId w:val="46"/>
  </w:num>
  <w:num w:numId="37">
    <w:abstractNumId w:val="29"/>
  </w:num>
  <w:num w:numId="38">
    <w:abstractNumId w:val="43"/>
  </w:num>
  <w:num w:numId="39">
    <w:abstractNumId w:val="41"/>
  </w:num>
  <w:num w:numId="40">
    <w:abstractNumId w:val="25"/>
  </w:num>
  <w:num w:numId="41">
    <w:abstractNumId w:val="48"/>
  </w:num>
  <w:num w:numId="42">
    <w:abstractNumId w:val="37"/>
  </w:num>
  <w:num w:numId="43">
    <w:abstractNumId w:val="1"/>
  </w:num>
  <w:num w:numId="44">
    <w:abstractNumId w:val="21"/>
  </w:num>
  <w:num w:numId="45">
    <w:abstractNumId w:val="33"/>
  </w:num>
  <w:num w:numId="46">
    <w:abstractNumId w:val="16"/>
  </w:num>
  <w:num w:numId="47">
    <w:abstractNumId w:val="31"/>
  </w:num>
  <w:num w:numId="48">
    <w:abstractNumId w:val="27"/>
  </w:num>
  <w:num w:numId="49">
    <w:abstractNumId w:val="7"/>
  </w:num>
  <w:num w:numId="50">
    <w:abstractNumId w:val="6"/>
  </w:num>
  <w:num w:numId="51">
    <w:abstractNumId w:val="20"/>
  </w:num>
  <w:num w:numId="52">
    <w:abstractNumId w:val="19"/>
  </w:num>
  <w:num w:numId="53">
    <w:abstractNumId w:val="51"/>
  </w:num>
  <w:num w:numId="54">
    <w:abstractNumId w:val="23"/>
  </w:num>
  <w:num w:numId="55">
    <w:abstractNumId w:val="17"/>
  </w:num>
  <w:num w:numId="56">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wNjE3NzW2NDUzMzNQ0lEKTi0uzszPAykwrAUAj6izdiwAAAA="/>
    <w:docVar w:name="LW_DocType" w:val="NORMAL"/>
  </w:docVars>
  <w:rsids>
    <w:rsidRoot w:val="00A86256"/>
    <w:rsid w:val="00000A17"/>
    <w:rsid w:val="00001C85"/>
    <w:rsid w:val="000021DC"/>
    <w:rsid w:val="0000303F"/>
    <w:rsid w:val="000037A3"/>
    <w:rsid w:val="00004F47"/>
    <w:rsid w:val="000052CA"/>
    <w:rsid w:val="000057DC"/>
    <w:rsid w:val="00005D65"/>
    <w:rsid w:val="00006C1E"/>
    <w:rsid w:val="00006F3A"/>
    <w:rsid w:val="00007979"/>
    <w:rsid w:val="000113D1"/>
    <w:rsid w:val="00011B68"/>
    <w:rsid w:val="00011D93"/>
    <w:rsid w:val="00012BFC"/>
    <w:rsid w:val="000132E5"/>
    <w:rsid w:val="00013440"/>
    <w:rsid w:val="0001347C"/>
    <w:rsid w:val="000141C3"/>
    <w:rsid w:val="00014B0D"/>
    <w:rsid w:val="000154BA"/>
    <w:rsid w:val="000158DC"/>
    <w:rsid w:val="00015AC9"/>
    <w:rsid w:val="00015CF3"/>
    <w:rsid w:val="00017F02"/>
    <w:rsid w:val="000204A8"/>
    <w:rsid w:val="00021098"/>
    <w:rsid w:val="000216AB"/>
    <w:rsid w:val="00021A09"/>
    <w:rsid w:val="0002366B"/>
    <w:rsid w:val="00023BD3"/>
    <w:rsid w:val="00025242"/>
    <w:rsid w:val="0002592B"/>
    <w:rsid w:val="00030C23"/>
    <w:rsid w:val="00030FF8"/>
    <w:rsid w:val="0003129E"/>
    <w:rsid w:val="00031765"/>
    <w:rsid w:val="00032C27"/>
    <w:rsid w:val="0003318C"/>
    <w:rsid w:val="00033C82"/>
    <w:rsid w:val="000342BE"/>
    <w:rsid w:val="000345C8"/>
    <w:rsid w:val="00035E80"/>
    <w:rsid w:val="000368A6"/>
    <w:rsid w:val="00037227"/>
    <w:rsid w:val="00040E35"/>
    <w:rsid w:val="00041660"/>
    <w:rsid w:val="000416DC"/>
    <w:rsid w:val="000418A1"/>
    <w:rsid w:val="00042126"/>
    <w:rsid w:val="000422FC"/>
    <w:rsid w:val="00042AA5"/>
    <w:rsid w:val="00042F66"/>
    <w:rsid w:val="000434F1"/>
    <w:rsid w:val="00043C0F"/>
    <w:rsid w:val="00044310"/>
    <w:rsid w:val="00044C76"/>
    <w:rsid w:val="000451E7"/>
    <w:rsid w:val="0004548E"/>
    <w:rsid w:val="00047D40"/>
    <w:rsid w:val="0005032F"/>
    <w:rsid w:val="00050ADF"/>
    <w:rsid w:val="00051ACD"/>
    <w:rsid w:val="000531F1"/>
    <w:rsid w:val="000532A3"/>
    <w:rsid w:val="00053C4A"/>
    <w:rsid w:val="000540F7"/>
    <w:rsid w:val="00054E58"/>
    <w:rsid w:val="00055152"/>
    <w:rsid w:val="0005568F"/>
    <w:rsid w:val="00055A04"/>
    <w:rsid w:val="00055BB2"/>
    <w:rsid w:val="00055CC4"/>
    <w:rsid w:val="00055FE3"/>
    <w:rsid w:val="00056B72"/>
    <w:rsid w:val="00057858"/>
    <w:rsid w:val="000578E7"/>
    <w:rsid w:val="00062893"/>
    <w:rsid w:val="000629E6"/>
    <w:rsid w:val="00063372"/>
    <w:rsid w:val="0006347F"/>
    <w:rsid w:val="0006348C"/>
    <w:rsid w:val="0006455D"/>
    <w:rsid w:val="000648C4"/>
    <w:rsid w:val="00064A87"/>
    <w:rsid w:val="000662EC"/>
    <w:rsid w:val="0006685B"/>
    <w:rsid w:val="00066F68"/>
    <w:rsid w:val="000704F5"/>
    <w:rsid w:val="000714D2"/>
    <w:rsid w:val="00071637"/>
    <w:rsid w:val="00071D1E"/>
    <w:rsid w:val="0007227F"/>
    <w:rsid w:val="00073849"/>
    <w:rsid w:val="00073FCE"/>
    <w:rsid w:val="00077A3A"/>
    <w:rsid w:val="00077FDB"/>
    <w:rsid w:val="000807D6"/>
    <w:rsid w:val="00080DFD"/>
    <w:rsid w:val="000810D6"/>
    <w:rsid w:val="00081510"/>
    <w:rsid w:val="00081731"/>
    <w:rsid w:val="000826E9"/>
    <w:rsid w:val="000827CD"/>
    <w:rsid w:val="00082834"/>
    <w:rsid w:val="00083BC4"/>
    <w:rsid w:val="00083E7B"/>
    <w:rsid w:val="000848FD"/>
    <w:rsid w:val="00085DBE"/>
    <w:rsid w:val="000870C0"/>
    <w:rsid w:val="00087425"/>
    <w:rsid w:val="0008748D"/>
    <w:rsid w:val="00091845"/>
    <w:rsid w:val="00091F48"/>
    <w:rsid w:val="00095EDA"/>
    <w:rsid w:val="000976DA"/>
    <w:rsid w:val="00097767"/>
    <w:rsid w:val="00097773"/>
    <w:rsid w:val="0009789C"/>
    <w:rsid w:val="000A15CA"/>
    <w:rsid w:val="000A22C9"/>
    <w:rsid w:val="000A2A9A"/>
    <w:rsid w:val="000A339E"/>
    <w:rsid w:val="000A3AF9"/>
    <w:rsid w:val="000A4275"/>
    <w:rsid w:val="000A480B"/>
    <w:rsid w:val="000A4DBF"/>
    <w:rsid w:val="000A5B6A"/>
    <w:rsid w:val="000A61EE"/>
    <w:rsid w:val="000A6467"/>
    <w:rsid w:val="000A6C65"/>
    <w:rsid w:val="000A7A06"/>
    <w:rsid w:val="000B11ED"/>
    <w:rsid w:val="000B2EE3"/>
    <w:rsid w:val="000B3212"/>
    <w:rsid w:val="000B384F"/>
    <w:rsid w:val="000B45DC"/>
    <w:rsid w:val="000B4D10"/>
    <w:rsid w:val="000B4FF6"/>
    <w:rsid w:val="000B53E8"/>
    <w:rsid w:val="000B7060"/>
    <w:rsid w:val="000C16B2"/>
    <w:rsid w:val="000C2A0F"/>
    <w:rsid w:val="000C2BBE"/>
    <w:rsid w:val="000C381D"/>
    <w:rsid w:val="000C3F44"/>
    <w:rsid w:val="000C41E2"/>
    <w:rsid w:val="000C45F3"/>
    <w:rsid w:val="000C4B0E"/>
    <w:rsid w:val="000C5767"/>
    <w:rsid w:val="000C5ECC"/>
    <w:rsid w:val="000C743D"/>
    <w:rsid w:val="000C763F"/>
    <w:rsid w:val="000D0058"/>
    <w:rsid w:val="000D04DD"/>
    <w:rsid w:val="000D1439"/>
    <w:rsid w:val="000D2E50"/>
    <w:rsid w:val="000D30EC"/>
    <w:rsid w:val="000D38C0"/>
    <w:rsid w:val="000D3D83"/>
    <w:rsid w:val="000D5FD0"/>
    <w:rsid w:val="000D69D1"/>
    <w:rsid w:val="000E093C"/>
    <w:rsid w:val="000E1283"/>
    <w:rsid w:val="000E1D5D"/>
    <w:rsid w:val="000E1F66"/>
    <w:rsid w:val="000E239E"/>
    <w:rsid w:val="000E3120"/>
    <w:rsid w:val="000E3B69"/>
    <w:rsid w:val="000E3E49"/>
    <w:rsid w:val="000E3FC9"/>
    <w:rsid w:val="000E5C39"/>
    <w:rsid w:val="000E6010"/>
    <w:rsid w:val="000E675E"/>
    <w:rsid w:val="000E6992"/>
    <w:rsid w:val="000E748E"/>
    <w:rsid w:val="000E79AD"/>
    <w:rsid w:val="000E7AB5"/>
    <w:rsid w:val="000F0118"/>
    <w:rsid w:val="000F01BF"/>
    <w:rsid w:val="000F2E7A"/>
    <w:rsid w:val="000F329E"/>
    <w:rsid w:val="000F3DA3"/>
    <w:rsid w:val="000F408A"/>
    <w:rsid w:val="000F63B5"/>
    <w:rsid w:val="000F68AF"/>
    <w:rsid w:val="001002B2"/>
    <w:rsid w:val="0010038C"/>
    <w:rsid w:val="00100BAF"/>
    <w:rsid w:val="001014E5"/>
    <w:rsid w:val="001033DE"/>
    <w:rsid w:val="00104963"/>
    <w:rsid w:val="001052F7"/>
    <w:rsid w:val="00105AB4"/>
    <w:rsid w:val="00105D53"/>
    <w:rsid w:val="00105FD8"/>
    <w:rsid w:val="0010620D"/>
    <w:rsid w:val="00106254"/>
    <w:rsid w:val="0010779E"/>
    <w:rsid w:val="001108E0"/>
    <w:rsid w:val="00111498"/>
    <w:rsid w:val="00112D75"/>
    <w:rsid w:val="0011306F"/>
    <w:rsid w:val="00114E6A"/>
    <w:rsid w:val="00115432"/>
    <w:rsid w:val="00115A9D"/>
    <w:rsid w:val="0011656B"/>
    <w:rsid w:val="001174D7"/>
    <w:rsid w:val="00121842"/>
    <w:rsid w:val="001218E0"/>
    <w:rsid w:val="00121B65"/>
    <w:rsid w:val="00122150"/>
    <w:rsid w:val="00122503"/>
    <w:rsid w:val="00122B47"/>
    <w:rsid w:val="001236DE"/>
    <w:rsid w:val="0012486B"/>
    <w:rsid w:val="0012558E"/>
    <w:rsid w:val="00125E12"/>
    <w:rsid w:val="001260D7"/>
    <w:rsid w:val="00126B51"/>
    <w:rsid w:val="00131036"/>
    <w:rsid w:val="00133B61"/>
    <w:rsid w:val="00133D40"/>
    <w:rsid w:val="00134AF5"/>
    <w:rsid w:val="0013501D"/>
    <w:rsid w:val="001356DF"/>
    <w:rsid w:val="001358AA"/>
    <w:rsid w:val="0013592D"/>
    <w:rsid w:val="0013744C"/>
    <w:rsid w:val="00140835"/>
    <w:rsid w:val="00141967"/>
    <w:rsid w:val="00142EC1"/>
    <w:rsid w:val="00143C18"/>
    <w:rsid w:val="00143D0C"/>
    <w:rsid w:val="00143E77"/>
    <w:rsid w:val="001441BB"/>
    <w:rsid w:val="00144C32"/>
    <w:rsid w:val="001455C9"/>
    <w:rsid w:val="001456D1"/>
    <w:rsid w:val="00145F6F"/>
    <w:rsid w:val="001477BA"/>
    <w:rsid w:val="00147CFF"/>
    <w:rsid w:val="0015034D"/>
    <w:rsid w:val="00151047"/>
    <w:rsid w:val="00151C9F"/>
    <w:rsid w:val="001521BE"/>
    <w:rsid w:val="00152B1D"/>
    <w:rsid w:val="00152CAE"/>
    <w:rsid w:val="00153397"/>
    <w:rsid w:val="00155AA9"/>
    <w:rsid w:val="00156199"/>
    <w:rsid w:val="001562D8"/>
    <w:rsid w:val="00156748"/>
    <w:rsid w:val="00156E41"/>
    <w:rsid w:val="001620A4"/>
    <w:rsid w:val="00162278"/>
    <w:rsid w:val="00162F5A"/>
    <w:rsid w:val="001633E3"/>
    <w:rsid w:val="0016478B"/>
    <w:rsid w:val="001649E8"/>
    <w:rsid w:val="00165032"/>
    <w:rsid w:val="00165C5C"/>
    <w:rsid w:val="001669B6"/>
    <w:rsid w:val="001669DF"/>
    <w:rsid w:val="00166C20"/>
    <w:rsid w:val="00166F2A"/>
    <w:rsid w:val="00167092"/>
    <w:rsid w:val="00167422"/>
    <w:rsid w:val="001706D6"/>
    <w:rsid w:val="00170DDA"/>
    <w:rsid w:val="00170FB2"/>
    <w:rsid w:val="00171393"/>
    <w:rsid w:val="001722F0"/>
    <w:rsid w:val="00172B02"/>
    <w:rsid w:val="00172C88"/>
    <w:rsid w:val="00173BB8"/>
    <w:rsid w:val="00174E00"/>
    <w:rsid w:val="00175983"/>
    <w:rsid w:val="00175AB6"/>
    <w:rsid w:val="0017625D"/>
    <w:rsid w:val="00177439"/>
    <w:rsid w:val="00177D95"/>
    <w:rsid w:val="001811A2"/>
    <w:rsid w:val="0018158A"/>
    <w:rsid w:val="00182C3B"/>
    <w:rsid w:val="0018436A"/>
    <w:rsid w:val="001845C5"/>
    <w:rsid w:val="00184874"/>
    <w:rsid w:val="00184A63"/>
    <w:rsid w:val="0018579B"/>
    <w:rsid w:val="0018608C"/>
    <w:rsid w:val="00186278"/>
    <w:rsid w:val="0018689C"/>
    <w:rsid w:val="00190D5A"/>
    <w:rsid w:val="00191072"/>
    <w:rsid w:val="001930C7"/>
    <w:rsid w:val="0019325D"/>
    <w:rsid w:val="0019347F"/>
    <w:rsid w:val="001935E9"/>
    <w:rsid w:val="001938E8"/>
    <w:rsid w:val="00193E63"/>
    <w:rsid w:val="00195D17"/>
    <w:rsid w:val="00196D6B"/>
    <w:rsid w:val="0019737F"/>
    <w:rsid w:val="001A0D1F"/>
    <w:rsid w:val="001A0E34"/>
    <w:rsid w:val="001A182B"/>
    <w:rsid w:val="001A2578"/>
    <w:rsid w:val="001A3841"/>
    <w:rsid w:val="001A3E76"/>
    <w:rsid w:val="001A459D"/>
    <w:rsid w:val="001A5F20"/>
    <w:rsid w:val="001A78EF"/>
    <w:rsid w:val="001B258E"/>
    <w:rsid w:val="001B2E35"/>
    <w:rsid w:val="001B2E73"/>
    <w:rsid w:val="001B5A4C"/>
    <w:rsid w:val="001C05CA"/>
    <w:rsid w:val="001C1796"/>
    <w:rsid w:val="001C2269"/>
    <w:rsid w:val="001C241D"/>
    <w:rsid w:val="001C3485"/>
    <w:rsid w:val="001C3CCE"/>
    <w:rsid w:val="001C43B9"/>
    <w:rsid w:val="001C5528"/>
    <w:rsid w:val="001C66F5"/>
    <w:rsid w:val="001C6E8D"/>
    <w:rsid w:val="001C7EB4"/>
    <w:rsid w:val="001D0FFE"/>
    <w:rsid w:val="001D20D6"/>
    <w:rsid w:val="001D3BD6"/>
    <w:rsid w:val="001D3FC9"/>
    <w:rsid w:val="001D4187"/>
    <w:rsid w:val="001D442B"/>
    <w:rsid w:val="001D527B"/>
    <w:rsid w:val="001D52A1"/>
    <w:rsid w:val="001D6165"/>
    <w:rsid w:val="001D61AF"/>
    <w:rsid w:val="001D6990"/>
    <w:rsid w:val="001D7106"/>
    <w:rsid w:val="001D7D4C"/>
    <w:rsid w:val="001E0154"/>
    <w:rsid w:val="001E1F3F"/>
    <w:rsid w:val="001E3362"/>
    <w:rsid w:val="001E3DCB"/>
    <w:rsid w:val="001E3F35"/>
    <w:rsid w:val="001E3FBF"/>
    <w:rsid w:val="001E4707"/>
    <w:rsid w:val="001E5709"/>
    <w:rsid w:val="001E683C"/>
    <w:rsid w:val="001E6ADE"/>
    <w:rsid w:val="001E704E"/>
    <w:rsid w:val="001F110E"/>
    <w:rsid w:val="001F256F"/>
    <w:rsid w:val="001F2792"/>
    <w:rsid w:val="001F3A7D"/>
    <w:rsid w:val="001F3BC4"/>
    <w:rsid w:val="001F3EF5"/>
    <w:rsid w:val="001F40FF"/>
    <w:rsid w:val="001F58ED"/>
    <w:rsid w:val="001F7538"/>
    <w:rsid w:val="0020000F"/>
    <w:rsid w:val="00200519"/>
    <w:rsid w:val="0020052C"/>
    <w:rsid w:val="00201358"/>
    <w:rsid w:val="002014FB"/>
    <w:rsid w:val="002037E1"/>
    <w:rsid w:val="00204357"/>
    <w:rsid w:val="002046A8"/>
    <w:rsid w:val="00206889"/>
    <w:rsid w:val="00206EE4"/>
    <w:rsid w:val="00207114"/>
    <w:rsid w:val="00207D7E"/>
    <w:rsid w:val="00211EE8"/>
    <w:rsid w:val="0021200B"/>
    <w:rsid w:val="00212B20"/>
    <w:rsid w:val="002134C7"/>
    <w:rsid w:val="00214EB1"/>
    <w:rsid w:val="00215D7D"/>
    <w:rsid w:val="00216924"/>
    <w:rsid w:val="00217532"/>
    <w:rsid w:val="00217C64"/>
    <w:rsid w:val="0022163F"/>
    <w:rsid w:val="002216C9"/>
    <w:rsid w:val="00221903"/>
    <w:rsid w:val="0022259C"/>
    <w:rsid w:val="002227EA"/>
    <w:rsid w:val="00222D5C"/>
    <w:rsid w:val="00222F0F"/>
    <w:rsid w:val="002245DE"/>
    <w:rsid w:val="0022521F"/>
    <w:rsid w:val="002252FE"/>
    <w:rsid w:val="00225914"/>
    <w:rsid w:val="002271E1"/>
    <w:rsid w:val="0022770E"/>
    <w:rsid w:val="00227737"/>
    <w:rsid w:val="00227B49"/>
    <w:rsid w:val="00227BCD"/>
    <w:rsid w:val="00230BC4"/>
    <w:rsid w:val="002331D5"/>
    <w:rsid w:val="0023328F"/>
    <w:rsid w:val="00233D5D"/>
    <w:rsid w:val="002346A2"/>
    <w:rsid w:val="00235867"/>
    <w:rsid w:val="00236889"/>
    <w:rsid w:val="00236B9F"/>
    <w:rsid w:val="00237FB8"/>
    <w:rsid w:val="00240001"/>
    <w:rsid w:val="002408E3"/>
    <w:rsid w:val="00240E39"/>
    <w:rsid w:val="00240EA1"/>
    <w:rsid w:val="00240ECF"/>
    <w:rsid w:val="002411FF"/>
    <w:rsid w:val="00243206"/>
    <w:rsid w:val="002432F9"/>
    <w:rsid w:val="00244D99"/>
    <w:rsid w:val="00245697"/>
    <w:rsid w:val="00246473"/>
    <w:rsid w:val="00247759"/>
    <w:rsid w:val="00247809"/>
    <w:rsid w:val="00251636"/>
    <w:rsid w:val="00251B41"/>
    <w:rsid w:val="0025299A"/>
    <w:rsid w:val="002531D5"/>
    <w:rsid w:val="0025331D"/>
    <w:rsid w:val="00253E23"/>
    <w:rsid w:val="00253E32"/>
    <w:rsid w:val="002548F3"/>
    <w:rsid w:val="002555C3"/>
    <w:rsid w:val="002559ED"/>
    <w:rsid w:val="00256293"/>
    <w:rsid w:val="002563E5"/>
    <w:rsid w:val="002565D1"/>
    <w:rsid w:val="00257261"/>
    <w:rsid w:val="0025735B"/>
    <w:rsid w:val="00260EB6"/>
    <w:rsid w:val="00261420"/>
    <w:rsid w:val="002629C0"/>
    <w:rsid w:val="00263832"/>
    <w:rsid w:val="00263E9C"/>
    <w:rsid w:val="00264450"/>
    <w:rsid w:val="0026682D"/>
    <w:rsid w:val="00267088"/>
    <w:rsid w:val="0027028A"/>
    <w:rsid w:val="00270835"/>
    <w:rsid w:val="0027110D"/>
    <w:rsid w:val="00271FE8"/>
    <w:rsid w:val="002722C5"/>
    <w:rsid w:val="00272418"/>
    <w:rsid w:val="002727D9"/>
    <w:rsid w:val="00272C00"/>
    <w:rsid w:val="00274A75"/>
    <w:rsid w:val="00275713"/>
    <w:rsid w:val="00276338"/>
    <w:rsid w:val="0027684E"/>
    <w:rsid w:val="00276DC9"/>
    <w:rsid w:val="0027704C"/>
    <w:rsid w:val="00277B23"/>
    <w:rsid w:val="00280976"/>
    <w:rsid w:val="002809C9"/>
    <w:rsid w:val="00280AD8"/>
    <w:rsid w:val="00281092"/>
    <w:rsid w:val="00282B67"/>
    <w:rsid w:val="00283958"/>
    <w:rsid w:val="00283987"/>
    <w:rsid w:val="0028457E"/>
    <w:rsid w:val="002853BE"/>
    <w:rsid w:val="00285671"/>
    <w:rsid w:val="00285B6F"/>
    <w:rsid w:val="0028675E"/>
    <w:rsid w:val="002874F0"/>
    <w:rsid w:val="00287C7C"/>
    <w:rsid w:val="00290816"/>
    <w:rsid w:val="00291413"/>
    <w:rsid w:val="002933A2"/>
    <w:rsid w:val="00293413"/>
    <w:rsid w:val="00294694"/>
    <w:rsid w:val="00294728"/>
    <w:rsid w:val="002951A6"/>
    <w:rsid w:val="002955A0"/>
    <w:rsid w:val="002957F5"/>
    <w:rsid w:val="00295D68"/>
    <w:rsid w:val="00296064"/>
    <w:rsid w:val="00296A63"/>
    <w:rsid w:val="0029784F"/>
    <w:rsid w:val="002A0943"/>
    <w:rsid w:val="002A11F2"/>
    <w:rsid w:val="002A15C3"/>
    <w:rsid w:val="002A17B6"/>
    <w:rsid w:val="002A1B45"/>
    <w:rsid w:val="002A2B60"/>
    <w:rsid w:val="002A2C32"/>
    <w:rsid w:val="002A37F2"/>
    <w:rsid w:val="002A3DBD"/>
    <w:rsid w:val="002A4D87"/>
    <w:rsid w:val="002A555E"/>
    <w:rsid w:val="002A687A"/>
    <w:rsid w:val="002A7AB3"/>
    <w:rsid w:val="002B1730"/>
    <w:rsid w:val="002B2848"/>
    <w:rsid w:val="002B378B"/>
    <w:rsid w:val="002B3971"/>
    <w:rsid w:val="002B4B2A"/>
    <w:rsid w:val="002B6204"/>
    <w:rsid w:val="002B7FCA"/>
    <w:rsid w:val="002C13BB"/>
    <w:rsid w:val="002C1847"/>
    <w:rsid w:val="002C191F"/>
    <w:rsid w:val="002C1DAC"/>
    <w:rsid w:val="002C1F04"/>
    <w:rsid w:val="002C1F1B"/>
    <w:rsid w:val="002C2B3A"/>
    <w:rsid w:val="002C42E7"/>
    <w:rsid w:val="002C48D5"/>
    <w:rsid w:val="002C4FF5"/>
    <w:rsid w:val="002C60EB"/>
    <w:rsid w:val="002C7371"/>
    <w:rsid w:val="002D0273"/>
    <w:rsid w:val="002D0776"/>
    <w:rsid w:val="002D14D4"/>
    <w:rsid w:val="002D1CC9"/>
    <w:rsid w:val="002D2908"/>
    <w:rsid w:val="002D2B77"/>
    <w:rsid w:val="002D3AA3"/>
    <w:rsid w:val="002D47F9"/>
    <w:rsid w:val="002D5B4D"/>
    <w:rsid w:val="002D6FD2"/>
    <w:rsid w:val="002D7485"/>
    <w:rsid w:val="002E076F"/>
    <w:rsid w:val="002E14D3"/>
    <w:rsid w:val="002E1C3C"/>
    <w:rsid w:val="002E2E9E"/>
    <w:rsid w:val="002E3467"/>
    <w:rsid w:val="002E361E"/>
    <w:rsid w:val="002E4011"/>
    <w:rsid w:val="002E40C7"/>
    <w:rsid w:val="002E5AE9"/>
    <w:rsid w:val="002E65AB"/>
    <w:rsid w:val="002E6C67"/>
    <w:rsid w:val="002E6CF7"/>
    <w:rsid w:val="002E7160"/>
    <w:rsid w:val="002F0E4A"/>
    <w:rsid w:val="002F0E62"/>
    <w:rsid w:val="002F1D1B"/>
    <w:rsid w:val="002F2C3D"/>
    <w:rsid w:val="002F445B"/>
    <w:rsid w:val="002F5D6D"/>
    <w:rsid w:val="002F6628"/>
    <w:rsid w:val="002F6ADE"/>
    <w:rsid w:val="002F71AC"/>
    <w:rsid w:val="002F745A"/>
    <w:rsid w:val="00301975"/>
    <w:rsid w:val="0030343A"/>
    <w:rsid w:val="003048AE"/>
    <w:rsid w:val="00304FCE"/>
    <w:rsid w:val="0030521A"/>
    <w:rsid w:val="00305B86"/>
    <w:rsid w:val="00306115"/>
    <w:rsid w:val="00307011"/>
    <w:rsid w:val="00307F05"/>
    <w:rsid w:val="00311C99"/>
    <w:rsid w:val="00311F4D"/>
    <w:rsid w:val="003131A2"/>
    <w:rsid w:val="00313272"/>
    <w:rsid w:val="00313AFD"/>
    <w:rsid w:val="0031415F"/>
    <w:rsid w:val="00314C78"/>
    <w:rsid w:val="00314DA5"/>
    <w:rsid w:val="00316940"/>
    <w:rsid w:val="00320033"/>
    <w:rsid w:val="003203EA"/>
    <w:rsid w:val="00321A53"/>
    <w:rsid w:val="00321ECD"/>
    <w:rsid w:val="00321F5A"/>
    <w:rsid w:val="003221ED"/>
    <w:rsid w:val="0032253E"/>
    <w:rsid w:val="00322575"/>
    <w:rsid w:val="0032271C"/>
    <w:rsid w:val="003234F3"/>
    <w:rsid w:val="00323A14"/>
    <w:rsid w:val="003243AF"/>
    <w:rsid w:val="0032510A"/>
    <w:rsid w:val="00326E7A"/>
    <w:rsid w:val="00327FD5"/>
    <w:rsid w:val="00331C5A"/>
    <w:rsid w:val="00331D0F"/>
    <w:rsid w:val="00331F99"/>
    <w:rsid w:val="00332066"/>
    <w:rsid w:val="00332AFA"/>
    <w:rsid w:val="00332BE3"/>
    <w:rsid w:val="00332C76"/>
    <w:rsid w:val="00332F56"/>
    <w:rsid w:val="00333E6E"/>
    <w:rsid w:val="003351CA"/>
    <w:rsid w:val="00335B4D"/>
    <w:rsid w:val="00335CF3"/>
    <w:rsid w:val="00335DC3"/>
    <w:rsid w:val="00337C7E"/>
    <w:rsid w:val="0033C93B"/>
    <w:rsid w:val="00341EF7"/>
    <w:rsid w:val="00341FDC"/>
    <w:rsid w:val="00344490"/>
    <w:rsid w:val="00344EF1"/>
    <w:rsid w:val="003475D6"/>
    <w:rsid w:val="0034769F"/>
    <w:rsid w:val="00350326"/>
    <w:rsid w:val="003514A8"/>
    <w:rsid w:val="00351F6B"/>
    <w:rsid w:val="0035261A"/>
    <w:rsid w:val="003529B8"/>
    <w:rsid w:val="00353320"/>
    <w:rsid w:val="003536F2"/>
    <w:rsid w:val="003536F8"/>
    <w:rsid w:val="00354F89"/>
    <w:rsid w:val="00354F90"/>
    <w:rsid w:val="00356580"/>
    <w:rsid w:val="003616A2"/>
    <w:rsid w:val="00361F52"/>
    <w:rsid w:val="0036280B"/>
    <w:rsid w:val="003637A7"/>
    <w:rsid w:val="00364D0D"/>
    <w:rsid w:val="0036593B"/>
    <w:rsid w:val="00366618"/>
    <w:rsid w:val="00366E5F"/>
    <w:rsid w:val="00367403"/>
    <w:rsid w:val="00367B20"/>
    <w:rsid w:val="00367D9E"/>
    <w:rsid w:val="003701E5"/>
    <w:rsid w:val="00372AD6"/>
    <w:rsid w:val="00372B55"/>
    <w:rsid w:val="00373914"/>
    <w:rsid w:val="00374530"/>
    <w:rsid w:val="00374746"/>
    <w:rsid w:val="00376097"/>
    <w:rsid w:val="0037642C"/>
    <w:rsid w:val="003775F2"/>
    <w:rsid w:val="003778EE"/>
    <w:rsid w:val="0037790F"/>
    <w:rsid w:val="00380F39"/>
    <w:rsid w:val="0038181F"/>
    <w:rsid w:val="0038271D"/>
    <w:rsid w:val="00382CE8"/>
    <w:rsid w:val="00384709"/>
    <w:rsid w:val="00384CB0"/>
    <w:rsid w:val="00386218"/>
    <w:rsid w:val="00386870"/>
    <w:rsid w:val="003909BD"/>
    <w:rsid w:val="003911FE"/>
    <w:rsid w:val="00391790"/>
    <w:rsid w:val="00391C28"/>
    <w:rsid w:val="00392543"/>
    <w:rsid w:val="00395878"/>
    <w:rsid w:val="00395A3C"/>
    <w:rsid w:val="003966AA"/>
    <w:rsid w:val="003971AC"/>
    <w:rsid w:val="003A0048"/>
    <w:rsid w:val="003A1E5E"/>
    <w:rsid w:val="003A2646"/>
    <w:rsid w:val="003A30BE"/>
    <w:rsid w:val="003A31F8"/>
    <w:rsid w:val="003A426F"/>
    <w:rsid w:val="003A44D3"/>
    <w:rsid w:val="003A5803"/>
    <w:rsid w:val="003B07E1"/>
    <w:rsid w:val="003B1A43"/>
    <w:rsid w:val="003B21AE"/>
    <w:rsid w:val="003B2C4A"/>
    <w:rsid w:val="003B3762"/>
    <w:rsid w:val="003B3950"/>
    <w:rsid w:val="003B4547"/>
    <w:rsid w:val="003B4F21"/>
    <w:rsid w:val="003B50D3"/>
    <w:rsid w:val="003B564E"/>
    <w:rsid w:val="003B6047"/>
    <w:rsid w:val="003B6089"/>
    <w:rsid w:val="003B6560"/>
    <w:rsid w:val="003B71A4"/>
    <w:rsid w:val="003B7431"/>
    <w:rsid w:val="003B7C3D"/>
    <w:rsid w:val="003B7FBF"/>
    <w:rsid w:val="003C0CD7"/>
    <w:rsid w:val="003C32D9"/>
    <w:rsid w:val="003C3445"/>
    <w:rsid w:val="003C4495"/>
    <w:rsid w:val="003C488B"/>
    <w:rsid w:val="003C547B"/>
    <w:rsid w:val="003C5C45"/>
    <w:rsid w:val="003C7748"/>
    <w:rsid w:val="003C78F4"/>
    <w:rsid w:val="003C7A85"/>
    <w:rsid w:val="003D0612"/>
    <w:rsid w:val="003D17FC"/>
    <w:rsid w:val="003D42EA"/>
    <w:rsid w:val="003D45B4"/>
    <w:rsid w:val="003D4F5E"/>
    <w:rsid w:val="003D61D7"/>
    <w:rsid w:val="003D7A92"/>
    <w:rsid w:val="003D7FB9"/>
    <w:rsid w:val="003E12B9"/>
    <w:rsid w:val="003E2F35"/>
    <w:rsid w:val="003E347F"/>
    <w:rsid w:val="003E36CC"/>
    <w:rsid w:val="003E3828"/>
    <w:rsid w:val="003E3B6F"/>
    <w:rsid w:val="003E3C67"/>
    <w:rsid w:val="003E48EB"/>
    <w:rsid w:val="003E5176"/>
    <w:rsid w:val="003E5202"/>
    <w:rsid w:val="003E5A9C"/>
    <w:rsid w:val="003E6366"/>
    <w:rsid w:val="003E6D62"/>
    <w:rsid w:val="003E6EFB"/>
    <w:rsid w:val="003E79E3"/>
    <w:rsid w:val="003F0484"/>
    <w:rsid w:val="003F05B8"/>
    <w:rsid w:val="003F0738"/>
    <w:rsid w:val="003F0B77"/>
    <w:rsid w:val="003F0FB5"/>
    <w:rsid w:val="003F1389"/>
    <w:rsid w:val="003F2666"/>
    <w:rsid w:val="003F31D4"/>
    <w:rsid w:val="003F3700"/>
    <w:rsid w:val="003F47E0"/>
    <w:rsid w:val="003F49A2"/>
    <w:rsid w:val="003F4B2B"/>
    <w:rsid w:val="003F63DC"/>
    <w:rsid w:val="003F6474"/>
    <w:rsid w:val="003F6730"/>
    <w:rsid w:val="003F6D49"/>
    <w:rsid w:val="003F710F"/>
    <w:rsid w:val="003F73A5"/>
    <w:rsid w:val="003F7DAA"/>
    <w:rsid w:val="00400797"/>
    <w:rsid w:val="00400849"/>
    <w:rsid w:val="00401382"/>
    <w:rsid w:val="00402042"/>
    <w:rsid w:val="0040265B"/>
    <w:rsid w:val="00402A30"/>
    <w:rsid w:val="00402A74"/>
    <w:rsid w:val="0040358D"/>
    <w:rsid w:val="00404253"/>
    <w:rsid w:val="00404592"/>
    <w:rsid w:val="00404DF1"/>
    <w:rsid w:val="00405BCF"/>
    <w:rsid w:val="00405D2C"/>
    <w:rsid w:val="00407048"/>
    <w:rsid w:val="004079BF"/>
    <w:rsid w:val="00407B27"/>
    <w:rsid w:val="00407EC3"/>
    <w:rsid w:val="0041044D"/>
    <w:rsid w:val="00411121"/>
    <w:rsid w:val="0041133E"/>
    <w:rsid w:val="00411D72"/>
    <w:rsid w:val="00413E95"/>
    <w:rsid w:val="00414674"/>
    <w:rsid w:val="00414678"/>
    <w:rsid w:val="00415917"/>
    <w:rsid w:val="004173AB"/>
    <w:rsid w:val="004176DE"/>
    <w:rsid w:val="00417A74"/>
    <w:rsid w:val="00417A80"/>
    <w:rsid w:val="00417B4C"/>
    <w:rsid w:val="00417D9E"/>
    <w:rsid w:val="0042010C"/>
    <w:rsid w:val="0042279E"/>
    <w:rsid w:val="00422EAB"/>
    <w:rsid w:val="00422EF1"/>
    <w:rsid w:val="0042321C"/>
    <w:rsid w:val="0042330A"/>
    <w:rsid w:val="0042385A"/>
    <w:rsid w:val="00424129"/>
    <w:rsid w:val="00424CA5"/>
    <w:rsid w:val="00424E5B"/>
    <w:rsid w:val="004257C0"/>
    <w:rsid w:val="00426F77"/>
    <w:rsid w:val="00427AB1"/>
    <w:rsid w:val="004301BA"/>
    <w:rsid w:val="00430638"/>
    <w:rsid w:val="004306B5"/>
    <w:rsid w:val="00431B97"/>
    <w:rsid w:val="00431F38"/>
    <w:rsid w:val="00432515"/>
    <w:rsid w:val="00432C94"/>
    <w:rsid w:val="00433309"/>
    <w:rsid w:val="00433FAE"/>
    <w:rsid w:val="00434D5A"/>
    <w:rsid w:val="00435155"/>
    <w:rsid w:val="004351C9"/>
    <w:rsid w:val="004354EF"/>
    <w:rsid w:val="00437445"/>
    <w:rsid w:val="00437D77"/>
    <w:rsid w:val="00440727"/>
    <w:rsid w:val="00440B81"/>
    <w:rsid w:val="0044183E"/>
    <w:rsid w:val="00442764"/>
    <w:rsid w:val="004432C1"/>
    <w:rsid w:val="00444872"/>
    <w:rsid w:val="004459C2"/>
    <w:rsid w:val="0044713F"/>
    <w:rsid w:val="00451421"/>
    <w:rsid w:val="004518B4"/>
    <w:rsid w:val="00451B3B"/>
    <w:rsid w:val="004522C9"/>
    <w:rsid w:val="00453C7D"/>
    <w:rsid w:val="00454ABC"/>
    <w:rsid w:val="004558D1"/>
    <w:rsid w:val="00457490"/>
    <w:rsid w:val="004602CD"/>
    <w:rsid w:val="00461309"/>
    <w:rsid w:val="0046153E"/>
    <w:rsid w:val="00461A35"/>
    <w:rsid w:val="00461C15"/>
    <w:rsid w:val="004620C8"/>
    <w:rsid w:val="00462710"/>
    <w:rsid w:val="00463737"/>
    <w:rsid w:val="0046382C"/>
    <w:rsid w:val="00465E7C"/>
    <w:rsid w:val="00466A7A"/>
    <w:rsid w:val="00467840"/>
    <w:rsid w:val="00467E55"/>
    <w:rsid w:val="004703F9"/>
    <w:rsid w:val="00471F74"/>
    <w:rsid w:val="00472CB4"/>
    <w:rsid w:val="004734DF"/>
    <w:rsid w:val="00473A79"/>
    <w:rsid w:val="0047526B"/>
    <w:rsid w:val="004757E8"/>
    <w:rsid w:val="004758EF"/>
    <w:rsid w:val="00476024"/>
    <w:rsid w:val="00477A71"/>
    <w:rsid w:val="00477AA9"/>
    <w:rsid w:val="0048058A"/>
    <w:rsid w:val="00481C3F"/>
    <w:rsid w:val="00481D80"/>
    <w:rsid w:val="0048209D"/>
    <w:rsid w:val="004821F0"/>
    <w:rsid w:val="0048246B"/>
    <w:rsid w:val="00483A9D"/>
    <w:rsid w:val="00483C78"/>
    <w:rsid w:val="004844E0"/>
    <w:rsid w:val="004846ED"/>
    <w:rsid w:val="0048565F"/>
    <w:rsid w:val="004857DB"/>
    <w:rsid w:val="00487333"/>
    <w:rsid w:val="004875D9"/>
    <w:rsid w:val="00487C82"/>
    <w:rsid w:val="00490124"/>
    <w:rsid w:val="00491D22"/>
    <w:rsid w:val="00492129"/>
    <w:rsid w:val="004922C8"/>
    <w:rsid w:val="00492B32"/>
    <w:rsid w:val="004932B0"/>
    <w:rsid w:val="00493FBB"/>
    <w:rsid w:val="00494135"/>
    <w:rsid w:val="004943B3"/>
    <w:rsid w:val="00494B1E"/>
    <w:rsid w:val="004954AF"/>
    <w:rsid w:val="00495863"/>
    <w:rsid w:val="00496DCC"/>
    <w:rsid w:val="004A08D0"/>
    <w:rsid w:val="004A1A1F"/>
    <w:rsid w:val="004A258D"/>
    <w:rsid w:val="004A261D"/>
    <w:rsid w:val="004A328C"/>
    <w:rsid w:val="004A389D"/>
    <w:rsid w:val="004A390B"/>
    <w:rsid w:val="004A3D71"/>
    <w:rsid w:val="004A3EFD"/>
    <w:rsid w:val="004A5150"/>
    <w:rsid w:val="004A64EB"/>
    <w:rsid w:val="004A6505"/>
    <w:rsid w:val="004A7823"/>
    <w:rsid w:val="004A7CB2"/>
    <w:rsid w:val="004A7D0E"/>
    <w:rsid w:val="004B00C9"/>
    <w:rsid w:val="004B14A4"/>
    <w:rsid w:val="004B1FF4"/>
    <w:rsid w:val="004B215C"/>
    <w:rsid w:val="004B2B1F"/>
    <w:rsid w:val="004B4CF5"/>
    <w:rsid w:val="004B6766"/>
    <w:rsid w:val="004BD306"/>
    <w:rsid w:val="004C0132"/>
    <w:rsid w:val="004C0EF3"/>
    <w:rsid w:val="004C1112"/>
    <w:rsid w:val="004C1498"/>
    <w:rsid w:val="004C2950"/>
    <w:rsid w:val="004C39E1"/>
    <w:rsid w:val="004C3DD7"/>
    <w:rsid w:val="004C51DD"/>
    <w:rsid w:val="004C524D"/>
    <w:rsid w:val="004C57F3"/>
    <w:rsid w:val="004C6762"/>
    <w:rsid w:val="004C7252"/>
    <w:rsid w:val="004C7433"/>
    <w:rsid w:val="004C78B6"/>
    <w:rsid w:val="004D0ECA"/>
    <w:rsid w:val="004D1124"/>
    <w:rsid w:val="004D153B"/>
    <w:rsid w:val="004D2C15"/>
    <w:rsid w:val="004D48FC"/>
    <w:rsid w:val="004D4EF5"/>
    <w:rsid w:val="004D664C"/>
    <w:rsid w:val="004D6B3A"/>
    <w:rsid w:val="004D70D3"/>
    <w:rsid w:val="004D7A89"/>
    <w:rsid w:val="004E0EA6"/>
    <w:rsid w:val="004E1337"/>
    <w:rsid w:val="004E2458"/>
    <w:rsid w:val="004E2D18"/>
    <w:rsid w:val="004E30F4"/>
    <w:rsid w:val="004E4323"/>
    <w:rsid w:val="004E5953"/>
    <w:rsid w:val="004E5BC0"/>
    <w:rsid w:val="004E731F"/>
    <w:rsid w:val="004E73F6"/>
    <w:rsid w:val="004E793D"/>
    <w:rsid w:val="004F1591"/>
    <w:rsid w:val="004F1638"/>
    <w:rsid w:val="004F2509"/>
    <w:rsid w:val="004F31A3"/>
    <w:rsid w:val="004F39F2"/>
    <w:rsid w:val="004F3F2D"/>
    <w:rsid w:val="004F4AF0"/>
    <w:rsid w:val="004F5063"/>
    <w:rsid w:val="004F568C"/>
    <w:rsid w:val="004F5D0E"/>
    <w:rsid w:val="004F6C71"/>
    <w:rsid w:val="004F71E6"/>
    <w:rsid w:val="005013D0"/>
    <w:rsid w:val="0050224D"/>
    <w:rsid w:val="00503E30"/>
    <w:rsid w:val="00504324"/>
    <w:rsid w:val="00504B65"/>
    <w:rsid w:val="00505E8F"/>
    <w:rsid w:val="0050636A"/>
    <w:rsid w:val="00506B8C"/>
    <w:rsid w:val="005115BE"/>
    <w:rsid w:val="00511928"/>
    <w:rsid w:val="00511BD5"/>
    <w:rsid w:val="00512959"/>
    <w:rsid w:val="00512A0F"/>
    <w:rsid w:val="00512EBC"/>
    <w:rsid w:val="00513A36"/>
    <w:rsid w:val="00513D9F"/>
    <w:rsid w:val="00514639"/>
    <w:rsid w:val="0051477C"/>
    <w:rsid w:val="00520466"/>
    <w:rsid w:val="00520531"/>
    <w:rsid w:val="005207DF"/>
    <w:rsid w:val="00520DE7"/>
    <w:rsid w:val="00520F0C"/>
    <w:rsid w:val="00522223"/>
    <w:rsid w:val="00523560"/>
    <w:rsid w:val="00523C6C"/>
    <w:rsid w:val="00523EDE"/>
    <w:rsid w:val="005245CF"/>
    <w:rsid w:val="005258A7"/>
    <w:rsid w:val="00526133"/>
    <w:rsid w:val="005262CF"/>
    <w:rsid w:val="005263F4"/>
    <w:rsid w:val="005264FD"/>
    <w:rsid w:val="00526B75"/>
    <w:rsid w:val="00530245"/>
    <w:rsid w:val="0053095E"/>
    <w:rsid w:val="00531110"/>
    <w:rsid w:val="0053130E"/>
    <w:rsid w:val="0053180D"/>
    <w:rsid w:val="00532695"/>
    <w:rsid w:val="00532F00"/>
    <w:rsid w:val="0053300B"/>
    <w:rsid w:val="005334A5"/>
    <w:rsid w:val="005336DA"/>
    <w:rsid w:val="00533DAB"/>
    <w:rsid w:val="00534EF1"/>
    <w:rsid w:val="0053554A"/>
    <w:rsid w:val="005359A3"/>
    <w:rsid w:val="00535A57"/>
    <w:rsid w:val="005364BC"/>
    <w:rsid w:val="00536F1E"/>
    <w:rsid w:val="00537261"/>
    <w:rsid w:val="00537308"/>
    <w:rsid w:val="00537556"/>
    <w:rsid w:val="0053763E"/>
    <w:rsid w:val="00540A68"/>
    <w:rsid w:val="0054144E"/>
    <w:rsid w:val="00541660"/>
    <w:rsid w:val="0054191B"/>
    <w:rsid w:val="00541D64"/>
    <w:rsid w:val="00541DAD"/>
    <w:rsid w:val="00542FD0"/>
    <w:rsid w:val="005431BF"/>
    <w:rsid w:val="005439A6"/>
    <w:rsid w:val="005445CD"/>
    <w:rsid w:val="005447F9"/>
    <w:rsid w:val="00544BA2"/>
    <w:rsid w:val="00545017"/>
    <w:rsid w:val="00545C89"/>
    <w:rsid w:val="005472AC"/>
    <w:rsid w:val="00550804"/>
    <w:rsid w:val="00554193"/>
    <w:rsid w:val="0055426E"/>
    <w:rsid w:val="00554F79"/>
    <w:rsid w:val="005553DF"/>
    <w:rsid w:val="00556220"/>
    <w:rsid w:val="00557210"/>
    <w:rsid w:val="00557663"/>
    <w:rsid w:val="0055790A"/>
    <w:rsid w:val="00557A0E"/>
    <w:rsid w:val="00557A1C"/>
    <w:rsid w:val="00557EB8"/>
    <w:rsid w:val="0056017F"/>
    <w:rsid w:val="00561272"/>
    <w:rsid w:val="00561BFF"/>
    <w:rsid w:val="00563304"/>
    <w:rsid w:val="00563354"/>
    <w:rsid w:val="0056397C"/>
    <w:rsid w:val="00563E4B"/>
    <w:rsid w:val="00564199"/>
    <w:rsid w:val="005653C7"/>
    <w:rsid w:val="00565F6C"/>
    <w:rsid w:val="005669A9"/>
    <w:rsid w:val="00566D84"/>
    <w:rsid w:val="00566FB8"/>
    <w:rsid w:val="005670A7"/>
    <w:rsid w:val="00570047"/>
    <w:rsid w:val="00570448"/>
    <w:rsid w:val="00571763"/>
    <w:rsid w:val="00571B07"/>
    <w:rsid w:val="00571D82"/>
    <w:rsid w:val="00571E65"/>
    <w:rsid w:val="00571F46"/>
    <w:rsid w:val="00572274"/>
    <w:rsid w:val="0057267B"/>
    <w:rsid w:val="00572837"/>
    <w:rsid w:val="00573630"/>
    <w:rsid w:val="005750BA"/>
    <w:rsid w:val="00575B88"/>
    <w:rsid w:val="00575F71"/>
    <w:rsid w:val="00576E23"/>
    <w:rsid w:val="00576F15"/>
    <w:rsid w:val="00577F85"/>
    <w:rsid w:val="00580DFD"/>
    <w:rsid w:val="00581A14"/>
    <w:rsid w:val="00581EF3"/>
    <w:rsid w:val="005836D3"/>
    <w:rsid w:val="0058392F"/>
    <w:rsid w:val="005842FC"/>
    <w:rsid w:val="00585E9F"/>
    <w:rsid w:val="005867E9"/>
    <w:rsid w:val="00586C2A"/>
    <w:rsid w:val="00587B7D"/>
    <w:rsid w:val="005914A5"/>
    <w:rsid w:val="005914F3"/>
    <w:rsid w:val="005919A9"/>
    <w:rsid w:val="00594B0F"/>
    <w:rsid w:val="00595998"/>
    <w:rsid w:val="005961B0"/>
    <w:rsid w:val="005963A9"/>
    <w:rsid w:val="00596BE3"/>
    <w:rsid w:val="00596F50"/>
    <w:rsid w:val="005A04F4"/>
    <w:rsid w:val="005A062F"/>
    <w:rsid w:val="005A0C92"/>
    <w:rsid w:val="005A0D43"/>
    <w:rsid w:val="005A1961"/>
    <w:rsid w:val="005A20A5"/>
    <w:rsid w:val="005A217F"/>
    <w:rsid w:val="005A2502"/>
    <w:rsid w:val="005A3A67"/>
    <w:rsid w:val="005A3AD3"/>
    <w:rsid w:val="005A5409"/>
    <w:rsid w:val="005A74AA"/>
    <w:rsid w:val="005A7732"/>
    <w:rsid w:val="005A7973"/>
    <w:rsid w:val="005B0186"/>
    <w:rsid w:val="005B0454"/>
    <w:rsid w:val="005B0E27"/>
    <w:rsid w:val="005B0E90"/>
    <w:rsid w:val="005B0F6B"/>
    <w:rsid w:val="005B1A56"/>
    <w:rsid w:val="005B1B63"/>
    <w:rsid w:val="005B1C2D"/>
    <w:rsid w:val="005B2F62"/>
    <w:rsid w:val="005B5318"/>
    <w:rsid w:val="005B5CB0"/>
    <w:rsid w:val="005C0410"/>
    <w:rsid w:val="005C0776"/>
    <w:rsid w:val="005C0F38"/>
    <w:rsid w:val="005C161F"/>
    <w:rsid w:val="005C1EF8"/>
    <w:rsid w:val="005C2008"/>
    <w:rsid w:val="005C2145"/>
    <w:rsid w:val="005C25AF"/>
    <w:rsid w:val="005C2C9B"/>
    <w:rsid w:val="005C39E4"/>
    <w:rsid w:val="005C4260"/>
    <w:rsid w:val="005C5C73"/>
    <w:rsid w:val="005C5E09"/>
    <w:rsid w:val="005C7E5D"/>
    <w:rsid w:val="005D02B5"/>
    <w:rsid w:val="005D0695"/>
    <w:rsid w:val="005D1B5D"/>
    <w:rsid w:val="005D2009"/>
    <w:rsid w:val="005D21BA"/>
    <w:rsid w:val="005D2687"/>
    <w:rsid w:val="005D2997"/>
    <w:rsid w:val="005D2A67"/>
    <w:rsid w:val="005D41BD"/>
    <w:rsid w:val="005D4ED1"/>
    <w:rsid w:val="005D525B"/>
    <w:rsid w:val="005D7854"/>
    <w:rsid w:val="005E040F"/>
    <w:rsid w:val="005E0501"/>
    <w:rsid w:val="005E0917"/>
    <w:rsid w:val="005E106D"/>
    <w:rsid w:val="005E18FA"/>
    <w:rsid w:val="005E1A57"/>
    <w:rsid w:val="005E255E"/>
    <w:rsid w:val="005E393F"/>
    <w:rsid w:val="005E3D1F"/>
    <w:rsid w:val="005E439E"/>
    <w:rsid w:val="005F060F"/>
    <w:rsid w:val="005F0702"/>
    <w:rsid w:val="005F0B63"/>
    <w:rsid w:val="005F0B6D"/>
    <w:rsid w:val="005F0C16"/>
    <w:rsid w:val="005F0C97"/>
    <w:rsid w:val="005F1567"/>
    <w:rsid w:val="005F39C0"/>
    <w:rsid w:val="005F407C"/>
    <w:rsid w:val="005F5371"/>
    <w:rsid w:val="005F6391"/>
    <w:rsid w:val="005F6437"/>
    <w:rsid w:val="005F6F24"/>
    <w:rsid w:val="006002C1"/>
    <w:rsid w:val="00601A47"/>
    <w:rsid w:val="006030C3"/>
    <w:rsid w:val="006031C9"/>
    <w:rsid w:val="0060332B"/>
    <w:rsid w:val="006038F4"/>
    <w:rsid w:val="00603C62"/>
    <w:rsid w:val="006052D2"/>
    <w:rsid w:val="00606A04"/>
    <w:rsid w:val="006107DF"/>
    <w:rsid w:val="00613836"/>
    <w:rsid w:val="00613AD4"/>
    <w:rsid w:val="0061401E"/>
    <w:rsid w:val="006151DC"/>
    <w:rsid w:val="00616524"/>
    <w:rsid w:val="006168C5"/>
    <w:rsid w:val="00616904"/>
    <w:rsid w:val="00617172"/>
    <w:rsid w:val="00617EE9"/>
    <w:rsid w:val="00620453"/>
    <w:rsid w:val="0062270F"/>
    <w:rsid w:val="00622FAE"/>
    <w:rsid w:val="00623275"/>
    <w:rsid w:val="00623688"/>
    <w:rsid w:val="00623B54"/>
    <w:rsid w:val="00623D0C"/>
    <w:rsid w:val="00623EA0"/>
    <w:rsid w:val="00624CD6"/>
    <w:rsid w:val="006256EF"/>
    <w:rsid w:val="0062613E"/>
    <w:rsid w:val="006266C0"/>
    <w:rsid w:val="006309DD"/>
    <w:rsid w:val="00631316"/>
    <w:rsid w:val="006327AA"/>
    <w:rsid w:val="006328B3"/>
    <w:rsid w:val="00632FBE"/>
    <w:rsid w:val="00633CA0"/>
    <w:rsid w:val="0063552B"/>
    <w:rsid w:val="00635A0A"/>
    <w:rsid w:val="00637533"/>
    <w:rsid w:val="00637D55"/>
    <w:rsid w:val="006403E1"/>
    <w:rsid w:val="00640D51"/>
    <w:rsid w:val="00640DAF"/>
    <w:rsid w:val="0064251A"/>
    <w:rsid w:val="006425A4"/>
    <w:rsid w:val="00643937"/>
    <w:rsid w:val="00644221"/>
    <w:rsid w:val="00644388"/>
    <w:rsid w:val="006459BE"/>
    <w:rsid w:val="006465A6"/>
    <w:rsid w:val="00646C98"/>
    <w:rsid w:val="006477D1"/>
    <w:rsid w:val="00647CE1"/>
    <w:rsid w:val="0065000D"/>
    <w:rsid w:val="00651251"/>
    <w:rsid w:val="00653DDC"/>
    <w:rsid w:val="006541AF"/>
    <w:rsid w:val="00654B07"/>
    <w:rsid w:val="006556AA"/>
    <w:rsid w:val="00656F6C"/>
    <w:rsid w:val="00657EF8"/>
    <w:rsid w:val="00663683"/>
    <w:rsid w:val="00663DFF"/>
    <w:rsid w:val="00663E79"/>
    <w:rsid w:val="006651B3"/>
    <w:rsid w:val="00665DE6"/>
    <w:rsid w:val="00666B2C"/>
    <w:rsid w:val="00667C08"/>
    <w:rsid w:val="00670026"/>
    <w:rsid w:val="00670CD8"/>
    <w:rsid w:val="00671DA8"/>
    <w:rsid w:val="006745A4"/>
    <w:rsid w:val="00674FF5"/>
    <w:rsid w:val="0067513A"/>
    <w:rsid w:val="006770A0"/>
    <w:rsid w:val="0067733C"/>
    <w:rsid w:val="0068134C"/>
    <w:rsid w:val="00681F4E"/>
    <w:rsid w:val="0068475A"/>
    <w:rsid w:val="00684A41"/>
    <w:rsid w:val="00685109"/>
    <w:rsid w:val="00685FDE"/>
    <w:rsid w:val="006867CF"/>
    <w:rsid w:val="00690AC3"/>
    <w:rsid w:val="00691656"/>
    <w:rsid w:val="00692037"/>
    <w:rsid w:val="00693790"/>
    <w:rsid w:val="006944BD"/>
    <w:rsid w:val="00695346"/>
    <w:rsid w:val="00696520"/>
    <w:rsid w:val="0069699A"/>
    <w:rsid w:val="00696C49"/>
    <w:rsid w:val="006976B5"/>
    <w:rsid w:val="006A0076"/>
    <w:rsid w:val="006A0BDA"/>
    <w:rsid w:val="006A15E5"/>
    <w:rsid w:val="006A2771"/>
    <w:rsid w:val="006A327D"/>
    <w:rsid w:val="006A3749"/>
    <w:rsid w:val="006A3781"/>
    <w:rsid w:val="006A4FDD"/>
    <w:rsid w:val="006A502F"/>
    <w:rsid w:val="006A625D"/>
    <w:rsid w:val="006A6F9B"/>
    <w:rsid w:val="006A7F0B"/>
    <w:rsid w:val="006B2E88"/>
    <w:rsid w:val="006B351C"/>
    <w:rsid w:val="006B35BC"/>
    <w:rsid w:val="006B3C86"/>
    <w:rsid w:val="006B4016"/>
    <w:rsid w:val="006B46A1"/>
    <w:rsid w:val="006B5FFC"/>
    <w:rsid w:val="006B6017"/>
    <w:rsid w:val="006B6B80"/>
    <w:rsid w:val="006C104F"/>
    <w:rsid w:val="006C1A80"/>
    <w:rsid w:val="006C31F7"/>
    <w:rsid w:val="006C4F01"/>
    <w:rsid w:val="006C7D22"/>
    <w:rsid w:val="006D123D"/>
    <w:rsid w:val="006D134D"/>
    <w:rsid w:val="006D1582"/>
    <w:rsid w:val="006D22DD"/>
    <w:rsid w:val="006D22EE"/>
    <w:rsid w:val="006D23FC"/>
    <w:rsid w:val="006D24F1"/>
    <w:rsid w:val="006D25CE"/>
    <w:rsid w:val="006D282E"/>
    <w:rsid w:val="006D294E"/>
    <w:rsid w:val="006D431E"/>
    <w:rsid w:val="006D51C5"/>
    <w:rsid w:val="006D52C8"/>
    <w:rsid w:val="006D62F2"/>
    <w:rsid w:val="006D6761"/>
    <w:rsid w:val="006D7281"/>
    <w:rsid w:val="006E117F"/>
    <w:rsid w:val="006E1E7C"/>
    <w:rsid w:val="006E22E2"/>
    <w:rsid w:val="006E4950"/>
    <w:rsid w:val="006E4F2E"/>
    <w:rsid w:val="006E5252"/>
    <w:rsid w:val="006E6305"/>
    <w:rsid w:val="006E658E"/>
    <w:rsid w:val="006E682C"/>
    <w:rsid w:val="006E71EC"/>
    <w:rsid w:val="006E7B23"/>
    <w:rsid w:val="006E7B3A"/>
    <w:rsid w:val="006F0577"/>
    <w:rsid w:val="006F0700"/>
    <w:rsid w:val="006F14D3"/>
    <w:rsid w:val="006F1C97"/>
    <w:rsid w:val="006F2130"/>
    <w:rsid w:val="006F2143"/>
    <w:rsid w:val="006F28CF"/>
    <w:rsid w:val="006F29CC"/>
    <w:rsid w:val="006F2F41"/>
    <w:rsid w:val="006F3575"/>
    <w:rsid w:val="006F4A3A"/>
    <w:rsid w:val="006F5AC7"/>
    <w:rsid w:val="006F75AC"/>
    <w:rsid w:val="006F7C9D"/>
    <w:rsid w:val="006F7D59"/>
    <w:rsid w:val="00701620"/>
    <w:rsid w:val="00702AF3"/>
    <w:rsid w:val="00702EB6"/>
    <w:rsid w:val="00703F89"/>
    <w:rsid w:val="00704391"/>
    <w:rsid w:val="00704B2E"/>
    <w:rsid w:val="00705EDF"/>
    <w:rsid w:val="007074D8"/>
    <w:rsid w:val="007103E9"/>
    <w:rsid w:val="0071078C"/>
    <w:rsid w:val="00711279"/>
    <w:rsid w:val="00711746"/>
    <w:rsid w:val="00711B83"/>
    <w:rsid w:val="00711E54"/>
    <w:rsid w:val="007123E3"/>
    <w:rsid w:val="00712F7B"/>
    <w:rsid w:val="0071346C"/>
    <w:rsid w:val="007135ED"/>
    <w:rsid w:val="00713689"/>
    <w:rsid w:val="0071370F"/>
    <w:rsid w:val="00714718"/>
    <w:rsid w:val="0071498B"/>
    <w:rsid w:val="00714E27"/>
    <w:rsid w:val="007151E8"/>
    <w:rsid w:val="007152DC"/>
    <w:rsid w:val="007164D9"/>
    <w:rsid w:val="00716EE8"/>
    <w:rsid w:val="00717406"/>
    <w:rsid w:val="00717FD8"/>
    <w:rsid w:val="00720086"/>
    <w:rsid w:val="00720337"/>
    <w:rsid w:val="007204BE"/>
    <w:rsid w:val="00720FAE"/>
    <w:rsid w:val="00722828"/>
    <w:rsid w:val="007230DA"/>
    <w:rsid w:val="00723CDC"/>
    <w:rsid w:val="007269DE"/>
    <w:rsid w:val="00727233"/>
    <w:rsid w:val="00730341"/>
    <w:rsid w:val="0073170D"/>
    <w:rsid w:val="00732B57"/>
    <w:rsid w:val="00732C7C"/>
    <w:rsid w:val="00733DBB"/>
    <w:rsid w:val="00733DEE"/>
    <w:rsid w:val="00734002"/>
    <w:rsid w:val="00734FE4"/>
    <w:rsid w:val="0073605A"/>
    <w:rsid w:val="00737409"/>
    <w:rsid w:val="0073798F"/>
    <w:rsid w:val="00737FD5"/>
    <w:rsid w:val="00740085"/>
    <w:rsid w:val="00740BAB"/>
    <w:rsid w:val="00740C08"/>
    <w:rsid w:val="00741354"/>
    <w:rsid w:val="007428C5"/>
    <w:rsid w:val="007429DC"/>
    <w:rsid w:val="00742CE7"/>
    <w:rsid w:val="00742D89"/>
    <w:rsid w:val="00742FE0"/>
    <w:rsid w:val="0074357F"/>
    <w:rsid w:val="007452F7"/>
    <w:rsid w:val="00745E59"/>
    <w:rsid w:val="0074692C"/>
    <w:rsid w:val="007469C3"/>
    <w:rsid w:val="00746C3B"/>
    <w:rsid w:val="00746EBB"/>
    <w:rsid w:val="00747321"/>
    <w:rsid w:val="00750281"/>
    <w:rsid w:val="00751388"/>
    <w:rsid w:val="00751469"/>
    <w:rsid w:val="007515B2"/>
    <w:rsid w:val="00752440"/>
    <w:rsid w:val="0075256D"/>
    <w:rsid w:val="007525A0"/>
    <w:rsid w:val="00752CCB"/>
    <w:rsid w:val="00753176"/>
    <w:rsid w:val="00753501"/>
    <w:rsid w:val="00753CAB"/>
    <w:rsid w:val="007540C6"/>
    <w:rsid w:val="0075492A"/>
    <w:rsid w:val="00754B65"/>
    <w:rsid w:val="00754C59"/>
    <w:rsid w:val="00756329"/>
    <w:rsid w:val="00756C7E"/>
    <w:rsid w:val="00757077"/>
    <w:rsid w:val="00760B48"/>
    <w:rsid w:val="00760CC2"/>
    <w:rsid w:val="007612F8"/>
    <w:rsid w:val="00761F2B"/>
    <w:rsid w:val="007627BB"/>
    <w:rsid w:val="00762BAC"/>
    <w:rsid w:val="0076499A"/>
    <w:rsid w:val="00765B6C"/>
    <w:rsid w:val="00765FA4"/>
    <w:rsid w:val="007669DF"/>
    <w:rsid w:val="00767AE4"/>
    <w:rsid w:val="00770774"/>
    <w:rsid w:val="00773097"/>
    <w:rsid w:val="00773C54"/>
    <w:rsid w:val="00773E98"/>
    <w:rsid w:val="00774C5F"/>
    <w:rsid w:val="0077538E"/>
    <w:rsid w:val="00775D24"/>
    <w:rsid w:val="00775F9D"/>
    <w:rsid w:val="00777221"/>
    <w:rsid w:val="00777E08"/>
    <w:rsid w:val="0078147D"/>
    <w:rsid w:val="00781BA0"/>
    <w:rsid w:val="007820AE"/>
    <w:rsid w:val="00782114"/>
    <w:rsid w:val="00782A5E"/>
    <w:rsid w:val="00785247"/>
    <w:rsid w:val="00785B41"/>
    <w:rsid w:val="00785D96"/>
    <w:rsid w:val="007867DC"/>
    <w:rsid w:val="00786AE6"/>
    <w:rsid w:val="00787E27"/>
    <w:rsid w:val="0078A9FA"/>
    <w:rsid w:val="007902EF"/>
    <w:rsid w:val="00791A4A"/>
    <w:rsid w:val="0079347D"/>
    <w:rsid w:val="00793CC9"/>
    <w:rsid w:val="007941D6"/>
    <w:rsid w:val="0079450A"/>
    <w:rsid w:val="0079461E"/>
    <w:rsid w:val="00795C40"/>
    <w:rsid w:val="00796284"/>
    <w:rsid w:val="00796C27"/>
    <w:rsid w:val="007A043C"/>
    <w:rsid w:val="007A05EE"/>
    <w:rsid w:val="007A10ED"/>
    <w:rsid w:val="007A16C9"/>
    <w:rsid w:val="007A5B16"/>
    <w:rsid w:val="007A6311"/>
    <w:rsid w:val="007A6B41"/>
    <w:rsid w:val="007B133B"/>
    <w:rsid w:val="007B18A8"/>
    <w:rsid w:val="007B21A0"/>
    <w:rsid w:val="007B24DD"/>
    <w:rsid w:val="007B29E7"/>
    <w:rsid w:val="007B3ED8"/>
    <w:rsid w:val="007B3F25"/>
    <w:rsid w:val="007B3F9C"/>
    <w:rsid w:val="007B3FB7"/>
    <w:rsid w:val="007B4D32"/>
    <w:rsid w:val="007B5AD9"/>
    <w:rsid w:val="007B5EF8"/>
    <w:rsid w:val="007B7549"/>
    <w:rsid w:val="007B757D"/>
    <w:rsid w:val="007B7A18"/>
    <w:rsid w:val="007C0377"/>
    <w:rsid w:val="007C0A40"/>
    <w:rsid w:val="007C22A0"/>
    <w:rsid w:val="007C309B"/>
    <w:rsid w:val="007C3D11"/>
    <w:rsid w:val="007C3E5D"/>
    <w:rsid w:val="007C4B46"/>
    <w:rsid w:val="007C4C89"/>
    <w:rsid w:val="007C5095"/>
    <w:rsid w:val="007C5C4B"/>
    <w:rsid w:val="007C6E5B"/>
    <w:rsid w:val="007D0FC6"/>
    <w:rsid w:val="007D1BA8"/>
    <w:rsid w:val="007D2B46"/>
    <w:rsid w:val="007D2E89"/>
    <w:rsid w:val="007D2FA4"/>
    <w:rsid w:val="007D4225"/>
    <w:rsid w:val="007D4F56"/>
    <w:rsid w:val="007D5203"/>
    <w:rsid w:val="007D55A9"/>
    <w:rsid w:val="007D6EC5"/>
    <w:rsid w:val="007E0810"/>
    <w:rsid w:val="007E0A88"/>
    <w:rsid w:val="007E1126"/>
    <w:rsid w:val="007E120E"/>
    <w:rsid w:val="007E14BB"/>
    <w:rsid w:val="007E2036"/>
    <w:rsid w:val="007E2608"/>
    <w:rsid w:val="007E3B3B"/>
    <w:rsid w:val="007E42EC"/>
    <w:rsid w:val="007E61B4"/>
    <w:rsid w:val="007E6E72"/>
    <w:rsid w:val="007E74CF"/>
    <w:rsid w:val="007E7E39"/>
    <w:rsid w:val="007E7F43"/>
    <w:rsid w:val="007F19FF"/>
    <w:rsid w:val="007F3829"/>
    <w:rsid w:val="007F4064"/>
    <w:rsid w:val="007F45FF"/>
    <w:rsid w:val="007F4C4F"/>
    <w:rsid w:val="007F4DD9"/>
    <w:rsid w:val="007F4E85"/>
    <w:rsid w:val="007F5998"/>
    <w:rsid w:val="007F5D34"/>
    <w:rsid w:val="007F6CCC"/>
    <w:rsid w:val="007F6DD8"/>
    <w:rsid w:val="007F7D8A"/>
    <w:rsid w:val="00800635"/>
    <w:rsid w:val="00800BD7"/>
    <w:rsid w:val="0080206A"/>
    <w:rsid w:val="008028F0"/>
    <w:rsid w:val="00803C89"/>
    <w:rsid w:val="00806ACF"/>
    <w:rsid w:val="00806D69"/>
    <w:rsid w:val="008076CA"/>
    <w:rsid w:val="008077F2"/>
    <w:rsid w:val="0080791D"/>
    <w:rsid w:val="00807A5A"/>
    <w:rsid w:val="008101FC"/>
    <w:rsid w:val="00810212"/>
    <w:rsid w:val="00811027"/>
    <w:rsid w:val="00811470"/>
    <w:rsid w:val="00811AA9"/>
    <w:rsid w:val="00812170"/>
    <w:rsid w:val="00812A64"/>
    <w:rsid w:val="0081571B"/>
    <w:rsid w:val="00815A6D"/>
    <w:rsid w:val="008160B1"/>
    <w:rsid w:val="0081619C"/>
    <w:rsid w:val="00816D3F"/>
    <w:rsid w:val="00816D52"/>
    <w:rsid w:val="008175C4"/>
    <w:rsid w:val="0082062A"/>
    <w:rsid w:val="00820F94"/>
    <w:rsid w:val="00821F3E"/>
    <w:rsid w:val="008220EA"/>
    <w:rsid w:val="00822162"/>
    <w:rsid w:val="0082258C"/>
    <w:rsid w:val="00822B2D"/>
    <w:rsid w:val="00823AB8"/>
    <w:rsid w:val="0082469B"/>
    <w:rsid w:val="00826813"/>
    <w:rsid w:val="00827313"/>
    <w:rsid w:val="00827999"/>
    <w:rsid w:val="00827C91"/>
    <w:rsid w:val="00830304"/>
    <w:rsid w:val="00831B8B"/>
    <w:rsid w:val="00831FC2"/>
    <w:rsid w:val="00832712"/>
    <w:rsid w:val="00833133"/>
    <w:rsid w:val="00835F85"/>
    <w:rsid w:val="008369E8"/>
    <w:rsid w:val="00836F3B"/>
    <w:rsid w:val="00837430"/>
    <w:rsid w:val="008403E3"/>
    <w:rsid w:val="0084095B"/>
    <w:rsid w:val="00841758"/>
    <w:rsid w:val="00841C12"/>
    <w:rsid w:val="008421E8"/>
    <w:rsid w:val="0084220F"/>
    <w:rsid w:val="00843653"/>
    <w:rsid w:val="00844AB1"/>
    <w:rsid w:val="00844E75"/>
    <w:rsid w:val="00845D0A"/>
    <w:rsid w:val="00846AF4"/>
    <w:rsid w:val="00847C15"/>
    <w:rsid w:val="008501FE"/>
    <w:rsid w:val="0085207A"/>
    <w:rsid w:val="00854661"/>
    <w:rsid w:val="00854FF3"/>
    <w:rsid w:val="00855B88"/>
    <w:rsid w:val="008560BD"/>
    <w:rsid w:val="008561AE"/>
    <w:rsid w:val="0085730A"/>
    <w:rsid w:val="0086058A"/>
    <w:rsid w:val="00860C9E"/>
    <w:rsid w:val="00861CAF"/>
    <w:rsid w:val="008637E9"/>
    <w:rsid w:val="00863CE9"/>
    <w:rsid w:val="00863FC0"/>
    <w:rsid w:val="008640DB"/>
    <w:rsid w:val="00866698"/>
    <w:rsid w:val="008673D4"/>
    <w:rsid w:val="008704EA"/>
    <w:rsid w:val="00870BE2"/>
    <w:rsid w:val="00870DDA"/>
    <w:rsid w:val="00872729"/>
    <w:rsid w:val="0087343D"/>
    <w:rsid w:val="00874639"/>
    <w:rsid w:val="008760A2"/>
    <w:rsid w:val="0087708E"/>
    <w:rsid w:val="008770AF"/>
    <w:rsid w:val="00880BFE"/>
    <w:rsid w:val="00880E29"/>
    <w:rsid w:val="008813BA"/>
    <w:rsid w:val="00882341"/>
    <w:rsid w:val="00882845"/>
    <w:rsid w:val="00882964"/>
    <w:rsid w:val="00882EB9"/>
    <w:rsid w:val="0088544A"/>
    <w:rsid w:val="00885C16"/>
    <w:rsid w:val="00885CA8"/>
    <w:rsid w:val="00886210"/>
    <w:rsid w:val="008865FE"/>
    <w:rsid w:val="00887216"/>
    <w:rsid w:val="008902A8"/>
    <w:rsid w:val="008906E0"/>
    <w:rsid w:val="00890A21"/>
    <w:rsid w:val="00891C36"/>
    <w:rsid w:val="00891D0A"/>
    <w:rsid w:val="00893578"/>
    <w:rsid w:val="00893F4F"/>
    <w:rsid w:val="008942A4"/>
    <w:rsid w:val="00894C0D"/>
    <w:rsid w:val="0089545F"/>
    <w:rsid w:val="008955BA"/>
    <w:rsid w:val="008959A0"/>
    <w:rsid w:val="008961F5"/>
    <w:rsid w:val="008978FB"/>
    <w:rsid w:val="00897992"/>
    <w:rsid w:val="0089D356"/>
    <w:rsid w:val="008A060C"/>
    <w:rsid w:val="008A141C"/>
    <w:rsid w:val="008A1E1D"/>
    <w:rsid w:val="008A2AE5"/>
    <w:rsid w:val="008A2D9F"/>
    <w:rsid w:val="008A32D9"/>
    <w:rsid w:val="008A3E35"/>
    <w:rsid w:val="008A5740"/>
    <w:rsid w:val="008A7382"/>
    <w:rsid w:val="008A7BC6"/>
    <w:rsid w:val="008A7F83"/>
    <w:rsid w:val="008B0441"/>
    <w:rsid w:val="008B07E6"/>
    <w:rsid w:val="008B0C3D"/>
    <w:rsid w:val="008B0EC7"/>
    <w:rsid w:val="008B15AE"/>
    <w:rsid w:val="008B2CF3"/>
    <w:rsid w:val="008B3237"/>
    <w:rsid w:val="008B3A16"/>
    <w:rsid w:val="008B5EC6"/>
    <w:rsid w:val="008B5FCE"/>
    <w:rsid w:val="008B60ED"/>
    <w:rsid w:val="008B62BB"/>
    <w:rsid w:val="008B654E"/>
    <w:rsid w:val="008B6A5B"/>
    <w:rsid w:val="008C00B8"/>
    <w:rsid w:val="008C0401"/>
    <w:rsid w:val="008C0ADF"/>
    <w:rsid w:val="008C3750"/>
    <w:rsid w:val="008C382F"/>
    <w:rsid w:val="008C3D72"/>
    <w:rsid w:val="008C3E20"/>
    <w:rsid w:val="008C4FA4"/>
    <w:rsid w:val="008C5435"/>
    <w:rsid w:val="008C72FA"/>
    <w:rsid w:val="008C7601"/>
    <w:rsid w:val="008D086F"/>
    <w:rsid w:val="008D195E"/>
    <w:rsid w:val="008D238A"/>
    <w:rsid w:val="008D31BE"/>
    <w:rsid w:val="008D4A5B"/>
    <w:rsid w:val="008D72BB"/>
    <w:rsid w:val="008D766E"/>
    <w:rsid w:val="008E03C2"/>
    <w:rsid w:val="008E0FCD"/>
    <w:rsid w:val="008E1D0E"/>
    <w:rsid w:val="008E3833"/>
    <w:rsid w:val="008E5BE4"/>
    <w:rsid w:val="008E5E13"/>
    <w:rsid w:val="008E6AFF"/>
    <w:rsid w:val="008E6B5C"/>
    <w:rsid w:val="008F1ACD"/>
    <w:rsid w:val="008F4E2E"/>
    <w:rsid w:val="008F4FAE"/>
    <w:rsid w:val="008F50B6"/>
    <w:rsid w:val="008F51B6"/>
    <w:rsid w:val="008F589E"/>
    <w:rsid w:val="008F5A7C"/>
    <w:rsid w:val="008F5FA6"/>
    <w:rsid w:val="008F64B9"/>
    <w:rsid w:val="008F7EB6"/>
    <w:rsid w:val="00901442"/>
    <w:rsid w:val="009019DA"/>
    <w:rsid w:val="00902FA2"/>
    <w:rsid w:val="0090576A"/>
    <w:rsid w:val="0090619B"/>
    <w:rsid w:val="00906766"/>
    <w:rsid w:val="00906A72"/>
    <w:rsid w:val="0090729C"/>
    <w:rsid w:val="00907956"/>
    <w:rsid w:val="009105D0"/>
    <w:rsid w:val="00910860"/>
    <w:rsid w:val="00911473"/>
    <w:rsid w:val="0091328A"/>
    <w:rsid w:val="00913933"/>
    <w:rsid w:val="009139BA"/>
    <w:rsid w:val="00914316"/>
    <w:rsid w:val="00914D15"/>
    <w:rsid w:val="0091585F"/>
    <w:rsid w:val="00916074"/>
    <w:rsid w:val="0091798F"/>
    <w:rsid w:val="009217FD"/>
    <w:rsid w:val="0092182A"/>
    <w:rsid w:val="009229BA"/>
    <w:rsid w:val="009229C7"/>
    <w:rsid w:val="00923AD6"/>
    <w:rsid w:val="00923CCC"/>
    <w:rsid w:val="00923D24"/>
    <w:rsid w:val="00924BA6"/>
    <w:rsid w:val="00924EA1"/>
    <w:rsid w:val="00925691"/>
    <w:rsid w:val="009262FC"/>
    <w:rsid w:val="0092691A"/>
    <w:rsid w:val="00926DB0"/>
    <w:rsid w:val="00927C0E"/>
    <w:rsid w:val="0093032A"/>
    <w:rsid w:val="009305BB"/>
    <w:rsid w:val="0093070C"/>
    <w:rsid w:val="009317E1"/>
    <w:rsid w:val="009318E7"/>
    <w:rsid w:val="00934D0E"/>
    <w:rsid w:val="00935C62"/>
    <w:rsid w:val="0093639E"/>
    <w:rsid w:val="0093662A"/>
    <w:rsid w:val="00936E83"/>
    <w:rsid w:val="009411EA"/>
    <w:rsid w:val="009428F7"/>
    <w:rsid w:val="00943198"/>
    <w:rsid w:val="00943590"/>
    <w:rsid w:val="00943FCD"/>
    <w:rsid w:val="0094420C"/>
    <w:rsid w:val="00945B8B"/>
    <w:rsid w:val="009465AC"/>
    <w:rsid w:val="009468DC"/>
    <w:rsid w:val="00951379"/>
    <w:rsid w:val="00953288"/>
    <w:rsid w:val="00953631"/>
    <w:rsid w:val="00954058"/>
    <w:rsid w:val="00955173"/>
    <w:rsid w:val="00955545"/>
    <w:rsid w:val="0095657C"/>
    <w:rsid w:val="009566EB"/>
    <w:rsid w:val="009572AC"/>
    <w:rsid w:val="00957762"/>
    <w:rsid w:val="00960438"/>
    <w:rsid w:val="009615A7"/>
    <w:rsid w:val="00965D68"/>
    <w:rsid w:val="009662B6"/>
    <w:rsid w:val="00966983"/>
    <w:rsid w:val="00967247"/>
    <w:rsid w:val="00967FB9"/>
    <w:rsid w:val="00970283"/>
    <w:rsid w:val="00970826"/>
    <w:rsid w:val="00970FCC"/>
    <w:rsid w:val="00972294"/>
    <w:rsid w:val="009722CC"/>
    <w:rsid w:val="00973120"/>
    <w:rsid w:val="00973494"/>
    <w:rsid w:val="00974541"/>
    <w:rsid w:val="009747E0"/>
    <w:rsid w:val="00974A5F"/>
    <w:rsid w:val="00974FBE"/>
    <w:rsid w:val="00975BA2"/>
    <w:rsid w:val="00975BE7"/>
    <w:rsid w:val="00976E72"/>
    <w:rsid w:val="009779DF"/>
    <w:rsid w:val="00977D5D"/>
    <w:rsid w:val="00980AC6"/>
    <w:rsid w:val="009810BF"/>
    <w:rsid w:val="0098196E"/>
    <w:rsid w:val="00982203"/>
    <w:rsid w:val="0098269B"/>
    <w:rsid w:val="009846DD"/>
    <w:rsid w:val="00984D73"/>
    <w:rsid w:val="00985614"/>
    <w:rsid w:val="0098679F"/>
    <w:rsid w:val="009876C2"/>
    <w:rsid w:val="009879C2"/>
    <w:rsid w:val="0099003A"/>
    <w:rsid w:val="0099052A"/>
    <w:rsid w:val="0099058C"/>
    <w:rsid w:val="00990C6B"/>
    <w:rsid w:val="00990EC8"/>
    <w:rsid w:val="009937DF"/>
    <w:rsid w:val="009945B7"/>
    <w:rsid w:val="00994EF3"/>
    <w:rsid w:val="00994F13"/>
    <w:rsid w:val="009950C5"/>
    <w:rsid w:val="009A07A4"/>
    <w:rsid w:val="009A1D32"/>
    <w:rsid w:val="009A1F0C"/>
    <w:rsid w:val="009A1F95"/>
    <w:rsid w:val="009A23A6"/>
    <w:rsid w:val="009A2E98"/>
    <w:rsid w:val="009A4C52"/>
    <w:rsid w:val="009A5F7F"/>
    <w:rsid w:val="009A6FBA"/>
    <w:rsid w:val="009A78B3"/>
    <w:rsid w:val="009A7C74"/>
    <w:rsid w:val="009B0B40"/>
    <w:rsid w:val="009B1F38"/>
    <w:rsid w:val="009B333B"/>
    <w:rsid w:val="009B63BD"/>
    <w:rsid w:val="009B6A00"/>
    <w:rsid w:val="009B6C2A"/>
    <w:rsid w:val="009B7308"/>
    <w:rsid w:val="009B7498"/>
    <w:rsid w:val="009C0822"/>
    <w:rsid w:val="009C25EF"/>
    <w:rsid w:val="009C2639"/>
    <w:rsid w:val="009C2C07"/>
    <w:rsid w:val="009C4437"/>
    <w:rsid w:val="009C6C26"/>
    <w:rsid w:val="009C71A0"/>
    <w:rsid w:val="009C7C24"/>
    <w:rsid w:val="009D040C"/>
    <w:rsid w:val="009D1AB7"/>
    <w:rsid w:val="009D21BD"/>
    <w:rsid w:val="009D243C"/>
    <w:rsid w:val="009D2AA3"/>
    <w:rsid w:val="009D2D58"/>
    <w:rsid w:val="009D2E6C"/>
    <w:rsid w:val="009D3C44"/>
    <w:rsid w:val="009D4D5E"/>
    <w:rsid w:val="009D4EF1"/>
    <w:rsid w:val="009D52EA"/>
    <w:rsid w:val="009D53DA"/>
    <w:rsid w:val="009D5677"/>
    <w:rsid w:val="009E06B0"/>
    <w:rsid w:val="009E0D91"/>
    <w:rsid w:val="009E0EFF"/>
    <w:rsid w:val="009E2099"/>
    <w:rsid w:val="009E2C67"/>
    <w:rsid w:val="009E322B"/>
    <w:rsid w:val="009E4CA5"/>
    <w:rsid w:val="009E539E"/>
    <w:rsid w:val="009E6424"/>
    <w:rsid w:val="009E65B6"/>
    <w:rsid w:val="009E6A27"/>
    <w:rsid w:val="009F1578"/>
    <w:rsid w:val="009F1C3C"/>
    <w:rsid w:val="009F2103"/>
    <w:rsid w:val="009F222C"/>
    <w:rsid w:val="009F256A"/>
    <w:rsid w:val="009F278F"/>
    <w:rsid w:val="009F3F58"/>
    <w:rsid w:val="009F4924"/>
    <w:rsid w:val="009F4B35"/>
    <w:rsid w:val="009F6355"/>
    <w:rsid w:val="009F63FB"/>
    <w:rsid w:val="009F6456"/>
    <w:rsid w:val="009F6B33"/>
    <w:rsid w:val="009F6BB9"/>
    <w:rsid w:val="009F6BC6"/>
    <w:rsid w:val="009F78BC"/>
    <w:rsid w:val="00A009C0"/>
    <w:rsid w:val="00A010C6"/>
    <w:rsid w:val="00A01853"/>
    <w:rsid w:val="00A0194B"/>
    <w:rsid w:val="00A021D3"/>
    <w:rsid w:val="00A021D7"/>
    <w:rsid w:val="00A0251C"/>
    <w:rsid w:val="00A0331E"/>
    <w:rsid w:val="00A033C4"/>
    <w:rsid w:val="00A03C73"/>
    <w:rsid w:val="00A03FD7"/>
    <w:rsid w:val="00A04245"/>
    <w:rsid w:val="00A0598A"/>
    <w:rsid w:val="00A05D91"/>
    <w:rsid w:val="00A064E4"/>
    <w:rsid w:val="00A066B4"/>
    <w:rsid w:val="00A06964"/>
    <w:rsid w:val="00A070B8"/>
    <w:rsid w:val="00A074EA"/>
    <w:rsid w:val="00A0771E"/>
    <w:rsid w:val="00A106EB"/>
    <w:rsid w:val="00A107A4"/>
    <w:rsid w:val="00A112B0"/>
    <w:rsid w:val="00A13451"/>
    <w:rsid w:val="00A139A5"/>
    <w:rsid w:val="00A1475A"/>
    <w:rsid w:val="00A15807"/>
    <w:rsid w:val="00A15B91"/>
    <w:rsid w:val="00A15C15"/>
    <w:rsid w:val="00A15DDA"/>
    <w:rsid w:val="00A20F18"/>
    <w:rsid w:val="00A215FA"/>
    <w:rsid w:val="00A21830"/>
    <w:rsid w:val="00A2189E"/>
    <w:rsid w:val="00A2207A"/>
    <w:rsid w:val="00A22604"/>
    <w:rsid w:val="00A22BBD"/>
    <w:rsid w:val="00A25508"/>
    <w:rsid w:val="00A273D6"/>
    <w:rsid w:val="00A278A3"/>
    <w:rsid w:val="00A27E49"/>
    <w:rsid w:val="00A32BB1"/>
    <w:rsid w:val="00A330AB"/>
    <w:rsid w:val="00A33B8F"/>
    <w:rsid w:val="00A34E0C"/>
    <w:rsid w:val="00A35843"/>
    <w:rsid w:val="00A37196"/>
    <w:rsid w:val="00A374C5"/>
    <w:rsid w:val="00A41190"/>
    <w:rsid w:val="00A41AED"/>
    <w:rsid w:val="00A4290D"/>
    <w:rsid w:val="00A429B4"/>
    <w:rsid w:val="00A45437"/>
    <w:rsid w:val="00A46DCC"/>
    <w:rsid w:val="00A46F5B"/>
    <w:rsid w:val="00A50028"/>
    <w:rsid w:val="00A51D95"/>
    <w:rsid w:val="00A52587"/>
    <w:rsid w:val="00A53728"/>
    <w:rsid w:val="00A53A1B"/>
    <w:rsid w:val="00A53C6E"/>
    <w:rsid w:val="00A5717D"/>
    <w:rsid w:val="00A571EC"/>
    <w:rsid w:val="00A57E45"/>
    <w:rsid w:val="00A607CB"/>
    <w:rsid w:val="00A61817"/>
    <w:rsid w:val="00A61A96"/>
    <w:rsid w:val="00A62595"/>
    <w:rsid w:val="00A63DD8"/>
    <w:rsid w:val="00A646B2"/>
    <w:rsid w:val="00A65498"/>
    <w:rsid w:val="00A669C0"/>
    <w:rsid w:val="00A67F53"/>
    <w:rsid w:val="00A70C36"/>
    <w:rsid w:val="00A726DD"/>
    <w:rsid w:val="00A72B38"/>
    <w:rsid w:val="00A7344E"/>
    <w:rsid w:val="00A73AD0"/>
    <w:rsid w:val="00A73F61"/>
    <w:rsid w:val="00A748A0"/>
    <w:rsid w:val="00A755C1"/>
    <w:rsid w:val="00A75AD4"/>
    <w:rsid w:val="00A762DB"/>
    <w:rsid w:val="00A76E37"/>
    <w:rsid w:val="00A77CEC"/>
    <w:rsid w:val="00A81057"/>
    <w:rsid w:val="00A81641"/>
    <w:rsid w:val="00A81B57"/>
    <w:rsid w:val="00A82C60"/>
    <w:rsid w:val="00A84852"/>
    <w:rsid w:val="00A8547B"/>
    <w:rsid w:val="00A8571E"/>
    <w:rsid w:val="00A85739"/>
    <w:rsid w:val="00A86256"/>
    <w:rsid w:val="00A87D4E"/>
    <w:rsid w:val="00A9008E"/>
    <w:rsid w:val="00A901B8"/>
    <w:rsid w:val="00A903A5"/>
    <w:rsid w:val="00A91CC1"/>
    <w:rsid w:val="00A91FF1"/>
    <w:rsid w:val="00A925A3"/>
    <w:rsid w:val="00A92FAE"/>
    <w:rsid w:val="00A952E0"/>
    <w:rsid w:val="00A954A5"/>
    <w:rsid w:val="00A958DB"/>
    <w:rsid w:val="00A95EC8"/>
    <w:rsid w:val="00A970B5"/>
    <w:rsid w:val="00A97985"/>
    <w:rsid w:val="00AA0075"/>
    <w:rsid w:val="00AA04A4"/>
    <w:rsid w:val="00AA078D"/>
    <w:rsid w:val="00AA1275"/>
    <w:rsid w:val="00AA3EA6"/>
    <w:rsid w:val="00AA503D"/>
    <w:rsid w:val="00AA5A48"/>
    <w:rsid w:val="00AB0086"/>
    <w:rsid w:val="00AB0CBB"/>
    <w:rsid w:val="00AB109A"/>
    <w:rsid w:val="00AB1A09"/>
    <w:rsid w:val="00AB1B65"/>
    <w:rsid w:val="00AB229A"/>
    <w:rsid w:val="00AB3860"/>
    <w:rsid w:val="00AB57C7"/>
    <w:rsid w:val="00AB5B92"/>
    <w:rsid w:val="00AB5C86"/>
    <w:rsid w:val="00AB5CE8"/>
    <w:rsid w:val="00AB6F8E"/>
    <w:rsid w:val="00AB7382"/>
    <w:rsid w:val="00AB750E"/>
    <w:rsid w:val="00AB7EEC"/>
    <w:rsid w:val="00AC1C88"/>
    <w:rsid w:val="00AC26AD"/>
    <w:rsid w:val="00AC2E01"/>
    <w:rsid w:val="00AC313C"/>
    <w:rsid w:val="00AC387E"/>
    <w:rsid w:val="00AC3DAD"/>
    <w:rsid w:val="00AC42C9"/>
    <w:rsid w:val="00AC44F4"/>
    <w:rsid w:val="00AC58F3"/>
    <w:rsid w:val="00AC5B2D"/>
    <w:rsid w:val="00AC5EEA"/>
    <w:rsid w:val="00AC6677"/>
    <w:rsid w:val="00AC6FCD"/>
    <w:rsid w:val="00AC77C5"/>
    <w:rsid w:val="00AC77F4"/>
    <w:rsid w:val="00AD1246"/>
    <w:rsid w:val="00AD1366"/>
    <w:rsid w:val="00AD19DA"/>
    <w:rsid w:val="00AD316E"/>
    <w:rsid w:val="00AD3819"/>
    <w:rsid w:val="00AD4B5E"/>
    <w:rsid w:val="00AD4C56"/>
    <w:rsid w:val="00AD570C"/>
    <w:rsid w:val="00AD66FE"/>
    <w:rsid w:val="00AD72B7"/>
    <w:rsid w:val="00AD793C"/>
    <w:rsid w:val="00AD7F9C"/>
    <w:rsid w:val="00AE15F7"/>
    <w:rsid w:val="00AE1C07"/>
    <w:rsid w:val="00AE1CCF"/>
    <w:rsid w:val="00AE3526"/>
    <w:rsid w:val="00AE4250"/>
    <w:rsid w:val="00AE4312"/>
    <w:rsid w:val="00AE4D9E"/>
    <w:rsid w:val="00AE696A"/>
    <w:rsid w:val="00AE6F24"/>
    <w:rsid w:val="00AF1524"/>
    <w:rsid w:val="00AF441D"/>
    <w:rsid w:val="00AF4C20"/>
    <w:rsid w:val="00AF50AD"/>
    <w:rsid w:val="00AF578E"/>
    <w:rsid w:val="00AF5D78"/>
    <w:rsid w:val="00AF61E4"/>
    <w:rsid w:val="00AF6513"/>
    <w:rsid w:val="00AF6830"/>
    <w:rsid w:val="00AF78C2"/>
    <w:rsid w:val="00B00D1C"/>
    <w:rsid w:val="00B026F8"/>
    <w:rsid w:val="00B02F4B"/>
    <w:rsid w:val="00B04C14"/>
    <w:rsid w:val="00B06AF2"/>
    <w:rsid w:val="00B07FC7"/>
    <w:rsid w:val="00B107D8"/>
    <w:rsid w:val="00B12C8C"/>
    <w:rsid w:val="00B13103"/>
    <w:rsid w:val="00B13DB4"/>
    <w:rsid w:val="00B14414"/>
    <w:rsid w:val="00B14BE2"/>
    <w:rsid w:val="00B15624"/>
    <w:rsid w:val="00B1637B"/>
    <w:rsid w:val="00B165E5"/>
    <w:rsid w:val="00B16F32"/>
    <w:rsid w:val="00B2067A"/>
    <w:rsid w:val="00B22B86"/>
    <w:rsid w:val="00B24946"/>
    <w:rsid w:val="00B2508D"/>
    <w:rsid w:val="00B2552D"/>
    <w:rsid w:val="00B25874"/>
    <w:rsid w:val="00B25C5C"/>
    <w:rsid w:val="00B25D40"/>
    <w:rsid w:val="00B26447"/>
    <w:rsid w:val="00B26534"/>
    <w:rsid w:val="00B26539"/>
    <w:rsid w:val="00B2680B"/>
    <w:rsid w:val="00B27AE1"/>
    <w:rsid w:val="00B27F72"/>
    <w:rsid w:val="00B31571"/>
    <w:rsid w:val="00B32287"/>
    <w:rsid w:val="00B335FE"/>
    <w:rsid w:val="00B340CF"/>
    <w:rsid w:val="00B3422F"/>
    <w:rsid w:val="00B34EFF"/>
    <w:rsid w:val="00B366DD"/>
    <w:rsid w:val="00B36FA3"/>
    <w:rsid w:val="00B4033E"/>
    <w:rsid w:val="00B40531"/>
    <w:rsid w:val="00B414CF"/>
    <w:rsid w:val="00B42A3F"/>
    <w:rsid w:val="00B46816"/>
    <w:rsid w:val="00B46D50"/>
    <w:rsid w:val="00B474D8"/>
    <w:rsid w:val="00B4790B"/>
    <w:rsid w:val="00B500F2"/>
    <w:rsid w:val="00B508DD"/>
    <w:rsid w:val="00B52589"/>
    <w:rsid w:val="00B533E0"/>
    <w:rsid w:val="00B53DB3"/>
    <w:rsid w:val="00B56654"/>
    <w:rsid w:val="00B56951"/>
    <w:rsid w:val="00B603A2"/>
    <w:rsid w:val="00B611F2"/>
    <w:rsid w:val="00B62325"/>
    <w:rsid w:val="00B633A0"/>
    <w:rsid w:val="00B66551"/>
    <w:rsid w:val="00B666E5"/>
    <w:rsid w:val="00B67449"/>
    <w:rsid w:val="00B708F4"/>
    <w:rsid w:val="00B71990"/>
    <w:rsid w:val="00B71EB9"/>
    <w:rsid w:val="00B723A4"/>
    <w:rsid w:val="00B72B03"/>
    <w:rsid w:val="00B74AF2"/>
    <w:rsid w:val="00B7649E"/>
    <w:rsid w:val="00B76992"/>
    <w:rsid w:val="00B76AC3"/>
    <w:rsid w:val="00B76EF8"/>
    <w:rsid w:val="00B774CC"/>
    <w:rsid w:val="00B77FB1"/>
    <w:rsid w:val="00B806E2"/>
    <w:rsid w:val="00B80806"/>
    <w:rsid w:val="00B8197E"/>
    <w:rsid w:val="00B81D62"/>
    <w:rsid w:val="00B81E8D"/>
    <w:rsid w:val="00B82937"/>
    <w:rsid w:val="00B84694"/>
    <w:rsid w:val="00B84701"/>
    <w:rsid w:val="00B8489C"/>
    <w:rsid w:val="00B85F70"/>
    <w:rsid w:val="00B87354"/>
    <w:rsid w:val="00B90113"/>
    <w:rsid w:val="00B90303"/>
    <w:rsid w:val="00B90BAA"/>
    <w:rsid w:val="00B90EB0"/>
    <w:rsid w:val="00B9456E"/>
    <w:rsid w:val="00B95E1C"/>
    <w:rsid w:val="00B96944"/>
    <w:rsid w:val="00B97C91"/>
    <w:rsid w:val="00B97D11"/>
    <w:rsid w:val="00BA000B"/>
    <w:rsid w:val="00BA0E8A"/>
    <w:rsid w:val="00BA155D"/>
    <w:rsid w:val="00BA24DC"/>
    <w:rsid w:val="00BA30EA"/>
    <w:rsid w:val="00BA3C18"/>
    <w:rsid w:val="00BA4171"/>
    <w:rsid w:val="00BA4BE0"/>
    <w:rsid w:val="00BA5223"/>
    <w:rsid w:val="00BA54C8"/>
    <w:rsid w:val="00BA5990"/>
    <w:rsid w:val="00BA59CC"/>
    <w:rsid w:val="00BA5D6B"/>
    <w:rsid w:val="00BA7FAF"/>
    <w:rsid w:val="00BB1273"/>
    <w:rsid w:val="00BB3C28"/>
    <w:rsid w:val="00BB4274"/>
    <w:rsid w:val="00BB46D4"/>
    <w:rsid w:val="00BB4ECD"/>
    <w:rsid w:val="00BB54A0"/>
    <w:rsid w:val="00BB628F"/>
    <w:rsid w:val="00BB69B6"/>
    <w:rsid w:val="00BB6DEB"/>
    <w:rsid w:val="00BC1A94"/>
    <w:rsid w:val="00BC33D9"/>
    <w:rsid w:val="00BC4DB5"/>
    <w:rsid w:val="00BC4FE4"/>
    <w:rsid w:val="00BC50C5"/>
    <w:rsid w:val="00BC51E5"/>
    <w:rsid w:val="00BC624C"/>
    <w:rsid w:val="00BC62B0"/>
    <w:rsid w:val="00BC731E"/>
    <w:rsid w:val="00BC7810"/>
    <w:rsid w:val="00BD3147"/>
    <w:rsid w:val="00BD5C6D"/>
    <w:rsid w:val="00BD5D9A"/>
    <w:rsid w:val="00BD73D5"/>
    <w:rsid w:val="00BD7595"/>
    <w:rsid w:val="00BD7B3A"/>
    <w:rsid w:val="00BD7FDE"/>
    <w:rsid w:val="00BE0DF9"/>
    <w:rsid w:val="00BE1BA7"/>
    <w:rsid w:val="00BE2BAD"/>
    <w:rsid w:val="00BE47C8"/>
    <w:rsid w:val="00BE48FB"/>
    <w:rsid w:val="00BE6DC9"/>
    <w:rsid w:val="00BE752F"/>
    <w:rsid w:val="00BE77D6"/>
    <w:rsid w:val="00BE7A13"/>
    <w:rsid w:val="00BE7BFD"/>
    <w:rsid w:val="00BE7D49"/>
    <w:rsid w:val="00BF0082"/>
    <w:rsid w:val="00BF0179"/>
    <w:rsid w:val="00BF0259"/>
    <w:rsid w:val="00BF051C"/>
    <w:rsid w:val="00BF0E27"/>
    <w:rsid w:val="00BF1F0F"/>
    <w:rsid w:val="00BF2642"/>
    <w:rsid w:val="00BF2DBB"/>
    <w:rsid w:val="00BF3427"/>
    <w:rsid w:val="00BF5625"/>
    <w:rsid w:val="00BF6C08"/>
    <w:rsid w:val="00BF6D58"/>
    <w:rsid w:val="00C000C0"/>
    <w:rsid w:val="00C03104"/>
    <w:rsid w:val="00C038A4"/>
    <w:rsid w:val="00C03E39"/>
    <w:rsid w:val="00C04581"/>
    <w:rsid w:val="00C0470E"/>
    <w:rsid w:val="00C04E65"/>
    <w:rsid w:val="00C05247"/>
    <w:rsid w:val="00C053E0"/>
    <w:rsid w:val="00C05537"/>
    <w:rsid w:val="00C05587"/>
    <w:rsid w:val="00C06DB3"/>
    <w:rsid w:val="00C10397"/>
    <w:rsid w:val="00C10A17"/>
    <w:rsid w:val="00C10DD8"/>
    <w:rsid w:val="00C11469"/>
    <w:rsid w:val="00C1157E"/>
    <w:rsid w:val="00C11AE1"/>
    <w:rsid w:val="00C136F6"/>
    <w:rsid w:val="00C144A6"/>
    <w:rsid w:val="00C146A2"/>
    <w:rsid w:val="00C14B95"/>
    <w:rsid w:val="00C15555"/>
    <w:rsid w:val="00C16D70"/>
    <w:rsid w:val="00C17414"/>
    <w:rsid w:val="00C1775D"/>
    <w:rsid w:val="00C20A9E"/>
    <w:rsid w:val="00C23A7C"/>
    <w:rsid w:val="00C23BE6"/>
    <w:rsid w:val="00C23C84"/>
    <w:rsid w:val="00C242E3"/>
    <w:rsid w:val="00C24661"/>
    <w:rsid w:val="00C25EBB"/>
    <w:rsid w:val="00C2684F"/>
    <w:rsid w:val="00C278E1"/>
    <w:rsid w:val="00C301B9"/>
    <w:rsid w:val="00C3165E"/>
    <w:rsid w:val="00C32C5C"/>
    <w:rsid w:val="00C33493"/>
    <w:rsid w:val="00C34333"/>
    <w:rsid w:val="00C34872"/>
    <w:rsid w:val="00C34A40"/>
    <w:rsid w:val="00C34F56"/>
    <w:rsid w:val="00C3556E"/>
    <w:rsid w:val="00C37418"/>
    <w:rsid w:val="00C40C5C"/>
    <w:rsid w:val="00C41264"/>
    <w:rsid w:val="00C41336"/>
    <w:rsid w:val="00C4149B"/>
    <w:rsid w:val="00C41E15"/>
    <w:rsid w:val="00C43165"/>
    <w:rsid w:val="00C435EF"/>
    <w:rsid w:val="00C43D26"/>
    <w:rsid w:val="00C44A50"/>
    <w:rsid w:val="00C44E23"/>
    <w:rsid w:val="00C45C91"/>
    <w:rsid w:val="00C45D47"/>
    <w:rsid w:val="00C47A15"/>
    <w:rsid w:val="00C50D1C"/>
    <w:rsid w:val="00C523C8"/>
    <w:rsid w:val="00C52FF4"/>
    <w:rsid w:val="00C53411"/>
    <w:rsid w:val="00C53949"/>
    <w:rsid w:val="00C549DE"/>
    <w:rsid w:val="00C54B79"/>
    <w:rsid w:val="00C555D6"/>
    <w:rsid w:val="00C55987"/>
    <w:rsid w:val="00C55E4E"/>
    <w:rsid w:val="00C55EA6"/>
    <w:rsid w:val="00C561A0"/>
    <w:rsid w:val="00C56CE4"/>
    <w:rsid w:val="00C579ED"/>
    <w:rsid w:val="00C60341"/>
    <w:rsid w:val="00C604E1"/>
    <w:rsid w:val="00C60BF9"/>
    <w:rsid w:val="00C61689"/>
    <w:rsid w:val="00C63C38"/>
    <w:rsid w:val="00C64DD2"/>
    <w:rsid w:val="00C65502"/>
    <w:rsid w:val="00C664B7"/>
    <w:rsid w:val="00C66865"/>
    <w:rsid w:val="00C66B3B"/>
    <w:rsid w:val="00C67090"/>
    <w:rsid w:val="00C672B9"/>
    <w:rsid w:val="00C7185B"/>
    <w:rsid w:val="00C71AA0"/>
    <w:rsid w:val="00C71B27"/>
    <w:rsid w:val="00C72421"/>
    <w:rsid w:val="00C7359C"/>
    <w:rsid w:val="00C73C34"/>
    <w:rsid w:val="00C747B1"/>
    <w:rsid w:val="00C751DC"/>
    <w:rsid w:val="00C75BFF"/>
    <w:rsid w:val="00C75D67"/>
    <w:rsid w:val="00C75F0C"/>
    <w:rsid w:val="00C76A70"/>
    <w:rsid w:val="00C77702"/>
    <w:rsid w:val="00C80BB9"/>
    <w:rsid w:val="00C81739"/>
    <w:rsid w:val="00C8210E"/>
    <w:rsid w:val="00C855A9"/>
    <w:rsid w:val="00C8561A"/>
    <w:rsid w:val="00C85643"/>
    <w:rsid w:val="00C864C7"/>
    <w:rsid w:val="00C87704"/>
    <w:rsid w:val="00C877A7"/>
    <w:rsid w:val="00C905A7"/>
    <w:rsid w:val="00C9188D"/>
    <w:rsid w:val="00C92C10"/>
    <w:rsid w:val="00C95833"/>
    <w:rsid w:val="00C958DC"/>
    <w:rsid w:val="00C976CB"/>
    <w:rsid w:val="00C97D79"/>
    <w:rsid w:val="00C97EBC"/>
    <w:rsid w:val="00CA2647"/>
    <w:rsid w:val="00CA2AC1"/>
    <w:rsid w:val="00CA30BB"/>
    <w:rsid w:val="00CA3C7F"/>
    <w:rsid w:val="00CA3DE4"/>
    <w:rsid w:val="00CA4024"/>
    <w:rsid w:val="00CA40E4"/>
    <w:rsid w:val="00CA50D4"/>
    <w:rsid w:val="00CA578B"/>
    <w:rsid w:val="00CA6227"/>
    <w:rsid w:val="00CA630A"/>
    <w:rsid w:val="00CA64FC"/>
    <w:rsid w:val="00CA6910"/>
    <w:rsid w:val="00CA6AB1"/>
    <w:rsid w:val="00CA7909"/>
    <w:rsid w:val="00CB0E8D"/>
    <w:rsid w:val="00CB3FD9"/>
    <w:rsid w:val="00CB4996"/>
    <w:rsid w:val="00CB6313"/>
    <w:rsid w:val="00CB6EDB"/>
    <w:rsid w:val="00CB7CA2"/>
    <w:rsid w:val="00CC0798"/>
    <w:rsid w:val="00CC4CA6"/>
    <w:rsid w:val="00CC53B7"/>
    <w:rsid w:val="00CC6D10"/>
    <w:rsid w:val="00CC72BD"/>
    <w:rsid w:val="00CC75FC"/>
    <w:rsid w:val="00CD0934"/>
    <w:rsid w:val="00CD3C4A"/>
    <w:rsid w:val="00CD3F4A"/>
    <w:rsid w:val="00CD7A5C"/>
    <w:rsid w:val="00CE02F9"/>
    <w:rsid w:val="00CE03CD"/>
    <w:rsid w:val="00CE0767"/>
    <w:rsid w:val="00CE0CCC"/>
    <w:rsid w:val="00CE27DD"/>
    <w:rsid w:val="00CE29AB"/>
    <w:rsid w:val="00CE2F01"/>
    <w:rsid w:val="00CE305F"/>
    <w:rsid w:val="00CE3245"/>
    <w:rsid w:val="00CE5191"/>
    <w:rsid w:val="00CE5283"/>
    <w:rsid w:val="00CE54DE"/>
    <w:rsid w:val="00CE6E3F"/>
    <w:rsid w:val="00CF0C0F"/>
    <w:rsid w:val="00CF19E5"/>
    <w:rsid w:val="00CF2639"/>
    <w:rsid w:val="00CF2EF5"/>
    <w:rsid w:val="00CF3157"/>
    <w:rsid w:val="00CF33A8"/>
    <w:rsid w:val="00CF3B7D"/>
    <w:rsid w:val="00CF4D8B"/>
    <w:rsid w:val="00CF4FF8"/>
    <w:rsid w:val="00CF5818"/>
    <w:rsid w:val="00CF5B26"/>
    <w:rsid w:val="00CF69B6"/>
    <w:rsid w:val="00CF6AD2"/>
    <w:rsid w:val="00CF6FCA"/>
    <w:rsid w:val="00CF7516"/>
    <w:rsid w:val="00D0084B"/>
    <w:rsid w:val="00D00F98"/>
    <w:rsid w:val="00D01458"/>
    <w:rsid w:val="00D01B52"/>
    <w:rsid w:val="00D01D16"/>
    <w:rsid w:val="00D029F3"/>
    <w:rsid w:val="00D03D2C"/>
    <w:rsid w:val="00D043D6"/>
    <w:rsid w:val="00D046FE"/>
    <w:rsid w:val="00D04841"/>
    <w:rsid w:val="00D04BA2"/>
    <w:rsid w:val="00D04CC6"/>
    <w:rsid w:val="00D0569A"/>
    <w:rsid w:val="00D06CA2"/>
    <w:rsid w:val="00D077AB"/>
    <w:rsid w:val="00D07BA7"/>
    <w:rsid w:val="00D07ECD"/>
    <w:rsid w:val="00D10305"/>
    <w:rsid w:val="00D113BF"/>
    <w:rsid w:val="00D11438"/>
    <w:rsid w:val="00D1147E"/>
    <w:rsid w:val="00D124D1"/>
    <w:rsid w:val="00D12BC2"/>
    <w:rsid w:val="00D12CB1"/>
    <w:rsid w:val="00D12E51"/>
    <w:rsid w:val="00D13353"/>
    <w:rsid w:val="00D153F5"/>
    <w:rsid w:val="00D15C7F"/>
    <w:rsid w:val="00D15CE0"/>
    <w:rsid w:val="00D15EA5"/>
    <w:rsid w:val="00D16519"/>
    <w:rsid w:val="00D167EA"/>
    <w:rsid w:val="00D17111"/>
    <w:rsid w:val="00D17364"/>
    <w:rsid w:val="00D17AE9"/>
    <w:rsid w:val="00D2091B"/>
    <w:rsid w:val="00D23527"/>
    <w:rsid w:val="00D24083"/>
    <w:rsid w:val="00D255DE"/>
    <w:rsid w:val="00D25B95"/>
    <w:rsid w:val="00D25E6E"/>
    <w:rsid w:val="00D27977"/>
    <w:rsid w:val="00D310C3"/>
    <w:rsid w:val="00D317A9"/>
    <w:rsid w:val="00D3189B"/>
    <w:rsid w:val="00D31D4B"/>
    <w:rsid w:val="00D321DC"/>
    <w:rsid w:val="00D32E00"/>
    <w:rsid w:val="00D34696"/>
    <w:rsid w:val="00D34BF5"/>
    <w:rsid w:val="00D36154"/>
    <w:rsid w:val="00D3651E"/>
    <w:rsid w:val="00D370B8"/>
    <w:rsid w:val="00D37FE5"/>
    <w:rsid w:val="00D417FE"/>
    <w:rsid w:val="00D42EB5"/>
    <w:rsid w:val="00D43B21"/>
    <w:rsid w:val="00D456D7"/>
    <w:rsid w:val="00D467DF"/>
    <w:rsid w:val="00D46E19"/>
    <w:rsid w:val="00D46E4D"/>
    <w:rsid w:val="00D47078"/>
    <w:rsid w:val="00D478CE"/>
    <w:rsid w:val="00D47A6E"/>
    <w:rsid w:val="00D5045F"/>
    <w:rsid w:val="00D5085D"/>
    <w:rsid w:val="00D50F35"/>
    <w:rsid w:val="00D51EB6"/>
    <w:rsid w:val="00D5380A"/>
    <w:rsid w:val="00D54A62"/>
    <w:rsid w:val="00D54B6E"/>
    <w:rsid w:val="00D557FF"/>
    <w:rsid w:val="00D5601E"/>
    <w:rsid w:val="00D57331"/>
    <w:rsid w:val="00D60499"/>
    <w:rsid w:val="00D62A59"/>
    <w:rsid w:val="00D6425B"/>
    <w:rsid w:val="00D65F26"/>
    <w:rsid w:val="00D66381"/>
    <w:rsid w:val="00D67A2A"/>
    <w:rsid w:val="00D702F3"/>
    <w:rsid w:val="00D70382"/>
    <w:rsid w:val="00D70F89"/>
    <w:rsid w:val="00D7124B"/>
    <w:rsid w:val="00D71D47"/>
    <w:rsid w:val="00D71E4F"/>
    <w:rsid w:val="00D72578"/>
    <w:rsid w:val="00D72D33"/>
    <w:rsid w:val="00D732F1"/>
    <w:rsid w:val="00D73599"/>
    <w:rsid w:val="00D73ABD"/>
    <w:rsid w:val="00D76775"/>
    <w:rsid w:val="00D768FD"/>
    <w:rsid w:val="00D771B5"/>
    <w:rsid w:val="00D77668"/>
    <w:rsid w:val="00D77720"/>
    <w:rsid w:val="00D831B3"/>
    <w:rsid w:val="00D85F27"/>
    <w:rsid w:val="00D866E0"/>
    <w:rsid w:val="00D8708A"/>
    <w:rsid w:val="00D91621"/>
    <w:rsid w:val="00D91D96"/>
    <w:rsid w:val="00D924C8"/>
    <w:rsid w:val="00D933B3"/>
    <w:rsid w:val="00D94B85"/>
    <w:rsid w:val="00D9509D"/>
    <w:rsid w:val="00D95A37"/>
    <w:rsid w:val="00D95E0F"/>
    <w:rsid w:val="00D96A70"/>
    <w:rsid w:val="00D96B86"/>
    <w:rsid w:val="00D976E5"/>
    <w:rsid w:val="00D97E07"/>
    <w:rsid w:val="00DA0860"/>
    <w:rsid w:val="00DA2AE3"/>
    <w:rsid w:val="00DA2DF9"/>
    <w:rsid w:val="00DA4192"/>
    <w:rsid w:val="00DA44FD"/>
    <w:rsid w:val="00DA4A97"/>
    <w:rsid w:val="00DA6BDF"/>
    <w:rsid w:val="00DA6CD7"/>
    <w:rsid w:val="00DA7949"/>
    <w:rsid w:val="00DA79F4"/>
    <w:rsid w:val="00DB0150"/>
    <w:rsid w:val="00DB0F79"/>
    <w:rsid w:val="00DB13E9"/>
    <w:rsid w:val="00DB171C"/>
    <w:rsid w:val="00DB2148"/>
    <w:rsid w:val="00DB31AE"/>
    <w:rsid w:val="00DB349D"/>
    <w:rsid w:val="00DB4BBF"/>
    <w:rsid w:val="00DB5693"/>
    <w:rsid w:val="00DB5705"/>
    <w:rsid w:val="00DB57AB"/>
    <w:rsid w:val="00DB5858"/>
    <w:rsid w:val="00DB62A1"/>
    <w:rsid w:val="00DB65BC"/>
    <w:rsid w:val="00DB737B"/>
    <w:rsid w:val="00DB77F7"/>
    <w:rsid w:val="00DB7901"/>
    <w:rsid w:val="00DB7FAB"/>
    <w:rsid w:val="00DB9F5A"/>
    <w:rsid w:val="00DC0328"/>
    <w:rsid w:val="00DC0AC4"/>
    <w:rsid w:val="00DC19D1"/>
    <w:rsid w:val="00DC1BA3"/>
    <w:rsid w:val="00DC2372"/>
    <w:rsid w:val="00DC2506"/>
    <w:rsid w:val="00DC3212"/>
    <w:rsid w:val="00DC3C8C"/>
    <w:rsid w:val="00DC3DEB"/>
    <w:rsid w:val="00DC477B"/>
    <w:rsid w:val="00DC480D"/>
    <w:rsid w:val="00DC5765"/>
    <w:rsid w:val="00DC6541"/>
    <w:rsid w:val="00DC75A9"/>
    <w:rsid w:val="00DC79B3"/>
    <w:rsid w:val="00DC7ECF"/>
    <w:rsid w:val="00DD036A"/>
    <w:rsid w:val="00DD1350"/>
    <w:rsid w:val="00DD38D4"/>
    <w:rsid w:val="00DD58E0"/>
    <w:rsid w:val="00DD611A"/>
    <w:rsid w:val="00DE0C51"/>
    <w:rsid w:val="00DE1A36"/>
    <w:rsid w:val="00DE22F8"/>
    <w:rsid w:val="00DE3C11"/>
    <w:rsid w:val="00DE4580"/>
    <w:rsid w:val="00DE4C35"/>
    <w:rsid w:val="00DE777A"/>
    <w:rsid w:val="00DE77E1"/>
    <w:rsid w:val="00DE783C"/>
    <w:rsid w:val="00DF10B6"/>
    <w:rsid w:val="00DF281A"/>
    <w:rsid w:val="00DF3146"/>
    <w:rsid w:val="00DF681C"/>
    <w:rsid w:val="00E0164C"/>
    <w:rsid w:val="00E05158"/>
    <w:rsid w:val="00E06B0E"/>
    <w:rsid w:val="00E1151C"/>
    <w:rsid w:val="00E125FC"/>
    <w:rsid w:val="00E126AE"/>
    <w:rsid w:val="00E12818"/>
    <w:rsid w:val="00E12919"/>
    <w:rsid w:val="00E13504"/>
    <w:rsid w:val="00E14CF4"/>
    <w:rsid w:val="00E15322"/>
    <w:rsid w:val="00E16935"/>
    <w:rsid w:val="00E20375"/>
    <w:rsid w:val="00E204C7"/>
    <w:rsid w:val="00E21885"/>
    <w:rsid w:val="00E21D62"/>
    <w:rsid w:val="00E23BBE"/>
    <w:rsid w:val="00E24747"/>
    <w:rsid w:val="00E24A0A"/>
    <w:rsid w:val="00E25C4C"/>
    <w:rsid w:val="00E25CAA"/>
    <w:rsid w:val="00E27097"/>
    <w:rsid w:val="00E2713B"/>
    <w:rsid w:val="00E30E52"/>
    <w:rsid w:val="00E31C75"/>
    <w:rsid w:val="00E33537"/>
    <w:rsid w:val="00E33772"/>
    <w:rsid w:val="00E33C46"/>
    <w:rsid w:val="00E33E04"/>
    <w:rsid w:val="00E346DA"/>
    <w:rsid w:val="00E346E3"/>
    <w:rsid w:val="00E351BE"/>
    <w:rsid w:val="00E353F8"/>
    <w:rsid w:val="00E35A6B"/>
    <w:rsid w:val="00E35A8B"/>
    <w:rsid w:val="00E360A2"/>
    <w:rsid w:val="00E37539"/>
    <w:rsid w:val="00E37E44"/>
    <w:rsid w:val="00E37EA5"/>
    <w:rsid w:val="00E41B48"/>
    <w:rsid w:val="00E41C39"/>
    <w:rsid w:val="00E41FCA"/>
    <w:rsid w:val="00E42C5F"/>
    <w:rsid w:val="00E43421"/>
    <w:rsid w:val="00E4436B"/>
    <w:rsid w:val="00E44699"/>
    <w:rsid w:val="00E44F28"/>
    <w:rsid w:val="00E468C4"/>
    <w:rsid w:val="00E5171F"/>
    <w:rsid w:val="00E54AFC"/>
    <w:rsid w:val="00E5539D"/>
    <w:rsid w:val="00E55E60"/>
    <w:rsid w:val="00E56180"/>
    <w:rsid w:val="00E561C6"/>
    <w:rsid w:val="00E5779C"/>
    <w:rsid w:val="00E606E5"/>
    <w:rsid w:val="00E60CCF"/>
    <w:rsid w:val="00E647FF"/>
    <w:rsid w:val="00E655AA"/>
    <w:rsid w:val="00E6579D"/>
    <w:rsid w:val="00E660ED"/>
    <w:rsid w:val="00E66410"/>
    <w:rsid w:val="00E66524"/>
    <w:rsid w:val="00E66845"/>
    <w:rsid w:val="00E6EC7D"/>
    <w:rsid w:val="00E7140D"/>
    <w:rsid w:val="00E72D93"/>
    <w:rsid w:val="00E74329"/>
    <w:rsid w:val="00E747A9"/>
    <w:rsid w:val="00E74917"/>
    <w:rsid w:val="00E74A40"/>
    <w:rsid w:val="00E75346"/>
    <w:rsid w:val="00E76169"/>
    <w:rsid w:val="00E77256"/>
    <w:rsid w:val="00E8036E"/>
    <w:rsid w:val="00E80FAD"/>
    <w:rsid w:val="00E826E5"/>
    <w:rsid w:val="00E82822"/>
    <w:rsid w:val="00E8371E"/>
    <w:rsid w:val="00E838A3"/>
    <w:rsid w:val="00E84A58"/>
    <w:rsid w:val="00E85126"/>
    <w:rsid w:val="00E85A3E"/>
    <w:rsid w:val="00E876F1"/>
    <w:rsid w:val="00E910AF"/>
    <w:rsid w:val="00E91398"/>
    <w:rsid w:val="00E91BD4"/>
    <w:rsid w:val="00E91F22"/>
    <w:rsid w:val="00E9580A"/>
    <w:rsid w:val="00E95E87"/>
    <w:rsid w:val="00E965B5"/>
    <w:rsid w:val="00E96D4E"/>
    <w:rsid w:val="00E97EC5"/>
    <w:rsid w:val="00EA066B"/>
    <w:rsid w:val="00EA0DC2"/>
    <w:rsid w:val="00EA28A2"/>
    <w:rsid w:val="00EA3FDC"/>
    <w:rsid w:val="00EA43C1"/>
    <w:rsid w:val="00EA4CB7"/>
    <w:rsid w:val="00EA525A"/>
    <w:rsid w:val="00EA5674"/>
    <w:rsid w:val="00EA59C2"/>
    <w:rsid w:val="00EA62D3"/>
    <w:rsid w:val="00EA6332"/>
    <w:rsid w:val="00EA69F6"/>
    <w:rsid w:val="00EB00B2"/>
    <w:rsid w:val="00EB2322"/>
    <w:rsid w:val="00EB2355"/>
    <w:rsid w:val="00EB2D00"/>
    <w:rsid w:val="00EB33F4"/>
    <w:rsid w:val="00EB3CF2"/>
    <w:rsid w:val="00EB3FC7"/>
    <w:rsid w:val="00EB4D21"/>
    <w:rsid w:val="00EB652F"/>
    <w:rsid w:val="00EB701D"/>
    <w:rsid w:val="00EC035F"/>
    <w:rsid w:val="00EC0745"/>
    <w:rsid w:val="00EC319E"/>
    <w:rsid w:val="00EC4DCB"/>
    <w:rsid w:val="00EC4FC6"/>
    <w:rsid w:val="00EC5305"/>
    <w:rsid w:val="00EC5CB4"/>
    <w:rsid w:val="00EC70CD"/>
    <w:rsid w:val="00EC7815"/>
    <w:rsid w:val="00ED04AE"/>
    <w:rsid w:val="00ED0D3A"/>
    <w:rsid w:val="00ED0E99"/>
    <w:rsid w:val="00ED1242"/>
    <w:rsid w:val="00ED1628"/>
    <w:rsid w:val="00ED1A34"/>
    <w:rsid w:val="00ED1DFE"/>
    <w:rsid w:val="00ED20D5"/>
    <w:rsid w:val="00ED2A58"/>
    <w:rsid w:val="00ED3151"/>
    <w:rsid w:val="00ED3741"/>
    <w:rsid w:val="00ED4FA4"/>
    <w:rsid w:val="00ED6BC0"/>
    <w:rsid w:val="00ED73EA"/>
    <w:rsid w:val="00ED77AA"/>
    <w:rsid w:val="00ED79D2"/>
    <w:rsid w:val="00EE0518"/>
    <w:rsid w:val="00EE0684"/>
    <w:rsid w:val="00EE10A4"/>
    <w:rsid w:val="00EE1249"/>
    <w:rsid w:val="00EE1342"/>
    <w:rsid w:val="00EE1C40"/>
    <w:rsid w:val="00EE20C1"/>
    <w:rsid w:val="00EE2F85"/>
    <w:rsid w:val="00EE3ECD"/>
    <w:rsid w:val="00EE6110"/>
    <w:rsid w:val="00EE6DAC"/>
    <w:rsid w:val="00EE787D"/>
    <w:rsid w:val="00EE7957"/>
    <w:rsid w:val="00EF0980"/>
    <w:rsid w:val="00EF0BDD"/>
    <w:rsid w:val="00EF1484"/>
    <w:rsid w:val="00EF1E46"/>
    <w:rsid w:val="00EF2674"/>
    <w:rsid w:val="00EF2718"/>
    <w:rsid w:val="00EF3C33"/>
    <w:rsid w:val="00EF3F0A"/>
    <w:rsid w:val="00EF51AA"/>
    <w:rsid w:val="00EF51FE"/>
    <w:rsid w:val="00EF5E0E"/>
    <w:rsid w:val="00EF6BFC"/>
    <w:rsid w:val="00EF73F4"/>
    <w:rsid w:val="00EF77C9"/>
    <w:rsid w:val="00EF7DC7"/>
    <w:rsid w:val="00F035C7"/>
    <w:rsid w:val="00F04700"/>
    <w:rsid w:val="00F04A6D"/>
    <w:rsid w:val="00F05740"/>
    <w:rsid w:val="00F07A98"/>
    <w:rsid w:val="00F07C0D"/>
    <w:rsid w:val="00F0C33C"/>
    <w:rsid w:val="00F115BA"/>
    <w:rsid w:val="00F11D1F"/>
    <w:rsid w:val="00F129EC"/>
    <w:rsid w:val="00F12FA2"/>
    <w:rsid w:val="00F13034"/>
    <w:rsid w:val="00F13527"/>
    <w:rsid w:val="00F13CB9"/>
    <w:rsid w:val="00F160B2"/>
    <w:rsid w:val="00F160C3"/>
    <w:rsid w:val="00F16D17"/>
    <w:rsid w:val="00F204EF"/>
    <w:rsid w:val="00F20892"/>
    <w:rsid w:val="00F20F30"/>
    <w:rsid w:val="00F22D30"/>
    <w:rsid w:val="00F23AC7"/>
    <w:rsid w:val="00F24B8D"/>
    <w:rsid w:val="00F2696D"/>
    <w:rsid w:val="00F30091"/>
    <w:rsid w:val="00F31E9E"/>
    <w:rsid w:val="00F322A5"/>
    <w:rsid w:val="00F32C7C"/>
    <w:rsid w:val="00F34C2F"/>
    <w:rsid w:val="00F3577A"/>
    <w:rsid w:val="00F35A8D"/>
    <w:rsid w:val="00F43037"/>
    <w:rsid w:val="00F43BA8"/>
    <w:rsid w:val="00F43D46"/>
    <w:rsid w:val="00F43DCE"/>
    <w:rsid w:val="00F4420B"/>
    <w:rsid w:val="00F44D86"/>
    <w:rsid w:val="00F46A89"/>
    <w:rsid w:val="00F47276"/>
    <w:rsid w:val="00F50118"/>
    <w:rsid w:val="00F5014A"/>
    <w:rsid w:val="00F50F75"/>
    <w:rsid w:val="00F511EA"/>
    <w:rsid w:val="00F518E8"/>
    <w:rsid w:val="00F5196D"/>
    <w:rsid w:val="00F51A36"/>
    <w:rsid w:val="00F51B6E"/>
    <w:rsid w:val="00F5207E"/>
    <w:rsid w:val="00F52367"/>
    <w:rsid w:val="00F526A1"/>
    <w:rsid w:val="00F53CAE"/>
    <w:rsid w:val="00F54A1B"/>
    <w:rsid w:val="00F54DD9"/>
    <w:rsid w:val="00F54FD9"/>
    <w:rsid w:val="00F5659C"/>
    <w:rsid w:val="00F56635"/>
    <w:rsid w:val="00F56725"/>
    <w:rsid w:val="00F56C76"/>
    <w:rsid w:val="00F5760C"/>
    <w:rsid w:val="00F57BC9"/>
    <w:rsid w:val="00F60D5B"/>
    <w:rsid w:val="00F615F8"/>
    <w:rsid w:val="00F62569"/>
    <w:rsid w:val="00F627A4"/>
    <w:rsid w:val="00F62BA5"/>
    <w:rsid w:val="00F6393D"/>
    <w:rsid w:val="00F63BF2"/>
    <w:rsid w:val="00F63F99"/>
    <w:rsid w:val="00F65C33"/>
    <w:rsid w:val="00F66BF9"/>
    <w:rsid w:val="00F66F8D"/>
    <w:rsid w:val="00F70E5D"/>
    <w:rsid w:val="00F715AE"/>
    <w:rsid w:val="00F71E89"/>
    <w:rsid w:val="00F720A7"/>
    <w:rsid w:val="00F721F3"/>
    <w:rsid w:val="00F725B9"/>
    <w:rsid w:val="00F729FA"/>
    <w:rsid w:val="00F72CC6"/>
    <w:rsid w:val="00F73080"/>
    <w:rsid w:val="00F7348C"/>
    <w:rsid w:val="00F747F8"/>
    <w:rsid w:val="00F74E1C"/>
    <w:rsid w:val="00F74FA8"/>
    <w:rsid w:val="00F75875"/>
    <w:rsid w:val="00F77AB4"/>
    <w:rsid w:val="00F77C02"/>
    <w:rsid w:val="00F80F1A"/>
    <w:rsid w:val="00F812F5"/>
    <w:rsid w:val="00F81760"/>
    <w:rsid w:val="00F84A5B"/>
    <w:rsid w:val="00F854B7"/>
    <w:rsid w:val="00F857AD"/>
    <w:rsid w:val="00F85D9A"/>
    <w:rsid w:val="00F87F77"/>
    <w:rsid w:val="00F90666"/>
    <w:rsid w:val="00F9093A"/>
    <w:rsid w:val="00F915B9"/>
    <w:rsid w:val="00F926D7"/>
    <w:rsid w:val="00F93930"/>
    <w:rsid w:val="00F93A71"/>
    <w:rsid w:val="00F9440A"/>
    <w:rsid w:val="00F94F82"/>
    <w:rsid w:val="00F958B3"/>
    <w:rsid w:val="00F96680"/>
    <w:rsid w:val="00F968ED"/>
    <w:rsid w:val="00FA0674"/>
    <w:rsid w:val="00FA16E7"/>
    <w:rsid w:val="00FA2AC7"/>
    <w:rsid w:val="00FA347A"/>
    <w:rsid w:val="00FA6229"/>
    <w:rsid w:val="00FA6A3C"/>
    <w:rsid w:val="00FA72C9"/>
    <w:rsid w:val="00FB016B"/>
    <w:rsid w:val="00FB0AC8"/>
    <w:rsid w:val="00FB0D86"/>
    <w:rsid w:val="00FB201C"/>
    <w:rsid w:val="00FB24C9"/>
    <w:rsid w:val="00FB2586"/>
    <w:rsid w:val="00FB41D8"/>
    <w:rsid w:val="00FB438B"/>
    <w:rsid w:val="00FB44DA"/>
    <w:rsid w:val="00FB4700"/>
    <w:rsid w:val="00FB4A8B"/>
    <w:rsid w:val="00FB5323"/>
    <w:rsid w:val="00FC1D51"/>
    <w:rsid w:val="00FC29B1"/>
    <w:rsid w:val="00FC2C76"/>
    <w:rsid w:val="00FC2FB9"/>
    <w:rsid w:val="00FC39E0"/>
    <w:rsid w:val="00FC45C2"/>
    <w:rsid w:val="00FC49DA"/>
    <w:rsid w:val="00FC4B0B"/>
    <w:rsid w:val="00FC552F"/>
    <w:rsid w:val="00FC70A8"/>
    <w:rsid w:val="00FC7C91"/>
    <w:rsid w:val="00FD0D7B"/>
    <w:rsid w:val="00FD22B8"/>
    <w:rsid w:val="00FD2BFB"/>
    <w:rsid w:val="00FD345B"/>
    <w:rsid w:val="00FD4CDD"/>
    <w:rsid w:val="00FD668C"/>
    <w:rsid w:val="00FD7038"/>
    <w:rsid w:val="00FD71E4"/>
    <w:rsid w:val="00FD79D5"/>
    <w:rsid w:val="00FD7FCD"/>
    <w:rsid w:val="00FE0B3A"/>
    <w:rsid w:val="00FE149A"/>
    <w:rsid w:val="00FE1C19"/>
    <w:rsid w:val="00FE2D67"/>
    <w:rsid w:val="00FE2E16"/>
    <w:rsid w:val="00FE3395"/>
    <w:rsid w:val="00FE356A"/>
    <w:rsid w:val="00FE3E71"/>
    <w:rsid w:val="00FE4CDE"/>
    <w:rsid w:val="00FE5722"/>
    <w:rsid w:val="00FE61CB"/>
    <w:rsid w:val="00FE691B"/>
    <w:rsid w:val="00FE7C1D"/>
    <w:rsid w:val="00FF3A12"/>
    <w:rsid w:val="00FF3BB4"/>
    <w:rsid w:val="00FF3D12"/>
    <w:rsid w:val="00FF71A0"/>
    <w:rsid w:val="00FF7D4E"/>
    <w:rsid w:val="00FF7ECF"/>
    <w:rsid w:val="01011745"/>
    <w:rsid w:val="010A1FBC"/>
    <w:rsid w:val="0140E094"/>
    <w:rsid w:val="01459104"/>
    <w:rsid w:val="0151A3FE"/>
    <w:rsid w:val="01558BEE"/>
    <w:rsid w:val="017A124D"/>
    <w:rsid w:val="017CEED9"/>
    <w:rsid w:val="01AE8555"/>
    <w:rsid w:val="01B5B09B"/>
    <w:rsid w:val="01C7809C"/>
    <w:rsid w:val="01E663DB"/>
    <w:rsid w:val="01EAA2F8"/>
    <w:rsid w:val="01F32DB7"/>
    <w:rsid w:val="0230C54B"/>
    <w:rsid w:val="02434325"/>
    <w:rsid w:val="02662F50"/>
    <w:rsid w:val="026C6EB9"/>
    <w:rsid w:val="029DDEC6"/>
    <w:rsid w:val="02AFA98F"/>
    <w:rsid w:val="034B9FDD"/>
    <w:rsid w:val="0362B582"/>
    <w:rsid w:val="0372506A"/>
    <w:rsid w:val="03BA2D25"/>
    <w:rsid w:val="03BCA626"/>
    <w:rsid w:val="03CF4EE3"/>
    <w:rsid w:val="03E90767"/>
    <w:rsid w:val="03FFF4C3"/>
    <w:rsid w:val="0410FED1"/>
    <w:rsid w:val="04133BA4"/>
    <w:rsid w:val="044E1F1D"/>
    <w:rsid w:val="04565B5A"/>
    <w:rsid w:val="04B2168F"/>
    <w:rsid w:val="04BAE7A4"/>
    <w:rsid w:val="04F377AB"/>
    <w:rsid w:val="051F4429"/>
    <w:rsid w:val="0523A58F"/>
    <w:rsid w:val="055AAC02"/>
    <w:rsid w:val="057C90D5"/>
    <w:rsid w:val="057F5EDA"/>
    <w:rsid w:val="05840492"/>
    <w:rsid w:val="05AA92D6"/>
    <w:rsid w:val="05BCC894"/>
    <w:rsid w:val="05E9EF7E"/>
    <w:rsid w:val="06113CC6"/>
    <w:rsid w:val="06A39327"/>
    <w:rsid w:val="06C0CD6B"/>
    <w:rsid w:val="06DF957F"/>
    <w:rsid w:val="0702A868"/>
    <w:rsid w:val="0716D0DD"/>
    <w:rsid w:val="0731E756"/>
    <w:rsid w:val="07560E7F"/>
    <w:rsid w:val="079DEDB0"/>
    <w:rsid w:val="07A37FC7"/>
    <w:rsid w:val="07F3A2F2"/>
    <w:rsid w:val="08552187"/>
    <w:rsid w:val="086BFF12"/>
    <w:rsid w:val="08CCCBF3"/>
    <w:rsid w:val="08D15159"/>
    <w:rsid w:val="08E71EB9"/>
    <w:rsid w:val="090867E3"/>
    <w:rsid w:val="09142ABB"/>
    <w:rsid w:val="095DE82C"/>
    <w:rsid w:val="098800BE"/>
    <w:rsid w:val="09B39F9D"/>
    <w:rsid w:val="09E9E665"/>
    <w:rsid w:val="09F0D524"/>
    <w:rsid w:val="09F60510"/>
    <w:rsid w:val="0A179D7C"/>
    <w:rsid w:val="0A1DA396"/>
    <w:rsid w:val="0A40F470"/>
    <w:rsid w:val="0A5EE1AD"/>
    <w:rsid w:val="0A72AF61"/>
    <w:rsid w:val="0A7C4AFF"/>
    <w:rsid w:val="0AD34AED"/>
    <w:rsid w:val="0AE7430B"/>
    <w:rsid w:val="0AEC734A"/>
    <w:rsid w:val="0B23FD5C"/>
    <w:rsid w:val="0B4A9A5B"/>
    <w:rsid w:val="0B748242"/>
    <w:rsid w:val="0B7DE5E5"/>
    <w:rsid w:val="0BA3DF49"/>
    <w:rsid w:val="0BBFAAE2"/>
    <w:rsid w:val="0BCE491B"/>
    <w:rsid w:val="0BDE0925"/>
    <w:rsid w:val="0BF3AF94"/>
    <w:rsid w:val="0CFEBA34"/>
    <w:rsid w:val="0D040045"/>
    <w:rsid w:val="0D151636"/>
    <w:rsid w:val="0D2F390B"/>
    <w:rsid w:val="0D6FCBC0"/>
    <w:rsid w:val="0D9D9D1F"/>
    <w:rsid w:val="0DAC62FD"/>
    <w:rsid w:val="0DD1EFDC"/>
    <w:rsid w:val="0DFD5ABB"/>
    <w:rsid w:val="0E21A5A9"/>
    <w:rsid w:val="0E571BC3"/>
    <w:rsid w:val="0E6DD9C9"/>
    <w:rsid w:val="0E7CC13D"/>
    <w:rsid w:val="0E82734C"/>
    <w:rsid w:val="0E973BF7"/>
    <w:rsid w:val="0ED4A9B1"/>
    <w:rsid w:val="0ED68178"/>
    <w:rsid w:val="0EE8B3FD"/>
    <w:rsid w:val="0EF10538"/>
    <w:rsid w:val="0F1B9063"/>
    <w:rsid w:val="0F94CB19"/>
    <w:rsid w:val="0FD34008"/>
    <w:rsid w:val="0FDA3217"/>
    <w:rsid w:val="103158FB"/>
    <w:rsid w:val="10B3A760"/>
    <w:rsid w:val="10CE8D6B"/>
    <w:rsid w:val="10D8F3A9"/>
    <w:rsid w:val="10E12891"/>
    <w:rsid w:val="11726CFA"/>
    <w:rsid w:val="11938E69"/>
    <w:rsid w:val="11ACCAE9"/>
    <w:rsid w:val="11B8DAD5"/>
    <w:rsid w:val="11D6DAA2"/>
    <w:rsid w:val="11F71322"/>
    <w:rsid w:val="11F73D55"/>
    <w:rsid w:val="1205A7FE"/>
    <w:rsid w:val="123E8FB1"/>
    <w:rsid w:val="1249115A"/>
    <w:rsid w:val="1279A30C"/>
    <w:rsid w:val="1285D448"/>
    <w:rsid w:val="12B79C41"/>
    <w:rsid w:val="13B3430C"/>
    <w:rsid w:val="13B7BDE0"/>
    <w:rsid w:val="13D8449A"/>
    <w:rsid w:val="13E46772"/>
    <w:rsid w:val="141768E1"/>
    <w:rsid w:val="1425C121"/>
    <w:rsid w:val="14687E05"/>
    <w:rsid w:val="1490769D"/>
    <w:rsid w:val="14A1091C"/>
    <w:rsid w:val="14C56E61"/>
    <w:rsid w:val="150F7E14"/>
    <w:rsid w:val="154D9418"/>
    <w:rsid w:val="1577BBB5"/>
    <w:rsid w:val="15ADA00F"/>
    <w:rsid w:val="15BEFDA4"/>
    <w:rsid w:val="15C7A329"/>
    <w:rsid w:val="15D3A6FF"/>
    <w:rsid w:val="160097C2"/>
    <w:rsid w:val="165D82A9"/>
    <w:rsid w:val="170D79EB"/>
    <w:rsid w:val="171FE236"/>
    <w:rsid w:val="1781D920"/>
    <w:rsid w:val="179DDD8F"/>
    <w:rsid w:val="18028064"/>
    <w:rsid w:val="1806D705"/>
    <w:rsid w:val="181573DE"/>
    <w:rsid w:val="18C0F5DE"/>
    <w:rsid w:val="18C4E56A"/>
    <w:rsid w:val="194B7347"/>
    <w:rsid w:val="195FC702"/>
    <w:rsid w:val="196DFEDD"/>
    <w:rsid w:val="1985D3B8"/>
    <w:rsid w:val="19B65A63"/>
    <w:rsid w:val="19BC8EBA"/>
    <w:rsid w:val="1A289455"/>
    <w:rsid w:val="1A317864"/>
    <w:rsid w:val="1A7F92E4"/>
    <w:rsid w:val="1AB5FC3C"/>
    <w:rsid w:val="1AC97A0A"/>
    <w:rsid w:val="1ACE0C6C"/>
    <w:rsid w:val="1AEBCD81"/>
    <w:rsid w:val="1B0B9F6C"/>
    <w:rsid w:val="1B0E26F4"/>
    <w:rsid w:val="1B20E7DF"/>
    <w:rsid w:val="1B70597B"/>
    <w:rsid w:val="1BA63435"/>
    <w:rsid w:val="1BBEA73C"/>
    <w:rsid w:val="1BF272DF"/>
    <w:rsid w:val="1C02C133"/>
    <w:rsid w:val="1C1343E9"/>
    <w:rsid w:val="1C3EC576"/>
    <w:rsid w:val="1C497209"/>
    <w:rsid w:val="1C714F54"/>
    <w:rsid w:val="1CB4D41E"/>
    <w:rsid w:val="1CF81953"/>
    <w:rsid w:val="1D3932AC"/>
    <w:rsid w:val="1D58FF78"/>
    <w:rsid w:val="1D99AF68"/>
    <w:rsid w:val="1DC6B67A"/>
    <w:rsid w:val="1DDFB665"/>
    <w:rsid w:val="1DFAE675"/>
    <w:rsid w:val="1E1BBEB3"/>
    <w:rsid w:val="1E373EFE"/>
    <w:rsid w:val="1E5F570D"/>
    <w:rsid w:val="1EB0C337"/>
    <w:rsid w:val="1EBC5F35"/>
    <w:rsid w:val="1EFD2E6B"/>
    <w:rsid w:val="1F20121F"/>
    <w:rsid w:val="1F319A0F"/>
    <w:rsid w:val="1F34EFC1"/>
    <w:rsid w:val="1F407361"/>
    <w:rsid w:val="1F439BCC"/>
    <w:rsid w:val="1F55C73E"/>
    <w:rsid w:val="1FE4551E"/>
    <w:rsid w:val="20147B76"/>
    <w:rsid w:val="201E8063"/>
    <w:rsid w:val="20233F9F"/>
    <w:rsid w:val="20B33020"/>
    <w:rsid w:val="20C3C98B"/>
    <w:rsid w:val="20C434AD"/>
    <w:rsid w:val="20F23BA0"/>
    <w:rsid w:val="21416D8F"/>
    <w:rsid w:val="21698129"/>
    <w:rsid w:val="21903A4D"/>
    <w:rsid w:val="219CC5E0"/>
    <w:rsid w:val="219F3BFE"/>
    <w:rsid w:val="219F7C43"/>
    <w:rsid w:val="21B91D24"/>
    <w:rsid w:val="21DC5EB1"/>
    <w:rsid w:val="21E7038B"/>
    <w:rsid w:val="21E86FE4"/>
    <w:rsid w:val="21F33521"/>
    <w:rsid w:val="21FAE6BA"/>
    <w:rsid w:val="2208526C"/>
    <w:rsid w:val="220E76CE"/>
    <w:rsid w:val="224C732E"/>
    <w:rsid w:val="228D5E5E"/>
    <w:rsid w:val="228E9F5D"/>
    <w:rsid w:val="22BD8C00"/>
    <w:rsid w:val="22DA785A"/>
    <w:rsid w:val="22F8C0B8"/>
    <w:rsid w:val="22FC45B3"/>
    <w:rsid w:val="230E244C"/>
    <w:rsid w:val="231BBCA2"/>
    <w:rsid w:val="23202B80"/>
    <w:rsid w:val="2367D139"/>
    <w:rsid w:val="2374B76A"/>
    <w:rsid w:val="239C4771"/>
    <w:rsid w:val="23E46B30"/>
    <w:rsid w:val="23E92FB2"/>
    <w:rsid w:val="23F93F3E"/>
    <w:rsid w:val="241B363E"/>
    <w:rsid w:val="243E313E"/>
    <w:rsid w:val="24485C81"/>
    <w:rsid w:val="244AEAAA"/>
    <w:rsid w:val="245733F3"/>
    <w:rsid w:val="24B23DF0"/>
    <w:rsid w:val="24DF0DBA"/>
    <w:rsid w:val="24E77135"/>
    <w:rsid w:val="2526A241"/>
    <w:rsid w:val="252F47FA"/>
    <w:rsid w:val="253B4DED"/>
    <w:rsid w:val="25415946"/>
    <w:rsid w:val="255121EB"/>
    <w:rsid w:val="25C49E96"/>
    <w:rsid w:val="2671A1C2"/>
    <w:rsid w:val="268A0D89"/>
    <w:rsid w:val="2691E287"/>
    <w:rsid w:val="26B1A134"/>
    <w:rsid w:val="26BCB247"/>
    <w:rsid w:val="26CC1B86"/>
    <w:rsid w:val="26D41BD3"/>
    <w:rsid w:val="26D7A94B"/>
    <w:rsid w:val="26E59FAC"/>
    <w:rsid w:val="26FFF483"/>
    <w:rsid w:val="27048206"/>
    <w:rsid w:val="2728E719"/>
    <w:rsid w:val="27617D24"/>
    <w:rsid w:val="276248A4"/>
    <w:rsid w:val="277D2F01"/>
    <w:rsid w:val="28513C2F"/>
    <w:rsid w:val="285F1CD2"/>
    <w:rsid w:val="287F9EFD"/>
    <w:rsid w:val="28CA3371"/>
    <w:rsid w:val="28E2F0B8"/>
    <w:rsid w:val="2908BF3D"/>
    <w:rsid w:val="2972FF77"/>
    <w:rsid w:val="29B915D5"/>
    <w:rsid w:val="29BD3510"/>
    <w:rsid w:val="29C7AA78"/>
    <w:rsid w:val="29F7F911"/>
    <w:rsid w:val="2A2AC4FA"/>
    <w:rsid w:val="2A380AC1"/>
    <w:rsid w:val="2A5C56DC"/>
    <w:rsid w:val="2A7A883C"/>
    <w:rsid w:val="2A9926BF"/>
    <w:rsid w:val="2A9EAB6B"/>
    <w:rsid w:val="2ABEAE5E"/>
    <w:rsid w:val="2AE33F41"/>
    <w:rsid w:val="2AE550D7"/>
    <w:rsid w:val="2AFE0F07"/>
    <w:rsid w:val="2B2D710B"/>
    <w:rsid w:val="2B40269B"/>
    <w:rsid w:val="2B7EE1A3"/>
    <w:rsid w:val="2BD76F5C"/>
    <w:rsid w:val="2BDD4BE2"/>
    <w:rsid w:val="2BED7B34"/>
    <w:rsid w:val="2C15BECB"/>
    <w:rsid w:val="2C207F38"/>
    <w:rsid w:val="2C33E497"/>
    <w:rsid w:val="2CF557CA"/>
    <w:rsid w:val="2D07C5C4"/>
    <w:rsid w:val="2D174DC8"/>
    <w:rsid w:val="2D19167B"/>
    <w:rsid w:val="2D2F436E"/>
    <w:rsid w:val="2D3673CC"/>
    <w:rsid w:val="2D7A7077"/>
    <w:rsid w:val="2D7D43EE"/>
    <w:rsid w:val="2DA048C4"/>
    <w:rsid w:val="2DC8ACC5"/>
    <w:rsid w:val="2DCF1237"/>
    <w:rsid w:val="2DE2FA5B"/>
    <w:rsid w:val="2E0CF0B4"/>
    <w:rsid w:val="2E2DCD56"/>
    <w:rsid w:val="2E4D4BFE"/>
    <w:rsid w:val="2E654FDB"/>
    <w:rsid w:val="2E688EC5"/>
    <w:rsid w:val="2E96ADCA"/>
    <w:rsid w:val="2EBEF0D0"/>
    <w:rsid w:val="2EC699FB"/>
    <w:rsid w:val="2ECB43AC"/>
    <w:rsid w:val="2F0F93EB"/>
    <w:rsid w:val="2F1577F2"/>
    <w:rsid w:val="2F20533D"/>
    <w:rsid w:val="2F25BEE0"/>
    <w:rsid w:val="2F38525B"/>
    <w:rsid w:val="2F47FF50"/>
    <w:rsid w:val="2F52323C"/>
    <w:rsid w:val="2F5C38C6"/>
    <w:rsid w:val="2F7C6F13"/>
    <w:rsid w:val="2F86C6F6"/>
    <w:rsid w:val="2FA0EBA7"/>
    <w:rsid w:val="2FABFA6F"/>
    <w:rsid w:val="2FEDB5A8"/>
    <w:rsid w:val="2FF43FCF"/>
    <w:rsid w:val="300590CC"/>
    <w:rsid w:val="302AA94C"/>
    <w:rsid w:val="305BAD42"/>
    <w:rsid w:val="3086F05B"/>
    <w:rsid w:val="30C4B1BE"/>
    <w:rsid w:val="30EF9ED2"/>
    <w:rsid w:val="313FEE0C"/>
    <w:rsid w:val="315ED248"/>
    <w:rsid w:val="31D40FB7"/>
    <w:rsid w:val="31E40AA4"/>
    <w:rsid w:val="31FD0F56"/>
    <w:rsid w:val="32115751"/>
    <w:rsid w:val="32874C21"/>
    <w:rsid w:val="3290E40A"/>
    <w:rsid w:val="32D36DBA"/>
    <w:rsid w:val="330FF190"/>
    <w:rsid w:val="3319BCC9"/>
    <w:rsid w:val="3328E06F"/>
    <w:rsid w:val="333F55A3"/>
    <w:rsid w:val="335519EB"/>
    <w:rsid w:val="3399797C"/>
    <w:rsid w:val="33DB45D6"/>
    <w:rsid w:val="33E97827"/>
    <w:rsid w:val="3401C640"/>
    <w:rsid w:val="34288A6A"/>
    <w:rsid w:val="347A4E1B"/>
    <w:rsid w:val="34889ED1"/>
    <w:rsid w:val="3492AAAF"/>
    <w:rsid w:val="34987003"/>
    <w:rsid w:val="34B21B55"/>
    <w:rsid w:val="350AF2D3"/>
    <w:rsid w:val="351ABD0E"/>
    <w:rsid w:val="35238EE7"/>
    <w:rsid w:val="352A6392"/>
    <w:rsid w:val="352FF0AC"/>
    <w:rsid w:val="35352148"/>
    <w:rsid w:val="354A28F5"/>
    <w:rsid w:val="3565AD12"/>
    <w:rsid w:val="35AC0FE6"/>
    <w:rsid w:val="35AF788A"/>
    <w:rsid w:val="361DAFE5"/>
    <w:rsid w:val="36342C52"/>
    <w:rsid w:val="363D6156"/>
    <w:rsid w:val="363FF183"/>
    <w:rsid w:val="364261A4"/>
    <w:rsid w:val="366F83CC"/>
    <w:rsid w:val="3673CAE6"/>
    <w:rsid w:val="36DAC964"/>
    <w:rsid w:val="37338641"/>
    <w:rsid w:val="3733E5EB"/>
    <w:rsid w:val="375469D0"/>
    <w:rsid w:val="375E04C4"/>
    <w:rsid w:val="37625BD0"/>
    <w:rsid w:val="378A3CB7"/>
    <w:rsid w:val="37D06EC6"/>
    <w:rsid w:val="37F781F4"/>
    <w:rsid w:val="3815EB8D"/>
    <w:rsid w:val="3839636D"/>
    <w:rsid w:val="389288BF"/>
    <w:rsid w:val="389D4DD4"/>
    <w:rsid w:val="38AF1D9B"/>
    <w:rsid w:val="38B7A5DF"/>
    <w:rsid w:val="38C27318"/>
    <w:rsid w:val="38C87A0A"/>
    <w:rsid w:val="38D82C5D"/>
    <w:rsid w:val="394587C8"/>
    <w:rsid w:val="396C848E"/>
    <w:rsid w:val="3993DABB"/>
    <w:rsid w:val="39C5F93F"/>
    <w:rsid w:val="39E7D095"/>
    <w:rsid w:val="3A2D5B5D"/>
    <w:rsid w:val="3A311DC4"/>
    <w:rsid w:val="3A975FE6"/>
    <w:rsid w:val="3AA0F0AF"/>
    <w:rsid w:val="3AE4155F"/>
    <w:rsid w:val="3AF259A9"/>
    <w:rsid w:val="3AF5BD5B"/>
    <w:rsid w:val="3B24A72C"/>
    <w:rsid w:val="3B6019B0"/>
    <w:rsid w:val="3B97B190"/>
    <w:rsid w:val="3BD63836"/>
    <w:rsid w:val="3BE43A5F"/>
    <w:rsid w:val="3C3F7A20"/>
    <w:rsid w:val="3C3FBFCA"/>
    <w:rsid w:val="3C73643B"/>
    <w:rsid w:val="3C8C1789"/>
    <w:rsid w:val="3C98E18A"/>
    <w:rsid w:val="3CC4C7D5"/>
    <w:rsid w:val="3CE36F2B"/>
    <w:rsid w:val="3CEDC8DD"/>
    <w:rsid w:val="3CEE83BF"/>
    <w:rsid w:val="3D445DF2"/>
    <w:rsid w:val="3D5FC75E"/>
    <w:rsid w:val="3D6624B8"/>
    <w:rsid w:val="3D6B9B39"/>
    <w:rsid w:val="3D72F2D1"/>
    <w:rsid w:val="3D7A2ED0"/>
    <w:rsid w:val="3DB1622A"/>
    <w:rsid w:val="3E723AA0"/>
    <w:rsid w:val="3E788B05"/>
    <w:rsid w:val="3E97628B"/>
    <w:rsid w:val="3E9EC995"/>
    <w:rsid w:val="3EEE4817"/>
    <w:rsid w:val="3F55B551"/>
    <w:rsid w:val="3F6815E3"/>
    <w:rsid w:val="3F8F7BE8"/>
    <w:rsid w:val="3F93BC09"/>
    <w:rsid w:val="3F9D3DD6"/>
    <w:rsid w:val="3FB8C396"/>
    <w:rsid w:val="3FC1C3B5"/>
    <w:rsid w:val="3FC3B84B"/>
    <w:rsid w:val="40608C3E"/>
    <w:rsid w:val="40838236"/>
    <w:rsid w:val="40A14CD7"/>
    <w:rsid w:val="40A7FC0B"/>
    <w:rsid w:val="40E29806"/>
    <w:rsid w:val="40ED6BEB"/>
    <w:rsid w:val="40F33E19"/>
    <w:rsid w:val="411C492E"/>
    <w:rsid w:val="419BDEC8"/>
    <w:rsid w:val="41A943CF"/>
    <w:rsid w:val="41BF727D"/>
    <w:rsid w:val="41FB8B3F"/>
    <w:rsid w:val="422EC692"/>
    <w:rsid w:val="424D673C"/>
    <w:rsid w:val="428E0159"/>
    <w:rsid w:val="42C9D94B"/>
    <w:rsid w:val="4338B110"/>
    <w:rsid w:val="4351186A"/>
    <w:rsid w:val="43741812"/>
    <w:rsid w:val="43A8807D"/>
    <w:rsid w:val="43B5600D"/>
    <w:rsid w:val="43DBFA24"/>
    <w:rsid w:val="43EA070F"/>
    <w:rsid w:val="440EB756"/>
    <w:rsid w:val="441EA938"/>
    <w:rsid w:val="4421C241"/>
    <w:rsid w:val="4431D2DC"/>
    <w:rsid w:val="445AC473"/>
    <w:rsid w:val="4484431C"/>
    <w:rsid w:val="44C86C68"/>
    <w:rsid w:val="44E2EF14"/>
    <w:rsid w:val="44E6F19A"/>
    <w:rsid w:val="456132B3"/>
    <w:rsid w:val="45817221"/>
    <w:rsid w:val="459D8708"/>
    <w:rsid w:val="45C7F35C"/>
    <w:rsid w:val="45D69740"/>
    <w:rsid w:val="45E0B980"/>
    <w:rsid w:val="4624D9F8"/>
    <w:rsid w:val="464A8321"/>
    <w:rsid w:val="46B23220"/>
    <w:rsid w:val="46D8C0B6"/>
    <w:rsid w:val="46E58C8A"/>
    <w:rsid w:val="46E6C6DA"/>
    <w:rsid w:val="46F58F6A"/>
    <w:rsid w:val="46F78DC2"/>
    <w:rsid w:val="4728B4AD"/>
    <w:rsid w:val="472EB321"/>
    <w:rsid w:val="473E93D2"/>
    <w:rsid w:val="47418D45"/>
    <w:rsid w:val="47452FC4"/>
    <w:rsid w:val="4747AECC"/>
    <w:rsid w:val="475EE1B2"/>
    <w:rsid w:val="47B616E2"/>
    <w:rsid w:val="47C48CFB"/>
    <w:rsid w:val="47E4B021"/>
    <w:rsid w:val="48257642"/>
    <w:rsid w:val="482DF43E"/>
    <w:rsid w:val="48388D91"/>
    <w:rsid w:val="4898F279"/>
    <w:rsid w:val="48C85657"/>
    <w:rsid w:val="48C9DB64"/>
    <w:rsid w:val="48F77507"/>
    <w:rsid w:val="4977C0D8"/>
    <w:rsid w:val="49953E24"/>
    <w:rsid w:val="49B1F1C8"/>
    <w:rsid w:val="49C7AD8F"/>
    <w:rsid w:val="49EFD955"/>
    <w:rsid w:val="49F4AFAD"/>
    <w:rsid w:val="4A04EF5B"/>
    <w:rsid w:val="4A23D3A2"/>
    <w:rsid w:val="4A532D06"/>
    <w:rsid w:val="4A5FD31C"/>
    <w:rsid w:val="4A98B7E1"/>
    <w:rsid w:val="4AB73E03"/>
    <w:rsid w:val="4AB7C050"/>
    <w:rsid w:val="4ABF6087"/>
    <w:rsid w:val="4ADB4DDD"/>
    <w:rsid w:val="4B202192"/>
    <w:rsid w:val="4B34D9E8"/>
    <w:rsid w:val="4B3695D5"/>
    <w:rsid w:val="4B5A9C98"/>
    <w:rsid w:val="4B7983FE"/>
    <w:rsid w:val="4B7FDAF0"/>
    <w:rsid w:val="4B848A3B"/>
    <w:rsid w:val="4BBB4548"/>
    <w:rsid w:val="4BBEEAEE"/>
    <w:rsid w:val="4BC45FC2"/>
    <w:rsid w:val="4BCF581A"/>
    <w:rsid w:val="4BD0933B"/>
    <w:rsid w:val="4BD45E58"/>
    <w:rsid w:val="4BFA2DE5"/>
    <w:rsid w:val="4C054DCA"/>
    <w:rsid w:val="4C09D372"/>
    <w:rsid w:val="4C3532AB"/>
    <w:rsid w:val="4C618847"/>
    <w:rsid w:val="4C63F384"/>
    <w:rsid w:val="4C9CC5F2"/>
    <w:rsid w:val="4CCC32A6"/>
    <w:rsid w:val="4D2A1DBC"/>
    <w:rsid w:val="4D34F728"/>
    <w:rsid w:val="4D63EA0A"/>
    <w:rsid w:val="4D71F207"/>
    <w:rsid w:val="4D79886A"/>
    <w:rsid w:val="4D850601"/>
    <w:rsid w:val="4D96F11C"/>
    <w:rsid w:val="4DBF5B40"/>
    <w:rsid w:val="4DFD58A8"/>
    <w:rsid w:val="4E06F28F"/>
    <w:rsid w:val="4E19EEA2"/>
    <w:rsid w:val="4E22C208"/>
    <w:rsid w:val="4E37F59C"/>
    <w:rsid w:val="4E55BA7F"/>
    <w:rsid w:val="4E70329C"/>
    <w:rsid w:val="4E84CD28"/>
    <w:rsid w:val="4EA29CE2"/>
    <w:rsid w:val="4EA55563"/>
    <w:rsid w:val="4EC3CBAD"/>
    <w:rsid w:val="4EC4D16E"/>
    <w:rsid w:val="4EE3178C"/>
    <w:rsid w:val="4EED99A5"/>
    <w:rsid w:val="4EEE707F"/>
    <w:rsid w:val="4EFA1656"/>
    <w:rsid w:val="4F0E32FF"/>
    <w:rsid w:val="4F219F5C"/>
    <w:rsid w:val="4F58340D"/>
    <w:rsid w:val="4FC13CF5"/>
    <w:rsid w:val="4FCE619A"/>
    <w:rsid w:val="4FE1C99B"/>
    <w:rsid w:val="4FFA1B26"/>
    <w:rsid w:val="5011230C"/>
    <w:rsid w:val="504E26A4"/>
    <w:rsid w:val="5071A528"/>
    <w:rsid w:val="5076EEA8"/>
    <w:rsid w:val="507A508C"/>
    <w:rsid w:val="507B5EB9"/>
    <w:rsid w:val="50822062"/>
    <w:rsid w:val="50C15EA0"/>
    <w:rsid w:val="50D46993"/>
    <w:rsid w:val="5118FA17"/>
    <w:rsid w:val="51488390"/>
    <w:rsid w:val="514A3634"/>
    <w:rsid w:val="51C46971"/>
    <w:rsid w:val="51C4E4D1"/>
    <w:rsid w:val="51D1EDA2"/>
    <w:rsid w:val="51F3CBBF"/>
    <w:rsid w:val="524645B5"/>
    <w:rsid w:val="52567778"/>
    <w:rsid w:val="525F6C35"/>
    <w:rsid w:val="5260BA73"/>
    <w:rsid w:val="527C54A4"/>
    <w:rsid w:val="5376D895"/>
    <w:rsid w:val="53800AC5"/>
    <w:rsid w:val="53984291"/>
    <w:rsid w:val="53E31956"/>
    <w:rsid w:val="53E3C770"/>
    <w:rsid w:val="53E628C0"/>
    <w:rsid w:val="53F5B94D"/>
    <w:rsid w:val="5423EC79"/>
    <w:rsid w:val="54A17D9D"/>
    <w:rsid w:val="54C22A80"/>
    <w:rsid w:val="54EB8F65"/>
    <w:rsid w:val="54F2EBFD"/>
    <w:rsid w:val="556B635E"/>
    <w:rsid w:val="55B28937"/>
    <w:rsid w:val="55C9EC2A"/>
    <w:rsid w:val="560C669C"/>
    <w:rsid w:val="5626D842"/>
    <w:rsid w:val="5637C948"/>
    <w:rsid w:val="5640D794"/>
    <w:rsid w:val="56F3B9BA"/>
    <w:rsid w:val="570A2C67"/>
    <w:rsid w:val="5713B8F5"/>
    <w:rsid w:val="5718D33F"/>
    <w:rsid w:val="57355415"/>
    <w:rsid w:val="578CF097"/>
    <w:rsid w:val="57E37468"/>
    <w:rsid w:val="57E9CCE9"/>
    <w:rsid w:val="580F882F"/>
    <w:rsid w:val="581DD5AB"/>
    <w:rsid w:val="582BAF6E"/>
    <w:rsid w:val="5878D807"/>
    <w:rsid w:val="588121BF"/>
    <w:rsid w:val="58858A7A"/>
    <w:rsid w:val="5886709E"/>
    <w:rsid w:val="59187CE3"/>
    <w:rsid w:val="593C5422"/>
    <w:rsid w:val="594163FA"/>
    <w:rsid w:val="598851C0"/>
    <w:rsid w:val="59AD69DB"/>
    <w:rsid w:val="59F783EC"/>
    <w:rsid w:val="5A14E5FE"/>
    <w:rsid w:val="5A15E58A"/>
    <w:rsid w:val="5A329570"/>
    <w:rsid w:val="5A34F7CB"/>
    <w:rsid w:val="5A8D2981"/>
    <w:rsid w:val="5AA3C075"/>
    <w:rsid w:val="5AB663C3"/>
    <w:rsid w:val="5ADA4314"/>
    <w:rsid w:val="5AF1BA80"/>
    <w:rsid w:val="5B0B9623"/>
    <w:rsid w:val="5B0E3428"/>
    <w:rsid w:val="5B308BF0"/>
    <w:rsid w:val="5B48EFFE"/>
    <w:rsid w:val="5B4A3E9C"/>
    <w:rsid w:val="5B7DA682"/>
    <w:rsid w:val="5BDF1EE8"/>
    <w:rsid w:val="5C374D8C"/>
    <w:rsid w:val="5C86AFAF"/>
    <w:rsid w:val="5CBE68AB"/>
    <w:rsid w:val="5CE25BB9"/>
    <w:rsid w:val="5D0FBFDC"/>
    <w:rsid w:val="5D200726"/>
    <w:rsid w:val="5D6B6F04"/>
    <w:rsid w:val="5D7A1394"/>
    <w:rsid w:val="5D7A4665"/>
    <w:rsid w:val="5DAB7E78"/>
    <w:rsid w:val="5DDEFC0E"/>
    <w:rsid w:val="5E04E0F8"/>
    <w:rsid w:val="5E24CE7C"/>
    <w:rsid w:val="5E3D0C5A"/>
    <w:rsid w:val="5E5F5AFC"/>
    <w:rsid w:val="5E72A2DF"/>
    <w:rsid w:val="5E7DFA34"/>
    <w:rsid w:val="5EA412B8"/>
    <w:rsid w:val="5EE35134"/>
    <w:rsid w:val="5F15C354"/>
    <w:rsid w:val="5F326A5D"/>
    <w:rsid w:val="5F5680CD"/>
    <w:rsid w:val="5F61BE93"/>
    <w:rsid w:val="5F6262C8"/>
    <w:rsid w:val="5F73429F"/>
    <w:rsid w:val="5F7D0C88"/>
    <w:rsid w:val="5F7E9240"/>
    <w:rsid w:val="5F987CD2"/>
    <w:rsid w:val="5FC1B8CB"/>
    <w:rsid w:val="602F7F92"/>
    <w:rsid w:val="603CA67D"/>
    <w:rsid w:val="604B8BE9"/>
    <w:rsid w:val="6082BA36"/>
    <w:rsid w:val="60DE4964"/>
    <w:rsid w:val="60E4C7CA"/>
    <w:rsid w:val="60EF826F"/>
    <w:rsid w:val="60FD0ACA"/>
    <w:rsid w:val="6109C550"/>
    <w:rsid w:val="610D2995"/>
    <w:rsid w:val="616FA0B4"/>
    <w:rsid w:val="6223CB29"/>
    <w:rsid w:val="622FDFE0"/>
    <w:rsid w:val="62418218"/>
    <w:rsid w:val="62F90331"/>
    <w:rsid w:val="630228F3"/>
    <w:rsid w:val="63362F35"/>
    <w:rsid w:val="634F9A56"/>
    <w:rsid w:val="6354F3F4"/>
    <w:rsid w:val="635D6A9C"/>
    <w:rsid w:val="6383DC85"/>
    <w:rsid w:val="63959E1B"/>
    <w:rsid w:val="64040645"/>
    <w:rsid w:val="640B042B"/>
    <w:rsid w:val="641C688C"/>
    <w:rsid w:val="6422FBE8"/>
    <w:rsid w:val="64B1B97A"/>
    <w:rsid w:val="64B2F727"/>
    <w:rsid w:val="655E32E8"/>
    <w:rsid w:val="65C8E61A"/>
    <w:rsid w:val="65D3FDEB"/>
    <w:rsid w:val="666C77F1"/>
    <w:rsid w:val="666D945C"/>
    <w:rsid w:val="66834243"/>
    <w:rsid w:val="668E52A1"/>
    <w:rsid w:val="66C19F36"/>
    <w:rsid w:val="672154E8"/>
    <w:rsid w:val="6729F9E4"/>
    <w:rsid w:val="675706C4"/>
    <w:rsid w:val="678F9DCB"/>
    <w:rsid w:val="679CE337"/>
    <w:rsid w:val="679EF0A6"/>
    <w:rsid w:val="67B3AA3E"/>
    <w:rsid w:val="680330DA"/>
    <w:rsid w:val="68084852"/>
    <w:rsid w:val="680AA0FC"/>
    <w:rsid w:val="6823F173"/>
    <w:rsid w:val="6831388D"/>
    <w:rsid w:val="68734CCE"/>
    <w:rsid w:val="6884ADC3"/>
    <w:rsid w:val="689A201E"/>
    <w:rsid w:val="68AA3618"/>
    <w:rsid w:val="68C3467E"/>
    <w:rsid w:val="68C7340A"/>
    <w:rsid w:val="68EBD321"/>
    <w:rsid w:val="68F05292"/>
    <w:rsid w:val="690BF55A"/>
    <w:rsid w:val="694DE4AF"/>
    <w:rsid w:val="6953CBA3"/>
    <w:rsid w:val="695A099C"/>
    <w:rsid w:val="6993E032"/>
    <w:rsid w:val="69950CE6"/>
    <w:rsid w:val="69F37C8F"/>
    <w:rsid w:val="69FC054E"/>
    <w:rsid w:val="6A31A338"/>
    <w:rsid w:val="6A789E32"/>
    <w:rsid w:val="6A892B86"/>
    <w:rsid w:val="6AC40783"/>
    <w:rsid w:val="6ACFEC2D"/>
    <w:rsid w:val="6AF84275"/>
    <w:rsid w:val="6B12FF5F"/>
    <w:rsid w:val="6B1CA7BA"/>
    <w:rsid w:val="6B227CA7"/>
    <w:rsid w:val="6B2ADE13"/>
    <w:rsid w:val="6B47DD15"/>
    <w:rsid w:val="6B66DD07"/>
    <w:rsid w:val="6B76A297"/>
    <w:rsid w:val="6BA3A083"/>
    <w:rsid w:val="6BC084BC"/>
    <w:rsid w:val="6BEFE408"/>
    <w:rsid w:val="6BF7398B"/>
    <w:rsid w:val="6BFB53C3"/>
    <w:rsid w:val="6C012247"/>
    <w:rsid w:val="6C0C1751"/>
    <w:rsid w:val="6C5AC28E"/>
    <w:rsid w:val="6C734078"/>
    <w:rsid w:val="6D388ACD"/>
    <w:rsid w:val="6D399310"/>
    <w:rsid w:val="6D4DE1C2"/>
    <w:rsid w:val="6DA5DB11"/>
    <w:rsid w:val="6DBDC532"/>
    <w:rsid w:val="6DCD7158"/>
    <w:rsid w:val="6DCE857B"/>
    <w:rsid w:val="6DF692EF"/>
    <w:rsid w:val="6E22C5F0"/>
    <w:rsid w:val="6E2652F8"/>
    <w:rsid w:val="6E273CC6"/>
    <w:rsid w:val="6E2E8C65"/>
    <w:rsid w:val="6E73A09E"/>
    <w:rsid w:val="6E85CFE6"/>
    <w:rsid w:val="6E9A5B95"/>
    <w:rsid w:val="6EB7689D"/>
    <w:rsid w:val="6EB90242"/>
    <w:rsid w:val="6F0F57FA"/>
    <w:rsid w:val="6F433DEC"/>
    <w:rsid w:val="6F56613E"/>
    <w:rsid w:val="6F6D9676"/>
    <w:rsid w:val="6F9CFB4E"/>
    <w:rsid w:val="6FA93867"/>
    <w:rsid w:val="6FF1C898"/>
    <w:rsid w:val="701F1C59"/>
    <w:rsid w:val="70564B02"/>
    <w:rsid w:val="705AF8C6"/>
    <w:rsid w:val="7065BF12"/>
    <w:rsid w:val="709C5406"/>
    <w:rsid w:val="70A61365"/>
    <w:rsid w:val="70B94B85"/>
    <w:rsid w:val="70B9AF62"/>
    <w:rsid w:val="70C62A84"/>
    <w:rsid w:val="71027EFB"/>
    <w:rsid w:val="715206A5"/>
    <w:rsid w:val="715D2DAF"/>
    <w:rsid w:val="715EDD88"/>
    <w:rsid w:val="717CFE13"/>
    <w:rsid w:val="718B9EF1"/>
    <w:rsid w:val="71B279F6"/>
    <w:rsid w:val="71D3E673"/>
    <w:rsid w:val="71E6D5C9"/>
    <w:rsid w:val="72900222"/>
    <w:rsid w:val="72AE03D1"/>
    <w:rsid w:val="72B1A0E6"/>
    <w:rsid w:val="72BE3C31"/>
    <w:rsid w:val="72C333B7"/>
    <w:rsid w:val="72DF6CC1"/>
    <w:rsid w:val="7339C69D"/>
    <w:rsid w:val="7350890C"/>
    <w:rsid w:val="7350ED4A"/>
    <w:rsid w:val="73591C33"/>
    <w:rsid w:val="7361ABBB"/>
    <w:rsid w:val="7366BF17"/>
    <w:rsid w:val="73F6B1DD"/>
    <w:rsid w:val="74235A4E"/>
    <w:rsid w:val="74A57A01"/>
    <w:rsid w:val="75C19A30"/>
    <w:rsid w:val="75EFD89F"/>
    <w:rsid w:val="7605DDC6"/>
    <w:rsid w:val="76277688"/>
    <w:rsid w:val="763E3A83"/>
    <w:rsid w:val="7656C8F9"/>
    <w:rsid w:val="769CB8DA"/>
    <w:rsid w:val="76C1E918"/>
    <w:rsid w:val="76C27A82"/>
    <w:rsid w:val="775BE799"/>
    <w:rsid w:val="77721A9E"/>
    <w:rsid w:val="77727576"/>
    <w:rsid w:val="77746798"/>
    <w:rsid w:val="77CF54BA"/>
    <w:rsid w:val="78428838"/>
    <w:rsid w:val="784AD138"/>
    <w:rsid w:val="785E4AE3"/>
    <w:rsid w:val="788B0A41"/>
    <w:rsid w:val="7891D60F"/>
    <w:rsid w:val="78A61079"/>
    <w:rsid w:val="78C6A92B"/>
    <w:rsid w:val="795CBA19"/>
    <w:rsid w:val="79666FDB"/>
    <w:rsid w:val="79A664FA"/>
    <w:rsid w:val="79AFC84C"/>
    <w:rsid w:val="7A1A5E20"/>
    <w:rsid w:val="7A3D51D9"/>
    <w:rsid w:val="7A59D17B"/>
    <w:rsid w:val="7AA7A8A8"/>
    <w:rsid w:val="7AB79616"/>
    <w:rsid w:val="7ADD7CC3"/>
    <w:rsid w:val="7B0106D5"/>
    <w:rsid w:val="7B0DAD54"/>
    <w:rsid w:val="7B255595"/>
    <w:rsid w:val="7B36F93F"/>
    <w:rsid w:val="7B3F86FF"/>
    <w:rsid w:val="7B710272"/>
    <w:rsid w:val="7B79AF12"/>
    <w:rsid w:val="7B86B3A4"/>
    <w:rsid w:val="7BBF3F1A"/>
    <w:rsid w:val="7BF2552F"/>
    <w:rsid w:val="7BF47C98"/>
    <w:rsid w:val="7BF490D4"/>
    <w:rsid w:val="7C2867DD"/>
    <w:rsid w:val="7C3E07FE"/>
    <w:rsid w:val="7C648B9B"/>
    <w:rsid w:val="7CA0663E"/>
    <w:rsid w:val="7CCC336D"/>
    <w:rsid w:val="7CD0CED2"/>
    <w:rsid w:val="7CDF0FED"/>
    <w:rsid w:val="7D0FC411"/>
    <w:rsid w:val="7D3AE4BE"/>
    <w:rsid w:val="7D52C386"/>
    <w:rsid w:val="7D762381"/>
    <w:rsid w:val="7D8E6B9F"/>
    <w:rsid w:val="7D969C17"/>
    <w:rsid w:val="7D977E31"/>
    <w:rsid w:val="7DB40E28"/>
    <w:rsid w:val="7DB7FC0D"/>
    <w:rsid w:val="7DD7C8E2"/>
    <w:rsid w:val="7DE36099"/>
    <w:rsid w:val="7E10EA23"/>
    <w:rsid w:val="7E416723"/>
    <w:rsid w:val="7E44CE40"/>
    <w:rsid w:val="7E5BFB04"/>
    <w:rsid w:val="7E7CF5F5"/>
    <w:rsid w:val="7E9F5650"/>
    <w:rsid w:val="7EF7CD23"/>
    <w:rsid w:val="7F0733B4"/>
    <w:rsid w:val="7F0B5A35"/>
    <w:rsid w:val="7F5B2A0C"/>
    <w:rsid w:val="7FF4D4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68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DC"/>
    <w:pPr>
      <w:spacing w:after="0" w:line="240" w:lineRule="auto"/>
      <w:jc w:val="both"/>
    </w:pPr>
    <w:rPr>
      <w:rFonts w:ascii="Times New Roman" w:hAnsi="Times New Roman"/>
      <w:sz w:val="24"/>
    </w:rPr>
  </w:style>
  <w:style w:type="paragraph" w:styleId="Ttulo1">
    <w:name w:val="heading 1"/>
    <w:basedOn w:val="Normal"/>
    <w:next w:val="Normal"/>
    <w:link w:val="Ttulo1Car"/>
    <w:uiPriority w:val="9"/>
    <w:qFormat/>
    <w:rsid w:val="00F720A7"/>
    <w:pPr>
      <w:keepNext/>
      <w:keepLines/>
      <w:numPr>
        <w:numId w:val="9"/>
      </w:numPr>
      <w:spacing w:before="240" w:after="240"/>
      <w:outlineLvl w:val="0"/>
    </w:pPr>
    <w:rPr>
      <w:rFonts w:eastAsiaTheme="majorEastAsia" w:cs="Times New Roman"/>
      <w:b/>
      <w:color w:val="0D0D0D" w:themeColor="text1" w:themeTint="F2"/>
      <w:szCs w:val="32"/>
    </w:rPr>
  </w:style>
  <w:style w:type="paragraph" w:styleId="Ttulo2">
    <w:name w:val="heading 2"/>
    <w:basedOn w:val="Normal"/>
    <w:next w:val="Normal"/>
    <w:link w:val="Ttulo2Car"/>
    <w:uiPriority w:val="9"/>
    <w:unhideWhenUsed/>
    <w:qFormat/>
    <w:rsid w:val="00796C27"/>
    <w:pPr>
      <w:keepNext/>
      <w:keepLines/>
      <w:numPr>
        <w:ilvl w:val="1"/>
        <w:numId w:val="2"/>
      </w:numPr>
      <w:spacing w:before="160" w:after="120"/>
      <w:outlineLvl w:val="1"/>
    </w:pPr>
    <w:rPr>
      <w:rFonts w:eastAsiaTheme="majorEastAsia" w:cs="Times New Roman"/>
      <w:b/>
      <w:color w:val="0D0D0D" w:themeColor="text1" w:themeTint="F2"/>
      <w:szCs w:val="26"/>
    </w:rPr>
  </w:style>
  <w:style w:type="paragraph" w:styleId="Ttulo3">
    <w:name w:val="heading 3"/>
    <w:basedOn w:val="Normal"/>
    <w:next w:val="Normal"/>
    <w:link w:val="Ttulo3Car"/>
    <w:uiPriority w:val="9"/>
    <w:unhideWhenUsed/>
    <w:qFormat/>
    <w:rsid w:val="00796C27"/>
    <w:pPr>
      <w:keepNext/>
      <w:keepLines/>
      <w:numPr>
        <w:ilvl w:val="2"/>
        <w:numId w:val="2"/>
      </w:numPr>
      <w:spacing w:before="80" w:after="80"/>
      <w:ind w:left="1224"/>
      <w:outlineLvl w:val="2"/>
    </w:pPr>
    <w:rPr>
      <w:rFonts w:eastAsiaTheme="majorEastAsia" w:cs="Times New Roman"/>
      <w:b/>
      <w:color w:val="0D0D0D" w:themeColor="text1" w:themeTint="F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720A7"/>
    <w:rPr>
      <w:rFonts w:ascii="Times New Roman" w:eastAsiaTheme="majorEastAsia" w:hAnsi="Times New Roman" w:cs="Times New Roman"/>
      <w:b/>
      <w:color w:val="0D0D0D" w:themeColor="text1" w:themeTint="F2"/>
      <w:sz w:val="24"/>
      <w:szCs w:val="32"/>
    </w:rPr>
  </w:style>
  <w:style w:type="character" w:customStyle="1" w:styleId="Ttulo2Car">
    <w:name w:val="Título 2 Car"/>
    <w:basedOn w:val="Fuentedeprrafopredeter"/>
    <w:link w:val="Ttulo2"/>
    <w:uiPriority w:val="9"/>
    <w:rsid w:val="00796C27"/>
    <w:rPr>
      <w:rFonts w:ascii="Times New Roman" w:eastAsiaTheme="majorEastAsia" w:hAnsi="Times New Roman" w:cs="Times New Roman"/>
      <w:b/>
      <w:color w:val="0D0D0D" w:themeColor="text1" w:themeTint="F2"/>
      <w:sz w:val="24"/>
      <w:szCs w:val="26"/>
    </w:rPr>
  </w:style>
  <w:style w:type="character" w:customStyle="1" w:styleId="Ttulo3Car">
    <w:name w:val="Título 3 Car"/>
    <w:basedOn w:val="Fuentedeprrafopredeter"/>
    <w:link w:val="Ttulo3"/>
    <w:uiPriority w:val="9"/>
    <w:rsid w:val="00796C27"/>
    <w:rPr>
      <w:rFonts w:ascii="Times New Roman" w:eastAsiaTheme="majorEastAsia" w:hAnsi="Times New Roman" w:cs="Times New Roman"/>
      <w:b/>
      <w:color w:val="0D0D0D" w:themeColor="text1" w:themeTint="F2"/>
      <w:sz w:val="24"/>
      <w:szCs w:val="24"/>
    </w:rPr>
  </w:style>
  <w:style w:type="paragraph" w:styleId="TtulodeTDC">
    <w:name w:val="TOC Heading"/>
    <w:basedOn w:val="Ttulo1"/>
    <w:next w:val="Normal"/>
    <w:uiPriority w:val="39"/>
    <w:unhideWhenUsed/>
    <w:qFormat/>
    <w:rsid w:val="007C5095"/>
    <w:pPr>
      <w:outlineLvl w:val="9"/>
    </w:pPr>
    <w:rPr>
      <w:lang w:val="en-US"/>
    </w:rPr>
  </w:style>
  <w:style w:type="paragraph" w:styleId="TDC1">
    <w:name w:val="toc 1"/>
    <w:basedOn w:val="Normal"/>
    <w:next w:val="Normal"/>
    <w:autoRedefine/>
    <w:uiPriority w:val="39"/>
    <w:unhideWhenUsed/>
    <w:rsid w:val="00796C27"/>
    <w:pPr>
      <w:tabs>
        <w:tab w:val="left" w:pos="440"/>
        <w:tab w:val="right" w:leader="dot" w:pos="10456"/>
      </w:tabs>
      <w:spacing w:after="100"/>
    </w:pPr>
  </w:style>
  <w:style w:type="paragraph" w:styleId="TDC2">
    <w:name w:val="toc 2"/>
    <w:basedOn w:val="Normal"/>
    <w:next w:val="Normal"/>
    <w:autoRedefine/>
    <w:uiPriority w:val="39"/>
    <w:unhideWhenUsed/>
    <w:rsid w:val="00CA40E4"/>
    <w:pPr>
      <w:tabs>
        <w:tab w:val="left" w:pos="880"/>
        <w:tab w:val="right" w:leader="dot" w:pos="10456"/>
      </w:tabs>
      <w:spacing w:after="100"/>
      <w:ind w:left="220"/>
    </w:pPr>
  </w:style>
  <w:style w:type="paragraph" w:styleId="TDC3">
    <w:name w:val="toc 3"/>
    <w:basedOn w:val="Normal"/>
    <w:next w:val="Normal"/>
    <w:autoRedefine/>
    <w:uiPriority w:val="39"/>
    <w:unhideWhenUsed/>
    <w:rsid w:val="00062893"/>
    <w:pPr>
      <w:tabs>
        <w:tab w:val="left" w:pos="1320"/>
        <w:tab w:val="right" w:leader="dot" w:pos="10456"/>
      </w:tabs>
      <w:spacing w:after="100"/>
      <w:ind w:left="440"/>
    </w:pPr>
  </w:style>
  <w:style w:type="character" w:styleId="Hipervnculo">
    <w:name w:val="Hyperlink"/>
    <w:basedOn w:val="Fuentedeprrafopredeter"/>
    <w:uiPriority w:val="99"/>
    <w:unhideWhenUsed/>
    <w:rsid w:val="007C5095"/>
    <w:rPr>
      <w:color w:val="0563C1" w:themeColor="hyperlink"/>
      <w:u w:val="single"/>
    </w:rPr>
  </w:style>
  <w:style w:type="paragraph" w:styleId="Textodeglobo">
    <w:name w:val="Balloon Text"/>
    <w:basedOn w:val="Normal"/>
    <w:link w:val="TextodegloboCar"/>
    <w:uiPriority w:val="99"/>
    <w:semiHidden/>
    <w:unhideWhenUsed/>
    <w:rsid w:val="007C50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5095"/>
    <w:rPr>
      <w:rFonts w:ascii="Segoe UI" w:hAnsi="Segoe UI" w:cs="Segoe UI"/>
      <w:sz w:val="18"/>
      <w:szCs w:val="18"/>
    </w:rPr>
  </w:style>
  <w:style w:type="paragraph" w:styleId="Prrafodelista">
    <w:name w:val="List Paragraph"/>
    <w:aliases w:val="References,List1,1st level - Bullet List Paragraph,Lettre d'introduction,Paragrafo elenco,Normal bullet 2,Medium Grid 1 - Accent 21,FooterText,Bullet list,Bullet List Paragraph,Normal numbered,OBC Bullet,EC,PROVERE 1,6,Liste Paragraf"/>
    <w:basedOn w:val="Normal"/>
    <w:uiPriority w:val="34"/>
    <w:qFormat/>
    <w:rsid w:val="00FE2E16"/>
    <w:pPr>
      <w:ind w:left="720"/>
      <w:contextualSpacing/>
    </w:pPr>
  </w:style>
  <w:style w:type="character" w:styleId="Referenciasutil">
    <w:name w:val="Subtle Reference"/>
    <w:basedOn w:val="Fuentedeprrafopredeter"/>
    <w:uiPriority w:val="31"/>
    <w:qFormat/>
    <w:rsid w:val="00AF441D"/>
    <w:rPr>
      <w:smallCaps/>
      <w:color w:val="5A5A5A" w:themeColor="text1" w:themeTint="A5"/>
    </w:rPr>
  </w:style>
  <w:style w:type="paragraph" w:styleId="Encabezado">
    <w:name w:val="header"/>
    <w:basedOn w:val="Normal"/>
    <w:link w:val="EncabezadoCar"/>
    <w:uiPriority w:val="99"/>
    <w:unhideWhenUsed/>
    <w:rsid w:val="0022259C"/>
    <w:pPr>
      <w:tabs>
        <w:tab w:val="center" w:pos="4513"/>
        <w:tab w:val="right" w:pos="9026"/>
      </w:tabs>
    </w:pPr>
  </w:style>
  <w:style w:type="character" w:customStyle="1" w:styleId="EncabezadoCar">
    <w:name w:val="Encabezado Car"/>
    <w:basedOn w:val="Fuentedeprrafopredeter"/>
    <w:link w:val="Encabezado"/>
    <w:uiPriority w:val="99"/>
    <w:rsid w:val="0022259C"/>
  </w:style>
  <w:style w:type="paragraph" w:styleId="Piedepgina">
    <w:name w:val="footer"/>
    <w:basedOn w:val="Normal"/>
    <w:link w:val="PiedepginaCar"/>
    <w:uiPriority w:val="99"/>
    <w:unhideWhenUsed/>
    <w:rsid w:val="0022259C"/>
    <w:pPr>
      <w:tabs>
        <w:tab w:val="center" w:pos="4513"/>
        <w:tab w:val="right" w:pos="9026"/>
      </w:tabs>
    </w:pPr>
  </w:style>
  <w:style w:type="character" w:customStyle="1" w:styleId="PiedepginaCar">
    <w:name w:val="Pie de página Car"/>
    <w:basedOn w:val="Fuentedeprrafopredeter"/>
    <w:link w:val="Piedepgina"/>
    <w:uiPriority w:val="99"/>
    <w:rsid w:val="0022259C"/>
  </w:style>
  <w:style w:type="paragraph" w:customStyle="1" w:styleId="Text1">
    <w:name w:val="Text 1"/>
    <w:basedOn w:val="Normal"/>
    <w:link w:val="Text1Car"/>
    <w:qFormat/>
    <w:rsid w:val="001E0154"/>
    <w:pPr>
      <w:spacing w:before="120" w:after="120"/>
      <w:ind w:left="850"/>
    </w:pPr>
    <w:rPr>
      <w:rFonts w:eastAsia="Times New Roman" w:cs="Times New Roman"/>
      <w:szCs w:val="24"/>
    </w:rPr>
  </w:style>
  <w:style w:type="paragraph" w:customStyle="1" w:styleId="Text2">
    <w:name w:val="Text 2"/>
    <w:basedOn w:val="Normal"/>
    <w:uiPriority w:val="99"/>
    <w:qFormat/>
    <w:rsid w:val="001E0154"/>
    <w:pPr>
      <w:spacing w:before="120" w:after="120"/>
      <w:ind w:left="850"/>
    </w:pPr>
    <w:rPr>
      <w:rFonts w:eastAsia="Times New Roman" w:cs="Times New Roman"/>
      <w:szCs w:val="24"/>
    </w:rPr>
  </w:style>
  <w:style w:type="paragraph" w:styleId="Textonotapie">
    <w:name w:val="footnote text"/>
    <w:aliases w:val="Footnote,Footnote Text Char1 Char,Footnote Text Char Char Char,Footnote Text Char1 Char Char Char,Footnote Text Char Char Char Char Char,Footnote Text Char1 Char1 Char,Footnote Text Char Char Char1 Char,single space,fn,ft,Fußnote"/>
    <w:basedOn w:val="Normal"/>
    <w:link w:val="TextonotapieCar"/>
    <w:qFormat/>
    <w:rsid w:val="001E0154"/>
    <w:rPr>
      <w:rFonts w:eastAsia="Times New Roman" w:cs="Times New Roman"/>
      <w:sz w:val="20"/>
      <w:szCs w:val="20"/>
    </w:rPr>
  </w:style>
  <w:style w:type="character" w:customStyle="1" w:styleId="TextonotapieCar">
    <w:name w:val="Texto nota pie Car"/>
    <w:aliases w:val="Footnote Car,Footnote Text Char1 Char Car,Footnote Text Char Char Char Car,Footnote Text Char1 Char Char Char Car,Footnote Text Char Char Char Char Char Car,Footnote Text Char1 Char1 Char Car,Footnote Text Char Char Char1 Char Car"/>
    <w:basedOn w:val="Fuentedeprrafopredeter"/>
    <w:link w:val="Textonotapie"/>
    <w:uiPriority w:val="99"/>
    <w:rsid w:val="001E0154"/>
    <w:rPr>
      <w:rFonts w:ascii="Times New Roman" w:eastAsia="Times New Roman" w:hAnsi="Times New Roman" w:cs="Times New Roman"/>
      <w:sz w:val="20"/>
      <w:szCs w:val="20"/>
    </w:rPr>
  </w:style>
  <w:style w:type="character" w:styleId="Refdenotaalpie">
    <w:name w:val="footnote reference"/>
    <w:aliases w:val="ftref,ftref Char,BVI fnr Char,BVI fnr Car Char,Char Char Car Char,Char Char Char Char Char Char Char Char Char Char Char Char Char Char Char Char Char Char Char Char Car Char,16 Point Char,BVI fnr, Char Char, BVI fnr Zchn"/>
    <w:link w:val="BVIfnrChar1"/>
    <w:qFormat/>
    <w:rsid w:val="001E0154"/>
    <w:rPr>
      <w:shd w:val="clear" w:color="auto" w:fill="auto"/>
      <w:vertAlign w:val="superscript"/>
    </w:rPr>
  </w:style>
  <w:style w:type="character" w:styleId="Refdecomentario">
    <w:name w:val="annotation reference"/>
    <w:uiPriority w:val="99"/>
    <w:rsid w:val="001E0154"/>
    <w:rPr>
      <w:sz w:val="16"/>
      <w:szCs w:val="16"/>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Appel note de bas de p."/>
    <w:basedOn w:val="Normal"/>
    <w:link w:val="Refdenotaalpie"/>
    <w:uiPriority w:val="99"/>
    <w:rsid w:val="001E0154"/>
    <w:pPr>
      <w:spacing w:line="240" w:lineRule="exact"/>
    </w:pPr>
    <w:rPr>
      <w:vertAlign w:val="superscript"/>
    </w:rPr>
  </w:style>
  <w:style w:type="paragraph" w:styleId="NormalWeb">
    <w:name w:val="Normal (Web)"/>
    <w:basedOn w:val="Normal"/>
    <w:uiPriority w:val="99"/>
    <w:unhideWhenUsed/>
    <w:qFormat/>
    <w:rsid w:val="003514A8"/>
    <w:pPr>
      <w:spacing w:before="100" w:beforeAutospacing="1" w:after="100" w:afterAutospacing="1"/>
    </w:pPr>
    <w:rPr>
      <w:rFonts w:eastAsia="Times New Roman" w:cs="Times New Roman"/>
      <w:szCs w:val="24"/>
      <w:lang w:eastAsia="en-GB"/>
    </w:rPr>
  </w:style>
  <w:style w:type="paragraph" w:customStyle="1" w:styleId="Default">
    <w:name w:val="Default"/>
    <w:qFormat/>
    <w:rsid w:val="00B12C8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rker1">
    <w:name w:val="Marker1"/>
    <w:rsid w:val="003E3C67"/>
    <w:rPr>
      <w:color w:val="008000"/>
      <w:shd w:val="clear" w:color="auto" w:fill="auto"/>
    </w:rPr>
  </w:style>
  <w:style w:type="paragraph" w:styleId="Revisin">
    <w:name w:val="Revision"/>
    <w:hidden/>
    <w:uiPriority w:val="99"/>
    <w:semiHidden/>
    <w:rsid w:val="003E3C67"/>
    <w:pPr>
      <w:spacing w:after="0" w:line="240" w:lineRule="auto"/>
    </w:pPr>
    <w:rPr>
      <w:rFonts w:ascii="Times New Roman" w:eastAsia="Times New Roman" w:hAnsi="Times New Roman" w:cs="Times New Roman"/>
      <w:sz w:val="24"/>
      <w:szCs w:val="24"/>
      <w:lang w:eastAsia="en-GB"/>
    </w:rPr>
  </w:style>
  <w:style w:type="paragraph" w:styleId="Textocomentario">
    <w:name w:val="annotation text"/>
    <w:aliases w:val="Char Char"/>
    <w:basedOn w:val="Normal"/>
    <w:link w:val="TextocomentarioCar"/>
    <w:uiPriority w:val="99"/>
    <w:qFormat/>
    <w:rsid w:val="00D66381"/>
    <w:rPr>
      <w:rFonts w:eastAsia="Times New Roman" w:cs="Times New Roman"/>
      <w:sz w:val="20"/>
      <w:szCs w:val="20"/>
      <w:lang w:eastAsia="en-GB"/>
    </w:rPr>
  </w:style>
  <w:style w:type="character" w:customStyle="1" w:styleId="TextocomentarioCar">
    <w:name w:val="Texto comentario Car"/>
    <w:aliases w:val="Char Char Car"/>
    <w:basedOn w:val="Fuentedeprrafopredeter"/>
    <w:link w:val="Textocomentario"/>
    <w:uiPriority w:val="99"/>
    <w:rsid w:val="00D66381"/>
    <w:rPr>
      <w:rFonts w:ascii="Times New Roman" w:eastAsia="Times New Roman" w:hAnsi="Times New Roman" w:cs="Times New Roman"/>
      <w:sz w:val="20"/>
      <w:szCs w:val="20"/>
      <w:lang w:eastAsia="en-GB"/>
    </w:rPr>
  </w:style>
  <w:style w:type="paragraph" w:customStyle="1" w:styleId="ColorfulList-Accent11">
    <w:name w:val="Colorful List - Accent 11"/>
    <w:aliases w:val="Dot pt,F5 List Paragraph,List Paragraph1,No Spacing1,List Paragraph Char Char Char,Indicator Text,Colorful List - Accent 111,Numbered Para 1,Bullet 1,Bullet Points,MAIN CONTENT,List Paragraph11,List Paragraph12,List Paragraph2"/>
    <w:basedOn w:val="Normal"/>
    <w:link w:val="ColorfulList-Accent1Char"/>
    <w:uiPriority w:val="34"/>
    <w:qFormat/>
    <w:rsid w:val="00D66381"/>
    <w:pPr>
      <w:ind w:left="720"/>
    </w:pPr>
    <w:rPr>
      <w:rFonts w:ascii="Calibri" w:eastAsia="Calibri" w:hAnsi="Calibri" w:cs="Times New Roman"/>
    </w:rPr>
  </w:style>
  <w:style w:type="character" w:customStyle="1" w:styleId="ColorfulList-Accent1Char">
    <w:name w:val="Colorful List - Accent 1 Char"/>
    <w:aliases w:val="Dot pt Char,F5 List Paragraph Char,List Paragraph1 Char,No Spacing1 Char,List Paragraph Char Char Char Char,Indicator Text Char,Colorful List - Accent 11 Char,Numbered Para 1 Char,Bullet 1 Char,Bullet Points Char,L Char"/>
    <w:link w:val="ColorfulList-Accent11"/>
    <w:uiPriority w:val="34"/>
    <w:qFormat/>
    <w:locked/>
    <w:rsid w:val="00D66381"/>
    <w:rPr>
      <w:rFonts w:ascii="Calibri" w:eastAsia="Calibri" w:hAnsi="Calibri" w:cs="Times New Roman"/>
    </w:rPr>
  </w:style>
  <w:style w:type="paragraph" w:customStyle="1" w:styleId="CorpoA">
    <w:name w:val="Corpo A"/>
    <w:rsid w:val="00D663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paragraph" w:customStyle="1" w:styleId="Corpo">
    <w:name w:val="Corpo"/>
    <w:qFormat/>
    <w:rsid w:val="00D66381"/>
    <w:pPr>
      <w:spacing w:after="0" w:line="240" w:lineRule="auto"/>
    </w:pPr>
    <w:rPr>
      <w:rFonts w:ascii="Times New Roman" w:eastAsia="Times New Roman" w:hAnsi="Times New Roman" w:cs="Times New Roman"/>
      <w:color w:val="000000"/>
      <w:sz w:val="24"/>
      <w:szCs w:val="24"/>
      <w:u w:color="000000"/>
      <w:lang w:eastAsia="en-GB"/>
    </w:rPr>
  </w:style>
  <w:style w:type="paragraph" w:styleId="Asuntodelcomentario">
    <w:name w:val="annotation subject"/>
    <w:basedOn w:val="Textocomentario"/>
    <w:next w:val="Textocomentario"/>
    <w:link w:val="AsuntodelcomentarioCar"/>
    <w:unhideWhenUsed/>
    <w:rsid w:val="00B06AF2"/>
    <w:rPr>
      <w:rFonts w:eastAsiaTheme="minorHAnsi" w:cstheme="minorBidi"/>
      <w:b/>
      <w:bCs/>
      <w:lang w:eastAsia="en-US"/>
    </w:rPr>
  </w:style>
  <w:style w:type="character" w:customStyle="1" w:styleId="AsuntodelcomentarioCar">
    <w:name w:val="Asunto del comentario Car"/>
    <w:basedOn w:val="TextocomentarioCar"/>
    <w:link w:val="Asuntodelcomentario"/>
    <w:rsid w:val="00B06AF2"/>
    <w:rPr>
      <w:rFonts w:ascii="Times New Roman" w:eastAsia="Times New Roman" w:hAnsi="Times New Roman" w:cs="Times New Roman"/>
      <w:b/>
      <w:bCs/>
      <w:sz w:val="20"/>
      <w:szCs w:val="20"/>
      <w:lang w:eastAsia="en-GB"/>
    </w:rPr>
  </w:style>
  <w:style w:type="table" w:styleId="Tabladecuadrcula1clara-nfasis1">
    <w:name w:val="Grid Table 1 Light Accent 1"/>
    <w:basedOn w:val="Tablanormal"/>
    <w:uiPriority w:val="46"/>
    <w:rsid w:val="00606A0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6C31F7"/>
    <w:rPr>
      <w:color w:val="954F72" w:themeColor="followedHyperlink"/>
      <w:u w:val="single"/>
    </w:rPr>
  </w:style>
  <w:style w:type="paragraph" w:customStyle="1" w:styleId="paragraph">
    <w:name w:val="paragraph"/>
    <w:basedOn w:val="Normal"/>
    <w:rsid w:val="003E5202"/>
    <w:pPr>
      <w:spacing w:before="100" w:beforeAutospacing="1" w:after="100" w:afterAutospacing="1"/>
    </w:pPr>
    <w:rPr>
      <w:rFonts w:eastAsia="Times New Roman" w:cs="Times New Roman"/>
      <w:szCs w:val="24"/>
      <w:lang w:eastAsia="en-GB"/>
    </w:rPr>
  </w:style>
  <w:style w:type="character" w:customStyle="1" w:styleId="normaltextrun">
    <w:name w:val="normaltextrun"/>
    <w:basedOn w:val="Fuentedeprrafopredeter"/>
    <w:rsid w:val="003E5202"/>
  </w:style>
  <w:style w:type="character" w:customStyle="1" w:styleId="eop">
    <w:name w:val="eop"/>
    <w:basedOn w:val="Fuentedeprrafopredeter"/>
    <w:rsid w:val="003E5202"/>
  </w:style>
  <w:style w:type="paragraph" w:styleId="Listaconnmeros2">
    <w:name w:val="List Number 2"/>
    <w:basedOn w:val="Normal"/>
    <w:unhideWhenUsed/>
    <w:rsid w:val="00A074EA"/>
    <w:pPr>
      <w:numPr>
        <w:numId w:val="3"/>
      </w:numPr>
      <w:spacing w:before="120" w:after="120"/>
    </w:pPr>
    <w:rPr>
      <w:rFonts w:eastAsia="Times New Roman" w:cs="Times New Roman"/>
      <w:szCs w:val="24"/>
      <w:lang w:eastAsia="de-DE"/>
    </w:rPr>
  </w:style>
  <w:style w:type="paragraph" w:customStyle="1" w:styleId="ListNumber2Level2">
    <w:name w:val="List Number 2 (Level 2)"/>
    <w:basedOn w:val="Normal"/>
    <w:rsid w:val="00A074EA"/>
    <w:pPr>
      <w:numPr>
        <w:ilvl w:val="1"/>
        <w:numId w:val="3"/>
      </w:numPr>
      <w:spacing w:before="120" w:after="120"/>
    </w:pPr>
    <w:rPr>
      <w:rFonts w:eastAsia="Times New Roman" w:cs="Times New Roman"/>
      <w:szCs w:val="24"/>
      <w:lang w:eastAsia="de-DE"/>
    </w:rPr>
  </w:style>
  <w:style w:type="paragraph" w:customStyle="1" w:styleId="ListNumber2Level3">
    <w:name w:val="List Number 2 (Level 3)"/>
    <w:basedOn w:val="Normal"/>
    <w:rsid w:val="00A074EA"/>
    <w:pPr>
      <w:numPr>
        <w:ilvl w:val="2"/>
        <w:numId w:val="3"/>
      </w:numPr>
      <w:spacing w:before="120" w:after="120"/>
    </w:pPr>
    <w:rPr>
      <w:rFonts w:eastAsia="Times New Roman" w:cs="Times New Roman"/>
      <w:szCs w:val="24"/>
      <w:lang w:eastAsia="de-DE"/>
    </w:rPr>
  </w:style>
  <w:style w:type="paragraph" w:customStyle="1" w:styleId="ListNumber2Level4">
    <w:name w:val="List Number 2 (Level 4)"/>
    <w:basedOn w:val="Normal"/>
    <w:rsid w:val="00A074EA"/>
    <w:pPr>
      <w:numPr>
        <w:ilvl w:val="3"/>
        <w:numId w:val="3"/>
      </w:numPr>
      <w:spacing w:before="120" w:after="120"/>
    </w:pPr>
    <w:rPr>
      <w:rFonts w:eastAsia="Times New Roman" w:cs="Times New Roman"/>
      <w:szCs w:val="24"/>
      <w:lang w:eastAsia="de-DE"/>
    </w:rPr>
  </w:style>
  <w:style w:type="paragraph" w:styleId="Descripcin">
    <w:name w:val="caption"/>
    <w:basedOn w:val="Normal"/>
    <w:next w:val="Normal"/>
    <w:uiPriority w:val="35"/>
    <w:unhideWhenUsed/>
    <w:qFormat/>
    <w:rsid w:val="00DC6541"/>
    <w:pPr>
      <w:spacing w:after="200"/>
    </w:pPr>
    <w:rPr>
      <w:rFonts w:asciiTheme="minorHAnsi" w:hAnsiTheme="minorHAnsi"/>
      <w:b/>
      <w:bCs/>
      <w:color w:val="5B9BD5" w:themeColor="accent1"/>
      <w:sz w:val="18"/>
      <w:szCs w:val="18"/>
    </w:rPr>
  </w:style>
  <w:style w:type="paragraph" w:customStyle="1" w:styleId="ListNumber1">
    <w:name w:val="List Number 1"/>
    <w:basedOn w:val="Text1"/>
    <w:rsid w:val="00897992"/>
    <w:pPr>
      <w:numPr>
        <w:numId w:val="4"/>
      </w:numPr>
    </w:pPr>
    <w:rPr>
      <w:szCs w:val="20"/>
      <w:lang w:eastAsia="zh-CN"/>
    </w:rPr>
  </w:style>
  <w:style w:type="paragraph" w:customStyle="1" w:styleId="ListNumber1Level2">
    <w:name w:val="List Number 1 (Level 2)"/>
    <w:basedOn w:val="Text1"/>
    <w:rsid w:val="00897992"/>
    <w:pPr>
      <w:numPr>
        <w:ilvl w:val="1"/>
        <w:numId w:val="4"/>
      </w:numPr>
    </w:pPr>
    <w:rPr>
      <w:lang w:eastAsia="de-DE"/>
    </w:rPr>
  </w:style>
  <w:style w:type="paragraph" w:customStyle="1" w:styleId="ListNumber1Level3">
    <w:name w:val="List Number 1 (Level 3)"/>
    <w:basedOn w:val="Text1"/>
    <w:rsid w:val="00897992"/>
    <w:pPr>
      <w:numPr>
        <w:ilvl w:val="2"/>
        <w:numId w:val="4"/>
      </w:numPr>
    </w:pPr>
    <w:rPr>
      <w:szCs w:val="20"/>
      <w:lang w:eastAsia="zh-CN"/>
    </w:rPr>
  </w:style>
  <w:style w:type="paragraph" w:customStyle="1" w:styleId="ListNumber1Level4">
    <w:name w:val="List Number 1 (Level 4)"/>
    <w:basedOn w:val="Text1"/>
    <w:rsid w:val="00897992"/>
    <w:pPr>
      <w:numPr>
        <w:ilvl w:val="3"/>
        <w:numId w:val="4"/>
      </w:numPr>
    </w:pPr>
    <w:rPr>
      <w:szCs w:val="20"/>
      <w:lang w:eastAsia="zh-CN"/>
    </w:rPr>
  </w:style>
  <w:style w:type="paragraph" w:styleId="Textonotaalfinal">
    <w:name w:val="endnote text"/>
    <w:basedOn w:val="Normal"/>
    <w:link w:val="TextonotaalfinalCar"/>
    <w:uiPriority w:val="99"/>
    <w:semiHidden/>
    <w:unhideWhenUsed/>
    <w:rsid w:val="001C3CCE"/>
    <w:rPr>
      <w:sz w:val="20"/>
      <w:szCs w:val="20"/>
    </w:rPr>
  </w:style>
  <w:style w:type="character" w:customStyle="1" w:styleId="TextonotaalfinalCar">
    <w:name w:val="Texto nota al final Car"/>
    <w:basedOn w:val="Fuentedeprrafopredeter"/>
    <w:link w:val="Textonotaalfinal"/>
    <w:uiPriority w:val="99"/>
    <w:semiHidden/>
    <w:rsid w:val="001C3CCE"/>
    <w:rPr>
      <w:rFonts w:ascii="Times New Roman" w:hAnsi="Times New Roman"/>
      <w:sz w:val="20"/>
      <w:szCs w:val="20"/>
    </w:rPr>
  </w:style>
  <w:style w:type="character" w:styleId="Refdenotaalfinal">
    <w:name w:val="endnote reference"/>
    <w:basedOn w:val="Fuentedeprrafopredeter"/>
    <w:uiPriority w:val="99"/>
    <w:semiHidden/>
    <w:unhideWhenUsed/>
    <w:rsid w:val="001C3CCE"/>
    <w:rPr>
      <w:vertAlign w:val="superscript"/>
    </w:rPr>
  </w:style>
  <w:style w:type="character" w:styleId="nfasis">
    <w:name w:val="Emphasis"/>
    <w:uiPriority w:val="20"/>
    <w:qFormat/>
    <w:rsid w:val="007D1BA8"/>
    <w:rPr>
      <w:i/>
      <w:iCs/>
    </w:rPr>
  </w:style>
  <w:style w:type="character" w:customStyle="1" w:styleId="UnresolvedMention1">
    <w:name w:val="Unresolved Mention1"/>
    <w:basedOn w:val="Fuentedeprrafopredeter"/>
    <w:uiPriority w:val="99"/>
    <w:semiHidden/>
    <w:unhideWhenUsed/>
    <w:rsid w:val="006A6F9B"/>
    <w:rPr>
      <w:color w:val="605E5C"/>
      <w:shd w:val="clear" w:color="auto" w:fill="E1DFDD"/>
    </w:rPr>
  </w:style>
  <w:style w:type="paragraph" w:customStyle="1" w:styleId="Fichedinformationtitre">
    <w:name w:val="Fiche d'information titre"/>
    <w:basedOn w:val="Normal"/>
    <w:next w:val="Normal"/>
    <w:rsid w:val="00AB6F8E"/>
    <w:pPr>
      <w:spacing w:before="120" w:after="120"/>
      <w:jc w:val="center"/>
    </w:pPr>
    <w:rPr>
      <w:rFonts w:eastAsia="Times New Roman" w:cs="Times New Roman"/>
      <w:b/>
      <w:szCs w:val="24"/>
      <w:u w:val="single"/>
    </w:rPr>
  </w:style>
  <w:style w:type="character" w:customStyle="1" w:styleId="Text1Car">
    <w:name w:val="Text 1 Car"/>
    <w:link w:val="Text1"/>
    <w:rsid w:val="00C000C0"/>
    <w:rPr>
      <w:rFonts w:ascii="Times New Roman" w:eastAsia="Times New Roman" w:hAnsi="Times New Roman" w:cs="Times New Roman"/>
      <w:sz w:val="24"/>
      <w:szCs w:val="24"/>
    </w:rPr>
  </w:style>
  <w:style w:type="character" w:styleId="Textoennegrita">
    <w:name w:val="Strong"/>
    <w:basedOn w:val="Fuentedeprrafopredeter"/>
    <w:uiPriority w:val="22"/>
    <w:qFormat/>
    <w:rsid w:val="00DB0150"/>
    <w:rPr>
      <w:b/>
      <w:bCs/>
    </w:rPr>
  </w:style>
  <w:style w:type="paragraph" w:customStyle="1" w:styleId="AutoCorrect">
    <w:name w:val="AutoCorrect"/>
    <w:rsid w:val="000F68AF"/>
    <w:rPr>
      <w:rFonts w:eastAsiaTheme="minorEastAsia"/>
      <w:lang w:eastAsia="en-GB"/>
    </w:rPr>
  </w:style>
  <w:style w:type="paragraph" w:customStyle="1" w:styleId="Style1">
    <w:name w:val="Style1"/>
    <w:basedOn w:val="Textocomentario"/>
    <w:link w:val="Style1Char"/>
    <w:qFormat/>
    <w:rsid w:val="00E204C7"/>
    <w:pPr>
      <w:shd w:val="clear" w:color="auto" w:fill="B4C6E7" w:themeFill="accent5" w:themeFillTint="66"/>
    </w:pPr>
  </w:style>
  <w:style w:type="paragraph" w:customStyle="1" w:styleId="Style2">
    <w:name w:val="Style2"/>
    <w:basedOn w:val="Normal"/>
    <w:link w:val="Style2Char"/>
    <w:qFormat/>
    <w:rsid w:val="004522C9"/>
    <w:pPr>
      <w:shd w:val="clear" w:color="auto" w:fill="B4C6E7" w:themeFill="accent5" w:themeFillTint="66"/>
    </w:pPr>
    <w:rPr>
      <w:rFonts w:cs="Times New Roman"/>
      <w:sz w:val="20"/>
      <w:szCs w:val="20"/>
      <w:lang w:val="en-US"/>
    </w:rPr>
  </w:style>
  <w:style w:type="character" w:customStyle="1" w:styleId="Style1Char">
    <w:name w:val="Style1 Char"/>
    <w:basedOn w:val="TextocomentarioCar"/>
    <w:link w:val="Style1"/>
    <w:rsid w:val="00E204C7"/>
    <w:rPr>
      <w:rFonts w:ascii="Times New Roman" w:eastAsia="Times New Roman" w:hAnsi="Times New Roman" w:cs="Times New Roman"/>
      <w:sz w:val="20"/>
      <w:szCs w:val="20"/>
      <w:shd w:val="clear" w:color="auto" w:fill="B4C6E7" w:themeFill="accent5" w:themeFillTint="66"/>
      <w:lang w:eastAsia="en-GB"/>
    </w:rPr>
  </w:style>
  <w:style w:type="character" w:customStyle="1" w:styleId="Style2Char">
    <w:name w:val="Style2 Char"/>
    <w:basedOn w:val="Fuentedeprrafopredeter"/>
    <w:link w:val="Style2"/>
    <w:rsid w:val="004522C9"/>
    <w:rPr>
      <w:rFonts w:ascii="Times New Roman" w:hAnsi="Times New Roman" w:cs="Times New Roman"/>
      <w:sz w:val="20"/>
      <w:szCs w:val="20"/>
      <w:shd w:val="clear" w:color="auto" w:fill="B4C6E7" w:themeFill="accent5" w:themeFillTint="66"/>
      <w:lang w:val="en-US"/>
    </w:rPr>
  </w:style>
  <w:style w:type="character" w:customStyle="1" w:styleId="UnresolvedMention2">
    <w:name w:val="Unresolved Mention2"/>
    <w:basedOn w:val="Fuentedeprrafopredeter"/>
    <w:uiPriority w:val="99"/>
    <w:semiHidden/>
    <w:unhideWhenUsed/>
    <w:rsid w:val="00344490"/>
    <w:rPr>
      <w:color w:val="605E5C"/>
      <w:shd w:val="clear" w:color="auto" w:fill="E1DFDD"/>
    </w:rPr>
  </w:style>
  <w:style w:type="character" w:customStyle="1" w:styleId="UnresolvedMention3">
    <w:name w:val="Unresolved Mention3"/>
    <w:basedOn w:val="Fuentedeprrafopredeter"/>
    <w:uiPriority w:val="99"/>
    <w:semiHidden/>
    <w:unhideWhenUsed/>
    <w:rsid w:val="00461C15"/>
    <w:rPr>
      <w:color w:val="605E5C"/>
      <w:shd w:val="clear" w:color="auto" w:fill="E1DFDD"/>
    </w:rPr>
  </w:style>
  <w:style w:type="character" w:customStyle="1" w:styleId="UnresolvedMention4">
    <w:name w:val="Unresolved Mention4"/>
    <w:basedOn w:val="Fuentedeprrafopredeter"/>
    <w:uiPriority w:val="99"/>
    <w:semiHidden/>
    <w:unhideWhenUsed/>
    <w:rsid w:val="00A669C0"/>
    <w:rPr>
      <w:color w:val="605E5C"/>
      <w:shd w:val="clear" w:color="auto" w:fill="E1DFDD"/>
    </w:rPr>
  </w:style>
  <w:style w:type="character" w:customStyle="1" w:styleId="UnresolvedMention5">
    <w:name w:val="Unresolved Mention5"/>
    <w:basedOn w:val="Fuentedeprrafopredeter"/>
    <w:uiPriority w:val="99"/>
    <w:semiHidden/>
    <w:unhideWhenUsed/>
    <w:rsid w:val="00374530"/>
    <w:rPr>
      <w:color w:val="605E5C"/>
      <w:shd w:val="clear" w:color="auto" w:fill="E1DFDD"/>
    </w:rPr>
  </w:style>
  <w:style w:type="character" w:customStyle="1" w:styleId="CommentReference1">
    <w:name w:val="Comment Reference1"/>
    <w:basedOn w:val="Fuentedeprrafopredeter"/>
    <w:rsid w:val="00E95E87"/>
    <w:rPr>
      <w:rFonts w:cs="Times New Roman"/>
      <w:sz w:val="16"/>
    </w:rPr>
  </w:style>
  <w:style w:type="paragraph" w:customStyle="1" w:styleId="CommentText1">
    <w:name w:val="Comment Text1"/>
    <w:basedOn w:val="Normal"/>
    <w:qFormat/>
    <w:rsid w:val="006541AF"/>
    <w:rPr>
      <w:rFonts w:eastAsia="Times New Roman" w:cs="Times New Roman"/>
      <w:sz w:val="20"/>
      <w:szCs w:val="20"/>
      <w:lang w:eastAsia="zh-CN"/>
    </w:rPr>
  </w:style>
  <w:style w:type="character" w:customStyle="1" w:styleId="y2iqfc">
    <w:name w:val="y2iqfc"/>
    <w:basedOn w:val="Fuentedeprrafopredeter"/>
    <w:rsid w:val="00C435EF"/>
  </w:style>
  <w:style w:type="character" w:customStyle="1" w:styleId="tlid-translation">
    <w:name w:val="tlid-translation"/>
    <w:basedOn w:val="Fuentedeprrafopredeter"/>
    <w:uiPriority w:val="99"/>
    <w:rsid w:val="003D4F5E"/>
    <w:rPr>
      <w:rFonts w:cs="Times New Roman"/>
    </w:rPr>
  </w:style>
  <w:style w:type="character" w:customStyle="1" w:styleId="UnresolvedMention">
    <w:name w:val="Unresolved Mention"/>
    <w:basedOn w:val="Fuentedeprrafopredeter"/>
    <w:uiPriority w:val="99"/>
    <w:semiHidden/>
    <w:unhideWhenUsed/>
    <w:rsid w:val="00E0164C"/>
    <w:rPr>
      <w:color w:val="605E5C"/>
      <w:shd w:val="clear" w:color="auto" w:fill="E1DFDD"/>
    </w:rPr>
  </w:style>
  <w:style w:type="character" w:customStyle="1" w:styleId="markedcontent">
    <w:name w:val="markedcontent"/>
    <w:basedOn w:val="Fuentedeprrafopredeter"/>
    <w:rsid w:val="00C1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78">
      <w:bodyDiv w:val="1"/>
      <w:marLeft w:val="0"/>
      <w:marRight w:val="0"/>
      <w:marTop w:val="0"/>
      <w:marBottom w:val="0"/>
      <w:divBdr>
        <w:top w:val="none" w:sz="0" w:space="0" w:color="auto"/>
        <w:left w:val="none" w:sz="0" w:space="0" w:color="auto"/>
        <w:bottom w:val="none" w:sz="0" w:space="0" w:color="auto"/>
        <w:right w:val="none" w:sz="0" w:space="0" w:color="auto"/>
      </w:divBdr>
    </w:div>
    <w:div w:id="19552744">
      <w:bodyDiv w:val="1"/>
      <w:marLeft w:val="0"/>
      <w:marRight w:val="0"/>
      <w:marTop w:val="0"/>
      <w:marBottom w:val="0"/>
      <w:divBdr>
        <w:top w:val="none" w:sz="0" w:space="0" w:color="auto"/>
        <w:left w:val="none" w:sz="0" w:space="0" w:color="auto"/>
        <w:bottom w:val="none" w:sz="0" w:space="0" w:color="auto"/>
        <w:right w:val="none" w:sz="0" w:space="0" w:color="auto"/>
      </w:divBdr>
    </w:div>
    <w:div w:id="39986761">
      <w:bodyDiv w:val="1"/>
      <w:marLeft w:val="0"/>
      <w:marRight w:val="0"/>
      <w:marTop w:val="0"/>
      <w:marBottom w:val="0"/>
      <w:divBdr>
        <w:top w:val="none" w:sz="0" w:space="0" w:color="auto"/>
        <w:left w:val="none" w:sz="0" w:space="0" w:color="auto"/>
        <w:bottom w:val="none" w:sz="0" w:space="0" w:color="auto"/>
        <w:right w:val="none" w:sz="0" w:space="0" w:color="auto"/>
      </w:divBdr>
    </w:div>
    <w:div w:id="40374120">
      <w:bodyDiv w:val="1"/>
      <w:marLeft w:val="0"/>
      <w:marRight w:val="0"/>
      <w:marTop w:val="0"/>
      <w:marBottom w:val="0"/>
      <w:divBdr>
        <w:top w:val="none" w:sz="0" w:space="0" w:color="auto"/>
        <w:left w:val="none" w:sz="0" w:space="0" w:color="auto"/>
        <w:bottom w:val="none" w:sz="0" w:space="0" w:color="auto"/>
        <w:right w:val="none" w:sz="0" w:space="0" w:color="auto"/>
      </w:divBdr>
    </w:div>
    <w:div w:id="51320841">
      <w:bodyDiv w:val="1"/>
      <w:marLeft w:val="0"/>
      <w:marRight w:val="0"/>
      <w:marTop w:val="0"/>
      <w:marBottom w:val="0"/>
      <w:divBdr>
        <w:top w:val="none" w:sz="0" w:space="0" w:color="auto"/>
        <w:left w:val="none" w:sz="0" w:space="0" w:color="auto"/>
        <w:bottom w:val="none" w:sz="0" w:space="0" w:color="auto"/>
        <w:right w:val="none" w:sz="0" w:space="0" w:color="auto"/>
      </w:divBdr>
    </w:div>
    <w:div w:id="51775186">
      <w:bodyDiv w:val="1"/>
      <w:marLeft w:val="0"/>
      <w:marRight w:val="0"/>
      <w:marTop w:val="0"/>
      <w:marBottom w:val="0"/>
      <w:divBdr>
        <w:top w:val="none" w:sz="0" w:space="0" w:color="auto"/>
        <w:left w:val="none" w:sz="0" w:space="0" w:color="auto"/>
        <w:bottom w:val="none" w:sz="0" w:space="0" w:color="auto"/>
        <w:right w:val="none" w:sz="0" w:space="0" w:color="auto"/>
      </w:divBdr>
    </w:div>
    <w:div w:id="58094741">
      <w:bodyDiv w:val="1"/>
      <w:marLeft w:val="0"/>
      <w:marRight w:val="0"/>
      <w:marTop w:val="0"/>
      <w:marBottom w:val="0"/>
      <w:divBdr>
        <w:top w:val="none" w:sz="0" w:space="0" w:color="auto"/>
        <w:left w:val="none" w:sz="0" w:space="0" w:color="auto"/>
        <w:bottom w:val="none" w:sz="0" w:space="0" w:color="auto"/>
        <w:right w:val="none" w:sz="0" w:space="0" w:color="auto"/>
      </w:divBdr>
    </w:div>
    <w:div w:id="5990940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88237671">
      <w:bodyDiv w:val="1"/>
      <w:marLeft w:val="0"/>
      <w:marRight w:val="0"/>
      <w:marTop w:val="0"/>
      <w:marBottom w:val="0"/>
      <w:divBdr>
        <w:top w:val="none" w:sz="0" w:space="0" w:color="auto"/>
        <w:left w:val="none" w:sz="0" w:space="0" w:color="auto"/>
        <w:bottom w:val="none" w:sz="0" w:space="0" w:color="auto"/>
        <w:right w:val="none" w:sz="0" w:space="0" w:color="auto"/>
      </w:divBdr>
    </w:div>
    <w:div w:id="97989484">
      <w:bodyDiv w:val="1"/>
      <w:marLeft w:val="0"/>
      <w:marRight w:val="0"/>
      <w:marTop w:val="0"/>
      <w:marBottom w:val="0"/>
      <w:divBdr>
        <w:top w:val="none" w:sz="0" w:space="0" w:color="auto"/>
        <w:left w:val="none" w:sz="0" w:space="0" w:color="auto"/>
        <w:bottom w:val="none" w:sz="0" w:space="0" w:color="auto"/>
        <w:right w:val="none" w:sz="0" w:space="0" w:color="auto"/>
      </w:divBdr>
    </w:div>
    <w:div w:id="110441638">
      <w:bodyDiv w:val="1"/>
      <w:marLeft w:val="0"/>
      <w:marRight w:val="0"/>
      <w:marTop w:val="0"/>
      <w:marBottom w:val="0"/>
      <w:divBdr>
        <w:top w:val="none" w:sz="0" w:space="0" w:color="auto"/>
        <w:left w:val="none" w:sz="0" w:space="0" w:color="auto"/>
        <w:bottom w:val="none" w:sz="0" w:space="0" w:color="auto"/>
        <w:right w:val="none" w:sz="0" w:space="0" w:color="auto"/>
      </w:divBdr>
    </w:div>
    <w:div w:id="116877812">
      <w:bodyDiv w:val="1"/>
      <w:marLeft w:val="0"/>
      <w:marRight w:val="0"/>
      <w:marTop w:val="0"/>
      <w:marBottom w:val="0"/>
      <w:divBdr>
        <w:top w:val="none" w:sz="0" w:space="0" w:color="auto"/>
        <w:left w:val="none" w:sz="0" w:space="0" w:color="auto"/>
        <w:bottom w:val="none" w:sz="0" w:space="0" w:color="auto"/>
        <w:right w:val="none" w:sz="0" w:space="0" w:color="auto"/>
      </w:divBdr>
    </w:div>
    <w:div w:id="144586882">
      <w:bodyDiv w:val="1"/>
      <w:marLeft w:val="0"/>
      <w:marRight w:val="0"/>
      <w:marTop w:val="0"/>
      <w:marBottom w:val="0"/>
      <w:divBdr>
        <w:top w:val="none" w:sz="0" w:space="0" w:color="auto"/>
        <w:left w:val="none" w:sz="0" w:space="0" w:color="auto"/>
        <w:bottom w:val="none" w:sz="0" w:space="0" w:color="auto"/>
        <w:right w:val="none" w:sz="0" w:space="0" w:color="auto"/>
      </w:divBdr>
      <w:divsChild>
        <w:div w:id="187792513">
          <w:marLeft w:val="274"/>
          <w:marRight w:val="0"/>
          <w:marTop w:val="0"/>
          <w:marBottom w:val="0"/>
          <w:divBdr>
            <w:top w:val="none" w:sz="0" w:space="0" w:color="auto"/>
            <w:left w:val="none" w:sz="0" w:space="0" w:color="auto"/>
            <w:bottom w:val="none" w:sz="0" w:space="0" w:color="auto"/>
            <w:right w:val="none" w:sz="0" w:space="0" w:color="auto"/>
          </w:divBdr>
        </w:div>
        <w:div w:id="539168363">
          <w:marLeft w:val="274"/>
          <w:marRight w:val="0"/>
          <w:marTop w:val="0"/>
          <w:marBottom w:val="0"/>
          <w:divBdr>
            <w:top w:val="none" w:sz="0" w:space="0" w:color="auto"/>
            <w:left w:val="none" w:sz="0" w:space="0" w:color="auto"/>
            <w:bottom w:val="none" w:sz="0" w:space="0" w:color="auto"/>
            <w:right w:val="none" w:sz="0" w:space="0" w:color="auto"/>
          </w:divBdr>
        </w:div>
        <w:div w:id="729233232">
          <w:marLeft w:val="274"/>
          <w:marRight w:val="0"/>
          <w:marTop w:val="20"/>
          <w:marBottom w:val="20"/>
          <w:divBdr>
            <w:top w:val="none" w:sz="0" w:space="0" w:color="auto"/>
            <w:left w:val="none" w:sz="0" w:space="0" w:color="auto"/>
            <w:bottom w:val="none" w:sz="0" w:space="0" w:color="auto"/>
            <w:right w:val="none" w:sz="0" w:space="0" w:color="auto"/>
          </w:divBdr>
        </w:div>
        <w:div w:id="1530678609">
          <w:marLeft w:val="274"/>
          <w:marRight w:val="0"/>
          <w:marTop w:val="0"/>
          <w:marBottom w:val="0"/>
          <w:divBdr>
            <w:top w:val="none" w:sz="0" w:space="0" w:color="auto"/>
            <w:left w:val="none" w:sz="0" w:space="0" w:color="auto"/>
            <w:bottom w:val="none" w:sz="0" w:space="0" w:color="auto"/>
            <w:right w:val="none" w:sz="0" w:space="0" w:color="auto"/>
          </w:divBdr>
        </w:div>
        <w:div w:id="1557935681">
          <w:marLeft w:val="274"/>
          <w:marRight w:val="0"/>
          <w:marTop w:val="0"/>
          <w:marBottom w:val="0"/>
          <w:divBdr>
            <w:top w:val="none" w:sz="0" w:space="0" w:color="auto"/>
            <w:left w:val="none" w:sz="0" w:space="0" w:color="auto"/>
            <w:bottom w:val="none" w:sz="0" w:space="0" w:color="auto"/>
            <w:right w:val="none" w:sz="0" w:space="0" w:color="auto"/>
          </w:divBdr>
        </w:div>
      </w:divsChild>
    </w:div>
    <w:div w:id="158204135">
      <w:bodyDiv w:val="1"/>
      <w:marLeft w:val="0"/>
      <w:marRight w:val="0"/>
      <w:marTop w:val="0"/>
      <w:marBottom w:val="0"/>
      <w:divBdr>
        <w:top w:val="none" w:sz="0" w:space="0" w:color="auto"/>
        <w:left w:val="none" w:sz="0" w:space="0" w:color="auto"/>
        <w:bottom w:val="none" w:sz="0" w:space="0" w:color="auto"/>
        <w:right w:val="none" w:sz="0" w:space="0" w:color="auto"/>
      </w:divBdr>
    </w:div>
    <w:div w:id="187185953">
      <w:bodyDiv w:val="1"/>
      <w:marLeft w:val="0"/>
      <w:marRight w:val="0"/>
      <w:marTop w:val="0"/>
      <w:marBottom w:val="0"/>
      <w:divBdr>
        <w:top w:val="none" w:sz="0" w:space="0" w:color="auto"/>
        <w:left w:val="none" w:sz="0" w:space="0" w:color="auto"/>
        <w:bottom w:val="none" w:sz="0" w:space="0" w:color="auto"/>
        <w:right w:val="none" w:sz="0" w:space="0" w:color="auto"/>
      </w:divBdr>
    </w:div>
    <w:div w:id="208810253">
      <w:bodyDiv w:val="1"/>
      <w:marLeft w:val="0"/>
      <w:marRight w:val="0"/>
      <w:marTop w:val="0"/>
      <w:marBottom w:val="0"/>
      <w:divBdr>
        <w:top w:val="none" w:sz="0" w:space="0" w:color="auto"/>
        <w:left w:val="none" w:sz="0" w:space="0" w:color="auto"/>
        <w:bottom w:val="none" w:sz="0" w:space="0" w:color="auto"/>
        <w:right w:val="none" w:sz="0" w:space="0" w:color="auto"/>
      </w:divBdr>
    </w:div>
    <w:div w:id="228616508">
      <w:bodyDiv w:val="1"/>
      <w:marLeft w:val="0"/>
      <w:marRight w:val="0"/>
      <w:marTop w:val="0"/>
      <w:marBottom w:val="0"/>
      <w:divBdr>
        <w:top w:val="none" w:sz="0" w:space="0" w:color="auto"/>
        <w:left w:val="none" w:sz="0" w:space="0" w:color="auto"/>
        <w:bottom w:val="none" w:sz="0" w:space="0" w:color="auto"/>
        <w:right w:val="none" w:sz="0" w:space="0" w:color="auto"/>
      </w:divBdr>
    </w:div>
    <w:div w:id="263223087">
      <w:bodyDiv w:val="1"/>
      <w:marLeft w:val="0"/>
      <w:marRight w:val="0"/>
      <w:marTop w:val="0"/>
      <w:marBottom w:val="0"/>
      <w:divBdr>
        <w:top w:val="none" w:sz="0" w:space="0" w:color="auto"/>
        <w:left w:val="none" w:sz="0" w:space="0" w:color="auto"/>
        <w:bottom w:val="none" w:sz="0" w:space="0" w:color="auto"/>
        <w:right w:val="none" w:sz="0" w:space="0" w:color="auto"/>
      </w:divBdr>
    </w:div>
    <w:div w:id="324935624">
      <w:bodyDiv w:val="1"/>
      <w:marLeft w:val="0"/>
      <w:marRight w:val="0"/>
      <w:marTop w:val="0"/>
      <w:marBottom w:val="0"/>
      <w:divBdr>
        <w:top w:val="none" w:sz="0" w:space="0" w:color="auto"/>
        <w:left w:val="none" w:sz="0" w:space="0" w:color="auto"/>
        <w:bottom w:val="none" w:sz="0" w:space="0" w:color="auto"/>
        <w:right w:val="none" w:sz="0" w:space="0" w:color="auto"/>
      </w:divBdr>
      <w:divsChild>
        <w:div w:id="764762985">
          <w:marLeft w:val="360"/>
          <w:marRight w:val="0"/>
          <w:marTop w:val="0"/>
          <w:marBottom w:val="360"/>
          <w:divBdr>
            <w:top w:val="none" w:sz="0" w:space="0" w:color="auto"/>
            <w:left w:val="none" w:sz="0" w:space="0" w:color="auto"/>
            <w:bottom w:val="none" w:sz="0" w:space="0" w:color="auto"/>
            <w:right w:val="none" w:sz="0" w:space="0" w:color="auto"/>
          </w:divBdr>
        </w:div>
        <w:div w:id="980840543">
          <w:marLeft w:val="360"/>
          <w:marRight w:val="0"/>
          <w:marTop w:val="0"/>
          <w:marBottom w:val="360"/>
          <w:divBdr>
            <w:top w:val="none" w:sz="0" w:space="0" w:color="auto"/>
            <w:left w:val="none" w:sz="0" w:space="0" w:color="auto"/>
            <w:bottom w:val="none" w:sz="0" w:space="0" w:color="auto"/>
            <w:right w:val="none" w:sz="0" w:space="0" w:color="auto"/>
          </w:divBdr>
        </w:div>
        <w:div w:id="1772045052">
          <w:marLeft w:val="360"/>
          <w:marRight w:val="0"/>
          <w:marTop w:val="0"/>
          <w:marBottom w:val="360"/>
          <w:divBdr>
            <w:top w:val="none" w:sz="0" w:space="0" w:color="auto"/>
            <w:left w:val="none" w:sz="0" w:space="0" w:color="auto"/>
            <w:bottom w:val="none" w:sz="0" w:space="0" w:color="auto"/>
            <w:right w:val="none" w:sz="0" w:space="0" w:color="auto"/>
          </w:divBdr>
        </w:div>
        <w:div w:id="1983582840">
          <w:marLeft w:val="360"/>
          <w:marRight w:val="0"/>
          <w:marTop w:val="0"/>
          <w:marBottom w:val="360"/>
          <w:divBdr>
            <w:top w:val="none" w:sz="0" w:space="0" w:color="auto"/>
            <w:left w:val="none" w:sz="0" w:space="0" w:color="auto"/>
            <w:bottom w:val="none" w:sz="0" w:space="0" w:color="auto"/>
            <w:right w:val="none" w:sz="0" w:space="0" w:color="auto"/>
          </w:divBdr>
        </w:div>
        <w:div w:id="2104522313">
          <w:marLeft w:val="360"/>
          <w:marRight w:val="0"/>
          <w:marTop w:val="0"/>
          <w:marBottom w:val="360"/>
          <w:divBdr>
            <w:top w:val="none" w:sz="0" w:space="0" w:color="auto"/>
            <w:left w:val="none" w:sz="0" w:space="0" w:color="auto"/>
            <w:bottom w:val="none" w:sz="0" w:space="0" w:color="auto"/>
            <w:right w:val="none" w:sz="0" w:space="0" w:color="auto"/>
          </w:divBdr>
        </w:div>
      </w:divsChild>
    </w:div>
    <w:div w:id="357779984">
      <w:bodyDiv w:val="1"/>
      <w:marLeft w:val="0"/>
      <w:marRight w:val="0"/>
      <w:marTop w:val="0"/>
      <w:marBottom w:val="0"/>
      <w:divBdr>
        <w:top w:val="none" w:sz="0" w:space="0" w:color="auto"/>
        <w:left w:val="none" w:sz="0" w:space="0" w:color="auto"/>
        <w:bottom w:val="none" w:sz="0" w:space="0" w:color="auto"/>
        <w:right w:val="none" w:sz="0" w:space="0" w:color="auto"/>
      </w:divBdr>
    </w:div>
    <w:div w:id="368796791">
      <w:bodyDiv w:val="1"/>
      <w:marLeft w:val="0"/>
      <w:marRight w:val="0"/>
      <w:marTop w:val="0"/>
      <w:marBottom w:val="0"/>
      <w:divBdr>
        <w:top w:val="none" w:sz="0" w:space="0" w:color="auto"/>
        <w:left w:val="none" w:sz="0" w:space="0" w:color="auto"/>
        <w:bottom w:val="none" w:sz="0" w:space="0" w:color="auto"/>
        <w:right w:val="none" w:sz="0" w:space="0" w:color="auto"/>
      </w:divBdr>
    </w:div>
    <w:div w:id="399642217">
      <w:bodyDiv w:val="1"/>
      <w:marLeft w:val="0"/>
      <w:marRight w:val="0"/>
      <w:marTop w:val="0"/>
      <w:marBottom w:val="0"/>
      <w:divBdr>
        <w:top w:val="none" w:sz="0" w:space="0" w:color="auto"/>
        <w:left w:val="none" w:sz="0" w:space="0" w:color="auto"/>
        <w:bottom w:val="none" w:sz="0" w:space="0" w:color="auto"/>
        <w:right w:val="none" w:sz="0" w:space="0" w:color="auto"/>
      </w:divBdr>
    </w:div>
    <w:div w:id="426269329">
      <w:bodyDiv w:val="1"/>
      <w:marLeft w:val="0"/>
      <w:marRight w:val="0"/>
      <w:marTop w:val="0"/>
      <w:marBottom w:val="0"/>
      <w:divBdr>
        <w:top w:val="none" w:sz="0" w:space="0" w:color="auto"/>
        <w:left w:val="none" w:sz="0" w:space="0" w:color="auto"/>
        <w:bottom w:val="none" w:sz="0" w:space="0" w:color="auto"/>
        <w:right w:val="none" w:sz="0" w:space="0" w:color="auto"/>
      </w:divBdr>
    </w:div>
    <w:div w:id="437214423">
      <w:bodyDiv w:val="1"/>
      <w:marLeft w:val="0"/>
      <w:marRight w:val="0"/>
      <w:marTop w:val="0"/>
      <w:marBottom w:val="0"/>
      <w:divBdr>
        <w:top w:val="none" w:sz="0" w:space="0" w:color="auto"/>
        <w:left w:val="none" w:sz="0" w:space="0" w:color="auto"/>
        <w:bottom w:val="none" w:sz="0" w:space="0" w:color="auto"/>
        <w:right w:val="none" w:sz="0" w:space="0" w:color="auto"/>
      </w:divBdr>
    </w:div>
    <w:div w:id="445000942">
      <w:bodyDiv w:val="1"/>
      <w:marLeft w:val="0"/>
      <w:marRight w:val="0"/>
      <w:marTop w:val="0"/>
      <w:marBottom w:val="0"/>
      <w:divBdr>
        <w:top w:val="none" w:sz="0" w:space="0" w:color="auto"/>
        <w:left w:val="none" w:sz="0" w:space="0" w:color="auto"/>
        <w:bottom w:val="none" w:sz="0" w:space="0" w:color="auto"/>
        <w:right w:val="none" w:sz="0" w:space="0" w:color="auto"/>
      </w:divBdr>
    </w:div>
    <w:div w:id="449858451">
      <w:bodyDiv w:val="1"/>
      <w:marLeft w:val="0"/>
      <w:marRight w:val="0"/>
      <w:marTop w:val="0"/>
      <w:marBottom w:val="0"/>
      <w:divBdr>
        <w:top w:val="none" w:sz="0" w:space="0" w:color="auto"/>
        <w:left w:val="none" w:sz="0" w:space="0" w:color="auto"/>
        <w:bottom w:val="none" w:sz="0" w:space="0" w:color="auto"/>
        <w:right w:val="none" w:sz="0" w:space="0" w:color="auto"/>
      </w:divBdr>
    </w:div>
    <w:div w:id="454102342">
      <w:bodyDiv w:val="1"/>
      <w:marLeft w:val="0"/>
      <w:marRight w:val="0"/>
      <w:marTop w:val="0"/>
      <w:marBottom w:val="0"/>
      <w:divBdr>
        <w:top w:val="none" w:sz="0" w:space="0" w:color="auto"/>
        <w:left w:val="none" w:sz="0" w:space="0" w:color="auto"/>
        <w:bottom w:val="none" w:sz="0" w:space="0" w:color="auto"/>
        <w:right w:val="none" w:sz="0" w:space="0" w:color="auto"/>
      </w:divBdr>
    </w:div>
    <w:div w:id="515580477">
      <w:bodyDiv w:val="1"/>
      <w:marLeft w:val="0"/>
      <w:marRight w:val="0"/>
      <w:marTop w:val="0"/>
      <w:marBottom w:val="0"/>
      <w:divBdr>
        <w:top w:val="none" w:sz="0" w:space="0" w:color="auto"/>
        <w:left w:val="none" w:sz="0" w:space="0" w:color="auto"/>
        <w:bottom w:val="none" w:sz="0" w:space="0" w:color="auto"/>
        <w:right w:val="none" w:sz="0" w:space="0" w:color="auto"/>
      </w:divBdr>
    </w:div>
    <w:div w:id="589386913">
      <w:bodyDiv w:val="1"/>
      <w:marLeft w:val="0"/>
      <w:marRight w:val="0"/>
      <w:marTop w:val="0"/>
      <w:marBottom w:val="0"/>
      <w:divBdr>
        <w:top w:val="none" w:sz="0" w:space="0" w:color="auto"/>
        <w:left w:val="none" w:sz="0" w:space="0" w:color="auto"/>
        <w:bottom w:val="none" w:sz="0" w:space="0" w:color="auto"/>
        <w:right w:val="none" w:sz="0" w:space="0" w:color="auto"/>
      </w:divBdr>
    </w:div>
    <w:div w:id="613634036">
      <w:bodyDiv w:val="1"/>
      <w:marLeft w:val="0"/>
      <w:marRight w:val="0"/>
      <w:marTop w:val="0"/>
      <w:marBottom w:val="0"/>
      <w:divBdr>
        <w:top w:val="none" w:sz="0" w:space="0" w:color="auto"/>
        <w:left w:val="none" w:sz="0" w:space="0" w:color="auto"/>
        <w:bottom w:val="none" w:sz="0" w:space="0" w:color="auto"/>
        <w:right w:val="none" w:sz="0" w:space="0" w:color="auto"/>
      </w:divBdr>
    </w:div>
    <w:div w:id="673066600">
      <w:bodyDiv w:val="1"/>
      <w:marLeft w:val="0"/>
      <w:marRight w:val="0"/>
      <w:marTop w:val="0"/>
      <w:marBottom w:val="0"/>
      <w:divBdr>
        <w:top w:val="none" w:sz="0" w:space="0" w:color="auto"/>
        <w:left w:val="none" w:sz="0" w:space="0" w:color="auto"/>
        <w:bottom w:val="none" w:sz="0" w:space="0" w:color="auto"/>
        <w:right w:val="none" w:sz="0" w:space="0" w:color="auto"/>
      </w:divBdr>
    </w:div>
    <w:div w:id="675960451">
      <w:bodyDiv w:val="1"/>
      <w:marLeft w:val="0"/>
      <w:marRight w:val="0"/>
      <w:marTop w:val="0"/>
      <w:marBottom w:val="0"/>
      <w:divBdr>
        <w:top w:val="none" w:sz="0" w:space="0" w:color="auto"/>
        <w:left w:val="none" w:sz="0" w:space="0" w:color="auto"/>
        <w:bottom w:val="none" w:sz="0" w:space="0" w:color="auto"/>
        <w:right w:val="none" w:sz="0" w:space="0" w:color="auto"/>
      </w:divBdr>
      <w:divsChild>
        <w:div w:id="75253819">
          <w:marLeft w:val="360"/>
          <w:marRight w:val="0"/>
          <w:marTop w:val="0"/>
          <w:marBottom w:val="360"/>
          <w:divBdr>
            <w:top w:val="none" w:sz="0" w:space="0" w:color="auto"/>
            <w:left w:val="none" w:sz="0" w:space="0" w:color="auto"/>
            <w:bottom w:val="none" w:sz="0" w:space="0" w:color="auto"/>
            <w:right w:val="none" w:sz="0" w:space="0" w:color="auto"/>
          </w:divBdr>
        </w:div>
        <w:div w:id="260721752">
          <w:marLeft w:val="360"/>
          <w:marRight w:val="0"/>
          <w:marTop w:val="0"/>
          <w:marBottom w:val="360"/>
          <w:divBdr>
            <w:top w:val="none" w:sz="0" w:space="0" w:color="auto"/>
            <w:left w:val="none" w:sz="0" w:space="0" w:color="auto"/>
            <w:bottom w:val="none" w:sz="0" w:space="0" w:color="auto"/>
            <w:right w:val="none" w:sz="0" w:space="0" w:color="auto"/>
          </w:divBdr>
        </w:div>
        <w:div w:id="826748981">
          <w:marLeft w:val="360"/>
          <w:marRight w:val="0"/>
          <w:marTop w:val="0"/>
          <w:marBottom w:val="360"/>
          <w:divBdr>
            <w:top w:val="none" w:sz="0" w:space="0" w:color="auto"/>
            <w:left w:val="none" w:sz="0" w:space="0" w:color="auto"/>
            <w:bottom w:val="none" w:sz="0" w:space="0" w:color="auto"/>
            <w:right w:val="none" w:sz="0" w:space="0" w:color="auto"/>
          </w:divBdr>
        </w:div>
        <w:div w:id="995304882">
          <w:marLeft w:val="360"/>
          <w:marRight w:val="0"/>
          <w:marTop w:val="0"/>
          <w:marBottom w:val="360"/>
          <w:divBdr>
            <w:top w:val="none" w:sz="0" w:space="0" w:color="auto"/>
            <w:left w:val="none" w:sz="0" w:space="0" w:color="auto"/>
            <w:bottom w:val="none" w:sz="0" w:space="0" w:color="auto"/>
            <w:right w:val="none" w:sz="0" w:space="0" w:color="auto"/>
          </w:divBdr>
        </w:div>
      </w:divsChild>
    </w:div>
    <w:div w:id="711151670">
      <w:bodyDiv w:val="1"/>
      <w:marLeft w:val="0"/>
      <w:marRight w:val="0"/>
      <w:marTop w:val="0"/>
      <w:marBottom w:val="0"/>
      <w:divBdr>
        <w:top w:val="none" w:sz="0" w:space="0" w:color="auto"/>
        <w:left w:val="none" w:sz="0" w:space="0" w:color="auto"/>
        <w:bottom w:val="none" w:sz="0" w:space="0" w:color="auto"/>
        <w:right w:val="none" w:sz="0" w:space="0" w:color="auto"/>
      </w:divBdr>
    </w:div>
    <w:div w:id="736712110">
      <w:bodyDiv w:val="1"/>
      <w:marLeft w:val="0"/>
      <w:marRight w:val="0"/>
      <w:marTop w:val="0"/>
      <w:marBottom w:val="0"/>
      <w:divBdr>
        <w:top w:val="none" w:sz="0" w:space="0" w:color="auto"/>
        <w:left w:val="none" w:sz="0" w:space="0" w:color="auto"/>
        <w:bottom w:val="none" w:sz="0" w:space="0" w:color="auto"/>
        <w:right w:val="none" w:sz="0" w:space="0" w:color="auto"/>
      </w:divBdr>
    </w:div>
    <w:div w:id="757366546">
      <w:bodyDiv w:val="1"/>
      <w:marLeft w:val="0"/>
      <w:marRight w:val="0"/>
      <w:marTop w:val="0"/>
      <w:marBottom w:val="0"/>
      <w:divBdr>
        <w:top w:val="none" w:sz="0" w:space="0" w:color="auto"/>
        <w:left w:val="none" w:sz="0" w:space="0" w:color="auto"/>
        <w:bottom w:val="none" w:sz="0" w:space="0" w:color="auto"/>
        <w:right w:val="none" w:sz="0" w:space="0" w:color="auto"/>
      </w:divBdr>
    </w:div>
    <w:div w:id="762147841">
      <w:bodyDiv w:val="1"/>
      <w:marLeft w:val="0"/>
      <w:marRight w:val="0"/>
      <w:marTop w:val="0"/>
      <w:marBottom w:val="0"/>
      <w:divBdr>
        <w:top w:val="none" w:sz="0" w:space="0" w:color="auto"/>
        <w:left w:val="none" w:sz="0" w:space="0" w:color="auto"/>
        <w:bottom w:val="none" w:sz="0" w:space="0" w:color="auto"/>
        <w:right w:val="none" w:sz="0" w:space="0" w:color="auto"/>
      </w:divBdr>
    </w:div>
    <w:div w:id="763110243">
      <w:bodyDiv w:val="1"/>
      <w:marLeft w:val="0"/>
      <w:marRight w:val="0"/>
      <w:marTop w:val="0"/>
      <w:marBottom w:val="0"/>
      <w:divBdr>
        <w:top w:val="none" w:sz="0" w:space="0" w:color="auto"/>
        <w:left w:val="none" w:sz="0" w:space="0" w:color="auto"/>
        <w:bottom w:val="none" w:sz="0" w:space="0" w:color="auto"/>
        <w:right w:val="none" w:sz="0" w:space="0" w:color="auto"/>
      </w:divBdr>
    </w:div>
    <w:div w:id="797333115">
      <w:bodyDiv w:val="1"/>
      <w:marLeft w:val="0"/>
      <w:marRight w:val="0"/>
      <w:marTop w:val="0"/>
      <w:marBottom w:val="0"/>
      <w:divBdr>
        <w:top w:val="none" w:sz="0" w:space="0" w:color="auto"/>
        <w:left w:val="none" w:sz="0" w:space="0" w:color="auto"/>
        <w:bottom w:val="none" w:sz="0" w:space="0" w:color="auto"/>
        <w:right w:val="none" w:sz="0" w:space="0" w:color="auto"/>
      </w:divBdr>
    </w:div>
    <w:div w:id="798377029">
      <w:bodyDiv w:val="1"/>
      <w:marLeft w:val="0"/>
      <w:marRight w:val="0"/>
      <w:marTop w:val="0"/>
      <w:marBottom w:val="0"/>
      <w:divBdr>
        <w:top w:val="none" w:sz="0" w:space="0" w:color="auto"/>
        <w:left w:val="none" w:sz="0" w:space="0" w:color="auto"/>
        <w:bottom w:val="none" w:sz="0" w:space="0" w:color="auto"/>
        <w:right w:val="none" w:sz="0" w:space="0" w:color="auto"/>
      </w:divBdr>
    </w:div>
    <w:div w:id="832572738">
      <w:bodyDiv w:val="1"/>
      <w:marLeft w:val="0"/>
      <w:marRight w:val="0"/>
      <w:marTop w:val="0"/>
      <w:marBottom w:val="0"/>
      <w:divBdr>
        <w:top w:val="none" w:sz="0" w:space="0" w:color="auto"/>
        <w:left w:val="none" w:sz="0" w:space="0" w:color="auto"/>
        <w:bottom w:val="none" w:sz="0" w:space="0" w:color="auto"/>
        <w:right w:val="none" w:sz="0" w:space="0" w:color="auto"/>
      </w:divBdr>
    </w:div>
    <w:div w:id="834345529">
      <w:bodyDiv w:val="1"/>
      <w:marLeft w:val="0"/>
      <w:marRight w:val="0"/>
      <w:marTop w:val="0"/>
      <w:marBottom w:val="0"/>
      <w:divBdr>
        <w:top w:val="none" w:sz="0" w:space="0" w:color="auto"/>
        <w:left w:val="none" w:sz="0" w:space="0" w:color="auto"/>
        <w:bottom w:val="none" w:sz="0" w:space="0" w:color="auto"/>
        <w:right w:val="none" w:sz="0" w:space="0" w:color="auto"/>
      </w:divBdr>
    </w:div>
    <w:div w:id="846560262">
      <w:bodyDiv w:val="1"/>
      <w:marLeft w:val="0"/>
      <w:marRight w:val="0"/>
      <w:marTop w:val="0"/>
      <w:marBottom w:val="0"/>
      <w:divBdr>
        <w:top w:val="none" w:sz="0" w:space="0" w:color="auto"/>
        <w:left w:val="none" w:sz="0" w:space="0" w:color="auto"/>
        <w:bottom w:val="none" w:sz="0" w:space="0" w:color="auto"/>
        <w:right w:val="none" w:sz="0" w:space="0" w:color="auto"/>
      </w:divBdr>
    </w:div>
    <w:div w:id="875048736">
      <w:bodyDiv w:val="1"/>
      <w:marLeft w:val="0"/>
      <w:marRight w:val="0"/>
      <w:marTop w:val="0"/>
      <w:marBottom w:val="0"/>
      <w:divBdr>
        <w:top w:val="none" w:sz="0" w:space="0" w:color="auto"/>
        <w:left w:val="none" w:sz="0" w:space="0" w:color="auto"/>
        <w:bottom w:val="none" w:sz="0" w:space="0" w:color="auto"/>
        <w:right w:val="none" w:sz="0" w:space="0" w:color="auto"/>
      </w:divBdr>
      <w:divsChild>
        <w:div w:id="601182835">
          <w:marLeft w:val="274"/>
          <w:marRight w:val="0"/>
          <w:marTop w:val="20"/>
          <w:marBottom w:val="20"/>
          <w:divBdr>
            <w:top w:val="none" w:sz="0" w:space="0" w:color="auto"/>
            <w:left w:val="none" w:sz="0" w:space="0" w:color="auto"/>
            <w:bottom w:val="none" w:sz="0" w:space="0" w:color="auto"/>
            <w:right w:val="none" w:sz="0" w:space="0" w:color="auto"/>
          </w:divBdr>
        </w:div>
        <w:div w:id="967513813">
          <w:marLeft w:val="274"/>
          <w:marRight w:val="0"/>
          <w:marTop w:val="20"/>
          <w:marBottom w:val="20"/>
          <w:divBdr>
            <w:top w:val="none" w:sz="0" w:space="0" w:color="auto"/>
            <w:left w:val="none" w:sz="0" w:space="0" w:color="auto"/>
            <w:bottom w:val="none" w:sz="0" w:space="0" w:color="auto"/>
            <w:right w:val="none" w:sz="0" w:space="0" w:color="auto"/>
          </w:divBdr>
        </w:div>
        <w:div w:id="1329284022">
          <w:marLeft w:val="274"/>
          <w:marRight w:val="0"/>
          <w:marTop w:val="20"/>
          <w:marBottom w:val="20"/>
          <w:divBdr>
            <w:top w:val="none" w:sz="0" w:space="0" w:color="auto"/>
            <w:left w:val="none" w:sz="0" w:space="0" w:color="auto"/>
            <w:bottom w:val="none" w:sz="0" w:space="0" w:color="auto"/>
            <w:right w:val="none" w:sz="0" w:space="0" w:color="auto"/>
          </w:divBdr>
        </w:div>
      </w:divsChild>
    </w:div>
    <w:div w:id="895237558">
      <w:bodyDiv w:val="1"/>
      <w:marLeft w:val="0"/>
      <w:marRight w:val="0"/>
      <w:marTop w:val="0"/>
      <w:marBottom w:val="0"/>
      <w:divBdr>
        <w:top w:val="none" w:sz="0" w:space="0" w:color="auto"/>
        <w:left w:val="none" w:sz="0" w:space="0" w:color="auto"/>
        <w:bottom w:val="none" w:sz="0" w:space="0" w:color="auto"/>
        <w:right w:val="none" w:sz="0" w:space="0" w:color="auto"/>
      </w:divBdr>
    </w:div>
    <w:div w:id="900406458">
      <w:bodyDiv w:val="1"/>
      <w:marLeft w:val="0"/>
      <w:marRight w:val="0"/>
      <w:marTop w:val="0"/>
      <w:marBottom w:val="0"/>
      <w:divBdr>
        <w:top w:val="none" w:sz="0" w:space="0" w:color="auto"/>
        <w:left w:val="none" w:sz="0" w:space="0" w:color="auto"/>
        <w:bottom w:val="none" w:sz="0" w:space="0" w:color="auto"/>
        <w:right w:val="none" w:sz="0" w:space="0" w:color="auto"/>
      </w:divBdr>
    </w:div>
    <w:div w:id="906257339">
      <w:bodyDiv w:val="1"/>
      <w:marLeft w:val="0"/>
      <w:marRight w:val="0"/>
      <w:marTop w:val="0"/>
      <w:marBottom w:val="0"/>
      <w:divBdr>
        <w:top w:val="none" w:sz="0" w:space="0" w:color="auto"/>
        <w:left w:val="none" w:sz="0" w:space="0" w:color="auto"/>
        <w:bottom w:val="none" w:sz="0" w:space="0" w:color="auto"/>
        <w:right w:val="none" w:sz="0" w:space="0" w:color="auto"/>
      </w:divBdr>
    </w:div>
    <w:div w:id="906307231">
      <w:bodyDiv w:val="1"/>
      <w:marLeft w:val="0"/>
      <w:marRight w:val="0"/>
      <w:marTop w:val="0"/>
      <w:marBottom w:val="0"/>
      <w:divBdr>
        <w:top w:val="none" w:sz="0" w:space="0" w:color="auto"/>
        <w:left w:val="none" w:sz="0" w:space="0" w:color="auto"/>
        <w:bottom w:val="none" w:sz="0" w:space="0" w:color="auto"/>
        <w:right w:val="none" w:sz="0" w:space="0" w:color="auto"/>
      </w:divBdr>
    </w:div>
    <w:div w:id="914052350">
      <w:bodyDiv w:val="1"/>
      <w:marLeft w:val="0"/>
      <w:marRight w:val="0"/>
      <w:marTop w:val="0"/>
      <w:marBottom w:val="0"/>
      <w:divBdr>
        <w:top w:val="none" w:sz="0" w:space="0" w:color="auto"/>
        <w:left w:val="none" w:sz="0" w:space="0" w:color="auto"/>
        <w:bottom w:val="none" w:sz="0" w:space="0" w:color="auto"/>
        <w:right w:val="none" w:sz="0" w:space="0" w:color="auto"/>
      </w:divBdr>
    </w:div>
    <w:div w:id="915549509">
      <w:bodyDiv w:val="1"/>
      <w:marLeft w:val="0"/>
      <w:marRight w:val="0"/>
      <w:marTop w:val="0"/>
      <w:marBottom w:val="0"/>
      <w:divBdr>
        <w:top w:val="none" w:sz="0" w:space="0" w:color="auto"/>
        <w:left w:val="none" w:sz="0" w:space="0" w:color="auto"/>
        <w:bottom w:val="none" w:sz="0" w:space="0" w:color="auto"/>
        <w:right w:val="none" w:sz="0" w:space="0" w:color="auto"/>
      </w:divBdr>
    </w:div>
    <w:div w:id="928387883">
      <w:bodyDiv w:val="1"/>
      <w:marLeft w:val="0"/>
      <w:marRight w:val="0"/>
      <w:marTop w:val="0"/>
      <w:marBottom w:val="0"/>
      <w:divBdr>
        <w:top w:val="none" w:sz="0" w:space="0" w:color="auto"/>
        <w:left w:val="none" w:sz="0" w:space="0" w:color="auto"/>
        <w:bottom w:val="none" w:sz="0" w:space="0" w:color="auto"/>
        <w:right w:val="none" w:sz="0" w:space="0" w:color="auto"/>
      </w:divBdr>
    </w:div>
    <w:div w:id="967665610">
      <w:bodyDiv w:val="1"/>
      <w:marLeft w:val="0"/>
      <w:marRight w:val="0"/>
      <w:marTop w:val="0"/>
      <w:marBottom w:val="0"/>
      <w:divBdr>
        <w:top w:val="none" w:sz="0" w:space="0" w:color="auto"/>
        <w:left w:val="none" w:sz="0" w:space="0" w:color="auto"/>
        <w:bottom w:val="none" w:sz="0" w:space="0" w:color="auto"/>
        <w:right w:val="none" w:sz="0" w:space="0" w:color="auto"/>
      </w:divBdr>
    </w:div>
    <w:div w:id="974680705">
      <w:bodyDiv w:val="1"/>
      <w:marLeft w:val="0"/>
      <w:marRight w:val="0"/>
      <w:marTop w:val="0"/>
      <w:marBottom w:val="0"/>
      <w:divBdr>
        <w:top w:val="none" w:sz="0" w:space="0" w:color="auto"/>
        <w:left w:val="none" w:sz="0" w:space="0" w:color="auto"/>
        <w:bottom w:val="none" w:sz="0" w:space="0" w:color="auto"/>
        <w:right w:val="none" w:sz="0" w:space="0" w:color="auto"/>
      </w:divBdr>
    </w:div>
    <w:div w:id="981274106">
      <w:bodyDiv w:val="1"/>
      <w:marLeft w:val="0"/>
      <w:marRight w:val="0"/>
      <w:marTop w:val="0"/>
      <w:marBottom w:val="0"/>
      <w:divBdr>
        <w:top w:val="none" w:sz="0" w:space="0" w:color="auto"/>
        <w:left w:val="none" w:sz="0" w:space="0" w:color="auto"/>
        <w:bottom w:val="none" w:sz="0" w:space="0" w:color="auto"/>
        <w:right w:val="none" w:sz="0" w:space="0" w:color="auto"/>
      </w:divBdr>
    </w:div>
    <w:div w:id="1009257452">
      <w:bodyDiv w:val="1"/>
      <w:marLeft w:val="0"/>
      <w:marRight w:val="0"/>
      <w:marTop w:val="0"/>
      <w:marBottom w:val="0"/>
      <w:divBdr>
        <w:top w:val="none" w:sz="0" w:space="0" w:color="auto"/>
        <w:left w:val="none" w:sz="0" w:space="0" w:color="auto"/>
        <w:bottom w:val="none" w:sz="0" w:space="0" w:color="auto"/>
        <w:right w:val="none" w:sz="0" w:space="0" w:color="auto"/>
      </w:divBdr>
    </w:div>
    <w:div w:id="1061639584">
      <w:bodyDiv w:val="1"/>
      <w:marLeft w:val="0"/>
      <w:marRight w:val="0"/>
      <w:marTop w:val="0"/>
      <w:marBottom w:val="0"/>
      <w:divBdr>
        <w:top w:val="none" w:sz="0" w:space="0" w:color="auto"/>
        <w:left w:val="none" w:sz="0" w:space="0" w:color="auto"/>
        <w:bottom w:val="none" w:sz="0" w:space="0" w:color="auto"/>
        <w:right w:val="none" w:sz="0" w:space="0" w:color="auto"/>
      </w:divBdr>
    </w:div>
    <w:div w:id="1094548942">
      <w:bodyDiv w:val="1"/>
      <w:marLeft w:val="0"/>
      <w:marRight w:val="0"/>
      <w:marTop w:val="0"/>
      <w:marBottom w:val="0"/>
      <w:divBdr>
        <w:top w:val="none" w:sz="0" w:space="0" w:color="auto"/>
        <w:left w:val="none" w:sz="0" w:space="0" w:color="auto"/>
        <w:bottom w:val="none" w:sz="0" w:space="0" w:color="auto"/>
        <w:right w:val="none" w:sz="0" w:space="0" w:color="auto"/>
      </w:divBdr>
    </w:div>
    <w:div w:id="1144935169">
      <w:bodyDiv w:val="1"/>
      <w:marLeft w:val="0"/>
      <w:marRight w:val="0"/>
      <w:marTop w:val="0"/>
      <w:marBottom w:val="0"/>
      <w:divBdr>
        <w:top w:val="none" w:sz="0" w:space="0" w:color="auto"/>
        <w:left w:val="none" w:sz="0" w:space="0" w:color="auto"/>
        <w:bottom w:val="none" w:sz="0" w:space="0" w:color="auto"/>
        <w:right w:val="none" w:sz="0" w:space="0" w:color="auto"/>
      </w:divBdr>
    </w:div>
    <w:div w:id="1150055603">
      <w:bodyDiv w:val="1"/>
      <w:marLeft w:val="0"/>
      <w:marRight w:val="0"/>
      <w:marTop w:val="0"/>
      <w:marBottom w:val="0"/>
      <w:divBdr>
        <w:top w:val="none" w:sz="0" w:space="0" w:color="auto"/>
        <w:left w:val="none" w:sz="0" w:space="0" w:color="auto"/>
        <w:bottom w:val="none" w:sz="0" w:space="0" w:color="auto"/>
        <w:right w:val="none" w:sz="0" w:space="0" w:color="auto"/>
      </w:divBdr>
    </w:div>
    <w:div w:id="1169834316">
      <w:bodyDiv w:val="1"/>
      <w:marLeft w:val="0"/>
      <w:marRight w:val="0"/>
      <w:marTop w:val="0"/>
      <w:marBottom w:val="0"/>
      <w:divBdr>
        <w:top w:val="none" w:sz="0" w:space="0" w:color="auto"/>
        <w:left w:val="none" w:sz="0" w:space="0" w:color="auto"/>
        <w:bottom w:val="none" w:sz="0" w:space="0" w:color="auto"/>
        <w:right w:val="none" w:sz="0" w:space="0" w:color="auto"/>
      </w:divBdr>
    </w:div>
    <w:div w:id="1173036716">
      <w:bodyDiv w:val="1"/>
      <w:marLeft w:val="0"/>
      <w:marRight w:val="0"/>
      <w:marTop w:val="0"/>
      <w:marBottom w:val="0"/>
      <w:divBdr>
        <w:top w:val="none" w:sz="0" w:space="0" w:color="auto"/>
        <w:left w:val="none" w:sz="0" w:space="0" w:color="auto"/>
        <w:bottom w:val="none" w:sz="0" w:space="0" w:color="auto"/>
        <w:right w:val="none" w:sz="0" w:space="0" w:color="auto"/>
      </w:divBdr>
    </w:div>
    <w:div w:id="1189179827">
      <w:bodyDiv w:val="1"/>
      <w:marLeft w:val="0"/>
      <w:marRight w:val="0"/>
      <w:marTop w:val="0"/>
      <w:marBottom w:val="0"/>
      <w:divBdr>
        <w:top w:val="none" w:sz="0" w:space="0" w:color="auto"/>
        <w:left w:val="none" w:sz="0" w:space="0" w:color="auto"/>
        <w:bottom w:val="none" w:sz="0" w:space="0" w:color="auto"/>
        <w:right w:val="none" w:sz="0" w:space="0" w:color="auto"/>
      </w:divBdr>
    </w:div>
    <w:div w:id="1193375743">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88732524">
      <w:bodyDiv w:val="1"/>
      <w:marLeft w:val="0"/>
      <w:marRight w:val="0"/>
      <w:marTop w:val="0"/>
      <w:marBottom w:val="0"/>
      <w:divBdr>
        <w:top w:val="none" w:sz="0" w:space="0" w:color="auto"/>
        <w:left w:val="none" w:sz="0" w:space="0" w:color="auto"/>
        <w:bottom w:val="none" w:sz="0" w:space="0" w:color="auto"/>
        <w:right w:val="none" w:sz="0" w:space="0" w:color="auto"/>
      </w:divBdr>
    </w:div>
    <w:div w:id="1298490536">
      <w:bodyDiv w:val="1"/>
      <w:marLeft w:val="0"/>
      <w:marRight w:val="0"/>
      <w:marTop w:val="0"/>
      <w:marBottom w:val="0"/>
      <w:divBdr>
        <w:top w:val="none" w:sz="0" w:space="0" w:color="auto"/>
        <w:left w:val="none" w:sz="0" w:space="0" w:color="auto"/>
        <w:bottom w:val="none" w:sz="0" w:space="0" w:color="auto"/>
        <w:right w:val="none" w:sz="0" w:space="0" w:color="auto"/>
      </w:divBdr>
    </w:div>
    <w:div w:id="1301299133">
      <w:bodyDiv w:val="1"/>
      <w:marLeft w:val="0"/>
      <w:marRight w:val="0"/>
      <w:marTop w:val="0"/>
      <w:marBottom w:val="0"/>
      <w:divBdr>
        <w:top w:val="none" w:sz="0" w:space="0" w:color="auto"/>
        <w:left w:val="none" w:sz="0" w:space="0" w:color="auto"/>
        <w:bottom w:val="none" w:sz="0" w:space="0" w:color="auto"/>
        <w:right w:val="none" w:sz="0" w:space="0" w:color="auto"/>
      </w:divBdr>
    </w:div>
    <w:div w:id="1323702713">
      <w:bodyDiv w:val="1"/>
      <w:marLeft w:val="0"/>
      <w:marRight w:val="0"/>
      <w:marTop w:val="0"/>
      <w:marBottom w:val="0"/>
      <w:divBdr>
        <w:top w:val="none" w:sz="0" w:space="0" w:color="auto"/>
        <w:left w:val="none" w:sz="0" w:space="0" w:color="auto"/>
        <w:bottom w:val="none" w:sz="0" w:space="0" w:color="auto"/>
        <w:right w:val="none" w:sz="0" w:space="0" w:color="auto"/>
      </w:divBdr>
      <w:divsChild>
        <w:div w:id="145702814">
          <w:marLeft w:val="0"/>
          <w:marRight w:val="0"/>
          <w:marTop w:val="0"/>
          <w:marBottom w:val="0"/>
          <w:divBdr>
            <w:top w:val="none" w:sz="0" w:space="0" w:color="auto"/>
            <w:left w:val="none" w:sz="0" w:space="0" w:color="auto"/>
            <w:bottom w:val="none" w:sz="0" w:space="0" w:color="auto"/>
            <w:right w:val="none" w:sz="0" w:space="0" w:color="auto"/>
          </w:divBdr>
        </w:div>
        <w:div w:id="407309916">
          <w:marLeft w:val="0"/>
          <w:marRight w:val="0"/>
          <w:marTop w:val="0"/>
          <w:marBottom w:val="0"/>
          <w:divBdr>
            <w:top w:val="none" w:sz="0" w:space="0" w:color="auto"/>
            <w:left w:val="none" w:sz="0" w:space="0" w:color="auto"/>
            <w:bottom w:val="none" w:sz="0" w:space="0" w:color="auto"/>
            <w:right w:val="none" w:sz="0" w:space="0" w:color="auto"/>
          </w:divBdr>
        </w:div>
        <w:div w:id="859927235">
          <w:marLeft w:val="0"/>
          <w:marRight w:val="0"/>
          <w:marTop w:val="0"/>
          <w:marBottom w:val="0"/>
          <w:divBdr>
            <w:top w:val="none" w:sz="0" w:space="0" w:color="auto"/>
            <w:left w:val="none" w:sz="0" w:space="0" w:color="auto"/>
            <w:bottom w:val="none" w:sz="0" w:space="0" w:color="auto"/>
            <w:right w:val="none" w:sz="0" w:space="0" w:color="auto"/>
          </w:divBdr>
        </w:div>
        <w:div w:id="1207983020">
          <w:marLeft w:val="0"/>
          <w:marRight w:val="0"/>
          <w:marTop w:val="0"/>
          <w:marBottom w:val="0"/>
          <w:divBdr>
            <w:top w:val="none" w:sz="0" w:space="0" w:color="auto"/>
            <w:left w:val="none" w:sz="0" w:space="0" w:color="auto"/>
            <w:bottom w:val="none" w:sz="0" w:space="0" w:color="auto"/>
            <w:right w:val="none" w:sz="0" w:space="0" w:color="auto"/>
          </w:divBdr>
        </w:div>
        <w:div w:id="1806854967">
          <w:marLeft w:val="0"/>
          <w:marRight w:val="0"/>
          <w:marTop w:val="0"/>
          <w:marBottom w:val="0"/>
          <w:divBdr>
            <w:top w:val="none" w:sz="0" w:space="0" w:color="auto"/>
            <w:left w:val="none" w:sz="0" w:space="0" w:color="auto"/>
            <w:bottom w:val="none" w:sz="0" w:space="0" w:color="auto"/>
            <w:right w:val="none" w:sz="0" w:space="0" w:color="auto"/>
          </w:divBdr>
        </w:div>
      </w:divsChild>
    </w:div>
    <w:div w:id="1335112512">
      <w:bodyDiv w:val="1"/>
      <w:marLeft w:val="0"/>
      <w:marRight w:val="0"/>
      <w:marTop w:val="0"/>
      <w:marBottom w:val="0"/>
      <w:divBdr>
        <w:top w:val="none" w:sz="0" w:space="0" w:color="auto"/>
        <w:left w:val="none" w:sz="0" w:space="0" w:color="auto"/>
        <w:bottom w:val="none" w:sz="0" w:space="0" w:color="auto"/>
        <w:right w:val="none" w:sz="0" w:space="0" w:color="auto"/>
      </w:divBdr>
    </w:div>
    <w:div w:id="1350370090">
      <w:bodyDiv w:val="1"/>
      <w:marLeft w:val="0"/>
      <w:marRight w:val="0"/>
      <w:marTop w:val="0"/>
      <w:marBottom w:val="0"/>
      <w:divBdr>
        <w:top w:val="none" w:sz="0" w:space="0" w:color="auto"/>
        <w:left w:val="none" w:sz="0" w:space="0" w:color="auto"/>
        <w:bottom w:val="none" w:sz="0" w:space="0" w:color="auto"/>
        <w:right w:val="none" w:sz="0" w:space="0" w:color="auto"/>
      </w:divBdr>
    </w:div>
    <w:div w:id="1381782729">
      <w:bodyDiv w:val="1"/>
      <w:marLeft w:val="0"/>
      <w:marRight w:val="0"/>
      <w:marTop w:val="0"/>
      <w:marBottom w:val="0"/>
      <w:divBdr>
        <w:top w:val="none" w:sz="0" w:space="0" w:color="auto"/>
        <w:left w:val="none" w:sz="0" w:space="0" w:color="auto"/>
        <w:bottom w:val="none" w:sz="0" w:space="0" w:color="auto"/>
        <w:right w:val="none" w:sz="0" w:space="0" w:color="auto"/>
      </w:divBdr>
    </w:div>
    <w:div w:id="1411073449">
      <w:bodyDiv w:val="1"/>
      <w:marLeft w:val="0"/>
      <w:marRight w:val="0"/>
      <w:marTop w:val="0"/>
      <w:marBottom w:val="0"/>
      <w:divBdr>
        <w:top w:val="none" w:sz="0" w:space="0" w:color="auto"/>
        <w:left w:val="none" w:sz="0" w:space="0" w:color="auto"/>
        <w:bottom w:val="none" w:sz="0" w:space="0" w:color="auto"/>
        <w:right w:val="none" w:sz="0" w:space="0" w:color="auto"/>
      </w:divBdr>
    </w:div>
    <w:div w:id="1418938339">
      <w:bodyDiv w:val="1"/>
      <w:marLeft w:val="0"/>
      <w:marRight w:val="0"/>
      <w:marTop w:val="0"/>
      <w:marBottom w:val="0"/>
      <w:divBdr>
        <w:top w:val="none" w:sz="0" w:space="0" w:color="auto"/>
        <w:left w:val="none" w:sz="0" w:space="0" w:color="auto"/>
        <w:bottom w:val="none" w:sz="0" w:space="0" w:color="auto"/>
        <w:right w:val="none" w:sz="0" w:space="0" w:color="auto"/>
      </w:divBdr>
    </w:div>
    <w:div w:id="1422026283">
      <w:bodyDiv w:val="1"/>
      <w:marLeft w:val="0"/>
      <w:marRight w:val="0"/>
      <w:marTop w:val="0"/>
      <w:marBottom w:val="0"/>
      <w:divBdr>
        <w:top w:val="none" w:sz="0" w:space="0" w:color="auto"/>
        <w:left w:val="none" w:sz="0" w:space="0" w:color="auto"/>
        <w:bottom w:val="none" w:sz="0" w:space="0" w:color="auto"/>
        <w:right w:val="none" w:sz="0" w:space="0" w:color="auto"/>
      </w:divBdr>
      <w:divsChild>
        <w:div w:id="425152935">
          <w:marLeft w:val="0"/>
          <w:marRight w:val="0"/>
          <w:marTop w:val="0"/>
          <w:marBottom w:val="0"/>
          <w:divBdr>
            <w:top w:val="none" w:sz="0" w:space="0" w:color="auto"/>
            <w:left w:val="none" w:sz="0" w:space="0" w:color="auto"/>
            <w:bottom w:val="none" w:sz="0" w:space="0" w:color="auto"/>
            <w:right w:val="none" w:sz="0" w:space="0" w:color="auto"/>
          </w:divBdr>
        </w:div>
        <w:div w:id="427123298">
          <w:marLeft w:val="0"/>
          <w:marRight w:val="0"/>
          <w:marTop w:val="0"/>
          <w:marBottom w:val="0"/>
          <w:divBdr>
            <w:top w:val="none" w:sz="0" w:space="0" w:color="auto"/>
            <w:left w:val="none" w:sz="0" w:space="0" w:color="auto"/>
            <w:bottom w:val="none" w:sz="0" w:space="0" w:color="auto"/>
            <w:right w:val="none" w:sz="0" w:space="0" w:color="auto"/>
          </w:divBdr>
        </w:div>
        <w:div w:id="854879317">
          <w:marLeft w:val="0"/>
          <w:marRight w:val="0"/>
          <w:marTop w:val="0"/>
          <w:marBottom w:val="0"/>
          <w:divBdr>
            <w:top w:val="none" w:sz="0" w:space="0" w:color="auto"/>
            <w:left w:val="none" w:sz="0" w:space="0" w:color="auto"/>
            <w:bottom w:val="none" w:sz="0" w:space="0" w:color="auto"/>
            <w:right w:val="none" w:sz="0" w:space="0" w:color="auto"/>
          </w:divBdr>
        </w:div>
        <w:div w:id="1642539844">
          <w:marLeft w:val="0"/>
          <w:marRight w:val="0"/>
          <w:marTop w:val="0"/>
          <w:marBottom w:val="0"/>
          <w:divBdr>
            <w:top w:val="none" w:sz="0" w:space="0" w:color="auto"/>
            <w:left w:val="none" w:sz="0" w:space="0" w:color="auto"/>
            <w:bottom w:val="none" w:sz="0" w:space="0" w:color="auto"/>
            <w:right w:val="none" w:sz="0" w:space="0" w:color="auto"/>
          </w:divBdr>
        </w:div>
        <w:div w:id="1847942028">
          <w:marLeft w:val="0"/>
          <w:marRight w:val="0"/>
          <w:marTop w:val="0"/>
          <w:marBottom w:val="0"/>
          <w:divBdr>
            <w:top w:val="none" w:sz="0" w:space="0" w:color="auto"/>
            <w:left w:val="none" w:sz="0" w:space="0" w:color="auto"/>
            <w:bottom w:val="none" w:sz="0" w:space="0" w:color="auto"/>
            <w:right w:val="none" w:sz="0" w:space="0" w:color="auto"/>
          </w:divBdr>
        </w:div>
        <w:div w:id="1910535492">
          <w:marLeft w:val="0"/>
          <w:marRight w:val="0"/>
          <w:marTop w:val="0"/>
          <w:marBottom w:val="0"/>
          <w:divBdr>
            <w:top w:val="none" w:sz="0" w:space="0" w:color="auto"/>
            <w:left w:val="none" w:sz="0" w:space="0" w:color="auto"/>
            <w:bottom w:val="none" w:sz="0" w:space="0" w:color="auto"/>
            <w:right w:val="none" w:sz="0" w:space="0" w:color="auto"/>
          </w:divBdr>
        </w:div>
      </w:divsChild>
    </w:div>
    <w:div w:id="1430614597">
      <w:bodyDiv w:val="1"/>
      <w:marLeft w:val="0"/>
      <w:marRight w:val="0"/>
      <w:marTop w:val="0"/>
      <w:marBottom w:val="0"/>
      <w:divBdr>
        <w:top w:val="none" w:sz="0" w:space="0" w:color="auto"/>
        <w:left w:val="none" w:sz="0" w:space="0" w:color="auto"/>
        <w:bottom w:val="none" w:sz="0" w:space="0" w:color="auto"/>
        <w:right w:val="none" w:sz="0" w:space="0" w:color="auto"/>
      </w:divBdr>
    </w:div>
    <w:div w:id="1432044012">
      <w:bodyDiv w:val="1"/>
      <w:marLeft w:val="0"/>
      <w:marRight w:val="0"/>
      <w:marTop w:val="0"/>
      <w:marBottom w:val="0"/>
      <w:divBdr>
        <w:top w:val="none" w:sz="0" w:space="0" w:color="auto"/>
        <w:left w:val="none" w:sz="0" w:space="0" w:color="auto"/>
        <w:bottom w:val="none" w:sz="0" w:space="0" w:color="auto"/>
        <w:right w:val="none" w:sz="0" w:space="0" w:color="auto"/>
      </w:divBdr>
    </w:div>
    <w:div w:id="1441877316">
      <w:bodyDiv w:val="1"/>
      <w:marLeft w:val="0"/>
      <w:marRight w:val="0"/>
      <w:marTop w:val="0"/>
      <w:marBottom w:val="0"/>
      <w:divBdr>
        <w:top w:val="none" w:sz="0" w:space="0" w:color="auto"/>
        <w:left w:val="none" w:sz="0" w:space="0" w:color="auto"/>
        <w:bottom w:val="none" w:sz="0" w:space="0" w:color="auto"/>
        <w:right w:val="none" w:sz="0" w:space="0" w:color="auto"/>
      </w:divBdr>
    </w:div>
    <w:div w:id="1446998891">
      <w:bodyDiv w:val="1"/>
      <w:marLeft w:val="0"/>
      <w:marRight w:val="0"/>
      <w:marTop w:val="0"/>
      <w:marBottom w:val="0"/>
      <w:divBdr>
        <w:top w:val="none" w:sz="0" w:space="0" w:color="auto"/>
        <w:left w:val="none" w:sz="0" w:space="0" w:color="auto"/>
        <w:bottom w:val="none" w:sz="0" w:space="0" w:color="auto"/>
        <w:right w:val="none" w:sz="0" w:space="0" w:color="auto"/>
      </w:divBdr>
      <w:divsChild>
        <w:div w:id="1128933080">
          <w:marLeft w:val="0"/>
          <w:marRight w:val="0"/>
          <w:marTop w:val="0"/>
          <w:marBottom w:val="0"/>
          <w:divBdr>
            <w:top w:val="none" w:sz="0" w:space="0" w:color="auto"/>
            <w:left w:val="none" w:sz="0" w:space="0" w:color="auto"/>
            <w:bottom w:val="none" w:sz="0" w:space="0" w:color="auto"/>
            <w:right w:val="none" w:sz="0" w:space="0" w:color="auto"/>
          </w:divBdr>
        </w:div>
        <w:div w:id="1795948790">
          <w:marLeft w:val="0"/>
          <w:marRight w:val="0"/>
          <w:marTop w:val="0"/>
          <w:marBottom w:val="0"/>
          <w:divBdr>
            <w:top w:val="none" w:sz="0" w:space="0" w:color="auto"/>
            <w:left w:val="none" w:sz="0" w:space="0" w:color="auto"/>
            <w:bottom w:val="none" w:sz="0" w:space="0" w:color="auto"/>
            <w:right w:val="none" w:sz="0" w:space="0" w:color="auto"/>
          </w:divBdr>
          <w:divsChild>
            <w:div w:id="1219240355">
              <w:marLeft w:val="0"/>
              <w:marRight w:val="0"/>
              <w:marTop w:val="0"/>
              <w:marBottom w:val="0"/>
              <w:divBdr>
                <w:top w:val="none" w:sz="0" w:space="0" w:color="auto"/>
                <w:left w:val="none" w:sz="0" w:space="0" w:color="auto"/>
                <w:bottom w:val="none" w:sz="0" w:space="0" w:color="auto"/>
                <w:right w:val="none" w:sz="0" w:space="0" w:color="auto"/>
              </w:divBdr>
              <w:divsChild>
                <w:div w:id="1608466919">
                  <w:marLeft w:val="0"/>
                  <w:marRight w:val="0"/>
                  <w:marTop w:val="0"/>
                  <w:marBottom w:val="0"/>
                  <w:divBdr>
                    <w:top w:val="none" w:sz="0" w:space="0" w:color="auto"/>
                    <w:left w:val="none" w:sz="0" w:space="0" w:color="auto"/>
                    <w:bottom w:val="none" w:sz="0" w:space="0" w:color="auto"/>
                    <w:right w:val="none" w:sz="0" w:space="0" w:color="auto"/>
                  </w:divBdr>
                  <w:divsChild>
                    <w:div w:id="1069422693">
                      <w:marLeft w:val="0"/>
                      <w:marRight w:val="0"/>
                      <w:marTop w:val="0"/>
                      <w:marBottom w:val="0"/>
                      <w:divBdr>
                        <w:top w:val="none" w:sz="0" w:space="0" w:color="auto"/>
                        <w:left w:val="none" w:sz="0" w:space="0" w:color="auto"/>
                        <w:bottom w:val="none" w:sz="0" w:space="0" w:color="auto"/>
                        <w:right w:val="none" w:sz="0" w:space="0" w:color="auto"/>
                      </w:divBdr>
                      <w:divsChild>
                        <w:div w:id="1480922832">
                          <w:marLeft w:val="0"/>
                          <w:marRight w:val="0"/>
                          <w:marTop w:val="0"/>
                          <w:marBottom w:val="0"/>
                          <w:divBdr>
                            <w:top w:val="none" w:sz="0" w:space="0" w:color="auto"/>
                            <w:left w:val="none" w:sz="0" w:space="0" w:color="auto"/>
                            <w:bottom w:val="none" w:sz="0" w:space="0" w:color="auto"/>
                            <w:right w:val="none" w:sz="0" w:space="0" w:color="auto"/>
                          </w:divBdr>
                          <w:divsChild>
                            <w:div w:id="1130903184">
                              <w:marLeft w:val="0"/>
                              <w:marRight w:val="0"/>
                              <w:marTop w:val="0"/>
                              <w:marBottom w:val="0"/>
                              <w:divBdr>
                                <w:top w:val="none" w:sz="0" w:space="0" w:color="auto"/>
                                <w:left w:val="none" w:sz="0" w:space="0" w:color="auto"/>
                                <w:bottom w:val="none" w:sz="0" w:space="0" w:color="auto"/>
                                <w:right w:val="none" w:sz="0" w:space="0" w:color="auto"/>
                              </w:divBdr>
                              <w:divsChild>
                                <w:div w:id="1992832079">
                                  <w:marLeft w:val="0"/>
                                  <w:marRight w:val="0"/>
                                  <w:marTop w:val="0"/>
                                  <w:marBottom w:val="0"/>
                                  <w:divBdr>
                                    <w:top w:val="none" w:sz="0" w:space="0" w:color="auto"/>
                                    <w:left w:val="none" w:sz="0" w:space="0" w:color="auto"/>
                                    <w:bottom w:val="none" w:sz="0" w:space="0" w:color="auto"/>
                                    <w:right w:val="none" w:sz="0" w:space="0" w:color="auto"/>
                                  </w:divBdr>
                                  <w:divsChild>
                                    <w:div w:id="1144277594">
                                      <w:marLeft w:val="0"/>
                                      <w:marRight w:val="0"/>
                                      <w:marTop w:val="0"/>
                                      <w:marBottom w:val="0"/>
                                      <w:divBdr>
                                        <w:top w:val="none" w:sz="0" w:space="0" w:color="auto"/>
                                        <w:left w:val="none" w:sz="0" w:space="0" w:color="auto"/>
                                        <w:bottom w:val="none" w:sz="0" w:space="0" w:color="auto"/>
                                        <w:right w:val="none" w:sz="0" w:space="0" w:color="auto"/>
                                      </w:divBdr>
                                      <w:divsChild>
                                        <w:div w:id="11493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186905">
      <w:bodyDiv w:val="1"/>
      <w:marLeft w:val="0"/>
      <w:marRight w:val="0"/>
      <w:marTop w:val="0"/>
      <w:marBottom w:val="0"/>
      <w:divBdr>
        <w:top w:val="none" w:sz="0" w:space="0" w:color="auto"/>
        <w:left w:val="none" w:sz="0" w:space="0" w:color="auto"/>
        <w:bottom w:val="none" w:sz="0" w:space="0" w:color="auto"/>
        <w:right w:val="none" w:sz="0" w:space="0" w:color="auto"/>
      </w:divBdr>
    </w:div>
    <w:div w:id="1491368495">
      <w:bodyDiv w:val="1"/>
      <w:marLeft w:val="0"/>
      <w:marRight w:val="0"/>
      <w:marTop w:val="0"/>
      <w:marBottom w:val="0"/>
      <w:divBdr>
        <w:top w:val="none" w:sz="0" w:space="0" w:color="auto"/>
        <w:left w:val="none" w:sz="0" w:space="0" w:color="auto"/>
        <w:bottom w:val="none" w:sz="0" w:space="0" w:color="auto"/>
        <w:right w:val="none" w:sz="0" w:space="0" w:color="auto"/>
      </w:divBdr>
    </w:div>
    <w:div w:id="1495799384">
      <w:bodyDiv w:val="1"/>
      <w:marLeft w:val="0"/>
      <w:marRight w:val="0"/>
      <w:marTop w:val="0"/>
      <w:marBottom w:val="0"/>
      <w:divBdr>
        <w:top w:val="none" w:sz="0" w:space="0" w:color="auto"/>
        <w:left w:val="none" w:sz="0" w:space="0" w:color="auto"/>
        <w:bottom w:val="none" w:sz="0" w:space="0" w:color="auto"/>
        <w:right w:val="none" w:sz="0" w:space="0" w:color="auto"/>
      </w:divBdr>
    </w:div>
    <w:div w:id="1508400751">
      <w:bodyDiv w:val="1"/>
      <w:marLeft w:val="0"/>
      <w:marRight w:val="0"/>
      <w:marTop w:val="0"/>
      <w:marBottom w:val="0"/>
      <w:divBdr>
        <w:top w:val="none" w:sz="0" w:space="0" w:color="auto"/>
        <w:left w:val="none" w:sz="0" w:space="0" w:color="auto"/>
        <w:bottom w:val="none" w:sz="0" w:space="0" w:color="auto"/>
        <w:right w:val="none" w:sz="0" w:space="0" w:color="auto"/>
      </w:divBdr>
    </w:div>
    <w:div w:id="1509522620">
      <w:bodyDiv w:val="1"/>
      <w:marLeft w:val="0"/>
      <w:marRight w:val="0"/>
      <w:marTop w:val="0"/>
      <w:marBottom w:val="0"/>
      <w:divBdr>
        <w:top w:val="none" w:sz="0" w:space="0" w:color="auto"/>
        <w:left w:val="none" w:sz="0" w:space="0" w:color="auto"/>
        <w:bottom w:val="none" w:sz="0" w:space="0" w:color="auto"/>
        <w:right w:val="none" w:sz="0" w:space="0" w:color="auto"/>
      </w:divBdr>
    </w:div>
    <w:div w:id="1542017010">
      <w:bodyDiv w:val="1"/>
      <w:marLeft w:val="0"/>
      <w:marRight w:val="0"/>
      <w:marTop w:val="0"/>
      <w:marBottom w:val="0"/>
      <w:divBdr>
        <w:top w:val="none" w:sz="0" w:space="0" w:color="auto"/>
        <w:left w:val="none" w:sz="0" w:space="0" w:color="auto"/>
        <w:bottom w:val="none" w:sz="0" w:space="0" w:color="auto"/>
        <w:right w:val="none" w:sz="0" w:space="0" w:color="auto"/>
      </w:divBdr>
    </w:div>
    <w:div w:id="1579751508">
      <w:bodyDiv w:val="1"/>
      <w:marLeft w:val="0"/>
      <w:marRight w:val="0"/>
      <w:marTop w:val="0"/>
      <w:marBottom w:val="0"/>
      <w:divBdr>
        <w:top w:val="none" w:sz="0" w:space="0" w:color="auto"/>
        <w:left w:val="none" w:sz="0" w:space="0" w:color="auto"/>
        <w:bottom w:val="none" w:sz="0" w:space="0" w:color="auto"/>
        <w:right w:val="none" w:sz="0" w:space="0" w:color="auto"/>
      </w:divBdr>
    </w:div>
    <w:div w:id="1582175460">
      <w:bodyDiv w:val="1"/>
      <w:marLeft w:val="0"/>
      <w:marRight w:val="0"/>
      <w:marTop w:val="0"/>
      <w:marBottom w:val="0"/>
      <w:divBdr>
        <w:top w:val="none" w:sz="0" w:space="0" w:color="auto"/>
        <w:left w:val="none" w:sz="0" w:space="0" w:color="auto"/>
        <w:bottom w:val="none" w:sz="0" w:space="0" w:color="auto"/>
        <w:right w:val="none" w:sz="0" w:space="0" w:color="auto"/>
      </w:divBdr>
    </w:div>
    <w:div w:id="1588271151">
      <w:bodyDiv w:val="1"/>
      <w:marLeft w:val="0"/>
      <w:marRight w:val="0"/>
      <w:marTop w:val="0"/>
      <w:marBottom w:val="0"/>
      <w:divBdr>
        <w:top w:val="none" w:sz="0" w:space="0" w:color="auto"/>
        <w:left w:val="none" w:sz="0" w:space="0" w:color="auto"/>
        <w:bottom w:val="none" w:sz="0" w:space="0" w:color="auto"/>
        <w:right w:val="none" w:sz="0" w:space="0" w:color="auto"/>
      </w:divBdr>
    </w:div>
    <w:div w:id="1604530015">
      <w:bodyDiv w:val="1"/>
      <w:marLeft w:val="0"/>
      <w:marRight w:val="0"/>
      <w:marTop w:val="0"/>
      <w:marBottom w:val="0"/>
      <w:divBdr>
        <w:top w:val="none" w:sz="0" w:space="0" w:color="auto"/>
        <w:left w:val="none" w:sz="0" w:space="0" w:color="auto"/>
        <w:bottom w:val="none" w:sz="0" w:space="0" w:color="auto"/>
        <w:right w:val="none" w:sz="0" w:space="0" w:color="auto"/>
      </w:divBdr>
    </w:div>
    <w:div w:id="1631128821">
      <w:bodyDiv w:val="1"/>
      <w:marLeft w:val="0"/>
      <w:marRight w:val="0"/>
      <w:marTop w:val="0"/>
      <w:marBottom w:val="0"/>
      <w:divBdr>
        <w:top w:val="none" w:sz="0" w:space="0" w:color="auto"/>
        <w:left w:val="none" w:sz="0" w:space="0" w:color="auto"/>
        <w:bottom w:val="none" w:sz="0" w:space="0" w:color="auto"/>
        <w:right w:val="none" w:sz="0" w:space="0" w:color="auto"/>
      </w:divBdr>
    </w:div>
    <w:div w:id="1653948896">
      <w:bodyDiv w:val="1"/>
      <w:marLeft w:val="0"/>
      <w:marRight w:val="0"/>
      <w:marTop w:val="0"/>
      <w:marBottom w:val="0"/>
      <w:divBdr>
        <w:top w:val="none" w:sz="0" w:space="0" w:color="auto"/>
        <w:left w:val="none" w:sz="0" w:space="0" w:color="auto"/>
        <w:bottom w:val="none" w:sz="0" w:space="0" w:color="auto"/>
        <w:right w:val="none" w:sz="0" w:space="0" w:color="auto"/>
      </w:divBdr>
    </w:div>
    <w:div w:id="1673413275">
      <w:bodyDiv w:val="1"/>
      <w:marLeft w:val="0"/>
      <w:marRight w:val="0"/>
      <w:marTop w:val="0"/>
      <w:marBottom w:val="0"/>
      <w:divBdr>
        <w:top w:val="none" w:sz="0" w:space="0" w:color="auto"/>
        <w:left w:val="none" w:sz="0" w:space="0" w:color="auto"/>
        <w:bottom w:val="none" w:sz="0" w:space="0" w:color="auto"/>
        <w:right w:val="none" w:sz="0" w:space="0" w:color="auto"/>
      </w:divBdr>
    </w:div>
    <w:div w:id="1697390897">
      <w:bodyDiv w:val="1"/>
      <w:marLeft w:val="0"/>
      <w:marRight w:val="0"/>
      <w:marTop w:val="0"/>
      <w:marBottom w:val="0"/>
      <w:divBdr>
        <w:top w:val="none" w:sz="0" w:space="0" w:color="auto"/>
        <w:left w:val="none" w:sz="0" w:space="0" w:color="auto"/>
        <w:bottom w:val="none" w:sz="0" w:space="0" w:color="auto"/>
        <w:right w:val="none" w:sz="0" w:space="0" w:color="auto"/>
      </w:divBdr>
    </w:div>
    <w:div w:id="1712994386">
      <w:bodyDiv w:val="1"/>
      <w:marLeft w:val="0"/>
      <w:marRight w:val="0"/>
      <w:marTop w:val="0"/>
      <w:marBottom w:val="0"/>
      <w:divBdr>
        <w:top w:val="none" w:sz="0" w:space="0" w:color="auto"/>
        <w:left w:val="none" w:sz="0" w:space="0" w:color="auto"/>
        <w:bottom w:val="none" w:sz="0" w:space="0" w:color="auto"/>
        <w:right w:val="none" w:sz="0" w:space="0" w:color="auto"/>
      </w:divBdr>
    </w:div>
    <w:div w:id="1717194204">
      <w:bodyDiv w:val="1"/>
      <w:marLeft w:val="0"/>
      <w:marRight w:val="0"/>
      <w:marTop w:val="0"/>
      <w:marBottom w:val="0"/>
      <w:divBdr>
        <w:top w:val="none" w:sz="0" w:space="0" w:color="auto"/>
        <w:left w:val="none" w:sz="0" w:space="0" w:color="auto"/>
        <w:bottom w:val="none" w:sz="0" w:space="0" w:color="auto"/>
        <w:right w:val="none" w:sz="0" w:space="0" w:color="auto"/>
      </w:divBdr>
    </w:div>
    <w:div w:id="1751270661">
      <w:bodyDiv w:val="1"/>
      <w:marLeft w:val="0"/>
      <w:marRight w:val="0"/>
      <w:marTop w:val="0"/>
      <w:marBottom w:val="0"/>
      <w:divBdr>
        <w:top w:val="none" w:sz="0" w:space="0" w:color="auto"/>
        <w:left w:val="none" w:sz="0" w:space="0" w:color="auto"/>
        <w:bottom w:val="none" w:sz="0" w:space="0" w:color="auto"/>
        <w:right w:val="none" w:sz="0" w:space="0" w:color="auto"/>
      </w:divBdr>
    </w:div>
    <w:div w:id="1761216314">
      <w:bodyDiv w:val="1"/>
      <w:marLeft w:val="0"/>
      <w:marRight w:val="0"/>
      <w:marTop w:val="0"/>
      <w:marBottom w:val="0"/>
      <w:divBdr>
        <w:top w:val="none" w:sz="0" w:space="0" w:color="auto"/>
        <w:left w:val="none" w:sz="0" w:space="0" w:color="auto"/>
        <w:bottom w:val="none" w:sz="0" w:space="0" w:color="auto"/>
        <w:right w:val="none" w:sz="0" w:space="0" w:color="auto"/>
      </w:divBdr>
    </w:div>
    <w:div w:id="1767457805">
      <w:bodyDiv w:val="1"/>
      <w:marLeft w:val="0"/>
      <w:marRight w:val="0"/>
      <w:marTop w:val="0"/>
      <w:marBottom w:val="0"/>
      <w:divBdr>
        <w:top w:val="none" w:sz="0" w:space="0" w:color="auto"/>
        <w:left w:val="none" w:sz="0" w:space="0" w:color="auto"/>
        <w:bottom w:val="none" w:sz="0" w:space="0" w:color="auto"/>
        <w:right w:val="none" w:sz="0" w:space="0" w:color="auto"/>
      </w:divBdr>
    </w:div>
    <w:div w:id="1789278215">
      <w:bodyDiv w:val="1"/>
      <w:marLeft w:val="0"/>
      <w:marRight w:val="0"/>
      <w:marTop w:val="0"/>
      <w:marBottom w:val="0"/>
      <w:divBdr>
        <w:top w:val="none" w:sz="0" w:space="0" w:color="auto"/>
        <w:left w:val="none" w:sz="0" w:space="0" w:color="auto"/>
        <w:bottom w:val="none" w:sz="0" w:space="0" w:color="auto"/>
        <w:right w:val="none" w:sz="0" w:space="0" w:color="auto"/>
      </w:divBdr>
    </w:div>
    <w:div w:id="1791432560">
      <w:bodyDiv w:val="1"/>
      <w:marLeft w:val="0"/>
      <w:marRight w:val="0"/>
      <w:marTop w:val="0"/>
      <w:marBottom w:val="0"/>
      <w:divBdr>
        <w:top w:val="none" w:sz="0" w:space="0" w:color="auto"/>
        <w:left w:val="none" w:sz="0" w:space="0" w:color="auto"/>
        <w:bottom w:val="none" w:sz="0" w:space="0" w:color="auto"/>
        <w:right w:val="none" w:sz="0" w:space="0" w:color="auto"/>
      </w:divBdr>
    </w:div>
    <w:div w:id="1835803235">
      <w:bodyDiv w:val="1"/>
      <w:marLeft w:val="0"/>
      <w:marRight w:val="0"/>
      <w:marTop w:val="0"/>
      <w:marBottom w:val="0"/>
      <w:divBdr>
        <w:top w:val="none" w:sz="0" w:space="0" w:color="auto"/>
        <w:left w:val="none" w:sz="0" w:space="0" w:color="auto"/>
        <w:bottom w:val="none" w:sz="0" w:space="0" w:color="auto"/>
        <w:right w:val="none" w:sz="0" w:space="0" w:color="auto"/>
      </w:divBdr>
    </w:div>
    <w:div w:id="1878618063">
      <w:bodyDiv w:val="1"/>
      <w:marLeft w:val="0"/>
      <w:marRight w:val="0"/>
      <w:marTop w:val="0"/>
      <w:marBottom w:val="0"/>
      <w:divBdr>
        <w:top w:val="none" w:sz="0" w:space="0" w:color="auto"/>
        <w:left w:val="none" w:sz="0" w:space="0" w:color="auto"/>
        <w:bottom w:val="none" w:sz="0" w:space="0" w:color="auto"/>
        <w:right w:val="none" w:sz="0" w:space="0" w:color="auto"/>
      </w:divBdr>
    </w:div>
    <w:div w:id="1892645640">
      <w:bodyDiv w:val="1"/>
      <w:marLeft w:val="0"/>
      <w:marRight w:val="0"/>
      <w:marTop w:val="0"/>
      <w:marBottom w:val="0"/>
      <w:divBdr>
        <w:top w:val="none" w:sz="0" w:space="0" w:color="auto"/>
        <w:left w:val="none" w:sz="0" w:space="0" w:color="auto"/>
        <w:bottom w:val="none" w:sz="0" w:space="0" w:color="auto"/>
        <w:right w:val="none" w:sz="0" w:space="0" w:color="auto"/>
      </w:divBdr>
      <w:divsChild>
        <w:div w:id="489753401">
          <w:marLeft w:val="0"/>
          <w:marRight w:val="0"/>
          <w:marTop w:val="0"/>
          <w:marBottom w:val="0"/>
          <w:divBdr>
            <w:top w:val="none" w:sz="0" w:space="0" w:color="auto"/>
            <w:left w:val="none" w:sz="0" w:space="0" w:color="auto"/>
            <w:bottom w:val="none" w:sz="0" w:space="0" w:color="auto"/>
            <w:right w:val="none" w:sz="0" w:space="0" w:color="auto"/>
          </w:divBdr>
        </w:div>
        <w:div w:id="491651830">
          <w:marLeft w:val="0"/>
          <w:marRight w:val="0"/>
          <w:marTop w:val="0"/>
          <w:marBottom w:val="0"/>
          <w:divBdr>
            <w:top w:val="none" w:sz="0" w:space="0" w:color="auto"/>
            <w:left w:val="none" w:sz="0" w:space="0" w:color="auto"/>
            <w:bottom w:val="none" w:sz="0" w:space="0" w:color="auto"/>
            <w:right w:val="none" w:sz="0" w:space="0" w:color="auto"/>
          </w:divBdr>
        </w:div>
        <w:div w:id="603728768">
          <w:marLeft w:val="0"/>
          <w:marRight w:val="0"/>
          <w:marTop w:val="0"/>
          <w:marBottom w:val="0"/>
          <w:divBdr>
            <w:top w:val="none" w:sz="0" w:space="0" w:color="auto"/>
            <w:left w:val="none" w:sz="0" w:space="0" w:color="auto"/>
            <w:bottom w:val="none" w:sz="0" w:space="0" w:color="auto"/>
            <w:right w:val="none" w:sz="0" w:space="0" w:color="auto"/>
          </w:divBdr>
        </w:div>
        <w:div w:id="867373614">
          <w:marLeft w:val="0"/>
          <w:marRight w:val="0"/>
          <w:marTop w:val="0"/>
          <w:marBottom w:val="0"/>
          <w:divBdr>
            <w:top w:val="none" w:sz="0" w:space="0" w:color="auto"/>
            <w:left w:val="none" w:sz="0" w:space="0" w:color="auto"/>
            <w:bottom w:val="none" w:sz="0" w:space="0" w:color="auto"/>
            <w:right w:val="none" w:sz="0" w:space="0" w:color="auto"/>
          </w:divBdr>
        </w:div>
        <w:div w:id="1592852665">
          <w:marLeft w:val="0"/>
          <w:marRight w:val="0"/>
          <w:marTop w:val="0"/>
          <w:marBottom w:val="0"/>
          <w:divBdr>
            <w:top w:val="none" w:sz="0" w:space="0" w:color="auto"/>
            <w:left w:val="none" w:sz="0" w:space="0" w:color="auto"/>
            <w:bottom w:val="none" w:sz="0" w:space="0" w:color="auto"/>
            <w:right w:val="none" w:sz="0" w:space="0" w:color="auto"/>
          </w:divBdr>
        </w:div>
      </w:divsChild>
    </w:div>
    <w:div w:id="1894778095">
      <w:bodyDiv w:val="1"/>
      <w:marLeft w:val="0"/>
      <w:marRight w:val="0"/>
      <w:marTop w:val="0"/>
      <w:marBottom w:val="0"/>
      <w:divBdr>
        <w:top w:val="none" w:sz="0" w:space="0" w:color="auto"/>
        <w:left w:val="none" w:sz="0" w:space="0" w:color="auto"/>
        <w:bottom w:val="none" w:sz="0" w:space="0" w:color="auto"/>
        <w:right w:val="none" w:sz="0" w:space="0" w:color="auto"/>
      </w:divBdr>
    </w:div>
    <w:div w:id="1918325348">
      <w:bodyDiv w:val="1"/>
      <w:marLeft w:val="0"/>
      <w:marRight w:val="0"/>
      <w:marTop w:val="0"/>
      <w:marBottom w:val="0"/>
      <w:divBdr>
        <w:top w:val="none" w:sz="0" w:space="0" w:color="auto"/>
        <w:left w:val="none" w:sz="0" w:space="0" w:color="auto"/>
        <w:bottom w:val="none" w:sz="0" w:space="0" w:color="auto"/>
        <w:right w:val="none" w:sz="0" w:space="0" w:color="auto"/>
      </w:divBdr>
    </w:div>
    <w:div w:id="1939874459">
      <w:bodyDiv w:val="1"/>
      <w:marLeft w:val="0"/>
      <w:marRight w:val="0"/>
      <w:marTop w:val="0"/>
      <w:marBottom w:val="0"/>
      <w:divBdr>
        <w:top w:val="none" w:sz="0" w:space="0" w:color="auto"/>
        <w:left w:val="none" w:sz="0" w:space="0" w:color="auto"/>
        <w:bottom w:val="none" w:sz="0" w:space="0" w:color="auto"/>
        <w:right w:val="none" w:sz="0" w:space="0" w:color="auto"/>
      </w:divBdr>
    </w:div>
    <w:div w:id="1952273494">
      <w:bodyDiv w:val="1"/>
      <w:marLeft w:val="0"/>
      <w:marRight w:val="0"/>
      <w:marTop w:val="0"/>
      <w:marBottom w:val="0"/>
      <w:divBdr>
        <w:top w:val="none" w:sz="0" w:space="0" w:color="auto"/>
        <w:left w:val="none" w:sz="0" w:space="0" w:color="auto"/>
        <w:bottom w:val="none" w:sz="0" w:space="0" w:color="auto"/>
        <w:right w:val="none" w:sz="0" w:space="0" w:color="auto"/>
      </w:divBdr>
    </w:div>
    <w:div w:id="2004702457">
      <w:bodyDiv w:val="1"/>
      <w:marLeft w:val="0"/>
      <w:marRight w:val="0"/>
      <w:marTop w:val="0"/>
      <w:marBottom w:val="0"/>
      <w:divBdr>
        <w:top w:val="none" w:sz="0" w:space="0" w:color="auto"/>
        <w:left w:val="none" w:sz="0" w:space="0" w:color="auto"/>
        <w:bottom w:val="none" w:sz="0" w:space="0" w:color="auto"/>
        <w:right w:val="none" w:sz="0" w:space="0" w:color="auto"/>
      </w:divBdr>
    </w:div>
    <w:div w:id="2008052751">
      <w:bodyDiv w:val="1"/>
      <w:marLeft w:val="0"/>
      <w:marRight w:val="0"/>
      <w:marTop w:val="0"/>
      <w:marBottom w:val="0"/>
      <w:divBdr>
        <w:top w:val="none" w:sz="0" w:space="0" w:color="auto"/>
        <w:left w:val="none" w:sz="0" w:space="0" w:color="auto"/>
        <w:bottom w:val="none" w:sz="0" w:space="0" w:color="auto"/>
        <w:right w:val="none" w:sz="0" w:space="0" w:color="auto"/>
      </w:divBdr>
    </w:div>
    <w:div w:id="2015381005">
      <w:bodyDiv w:val="1"/>
      <w:marLeft w:val="0"/>
      <w:marRight w:val="0"/>
      <w:marTop w:val="0"/>
      <w:marBottom w:val="0"/>
      <w:divBdr>
        <w:top w:val="none" w:sz="0" w:space="0" w:color="auto"/>
        <w:left w:val="none" w:sz="0" w:space="0" w:color="auto"/>
        <w:bottom w:val="none" w:sz="0" w:space="0" w:color="auto"/>
        <w:right w:val="none" w:sz="0" w:space="0" w:color="auto"/>
      </w:divBdr>
    </w:div>
    <w:div w:id="2023779213">
      <w:bodyDiv w:val="1"/>
      <w:marLeft w:val="0"/>
      <w:marRight w:val="0"/>
      <w:marTop w:val="0"/>
      <w:marBottom w:val="0"/>
      <w:divBdr>
        <w:top w:val="none" w:sz="0" w:space="0" w:color="auto"/>
        <w:left w:val="none" w:sz="0" w:space="0" w:color="auto"/>
        <w:bottom w:val="none" w:sz="0" w:space="0" w:color="auto"/>
        <w:right w:val="none" w:sz="0" w:space="0" w:color="auto"/>
      </w:divBdr>
      <w:divsChild>
        <w:div w:id="65763902">
          <w:marLeft w:val="0"/>
          <w:marRight w:val="0"/>
          <w:marTop w:val="0"/>
          <w:marBottom w:val="0"/>
          <w:divBdr>
            <w:top w:val="none" w:sz="0" w:space="0" w:color="auto"/>
            <w:left w:val="none" w:sz="0" w:space="0" w:color="auto"/>
            <w:bottom w:val="none" w:sz="0" w:space="0" w:color="auto"/>
            <w:right w:val="none" w:sz="0" w:space="0" w:color="auto"/>
          </w:divBdr>
        </w:div>
        <w:div w:id="196898327">
          <w:marLeft w:val="0"/>
          <w:marRight w:val="0"/>
          <w:marTop w:val="0"/>
          <w:marBottom w:val="0"/>
          <w:divBdr>
            <w:top w:val="none" w:sz="0" w:space="0" w:color="auto"/>
            <w:left w:val="none" w:sz="0" w:space="0" w:color="auto"/>
            <w:bottom w:val="none" w:sz="0" w:space="0" w:color="auto"/>
            <w:right w:val="none" w:sz="0" w:space="0" w:color="auto"/>
          </w:divBdr>
        </w:div>
        <w:div w:id="932980155">
          <w:marLeft w:val="0"/>
          <w:marRight w:val="0"/>
          <w:marTop w:val="0"/>
          <w:marBottom w:val="0"/>
          <w:divBdr>
            <w:top w:val="none" w:sz="0" w:space="0" w:color="auto"/>
            <w:left w:val="none" w:sz="0" w:space="0" w:color="auto"/>
            <w:bottom w:val="none" w:sz="0" w:space="0" w:color="auto"/>
            <w:right w:val="none" w:sz="0" w:space="0" w:color="auto"/>
          </w:divBdr>
        </w:div>
      </w:divsChild>
    </w:div>
    <w:div w:id="2064866130">
      <w:bodyDiv w:val="1"/>
      <w:marLeft w:val="0"/>
      <w:marRight w:val="0"/>
      <w:marTop w:val="0"/>
      <w:marBottom w:val="0"/>
      <w:divBdr>
        <w:top w:val="none" w:sz="0" w:space="0" w:color="auto"/>
        <w:left w:val="none" w:sz="0" w:space="0" w:color="auto"/>
        <w:bottom w:val="none" w:sz="0" w:space="0" w:color="auto"/>
        <w:right w:val="none" w:sz="0" w:space="0" w:color="auto"/>
      </w:divBdr>
    </w:div>
    <w:div w:id="2068414025">
      <w:bodyDiv w:val="1"/>
      <w:marLeft w:val="0"/>
      <w:marRight w:val="0"/>
      <w:marTop w:val="0"/>
      <w:marBottom w:val="0"/>
      <w:divBdr>
        <w:top w:val="none" w:sz="0" w:space="0" w:color="auto"/>
        <w:left w:val="none" w:sz="0" w:space="0" w:color="auto"/>
        <w:bottom w:val="none" w:sz="0" w:space="0" w:color="auto"/>
        <w:right w:val="none" w:sz="0" w:space="0" w:color="auto"/>
      </w:divBdr>
    </w:div>
    <w:div w:id="2076049574">
      <w:bodyDiv w:val="1"/>
      <w:marLeft w:val="0"/>
      <w:marRight w:val="0"/>
      <w:marTop w:val="0"/>
      <w:marBottom w:val="0"/>
      <w:divBdr>
        <w:top w:val="none" w:sz="0" w:space="0" w:color="auto"/>
        <w:left w:val="none" w:sz="0" w:space="0" w:color="auto"/>
        <w:bottom w:val="none" w:sz="0" w:space="0" w:color="auto"/>
        <w:right w:val="none" w:sz="0" w:space="0" w:color="auto"/>
      </w:divBdr>
    </w:div>
    <w:div w:id="2089036871">
      <w:bodyDiv w:val="1"/>
      <w:marLeft w:val="0"/>
      <w:marRight w:val="0"/>
      <w:marTop w:val="0"/>
      <w:marBottom w:val="0"/>
      <w:divBdr>
        <w:top w:val="none" w:sz="0" w:space="0" w:color="auto"/>
        <w:left w:val="none" w:sz="0" w:space="0" w:color="auto"/>
        <w:bottom w:val="none" w:sz="0" w:space="0" w:color="auto"/>
        <w:right w:val="none" w:sz="0" w:space="0" w:color="auto"/>
      </w:divBdr>
    </w:div>
    <w:div w:id="2127920713">
      <w:bodyDiv w:val="1"/>
      <w:marLeft w:val="0"/>
      <w:marRight w:val="0"/>
      <w:marTop w:val="0"/>
      <w:marBottom w:val="0"/>
      <w:divBdr>
        <w:top w:val="none" w:sz="0" w:space="0" w:color="auto"/>
        <w:left w:val="none" w:sz="0" w:space="0" w:color="auto"/>
        <w:bottom w:val="none" w:sz="0" w:space="0" w:color="auto"/>
        <w:right w:val="none" w:sz="0" w:space="0" w:color="auto"/>
      </w:divBdr>
    </w:div>
    <w:div w:id="2128817188">
      <w:bodyDiv w:val="1"/>
      <w:marLeft w:val="0"/>
      <w:marRight w:val="0"/>
      <w:marTop w:val="0"/>
      <w:marBottom w:val="0"/>
      <w:divBdr>
        <w:top w:val="none" w:sz="0" w:space="0" w:color="auto"/>
        <w:left w:val="none" w:sz="0" w:space="0" w:color="auto"/>
        <w:bottom w:val="none" w:sz="0" w:space="0" w:color="auto"/>
        <w:right w:val="none" w:sz="0" w:space="0" w:color="auto"/>
      </w:divBdr>
    </w:div>
    <w:div w:id="2130663691">
      <w:bodyDiv w:val="1"/>
      <w:marLeft w:val="0"/>
      <w:marRight w:val="0"/>
      <w:marTop w:val="0"/>
      <w:marBottom w:val="0"/>
      <w:divBdr>
        <w:top w:val="none" w:sz="0" w:space="0" w:color="auto"/>
        <w:left w:val="none" w:sz="0" w:space="0" w:color="auto"/>
        <w:bottom w:val="none" w:sz="0" w:space="0" w:color="auto"/>
        <w:right w:val="none" w:sz="0" w:space="0" w:color="auto"/>
      </w:divBdr>
    </w:div>
    <w:div w:id="21435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ational-partnerships.ec.europa.eu/knowledge-hub/communicating-and-raising-eu-visibility-guidance-external-actions_e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hdr.undp.org/en/composite/HDI" TargetMode="External"/><Relationship Id="rId3" Type="http://schemas.openxmlformats.org/officeDocument/2006/relationships/hyperlink" Target="https://scalingupnutrition.org/wp-content/uploads/2020/12/OECD_PolicyMarkerNutrition.pdf" TargetMode="External"/><Relationship Id="rId7" Type="http://schemas.openxmlformats.org/officeDocument/2006/relationships/hyperlink" Target="https://eige.europa.eu/north-macedonia" TargetMode="External"/><Relationship Id="rId2" Type="http://schemas.openxmlformats.org/officeDocument/2006/relationships/hyperlink" Target="https://www.oecd.org/development/financing-sustainable-development/development-finance-standards/" TargetMode="External"/><Relationship Id="rId1" Type="http://schemas.openxmlformats.org/officeDocument/2006/relationships/hyperlink" Target="https://www.oecd.org/development/financing-sustainable-development/development-finance-standards/dacandcrscodelists.htm" TargetMode="External"/><Relationship Id="rId6" Type="http://schemas.openxmlformats.org/officeDocument/2006/relationships/hyperlink" Target="https://ec.europa.eu/eurostat/databrowser/view/tespm010/default/table?lang=en" TargetMode="External"/><Relationship Id="rId11" Type="http://schemas.openxmlformats.org/officeDocument/2006/relationships/hyperlink" Target="https://webgate.ec.europa.eu/fpfis/wikis/display/PCM/Concept+of+intervention" TargetMode="External"/><Relationship Id="rId5" Type="http://schemas.openxmlformats.org/officeDocument/2006/relationships/hyperlink" Target="https://www.slvesnik.com.mk/Issues/e19ef6763a344beeaddf059157344512.pdf" TargetMode="External"/><Relationship Id="rId10" Type="http://schemas.openxmlformats.org/officeDocument/2006/relationships/hyperlink" Target="https://europa.eu/capacity4dev/evaluation_guidelines/wiki/disseminating-evaluations" TargetMode="External"/><Relationship Id="rId4" Type="http://schemas.openxmlformats.org/officeDocument/2006/relationships/hyperlink" Target="https://mtsp.gov.mk/content/pdf/2021/1a28a922f364401e94935d4d694b9d75.pdf" TargetMode="External"/><Relationship Id="rId9"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EA78-A4CF-4C8D-ACBA-31201BB3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10787</Words>
  <Characters>61489</Characters>
  <Application>Microsoft Office Word</Application>
  <DocSecurity>0</DocSecurity>
  <Lines>512</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2023-04-02T18:25:00Z</dcterms:created>
  <dcterms:modified xsi:type="dcterms:W3CDTF">2023-04-02T18:37:00Z</dcterms:modified>
</cp:coreProperties>
</file>