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1B569" w14:textId="77777777" w:rsidR="00D92F6C" w:rsidRPr="000F3006" w:rsidRDefault="00B10991" w:rsidP="00A40EC1">
      <w:pPr>
        <w:pStyle w:val="Heading2"/>
        <w:rPr>
          <w:rFonts w:ascii="Times New Roman" w:hAnsi="Times New Roman"/>
          <w:b w:val="0"/>
          <w:bCs w:val="0"/>
          <w:smallCaps/>
          <w:color w:val="auto"/>
          <w:sz w:val="32"/>
          <w:szCs w:val="24"/>
          <w:lang w:val="it-IT"/>
        </w:rPr>
      </w:pPr>
      <w:bookmarkStart w:id="0" w:name="_Toc33714665"/>
      <w:r w:rsidRPr="000F3006">
        <w:rPr>
          <w:rFonts w:ascii="Times New Roman" w:hAnsi="Times New Roman"/>
          <w:smallCaps/>
          <w:color w:val="auto"/>
          <w:sz w:val="32"/>
          <w:szCs w:val="24"/>
          <w:lang w:val="it-IT"/>
        </w:rPr>
        <w:t xml:space="preserve">ANNEX I –IPA III </w:t>
      </w:r>
      <w:r w:rsidR="00D92F6C" w:rsidRPr="000F3006">
        <w:rPr>
          <w:rFonts w:ascii="Times New Roman" w:hAnsi="Times New Roman"/>
          <w:smallCaps/>
          <w:color w:val="auto"/>
          <w:sz w:val="32"/>
          <w:szCs w:val="24"/>
          <w:lang w:val="it-IT"/>
        </w:rPr>
        <w:t>A</w:t>
      </w:r>
      <w:r w:rsidRPr="000F3006">
        <w:rPr>
          <w:rFonts w:ascii="Times New Roman" w:hAnsi="Times New Roman"/>
          <w:smallCaps/>
          <w:color w:val="auto"/>
          <w:sz w:val="32"/>
          <w:szCs w:val="24"/>
          <w:lang w:val="it-IT"/>
        </w:rPr>
        <w:t xml:space="preserve">ction Fiche </w:t>
      </w:r>
      <w:bookmarkEnd w:id="0"/>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55"/>
        <w:gridCol w:w="7342"/>
      </w:tblGrid>
      <w:tr w:rsidR="000F3006" w:rsidRPr="000F3006" w14:paraId="14230F43" w14:textId="77777777" w:rsidTr="00992D7A">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4AA93F9B" w14:textId="77777777" w:rsidR="00D92F6C" w:rsidRPr="000F3006" w:rsidRDefault="00D92F6C" w:rsidP="004C6FFC">
            <w:pPr>
              <w:spacing w:after="0" w:line="240" w:lineRule="auto"/>
              <w:jc w:val="center"/>
              <w:rPr>
                <w:rFonts w:ascii="Times New Roman" w:hAnsi="Times New Roman"/>
                <w:b/>
                <w:sz w:val="20"/>
                <w:szCs w:val="20"/>
                <w:lang w:val="it-IT"/>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9F9FB91" w14:textId="77777777" w:rsidR="00D92F6C" w:rsidRPr="000F3006" w:rsidRDefault="00D92F6C" w:rsidP="00935D04">
            <w:pPr>
              <w:spacing w:after="0" w:line="240" w:lineRule="auto"/>
              <w:rPr>
                <w:rFonts w:ascii="Times New Roman" w:hAnsi="Times New Roman"/>
              </w:rPr>
            </w:pPr>
            <w:r w:rsidRPr="000F3006">
              <w:rPr>
                <w:rFonts w:ascii="Times New Roman" w:hAnsi="Times New Roman"/>
              </w:rPr>
              <w:t>Indicative title of the Action</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6634D6D8" w14:textId="702AAB93" w:rsidR="00012297" w:rsidRPr="000F3006" w:rsidRDefault="00935D04" w:rsidP="000B7906">
            <w:pPr>
              <w:spacing w:after="0" w:line="240" w:lineRule="auto"/>
              <w:jc w:val="center"/>
              <w:rPr>
                <w:rFonts w:ascii="Times New Roman" w:hAnsi="Times New Roman"/>
                <w:b/>
                <w:bCs/>
              </w:rPr>
            </w:pPr>
            <w:r w:rsidRPr="000F3006">
              <w:rPr>
                <w:rFonts w:ascii="Times New Roman" w:hAnsi="Times New Roman"/>
                <w:b/>
                <w:bCs/>
              </w:rPr>
              <w:t xml:space="preserve">EU FOR </w:t>
            </w:r>
            <w:r w:rsidR="001C4506">
              <w:rPr>
                <w:rFonts w:ascii="Times New Roman" w:hAnsi="Times New Roman"/>
                <w:b/>
                <w:bCs/>
              </w:rPr>
              <w:t>REFORMS AND RESILIENCE</w:t>
            </w:r>
          </w:p>
        </w:tc>
      </w:tr>
      <w:tr w:rsidR="000F3006" w:rsidRPr="000F3006" w14:paraId="1A915412" w14:textId="77777777" w:rsidTr="00992D7A">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00D3B4F" w14:textId="77777777" w:rsidR="004262E0" w:rsidRPr="000F3006" w:rsidRDefault="004262E0" w:rsidP="004C6FFC">
            <w:pPr>
              <w:spacing w:after="0" w:line="240" w:lineRule="auto"/>
              <w:jc w:val="center"/>
              <w:rPr>
                <w:rFonts w:ascii="Times New Roman" w:hAnsi="Times New Roman"/>
                <w:b/>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6A9017E" w14:textId="77777777" w:rsidR="004262E0" w:rsidRPr="000F3006" w:rsidRDefault="004262E0" w:rsidP="00935D04">
            <w:pPr>
              <w:spacing w:after="0" w:line="240" w:lineRule="auto"/>
              <w:rPr>
                <w:rFonts w:ascii="Times New Roman" w:hAnsi="Times New Roman"/>
              </w:rPr>
            </w:pPr>
            <w:r w:rsidRPr="000F3006">
              <w:rPr>
                <w:rFonts w:ascii="Times New Roman" w:hAnsi="Times New Roman"/>
              </w:rPr>
              <w:t>Programming year</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0CAB16AB" w14:textId="77777777" w:rsidR="004262E0" w:rsidRPr="000F3006" w:rsidRDefault="00FF324C" w:rsidP="000B7906">
            <w:pPr>
              <w:spacing w:after="0" w:line="240" w:lineRule="auto"/>
              <w:jc w:val="center"/>
              <w:rPr>
                <w:rFonts w:ascii="Times New Roman" w:hAnsi="Times New Roman"/>
                <w:b/>
                <w:bCs/>
              </w:rPr>
            </w:pPr>
            <w:r w:rsidRPr="000F3006">
              <w:rPr>
                <w:rFonts w:ascii="Times New Roman" w:hAnsi="Times New Roman"/>
                <w:b/>
                <w:bCs/>
              </w:rPr>
              <w:t>2023</w:t>
            </w:r>
          </w:p>
        </w:tc>
      </w:tr>
      <w:tr w:rsidR="000F3006" w:rsidRPr="000F3006" w14:paraId="5A92404A" w14:textId="77777777" w:rsidTr="00992D7A">
        <w:trPr>
          <w:trHeight w:val="357"/>
          <w:jc w:val="center"/>
        </w:trPr>
        <w:tc>
          <w:tcPr>
            <w:tcW w:w="534" w:type="dxa"/>
            <w:vMerge w:val="restart"/>
            <w:tcBorders>
              <w:top w:val="single" w:sz="4" w:space="0" w:color="auto"/>
              <w:left w:val="single" w:sz="4" w:space="0" w:color="auto"/>
              <w:right w:val="single" w:sz="4" w:space="0" w:color="auto"/>
            </w:tcBorders>
            <w:textDirection w:val="btLr"/>
          </w:tcPr>
          <w:p w14:paraId="545307FC" w14:textId="77777777" w:rsidR="00D92F6C" w:rsidRPr="000F3006" w:rsidRDefault="00D92F6C" w:rsidP="00935D04">
            <w:pPr>
              <w:spacing w:after="0" w:line="240" w:lineRule="auto"/>
              <w:ind w:left="113" w:right="113"/>
              <w:jc w:val="center"/>
              <w:rPr>
                <w:rFonts w:ascii="Times New Roman" w:hAnsi="Times New Roman"/>
              </w:rPr>
            </w:pPr>
            <w:r w:rsidRPr="000F3006">
              <w:rPr>
                <w:rFonts w:ascii="Times New Roman" w:hAnsi="Times New Roman"/>
              </w:rPr>
              <w:t>CRITERIA FOR RELEVANCE ASSESSMENT</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0663966" w14:textId="77777777" w:rsidR="00D92F6C" w:rsidRPr="000F3006" w:rsidRDefault="004262E0" w:rsidP="00935D04">
            <w:pPr>
              <w:spacing w:after="0" w:line="240" w:lineRule="auto"/>
              <w:rPr>
                <w:rFonts w:ascii="Times New Roman" w:hAnsi="Times New Roman"/>
              </w:rPr>
            </w:pPr>
            <w:r w:rsidRPr="000F3006">
              <w:rPr>
                <w:rFonts w:ascii="Times New Roman" w:hAnsi="Times New Roman"/>
              </w:rPr>
              <w:t>IPA III Window and thematic priorit(y)/(ies)</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3CB4B248" w14:textId="77777777" w:rsidR="00BC759C" w:rsidRPr="000F3006" w:rsidRDefault="00BC759C" w:rsidP="00012297">
            <w:pPr>
              <w:spacing w:after="0" w:line="240" w:lineRule="auto"/>
              <w:rPr>
                <w:rFonts w:ascii="Times New Roman" w:hAnsi="Times New Roman"/>
                <w:b/>
                <w:iCs/>
              </w:rPr>
            </w:pPr>
            <w:r w:rsidRPr="000F3006">
              <w:rPr>
                <w:rFonts w:ascii="Times New Roman" w:hAnsi="Times New Roman"/>
                <w:b/>
                <w:iCs/>
              </w:rPr>
              <w:t xml:space="preserve">WINDOW </w:t>
            </w:r>
            <w:r w:rsidR="00FF3ADE">
              <w:rPr>
                <w:rFonts w:ascii="Times New Roman" w:hAnsi="Times New Roman"/>
                <w:b/>
                <w:iCs/>
              </w:rPr>
              <w:t>3</w:t>
            </w:r>
            <w:r w:rsidRPr="000F3006">
              <w:rPr>
                <w:rFonts w:ascii="Times New Roman" w:hAnsi="Times New Roman"/>
                <w:b/>
                <w:iCs/>
              </w:rPr>
              <w:t>-</w:t>
            </w:r>
            <w:r w:rsidR="00FF3ADE">
              <w:rPr>
                <w:rFonts w:ascii="Times New Roman" w:hAnsi="Times New Roman"/>
                <w:b/>
                <w:iCs/>
              </w:rPr>
              <w:t>GREEN AGENDA AND SUSTAINABLE CONNECTIVITY</w:t>
            </w:r>
          </w:p>
          <w:p w14:paraId="7B283EC8" w14:textId="77777777" w:rsidR="00335A5E" w:rsidRPr="000F3006" w:rsidRDefault="00335A5E" w:rsidP="00012297">
            <w:pPr>
              <w:spacing w:after="0" w:line="240" w:lineRule="auto"/>
              <w:ind w:left="1416"/>
              <w:rPr>
                <w:rFonts w:ascii="Times New Roman" w:hAnsi="Times New Roman"/>
                <w:b/>
                <w:i/>
                <w:iCs/>
              </w:rPr>
            </w:pPr>
          </w:p>
          <w:p w14:paraId="51FD7B90" w14:textId="77777777" w:rsidR="00425E6E" w:rsidRDefault="00425E6E" w:rsidP="000B7906">
            <w:pPr>
              <w:spacing w:after="0" w:line="240" w:lineRule="auto"/>
              <w:rPr>
                <w:rFonts w:ascii="Times New Roman" w:hAnsi="Times New Roman"/>
                <w:b/>
                <w:i/>
                <w:iCs/>
              </w:rPr>
            </w:pPr>
            <w:r>
              <w:rPr>
                <w:rFonts w:ascii="Times New Roman" w:hAnsi="Times New Roman"/>
                <w:b/>
                <w:i/>
                <w:iCs/>
              </w:rPr>
              <w:t>Thematic Priority 1: Environment and climate change</w:t>
            </w:r>
          </w:p>
          <w:p w14:paraId="047A155D" w14:textId="77777777" w:rsidR="00DB4733" w:rsidRPr="000F3006" w:rsidRDefault="00D31BB7" w:rsidP="000B7906">
            <w:pPr>
              <w:spacing w:after="0" w:line="240" w:lineRule="auto"/>
              <w:rPr>
                <w:rFonts w:ascii="Times New Roman" w:hAnsi="Times New Roman"/>
                <w:b/>
                <w:i/>
                <w:iCs/>
              </w:rPr>
            </w:pPr>
            <w:r w:rsidRPr="000F3006">
              <w:rPr>
                <w:rFonts w:ascii="Times New Roman" w:hAnsi="Times New Roman"/>
                <w:b/>
                <w:i/>
                <w:iCs/>
              </w:rPr>
              <w:t xml:space="preserve">Thematic Priority </w:t>
            </w:r>
            <w:r w:rsidR="001C4506">
              <w:rPr>
                <w:rFonts w:ascii="Times New Roman" w:hAnsi="Times New Roman"/>
                <w:b/>
                <w:i/>
                <w:iCs/>
              </w:rPr>
              <w:t>2: Transport, digital economy and society, and energy</w:t>
            </w:r>
          </w:p>
        </w:tc>
      </w:tr>
      <w:tr w:rsidR="000F3006" w:rsidRPr="000F3006" w14:paraId="1A4CCEA0" w14:textId="77777777" w:rsidTr="00992D7A">
        <w:trPr>
          <w:trHeight w:val="557"/>
          <w:jc w:val="center"/>
        </w:trPr>
        <w:tc>
          <w:tcPr>
            <w:tcW w:w="534" w:type="dxa"/>
            <w:vMerge/>
            <w:tcBorders>
              <w:left w:val="single" w:sz="4" w:space="0" w:color="auto"/>
              <w:right w:val="single" w:sz="4" w:space="0" w:color="auto"/>
            </w:tcBorders>
          </w:tcPr>
          <w:p w14:paraId="37B936DE" w14:textId="77777777" w:rsidR="00D92F6C" w:rsidRPr="000F3006" w:rsidRDefault="00D92F6C" w:rsidP="00476031">
            <w:pPr>
              <w:spacing w:after="0"/>
              <w:rPr>
                <w:rFonts w:ascii="Times New Roman" w:hAnsi="Times New Roma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77AB046" w14:textId="77777777" w:rsidR="00D92F6C" w:rsidRPr="000F3006" w:rsidRDefault="00D92F6C" w:rsidP="00F57944">
            <w:pPr>
              <w:spacing w:after="0" w:line="240" w:lineRule="auto"/>
              <w:rPr>
                <w:rFonts w:ascii="Times New Roman" w:hAnsi="Times New Roman"/>
              </w:rPr>
            </w:pPr>
            <w:r w:rsidRPr="000F3006">
              <w:rPr>
                <w:rFonts w:ascii="Times New Roman" w:hAnsi="Times New Roman"/>
              </w:rPr>
              <w:t>Links with specific policy instruments of the enlargement process</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18C94E2A" w14:textId="4DA237ED" w:rsidR="00EA0ABF" w:rsidRPr="00093DA0" w:rsidRDefault="00EA0ABF" w:rsidP="004330D3">
            <w:pPr>
              <w:spacing w:before="120" w:after="0" w:line="240" w:lineRule="auto"/>
              <w:jc w:val="both"/>
              <w:rPr>
                <w:rFonts w:ascii="Times New Roman" w:hAnsi="Times New Roman"/>
              </w:rPr>
            </w:pPr>
            <w:r w:rsidRPr="00093DA0">
              <w:rPr>
                <w:rFonts w:ascii="Times New Roman" w:hAnsi="Times New Roman"/>
              </w:rPr>
              <w:t xml:space="preserve">The </w:t>
            </w:r>
            <w:r w:rsidR="008F7E5F" w:rsidRPr="00093DA0">
              <w:rPr>
                <w:rFonts w:ascii="Times New Roman" w:hAnsi="Times New Roman"/>
              </w:rPr>
              <w:t xml:space="preserve">overall </w:t>
            </w:r>
            <w:r w:rsidRPr="00093DA0">
              <w:rPr>
                <w:rFonts w:ascii="Times New Roman" w:hAnsi="Times New Roman"/>
              </w:rPr>
              <w:t xml:space="preserve">objective of the </w:t>
            </w:r>
            <w:r w:rsidR="00425E6E" w:rsidRPr="00093DA0">
              <w:rPr>
                <w:rFonts w:ascii="Times New Roman" w:hAnsi="Times New Roman"/>
              </w:rPr>
              <w:t>A</w:t>
            </w:r>
            <w:r w:rsidRPr="00093DA0">
              <w:rPr>
                <w:rFonts w:ascii="Times New Roman" w:hAnsi="Times New Roman"/>
              </w:rPr>
              <w:t>ction is to</w:t>
            </w:r>
            <w:r w:rsidR="00E2129C" w:rsidRPr="00093DA0">
              <w:rPr>
                <w:rFonts w:ascii="Times New Roman" w:hAnsi="Times New Roman"/>
              </w:rPr>
              <w:t xml:space="preserve"> </w:t>
            </w:r>
            <w:r w:rsidR="001F3ECE" w:rsidRPr="00093DA0">
              <w:rPr>
                <w:rFonts w:ascii="Times New Roman" w:hAnsi="Times New Roman"/>
                <w:b/>
                <w:bCs/>
              </w:rPr>
              <w:t>enhance</w:t>
            </w:r>
            <w:r w:rsidR="007F7AF9" w:rsidRPr="00093DA0">
              <w:rPr>
                <w:rFonts w:ascii="Times New Roman" w:hAnsi="Times New Roman"/>
                <w:b/>
                <w:bCs/>
              </w:rPr>
              <w:t xml:space="preserve"> the structural reforms in</w:t>
            </w:r>
            <w:r w:rsidR="001F3ECE" w:rsidRPr="00093DA0">
              <w:rPr>
                <w:rFonts w:ascii="Times New Roman" w:hAnsi="Times New Roman"/>
                <w:b/>
                <w:bCs/>
              </w:rPr>
              <w:t xml:space="preserve"> the areas of</w:t>
            </w:r>
            <w:r w:rsidR="007F7AF9" w:rsidRPr="00093DA0">
              <w:rPr>
                <w:rFonts w:ascii="Times New Roman" w:hAnsi="Times New Roman"/>
                <w:b/>
                <w:bCs/>
              </w:rPr>
              <w:t xml:space="preserve"> energy</w:t>
            </w:r>
            <w:r w:rsidR="001F3ECE" w:rsidRPr="00093DA0">
              <w:rPr>
                <w:rFonts w:ascii="Times New Roman" w:hAnsi="Times New Roman"/>
                <w:b/>
                <w:bCs/>
              </w:rPr>
              <w:t xml:space="preserve">, civil </w:t>
            </w:r>
            <w:r w:rsidR="00960B56" w:rsidRPr="00093DA0">
              <w:rPr>
                <w:rFonts w:ascii="Times New Roman" w:hAnsi="Times New Roman"/>
                <w:b/>
                <w:bCs/>
              </w:rPr>
              <w:t>protection,</w:t>
            </w:r>
            <w:r w:rsidR="001B5257" w:rsidRPr="00093DA0">
              <w:rPr>
                <w:rFonts w:ascii="Times New Roman" w:hAnsi="Times New Roman"/>
                <w:b/>
                <w:bCs/>
              </w:rPr>
              <w:t xml:space="preserve"> and transport</w:t>
            </w:r>
            <w:r w:rsidR="008F7E5F" w:rsidRPr="00093DA0">
              <w:rPr>
                <w:rFonts w:ascii="Times New Roman" w:hAnsi="Times New Roman"/>
                <w:b/>
                <w:bCs/>
              </w:rPr>
              <w:t xml:space="preserve"> in line with the EU policies. </w:t>
            </w:r>
          </w:p>
          <w:p w14:paraId="7DC867D6" w14:textId="77777777" w:rsidR="007C490A" w:rsidRPr="00093DA0" w:rsidRDefault="00FD462F" w:rsidP="004330D3">
            <w:pPr>
              <w:spacing w:before="120" w:after="0" w:line="240" w:lineRule="auto"/>
              <w:jc w:val="both"/>
              <w:rPr>
                <w:rFonts w:ascii="Times New Roman" w:hAnsi="Times New Roman"/>
              </w:rPr>
            </w:pPr>
            <w:r w:rsidRPr="00093DA0">
              <w:rPr>
                <w:rFonts w:ascii="Times New Roman" w:hAnsi="Times New Roman"/>
              </w:rPr>
              <w:t>The Action</w:t>
            </w:r>
            <w:r w:rsidR="00386F32" w:rsidRPr="00093DA0">
              <w:rPr>
                <w:rFonts w:ascii="Times New Roman" w:hAnsi="Times New Roman"/>
              </w:rPr>
              <w:t xml:space="preserve"> encompasses three components</w:t>
            </w:r>
            <w:r w:rsidR="0003650D" w:rsidRPr="00093DA0">
              <w:rPr>
                <w:rFonts w:ascii="Times New Roman" w:hAnsi="Times New Roman"/>
              </w:rPr>
              <w:t>:</w:t>
            </w:r>
          </w:p>
          <w:p w14:paraId="0C4480FE" w14:textId="32DA282B" w:rsidR="00307CAA" w:rsidRPr="00093DA0" w:rsidRDefault="00386F32" w:rsidP="004330D3">
            <w:pPr>
              <w:spacing w:before="120" w:after="0" w:line="240" w:lineRule="auto"/>
              <w:jc w:val="both"/>
              <w:rPr>
                <w:rFonts w:ascii="Times New Roman" w:hAnsi="Times New Roman"/>
                <w:b/>
                <w:bCs/>
              </w:rPr>
            </w:pPr>
            <w:r w:rsidRPr="00093DA0">
              <w:rPr>
                <w:rFonts w:ascii="Times New Roman" w:hAnsi="Times New Roman"/>
                <w:b/>
                <w:bCs/>
              </w:rPr>
              <w:t xml:space="preserve">Component 1: </w:t>
            </w:r>
            <w:r w:rsidR="00EF40AE" w:rsidRPr="00093DA0">
              <w:rPr>
                <w:rFonts w:ascii="Times New Roman" w:hAnsi="Times New Roman"/>
                <w:b/>
                <w:bCs/>
              </w:rPr>
              <w:t>Support</w:t>
            </w:r>
            <w:r w:rsidR="00FE1B87" w:rsidRPr="00093DA0">
              <w:rPr>
                <w:rFonts w:ascii="Times New Roman" w:hAnsi="Times New Roman"/>
                <w:b/>
                <w:bCs/>
              </w:rPr>
              <w:t>ing</w:t>
            </w:r>
            <w:r w:rsidR="00307CAA" w:rsidRPr="00093DA0">
              <w:rPr>
                <w:rFonts w:ascii="Times New Roman" w:hAnsi="Times New Roman"/>
                <w:b/>
                <w:bCs/>
              </w:rPr>
              <w:t xml:space="preserve"> energy transition from fossil fuels toward clean energy in line with the Green </w:t>
            </w:r>
            <w:r w:rsidR="001B5257" w:rsidRPr="00093DA0">
              <w:rPr>
                <w:rFonts w:ascii="Times New Roman" w:hAnsi="Times New Roman"/>
                <w:b/>
                <w:bCs/>
              </w:rPr>
              <w:t>Agenda for the Western Balkans</w:t>
            </w:r>
          </w:p>
          <w:p w14:paraId="3B155AAE" w14:textId="543CBD90" w:rsidR="00623185" w:rsidRPr="00093DA0" w:rsidRDefault="00447256" w:rsidP="004330D3">
            <w:pPr>
              <w:spacing w:before="120" w:after="0" w:line="240" w:lineRule="auto"/>
              <w:jc w:val="both"/>
              <w:rPr>
                <w:rFonts w:ascii="Times New Roman" w:hAnsi="Times New Roman"/>
              </w:rPr>
            </w:pPr>
            <w:r>
              <w:rPr>
                <w:rFonts w:ascii="Times New Roman" w:hAnsi="Times New Roman"/>
              </w:rPr>
              <w:t xml:space="preserve">North Macedonia suffers of a fragmented </w:t>
            </w:r>
            <w:r w:rsidR="006E73B6" w:rsidRPr="00093DA0">
              <w:rPr>
                <w:rFonts w:ascii="Times New Roman" w:hAnsi="Times New Roman"/>
              </w:rPr>
              <w:t xml:space="preserve">legislative framework in the energy sector. </w:t>
            </w:r>
            <w:r w:rsidR="00287B2D">
              <w:rPr>
                <w:rFonts w:ascii="Times New Roman" w:hAnsi="Times New Roman"/>
              </w:rPr>
              <w:t xml:space="preserve">The </w:t>
            </w:r>
            <w:r w:rsidR="00E17EFD" w:rsidRPr="00093DA0">
              <w:rPr>
                <w:rFonts w:ascii="Times New Roman" w:hAnsi="Times New Roman"/>
              </w:rPr>
              <w:t xml:space="preserve">Energy Efficiency Law </w:t>
            </w:r>
            <w:r w:rsidR="004F019E" w:rsidRPr="00093DA0">
              <w:rPr>
                <w:rFonts w:ascii="Times New Roman" w:hAnsi="Times New Roman"/>
              </w:rPr>
              <w:t xml:space="preserve">was adopted in </w:t>
            </w:r>
            <w:r w:rsidR="00E17EFD" w:rsidRPr="00093DA0">
              <w:rPr>
                <w:rFonts w:ascii="Times New Roman" w:hAnsi="Times New Roman"/>
              </w:rPr>
              <w:t>2020</w:t>
            </w:r>
            <w:r w:rsidR="004F019E" w:rsidRPr="00093DA0">
              <w:rPr>
                <w:rFonts w:ascii="Times New Roman" w:hAnsi="Times New Roman"/>
              </w:rPr>
              <w:t xml:space="preserve"> but the implementing </w:t>
            </w:r>
            <w:r w:rsidR="00287B2D">
              <w:rPr>
                <w:rFonts w:ascii="Times New Roman" w:hAnsi="Times New Roman"/>
              </w:rPr>
              <w:t>rules</w:t>
            </w:r>
            <w:r w:rsidR="00287B2D" w:rsidRPr="00093DA0">
              <w:rPr>
                <w:rFonts w:ascii="Times New Roman" w:hAnsi="Times New Roman"/>
              </w:rPr>
              <w:t xml:space="preserve"> </w:t>
            </w:r>
            <w:r w:rsidR="00287B2D">
              <w:rPr>
                <w:rFonts w:ascii="Times New Roman" w:hAnsi="Times New Roman"/>
              </w:rPr>
              <w:t>are</w:t>
            </w:r>
            <w:r w:rsidR="00287B2D" w:rsidRPr="00093DA0">
              <w:rPr>
                <w:rFonts w:ascii="Times New Roman" w:hAnsi="Times New Roman"/>
              </w:rPr>
              <w:t xml:space="preserve"> </w:t>
            </w:r>
            <w:r w:rsidR="004F019E" w:rsidRPr="00093DA0">
              <w:rPr>
                <w:rFonts w:ascii="Times New Roman" w:hAnsi="Times New Roman"/>
              </w:rPr>
              <w:t>not yet fully in place.</w:t>
            </w:r>
            <w:r w:rsidR="006E73B6" w:rsidRPr="00093DA0">
              <w:rPr>
                <w:rFonts w:ascii="Times New Roman" w:hAnsi="Times New Roman"/>
              </w:rPr>
              <w:t xml:space="preserve"> The draft laws on </w:t>
            </w:r>
            <w:r w:rsidR="00A80E6C">
              <w:rPr>
                <w:rFonts w:ascii="Times New Roman" w:hAnsi="Times New Roman"/>
              </w:rPr>
              <w:t>energy infrastructure</w:t>
            </w:r>
            <w:r w:rsidR="00287B2D">
              <w:rPr>
                <w:rFonts w:ascii="Times New Roman" w:hAnsi="Times New Roman"/>
              </w:rPr>
              <w:t xml:space="preserve"> </w:t>
            </w:r>
            <w:r w:rsidR="00A80E6C">
              <w:rPr>
                <w:rFonts w:ascii="Times New Roman" w:hAnsi="Times New Roman"/>
              </w:rPr>
              <w:t>and</w:t>
            </w:r>
            <w:r w:rsidR="006E73B6" w:rsidRPr="00093DA0">
              <w:rPr>
                <w:rFonts w:ascii="Times New Roman" w:hAnsi="Times New Roman"/>
              </w:rPr>
              <w:t xml:space="preserve"> on biofuels </w:t>
            </w:r>
            <w:r w:rsidR="00287B2D">
              <w:rPr>
                <w:rFonts w:ascii="Times New Roman" w:hAnsi="Times New Roman"/>
              </w:rPr>
              <w:t xml:space="preserve"> </w:t>
            </w:r>
            <w:r w:rsidR="006E73B6" w:rsidRPr="00093DA0">
              <w:rPr>
                <w:rFonts w:ascii="Times New Roman" w:hAnsi="Times New Roman"/>
              </w:rPr>
              <w:t xml:space="preserve">still </w:t>
            </w:r>
            <w:r w:rsidR="00E21271" w:rsidRPr="00093DA0">
              <w:rPr>
                <w:rFonts w:ascii="Times New Roman" w:hAnsi="Times New Roman"/>
              </w:rPr>
              <w:t>need to be adopted</w:t>
            </w:r>
            <w:r w:rsidR="00A80E6C">
              <w:rPr>
                <w:rFonts w:ascii="Times New Roman" w:hAnsi="Times New Roman"/>
              </w:rPr>
              <w:t>, and aligned with the relevant EU Regulations</w:t>
            </w:r>
            <w:r w:rsidR="00E21271" w:rsidRPr="00093DA0">
              <w:rPr>
                <w:rFonts w:ascii="Times New Roman" w:hAnsi="Times New Roman"/>
              </w:rPr>
              <w:t xml:space="preserve">. Further measures are needed to </w:t>
            </w:r>
            <w:r w:rsidR="00287B2D">
              <w:rPr>
                <w:rFonts w:ascii="Times New Roman" w:hAnsi="Times New Roman"/>
              </w:rPr>
              <w:t>align</w:t>
            </w:r>
            <w:r w:rsidR="00287B2D" w:rsidRPr="00093DA0">
              <w:rPr>
                <w:rFonts w:ascii="Times New Roman" w:hAnsi="Times New Roman"/>
              </w:rPr>
              <w:t xml:space="preserve"> </w:t>
            </w:r>
            <w:r w:rsidR="00E21271" w:rsidRPr="00093DA0">
              <w:rPr>
                <w:rFonts w:ascii="Times New Roman" w:hAnsi="Times New Roman"/>
              </w:rPr>
              <w:t xml:space="preserve">the </w:t>
            </w:r>
            <w:r w:rsidR="00287B2D">
              <w:rPr>
                <w:rFonts w:ascii="Times New Roman" w:hAnsi="Times New Roman"/>
              </w:rPr>
              <w:t xml:space="preserve">national </w:t>
            </w:r>
            <w:r w:rsidR="00E21271" w:rsidRPr="00093DA0">
              <w:rPr>
                <w:rFonts w:ascii="Times New Roman" w:hAnsi="Times New Roman"/>
              </w:rPr>
              <w:t>legislation with the</w:t>
            </w:r>
            <w:r w:rsidR="00263FA6" w:rsidRPr="00093DA0">
              <w:rPr>
                <w:rFonts w:ascii="Times New Roman" w:hAnsi="Times New Roman"/>
              </w:rPr>
              <w:t xml:space="preserve"> </w:t>
            </w:r>
            <w:r w:rsidR="00832252" w:rsidRPr="00093DA0">
              <w:rPr>
                <w:rFonts w:ascii="Times New Roman" w:hAnsi="Times New Roman"/>
              </w:rPr>
              <w:t>Clean Energy package</w:t>
            </w:r>
            <w:r w:rsidR="00E21271" w:rsidRPr="00093DA0">
              <w:rPr>
                <w:rFonts w:ascii="Times New Roman" w:hAnsi="Times New Roman"/>
              </w:rPr>
              <w:t>. The country also needs to prepare the assessment required by the Energy Efficiency Directive and implement the PROSUMER (households and small businesses) related legislation</w:t>
            </w:r>
            <w:r w:rsidR="00E17EFD" w:rsidRPr="00093DA0">
              <w:rPr>
                <w:rFonts w:ascii="Times New Roman" w:hAnsi="Times New Roman"/>
              </w:rPr>
              <w:t>.</w:t>
            </w:r>
            <w:r w:rsidR="00B3679A" w:rsidRPr="00093DA0">
              <w:t xml:space="preserve"> </w:t>
            </w:r>
            <w:r w:rsidR="00B3679A" w:rsidRPr="00093DA0">
              <w:rPr>
                <w:rFonts w:ascii="Times New Roman" w:hAnsi="Times New Roman"/>
              </w:rPr>
              <w:t xml:space="preserve">Regarding </w:t>
            </w:r>
            <w:r w:rsidR="00AA3BBE" w:rsidRPr="00093DA0">
              <w:rPr>
                <w:rFonts w:ascii="Times New Roman" w:hAnsi="Times New Roman"/>
              </w:rPr>
              <w:t>r</w:t>
            </w:r>
            <w:r w:rsidR="00B3679A" w:rsidRPr="00093DA0">
              <w:rPr>
                <w:rFonts w:ascii="Times New Roman" w:hAnsi="Times New Roman"/>
              </w:rPr>
              <w:t xml:space="preserve">enewable energy sources, in </w:t>
            </w:r>
            <w:r w:rsidR="00263FA6" w:rsidRPr="00093DA0">
              <w:rPr>
                <w:rFonts w:ascii="Times New Roman" w:hAnsi="Times New Roman"/>
              </w:rPr>
              <w:t>line with the national</w:t>
            </w:r>
            <w:r w:rsidR="00B3679A" w:rsidRPr="00093DA0">
              <w:rPr>
                <w:rFonts w:ascii="Times New Roman" w:hAnsi="Times New Roman"/>
              </w:rPr>
              <w:t xml:space="preserve"> strategic documents, </w:t>
            </w:r>
            <w:r w:rsidR="00A80E6C">
              <w:rPr>
                <w:rFonts w:ascii="Times New Roman" w:hAnsi="Times New Roman"/>
              </w:rPr>
              <w:t>it can be seen</w:t>
            </w:r>
            <w:r w:rsidR="00B3679A" w:rsidRPr="00093DA0">
              <w:rPr>
                <w:rFonts w:ascii="Times New Roman" w:hAnsi="Times New Roman"/>
              </w:rPr>
              <w:t xml:space="preserve"> that there is a possibility to achieve 38 % of energy produced by </w:t>
            </w:r>
            <w:r w:rsidR="00263FA6" w:rsidRPr="00093DA0">
              <w:rPr>
                <w:rFonts w:ascii="Times New Roman" w:hAnsi="Times New Roman"/>
              </w:rPr>
              <w:t>Renewable Energy Sources (</w:t>
            </w:r>
            <w:r w:rsidR="00B3679A" w:rsidRPr="00093DA0">
              <w:rPr>
                <w:rFonts w:ascii="Times New Roman" w:hAnsi="Times New Roman"/>
              </w:rPr>
              <w:t>RES</w:t>
            </w:r>
            <w:r w:rsidR="00263FA6" w:rsidRPr="00093DA0">
              <w:rPr>
                <w:rFonts w:ascii="Times New Roman" w:hAnsi="Times New Roman"/>
              </w:rPr>
              <w:t>)</w:t>
            </w:r>
            <w:r w:rsidR="00B3679A" w:rsidRPr="00093DA0">
              <w:rPr>
                <w:rFonts w:ascii="Times New Roman" w:hAnsi="Times New Roman"/>
              </w:rPr>
              <w:t xml:space="preserve"> in gross fina</w:t>
            </w:r>
            <w:r w:rsidR="00B51A67" w:rsidRPr="00093DA0">
              <w:rPr>
                <w:rFonts w:ascii="Times New Roman" w:hAnsi="Times New Roman"/>
              </w:rPr>
              <w:t xml:space="preserve">l energy consumption </w:t>
            </w:r>
            <w:r w:rsidR="00263FA6" w:rsidRPr="00093DA0">
              <w:rPr>
                <w:rFonts w:ascii="Times New Roman" w:hAnsi="Times New Roman"/>
              </w:rPr>
              <w:t>by</w:t>
            </w:r>
            <w:r w:rsidR="00B51A67" w:rsidRPr="00093DA0">
              <w:rPr>
                <w:rFonts w:ascii="Times New Roman" w:hAnsi="Times New Roman"/>
              </w:rPr>
              <w:t xml:space="preserve"> 2030 if all measures in the National Energy and Climate plan </w:t>
            </w:r>
            <w:r w:rsidR="005A2044">
              <w:rPr>
                <w:rFonts w:ascii="Times New Roman" w:hAnsi="Times New Roman"/>
              </w:rPr>
              <w:t xml:space="preserve">(NECP) </w:t>
            </w:r>
            <w:r w:rsidR="00263FA6" w:rsidRPr="00093DA0">
              <w:rPr>
                <w:rFonts w:ascii="Times New Roman" w:hAnsi="Times New Roman"/>
              </w:rPr>
              <w:t>are</w:t>
            </w:r>
            <w:r w:rsidR="00B51A67" w:rsidRPr="00093DA0">
              <w:rPr>
                <w:rFonts w:ascii="Times New Roman" w:hAnsi="Times New Roman"/>
              </w:rPr>
              <w:t xml:space="preserve"> in place. For this </w:t>
            </w:r>
            <w:r w:rsidR="00AA3BBE" w:rsidRPr="00093DA0">
              <w:rPr>
                <w:rFonts w:ascii="Times New Roman" w:hAnsi="Times New Roman"/>
              </w:rPr>
              <w:t>purpose</w:t>
            </w:r>
            <w:r w:rsidR="00263FA6" w:rsidRPr="00093DA0">
              <w:rPr>
                <w:rFonts w:ascii="Times New Roman" w:hAnsi="Times New Roman"/>
              </w:rPr>
              <w:t>,</w:t>
            </w:r>
            <w:r w:rsidR="00AA3BBE" w:rsidRPr="00093DA0">
              <w:rPr>
                <w:rFonts w:ascii="Times New Roman" w:hAnsi="Times New Roman"/>
              </w:rPr>
              <w:t xml:space="preserve"> </w:t>
            </w:r>
            <w:r w:rsidR="00B51A67" w:rsidRPr="00093DA0">
              <w:rPr>
                <w:rFonts w:ascii="Times New Roman" w:hAnsi="Times New Roman"/>
              </w:rPr>
              <w:t>t</w:t>
            </w:r>
            <w:r w:rsidR="00B3679A" w:rsidRPr="00093DA0">
              <w:rPr>
                <w:rFonts w:ascii="Times New Roman" w:hAnsi="Times New Roman"/>
              </w:rPr>
              <w:t xml:space="preserve">he </w:t>
            </w:r>
            <w:r w:rsidR="00263FA6" w:rsidRPr="00093DA0">
              <w:rPr>
                <w:rFonts w:ascii="Times New Roman" w:hAnsi="Times New Roman"/>
              </w:rPr>
              <w:t>Action</w:t>
            </w:r>
            <w:r w:rsidR="00B3679A" w:rsidRPr="00093DA0">
              <w:rPr>
                <w:rFonts w:ascii="Times New Roman" w:hAnsi="Times New Roman"/>
              </w:rPr>
              <w:t xml:space="preserve"> will provide consistent </w:t>
            </w:r>
            <w:r w:rsidR="00AA3BBE" w:rsidRPr="00093DA0">
              <w:rPr>
                <w:rFonts w:ascii="Times New Roman" w:hAnsi="Times New Roman"/>
              </w:rPr>
              <w:t>advice</w:t>
            </w:r>
            <w:r w:rsidR="00B3679A" w:rsidRPr="00093DA0">
              <w:rPr>
                <w:rFonts w:ascii="Times New Roman" w:hAnsi="Times New Roman"/>
              </w:rPr>
              <w:t xml:space="preserve"> on policy actions and incentives that the Government can do to reach the targets.</w:t>
            </w:r>
            <w:r w:rsidR="00B3679A" w:rsidRPr="00093DA0">
              <w:rPr>
                <w:rStyle w:val="CommentReference"/>
                <w:rFonts w:ascii="Times New Roman" w:hAnsi="Times New Roman"/>
                <w:sz w:val="22"/>
                <w:szCs w:val="22"/>
              </w:rPr>
              <w:t xml:space="preserve"> </w:t>
            </w:r>
          </w:p>
          <w:p w14:paraId="4EAA1FFD" w14:textId="4B4CCFEA" w:rsidR="004427B4" w:rsidRPr="00FB769C" w:rsidRDefault="004427B4" w:rsidP="004330D3">
            <w:pPr>
              <w:spacing w:before="120" w:after="0" w:line="240" w:lineRule="auto"/>
              <w:jc w:val="both"/>
              <w:rPr>
                <w:rFonts w:ascii="Times New Roman" w:hAnsi="Times New Roman"/>
              </w:rPr>
            </w:pPr>
            <w:r w:rsidRPr="00093DA0">
              <w:rPr>
                <w:rFonts w:ascii="Times New Roman" w:hAnsi="Times New Roman"/>
              </w:rPr>
              <w:t>Although there is an interest in investments in RES based on the PROSUMER concept, the number of households and registered commercial “prosumers” is insignificant due to administrative and legal barriers. To make the prosumers concept more attractive based on recent Energy Community policy documents and requests from stakeholders, modifications and amendments should be applied to the existing Energy Law, the Rulebook on RES, the ERC tariff system for electricity, and the Value Added Tax Law. Some of the main recommendations</w:t>
            </w:r>
            <w:r w:rsidR="002C7BAE">
              <w:rPr>
                <w:rFonts w:ascii="Times New Roman" w:hAnsi="Times New Roman"/>
              </w:rPr>
              <w:t xml:space="preserve"> by the Energy Community</w:t>
            </w:r>
            <w:r w:rsidRPr="00093DA0">
              <w:rPr>
                <w:rFonts w:ascii="Times New Roman" w:hAnsi="Times New Roman"/>
              </w:rPr>
              <w:t xml:space="preserve"> include broadening the type of consumers eligible to become prosumers, increasing the maximum installed capacity per prosumer, making new RES technologies eligible, introducing advanced forms of prosumer schemes (virtual net billing), differentiating the compensation and billing periods, and changing the intervals, and adding new elements to the manner of calculating network costs </w:t>
            </w:r>
            <w:r w:rsidRPr="00DF150C">
              <w:rPr>
                <w:rFonts w:ascii="Times New Roman" w:hAnsi="Times New Roman"/>
              </w:rPr>
              <w:t>for prosumers transactions. The Government of North Macedonia has requested the support of the World Bank to design a</w:t>
            </w:r>
            <w:r w:rsidR="00FB769C">
              <w:rPr>
                <w:rFonts w:ascii="Times New Roman" w:hAnsi="Times New Roman"/>
              </w:rPr>
              <w:t>n ambitious</w:t>
            </w:r>
            <w:r w:rsidRPr="00DF150C">
              <w:rPr>
                <w:rFonts w:ascii="Times New Roman" w:hAnsi="Times New Roman"/>
              </w:rPr>
              <w:t xml:space="preserve"> national program for </w:t>
            </w:r>
            <w:r w:rsidR="004A563A" w:rsidRPr="00DF150C">
              <w:rPr>
                <w:rFonts w:ascii="Times New Roman" w:hAnsi="Times New Roman"/>
              </w:rPr>
              <w:t xml:space="preserve">Rooftop </w:t>
            </w:r>
            <w:r w:rsidR="00667F1B" w:rsidRPr="00DF150C">
              <w:rPr>
                <w:rFonts w:ascii="Times New Roman" w:hAnsi="Times New Roman"/>
              </w:rPr>
              <w:t xml:space="preserve">Solar </w:t>
            </w:r>
            <w:r w:rsidR="004A563A" w:rsidRPr="00DF150C">
              <w:rPr>
                <w:rFonts w:ascii="Times New Roman" w:hAnsi="Times New Roman"/>
              </w:rPr>
              <w:t>PV (</w:t>
            </w:r>
            <w:r w:rsidRPr="00DF150C">
              <w:rPr>
                <w:rFonts w:ascii="Times New Roman" w:hAnsi="Times New Roman"/>
              </w:rPr>
              <w:t>RSPV</w:t>
            </w:r>
            <w:r w:rsidR="004A563A" w:rsidRPr="00DF150C">
              <w:rPr>
                <w:rFonts w:ascii="Times New Roman" w:hAnsi="Times New Roman"/>
              </w:rPr>
              <w:t>)</w:t>
            </w:r>
            <w:r w:rsidRPr="00DF150C">
              <w:rPr>
                <w:rFonts w:ascii="Times New Roman" w:hAnsi="Times New Roman"/>
              </w:rPr>
              <w:t xml:space="preserve">, including the design of potential </w:t>
            </w:r>
            <w:r w:rsidRPr="00FB769C">
              <w:rPr>
                <w:rFonts w:ascii="Times New Roman" w:hAnsi="Times New Roman"/>
              </w:rPr>
              <w:t xml:space="preserve">financing mechanisms. The World Bank has secured financial support </w:t>
            </w:r>
            <w:r w:rsidR="00B1071D">
              <w:rPr>
                <w:rFonts w:ascii="Times New Roman" w:hAnsi="Times New Roman"/>
              </w:rPr>
              <w:t>and will provide</w:t>
            </w:r>
            <w:r w:rsidRPr="00FB769C">
              <w:rPr>
                <w:rFonts w:ascii="Times New Roman" w:hAnsi="Times New Roman"/>
              </w:rPr>
              <w:t xml:space="preserve"> technical assistance.</w:t>
            </w:r>
          </w:p>
          <w:p w14:paraId="08F6112C" w14:textId="520A9A3C" w:rsidR="00E11D77" w:rsidRDefault="00B43108" w:rsidP="004330D3">
            <w:pPr>
              <w:spacing w:before="120" w:after="0" w:line="240" w:lineRule="auto"/>
              <w:jc w:val="both"/>
              <w:rPr>
                <w:rFonts w:ascii="Times New Roman" w:eastAsia="NSimSun" w:hAnsi="Times New Roman"/>
                <w:bCs/>
                <w:kern w:val="3"/>
                <w:lang w:val="en-US" w:eastAsia="zh-CN" w:bidi="hi-IN"/>
              </w:rPr>
            </w:pPr>
            <w:r>
              <w:rPr>
                <w:rFonts w:ascii="Times New Roman" w:hAnsi="Times New Roman"/>
              </w:rPr>
              <w:t>Furthermore,</w:t>
            </w:r>
            <w:r w:rsidR="00366E64" w:rsidRPr="00093DA0">
              <w:rPr>
                <w:rFonts w:ascii="Times New Roman" w:hAnsi="Times New Roman"/>
              </w:rPr>
              <w:t xml:space="preserve"> </w:t>
            </w:r>
            <w:r w:rsidR="00850CFC" w:rsidRPr="00093DA0">
              <w:rPr>
                <w:rFonts w:ascii="Times New Roman" w:hAnsi="Times New Roman"/>
              </w:rPr>
              <w:t xml:space="preserve">the public sector at </w:t>
            </w:r>
            <w:r w:rsidR="00E21271" w:rsidRPr="00093DA0">
              <w:rPr>
                <w:rFonts w:ascii="Times New Roman" w:hAnsi="Times New Roman"/>
              </w:rPr>
              <w:t xml:space="preserve">the </w:t>
            </w:r>
            <w:r w:rsidR="00850CFC" w:rsidRPr="00093DA0">
              <w:rPr>
                <w:rFonts w:ascii="Times New Roman" w:hAnsi="Times New Roman"/>
              </w:rPr>
              <w:t xml:space="preserve">central and local government </w:t>
            </w:r>
            <w:r w:rsidR="00E21271" w:rsidRPr="00093DA0">
              <w:rPr>
                <w:rFonts w:ascii="Times New Roman" w:hAnsi="Times New Roman"/>
              </w:rPr>
              <w:t>levels</w:t>
            </w:r>
            <w:r w:rsidR="00850CFC" w:rsidRPr="00093DA0">
              <w:rPr>
                <w:rFonts w:ascii="Times New Roman" w:hAnsi="Times New Roman"/>
              </w:rPr>
              <w:t xml:space="preserve"> </w:t>
            </w:r>
            <w:r w:rsidR="006277E6">
              <w:rPr>
                <w:rFonts w:ascii="Times New Roman" w:hAnsi="Times New Roman"/>
              </w:rPr>
              <w:t>has limited capacity to</w:t>
            </w:r>
            <w:r>
              <w:rPr>
                <w:rFonts w:ascii="Times New Roman" w:hAnsi="Times New Roman"/>
              </w:rPr>
              <w:t xml:space="preserve"> implement </w:t>
            </w:r>
            <w:r w:rsidR="006277E6">
              <w:rPr>
                <w:rFonts w:ascii="Times New Roman" w:hAnsi="Times New Roman"/>
              </w:rPr>
              <w:t>or</w:t>
            </w:r>
            <w:r>
              <w:rPr>
                <w:rFonts w:ascii="Times New Roman" w:hAnsi="Times New Roman"/>
              </w:rPr>
              <w:t xml:space="preserve"> enforce</w:t>
            </w:r>
            <w:r w:rsidR="00F15F56">
              <w:rPr>
                <w:rFonts w:ascii="Times New Roman" w:hAnsi="Times New Roman"/>
              </w:rPr>
              <w:t xml:space="preserve"> </w:t>
            </w:r>
            <w:r w:rsidR="00850CFC" w:rsidRPr="00093DA0">
              <w:rPr>
                <w:rFonts w:ascii="Times New Roman" w:hAnsi="Times New Roman"/>
              </w:rPr>
              <w:t>energy management systems (EMS) in public buildings</w:t>
            </w:r>
            <w:r w:rsidR="00366E64" w:rsidRPr="00093DA0">
              <w:rPr>
                <w:rFonts w:ascii="Times New Roman" w:hAnsi="Times New Roman"/>
              </w:rPr>
              <w:t>,</w:t>
            </w:r>
            <w:r w:rsidR="00850CFC" w:rsidRPr="00093DA0">
              <w:rPr>
                <w:rFonts w:ascii="Times New Roman" w:hAnsi="Times New Roman"/>
              </w:rPr>
              <w:t xml:space="preserve"> </w:t>
            </w:r>
            <w:r w:rsidR="00E21271" w:rsidRPr="00093DA0">
              <w:rPr>
                <w:rFonts w:ascii="Times New Roman" w:hAnsi="Times New Roman"/>
              </w:rPr>
              <w:t>develop Energy</w:t>
            </w:r>
            <w:r w:rsidR="00CB005A" w:rsidRPr="00093DA0">
              <w:rPr>
                <w:rFonts w:ascii="Times New Roman" w:hAnsi="Times New Roman"/>
              </w:rPr>
              <w:t xml:space="preserve"> Efficiency</w:t>
            </w:r>
            <w:r w:rsidR="00850CFC" w:rsidRPr="00093DA0">
              <w:rPr>
                <w:rFonts w:ascii="Times New Roman" w:hAnsi="Times New Roman"/>
              </w:rPr>
              <w:t xml:space="preserve"> </w:t>
            </w:r>
            <w:r w:rsidR="00361895" w:rsidRPr="00093DA0">
              <w:rPr>
                <w:rFonts w:ascii="Times New Roman" w:hAnsi="Times New Roman"/>
              </w:rPr>
              <w:t xml:space="preserve">(EE) </w:t>
            </w:r>
            <w:r w:rsidR="00B3679A" w:rsidRPr="00093DA0">
              <w:rPr>
                <w:rFonts w:ascii="Times New Roman" w:hAnsi="Times New Roman"/>
                <w:lang w:val="en-US"/>
              </w:rPr>
              <w:t>measures prescribed in NECP</w:t>
            </w:r>
            <w:r w:rsidR="00960B56" w:rsidRPr="00093DA0">
              <w:rPr>
                <w:rFonts w:ascii="Times New Roman" w:hAnsi="Times New Roman"/>
              </w:rPr>
              <w:t xml:space="preserve"> and</w:t>
            </w:r>
            <w:r w:rsidR="00850CFC" w:rsidRPr="00093DA0">
              <w:rPr>
                <w:rFonts w:ascii="Times New Roman" w:hAnsi="Times New Roman"/>
              </w:rPr>
              <w:t xml:space="preserve"> improve energy efficiency.</w:t>
            </w:r>
            <w:r w:rsidR="00787BF8" w:rsidRPr="00093DA0">
              <w:rPr>
                <w:rFonts w:ascii="Times New Roman" w:hAnsi="Times New Roman"/>
              </w:rPr>
              <w:t xml:space="preserve"> According to the Energy Efficiency Law, municipalities must adopt a</w:t>
            </w:r>
            <w:r w:rsidR="00FA14EC" w:rsidRPr="00093DA0">
              <w:rPr>
                <w:rFonts w:ascii="Times New Roman" w:hAnsi="Times New Roman"/>
              </w:rPr>
              <w:t>nd implement</w:t>
            </w:r>
            <w:r w:rsidR="00787BF8" w:rsidRPr="00093DA0">
              <w:rPr>
                <w:rFonts w:ascii="Times New Roman" w:hAnsi="Times New Roman"/>
              </w:rPr>
              <w:t xml:space="preserve"> </w:t>
            </w:r>
            <w:r w:rsidR="00E21271" w:rsidRPr="00093DA0">
              <w:rPr>
                <w:rFonts w:ascii="Times New Roman" w:hAnsi="Times New Roman"/>
              </w:rPr>
              <w:t xml:space="preserve">a </w:t>
            </w:r>
            <w:r w:rsidR="00787BF8" w:rsidRPr="00093DA0">
              <w:rPr>
                <w:rFonts w:ascii="Times New Roman" w:hAnsi="Times New Roman"/>
              </w:rPr>
              <w:t>three-year EE programme</w:t>
            </w:r>
            <w:r w:rsidR="00C26644" w:rsidRPr="00093DA0">
              <w:rPr>
                <w:rFonts w:ascii="Times New Roman" w:hAnsi="Times New Roman"/>
              </w:rPr>
              <w:t>.</w:t>
            </w:r>
            <w:r w:rsidR="00A269FA" w:rsidRPr="00093DA0">
              <w:rPr>
                <w:rFonts w:ascii="Times New Roman" w:hAnsi="Times New Roman"/>
              </w:rPr>
              <w:t xml:space="preserve"> This process </w:t>
            </w:r>
            <w:r w:rsidR="00A944A7" w:rsidRPr="00093DA0">
              <w:rPr>
                <w:rFonts w:ascii="Times New Roman" w:hAnsi="Times New Roman"/>
              </w:rPr>
              <w:t>should</w:t>
            </w:r>
            <w:r w:rsidR="00A269FA" w:rsidRPr="00093DA0">
              <w:rPr>
                <w:rFonts w:ascii="Times New Roman" w:hAnsi="Times New Roman"/>
              </w:rPr>
              <w:t xml:space="preserve"> be</w:t>
            </w:r>
            <w:r w:rsidR="0065140C" w:rsidRPr="00093DA0">
              <w:rPr>
                <w:rFonts w:ascii="Times New Roman" w:hAnsi="Times New Roman"/>
              </w:rPr>
              <w:t xml:space="preserve"> coordinated and</w:t>
            </w:r>
            <w:r w:rsidR="00A269FA" w:rsidRPr="00093DA0">
              <w:rPr>
                <w:rFonts w:ascii="Times New Roman" w:hAnsi="Times New Roman"/>
              </w:rPr>
              <w:t xml:space="preserve"> supported </w:t>
            </w:r>
            <w:r w:rsidR="00A944A7" w:rsidRPr="00093DA0">
              <w:rPr>
                <w:rFonts w:ascii="Times New Roman" w:hAnsi="Times New Roman"/>
              </w:rPr>
              <w:t>by the Energy Agency</w:t>
            </w:r>
            <w:r w:rsidR="0065140C" w:rsidRPr="00093DA0">
              <w:rPr>
                <w:rFonts w:ascii="Times New Roman" w:hAnsi="Times New Roman"/>
              </w:rPr>
              <w:t xml:space="preserve"> (EA)</w:t>
            </w:r>
            <w:r w:rsidR="00266AE5">
              <w:rPr>
                <w:rFonts w:ascii="Times New Roman" w:hAnsi="Times New Roman"/>
              </w:rPr>
              <w:t xml:space="preserve">, </w:t>
            </w:r>
            <w:r w:rsidR="00266AE5">
              <w:rPr>
                <w:rFonts w:ascii="Times New Roman" w:hAnsi="Times New Roman"/>
              </w:rPr>
              <w:lastRenderedPageBreak/>
              <w:t>operating</w:t>
            </w:r>
            <w:r w:rsidR="00FA14EC" w:rsidRPr="00093DA0">
              <w:rPr>
                <w:rFonts w:ascii="Times New Roman" w:hAnsi="Times New Roman"/>
              </w:rPr>
              <w:t xml:space="preserve"> </w:t>
            </w:r>
            <w:r w:rsidR="00573326" w:rsidRPr="00093DA0">
              <w:rPr>
                <w:rFonts w:ascii="Times New Roman" w:hAnsi="Times New Roman"/>
              </w:rPr>
              <w:t xml:space="preserve">under </w:t>
            </w:r>
            <w:r w:rsidR="00FA14EC" w:rsidRPr="00093DA0">
              <w:rPr>
                <w:rFonts w:ascii="Times New Roman" w:hAnsi="Times New Roman"/>
              </w:rPr>
              <w:t>the Ministry of Economy</w:t>
            </w:r>
            <w:r w:rsidR="00266AE5">
              <w:rPr>
                <w:rFonts w:ascii="Times New Roman" w:hAnsi="Times New Roman"/>
              </w:rPr>
              <w:t xml:space="preserve">’s </w:t>
            </w:r>
            <w:r w:rsidR="00266AE5" w:rsidRPr="00093DA0">
              <w:rPr>
                <w:rFonts w:ascii="Times New Roman" w:hAnsi="Times New Roman"/>
              </w:rPr>
              <w:t>supervision</w:t>
            </w:r>
            <w:r w:rsidR="00266AE5">
              <w:rPr>
                <w:rFonts w:ascii="Times New Roman" w:hAnsi="Times New Roman"/>
              </w:rPr>
              <w:t>.</w:t>
            </w:r>
            <w:r w:rsidR="00266AE5" w:rsidRPr="00093DA0">
              <w:rPr>
                <w:rFonts w:ascii="Times New Roman" w:hAnsi="Times New Roman"/>
              </w:rPr>
              <w:t xml:space="preserve"> </w:t>
            </w:r>
            <w:r w:rsidR="00266AE5">
              <w:rPr>
                <w:rFonts w:ascii="Times New Roman" w:hAnsi="Times New Roman"/>
              </w:rPr>
              <w:t xml:space="preserve">The line ministry is </w:t>
            </w:r>
            <w:r w:rsidR="00FA14EC" w:rsidRPr="00093DA0">
              <w:rPr>
                <w:rFonts w:ascii="Times New Roman" w:hAnsi="Times New Roman"/>
              </w:rPr>
              <w:t xml:space="preserve">responsible for the energy policy </w:t>
            </w:r>
            <w:r w:rsidR="00266AE5">
              <w:rPr>
                <w:rFonts w:ascii="Times New Roman" w:hAnsi="Times New Roman"/>
              </w:rPr>
              <w:t>and its</w:t>
            </w:r>
            <w:r w:rsidR="00266AE5" w:rsidRPr="00093DA0">
              <w:rPr>
                <w:rFonts w:ascii="Times New Roman" w:hAnsi="Times New Roman"/>
              </w:rPr>
              <w:t xml:space="preserve"> </w:t>
            </w:r>
            <w:r w:rsidR="00FA14EC" w:rsidRPr="00093DA0">
              <w:rPr>
                <w:rFonts w:ascii="Times New Roman" w:hAnsi="Times New Roman"/>
              </w:rPr>
              <w:t xml:space="preserve">capacity </w:t>
            </w:r>
            <w:r w:rsidR="00266AE5">
              <w:rPr>
                <w:rFonts w:ascii="Times New Roman" w:hAnsi="Times New Roman"/>
              </w:rPr>
              <w:t>is</w:t>
            </w:r>
            <w:r w:rsidR="00FA14EC" w:rsidRPr="00093DA0">
              <w:rPr>
                <w:rFonts w:ascii="Times New Roman" w:hAnsi="Times New Roman"/>
              </w:rPr>
              <w:t xml:space="preserve"> limited</w:t>
            </w:r>
            <w:r w:rsidR="0065140C" w:rsidRPr="00093DA0">
              <w:rPr>
                <w:rFonts w:ascii="Times New Roman" w:hAnsi="Times New Roman"/>
              </w:rPr>
              <w:t>.</w:t>
            </w:r>
            <w:r w:rsidR="00266AE5">
              <w:rPr>
                <w:rFonts w:ascii="Times New Roman" w:hAnsi="Times New Roman"/>
              </w:rPr>
              <w:t xml:space="preserve"> </w:t>
            </w:r>
            <w:r w:rsidR="00E11D77" w:rsidRPr="00093DA0">
              <w:rPr>
                <w:rFonts w:ascii="Times New Roman" w:eastAsia="NSimSun" w:hAnsi="Times New Roman"/>
                <w:bCs/>
                <w:kern w:val="3"/>
                <w:lang w:val="en-US" w:eastAsia="zh-CN" w:bidi="hi-IN"/>
              </w:rPr>
              <w:t>There is also a flawed monitoring system related to verifying energy savings. The software developed for this task (MVP)</w:t>
            </w:r>
            <w:r w:rsidR="00573326" w:rsidRPr="00093DA0">
              <w:rPr>
                <w:rFonts w:ascii="Times New Roman" w:eastAsia="NSimSun" w:hAnsi="Times New Roman"/>
                <w:bCs/>
                <w:kern w:val="3"/>
                <w:lang w:val="en-US" w:eastAsia="zh-CN" w:bidi="hi-IN"/>
              </w:rPr>
              <w:t xml:space="preserve"> is not implemented yet</w:t>
            </w:r>
            <w:r w:rsidR="004427B4">
              <w:rPr>
                <w:rFonts w:ascii="Times New Roman" w:eastAsia="NSimSun" w:hAnsi="Times New Roman"/>
                <w:bCs/>
                <w:kern w:val="3"/>
                <w:lang w:val="en-US" w:eastAsia="zh-CN" w:bidi="hi-IN"/>
              </w:rPr>
              <w:t>, thus step-by-step guidance is needed</w:t>
            </w:r>
            <w:r w:rsidR="00E11D77" w:rsidRPr="00093DA0">
              <w:rPr>
                <w:rFonts w:ascii="Times New Roman" w:eastAsia="NSimSun" w:hAnsi="Times New Roman"/>
                <w:bCs/>
                <w:kern w:val="3"/>
                <w:lang w:val="en-US" w:eastAsia="zh-CN" w:bidi="hi-IN"/>
              </w:rPr>
              <w:t xml:space="preserve">. </w:t>
            </w:r>
            <w:r w:rsidR="00FA14EC" w:rsidRPr="00093DA0">
              <w:rPr>
                <w:rFonts w:ascii="Times New Roman" w:eastAsia="NSimSun" w:hAnsi="Times New Roman"/>
                <w:bCs/>
                <w:kern w:val="3"/>
                <w:lang w:val="en-US" w:eastAsia="zh-CN" w:bidi="hi-IN"/>
              </w:rPr>
              <w:t xml:space="preserve">There is no </w:t>
            </w:r>
            <w:r w:rsidR="00E11D77" w:rsidRPr="00093DA0">
              <w:rPr>
                <w:rFonts w:ascii="Times New Roman" w:eastAsia="NSimSun" w:hAnsi="Times New Roman"/>
                <w:bCs/>
                <w:kern w:val="3"/>
                <w:lang w:val="en-US" w:eastAsia="zh-CN" w:bidi="hi-IN"/>
              </w:rPr>
              <w:t xml:space="preserve">obligation </w:t>
            </w:r>
            <w:r w:rsidR="00FA14EC" w:rsidRPr="00093DA0">
              <w:rPr>
                <w:rFonts w:ascii="Times New Roman" w:eastAsia="NSimSun" w:hAnsi="Times New Roman"/>
                <w:bCs/>
                <w:kern w:val="3"/>
                <w:lang w:val="en-US" w:eastAsia="zh-CN" w:bidi="hi-IN"/>
              </w:rPr>
              <w:t>for</w:t>
            </w:r>
            <w:r w:rsidR="00E11D77" w:rsidRPr="00093DA0">
              <w:rPr>
                <w:rFonts w:ascii="Times New Roman" w:eastAsia="NSimSun" w:hAnsi="Times New Roman"/>
                <w:bCs/>
                <w:kern w:val="3"/>
                <w:lang w:val="en-US" w:eastAsia="zh-CN" w:bidi="hi-IN"/>
              </w:rPr>
              <w:t xml:space="preserve"> energy audits and </w:t>
            </w:r>
            <w:r w:rsidR="00FA14EC" w:rsidRPr="00093DA0">
              <w:rPr>
                <w:rFonts w:ascii="Times New Roman" w:eastAsia="NSimSun" w:hAnsi="Times New Roman"/>
                <w:bCs/>
                <w:kern w:val="3"/>
                <w:lang w:val="en-US" w:eastAsia="zh-CN" w:bidi="hi-IN"/>
              </w:rPr>
              <w:t xml:space="preserve">issuing </w:t>
            </w:r>
            <w:r w:rsidR="00E11D77" w:rsidRPr="00093DA0">
              <w:rPr>
                <w:rFonts w:ascii="Times New Roman" w:eastAsia="NSimSun" w:hAnsi="Times New Roman"/>
                <w:bCs/>
                <w:kern w:val="3"/>
                <w:lang w:val="en-US" w:eastAsia="zh-CN" w:bidi="hi-IN"/>
              </w:rPr>
              <w:t>energy efficiency certificates for public buildings</w:t>
            </w:r>
            <w:r w:rsidR="0073679C" w:rsidRPr="00093DA0">
              <w:rPr>
                <w:rFonts w:ascii="Times New Roman" w:eastAsia="NSimSun" w:hAnsi="Times New Roman"/>
                <w:bCs/>
                <w:kern w:val="3"/>
                <w:lang w:val="en-US" w:eastAsia="zh-CN" w:bidi="hi-IN"/>
              </w:rPr>
              <w:t xml:space="preserve"> in accordance with the new bylaws</w:t>
            </w:r>
            <w:r w:rsidR="00E11D77" w:rsidRPr="00093DA0">
              <w:rPr>
                <w:rFonts w:ascii="Times New Roman" w:eastAsia="NSimSun" w:hAnsi="Times New Roman"/>
                <w:bCs/>
                <w:kern w:val="3"/>
                <w:lang w:val="en-US" w:eastAsia="zh-CN" w:bidi="hi-IN"/>
              </w:rPr>
              <w:t xml:space="preserve">. </w:t>
            </w:r>
          </w:p>
          <w:p w14:paraId="2FCE07F0" w14:textId="77777777" w:rsidR="00263FA6" w:rsidRPr="00093DA0" w:rsidRDefault="00263FA6" w:rsidP="00263FA6">
            <w:pPr>
              <w:spacing w:after="0" w:line="240" w:lineRule="auto"/>
              <w:jc w:val="both"/>
              <w:rPr>
                <w:rFonts w:ascii="Times New Roman" w:eastAsia="NSimSun" w:hAnsi="Times New Roman"/>
                <w:bCs/>
                <w:kern w:val="3"/>
                <w:lang w:val="en-US" w:eastAsia="zh-CN" w:bidi="hi-IN"/>
              </w:rPr>
            </w:pPr>
          </w:p>
          <w:p w14:paraId="0488A721" w14:textId="219BCDFA" w:rsidR="000C3F97" w:rsidRDefault="004427B4" w:rsidP="009D0D4D">
            <w:pPr>
              <w:spacing w:after="0" w:line="240" w:lineRule="auto"/>
              <w:jc w:val="both"/>
              <w:rPr>
                <w:rFonts w:ascii="Times New Roman" w:hAnsi="Times New Roman"/>
              </w:rPr>
            </w:pPr>
            <w:r>
              <w:rPr>
                <w:rFonts w:ascii="Times New Roman" w:hAnsi="Times New Roman"/>
              </w:rPr>
              <w:t>Th</w:t>
            </w:r>
            <w:bookmarkStart w:id="1" w:name="_GoBack"/>
            <w:bookmarkEnd w:id="1"/>
            <w:r w:rsidR="000C3F97" w:rsidRPr="00093DA0">
              <w:rPr>
                <w:rFonts w:ascii="Times New Roman" w:hAnsi="Times New Roman"/>
              </w:rPr>
              <w:t xml:space="preserve">e Energy Efficiency Fund, </w:t>
            </w:r>
            <w:r>
              <w:rPr>
                <w:rFonts w:ascii="Times New Roman" w:hAnsi="Times New Roman"/>
              </w:rPr>
              <w:t xml:space="preserve">supported by the World Bank, </w:t>
            </w:r>
            <w:r w:rsidR="000C3F97" w:rsidRPr="00093DA0">
              <w:rPr>
                <w:rFonts w:ascii="Times New Roman" w:hAnsi="Times New Roman"/>
              </w:rPr>
              <w:t>which is expected to be the primary financial lever for EE and RES in the public sector,</w:t>
            </w:r>
            <w:r>
              <w:rPr>
                <w:rFonts w:ascii="Times New Roman" w:hAnsi="Times New Roman"/>
              </w:rPr>
              <w:t xml:space="preserve"> will be established by Q1 2023</w:t>
            </w:r>
            <w:r w:rsidR="000C3F97" w:rsidRPr="00093DA0">
              <w:rPr>
                <w:rFonts w:ascii="Times New Roman" w:hAnsi="Times New Roman"/>
              </w:rPr>
              <w:t xml:space="preserve">. There is also </w:t>
            </w:r>
            <w:r w:rsidR="00960B56" w:rsidRPr="00093DA0">
              <w:rPr>
                <w:rFonts w:ascii="Times New Roman" w:hAnsi="Times New Roman"/>
              </w:rPr>
              <w:t xml:space="preserve">a </w:t>
            </w:r>
            <w:r w:rsidR="000C3F97" w:rsidRPr="00093DA0">
              <w:rPr>
                <w:rFonts w:ascii="Times New Roman" w:hAnsi="Times New Roman"/>
              </w:rPr>
              <w:t xml:space="preserve">need to develop the market for energy services in line with the Energy </w:t>
            </w:r>
            <w:r w:rsidR="00CC278C" w:rsidRPr="00093DA0">
              <w:rPr>
                <w:rFonts w:ascii="Times New Roman" w:hAnsi="Times New Roman"/>
              </w:rPr>
              <w:t xml:space="preserve">Service </w:t>
            </w:r>
            <w:r w:rsidR="000C3F97" w:rsidRPr="00093DA0">
              <w:rPr>
                <w:rFonts w:ascii="Times New Roman" w:hAnsi="Times New Roman"/>
              </w:rPr>
              <w:t xml:space="preserve">Company (ESCO) model, which may be used to overcome the lack of </w:t>
            </w:r>
            <w:r w:rsidR="002C5FC0" w:rsidRPr="00093DA0">
              <w:rPr>
                <w:rFonts w:ascii="Times New Roman" w:hAnsi="Times New Roman"/>
              </w:rPr>
              <w:t xml:space="preserve">financial </w:t>
            </w:r>
            <w:r w:rsidR="00CC278C" w:rsidRPr="00093DA0">
              <w:rPr>
                <w:rFonts w:ascii="Times New Roman" w:hAnsi="Times New Roman"/>
              </w:rPr>
              <w:t xml:space="preserve">and technical </w:t>
            </w:r>
            <w:r w:rsidR="002C5FC0" w:rsidRPr="00093DA0">
              <w:rPr>
                <w:rFonts w:ascii="Times New Roman" w:hAnsi="Times New Roman"/>
              </w:rPr>
              <w:t>resources</w:t>
            </w:r>
            <w:r w:rsidR="000C3F97" w:rsidRPr="00093DA0">
              <w:rPr>
                <w:rFonts w:ascii="Times New Roman" w:hAnsi="Times New Roman"/>
              </w:rPr>
              <w:t xml:space="preserve"> in the public sector. However, promoting the ESCO market for the public sector requires </w:t>
            </w:r>
            <w:r w:rsidR="002C5FC0" w:rsidRPr="00093DA0">
              <w:rPr>
                <w:rFonts w:ascii="Times New Roman" w:hAnsi="Times New Roman"/>
              </w:rPr>
              <w:t xml:space="preserve">the </w:t>
            </w:r>
            <w:r w:rsidR="000C3F97" w:rsidRPr="00093DA0">
              <w:rPr>
                <w:rFonts w:ascii="Times New Roman" w:hAnsi="Times New Roman"/>
              </w:rPr>
              <w:t>develop</w:t>
            </w:r>
            <w:r w:rsidR="002C5FC0" w:rsidRPr="00093DA0">
              <w:rPr>
                <w:rFonts w:ascii="Times New Roman" w:hAnsi="Times New Roman"/>
              </w:rPr>
              <w:t>ment of</w:t>
            </w:r>
            <w:r w:rsidR="000C3F97" w:rsidRPr="00093DA0">
              <w:rPr>
                <w:rFonts w:ascii="Times New Roman" w:hAnsi="Times New Roman"/>
              </w:rPr>
              <w:t xml:space="preserve"> a contract</w:t>
            </w:r>
            <w:r w:rsidR="002C5FC0" w:rsidRPr="00093DA0">
              <w:rPr>
                <w:rFonts w:ascii="Times New Roman" w:hAnsi="Times New Roman"/>
              </w:rPr>
              <w:t xml:space="preserve"> template</w:t>
            </w:r>
            <w:r w:rsidR="000C3F97" w:rsidRPr="00093DA0">
              <w:rPr>
                <w:rFonts w:ascii="Times New Roman" w:hAnsi="Times New Roman"/>
              </w:rPr>
              <w:t xml:space="preserve"> and clearly defined procedures</w:t>
            </w:r>
            <w:r w:rsidR="002C5FC0" w:rsidRPr="00093DA0">
              <w:rPr>
                <w:rFonts w:ascii="Times New Roman" w:hAnsi="Times New Roman"/>
              </w:rPr>
              <w:t xml:space="preserve"> ranging</w:t>
            </w:r>
            <w:r w:rsidR="000C3F97" w:rsidRPr="00093DA0">
              <w:rPr>
                <w:rFonts w:ascii="Times New Roman" w:hAnsi="Times New Roman"/>
              </w:rPr>
              <w:t xml:space="preserve"> from public procurement of energy services</w:t>
            </w:r>
            <w:r w:rsidR="002C5FC0" w:rsidRPr="00093DA0">
              <w:rPr>
                <w:rFonts w:ascii="Times New Roman" w:hAnsi="Times New Roman"/>
              </w:rPr>
              <w:t xml:space="preserve"> to</w:t>
            </w:r>
            <w:r w:rsidR="000C3F97" w:rsidRPr="00093DA0">
              <w:rPr>
                <w:rFonts w:ascii="Times New Roman" w:hAnsi="Times New Roman"/>
              </w:rPr>
              <w:t xml:space="preserve"> accounting procedures </w:t>
            </w:r>
            <w:r w:rsidR="002C5FC0" w:rsidRPr="00093DA0">
              <w:rPr>
                <w:rFonts w:ascii="Times New Roman" w:hAnsi="Times New Roman"/>
              </w:rPr>
              <w:t xml:space="preserve">and </w:t>
            </w:r>
            <w:r w:rsidR="000C3F97" w:rsidRPr="00093DA0">
              <w:rPr>
                <w:rFonts w:ascii="Times New Roman" w:hAnsi="Times New Roman"/>
              </w:rPr>
              <w:t xml:space="preserve">monitoring and </w:t>
            </w:r>
            <w:r w:rsidR="002C5FC0" w:rsidRPr="00093DA0">
              <w:rPr>
                <w:rFonts w:ascii="Times New Roman" w:hAnsi="Times New Roman"/>
              </w:rPr>
              <w:t xml:space="preserve">verification of </w:t>
            </w:r>
            <w:r w:rsidR="000C3F97" w:rsidRPr="00093DA0">
              <w:rPr>
                <w:rFonts w:ascii="Times New Roman" w:hAnsi="Times New Roman"/>
              </w:rPr>
              <w:t>energy savings.</w:t>
            </w:r>
          </w:p>
          <w:p w14:paraId="08D37F3A" w14:textId="13791932" w:rsidR="001B4408" w:rsidRDefault="001B4408" w:rsidP="009D0D4D">
            <w:pPr>
              <w:spacing w:after="0" w:line="240" w:lineRule="auto"/>
              <w:jc w:val="both"/>
              <w:rPr>
                <w:rFonts w:ascii="Times New Roman" w:hAnsi="Times New Roman"/>
              </w:rPr>
            </w:pPr>
          </w:p>
          <w:p w14:paraId="27C85B79" w14:textId="4E4A11D3" w:rsidR="001B4408" w:rsidRDefault="001B4408" w:rsidP="009D0D4D">
            <w:pPr>
              <w:spacing w:after="0" w:line="240" w:lineRule="auto"/>
              <w:jc w:val="both"/>
              <w:rPr>
                <w:rFonts w:ascii="Times New Roman" w:hAnsi="Times New Roman"/>
              </w:rPr>
            </w:pPr>
            <w:r>
              <w:rPr>
                <w:rFonts w:ascii="Times New Roman" w:hAnsi="Times New Roman"/>
              </w:rPr>
              <w:t>Considering the regional Action Plan for the Green Agenda, the element of Just Transition has to be considered as one of the most important concepts that will ensure the transition from coal</w:t>
            </w:r>
            <w:r w:rsidR="009D2A98">
              <w:rPr>
                <w:rFonts w:ascii="Times New Roman" w:hAnsi="Times New Roman"/>
              </w:rPr>
              <w:t>, ensuring the co-existence of a healthy economy and clean environment</w:t>
            </w:r>
            <w:r>
              <w:rPr>
                <w:rFonts w:ascii="Times New Roman" w:hAnsi="Times New Roman"/>
              </w:rPr>
              <w:t xml:space="preserve">. The </w:t>
            </w:r>
            <w:r w:rsidR="009D2A98">
              <w:rPr>
                <w:rFonts w:ascii="Times New Roman" w:hAnsi="Times New Roman"/>
              </w:rPr>
              <w:t>process for achieving this vision is translated into a</w:t>
            </w:r>
            <w:r>
              <w:rPr>
                <w:rFonts w:ascii="Times New Roman" w:hAnsi="Times New Roman"/>
              </w:rPr>
              <w:t xml:space="preserve"> national Just Transition Action Plan </w:t>
            </w:r>
            <w:r w:rsidR="009D2A98">
              <w:rPr>
                <w:rFonts w:ascii="Times New Roman" w:hAnsi="Times New Roman"/>
              </w:rPr>
              <w:t xml:space="preserve">that is being developed with ongoing EU assistance and </w:t>
            </w:r>
            <w:r w:rsidR="00826273">
              <w:rPr>
                <w:rFonts w:ascii="Times New Roman" w:hAnsi="Times New Roman"/>
              </w:rPr>
              <w:t>national Green Agenda Action Plan which is under preparation.</w:t>
            </w:r>
          </w:p>
          <w:p w14:paraId="287E530D" w14:textId="6735914B" w:rsidR="001B4408" w:rsidRPr="00093DA0" w:rsidRDefault="001B4408" w:rsidP="001B4408">
            <w:pPr>
              <w:spacing w:before="120" w:after="0" w:line="240" w:lineRule="auto"/>
              <w:jc w:val="both"/>
              <w:rPr>
                <w:rFonts w:ascii="Times New Roman" w:eastAsia="NSimSun" w:hAnsi="Times New Roman"/>
                <w:bCs/>
                <w:kern w:val="3"/>
                <w:lang w:val="en-US" w:eastAsia="zh-CN" w:bidi="hi-IN"/>
              </w:rPr>
            </w:pPr>
            <w:r>
              <w:rPr>
                <w:rFonts w:ascii="Times New Roman" w:eastAsia="NSimSun" w:hAnsi="Times New Roman"/>
                <w:bCs/>
                <w:kern w:val="3"/>
                <w:lang w:val="en-US" w:eastAsia="zh-CN" w:bidi="hi-IN"/>
              </w:rPr>
              <w:t xml:space="preserve">Talking about energy policy, it is important that the country creates a </w:t>
            </w:r>
            <w:r w:rsidR="00826273">
              <w:rPr>
                <w:rFonts w:ascii="Times New Roman" w:eastAsia="NSimSun" w:hAnsi="Times New Roman"/>
                <w:bCs/>
                <w:kern w:val="3"/>
                <w:lang w:val="en-US" w:eastAsia="zh-CN" w:bidi="hi-IN"/>
              </w:rPr>
              <w:t>strategy</w:t>
            </w:r>
            <w:r>
              <w:rPr>
                <w:rFonts w:ascii="Times New Roman" w:eastAsia="NSimSun" w:hAnsi="Times New Roman"/>
                <w:bCs/>
                <w:kern w:val="3"/>
                <w:lang w:val="en-US" w:eastAsia="zh-CN" w:bidi="hi-IN"/>
              </w:rPr>
              <w:t xml:space="preserve"> addressing energy poverty, which with the current energy crises</w:t>
            </w:r>
            <w:r w:rsidR="00826273">
              <w:rPr>
                <w:rFonts w:ascii="Times New Roman" w:eastAsia="NSimSun" w:hAnsi="Times New Roman"/>
                <w:bCs/>
                <w:kern w:val="3"/>
                <w:lang w:val="en-US" w:eastAsia="zh-CN" w:bidi="hi-IN"/>
              </w:rPr>
              <w:t>, is a reality</w:t>
            </w:r>
            <w:r>
              <w:rPr>
                <w:rFonts w:ascii="Times New Roman" w:eastAsia="NSimSun" w:hAnsi="Times New Roman"/>
                <w:bCs/>
                <w:kern w:val="3"/>
                <w:lang w:val="en-US" w:eastAsia="zh-CN" w:bidi="hi-IN"/>
              </w:rPr>
              <w:t xml:space="preserve">. Therefore, it is vital to consider doing a proper assessment of energy poverty on </w:t>
            </w:r>
            <w:r w:rsidR="00826273">
              <w:rPr>
                <w:rFonts w:ascii="Times New Roman" w:eastAsia="NSimSun" w:hAnsi="Times New Roman"/>
                <w:bCs/>
                <w:kern w:val="3"/>
                <w:lang w:val="en-US" w:eastAsia="zh-CN" w:bidi="hi-IN"/>
              </w:rPr>
              <w:t xml:space="preserve">central and/or </w:t>
            </w:r>
            <w:r>
              <w:rPr>
                <w:rFonts w:ascii="Times New Roman" w:eastAsia="NSimSun" w:hAnsi="Times New Roman"/>
                <w:bCs/>
                <w:kern w:val="3"/>
                <w:lang w:val="en-US" w:eastAsia="zh-CN" w:bidi="hi-IN"/>
              </w:rPr>
              <w:t xml:space="preserve">local level, develop and execute an informed plan and impactful energy poverty projects. </w:t>
            </w:r>
          </w:p>
          <w:p w14:paraId="22F19217" w14:textId="77777777" w:rsidR="001B4408" w:rsidRPr="009D0D4D" w:rsidRDefault="001B4408" w:rsidP="009D0D4D">
            <w:pPr>
              <w:spacing w:after="0" w:line="240" w:lineRule="auto"/>
              <w:jc w:val="both"/>
              <w:rPr>
                <w:rFonts w:ascii="Times New Roman" w:hAnsi="Times New Roman"/>
                <w:lang w:val="en-US"/>
              </w:rPr>
            </w:pPr>
          </w:p>
          <w:p w14:paraId="09805543" w14:textId="77777777" w:rsidR="000345C9" w:rsidRPr="00093DA0" w:rsidRDefault="000345C9" w:rsidP="004330D3">
            <w:pPr>
              <w:spacing w:before="120" w:after="0" w:line="240" w:lineRule="auto"/>
              <w:jc w:val="both"/>
              <w:rPr>
                <w:rFonts w:ascii="Times New Roman" w:hAnsi="Times New Roman"/>
              </w:rPr>
            </w:pPr>
            <w:r w:rsidRPr="00093DA0">
              <w:rPr>
                <w:rFonts w:ascii="Times New Roman" w:hAnsi="Times New Roman"/>
              </w:rPr>
              <w:t xml:space="preserve">This component aims at achieving the following </w:t>
            </w:r>
            <w:r w:rsidR="009C5BBD" w:rsidRPr="00093DA0">
              <w:rPr>
                <w:rFonts w:ascii="Times New Roman" w:hAnsi="Times New Roman"/>
              </w:rPr>
              <w:t>outputs</w:t>
            </w:r>
            <w:r w:rsidRPr="00093DA0">
              <w:rPr>
                <w:rFonts w:ascii="Times New Roman" w:hAnsi="Times New Roman"/>
              </w:rPr>
              <w:t>:</w:t>
            </w:r>
          </w:p>
          <w:p w14:paraId="1B53AEA1" w14:textId="7139AE02" w:rsidR="009B4893" w:rsidRPr="009D0D4D" w:rsidRDefault="008F7E5F" w:rsidP="009D0D4D">
            <w:pPr>
              <w:pStyle w:val="ListParagraph"/>
              <w:numPr>
                <w:ilvl w:val="1"/>
                <w:numId w:val="74"/>
              </w:numPr>
              <w:spacing w:before="120" w:after="0" w:line="240" w:lineRule="auto"/>
              <w:jc w:val="both"/>
              <w:rPr>
                <w:rFonts w:ascii="Times New Roman" w:hAnsi="Times New Roman"/>
                <w:i/>
                <w:iCs/>
              </w:rPr>
            </w:pPr>
            <w:bookmarkStart w:id="2" w:name="_Hlk108258420"/>
            <w:r w:rsidRPr="009D0D4D">
              <w:rPr>
                <w:rFonts w:ascii="Times New Roman" w:hAnsi="Times New Roman"/>
                <w:i/>
                <w:iCs/>
              </w:rPr>
              <w:t xml:space="preserve">Strengthened </w:t>
            </w:r>
            <w:r w:rsidR="00393DEA" w:rsidRPr="009D0D4D">
              <w:rPr>
                <w:rFonts w:ascii="Times New Roman" w:hAnsi="Times New Roman"/>
                <w:i/>
                <w:iCs/>
              </w:rPr>
              <w:t>n</w:t>
            </w:r>
            <w:r w:rsidR="00304AEB" w:rsidRPr="009D0D4D">
              <w:rPr>
                <w:rFonts w:ascii="Times New Roman" w:hAnsi="Times New Roman"/>
                <w:i/>
                <w:iCs/>
              </w:rPr>
              <w:t>ational energy policy</w:t>
            </w:r>
            <w:r w:rsidR="002C5FC0" w:rsidRPr="009D0D4D">
              <w:rPr>
                <w:rFonts w:ascii="Times New Roman" w:hAnsi="Times New Roman"/>
                <w:i/>
                <w:iCs/>
              </w:rPr>
              <w:t xml:space="preserve"> </w:t>
            </w:r>
            <w:r w:rsidR="004330D3" w:rsidRPr="009D0D4D">
              <w:rPr>
                <w:rFonts w:ascii="Times New Roman" w:hAnsi="Times New Roman"/>
                <w:i/>
                <w:iCs/>
              </w:rPr>
              <w:t xml:space="preserve">and institutional framework </w:t>
            </w:r>
            <w:r w:rsidRPr="009D0D4D">
              <w:rPr>
                <w:rFonts w:ascii="Times New Roman" w:hAnsi="Times New Roman"/>
                <w:i/>
                <w:iCs/>
              </w:rPr>
              <w:t>through:</w:t>
            </w:r>
          </w:p>
          <w:p w14:paraId="4E20022C" w14:textId="6A36C946" w:rsidR="004E41C9" w:rsidRDefault="004E41C9" w:rsidP="009D0D4D">
            <w:pPr>
              <w:pStyle w:val="ListParagraph"/>
              <w:spacing w:before="120" w:after="0" w:line="240" w:lineRule="auto"/>
              <w:ind w:left="360"/>
              <w:jc w:val="both"/>
              <w:rPr>
                <w:rFonts w:ascii="Times New Roman" w:hAnsi="Times New Roman"/>
                <w:i/>
                <w:iCs/>
              </w:rPr>
            </w:pPr>
          </w:p>
          <w:p w14:paraId="52D47D16" w14:textId="19831CED" w:rsidR="004E41C9" w:rsidRPr="009D0D4D" w:rsidRDefault="004E41C9" w:rsidP="009D0D4D">
            <w:pPr>
              <w:pStyle w:val="ListParagraph"/>
              <w:numPr>
                <w:ilvl w:val="0"/>
                <w:numId w:val="75"/>
              </w:numPr>
              <w:spacing w:before="120" w:after="0" w:line="240" w:lineRule="auto"/>
              <w:ind w:left="738"/>
              <w:jc w:val="both"/>
              <w:rPr>
                <w:rFonts w:ascii="Times New Roman" w:hAnsi="Times New Roman"/>
                <w:i/>
                <w:iCs/>
              </w:rPr>
            </w:pPr>
            <w:r>
              <w:rPr>
                <w:rFonts w:ascii="Times New Roman" w:hAnsi="Times New Roman"/>
                <w:i/>
                <w:iCs/>
              </w:rPr>
              <w:t>Policy advise and consultancy support for:</w:t>
            </w:r>
          </w:p>
          <w:p w14:paraId="745F0E4F" w14:textId="4E77B438" w:rsidR="005E7201" w:rsidRPr="00093DA0" w:rsidRDefault="005D2A88" w:rsidP="004330D3">
            <w:pPr>
              <w:pStyle w:val="ListParagraph"/>
              <w:numPr>
                <w:ilvl w:val="0"/>
                <w:numId w:val="57"/>
              </w:numPr>
              <w:spacing w:before="120" w:after="0" w:line="240" w:lineRule="auto"/>
              <w:ind w:left="1066" w:hanging="357"/>
              <w:contextualSpacing w:val="0"/>
              <w:jc w:val="both"/>
              <w:rPr>
                <w:rFonts w:ascii="Times New Roman" w:hAnsi="Times New Roman"/>
              </w:rPr>
            </w:pPr>
            <w:r>
              <w:rPr>
                <w:rFonts w:ascii="Times New Roman" w:hAnsi="Times New Roman"/>
              </w:rPr>
              <w:t>Align</w:t>
            </w:r>
            <w:r w:rsidR="00F86B63">
              <w:rPr>
                <w:rFonts w:ascii="Times New Roman" w:hAnsi="Times New Roman"/>
              </w:rPr>
              <w:t>ing</w:t>
            </w:r>
            <w:r w:rsidR="00AF66D9" w:rsidRPr="00093DA0">
              <w:rPr>
                <w:rFonts w:ascii="Times New Roman" w:hAnsi="Times New Roman"/>
              </w:rPr>
              <w:t xml:space="preserve"> the national legislation </w:t>
            </w:r>
            <w:r w:rsidR="008F7E5F" w:rsidRPr="00093DA0">
              <w:rPr>
                <w:rFonts w:ascii="Times New Roman" w:hAnsi="Times New Roman"/>
              </w:rPr>
              <w:t>with</w:t>
            </w:r>
            <w:r w:rsidR="009727AB" w:rsidRPr="00093DA0">
              <w:rPr>
                <w:rFonts w:ascii="Times New Roman" w:hAnsi="Times New Roman"/>
                <w:lang w:val="mk-MK"/>
              </w:rPr>
              <w:t xml:space="preserve"> </w:t>
            </w:r>
            <w:r w:rsidR="009727AB" w:rsidRPr="00093DA0">
              <w:rPr>
                <w:rFonts w:ascii="Times New Roman" w:hAnsi="Times New Roman"/>
                <w:lang w:val="en-US"/>
              </w:rPr>
              <w:t>new</w:t>
            </w:r>
            <w:r w:rsidR="008F7E5F" w:rsidRPr="00093DA0">
              <w:rPr>
                <w:rFonts w:ascii="Times New Roman" w:hAnsi="Times New Roman"/>
              </w:rPr>
              <w:t xml:space="preserve"> EU </w:t>
            </w:r>
            <w:r w:rsidR="008F7E5F" w:rsidRPr="00093DA0">
              <w:rPr>
                <w:rFonts w:ascii="Times New Roman" w:hAnsi="Times New Roman"/>
                <w:i/>
                <w:iCs/>
              </w:rPr>
              <w:t>acquis</w:t>
            </w:r>
            <w:r w:rsidR="008F7E5F" w:rsidRPr="00093DA0">
              <w:rPr>
                <w:rFonts w:ascii="Times New Roman" w:hAnsi="Times New Roman"/>
              </w:rPr>
              <w:t xml:space="preserve"> </w:t>
            </w:r>
            <w:r w:rsidR="00304AEB" w:rsidRPr="00093DA0">
              <w:rPr>
                <w:rFonts w:ascii="Times New Roman" w:hAnsi="Times New Roman"/>
              </w:rPr>
              <w:t>and</w:t>
            </w:r>
            <w:r w:rsidR="00944BA9" w:rsidRPr="00093DA0">
              <w:rPr>
                <w:rFonts w:ascii="Times New Roman" w:hAnsi="Times New Roman"/>
              </w:rPr>
              <w:t xml:space="preserve"> </w:t>
            </w:r>
            <w:r w:rsidR="008F7E5F" w:rsidRPr="00093DA0">
              <w:rPr>
                <w:rFonts w:ascii="Times New Roman" w:hAnsi="Times New Roman"/>
              </w:rPr>
              <w:t xml:space="preserve">putting in place effective and streamlined </w:t>
            </w:r>
            <w:r w:rsidR="00304AEB" w:rsidRPr="00093DA0">
              <w:rPr>
                <w:rFonts w:ascii="Times New Roman" w:hAnsi="Times New Roman"/>
              </w:rPr>
              <w:t>secondary legislation</w:t>
            </w:r>
            <w:r w:rsidR="005E4AF2" w:rsidRPr="00093DA0">
              <w:rPr>
                <w:rFonts w:ascii="Times New Roman" w:hAnsi="Times New Roman"/>
              </w:rPr>
              <w:t xml:space="preserve"> </w:t>
            </w:r>
            <w:r w:rsidR="00304AEB" w:rsidRPr="00093DA0">
              <w:rPr>
                <w:rFonts w:ascii="Times New Roman" w:hAnsi="Times New Roman"/>
              </w:rPr>
              <w:t xml:space="preserve">on </w:t>
            </w:r>
            <w:r w:rsidR="00B40E75">
              <w:rPr>
                <w:rFonts w:ascii="Times New Roman" w:hAnsi="Times New Roman"/>
              </w:rPr>
              <w:t>energy efficiency and</w:t>
            </w:r>
            <w:r w:rsidR="005E4AF2" w:rsidRPr="00093DA0">
              <w:rPr>
                <w:rFonts w:ascii="Times New Roman" w:hAnsi="Times New Roman"/>
              </w:rPr>
              <w:t xml:space="preserve"> </w:t>
            </w:r>
            <w:r w:rsidR="0061182E" w:rsidRPr="00093DA0">
              <w:rPr>
                <w:rFonts w:ascii="Times New Roman" w:hAnsi="Times New Roman"/>
              </w:rPr>
              <w:t>renewables</w:t>
            </w:r>
            <w:r w:rsidR="005E4AF2" w:rsidRPr="00093DA0">
              <w:rPr>
                <w:rFonts w:ascii="Times New Roman" w:hAnsi="Times New Roman"/>
              </w:rPr>
              <w:t>.</w:t>
            </w:r>
          </w:p>
          <w:p w14:paraId="1362E803" w14:textId="0A7FEFAF" w:rsidR="004457D6" w:rsidRDefault="004457D6" w:rsidP="000E0A70">
            <w:pPr>
              <w:pStyle w:val="ListParagraph"/>
              <w:numPr>
                <w:ilvl w:val="0"/>
                <w:numId w:val="57"/>
              </w:numPr>
              <w:spacing w:before="120" w:after="0" w:line="240" w:lineRule="auto"/>
              <w:ind w:left="1066" w:hanging="357"/>
              <w:contextualSpacing w:val="0"/>
              <w:jc w:val="both"/>
              <w:rPr>
                <w:rFonts w:ascii="Times New Roman" w:hAnsi="Times New Roman"/>
              </w:rPr>
            </w:pPr>
            <w:r>
              <w:rPr>
                <w:rFonts w:ascii="Times New Roman" w:hAnsi="Times New Roman"/>
              </w:rPr>
              <w:t>Conduct an energy poverty diagnostic on central and</w:t>
            </w:r>
            <w:r w:rsidR="00826273">
              <w:rPr>
                <w:rFonts w:ascii="Times New Roman" w:hAnsi="Times New Roman"/>
              </w:rPr>
              <w:t>/or</w:t>
            </w:r>
            <w:r>
              <w:rPr>
                <w:rFonts w:ascii="Times New Roman" w:hAnsi="Times New Roman"/>
              </w:rPr>
              <w:t xml:space="preserve"> local level and create the </w:t>
            </w:r>
            <w:r w:rsidR="00826273">
              <w:rPr>
                <w:rFonts w:ascii="Times New Roman" w:hAnsi="Times New Roman"/>
              </w:rPr>
              <w:t>necessary action plans, following the methodology by the EU Energy Poverty Advisory Hub (EPAH)</w:t>
            </w:r>
            <w:r>
              <w:rPr>
                <w:rFonts w:ascii="Times New Roman" w:hAnsi="Times New Roman"/>
              </w:rPr>
              <w:t>.</w:t>
            </w:r>
          </w:p>
          <w:p w14:paraId="7DB4D2E6" w14:textId="69A422ED" w:rsidR="000E0A70" w:rsidRPr="00093DA0" w:rsidRDefault="004E41C9" w:rsidP="000E0A70">
            <w:pPr>
              <w:pStyle w:val="ListParagraph"/>
              <w:numPr>
                <w:ilvl w:val="0"/>
                <w:numId w:val="57"/>
              </w:numPr>
              <w:spacing w:before="120" w:after="0" w:line="240" w:lineRule="auto"/>
              <w:ind w:left="1066" w:hanging="357"/>
              <w:contextualSpacing w:val="0"/>
              <w:jc w:val="both"/>
              <w:rPr>
                <w:rFonts w:ascii="Times New Roman" w:hAnsi="Times New Roman"/>
              </w:rPr>
            </w:pPr>
            <w:r>
              <w:rPr>
                <w:rFonts w:ascii="Times New Roman" w:hAnsi="Times New Roman"/>
              </w:rPr>
              <w:t xml:space="preserve">the </w:t>
            </w:r>
            <w:r w:rsidR="000E0A70" w:rsidRPr="00093DA0">
              <w:rPr>
                <w:rFonts w:ascii="Times New Roman" w:hAnsi="Times New Roman"/>
              </w:rPr>
              <w:t xml:space="preserve">Ministry of Economy (Energy Department) to lead a modern and effective national energy </w:t>
            </w:r>
            <w:r w:rsidR="003E5552" w:rsidRPr="00093DA0">
              <w:rPr>
                <w:rFonts w:ascii="Times New Roman" w:hAnsi="Times New Roman"/>
              </w:rPr>
              <w:t>policy and</w:t>
            </w:r>
            <w:r w:rsidR="00FB04FD" w:rsidRPr="00093DA0">
              <w:rPr>
                <w:rFonts w:ascii="Times New Roman" w:hAnsi="Times New Roman"/>
              </w:rPr>
              <w:t xml:space="preserve"> </w:t>
            </w:r>
            <w:r w:rsidR="003E5552" w:rsidRPr="00093DA0">
              <w:rPr>
                <w:rFonts w:ascii="Times New Roman" w:hAnsi="Times New Roman"/>
              </w:rPr>
              <w:t>providing high-level advice to the relevant authorities on strategic energy-related issues and implementation actions.</w:t>
            </w:r>
          </w:p>
          <w:p w14:paraId="1D0BB878" w14:textId="7C7B0DF1" w:rsidR="00D225AD" w:rsidRPr="00093DA0" w:rsidRDefault="004457D6" w:rsidP="00834711">
            <w:pPr>
              <w:pStyle w:val="ListParagraph"/>
              <w:numPr>
                <w:ilvl w:val="0"/>
                <w:numId w:val="57"/>
              </w:numPr>
              <w:spacing w:before="120" w:after="0" w:line="240" w:lineRule="auto"/>
              <w:ind w:left="1066" w:hanging="357"/>
              <w:contextualSpacing w:val="0"/>
              <w:jc w:val="both"/>
              <w:rPr>
                <w:rFonts w:ascii="Times New Roman" w:hAnsi="Times New Roman"/>
              </w:rPr>
            </w:pPr>
            <w:r>
              <w:rPr>
                <w:rFonts w:ascii="Times New Roman" w:hAnsi="Times New Roman"/>
              </w:rPr>
              <w:t>Development of</w:t>
            </w:r>
            <w:r w:rsidR="00F86B63" w:rsidRPr="00093DA0">
              <w:rPr>
                <w:rFonts w:ascii="Times New Roman" w:hAnsi="Times New Roman"/>
              </w:rPr>
              <w:t xml:space="preserve"> </w:t>
            </w:r>
            <w:r w:rsidR="00D225AD" w:rsidRPr="00093DA0">
              <w:rPr>
                <w:rFonts w:ascii="Times New Roman" w:hAnsi="Times New Roman"/>
              </w:rPr>
              <w:t xml:space="preserve">Energy Strategy </w:t>
            </w:r>
            <w:r w:rsidR="00393DEA" w:rsidRPr="00093DA0">
              <w:rPr>
                <w:rFonts w:ascii="Times New Roman" w:hAnsi="Times New Roman"/>
              </w:rPr>
              <w:t>2026-2030 and</w:t>
            </w:r>
            <w:r w:rsidR="004330D3" w:rsidRPr="00093DA0">
              <w:rPr>
                <w:rFonts w:ascii="Times New Roman" w:hAnsi="Times New Roman"/>
              </w:rPr>
              <w:t xml:space="preserve"> support</w:t>
            </w:r>
            <w:r w:rsidR="00F86B63">
              <w:rPr>
                <w:rFonts w:ascii="Times New Roman" w:hAnsi="Times New Roman"/>
              </w:rPr>
              <w:t>ing</w:t>
            </w:r>
            <w:r w:rsidR="004330D3" w:rsidRPr="00093DA0">
              <w:rPr>
                <w:rFonts w:ascii="Times New Roman" w:hAnsi="Times New Roman"/>
              </w:rPr>
              <w:t xml:space="preserve"> the implementation of its measures</w:t>
            </w:r>
            <w:r w:rsidR="00393DEA" w:rsidRPr="00093DA0">
              <w:rPr>
                <w:rFonts w:ascii="Times New Roman" w:hAnsi="Times New Roman"/>
              </w:rPr>
              <w:t>.</w:t>
            </w:r>
          </w:p>
          <w:p w14:paraId="65B09142" w14:textId="0C1897CC" w:rsidR="004330D3" w:rsidRDefault="000E0A70" w:rsidP="00834711">
            <w:pPr>
              <w:pStyle w:val="ListParagraph"/>
              <w:numPr>
                <w:ilvl w:val="0"/>
                <w:numId w:val="57"/>
              </w:numPr>
              <w:spacing w:before="120" w:after="0" w:line="240" w:lineRule="auto"/>
              <w:ind w:left="1066" w:hanging="357"/>
              <w:contextualSpacing w:val="0"/>
              <w:jc w:val="both"/>
              <w:rPr>
                <w:rFonts w:ascii="Times New Roman" w:hAnsi="Times New Roman"/>
              </w:rPr>
            </w:pPr>
            <w:r w:rsidRPr="00093DA0">
              <w:rPr>
                <w:rFonts w:ascii="Times New Roman" w:hAnsi="Times New Roman"/>
              </w:rPr>
              <w:t>S</w:t>
            </w:r>
            <w:r w:rsidR="004330D3" w:rsidRPr="00093DA0">
              <w:rPr>
                <w:rFonts w:ascii="Times New Roman" w:hAnsi="Times New Roman"/>
              </w:rPr>
              <w:t>upport the development</w:t>
            </w:r>
            <w:r w:rsidRPr="00093DA0">
              <w:rPr>
                <w:rFonts w:ascii="Times New Roman" w:hAnsi="Times New Roman"/>
              </w:rPr>
              <w:t>, public awareness</w:t>
            </w:r>
            <w:r w:rsidR="004330D3" w:rsidRPr="00093DA0">
              <w:rPr>
                <w:rFonts w:ascii="Times New Roman" w:hAnsi="Times New Roman"/>
              </w:rPr>
              <w:t xml:space="preserve"> and implementation of policies </w:t>
            </w:r>
            <w:r w:rsidR="00784019" w:rsidRPr="00093DA0">
              <w:rPr>
                <w:rFonts w:ascii="Times New Roman" w:hAnsi="Times New Roman"/>
              </w:rPr>
              <w:t xml:space="preserve">and measures </w:t>
            </w:r>
            <w:r w:rsidR="004330D3" w:rsidRPr="00093DA0">
              <w:rPr>
                <w:rFonts w:ascii="Times New Roman" w:hAnsi="Times New Roman"/>
              </w:rPr>
              <w:t>on</w:t>
            </w:r>
            <w:r w:rsidR="00784019" w:rsidRPr="00093DA0">
              <w:rPr>
                <w:rFonts w:ascii="Times New Roman" w:hAnsi="Times New Roman"/>
              </w:rPr>
              <w:t xml:space="preserve"> the </w:t>
            </w:r>
            <w:r w:rsidR="0050451E" w:rsidRPr="00093DA0">
              <w:rPr>
                <w:rFonts w:ascii="Times New Roman" w:hAnsi="Times New Roman"/>
              </w:rPr>
              <w:t>National Energy and Climate Plan</w:t>
            </w:r>
            <w:r w:rsidR="004330D3" w:rsidRPr="00093DA0">
              <w:rPr>
                <w:rFonts w:ascii="Times New Roman" w:hAnsi="Times New Roman"/>
              </w:rPr>
              <w:t xml:space="preserve"> and De-Carbonisation</w:t>
            </w:r>
            <w:r w:rsidR="00784019" w:rsidRPr="00093DA0">
              <w:rPr>
                <w:rFonts w:ascii="Times New Roman" w:hAnsi="Times New Roman"/>
              </w:rPr>
              <w:t xml:space="preserve"> Road map on the Energy Community</w:t>
            </w:r>
            <w:r w:rsidR="004330D3" w:rsidRPr="00093DA0">
              <w:rPr>
                <w:rFonts w:ascii="Times New Roman" w:hAnsi="Times New Roman"/>
              </w:rPr>
              <w:t>.</w:t>
            </w:r>
          </w:p>
          <w:p w14:paraId="0CDB4489" w14:textId="77777777" w:rsidR="005451F9" w:rsidRPr="00093DA0" w:rsidRDefault="005451F9" w:rsidP="005451F9">
            <w:pPr>
              <w:pStyle w:val="ListParagraph"/>
              <w:numPr>
                <w:ilvl w:val="0"/>
                <w:numId w:val="57"/>
              </w:numPr>
              <w:spacing w:before="120" w:after="0" w:line="240" w:lineRule="auto"/>
              <w:ind w:left="1066" w:hanging="357"/>
              <w:contextualSpacing w:val="0"/>
              <w:jc w:val="both"/>
              <w:rPr>
                <w:rFonts w:ascii="Times New Roman" w:hAnsi="Times New Roman"/>
              </w:rPr>
            </w:pPr>
            <w:r w:rsidRPr="00093DA0">
              <w:rPr>
                <w:rFonts w:ascii="Times New Roman" w:hAnsi="Times New Roman"/>
              </w:rPr>
              <w:lastRenderedPageBreak/>
              <w:t>Developing policies, legislation, and measures to support investment in renewables, stimulating investments of households and businesses and their connection to the grid.</w:t>
            </w:r>
          </w:p>
          <w:p w14:paraId="2480458F" w14:textId="26842EE6" w:rsidR="004E41C9" w:rsidRDefault="005451F9">
            <w:pPr>
              <w:pStyle w:val="ListParagraph"/>
              <w:numPr>
                <w:ilvl w:val="0"/>
                <w:numId w:val="57"/>
              </w:numPr>
              <w:spacing w:before="120" w:after="0" w:line="240" w:lineRule="auto"/>
              <w:ind w:left="1066" w:hanging="357"/>
              <w:contextualSpacing w:val="0"/>
              <w:jc w:val="both"/>
              <w:rPr>
                <w:rFonts w:ascii="Times New Roman" w:hAnsi="Times New Roman"/>
              </w:rPr>
            </w:pPr>
            <w:r w:rsidRPr="00093DA0">
              <w:rPr>
                <w:rFonts w:ascii="Times New Roman" w:hAnsi="Times New Roman"/>
              </w:rPr>
              <w:t>Building on the policy dialogue and recommendations developed by another IPA initiative, provide further support to the “just transition process”</w:t>
            </w:r>
            <w:r>
              <w:rPr>
                <w:rFonts w:ascii="Times New Roman" w:hAnsi="Times New Roman"/>
              </w:rPr>
              <w:t xml:space="preserve"> and implementation of the Just Transition Action Plan</w:t>
            </w:r>
          </w:p>
          <w:p w14:paraId="4256917D" w14:textId="77777777" w:rsidR="004E41C9" w:rsidRPr="00093DA0" w:rsidRDefault="004E41C9" w:rsidP="004E41C9">
            <w:pPr>
              <w:pStyle w:val="ListParagraph"/>
              <w:numPr>
                <w:ilvl w:val="0"/>
                <w:numId w:val="57"/>
              </w:numPr>
              <w:spacing w:before="120" w:after="0" w:line="240" w:lineRule="auto"/>
              <w:ind w:left="1066" w:hanging="357"/>
              <w:contextualSpacing w:val="0"/>
              <w:jc w:val="both"/>
              <w:rPr>
                <w:rFonts w:ascii="Times New Roman" w:hAnsi="Times New Roman"/>
              </w:rPr>
            </w:pPr>
            <w:r w:rsidRPr="00093DA0">
              <w:rPr>
                <w:rFonts w:ascii="Times New Roman" w:hAnsi="Times New Roman"/>
              </w:rPr>
              <w:t xml:space="preserve">Support the national authorities in establishing a Plan of reconstruction of public buildings at the state level to ensure that at least 3% of the public buildings are renovated to become energy efficient every year. </w:t>
            </w:r>
          </w:p>
          <w:p w14:paraId="015B0696" w14:textId="77777777" w:rsidR="004E41C9" w:rsidRDefault="004E41C9" w:rsidP="009D0D4D">
            <w:pPr>
              <w:pStyle w:val="ListParagraph"/>
              <w:spacing w:before="120" w:after="0" w:line="240" w:lineRule="auto"/>
              <w:ind w:left="1066"/>
              <w:contextualSpacing w:val="0"/>
              <w:jc w:val="both"/>
              <w:rPr>
                <w:rFonts w:ascii="Times New Roman" w:hAnsi="Times New Roman"/>
              </w:rPr>
            </w:pPr>
          </w:p>
          <w:p w14:paraId="53A3AD4C" w14:textId="401A8F13" w:rsidR="004E41C9" w:rsidRPr="0032050C" w:rsidRDefault="004E41C9" w:rsidP="009D0D4D">
            <w:pPr>
              <w:pStyle w:val="ListParagraph"/>
              <w:numPr>
                <w:ilvl w:val="0"/>
                <w:numId w:val="75"/>
              </w:numPr>
              <w:spacing w:before="120" w:after="0" w:line="240" w:lineRule="auto"/>
              <w:ind w:left="738"/>
              <w:jc w:val="both"/>
              <w:rPr>
                <w:rFonts w:ascii="Times New Roman" w:hAnsi="Times New Roman"/>
                <w:i/>
                <w:iCs/>
              </w:rPr>
            </w:pPr>
            <w:r>
              <w:rPr>
                <w:rFonts w:ascii="Times New Roman" w:hAnsi="Times New Roman"/>
                <w:i/>
                <w:iCs/>
              </w:rPr>
              <w:t>Capacity-building measures:</w:t>
            </w:r>
          </w:p>
          <w:p w14:paraId="36FD2523" w14:textId="164E0F1A" w:rsidR="007556D8" w:rsidRPr="00093DA0" w:rsidRDefault="007556D8" w:rsidP="009D0D4D">
            <w:pPr>
              <w:pStyle w:val="ListParagraph"/>
              <w:numPr>
                <w:ilvl w:val="0"/>
                <w:numId w:val="57"/>
              </w:numPr>
              <w:spacing w:before="120" w:after="0"/>
              <w:contextualSpacing w:val="0"/>
              <w:jc w:val="both"/>
              <w:rPr>
                <w:rFonts w:ascii="Times New Roman" w:hAnsi="Times New Roman"/>
              </w:rPr>
            </w:pPr>
            <w:r w:rsidRPr="00093DA0">
              <w:rPr>
                <w:rFonts w:ascii="Times New Roman" w:hAnsi="Times New Roman"/>
              </w:rPr>
              <w:t>Support the preparation of energy audit</w:t>
            </w:r>
            <w:r w:rsidR="00BF1DA6" w:rsidRPr="00093DA0">
              <w:rPr>
                <w:rFonts w:ascii="Times New Roman" w:hAnsi="Times New Roman"/>
              </w:rPr>
              <w:t>s</w:t>
            </w:r>
            <w:r w:rsidRPr="00093DA0">
              <w:rPr>
                <w:rFonts w:ascii="Times New Roman" w:hAnsi="Times New Roman"/>
              </w:rPr>
              <w:t xml:space="preserve"> and technical documentation </w:t>
            </w:r>
            <w:r w:rsidR="00BF1DA6" w:rsidRPr="00093DA0">
              <w:rPr>
                <w:rFonts w:ascii="Times New Roman" w:hAnsi="Times New Roman"/>
              </w:rPr>
              <w:t>to improve buildings’ energy efficiency</w:t>
            </w:r>
            <w:r w:rsidR="00FB04FD" w:rsidRPr="00093DA0">
              <w:rPr>
                <w:rFonts w:ascii="Times New Roman" w:hAnsi="Times New Roman"/>
              </w:rPr>
              <w:t>.</w:t>
            </w:r>
            <w:r w:rsidRPr="00093DA0">
              <w:rPr>
                <w:rFonts w:ascii="Times New Roman" w:hAnsi="Times New Roman"/>
              </w:rPr>
              <w:t xml:space="preserve"> </w:t>
            </w:r>
          </w:p>
          <w:p w14:paraId="1179B7A0" w14:textId="3AD06AB0" w:rsidR="00436C8B" w:rsidRPr="00093DA0" w:rsidRDefault="00436C8B">
            <w:pPr>
              <w:pStyle w:val="ListParagraph"/>
              <w:numPr>
                <w:ilvl w:val="0"/>
                <w:numId w:val="57"/>
              </w:numPr>
              <w:spacing w:before="120" w:after="0" w:line="240" w:lineRule="auto"/>
              <w:ind w:left="1066" w:hanging="357"/>
              <w:contextualSpacing w:val="0"/>
              <w:jc w:val="both"/>
              <w:rPr>
                <w:rFonts w:ascii="Times New Roman" w:hAnsi="Times New Roman"/>
              </w:rPr>
            </w:pPr>
            <w:r w:rsidRPr="00093DA0">
              <w:rPr>
                <w:rFonts w:ascii="Times New Roman" w:hAnsi="Times New Roman"/>
              </w:rPr>
              <w:t xml:space="preserve">Establishment of </w:t>
            </w:r>
            <w:r w:rsidRPr="00093DA0">
              <w:rPr>
                <w:rFonts w:ascii="Times New Roman" w:hAnsi="Times New Roman"/>
                <w:i/>
                <w:iCs/>
              </w:rPr>
              <w:t>one-stop-shop</w:t>
            </w:r>
            <w:r w:rsidR="00B40E75">
              <w:rPr>
                <w:rFonts w:ascii="Times New Roman" w:hAnsi="Times New Roman"/>
                <w:i/>
                <w:iCs/>
              </w:rPr>
              <w:t xml:space="preserve"> </w:t>
            </w:r>
            <w:r w:rsidR="00B40E75" w:rsidRPr="009D0D4D">
              <w:rPr>
                <w:rFonts w:ascii="Times New Roman" w:hAnsi="Times New Roman"/>
                <w:iCs/>
              </w:rPr>
              <w:t>on energy issues</w:t>
            </w:r>
            <w:r w:rsidRPr="00093DA0">
              <w:rPr>
                <w:rFonts w:ascii="Times New Roman" w:hAnsi="Times New Roman"/>
              </w:rPr>
              <w:t xml:space="preserve"> to inform and assist consumers</w:t>
            </w:r>
            <w:r w:rsidR="005451F9">
              <w:rPr>
                <w:rFonts w:ascii="Times New Roman" w:hAnsi="Times New Roman"/>
              </w:rPr>
              <w:t>, businesses, and municipalities</w:t>
            </w:r>
            <w:r w:rsidRPr="00093DA0">
              <w:rPr>
                <w:rFonts w:ascii="Times New Roman" w:hAnsi="Times New Roman"/>
              </w:rPr>
              <w:t xml:space="preserve"> about </w:t>
            </w:r>
            <w:r w:rsidR="005451F9">
              <w:rPr>
                <w:rFonts w:ascii="Times New Roman" w:hAnsi="Times New Roman"/>
              </w:rPr>
              <w:t xml:space="preserve">renewables, </w:t>
            </w:r>
            <w:r w:rsidRPr="00093DA0">
              <w:rPr>
                <w:rFonts w:ascii="Times New Roman" w:hAnsi="Times New Roman"/>
              </w:rPr>
              <w:t>energy efficiency renovations and relevant financial instruments, in line with the Energy Performance in Building Directive (EU) 2018/844.</w:t>
            </w:r>
          </w:p>
          <w:p w14:paraId="6F2EEE02" w14:textId="43417354" w:rsidR="004330D3" w:rsidRPr="00093DA0" w:rsidRDefault="009D2A98">
            <w:pPr>
              <w:pStyle w:val="ListParagraph"/>
              <w:numPr>
                <w:ilvl w:val="0"/>
                <w:numId w:val="57"/>
              </w:numPr>
              <w:spacing w:before="120" w:after="0" w:line="240" w:lineRule="auto"/>
              <w:ind w:left="1066" w:hanging="357"/>
              <w:contextualSpacing w:val="0"/>
              <w:jc w:val="both"/>
              <w:rPr>
                <w:rFonts w:ascii="Times New Roman" w:hAnsi="Times New Roman"/>
              </w:rPr>
            </w:pPr>
            <w:r w:rsidRPr="005451F9">
              <w:rPr>
                <w:rFonts w:ascii="Times New Roman" w:hAnsi="Times New Roman"/>
              </w:rPr>
              <w:t>S</w:t>
            </w:r>
            <w:r w:rsidR="003832DE" w:rsidRPr="005451F9">
              <w:rPr>
                <w:rFonts w:ascii="Times New Roman" w:hAnsi="Times New Roman"/>
              </w:rPr>
              <w:t>treng</w:t>
            </w:r>
            <w:r w:rsidR="00AF66D9" w:rsidRPr="005451F9">
              <w:rPr>
                <w:rFonts w:ascii="Times New Roman" w:hAnsi="Times New Roman"/>
              </w:rPr>
              <w:t>thening the capacity of the Energy Agency for efficient implementation of the energy policies/regulations</w:t>
            </w:r>
            <w:r w:rsidR="005451F9">
              <w:rPr>
                <w:rFonts w:ascii="Times New Roman" w:hAnsi="Times New Roman"/>
              </w:rPr>
              <w:t xml:space="preserve"> </w:t>
            </w:r>
            <w:r w:rsidR="004330D3" w:rsidRPr="00093DA0">
              <w:rPr>
                <w:rFonts w:ascii="Times New Roman" w:hAnsi="Times New Roman"/>
              </w:rPr>
              <w:t>to</w:t>
            </w:r>
            <w:r w:rsidR="008E7BB9" w:rsidRPr="00093DA0">
              <w:t xml:space="preserve"> </w:t>
            </w:r>
            <w:r w:rsidR="008E7BB9" w:rsidRPr="00093DA0">
              <w:rPr>
                <w:rFonts w:ascii="Times New Roman" w:hAnsi="Times New Roman"/>
              </w:rPr>
              <w:t>promote the development of energy services market and access to this marke</w:t>
            </w:r>
            <w:r w:rsidR="00DC4113" w:rsidRPr="00093DA0">
              <w:rPr>
                <w:rFonts w:ascii="Times New Roman" w:hAnsi="Times New Roman"/>
              </w:rPr>
              <w:t>t.</w:t>
            </w:r>
          </w:p>
          <w:p w14:paraId="353C1ABD" w14:textId="40F24571" w:rsidR="00FA7209" w:rsidRPr="005451F9" w:rsidRDefault="007556D8">
            <w:pPr>
              <w:pStyle w:val="ListParagraph"/>
              <w:numPr>
                <w:ilvl w:val="0"/>
                <w:numId w:val="57"/>
              </w:numPr>
              <w:spacing w:before="120" w:after="0" w:line="240" w:lineRule="auto"/>
              <w:ind w:left="1066" w:hanging="357"/>
              <w:contextualSpacing w:val="0"/>
              <w:jc w:val="both"/>
              <w:rPr>
                <w:rFonts w:ascii="Times New Roman" w:hAnsi="Times New Roman"/>
              </w:rPr>
            </w:pPr>
            <w:r w:rsidRPr="005451F9">
              <w:rPr>
                <w:rFonts w:ascii="Times New Roman" w:hAnsi="Times New Roman"/>
              </w:rPr>
              <w:t>Support the</w:t>
            </w:r>
            <w:r w:rsidR="00303C17" w:rsidRPr="005451F9">
              <w:rPr>
                <w:rFonts w:ascii="Times New Roman" w:hAnsi="Times New Roman"/>
              </w:rPr>
              <w:t xml:space="preserve"> Public Utility Companies</w:t>
            </w:r>
            <w:r w:rsidRPr="005451F9">
              <w:rPr>
                <w:rFonts w:ascii="Times New Roman" w:hAnsi="Times New Roman"/>
              </w:rPr>
              <w:t xml:space="preserve"> </w:t>
            </w:r>
            <w:r w:rsidR="00303C17" w:rsidRPr="005451F9">
              <w:rPr>
                <w:rFonts w:ascii="Times New Roman" w:hAnsi="Times New Roman"/>
              </w:rPr>
              <w:t>(</w:t>
            </w:r>
            <w:r w:rsidRPr="005451F9">
              <w:rPr>
                <w:rFonts w:ascii="Times New Roman" w:hAnsi="Times New Roman"/>
              </w:rPr>
              <w:t>PUCs</w:t>
            </w:r>
            <w:r w:rsidR="00303C17" w:rsidRPr="005451F9">
              <w:rPr>
                <w:rFonts w:ascii="Times New Roman" w:hAnsi="Times New Roman"/>
              </w:rPr>
              <w:t>)</w:t>
            </w:r>
            <w:r w:rsidRPr="005451F9">
              <w:rPr>
                <w:rFonts w:ascii="Times New Roman" w:hAnsi="Times New Roman"/>
              </w:rPr>
              <w:t xml:space="preserve"> to prepare feasibility studies </w:t>
            </w:r>
            <w:r w:rsidR="002D334E" w:rsidRPr="005451F9">
              <w:rPr>
                <w:rFonts w:ascii="Times New Roman" w:hAnsi="Times New Roman"/>
              </w:rPr>
              <w:t xml:space="preserve">for PPP </w:t>
            </w:r>
            <w:r w:rsidRPr="005451F9">
              <w:rPr>
                <w:rFonts w:ascii="Times New Roman" w:hAnsi="Times New Roman"/>
              </w:rPr>
              <w:t>and investment projects to</w:t>
            </w:r>
            <w:r w:rsidR="0050451E" w:rsidRPr="005451F9">
              <w:rPr>
                <w:rFonts w:ascii="Times New Roman" w:hAnsi="Times New Roman"/>
              </w:rPr>
              <w:t xml:space="preserve"> save energy and </w:t>
            </w:r>
            <w:r w:rsidRPr="005451F9">
              <w:rPr>
                <w:rFonts w:ascii="Times New Roman" w:hAnsi="Times New Roman"/>
              </w:rPr>
              <w:t>reduce the emission of GHG.</w:t>
            </w:r>
            <w:r w:rsidR="005451F9">
              <w:rPr>
                <w:rFonts w:ascii="Times New Roman" w:hAnsi="Times New Roman"/>
              </w:rPr>
              <w:t xml:space="preserve"> </w:t>
            </w:r>
            <w:r w:rsidR="00FA7209" w:rsidRPr="005451F9">
              <w:rPr>
                <w:rFonts w:ascii="Times New Roman" w:hAnsi="Times New Roman"/>
              </w:rPr>
              <w:t>Support the PUCs for enabling electricity smart grids with the aim to better interconnect energy networks.</w:t>
            </w:r>
          </w:p>
          <w:p w14:paraId="28005391" w14:textId="218560CF" w:rsidR="00EF3889" w:rsidRPr="00093DA0" w:rsidRDefault="00FA7209" w:rsidP="004330D3">
            <w:pPr>
              <w:pStyle w:val="ListParagraph"/>
              <w:numPr>
                <w:ilvl w:val="0"/>
                <w:numId w:val="57"/>
              </w:numPr>
              <w:spacing w:before="120" w:after="0" w:line="240" w:lineRule="auto"/>
              <w:ind w:left="1066" w:hanging="357"/>
              <w:contextualSpacing w:val="0"/>
              <w:jc w:val="both"/>
              <w:rPr>
                <w:rFonts w:ascii="Times New Roman" w:hAnsi="Times New Roman"/>
                <w:i/>
                <w:iCs/>
              </w:rPr>
            </w:pPr>
            <w:r>
              <w:rPr>
                <w:rFonts w:ascii="Times New Roman" w:hAnsi="Times New Roman"/>
              </w:rPr>
              <w:t xml:space="preserve">Support the National Energy Resources JSC Skopje </w:t>
            </w:r>
            <w:r w:rsidR="00EF3889" w:rsidRPr="00093DA0">
              <w:rPr>
                <w:rFonts w:ascii="Times New Roman" w:hAnsi="Times New Roman"/>
              </w:rPr>
              <w:t xml:space="preserve"> </w:t>
            </w:r>
            <w:r>
              <w:rPr>
                <w:rFonts w:ascii="Times New Roman" w:hAnsi="Times New Roman"/>
              </w:rPr>
              <w:t>to become</w:t>
            </w:r>
            <w:r w:rsidR="00972775">
              <w:rPr>
                <w:rFonts w:ascii="Times New Roman" w:hAnsi="Times New Roman"/>
              </w:rPr>
              <w:t xml:space="preserve"> a functional gas transition system operator and ensure</w:t>
            </w:r>
            <w:r w:rsidR="00CB1F7F" w:rsidRPr="00093DA0">
              <w:rPr>
                <w:rFonts w:ascii="Times New Roman" w:hAnsi="Times New Roman"/>
              </w:rPr>
              <w:t xml:space="preserve"> </w:t>
            </w:r>
            <w:r w:rsidR="00EF3889" w:rsidRPr="00093DA0">
              <w:rPr>
                <w:rFonts w:ascii="Times New Roman" w:hAnsi="Times New Roman"/>
              </w:rPr>
              <w:t>proper implementation of the Network Codes, related to capacity allocation, congestion management</w:t>
            </w:r>
            <w:r w:rsidR="00BF42EF" w:rsidRPr="00093DA0">
              <w:rPr>
                <w:rFonts w:ascii="Times New Roman" w:hAnsi="Times New Roman"/>
              </w:rPr>
              <w:t xml:space="preserve">, tariffs, balancing, </w:t>
            </w:r>
            <w:r w:rsidR="00F7776D" w:rsidRPr="00093DA0">
              <w:rPr>
                <w:rFonts w:ascii="Times New Roman" w:hAnsi="Times New Roman"/>
              </w:rPr>
              <w:t>interoperability,</w:t>
            </w:r>
            <w:r w:rsidR="00BF42EF" w:rsidRPr="00093DA0">
              <w:rPr>
                <w:rFonts w:ascii="Times New Roman" w:hAnsi="Times New Roman"/>
              </w:rPr>
              <w:t xml:space="preserve"> and cooperation with neighbouring transmission system operators.</w:t>
            </w:r>
          </w:p>
          <w:p w14:paraId="795585A9" w14:textId="1B09ED5F" w:rsidR="00A37DD5" w:rsidRPr="004E41C9" w:rsidRDefault="005451F9">
            <w:pPr>
              <w:pStyle w:val="ListParagraph"/>
              <w:numPr>
                <w:ilvl w:val="0"/>
                <w:numId w:val="57"/>
              </w:numPr>
              <w:spacing w:before="120" w:after="0" w:line="240" w:lineRule="auto"/>
              <w:ind w:left="1066" w:hanging="357"/>
              <w:contextualSpacing w:val="0"/>
              <w:jc w:val="both"/>
              <w:rPr>
                <w:rFonts w:ascii="Times New Roman" w:hAnsi="Times New Roman"/>
              </w:rPr>
            </w:pPr>
            <w:r w:rsidRPr="004E41C9">
              <w:rPr>
                <w:rFonts w:ascii="Times New Roman" w:hAnsi="Times New Roman"/>
              </w:rPr>
              <w:t xml:space="preserve">Feasibility </w:t>
            </w:r>
            <w:r w:rsidR="00B1071D">
              <w:rPr>
                <w:rFonts w:ascii="Times New Roman" w:hAnsi="Times New Roman"/>
              </w:rPr>
              <w:t xml:space="preserve">and technical </w:t>
            </w:r>
            <w:r w:rsidRPr="004E41C9">
              <w:rPr>
                <w:rFonts w:ascii="Times New Roman" w:hAnsi="Times New Roman"/>
              </w:rPr>
              <w:t>studies for potential use of renewables, including wind, geothermal and biomass and small distribution systems for them</w:t>
            </w:r>
            <w:r w:rsidR="00B1071D">
              <w:rPr>
                <w:rFonts w:ascii="Times New Roman" w:hAnsi="Times New Roman"/>
              </w:rPr>
              <w:t xml:space="preserve">, as well as </w:t>
            </w:r>
            <w:r w:rsidR="00A37DD5" w:rsidRPr="004E41C9">
              <w:rPr>
                <w:rFonts w:ascii="Times New Roman" w:hAnsi="Times New Roman"/>
              </w:rPr>
              <w:t xml:space="preserve"> for the national gas network </w:t>
            </w:r>
            <w:r w:rsidR="00B1071D">
              <w:rPr>
                <w:rFonts w:ascii="Times New Roman" w:hAnsi="Times New Roman"/>
              </w:rPr>
              <w:t xml:space="preserve">and </w:t>
            </w:r>
            <w:r w:rsidR="00A37DD5" w:rsidRPr="004E41C9">
              <w:rPr>
                <w:rFonts w:ascii="Times New Roman" w:hAnsi="Times New Roman"/>
              </w:rPr>
              <w:t>energy storage.</w:t>
            </w:r>
          </w:p>
          <w:bookmarkEnd w:id="2"/>
          <w:p w14:paraId="266DBF76" w14:textId="7D18F122" w:rsidR="00DE6965" w:rsidRPr="00093DA0" w:rsidRDefault="00D967C1" w:rsidP="004330D3">
            <w:pPr>
              <w:spacing w:before="120" w:after="0" w:line="240" w:lineRule="auto"/>
              <w:jc w:val="both"/>
              <w:rPr>
                <w:rFonts w:ascii="Times New Roman" w:hAnsi="Times New Roman"/>
                <w:i/>
                <w:iCs/>
              </w:rPr>
            </w:pPr>
            <w:r w:rsidRPr="00093DA0">
              <w:rPr>
                <w:rFonts w:ascii="Times New Roman" w:hAnsi="Times New Roman"/>
                <w:i/>
                <w:iCs/>
              </w:rPr>
              <w:t>1.</w:t>
            </w:r>
            <w:r w:rsidR="00AF66D9" w:rsidRPr="00093DA0">
              <w:rPr>
                <w:rFonts w:ascii="Times New Roman" w:hAnsi="Times New Roman"/>
                <w:i/>
                <w:iCs/>
              </w:rPr>
              <w:t xml:space="preserve">2 </w:t>
            </w:r>
            <w:r w:rsidRPr="00093DA0">
              <w:rPr>
                <w:rFonts w:ascii="Times New Roman" w:hAnsi="Times New Roman"/>
                <w:i/>
                <w:iCs/>
              </w:rPr>
              <w:t>Improved energy efficiency in construction industry</w:t>
            </w:r>
            <w:r w:rsidR="00974470" w:rsidRPr="00093DA0">
              <w:rPr>
                <w:rFonts w:ascii="Times New Roman" w:hAnsi="Times New Roman"/>
                <w:i/>
                <w:iCs/>
              </w:rPr>
              <w:t xml:space="preserve"> and agriculture</w:t>
            </w:r>
            <w:r w:rsidR="00AF66D9" w:rsidRPr="00093DA0">
              <w:rPr>
                <w:rFonts w:ascii="Times New Roman" w:hAnsi="Times New Roman"/>
                <w:i/>
                <w:iCs/>
              </w:rPr>
              <w:t xml:space="preserve"> through</w:t>
            </w:r>
            <w:r w:rsidR="00D322C2" w:rsidRPr="00093DA0">
              <w:rPr>
                <w:rFonts w:ascii="Times New Roman" w:hAnsi="Times New Roman"/>
                <w:i/>
                <w:iCs/>
              </w:rPr>
              <w:t>:</w:t>
            </w:r>
          </w:p>
          <w:p w14:paraId="5B56D9DF" w14:textId="68BB06C2" w:rsidR="001524F5" w:rsidRPr="00093DA0" w:rsidRDefault="00D322C2" w:rsidP="004330D3">
            <w:pPr>
              <w:pStyle w:val="ListParagraph"/>
              <w:numPr>
                <w:ilvl w:val="0"/>
                <w:numId w:val="57"/>
              </w:numPr>
              <w:spacing w:before="120" w:after="0" w:line="240" w:lineRule="auto"/>
              <w:ind w:left="1066" w:hanging="357"/>
              <w:contextualSpacing w:val="0"/>
              <w:jc w:val="both"/>
              <w:rPr>
                <w:rFonts w:ascii="Times New Roman" w:hAnsi="Times New Roman"/>
              </w:rPr>
            </w:pPr>
            <w:r w:rsidRPr="00093DA0">
              <w:rPr>
                <w:rFonts w:ascii="Times New Roman" w:hAnsi="Times New Roman"/>
              </w:rPr>
              <w:t>D</w:t>
            </w:r>
            <w:r w:rsidR="001524F5" w:rsidRPr="00093DA0">
              <w:rPr>
                <w:rFonts w:ascii="Times New Roman" w:hAnsi="Times New Roman"/>
              </w:rPr>
              <w:t>evelop</w:t>
            </w:r>
            <w:r w:rsidR="00AF66D9" w:rsidRPr="00093DA0">
              <w:rPr>
                <w:rFonts w:ascii="Times New Roman" w:hAnsi="Times New Roman"/>
              </w:rPr>
              <w:t>ing</w:t>
            </w:r>
            <w:r w:rsidR="001524F5" w:rsidRPr="00093DA0">
              <w:rPr>
                <w:rFonts w:ascii="Times New Roman" w:hAnsi="Times New Roman"/>
              </w:rPr>
              <w:t xml:space="preserve"> </w:t>
            </w:r>
            <w:r w:rsidRPr="00093DA0">
              <w:rPr>
                <w:rFonts w:ascii="Times New Roman" w:hAnsi="Times New Roman"/>
              </w:rPr>
              <w:t xml:space="preserve">a </w:t>
            </w:r>
            <w:r w:rsidR="00156D68" w:rsidRPr="00093DA0">
              <w:rPr>
                <w:rFonts w:ascii="Times New Roman" w:hAnsi="Times New Roman"/>
              </w:rPr>
              <w:t>Plan for reconstructi</w:t>
            </w:r>
            <w:r w:rsidRPr="00093DA0">
              <w:rPr>
                <w:rFonts w:ascii="Times New Roman" w:hAnsi="Times New Roman"/>
              </w:rPr>
              <w:t>ng</w:t>
            </w:r>
            <w:r w:rsidR="00156D68" w:rsidRPr="00093DA0">
              <w:rPr>
                <w:rFonts w:ascii="Times New Roman" w:hAnsi="Times New Roman"/>
              </w:rPr>
              <w:t xml:space="preserve"> public buildings on </w:t>
            </w:r>
            <w:r w:rsidRPr="00093DA0">
              <w:rPr>
                <w:rFonts w:ascii="Times New Roman" w:hAnsi="Times New Roman"/>
              </w:rPr>
              <w:t xml:space="preserve">the </w:t>
            </w:r>
            <w:r w:rsidR="00156D68" w:rsidRPr="00093DA0">
              <w:rPr>
                <w:rFonts w:ascii="Times New Roman" w:hAnsi="Times New Roman"/>
              </w:rPr>
              <w:t>state level</w:t>
            </w:r>
            <w:r w:rsidRPr="00093DA0">
              <w:rPr>
                <w:rFonts w:ascii="Times New Roman" w:hAnsi="Times New Roman"/>
              </w:rPr>
              <w:t>; a</w:t>
            </w:r>
            <w:r w:rsidR="00156D68" w:rsidRPr="00093DA0">
              <w:rPr>
                <w:rFonts w:ascii="Times New Roman" w:hAnsi="Times New Roman"/>
              </w:rPr>
              <w:t xml:space="preserve"> Plan for increasing the number of nearly zero-energy buildings</w:t>
            </w:r>
            <w:r w:rsidR="00382BC8" w:rsidRPr="00093DA0">
              <w:rPr>
                <w:rFonts w:ascii="Times New Roman" w:hAnsi="Times New Roman"/>
              </w:rPr>
              <w:t>;</w:t>
            </w:r>
            <w:r w:rsidR="00156D68" w:rsidRPr="00093DA0">
              <w:rPr>
                <w:rFonts w:ascii="Times New Roman" w:hAnsi="Times New Roman"/>
              </w:rPr>
              <w:t xml:space="preserve"> and </w:t>
            </w:r>
            <w:r w:rsidR="001524F5" w:rsidRPr="00093DA0">
              <w:rPr>
                <w:rFonts w:ascii="Times New Roman" w:hAnsi="Times New Roman"/>
              </w:rPr>
              <w:t>long-term Building Renovation Strategy</w:t>
            </w:r>
            <w:r w:rsidR="00382BC8" w:rsidRPr="00093DA0">
              <w:rPr>
                <w:rFonts w:ascii="Times New Roman" w:hAnsi="Times New Roman"/>
              </w:rPr>
              <w:t>.</w:t>
            </w:r>
            <w:r w:rsidR="001524F5" w:rsidRPr="00093DA0">
              <w:rPr>
                <w:rFonts w:ascii="Times New Roman" w:hAnsi="Times New Roman"/>
              </w:rPr>
              <w:t xml:space="preserve"> </w:t>
            </w:r>
          </w:p>
          <w:p w14:paraId="2DF12F35" w14:textId="4627787D" w:rsidR="00BD2F56" w:rsidRPr="00093DA0" w:rsidRDefault="00D322C2" w:rsidP="004330D3">
            <w:pPr>
              <w:pStyle w:val="ListParagraph"/>
              <w:numPr>
                <w:ilvl w:val="0"/>
                <w:numId w:val="57"/>
              </w:numPr>
              <w:spacing w:before="120" w:after="0" w:line="240" w:lineRule="auto"/>
              <w:ind w:left="1066" w:hanging="357"/>
              <w:contextualSpacing w:val="0"/>
              <w:jc w:val="both"/>
              <w:rPr>
                <w:rFonts w:ascii="Times New Roman" w:hAnsi="Times New Roman"/>
              </w:rPr>
            </w:pPr>
            <w:r w:rsidRPr="00093DA0">
              <w:rPr>
                <w:rFonts w:ascii="Times New Roman" w:hAnsi="Times New Roman"/>
              </w:rPr>
              <w:t>D</w:t>
            </w:r>
            <w:r w:rsidR="0028610D" w:rsidRPr="00093DA0">
              <w:rPr>
                <w:rFonts w:ascii="Times New Roman" w:hAnsi="Times New Roman"/>
              </w:rPr>
              <w:t>evelop</w:t>
            </w:r>
            <w:r w:rsidR="00AF66D9" w:rsidRPr="00093DA0">
              <w:rPr>
                <w:rFonts w:ascii="Times New Roman" w:hAnsi="Times New Roman"/>
              </w:rPr>
              <w:t>ing</w:t>
            </w:r>
            <w:r w:rsidR="0028610D" w:rsidRPr="00093DA0">
              <w:rPr>
                <w:rFonts w:ascii="Times New Roman" w:hAnsi="Times New Roman"/>
              </w:rPr>
              <w:t xml:space="preserve"> </w:t>
            </w:r>
            <w:r w:rsidR="00B372BC" w:rsidRPr="00093DA0">
              <w:rPr>
                <w:rFonts w:ascii="Times New Roman" w:hAnsi="Times New Roman"/>
              </w:rPr>
              <w:t>more robust</w:t>
            </w:r>
            <w:r w:rsidR="0028610D" w:rsidRPr="00093DA0">
              <w:rPr>
                <w:rFonts w:ascii="Times New Roman" w:hAnsi="Times New Roman"/>
              </w:rPr>
              <w:t xml:space="preserve"> standards and information </w:t>
            </w:r>
            <w:r w:rsidR="00B372BC" w:rsidRPr="00093DA0">
              <w:rPr>
                <w:rFonts w:ascii="Times New Roman" w:hAnsi="Times New Roman"/>
              </w:rPr>
              <w:t xml:space="preserve">on the energy performance of buildings to set better incentives for public and private sector renovations, </w:t>
            </w:r>
            <w:r w:rsidR="0045315B" w:rsidRPr="00093DA0">
              <w:rPr>
                <w:rFonts w:ascii="Times New Roman" w:hAnsi="Times New Roman"/>
              </w:rPr>
              <w:t>including a</w:t>
            </w:r>
            <w:r w:rsidR="00B372BC" w:rsidRPr="00093DA0">
              <w:rPr>
                <w:rFonts w:ascii="Times New Roman" w:hAnsi="Times New Roman"/>
              </w:rPr>
              <w:t xml:space="preserve"> phased introduction of </w:t>
            </w:r>
            <w:r w:rsidR="005B71FE" w:rsidRPr="00093DA0">
              <w:rPr>
                <w:rFonts w:ascii="Times New Roman" w:hAnsi="Times New Roman"/>
              </w:rPr>
              <w:t>mandatory rules</w:t>
            </w:r>
            <w:r w:rsidR="00B372BC" w:rsidRPr="00093DA0">
              <w:rPr>
                <w:rFonts w:ascii="Times New Roman" w:hAnsi="Times New Roman"/>
              </w:rPr>
              <w:t xml:space="preserve"> for </w:t>
            </w:r>
            <w:r w:rsidR="00256993" w:rsidRPr="00093DA0">
              <w:rPr>
                <w:rFonts w:ascii="Times New Roman" w:hAnsi="Times New Roman"/>
              </w:rPr>
              <w:t xml:space="preserve">deep </w:t>
            </w:r>
            <w:r w:rsidR="005B71FE" w:rsidRPr="00093DA0">
              <w:rPr>
                <w:rFonts w:ascii="Times New Roman" w:hAnsi="Times New Roman"/>
              </w:rPr>
              <w:t>renovation,</w:t>
            </w:r>
            <w:r w:rsidR="00B372BC" w:rsidRPr="00093DA0">
              <w:rPr>
                <w:rFonts w:ascii="Times New Roman" w:hAnsi="Times New Roman"/>
              </w:rPr>
              <w:t xml:space="preserve"> and a possible extension of building renovation requirements for the public sector</w:t>
            </w:r>
            <w:r w:rsidR="000B4218" w:rsidRPr="00093DA0">
              <w:rPr>
                <w:rFonts w:ascii="Times New Roman" w:hAnsi="Times New Roman"/>
              </w:rPr>
              <w:t xml:space="preserve"> to use funds for Renovation Wave</w:t>
            </w:r>
            <w:r w:rsidR="00B372BC" w:rsidRPr="00093DA0">
              <w:rPr>
                <w:rFonts w:ascii="Times New Roman" w:hAnsi="Times New Roman"/>
              </w:rPr>
              <w:t>.</w:t>
            </w:r>
          </w:p>
          <w:p w14:paraId="18ACCD03" w14:textId="58EA0320" w:rsidR="0077707A" w:rsidRPr="00093DA0" w:rsidRDefault="0077707A" w:rsidP="00834711">
            <w:pPr>
              <w:spacing w:before="120" w:after="0" w:line="240" w:lineRule="auto"/>
              <w:jc w:val="both"/>
              <w:rPr>
                <w:rFonts w:ascii="Times New Roman" w:hAnsi="Times New Roman"/>
                <w:b/>
              </w:rPr>
            </w:pPr>
            <w:r w:rsidRPr="00093DA0">
              <w:rPr>
                <w:rFonts w:ascii="Times New Roman" w:hAnsi="Times New Roman"/>
                <w:i/>
                <w:iCs/>
              </w:rPr>
              <w:t>1.</w:t>
            </w:r>
            <w:r w:rsidR="00AF66D9" w:rsidRPr="00093DA0">
              <w:rPr>
                <w:rFonts w:ascii="Times New Roman" w:hAnsi="Times New Roman"/>
                <w:i/>
                <w:iCs/>
              </w:rPr>
              <w:t>3</w:t>
            </w:r>
            <w:r w:rsidRPr="00093DA0">
              <w:rPr>
                <w:rFonts w:ascii="Times New Roman" w:hAnsi="Times New Roman"/>
                <w:b/>
              </w:rPr>
              <w:t xml:space="preserve"> </w:t>
            </w:r>
            <w:r w:rsidRPr="00093DA0">
              <w:rPr>
                <w:rFonts w:ascii="Times New Roman" w:hAnsi="Times New Roman"/>
                <w:i/>
              </w:rPr>
              <w:t>Study on</w:t>
            </w:r>
            <w:r w:rsidRPr="00093DA0">
              <w:rPr>
                <w:rFonts w:ascii="Times New Roman" w:hAnsi="Times New Roman"/>
              </w:rPr>
              <w:t xml:space="preserve"> </w:t>
            </w:r>
            <w:r w:rsidR="004A3B6F" w:rsidRPr="00093DA0">
              <w:rPr>
                <w:rFonts w:ascii="Times New Roman" w:hAnsi="Times New Roman"/>
                <w:i/>
              </w:rPr>
              <w:t>i</w:t>
            </w:r>
            <w:r w:rsidRPr="00093DA0">
              <w:rPr>
                <w:rFonts w:ascii="Times New Roman" w:hAnsi="Times New Roman"/>
                <w:i/>
              </w:rPr>
              <w:t>ntroducing renewable energy in agriculture</w:t>
            </w:r>
          </w:p>
          <w:p w14:paraId="3841ADE1" w14:textId="3FF418D9" w:rsidR="0077707A" w:rsidRPr="00093DA0" w:rsidRDefault="0077707A" w:rsidP="00834711">
            <w:pPr>
              <w:spacing w:before="120" w:after="0" w:line="240" w:lineRule="auto"/>
              <w:ind w:left="405"/>
              <w:jc w:val="both"/>
              <w:rPr>
                <w:rFonts w:ascii="Times New Roman" w:hAnsi="Times New Roman"/>
              </w:rPr>
            </w:pPr>
            <w:r w:rsidRPr="00093DA0">
              <w:rPr>
                <w:rFonts w:ascii="Times New Roman" w:hAnsi="Times New Roman"/>
              </w:rPr>
              <w:lastRenderedPageBreak/>
              <w:t xml:space="preserve">The </w:t>
            </w:r>
            <w:r w:rsidR="00961477" w:rsidRPr="00093DA0">
              <w:rPr>
                <w:rFonts w:ascii="Times New Roman" w:hAnsi="Times New Roman"/>
              </w:rPr>
              <w:t>activit</w:t>
            </w:r>
            <w:r w:rsidR="00DA2ACB" w:rsidRPr="00093DA0">
              <w:rPr>
                <w:rFonts w:ascii="Times New Roman" w:hAnsi="Times New Roman"/>
              </w:rPr>
              <w:t>y</w:t>
            </w:r>
            <w:r w:rsidRPr="00093DA0">
              <w:rPr>
                <w:rFonts w:ascii="Times New Roman" w:hAnsi="Times New Roman"/>
              </w:rPr>
              <w:t xml:space="preserve"> will consist in an analysis of the potential sustainability and replicability of putting in operation</w:t>
            </w:r>
            <w:r w:rsidR="002F04D4" w:rsidRPr="00093DA0">
              <w:t xml:space="preserve"> </w:t>
            </w:r>
            <w:r w:rsidRPr="00093DA0">
              <w:rPr>
                <w:rFonts w:ascii="Times New Roman" w:hAnsi="Times New Roman"/>
                <w:iCs/>
              </w:rPr>
              <w:t xml:space="preserve">Agri-PV and/or other renewables-based installations in rural areas to demonstrate the benefits of </w:t>
            </w:r>
            <w:r w:rsidRPr="00093DA0">
              <w:rPr>
                <w:rFonts w:ascii="Times New Roman" w:hAnsi="Times New Roman"/>
              </w:rPr>
              <w:t>integrating agriculture and solar-energy /renewable harvesting and promote innovation in traditionally conservative rural areas. Experimental AgriSolar farms can potentially provide</w:t>
            </w:r>
            <w:r w:rsidR="002F04D4" w:rsidRPr="00093DA0">
              <w:rPr>
                <w:rFonts w:ascii="Times New Roman" w:hAnsi="Times New Roman"/>
              </w:rPr>
              <w:t xml:space="preserve"> </w:t>
            </w:r>
            <w:r w:rsidRPr="00093DA0">
              <w:rPr>
                <w:rFonts w:ascii="Times New Roman" w:hAnsi="Times New Roman"/>
              </w:rPr>
              <w:t xml:space="preserve">opportunities for farmers, cooperatives, schools, promoters of technologies-based on renewable and public stakeholders (Ministry of Agriculture, Ministry of Economy, Energy Agency, municipalities) to learn how renewables can contribute to making agriculture sustainable, competitive, and resilient to climate change. The assessment will look into the current and planned policies of the Government to incentive the proliferation of AgriSolar farms or farms in which energy is produced from other renewables (such as biomass), will comprise a cost-benefit analysis and suggest what incentives can the Government provide for private entrepreneurs/farmers to develop new small-scale energy generation facilities in farms and connect the production to the grid. </w:t>
            </w:r>
          </w:p>
          <w:p w14:paraId="4AB856A5" w14:textId="096C491A" w:rsidR="0077707A" w:rsidRPr="00093DA0" w:rsidRDefault="0077707A" w:rsidP="0043781C">
            <w:pPr>
              <w:spacing w:before="120" w:after="0" w:line="240" w:lineRule="auto"/>
              <w:ind w:left="405"/>
              <w:jc w:val="both"/>
              <w:rPr>
                <w:rFonts w:ascii="Times New Roman" w:hAnsi="Times New Roman"/>
              </w:rPr>
            </w:pPr>
            <w:r w:rsidRPr="00093DA0">
              <w:rPr>
                <w:rFonts w:ascii="Times New Roman" w:hAnsi="Times New Roman"/>
                <w:iCs/>
              </w:rPr>
              <w:t xml:space="preserve">The </w:t>
            </w:r>
            <w:r w:rsidR="00382BC8" w:rsidRPr="00093DA0">
              <w:rPr>
                <w:rFonts w:ascii="Times New Roman" w:hAnsi="Times New Roman"/>
                <w:iCs/>
              </w:rPr>
              <w:t>A</w:t>
            </w:r>
            <w:r w:rsidRPr="00093DA0">
              <w:rPr>
                <w:rFonts w:ascii="Times New Roman" w:hAnsi="Times New Roman"/>
                <w:iCs/>
              </w:rPr>
              <w:t>ction will also look at similar initiatives inside the EU, their results, replicability and sustainability and adaptability to the environment of North Macedonia by considering all enabling factors and potential bottlenecks</w:t>
            </w:r>
            <w:r w:rsidR="00C63620" w:rsidRPr="00093DA0">
              <w:rPr>
                <w:rFonts w:ascii="Times New Roman" w:hAnsi="Times New Roman"/>
                <w:iCs/>
              </w:rPr>
              <w:t xml:space="preserve">. </w:t>
            </w:r>
            <w:r w:rsidRPr="00093DA0">
              <w:rPr>
                <w:rFonts w:ascii="Times New Roman" w:hAnsi="Times New Roman"/>
              </w:rPr>
              <w:t>Although the country enjoys favourable conditions for the successful development of solar energy (280 days of sunshine per year) solar growth remains limited – only 20% of the gross final energy consumption is from renewable energy and the solar power landscape is dominated by large-scale investments, many of which still in the pipeline</w:t>
            </w:r>
            <w:r w:rsidRPr="00093DA0">
              <w:rPr>
                <w:rStyle w:val="FootnoteReference"/>
                <w:rFonts w:ascii="Times New Roman" w:hAnsi="Times New Roman"/>
              </w:rPr>
              <w:footnoteReference w:id="1"/>
            </w:r>
            <w:r w:rsidRPr="00093DA0">
              <w:rPr>
                <w:rFonts w:ascii="Times New Roman" w:hAnsi="Times New Roman"/>
              </w:rPr>
              <w:t xml:space="preserve">. The Action will support this process by raising the awareness of farmers on the benefits of AgriSolar, Biomass, </w:t>
            </w:r>
            <w:r w:rsidR="00382BC8" w:rsidRPr="00093DA0">
              <w:rPr>
                <w:rFonts w:ascii="Times New Roman" w:hAnsi="Times New Roman"/>
              </w:rPr>
              <w:t>wind,</w:t>
            </w:r>
            <w:r w:rsidRPr="00093DA0">
              <w:rPr>
                <w:rFonts w:ascii="Times New Roman" w:hAnsi="Times New Roman"/>
              </w:rPr>
              <w:t xml:space="preserve"> and other renewables, exploring the potential for investments in the area in the country, including the possibility to access related IPARD funding and loans from financial institutions for private investments in the area. </w:t>
            </w:r>
          </w:p>
          <w:p w14:paraId="1CE0E3D7" w14:textId="1A3D1109" w:rsidR="00B372BC" w:rsidRPr="00093DA0" w:rsidRDefault="00B372BC" w:rsidP="004330D3">
            <w:pPr>
              <w:spacing w:before="240" w:after="0" w:line="240" w:lineRule="auto"/>
              <w:jc w:val="both"/>
              <w:rPr>
                <w:rFonts w:ascii="Times New Roman" w:hAnsi="Times New Roman"/>
              </w:rPr>
            </w:pPr>
            <w:r w:rsidRPr="00093DA0">
              <w:rPr>
                <w:rFonts w:ascii="Times New Roman" w:hAnsi="Times New Roman"/>
                <w:b/>
                <w:bCs/>
              </w:rPr>
              <w:t xml:space="preserve">Component 2: </w:t>
            </w:r>
            <w:r w:rsidR="006B0CF0" w:rsidRPr="00093DA0">
              <w:rPr>
                <w:rFonts w:ascii="Times New Roman" w:hAnsi="Times New Roman"/>
                <w:b/>
                <w:bCs/>
              </w:rPr>
              <w:t>Improv</w:t>
            </w:r>
            <w:r w:rsidR="00FE1B87" w:rsidRPr="00093DA0">
              <w:rPr>
                <w:rFonts w:ascii="Times New Roman" w:hAnsi="Times New Roman"/>
                <w:b/>
                <w:bCs/>
              </w:rPr>
              <w:t>ing</w:t>
            </w:r>
            <w:r w:rsidR="00EB7178" w:rsidRPr="00093DA0">
              <w:rPr>
                <w:rFonts w:ascii="Times New Roman" w:hAnsi="Times New Roman"/>
                <w:b/>
                <w:bCs/>
              </w:rPr>
              <w:t xml:space="preserve"> administrative and operational capacities for prevention, mitigation, and response to </w:t>
            </w:r>
            <w:r w:rsidR="003A6620" w:rsidRPr="00093DA0">
              <w:rPr>
                <w:rFonts w:ascii="Times New Roman" w:hAnsi="Times New Roman"/>
                <w:b/>
                <w:bCs/>
              </w:rPr>
              <w:t>disasters</w:t>
            </w:r>
            <w:r w:rsidR="00EB7178" w:rsidRPr="00093DA0">
              <w:rPr>
                <w:rFonts w:ascii="Times New Roman" w:hAnsi="Times New Roman"/>
              </w:rPr>
              <w:t xml:space="preserve"> </w:t>
            </w:r>
          </w:p>
          <w:p w14:paraId="7A917828" w14:textId="3CD08097" w:rsidR="001235EB" w:rsidRPr="00093DA0" w:rsidRDefault="00F93ECE" w:rsidP="004330D3">
            <w:pPr>
              <w:spacing w:before="120" w:after="0" w:line="240" w:lineRule="auto"/>
              <w:jc w:val="both"/>
              <w:rPr>
                <w:rFonts w:ascii="Times New Roman" w:hAnsi="Times New Roman"/>
              </w:rPr>
            </w:pPr>
            <w:r w:rsidRPr="00093DA0">
              <w:rPr>
                <w:rFonts w:ascii="Times New Roman" w:hAnsi="Times New Roman"/>
              </w:rPr>
              <w:t xml:space="preserve">North Macedonia is vulnerable to extreme temperatures, fires, landslides, </w:t>
            </w:r>
            <w:r w:rsidR="0061182E" w:rsidRPr="00093DA0">
              <w:rPr>
                <w:rFonts w:ascii="Times New Roman" w:hAnsi="Times New Roman"/>
              </w:rPr>
              <w:t>droughts</w:t>
            </w:r>
            <w:r w:rsidRPr="00093DA0">
              <w:rPr>
                <w:rFonts w:ascii="Times New Roman" w:hAnsi="Times New Roman"/>
              </w:rPr>
              <w:t xml:space="preserve"> and floods. </w:t>
            </w:r>
            <w:r w:rsidR="0076082C">
              <w:rPr>
                <w:rFonts w:ascii="Times New Roman" w:hAnsi="Times New Roman"/>
              </w:rPr>
              <w:t>Its vulnerability is exacerbated by</w:t>
            </w:r>
            <w:r w:rsidR="0076082C" w:rsidRPr="00093DA0">
              <w:rPr>
                <w:rFonts w:ascii="Times New Roman" w:hAnsi="Times New Roman"/>
              </w:rPr>
              <w:t xml:space="preserve"> </w:t>
            </w:r>
            <w:r w:rsidR="001235EB" w:rsidRPr="00093DA0">
              <w:rPr>
                <w:rFonts w:ascii="Times New Roman" w:hAnsi="Times New Roman"/>
              </w:rPr>
              <w:t>new challenges such as climate change, migration, pandemics</w:t>
            </w:r>
            <w:r w:rsidR="00FB769C">
              <w:rPr>
                <w:rFonts w:ascii="Times New Roman" w:hAnsi="Times New Roman"/>
              </w:rPr>
              <w:t xml:space="preserve">. </w:t>
            </w:r>
            <w:r w:rsidR="001235EB" w:rsidRPr="00093DA0">
              <w:rPr>
                <w:rFonts w:ascii="Times New Roman" w:hAnsi="Times New Roman"/>
              </w:rPr>
              <w:t xml:space="preserve">The </w:t>
            </w:r>
            <w:r w:rsidR="0076082C">
              <w:rPr>
                <w:rFonts w:ascii="Times New Roman" w:hAnsi="Times New Roman"/>
              </w:rPr>
              <w:t>civil protection sector</w:t>
            </w:r>
            <w:r w:rsidR="0076082C" w:rsidRPr="00093DA0">
              <w:rPr>
                <w:rFonts w:ascii="Times New Roman" w:hAnsi="Times New Roman"/>
              </w:rPr>
              <w:t xml:space="preserve"> </w:t>
            </w:r>
            <w:r w:rsidR="006818C8" w:rsidRPr="00093DA0">
              <w:rPr>
                <w:rFonts w:ascii="Times New Roman" w:hAnsi="Times New Roman"/>
              </w:rPr>
              <w:t xml:space="preserve">has to adapt its </w:t>
            </w:r>
            <w:r w:rsidR="0076082C">
              <w:rPr>
                <w:rFonts w:ascii="Times New Roman" w:hAnsi="Times New Roman"/>
              </w:rPr>
              <w:t xml:space="preserve">rules, </w:t>
            </w:r>
            <w:r w:rsidR="006818C8" w:rsidRPr="00093DA0">
              <w:rPr>
                <w:rFonts w:ascii="Times New Roman" w:hAnsi="Times New Roman"/>
              </w:rPr>
              <w:t>governance</w:t>
            </w:r>
            <w:r w:rsidR="0076082C">
              <w:rPr>
                <w:rFonts w:ascii="Times New Roman" w:hAnsi="Times New Roman"/>
              </w:rPr>
              <w:t xml:space="preserve"> and</w:t>
            </w:r>
            <w:r w:rsidR="006818C8" w:rsidRPr="00093DA0">
              <w:rPr>
                <w:rFonts w:ascii="Times New Roman" w:hAnsi="Times New Roman"/>
              </w:rPr>
              <w:t xml:space="preserve"> technical and technological capacities to respond adequately to </w:t>
            </w:r>
            <w:r w:rsidR="0076082C">
              <w:rPr>
                <w:rFonts w:ascii="Times New Roman" w:hAnsi="Times New Roman"/>
              </w:rPr>
              <w:t xml:space="preserve">increased </w:t>
            </w:r>
            <w:r w:rsidR="005F29BD" w:rsidRPr="00093DA0">
              <w:rPr>
                <w:rFonts w:ascii="Times New Roman" w:hAnsi="Times New Roman"/>
              </w:rPr>
              <w:t>disaster risks</w:t>
            </w:r>
            <w:r w:rsidR="001235EB" w:rsidRPr="00093DA0">
              <w:rPr>
                <w:rFonts w:ascii="Times New Roman" w:hAnsi="Times New Roman"/>
              </w:rPr>
              <w:t xml:space="preserve">. </w:t>
            </w:r>
            <w:r w:rsidR="002D3796" w:rsidRPr="00093DA0">
              <w:rPr>
                <w:rFonts w:ascii="Times New Roman" w:hAnsi="Times New Roman"/>
              </w:rPr>
              <w:t xml:space="preserve">It is fundamental to simplify the institutional configuration to </w:t>
            </w:r>
            <w:r w:rsidR="006818C8" w:rsidRPr="00093DA0">
              <w:rPr>
                <w:rFonts w:ascii="Times New Roman" w:hAnsi="Times New Roman"/>
              </w:rPr>
              <w:t xml:space="preserve">improve </w:t>
            </w:r>
            <w:r w:rsidR="002D3796" w:rsidRPr="00093DA0">
              <w:rPr>
                <w:rFonts w:ascii="Times New Roman" w:hAnsi="Times New Roman"/>
              </w:rPr>
              <w:t>decision-making efficiency and optimise the use of resources. The</w:t>
            </w:r>
            <w:r w:rsidR="006818C8" w:rsidRPr="00093DA0">
              <w:rPr>
                <w:rFonts w:ascii="Times New Roman" w:hAnsi="Times New Roman"/>
              </w:rPr>
              <w:t xml:space="preserve"> legal </w:t>
            </w:r>
            <w:r w:rsidR="002D3796" w:rsidRPr="00093DA0">
              <w:rPr>
                <w:rFonts w:ascii="Times New Roman" w:hAnsi="Times New Roman"/>
              </w:rPr>
              <w:t>framework that regulates the system for emergency preparedness and response</w:t>
            </w:r>
            <w:r w:rsidR="006818C8" w:rsidRPr="00093DA0">
              <w:rPr>
                <w:rFonts w:ascii="Times New Roman" w:hAnsi="Times New Roman"/>
              </w:rPr>
              <w:t xml:space="preserve"> is defined by</w:t>
            </w:r>
            <w:r w:rsidR="002D3796" w:rsidRPr="00093DA0">
              <w:rPr>
                <w:rFonts w:ascii="Times New Roman" w:hAnsi="Times New Roman"/>
              </w:rPr>
              <w:t xml:space="preserve"> the </w:t>
            </w:r>
            <w:r w:rsidR="002D3796" w:rsidRPr="00093DA0">
              <w:rPr>
                <w:rFonts w:ascii="Times New Roman" w:hAnsi="Times New Roman"/>
                <w:i/>
                <w:iCs/>
              </w:rPr>
              <w:t>Law on Protection and Rescue</w:t>
            </w:r>
            <w:r w:rsidR="002D3796" w:rsidRPr="00093DA0">
              <w:rPr>
                <w:rFonts w:ascii="Times New Roman" w:hAnsi="Times New Roman"/>
              </w:rPr>
              <w:t xml:space="preserve"> and the </w:t>
            </w:r>
            <w:r w:rsidR="002D3796" w:rsidRPr="00093DA0">
              <w:rPr>
                <w:rFonts w:ascii="Times New Roman" w:hAnsi="Times New Roman"/>
                <w:i/>
                <w:iCs/>
              </w:rPr>
              <w:t>Law on Crisis Management</w:t>
            </w:r>
            <w:r w:rsidR="002D3796" w:rsidRPr="00093DA0">
              <w:rPr>
                <w:rFonts w:ascii="Times New Roman" w:hAnsi="Times New Roman"/>
              </w:rPr>
              <w:t xml:space="preserve"> and other laws and bylaws. There are two responsible central </w:t>
            </w:r>
            <w:r w:rsidR="00062127" w:rsidRPr="00093DA0">
              <w:rPr>
                <w:rFonts w:ascii="Times New Roman" w:hAnsi="Times New Roman"/>
              </w:rPr>
              <w:t xml:space="preserve">level </w:t>
            </w:r>
            <w:r w:rsidR="002D3796" w:rsidRPr="00093DA0">
              <w:rPr>
                <w:rFonts w:ascii="Times New Roman" w:hAnsi="Times New Roman"/>
              </w:rPr>
              <w:t xml:space="preserve">institutions: the Protection and Rescue Directorate and the Crisis Management Centre, with overlapping responsibilities. </w:t>
            </w:r>
            <w:r w:rsidR="00096DAC" w:rsidRPr="00093DA0">
              <w:rPr>
                <w:rFonts w:ascii="Times New Roman" w:hAnsi="Times New Roman"/>
              </w:rPr>
              <w:t xml:space="preserve">The role of the </w:t>
            </w:r>
            <w:r w:rsidR="002D3796" w:rsidRPr="00093DA0">
              <w:rPr>
                <w:rFonts w:ascii="Times New Roman" w:hAnsi="Times New Roman"/>
              </w:rPr>
              <w:t xml:space="preserve">National Disaster Risk Reduction Coordinator has yet </w:t>
            </w:r>
            <w:r w:rsidR="00096DAC" w:rsidRPr="00093DA0">
              <w:rPr>
                <w:rFonts w:ascii="Times New Roman" w:hAnsi="Times New Roman"/>
              </w:rPr>
              <w:t xml:space="preserve">to be </w:t>
            </w:r>
            <w:r w:rsidR="002D3796" w:rsidRPr="00093DA0">
              <w:rPr>
                <w:rFonts w:ascii="Times New Roman" w:hAnsi="Times New Roman"/>
              </w:rPr>
              <w:t>consolidated.</w:t>
            </w:r>
          </w:p>
          <w:p w14:paraId="39BB9A8E" w14:textId="4B0C8C99" w:rsidR="00444662" w:rsidRPr="00093DA0" w:rsidRDefault="00325921" w:rsidP="004330D3">
            <w:pPr>
              <w:spacing w:before="120" w:after="0" w:line="240" w:lineRule="auto"/>
              <w:jc w:val="both"/>
              <w:rPr>
                <w:rFonts w:ascii="Times New Roman" w:hAnsi="Times New Roman"/>
              </w:rPr>
            </w:pPr>
            <w:r w:rsidRPr="00093DA0">
              <w:rPr>
                <w:rFonts w:ascii="Times New Roman" w:hAnsi="Times New Roman"/>
              </w:rPr>
              <w:t xml:space="preserve">North Macedonia needs also to upgrade </w:t>
            </w:r>
            <w:r w:rsidR="00B43925" w:rsidRPr="00093DA0">
              <w:rPr>
                <w:rFonts w:ascii="Times New Roman" w:hAnsi="Times New Roman"/>
              </w:rPr>
              <w:t>t</w:t>
            </w:r>
            <w:r w:rsidR="00444662" w:rsidRPr="00093DA0">
              <w:rPr>
                <w:rFonts w:ascii="Times New Roman" w:hAnsi="Times New Roman"/>
              </w:rPr>
              <w:t>he</w:t>
            </w:r>
            <w:r w:rsidRPr="00093DA0">
              <w:rPr>
                <w:rFonts w:ascii="Times New Roman" w:hAnsi="Times New Roman"/>
              </w:rPr>
              <w:t xml:space="preserve"> systems for</w:t>
            </w:r>
            <w:r w:rsidR="00444662" w:rsidRPr="00093DA0">
              <w:rPr>
                <w:rFonts w:ascii="Times New Roman" w:hAnsi="Times New Roman"/>
              </w:rPr>
              <w:t xml:space="preserve"> collection, analysis and rapid dissemination of information</w:t>
            </w:r>
            <w:r w:rsidRPr="00093DA0">
              <w:rPr>
                <w:rFonts w:ascii="Times New Roman" w:hAnsi="Times New Roman"/>
              </w:rPr>
              <w:t>, which</w:t>
            </w:r>
            <w:r w:rsidR="00444662" w:rsidRPr="00093DA0">
              <w:rPr>
                <w:rFonts w:ascii="Times New Roman" w:hAnsi="Times New Roman"/>
              </w:rPr>
              <w:t xml:space="preserve"> enable</w:t>
            </w:r>
            <w:r w:rsidRPr="00093DA0">
              <w:rPr>
                <w:rFonts w:ascii="Times New Roman" w:hAnsi="Times New Roman"/>
              </w:rPr>
              <w:t>s</w:t>
            </w:r>
            <w:r w:rsidR="00444662" w:rsidRPr="00093DA0">
              <w:rPr>
                <w:rFonts w:ascii="Times New Roman" w:hAnsi="Times New Roman"/>
              </w:rPr>
              <w:t xml:space="preserve"> better decision-making even before emergencies occur, during operations and in the transition to early recovery. </w:t>
            </w:r>
            <w:r w:rsidRPr="00093DA0">
              <w:rPr>
                <w:rFonts w:ascii="Times New Roman" w:hAnsi="Times New Roman"/>
              </w:rPr>
              <w:t>A basic</w:t>
            </w:r>
            <w:r w:rsidR="007D29CA" w:rsidRPr="00093DA0">
              <w:rPr>
                <w:rFonts w:ascii="Times New Roman" w:hAnsi="Times New Roman"/>
              </w:rPr>
              <w:t xml:space="preserve"> early warning system in the country</w:t>
            </w:r>
            <w:r w:rsidRPr="00093DA0">
              <w:rPr>
                <w:rFonts w:ascii="Times New Roman" w:hAnsi="Times New Roman"/>
              </w:rPr>
              <w:t xml:space="preserve"> exists</w:t>
            </w:r>
            <w:r w:rsidR="0076082C">
              <w:rPr>
                <w:rFonts w:ascii="Times New Roman" w:hAnsi="Times New Roman"/>
              </w:rPr>
              <w:t xml:space="preserve"> however</w:t>
            </w:r>
            <w:r w:rsidR="007D29CA" w:rsidRPr="00093DA0">
              <w:rPr>
                <w:rFonts w:ascii="Times New Roman" w:hAnsi="Times New Roman"/>
              </w:rPr>
              <w:t xml:space="preserve"> </w:t>
            </w:r>
            <w:r w:rsidR="0076082C">
              <w:rPr>
                <w:rFonts w:ascii="Times New Roman" w:hAnsi="Times New Roman"/>
              </w:rPr>
              <w:t>t</w:t>
            </w:r>
            <w:r w:rsidR="0076082C" w:rsidRPr="00093DA0">
              <w:rPr>
                <w:rFonts w:ascii="Times New Roman" w:hAnsi="Times New Roman"/>
              </w:rPr>
              <w:t xml:space="preserve">he </w:t>
            </w:r>
            <w:r w:rsidR="007D29CA" w:rsidRPr="00093DA0">
              <w:rPr>
                <w:rFonts w:ascii="Times New Roman" w:hAnsi="Times New Roman"/>
              </w:rPr>
              <w:t>data management and analysis</w:t>
            </w:r>
            <w:r w:rsidRPr="00093DA0">
              <w:rPr>
                <w:rFonts w:ascii="Times New Roman" w:hAnsi="Times New Roman"/>
              </w:rPr>
              <w:t xml:space="preserve"> </w:t>
            </w:r>
            <w:r w:rsidR="00FB04FD" w:rsidRPr="00093DA0">
              <w:rPr>
                <w:rFonts w:ascii="Times New Roman" w:hAnsi="Times New Roman"/>
              </w:rPr>
              <w:t>need</w:t>
            </w:r>
            <w:r w:rsidRPr="00093DA0">
              <w:rPr>
                <w:rFonts w:ascii="Times New Roman" w:hAnsi="Times New Roman"/>
              </w:rPr>
              <w:t xml:space="preserve"> to be strengthened to allow </w:t>
            </w:r>
            <w:r w:rsidR="007D29CA" w:rsidRPr="00093DA0">
              <w:rPr>
                <w:rFonts w:ascii="Times New Roman" w:hAnsi="Times New Roman"/>
              </w:rPr>
              <w:t>turn</w:t>
            </w:r>
            <w:r w:rsidRPr="00093DA0">
              <w:rPr>
                <w:rFonts w:ascii="Times New Roman" w:hAnsi="Times New Roman"/>
              </w:rPr>
              <w:t xml:space="preserve">ing </w:t>
            </w:r>
            <w:r w:rsidR="007D29CA" w:rsidRPr="00093DA0">
              <w:rPr>
                <w:rFonts w:ascii="Times New Roman" w:hAnsi="Times New Roman"/>
              </w:rPr>
              <w:t xml:space="preserve">forecasts into </w:t>
            </w:r>
            <w:r w:rsidR="007D29CA" w:rsidRPr="00093DA0">
              <w:rPr>
                <w:rFonts w:ascii="Times New Roman" w:hAnsi="Times New Roman"/>
              </w:rPr>
              <w:lastRenderedPageBreak/>
              <w:t xml:space="preserve">an appropriate </w:t>
            </w:r>
            <w:r w:rsidR="00CE38FF" w:rsidRPr="00093DA0">
              <w:rPr>
                <w:rFonts w:ascii="Times New Roman" w:hAnsi="Times New Roman"/>
              </w:rPr>
              <w:t xml:space="preserve">early warning </w:t>
            </w:r>
            <w:r w:rsidR="007D29CA" w:rsidRPr="00093DA0">
              <w:rPr>
                <w:rFonts w:ascii="Times New Roman" w:hAnsi="Times New Roman"/>
              </w:rPr>
              <w:t xml:space="preserve">for the public. There are public warning procedures, but early warning messages' consistency and complementarity are limited by the confusion of responsibilities between the Crisis Management </w:t>
            </w:r>
            <w:r w:rsidR="004D21A2" w:rsidRPr="00093DA0">
              <w:rPr>
                <w:rFonts w:ascii="Times New Roman" w:hAnsi="Times New Roman"/>
              </w:rPr>
              <w:t>Centre</w:t>
            </w:r>
            <w:r w:rsidR="007D29CA" w:rsidRPr="00093DA0">
              <w:rPr>
                <w:rFonts w:ascii="Times New Roman" w:hAnsi="Times New Roman"/>
              </w:rPr>
              <w:t xml:space="preserve"> and the Protection and Rescue Directorate. </w:t>
            </w:r>
          </w:p>
          <w:p w14:paraId="5585C42C" w14:textId="30A75DFF" w:rsidR="00B53ED6" w:rsidRPr="00093DA0" w:rsidRDefault="00B37B42" w:rsidP="004330D3">
            <w:pPr>
              <w:spacing w:before="120" w:after="0" w:line="240" w:lineRule="auto"/>
              <w:jc w:val="both"/>
              <w:rPr>
                <w:rFonts w:ascii="Times New Roman" w:hAnsi="Times New Roman"/>
              </w:rPr>
            </w:pPr>
            <w:r w:rsidRPr="00093DA0">
              <w:rPr>
                <w:rFonts w:ascii="Times New Roman" w:hAnsi="Times New Roman"/>
              </w:rPr>
              <w:t xml:space="preserve">Coordinating emergency preparedness and response activities requires </w:t>
            </w:r>
            <w:r w:rsidR="0059086A" w:rsidRPr="00093DA0">
              <w:rPr>
                <w:rFonts w:ascii="Times New Roman" w:hAnsi="Times New Roman"/>
              </w:rPr>
              <w:t xml:space="preserve">a </w:t>
            </w:r>
            <w:r w:rsidR="00DD12B1" w:rsidRPr="00093DA0">
              <w:rPr>
                <w:rFonts w:ascii="Times New Roman" w:hAnsi="Times New Roman"/>
              </w:rPr>
              <w:t xml:space="preserve">strong </w:t>
            </w:r>
            <w:r w:rsidR="00B53D10" w:rsidRPr="00093DA0">
              <w:rPr>
                <w:rFonts w:ascii="Times New Roman" w:hAnsi="Times New Roman"/>
              </w:rPr>
              <w:t>E</w:t>
            </w:r>
            <w:r w:rsidR="00DD12B1" w:rsidRPr="00093DA0">
              <w:rPr>
                <w:rFonts w:ascii="Times New Roman" w:hAnsi="Times New Roman"/>
              </w:rPr>
              <w:t xml:space="preserve">mergency </w:t>
            </w:r>
            <w:r w:rsidR="00B53D10" w:rsidRPr="00093DA0">
              <w:rPr>
                <w:rFonts w:ascii="Times New Roman" w:hAnsi="Times New Roman"/>
              </w:rPr>
              <w:t>O</w:t>
            </w:r>
            <w:r w:rsidR="00DD12B1" w:rsidRPr="00093DA0">
              <w:rPr>
                <w:rFonts w:ascii="Times New Roman" w:hAnsi="Times New Roman"/>
              </w:rPr>
              <w:t xml:space="preserve">perations </w:t>
            </w:r>
            <w:r w:rsidR="00B53D10" w:rsidRPr="00093DA0">
              <w:rPr>
                <w:rFonts w:ascii="Times New Roman" w:hAnsi="Times New Roman"/>
              </w:rPr>
              <w:t>C</w:t>
            </w:r>
            <w:r w:rsidR="00DD12B1" w:rsidRPr="00093DA0">
              <w:rPr>
                <w:rFonts w:ascii="Times New Roman" w:hAnsi="Times New Roman"/>
              </w:rPr>
              <w:t>entre</w:t>
            </w:r>
            <w:r w:rsidR="0059086A" w:rsidRPr="00093DA0">
              <w:rPr>
                <w:rFonts w:ascii="Times New Roman" w:hAnsi="Times New Roman"/>
              </w:rPr>
              <w:t xml:space="preserve">, which </w:t>
            </w:r>
            <w:r w:rsidR="001316E2" w:rsidRPr="00093DA0">
              <w:rPr>
                <w:rFonts w:ascii="Times New Roman" w:hAnsi="Times New Roman"/>
              </w:rPr>
              <w:t>are</w:t>
            </w:r>
            <w:r w:rsidR="0059086A" w:rsidRPr="00093DA0">
              <w:rPr>
                <w:rFonts w:ascii="Times New Roman" w:hAnsi="Times New Roman"/>
              </w:rPr>
              <w:t xml:space="preserve"> in</w:t>
            </w:r>
            <w:r w:rsidR="00325921" w:rsidRPr="00093DA0">
              <w:rPr>
                <w:rFonts w:ascii="Times New Roman" w:hAnsi="Times New Roman"/>
              </w:rPr>
              <w:t xml:space="preserve"> position to provide </w:t>
            </w:r>
            <w:r w:rsidRPr="00093DA0">
              <w:rPr>
                <w:rFonts w:ascii="Times New Roman" w:hAnsi="Times New Roman"/>
              </w:rPr>
              <w:t xml:space="preserve">a common interdependent operational </w:t>
            </w:r>
            <w:r w:rsidR="005F29BD" w:rsidRPr="00093DA0">
              <w:rPr>
                <w:rFonts w:ascii="Times New Roman" w:hAnsi="Times New Roman"/>
              </w:rPr>
              <w:t xml:space="preserve">framework </w:t>
            </w:r>
            <w:r w:rsidRPr="00093DA0">
              <w:rPr>
                <w:rFonts w:ascii="Times New Roman" w:hAnsi="Times New Roman"/>
              </w:rPr>
              <w:t xml:space="preserve">and resilient </w:t>
            </w:r>
            <w:r w:rsidR="00FB04FD" w:rsidRPr="00093DA0">
              <w:rPr>
                <w:rFonts w:ascii="Times New Roman" w:hAnsi="Times New Roman"/>
              </w:rPr>
              <w:t>services and</w:t>
            </w:r>
            <w:r w:rsidR="00325921" w:rsidRPr="00093DA0">
              <w:rPr>
                <w:rFonts w:ascii="Times New Roman" w:hAnsi="Times New Roman"/>
              </w:rPr>
              <w:t xml:space="preserve"> </w:t>
            </w:r>
            <w:r w:rsidR="001316E2" w:rsidRPr="00093DA0">
              <w:rPr>
                <w:rFonts w:ascii="Times New Roman" w:hAnsi="Times New Roman"/>
              </w:rPr>
              <w:t>are</w:t>
            </w:r>
            <w:r w:rsidR="0059086A" w:rsidRPr="00093DA0">
              <w:rPr>
                <w:rFonts w:ascii="Times New Roman" w:hAnsi="Times New Roman"/>
              </w:rPr>
              <w:t xml:space="preserve"> </w:t>
            </w:r>
            <w:r w:rsidR="00325921" w:rsidRPr="00093DA0">
              <w:rPr>
                <w:rFonts w:ascii="Times New Roman" w:hAnsi="Times New Roman"/>
              </w:rPr>
              <w:t>able</w:t>
            </w:r>
            <w:r w:rsidR="0059086A" w:rsidRPr="00093DA0">
              <w:rPr>
                <w:rFonts w:ascii="Times New Roman" w:hAnsi="Times New Roman"/>
              </w:rPr>
              <w:t xml:space="preserve"> to</w:t>
            </w:r>
            <w:r w:rsidR="00325921" w:rsidRPr="00093DA0">
              <w:rPr>
                <w:rFonts w:ascii="Times New Roman" w:hAnsi="Times New Roman"/>
              </w:rPr>
              <w:t xml:space="preserve"> </w:t>
            </w:r>
            <w:r w:rsidRPr="00093DA0">
              <w:rPr>
                <w:rFonts w:ascii="Times New Roman" w:hAnsi="Times New Roman"/>
              </w:rPr>
              <w:t xml:space="preserve">operate when most of the critical infrastructure and services of the State are hampered. The 2005 Law on Crisis Management establishes such a </w:t>
            </w:r>
            <w:r w:rsidR="001316E2" w:rsidRPr="00093DA0">
              <w:rPr>
                <w:rFonts w:ascii="Times New Roman" w:hAnsi="Times New Roman"/>
              </w:rPr>
              <w:t xml:space="preserve">24/7 </w:t>
            </w:r>
            <w:r w:rsidRPr="00093DA0">
              <w:rPr>
                <w:rFonts w:ascii="Times New Roman" w:hAnsi="Times New Roman"/>
              </w:rPr>
              <w:t>centre, which include</w:t>
            </w:r>
            <w:r w:rsidR="0059086A" w:rsidRPr="00093DA0">
              <w:rPr>
                <w:rFonts w:ascii="Times New Roman" w:hAnsi="Times New Roman"/>
              </w:rPr>
              <w:t>s</w:t>
            </w:r>
            <w:r w:rsidRPr="00093DA0">
              <w:rPr>
                <w:rFonts w:ascii="Times New Roman" w:hAnsi="Times New Roman"/>
              </w:rPr>
              <w:t xml:space="preserve"> the 112 </w:t>
            </w:r>
            <w:r w:rsidR="001316E2" w:rsidRPr="00093DA0">
              <w:rPr>
                <w:rFonts w:ascii="Times New Roman" w:hAnsi="Times New Roman"/>
              </w:rPr>
              <w:t xml:space="preserve">Emergency </w:t>
            </w:r>
            <w:r w:rsidRPr="00093DA0">
              <w:rPr>
                <w:rFonts w:ascii="Times New Roman" w:hAnsi="Times New Roman"/>
              </w:rPr>
              <w:t>call</w:t>
            </w:r>
            <w:r w:rsidR="001316E2" w:rsidRPr="00093DA0">
              <w:rPr>
                <w:rFonts w:ascii="Times New Roman" w:hAnsi="Times New Roman"/>
              </w:rPr>
              <w:t xml:space="preserve"> number</w:t>
            </w:r>
            <w:r w:rsidRPr="00093DA0">
              <w:rPr>
                <w:rFonts w:ascii="Times New Roman" w:hAnsi="Times New Roman"/>
              </w:rPr>
              <w:t xml:space="preserve">. The Crisis Management Centre has taken over responsibility for this phone number </w:t>
            </w:r>
            <w:r w:rsidR="007829E6" w:rsidRPr="00093DA0">
              <w:rPr>
                <w:rFonts w:ascii="Times New Roman" w:hAnsi="Times New Roman"/>
              </w:rPr>
              <w:t>which has been activated</w:t>
            </w:r>
            <w:r w:rsidR="007F366A" w:rsidRPr="00093DA0">
              <w:rPr>
                <w:rFonts w:ascii="Times New Roman" w:hAnsi="Times New Roman"/>
              </w:rPr>
              <w:t xml:space="preserve"> with EU funds</w:t>
            </w:r>
            <w:r w:rsidR="007829E6" w:rsidRPr="00093DA0">
              <w:rPr>
                <w:rFonts w:ascii="Times New Roman" w:hAnsi="Times New Roman"/>
              </w:rPr>
              <w:t xml:space="preserve"> in February 2022</w:t>
            </w:r>
            <w:r w:rsidRPr="00093DA0">
              <w:rPr>
                <w:rFonts w:ascii="Times New Roman" w:hAnsi="Times New Roman"/>
              </w:rPr>
              <w:t xml:space="preserve">. </w:t>
            </w:r>
            <w:r w:rsidR="00013F6B" w:rsidRPr="00093DA0">
              <w:t xml:space="preserve"> </w:t>
            </w:r>
            <w:r w:rsidR="00013F6B" w:rsidRPr="00093DA0">
              <w:rPr>
                <w:rFonts w:ascii="Times New Roman" w:hAnsi="Times New Roman"/>
              </w:rPr>
              <w:t>For now, the system from the operational side/call takers is in function only from Skopje Operational Centre.</w:t>
            </w:r>
            <w:r w:rsidR="00E34B27" w:rsidRPr="00093DA0">
              <w:rPr>
                <w:rFonts w:ascii="Times New Roman" w:hAnsi="Times New Roman"/>
              </w:rPr>
              <w:t xml:space="preserve"> </w:t>
            </w:r>
            <w:r w:rsidR="0055080D" w:rsidRPr="00093DA0">
              <w:rPr>
                <w:rFonts w:ascii="Times New Roman" w:hAnsi="Times New Roman"/>
              </w:rPr>
              <w:t>Currently, all the Regional Centres of the Ministry of the Interior, Fire Brigades and Medical services in Skopje are connected. Once the necessary personnel are recruited and trained by the Crisis Management Centre, seven regional centres will be incorporated into the E-112 service.</w:t>
            </w:r>
            <w:r w:rsidR="00E34B27" w:rsidRPr="00093DA0">
              <w:rPr>
                <w:rFonts w:ascii="Times New Roman" w:hAnsi="Times New Roman"/>
              </w:rPr>
              <w:t xml:space="preserve"> </w:t>
            </w:r>
            <w:r w:rsidR="0055080D" w:rsidRPr="00093DA0">
              <w:rPr>
                <w:rFonts w:ascii="Times New Roman" w:hAnsi="Times New Roman"/>
              </w:rPr>
              <w:t xml:space="preserve">In a second phase, all emergency medical services and fire brigades from all cities will be connected to the system. </w:t>
            </w:r>
            <w:r w:rsidR="0077331C" w:rsidRPr="00093DA0">
              <w:rPr>
                <w:rFonts w:ascii="Times New Roman" w:hAnsi="Times New Roman"/>
              </w:rPr>
              <w:t>The old numbers 192, 193, 194 and 195 will also be in operation for some time. The E-112 system is available to all nationals and foreigners for fixed and mobile telephone lines. SMS to 112 is also available. Electronic call services (automatic emergency calls from cars in traffic accidents) are also available to all travellers in North Macedonia. In addition, ELS from Google and Apple is configured and receives all calls from mobile lines in the system. The system receives approximately 1,800 calls per 24 hours.</w:t>
            </w:r>
          </w:p>
          <w:p w14:paraId="2816BBE9" w14:textId="3B7A9FD3" w:rsidR="00B53ED6" w:rsidRPr="00093DA0" w:rsidRDefault="00B53ED6" w:rsidP="00B53ED6">
            <w:pPr>
              <w:spacing w:before="120" w:after="0" w:line="240" w:lineRule="auto"/>
              <w:jc w:val="both"/>
              <w:rPr>
                <w:rFonts w:ascii="Times New Roman" w:hAnsi="Times New Roman"/>
              </w:rPr>
            </w:pPr>
            <w:r w:rsidRPr="00093DA0">
              <w:rPr>
                <w:rFonts w:ascii="Times New Roman" w:hAnsi="Times New Roman"/>
              </w:rPr>
              <w:t xml:space="preserve">In </w:t>
            </w:r>
            <w:r w:rsidR="002877F3">
              <w:rPr>
                <w:rFonts w:ascii="Times New Roman" w:hAnsi="Times New Roman"/>
              </w:rPr>
              <w:t>a</w:t>
            </w:r>
            <w:r w:rsidR="002877F3" w:rsidRPr="00093DA0">
              <w:rPr>
                <w:rFonts w:ascii="Times New Roman" w:hAnsi="Times New Roman"/>
              </w:rPr>
              <w:t xml:space="preserve"> </w:t>
            </w:r>
            <w:r w:rsidRPr="00093DA0">
              <w:rPr>
                <w:rFonts w:ascii="Times New Roman" w:hAnsi="Times New Roman"/>
              </w:rPr>
              <w:t>second phase, the complete implementation of all the functionalities of the E-112 is expected.</w:t>
            </w:r>
            <w:r w:rsidR="00013F6B" w:rsidRPr="00093DA0">
              <w:rPr>
                <w:rFonts w:ascii="Times New Roman" w:hAnsi="Times New Roman"/>
              </w:rPr>
              <w:t xml:space="preserve"> </w:t>
            </w:r>
            <w:r w:rsidRPr="00093DA0">
              <w:rPr>
                <w:rFonts w:ascii="Times New Roman" w:hAnsi="Times New Roman"/>
              </w:rPr>
              <w:t>More specifically, the system must perform the following functionalities: 1)</w:t>
            </w:r>
            <w:r w:rsidR="009E7B2D" w:rsidRPr="00093DA0">
              <w:rPr>
                <w:rFonts w:ascii="Times New Roman" w:hAnsi="Times New Roman"/>
              </w:rPr>
              <w:t>.</w:t>
            </w:r>
            <w:r w:rsidRPr="00093DA0">
              <w:rPr>
                <w:rFonts w:ascii="Times New Roman" w:hAnsi="Times New Roman"/>
              </w:rPr>
              <w:t xml:space="preserve"> Use of the E</w:t>
            </w:r>
            <w:r w:rsidR="009E7B2D" w:rsidRPr="00093DA0">
              <w:rPr>
                <w:rFonts w:ascii="Times New Roman" w:hAnsi="Times New Roman"/>
              </w:rPr>
              <w:t>-</w:t>
            </w:r>
            <w:r w:rsidRPr="00093DA0">
              <w:rPr>
                <w:rFonts w:ascii="Times New Roman" w:hAnsi="Times New Roman"/>
              </w:rPr>
              <w:t>112 application to report cases in which voice is not possible, or data must be sent</w:t>
            </w:r>
            <w:r w:rsidR="009E7B2D" w:rsidRPr="00093DA0">
              <w:rPr>
                <w:rFonts w:ascii="Times New Roman" w:hAnsi="Times New Roman"/>
              </w:rPr>
              <w:t xml:space="preserve">; 2). </w:t>
            </w:r>
            <w:r w:rsidRPr="00093DA0">
              <w:rPr>
                <w:rFonts w:ascii="Times New Roman" w:hAnsi="Times New Roman"/>
              </w:rPr>
              <w:t>Reverse the functions of the E-112 to be able to warn citizens of danger (mandatory in EU countries from 2022)</w:t>
            </w:r>
            <w:r w:rsidR="009E7B2D" w:rsidRPr="00093DA0">
              <w:rPr>
                <w:rFonts w:ascii="Times New Roman" w:hAnsi="Times New Roman"/>
              </w:rPr>
              <w:t>;</w:t>
            </w:r>
            <w:r w:rsidRPr="00093DA0">
              <w:rPr>
                <w:rFonts w:ascii="Times New Roman" w:hAnsi="Times New Roman"/>
              </w:rPr>
              <w:t xml:space="preserve"> 3)</w:t>
            </w:r>
            <w:r w:rsidR="009E7B2D" w:rsidRPr="00093DA0">
              <w:rPr>
                <w:rFonts w:ascii="Times New Roman" w:hAnsi="Times New Roman"/>
              </w:rPr>
              <w:t xml:space="preserve">. </w:t>
            </w:r>
            <w:r w:rsidRPr="00093DA0">
              <w:rPr>
                <w:rFonts w:ascii="Times New Roman" w:hAnsi="Times New Roman"/>
              </w:rPr>
              <w:t>Greater integration of the intervention forces with the use of data terminals within the units and stations, enhancing alarm, coordination and data feedback</w:t>
            </w:r>
            <w:r w:rsidR="009E7B2D" w:rsidRPr="00093DA0">
              <w:rPr>
                <w:rFonts w:ascii="Times New Roman" w:hAnsi="Times New Roman"/>
              </w:rPr>
              <w:t xml:space="preserve"> </w:t>
            </w:r>
            <w:r w:rsidRPr="00093DA0">
              <w:rPr>
                <w:rFonts w:ascii="Times New Roman" w:hAnsi="Times New Roman"/>
              </w:rPr>
              <w:t xml:space="preserve">to the </w:t>
            </w:r>
            <w:r w:rsidR="009E7B2D" w:rsidRPr="00093DA0">
              <w:rPr>
                <w:rFonts w:ascii="Times New Roman" w:hAnsi="Times New Roman"/>
              </w:rPr>
              <w:t>s</w:t>
            </w:r>
            <w:r w:rsidRPr="00093DA0">
              <w:rPr>
                <w:rFonts w:ascii="Times New Roman" w:hAnsi="Times New Roman"/>
              </w:rPr>
              <w:t>ervice allowing public security agencies to be more flexible in sending units</w:t>
            </w:r>
            <w:r w:rsidR="009E7B2D" w:rsidRPr="00093DA0">
              <w:rPr>
                <w:rFonts w:ascii="Times New Roman" w:hAnsi="Times New Roman"/>
              </w:rPr>
              <w:t>;</w:t>
            </w:r>
            <w:r w:rsidRPr="00093DA0">
              <w:rPr>
                <w:rFonts w:ascii="Times New Roman" w:hAnsi="Times New Roman"/>
              </w:rPr>
              <w:t xml:space="preserve"> 4)</w:t>
            </w:r>
            <w:r w:rsidR="009E7B2D" w:rsidRPr="00093DA0">
              <w:rPr>
                <w:rFonts w:ascii="Times New Roman" w:hAnsi="Times New Roman"/>
              </w:rPr>
              <w:t>.</w:t>
            </w:r>
            <w:r w:rsidRPr="00093DA0">
              <w:rPr>
                <w:rFonts w:ascii="Times New Roman" w:hAnsi="Times New Roman"/>
              </w:rPr>
              <w:t xml:space="preserve"> Expansion of interoperability with the Police Case Management system</w:t>
            </w:r>
            <w:r w:rsidR="009E7B2D" w:rsidRPr="00093DA0">
              <w:rPr>
                <w:rFonts w:ascii="Times New Roman" w:hAnsi="Times New Roman"/>
              </w:rPr>
              <w:t xml:space="preserve">; </w:t>
            </w:r>
            <w:r w:rsidRPr="00093DA0">
              <w:rPr>
                <w:rFonts w:ascii="Times New Roman" w:hAnsi="Times New Roman"/>
              </w:rPr>
              <w:t>and 5)</w:t>
            </w:r>
            <w:r w:rsidR="009E7B2D" w:rsidRPr="00093DA0">
              <w:rPr>
                <w:rFonts w:ascii="Times New Roman" w:hAnsi="Times New Roman"/>
              </w:rPr>
              <w:t>.</w:t>
            </w:r>
            <w:r w:rsidRPr="00093DA0">
              <w:rPr>
                <w:rFonts w:ascii="Times New Roman" w:hAnsi="Times New Roman"/>
              </w:rPr>
              <w:t xml:space="preserve"> Improvement of TETRA interfaces and advanced mobile location services.</w:t>
            </w:r>
          </w:p>
          <w:p w14:paraId="6D251585" w14:textId="3A59F4F2" w:rsidR="002D3796" w:rsidRPr="00093DA0" w:rsidRDefault="001316E2" w:rsidP="00B53ED6">
            <w:pPr>
              <w:spacing w:before="120" w:after="0" w:line="240" w:lineRule="auto"/>
              <w:jc w:val="both"/>
              <w:rPr>
                <w:rFonts w:ascii="Times New Roman" w:hAnsi="Times New Roman"/>
              </w:rPr>
            </w:pPr>
            <w:r w:rsidRPr="00093DA0">
              <w:rPr>
                <w:rFonts w:ascii="Times New Roman" w:hAnsi="Times New Roman"/>
              </w:rPr>
              <w:t xml:space="preserve">In parallel, there are also other </w:t>
            </w:r>
            <w:r w:rsidR="00B37B42" w:rsidRPr="00093DA0">
              <w:rPr>
                <w:rFonts w:ascii="Times New Roman" w:hAnsi="Times New Roman"/>
              </w:rPr>
              <w:t xml:space="preserve">operational coordination </w:t>
            </w:r>
            <w:r w:rsidRPr="00093DA0">
              <w:rPr>
                <w:rFonts w:ascii="Times New Roman" w:hAnsi="Times New Roman"/>
              </w:rPr>
              <w:t xml:space="preserve">bodies activated </w:t>
            </w:r>
            <w:r w:rsidR="00B37B42" w:rsidRPr="00093DA0">
              <w:rPr>
                <w:rFonts w:ascii="Times New Roman" w:hAnsi="Times New Roman"/>
              </w:rPr>
              <w:t xml:space="preserve">in </w:t>
            </w:r>
            <w:r w:rsidR="00780BFF" w:rsidRPr="00093DA0">
              <w:rPr>
                <w:rFonts w:ascii="Times New Roman" w:hAnsi="Times New Roman"/>
              </w:rPr>
              <w:t>emergency situations</w:t>
            </w:r>
            <w:r w:rsidRPr="00093DA0">
              <w:rPr>
                <w:rFonts w:ascii="Times New Roman" w:hAnsi="Times New Roman"/>
              </w:rPr>
              <w:t xml:space="preserve">. Their designation and use depend on the type of crisis; their </w:t>
            </w:r>
            <w:r w:rsidR="00B37B42" w:rsidRPr="00093DA0">
              <w:rPr>
                <w:rFonts w:ascii="Times New Roman" w:hAnsi="Times New Roman"/>
              </w:rPr>
              <w:t xml:space="preserve">competencies and coordination </w:t>
            </w:r>
            <w:r w:rsidRPr="00093DA0">
              <w:rPr>
                <w:rFonts w:ascii="Times New Roman" w:hAnsi="Times New Roman"/>
              </w:rPr>
              <w:t xml:space="preserve">powers </w:t>
            </w:r>
            <w:r w:rsidR="00B37B42" w:rsidRPr="00093DA0">
              <w:rPr>
                <w:rFonts w:ascii="Times New Roman" w:hAnsi="Times New Roman"/>
              </w:rPr>
              <w:t>are not stable, and the</w:t>
            </w:r>
            <w:r w:rsidRPr="00093DA0">
              <w:rPr>
                <w:rFonts w:ascii="Times New Roman" w:hAnsi="Times New Roman"/>
              </w:rPr>
              <w:t xml:space="preserve"> coordination mechanism</w:t>
            </w:r>
            <w:r w:rsidR="00B37B42" w:rsidRPr="00093DA0">
              <w:rPr>
                <w:rFonts w:ascii="Times New Roman" w:hAnsi="Times New Roman"/>
              </w:rPr>
              <w:t xml:space="preserve"> must be re-established each time an emergency arises. </w:t>
            </w:r>
          </w:p>
          <w:p w14:paraId="42B78AA6" w14:textId="393FF5D4" w:rsidR="00D44B48" w:rsidRPr="00093DA0" w:rsidRDefault="00F6404B" w:rsidP="004330D3">
            <w:pPr>
              <w:spacing w:before="120" w:after="0" w:line="240" w:lineRule="auto"/>
              <w:jc w:val="both"/>
              <w:rPr>
                <w:rFonts w:ascii="Times New Roman" w:hAnsi="Times New Roman"/>
              </w:rPr>
            </w:pPr>
            <w:r w:rsidRPr="00093DA0">
              <w:rPr>
                <w:rFonts w:ascii="Times New Roman" w:hAnsi="Times New Roman"/>
              </w:rPr>
              <w:t>As regards</w:t>
            </w:r>
            <w:r w:rsidR="00D44B48" w:rsidRPr="00093DA0">
              <w:rPr>
                <w:rFonts w:ascii="Times New Roman" w:hAnsi="Times New Roman"/>
              </w:rPr>
              <w:t xml:space="preserve"> information and communication technology, </w:t>
            </w:r>
            <w:r w:rsidRPr="00093DA0">
              <w:rPr>
                <w:rFonts w:ascii="Times New Roman" w:hAnsi="Times New Roman"/>
              </w:rPr>
              <w:t xml:space="preserve">North Macedonia uses primarily </w:t>
            </w:r>
            <w:r w:rsidR="00D44B48" w:rsidRPr="00093DA0">
              <w:rPr>
                <w:rFonts w:ascii="Times New Roman" w:hAnsi="Times New Roman"/>
              </w:rPr>
              <w:t>TETRA radio system</w:t>
            </w:r>
            <w:r w:rsidRPr="00093DA0">
              <w:rPr>
                <w:rFonts w:ascii="Times New Roman" w:hAnsi="Times New Roman"/>
              </w:rPr>
              <w:t xml:space="preserve">, which </w:t>
            </w:r>
            <w:r w:rsidR="00D44B48" w:rsidRPr="00093DA0">
              <w:rPr>
                <w:rFonts w:ascii="Times New Roman" w:hAnsi="Times New Roman"/>
              </w:rPr>
              <w:t>relies on solid infrastructure</w:t>
            </w:r>
            <w:r w:rsidRPr="00093DA0">
              <w:rPr>
                <w:rFonts w:ascii="Times New Roman" w:hAnsi="Times New Roman"/>
              </w:rPr>
              <w:t xml:space="preserve">, created with EU funding. Due to </w:t>
            </w:r>
            <w:r w:rsidR="00712D85" w:rsidRPr="00093DA0">
              <w:rPr>
                <w:rFonts w:ascii="Times New Roman" w:hAnsi="Times New Roman"/>
              </w:rPr>
              <w:t>lack of financial resources</w:t>
            </w:r>
            <w:r w:rsidR="005F29BD" w:rsidRPr="00093DA0">
              <w:rPr>
                <w:rFonts w:ascii="Times New Roman" w:hAnsi="Times New Roman"/>
              </w:rPr>
              <w:t xml:space="preserve"> however</w:t>
            </w:r>
            <w:r w:rsidR="00712D85" w:rsidRPr="00093DA0">
              <w:rPr>
                <w:rFonts w:ascii="Times New Roman" w:hAnsi="Times New Roman"/>
              </w:rPr>
              <w:t xml:space="preserve">, </w:t>
            </w:r>
            <w:r w:rsidR="00D44B48" w:rsidRPr="00093DA0">
              <w:rPr>
                <w:rFonts w:ascii="Times New Roman" w:hAnsi="Times New Roman"/>
              </w:rPr>
              <w:t xml:space="preserve">not all relevant stakeholders </w:t>
            </w:r>
            <w:r w:rsidR="00712D85" w:rsidRPr="00093DA0">
              <w:rPr>
                <w:rFonts w:ascii="Times New Roman" w:hAnsi="Times New Roman"/>
              </w:rPr>
              <w:t xml:space="preserve">are </w:t>
            </w:r>
            <w:r w:rsidR="00D44B48" w:rsidRPr="00093DA0">
              <w:rPr>
                <w:rFonts w:ascii="Times New Roman" w:hAnsi="Times New Roman"/>
              </w:rPr>
              <w:t>connected to this system</w:t>
            </w:r>
            <w:r w:rsidRPr="00093DA0">
              <w:rPr>
                <w:rFonts w:ascii="Times New Roman" w:hAnsi="Times New Roman"/>
              </w:rPr>
              <w:t xml:space="preserve"> and not all are fully</w:t>
            </w:r>
            <w:r w:rsidR="00D44B48" w:rsidRPr="00093DA0">
              <w:rPr>
                <w:rFonts w:ascii="Times New Roman" w:hAnsi="Times New Roman"/>
              </w:rPr>
              <w:t xml:space="preserve"> equipped with modern and secure radio communication equipment, </w:t>
            </w:r>
            <w:r w:rsidRPr="00093DA0">
              <w:rPr>
                <w:rFonts w:ascii="Times New Roman" w:hAnsi="Times New Roman"/>
              </w:rPr>
              <w:t>IT systems</w:t>
            </w:r>
            <w:r w:rsidR="00D44B48" w:rsidRPr="00093DA0">
              <w:rPr>
                <w:rFonts w:ascii="Times New Roman" w:hAnsi="Times New Roman"/>
              </w:rPr>
              <w:t xml:space="preserve">, satellite communications, and broadband coverage. </w:t>
            </w:r>
          </w:p>
          <w:p w14:paraId="164EDB8C" w14:textId="65C68E2B" w:rsidR="00023747" w:rsidRPr="00093DA0" w:rsidRDefault="00F37F2B" w:rsidP="004330D3">
            <w:pPr>
              <w:spacing w:before="120" w:after="0" w:line="240" w:lineRule="auto"/>
              <w:jc w:val="both"/>
              <w:rPr>
                <w:rFonts w:ascii="Times New Roman" w:hAnsi="Times New Roman"/>
              </w:rPr>
            </w:pPr>
            <w:r w:rsidRPr="00093DA0">
              <w:rPr>
                <w:rFonts w:ascii="Times New Roman" w:hAnsi="Times New Roman"/>
              </w:rPr>
              <w:t>A</w:t>
            </w:r>
            <w:r w:rsidR="00CA3BA7" w:rsidRPr="00093DA0">
              <w:rPr>
                <w:rFonts w:ascii="Times New Roman" w:hAnsi="Times New Roman"/>
              </w:rPr>
              <w:t xml:space="preserve"> well-trained and experienced workforce is the most valuable resource of any emergency preparedness and response system. </w:t>
            </w:r>
            <w:r w:rsidRPr="00093DA0">
              <w:rPr>
                <w:rFonts w:ascii="Times New Roman" w:hAnsi="Times New Roman"/>
              </w:rPr>
              <w:t xml:space="preserve">In the absence of a single and permanent centre for emergency operations, North Macedonia does not have a training centre for emergency preparedness and response that would conduct regular and integrated training for multiple stakeholders and promote </w:t>
            </w:r>
            <w:r w:rsidR="00CA3BA7" w:rsidRPr="00093DA0">
              <w:rPr>
                <w:rFonts w:ascii="Times New Roman" w:hAnsi="Times New Roman"/>
              </w:rPr>
              <w:t xml:space="preserve">a culture of readiness.  </w:t>
            </w:r>
            <w:r w:rsidRPr="00093DA0">
              <w:rPr>
                <w:rFonts w:ascii="Times New Roman" w:hAnsi="Times New Roman"/>
              </w:rPr>
              <w:t>A systemic training approach needs to be put in place to cover the full spectrum of people</w:t>
            </w:r>
            <w:r w:rsidR="00CA3BA7" w:rsidRPr="00093DA0">
              <w:rPr>
                <w:rFonts w:ascii="Times New Roman" w:hAnsi="Times New Roman"/>
              </w:rPr>
              <w:t xml:space="preserve"> involved in the emergency preparedness and response </w:t>
            </w:r>
            <w:r w:rsidRPr="00093DA0">
              <w:rPr>
                <w:rFonts w:ascii="Times New Roman" w:hAnsi="Times New Roman"/>
              </w:rPr>
              <w:t xml:space="preserve">at the </w:t>
            </w:r>
            <w:r w:rsidRPr="00093DA0">
              <w:rPr>
                <w:rFonts w:ascii="Times New Roman" w:hAnsi="Times New Roman"/>
              </w:rPr>
              <w:lastRenderedPageBreak/>
              <w:t xml:space="preserve">various levels and allow them </w:t>
            </w:r>
            <w:r w:rsidR="00DD12B1" w:rsidRPr="00093DA0">
              <w:rPr>
                <w:rFonts w:ascii="Times New Roman" w:hAnsi="Times New Roman"/>
              </w:rPr>
              <w:t>to acquire</w:t>
            </w:r>
            <w:r w:rsidR="00CA3BA7" w:rsidRPr="00093DA0">
              <w:rPr>
                <w:rFonts w:ascii="Times New Roman" w:hAnsi="Times New Roman"/>
              </w:rPr>
              <w:t xml:space="preserve"> the necessary skills, knowledge, and practical experience. </w:t>
            </w:r>
            <w:r w:rsidRPr="00093DA0">
              <w:rPr>
                <w:rFonts w:ascii="Times New Roman" w:hAnsi="Times New Roman"/>
              </w:rPr>
              <w:t>This would require an increase in the number of certified trainers, improving formal assessment programmes and integration of the existing training standards, development of solid training programmes for intensive and extensive training.</w:t>
            </w:r>
          </w:p>
          <w:p w14:paraId="6A494A25" w14:textId="77777777" w:rsidR="00023747" w:rsidRPr="00093DA0" w:rsidRDefault="00023747" w:rsidP="004330D3">
            <w:pPr>
              <w:spacing w:before="120" w:after="0" w:line="240" w:lineRule="auto"/>
              <w:jc w:val="both"/>
              <w:rPr>
                <w:rFonts w:ascii="Times New Roman" w:hAnsi="Times New Roman"/>
              </w:rPr>
            </w:pPr>
            <w:r w:rsidRPr="00093DA0">
              <w:rPr>
                <w:rFonts w:ascii="Times New Roman" w:hAnsi="Times New Roman"/>
              </w:rPr>
              <w:t>This component aims at achieving the following results:</w:t>
            </w:r>
          </w:p>
          <w:p w14:paraId="18AE67CD" w14:textId="77777777" w:rsidR="00F97749" w:rsidRPr="00093DA0" w:rsidRDefault="00DE6965" w:rsidP="004330D3">
            <w:pPr>
              <w:spacing w:before="120" w:after="0" w:line="240" w:lineRule="auto"/>
              <w:jc w:val="both"/>
              <w:rPr>
                <w:rFonts w:ascii="Times New Roman" w:hAnsi="Times New Roman"/>
                <w:i/>
                <w:iCs/>
              </w:rPr>
            </w:pPr>
            <w:r w:rsidRPr="00093DA0">
              <w:rPr>
                <w:rFonts w:ascii="Times New Roman" w:hAnsi="Times New Roman"/>
                <w:i/>
                <w:iCs/>
              </w:rPr>
              <w:t xml:space="preserve">2.1 </w:t>
            </w:r>
            <w:r w:rsidR="00AF66D9" w:rsidRPr="00093DA0">
              <w:rPr>
                <w:rFonts w:ascii="Times New Roman" w:hAnsi="Times New Roman"/>
                <w:i/>
                <w:iCs/>
              </w:rPr>
              <w:t xml:space="preserve">Improved </w:t>
            </w:r>
            <w:r w:rsidR="002336C0" w:rsidRPr="00093DA0">
              <w:rPr>
                <w:rFonts w:ascii="Times New Roman" w:hAnsi="Times New Roman"/>
                <w:i/>
                <w:iCs/>
              </w:rPr>
              <w:t>N</w:t>
            </w:r>
            <w:r w:rsidR="00B73790" w:rsidRPr="00093DA0">
              <w:rPr>
                <w:rFonts w:ascii="Times New Roman" w:hAnsi="Times New Roman"/>
                <w:i/>
                <w:iCs/>
              </w:rPr>
              <w:t>ational strategic</w:t>
            </w:r>
            <w:r w:rsidR="00645A3A" w:rsidRPr="00093DA0">
              <w:rPr>
                <w:rFonts w:ascii="Times New Roman" w:hAnsi="Times New Roman"/>
                <w:i/>
                <w:iCs/>
              </w:rPr>
              <w:t>,</w:t>
            </w:r>
            <w:r w:rsidR="00B73790" w:rsidRPr="00093DA0">
              <w:rPr>
                <w:rFonts w:ascii="Times New Roman" w:hAnsi="Times New Roman"/>
                <w:i/>
                <w:iCs/>
              </w:rPr>
              <w:t xml:space="preserve"> </w:t>
            </w:r>
            <w:r w:rsidR="001119D1" w:rsidRPr="00093DA0">
              <w:rPr>
                <w:rFonts w:ascii="Times New Roman" w:hAnsi="Times New Roman"/>
                <w:i/>
                <w:iCs/>
              </w:rPr>
              <w:t>legal,</w:t>
            </w:r>
            <w:r w:rsidR="00B73790" w:rsidRPr="00093DA0">
              <w:rPr>
                <w:rFonts w:ascii="Times New Roman" w:hAnsi="Times New Roman"/>
                <w:i/>
                <w:iCs/>
              </w:rPr>
              <w:t xml:space="preserve"> </w:t>
            </w:r>
            <w:r w:rsidR="00645A3A" w:rsidRPr="00093DA0">
              <w:rPr>
                <w:rFonts w:ascii="Times New Roman" w:hAnsi="Times New Roman"/>
                <w:i/>
                <w:iCs/>
              </w:rPr>
              <w:t xml:space="preserve">and institutional </w:t>
            </w:r>
            <w:r w:rsidR="00675154" w:rsidRPr="00093DA0">
              <w:rPr>
                <w:rFonts w:ascii="Times New Roman" w:hAnsi="Times New Roman"/>
                <w:i/>
                <w:iCs/>
              </w:rPr>
              <w:t xml:space="preserve">framework </w:t>
            </w:r>
            <w:r w:rsidR="00B73790" w:rsidRPr="00093DA0">
              <w:rPr>
                <w:rFonts w:ascii="Times New Roman" w:hAnsi="Times New Roman"/>
                <w:i/>
                <w:iCs/>
              </w:rPr>
              <w:t>for crisis management</w:t>
            </w:r>
            <w:r w:rsidR="00DF3C6F" w:rsidRPr="00093DA0">
              <w:rPr>
                <w:rFonts w:ascii="Times New Roman" w:hAnsi="Times New Roman"/>
                <w:i/>
                <w:iCs/>
              </w:rPr>
              <w:t xml:space="preserve">, </w:t>
            </w:r>
            <w:r w:rsidR="00DF3C6F" w:rsidRPr="00093DA0">
              <w:rPr>
                <w:rFonts w:ascii="Times New Roman" w:hAnsi="Times New Roman"/>
                <w:iCs/>
              </w:rPr>
              <w:t>encompassing:</w:t>
            </w:r>
          </w:p>
          <w:p w14:paraId="75D0EEB3" w14:textId="7025BDEB" w:rsidR="00B73790" w:rsidRPr="00093DA0" w:rsidRDefault="004D5F18"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S</w:t>
            </w:r>
            <w:r w:rsidR="00346A1C" w:rsidRPr="00093DA0">
              <w:rPr>
                <w:rFonts w:ascii="Times New Roman" w:hAnsi="Times New Roman"/>
              </w:rPr>
              <w:t xml:space="preserve">treamlining and </w:t>
            </w:r>
            <w:r w:rsidR="00D42A45" w:rsidRPr="00093DA0">
              <w:rPr>
                <w:rFonts w:ascii="Times New Roman" w:hAnsi="Times New Roman"/>
              </w:rPr>
              <w:t xml:space="preserve">simplifying the </w:t>
            </w:r>
            <w:r w:rsidR="00346A1C" w:rsidRPr="00093DA0">
              <w:rPr>
                <w:rFonts w:ascii="Times New Roman" w:hAnsi="Times New Roman"/>
              </w:rPr>
              <w:t>legal</w:t>
            </w:r>
            <w:r w:rsidR="008D2CF5" w:rsidRPr="00093DA0">
              <w:rPr>
                <w:rFonts w:ascii="Times New Roman" w:hAnsi="Times New Roman"/>
              </w:rPr>
              <w:t xml:space="preserve">, </w:t>
            </w:r>
            <w:r w:rsidR="00062BB9" w:rsidRPr="00093DA0">
              <w:rPr>
                <w:rFonts w:ascii="Times New Roman" w:hAnsi="Times New Roman"/>
              </w:rPr>
              <w:t>institutional,</w:t>
            </w:r>
            <w:r w:rsidR="008D2CF5" w:rsidRPr="00093DA0">
              <w:rPr>
                <w:rFonts w:ascii="Times New Roman" w:hAnsi="Times New Roman"/>
              </w:rPr>
              <w:t xml:space="preserve"> </w:t>
            </w:r>
            <w:r w:rsidR="00675154" w:rsidRPr="00093DA0">
              <w:rPr>
                <w:rFonts w:ascii="Times New Roman" w:hAnsi="Times New Roman"/>
              </w:rPr>
              <w:t xml:space="preserve">and financial </w:t>
            </w:r>
            <w:r w:rsidR="00346A1C" w:rsidRPr="00093DA0">
              <w:rPr>
                <w:rFonts w:ascii="Times New Roman" w:hAnsi="Times New Roman"/>
              </w:rPr>
              <w:t xml:space="preserve">framework applicable </w:t>
            </w:r>
            <w:r w:rsidR="00D42A45" w:rsidRPr="00093DA0">
              <w:rPr>
                <w:rFonts w:ascii="Times New Roman" w:hAnsi="Times New Roman"/>
              </w:rPr>
              <w:t>to prevention, preparation, and response to cris</w:t>
            </w:r>
            <w:r w:rsidR="003C1283" w:rsidRPr="00093DA0">
              <w:rPr>
                <w:rFonts w:ascii="Times New Roman" w:hAnsi="Times New Roman"/>
              </w:rPr>
              <w:t>i</w:t>
            </w:r>
            <w:r w:rsidR="00D42A45" w:rsidRPr="00093DA0">
              <w:rPr>
                <w:rFonts w:ascii="Times New Roman" w:hAnsi="Times New Roman"/>
              </w:rPr>
              <w:t>s</w:t>
            </w:r>
            <w:r w:rsidR="00675154" w:rsidRPr="00093DA0">
              <w:rPr>
                <w:rFonts w:ascii="Times New Roman" w:hAnsi="Times New Roman"/>
              </w:rPr>
              <w:t>, ensuring clear responsibilities,</w:t>
            </w:r>
            <w:r w:rsidR="004457D6">
              <w:rPr>
                <w:rFonts w:ascii="Times New Roman" w:hAnsi="Times New Roman"/>
              </w:rPr>
              <w:t xml:space="preserve"> </w:t>
            </w:r>
            <w:r w:rsidR="00675154" w:rsidRPr="00093DA0">
              <w:rPr>
                <w:rFonts w:ascii="Times New Roman" w:hAnsi="Times New Roman"/>
              </w:rPr>
              <w:t>autonomous financial management and strong inter-institutional cooperation</w:t>
            </w:r>
            <w:r w:rsidR="004457D6">
              <w:rPr>
                <w:rFonts w:ascii="Times New Roman" w:hAnsi="Times New Roman"/>
              </w:rPr>
              <w:t xml:space="preserve"> and coordination. </w:t>
            </w:r>
          </w:p>
          <w:p w14:paraId="6B6230F3" w14:textId="76676268" w:rsidR="00A3061D" w:rsidRPr="00093DA0" w:rsidRDefault="004D5F18"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U</w:t>
            </w:r>
            <w:r w:rsidR="00675154" w:rsidRPr="00093DA0">
              <w:rPr>
                <w:rFonts w:ascii="Times New Roman" w:hAnsi="Times New Roman"/>
              </w:rPr>
              <w:t>pdate of the</w:t>
            </w:r>
            <w:r w:rsidR="00C96E8E" w:rsidRPr="00093DA0">
              <w:rPr>
                <w:rFonts w:ascii="Times New Roman" w:hAnsi="Times New Roman"/>
              </w:rPr>
              <w:t xml:space="preserve"> National Risk</w:t>
            </w:r>
            <w:r w:rsidR="00EA1D93" w:rsidRPr="00093DA0">
              <w:rPr>
                <w:rFonts w:ascii="Times New Roman" w:hAnsi="Times New Roman"/>
              </w:rPr>
              <w:t xml:space="preserve"> Assessment and the emergency and crisis planning procedures based on th</w:t>
            </w:r>
            <w:r w:rsidR="00DF356D" w:rsidRPr="00093DA0">
              <w:rPr>
                <w:rFonts w:ascii="Times New Roman" w:hAnsi="Times New Roman"/>
              </w:rPr>
              <w:t>is</w:t>
            </w:r>
            <w:r w:rsidR="00EA1D93" w:rsidRPr="00093DA0">
              <w:rPr>
                <w:rFonts w:ascii="Times New Roman" w:hAnsi="Times New Roman"/>
              </w:rPr>
              <w:t xml:space="preserve"> Risk Assessment.</w:t>
            </w:r>
          </w:p>
          <w:p w14:paraId="30FCD815" w14:textId="2C7BE5A4" w:rsidR="00EA1D93" w:rsidRDefault="004D5F18"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E</w:t>
            </w:r>
            <w:r w:rsidR="00675154" w:rsidRPr="00093DA0">
              <w:rPr>
                <w:rFonts w:ascii="Times New Roman" w:hAnsi="Times New Roman"/>
              </w:rPr>
              <w:t>stablishing of a</w:t>
            </w:r>
            <w:r w:rsidR="00EA1D93" w:rsidRPr="00093DA0">
              <w:rPr>
                <w:rFonts w:ascii="Times New Roman" w:hAnsi="Times New Roman"/>
              </w:rPr>
              <w:t xml:space="preserve"> National Advisory Board </w:t>
            </w:r>
            <w:r w:rsidR="00DD12B1" w:rsidRPr="00093DA0">
              <w:rPr>
                <w:rFonts w:ascii="Times New Roman" w:hAnsi="Times New Roman"/>
              </w:rPr>
              <w:t>also including</w:t>
            </w:r>
            <w:r w:rsidR="00EA1D93" w:rsidRPr="00093DA0">
              <w:rPr>
                <w:rFonts w:ascii="Times New Roman" w:hAnsi="Times New Roman"/>
              </w:rPr>
              <w:t xml:space="preserve"> representatives from the private sector, NGOs, religious</w:t>
            </w:r>
            <w:r w:rsidR="00645A3A" w:rsidRPr="00093DA0">
              <w:rPr>
                <w:rFonts w:ascii="Times New Roman" w:hAnsi="Times New Roman"/>
              </w:rPr>
              <w:t xml:space="preserve"> and civil society organisations, </w:t>
            </w:r>
            <w:r w:rsidR="00DD12B1" w:rsidRPr="00093DA0">
              <w:rPr>
                <w:rFonts w:ascii="Times New Roman" w:hAnsi="Times New Roman"/>
              </w:rPr>
              <w:t>academia,</w:t>
            </w:r>
            <w:r w:rsidR="00645A3A" w:rsidRPr="00093DA0">
              <w:rPr>
                <w:rFonts w:ascii="Times New Roman" w:hAnsi="Times New Roman"/>
              </w:rPr>
              <w:t xml:space="preserve"> and research institutions, and community-based and associations.</w:t>
            </w:r>
          </w:p>
          <w:p w14:paraId="6EFA7691" w14:textId="4ADD19B0" w:rsidR="001119D1" w:rsidRPr="00093DA0" w:rsidRDefault="004D5F18"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D</w:t>
            </w:r>
            <w:r w:rsidR="00B270B4" w:rsidRPr="00093DA0">
              <w:rPr>
                <w:rFonts w:ascii="Times New Roman" w:hAnsi="Times New Roman"/>
              </w:rPr>
              <w:t>evelop</w:t>
            </w:r>
            <w:r w:rsidR="00675154" w:rsidRPr="00093DA0">
              <w:rPr>
                <w:rFonts w:ascii="Times New Roman" w:hAnsi="Times New Roman"/>
              </w:rPr>
              <w:t>ing</w:t>
            </w:r>
            <w:r w:rsidR="00B270B4" w:rsidRPr="00093DA0">
              <w:rPr>
                <w:rFonts w:ascii="Times New Roman" w:hAnsi="Times New Roman"/>
              </w:rPr>
              <w:t xml:space="preserve"> a systematic community engagement approach, including sustainable and real volunteering programmes.</w:t>
            </w:r>
          </w:p>
          <w:p w14:paraId="19A389D2" w14:textId="7BFECAF7" w:rsidR="00346A1C" w:rsidRPr="00093DA0" w:rsidRDefault="00346A1C"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Development of a new National Protection and Rescue Strategy 2026-2030.</w:t>
            </w:r>
          </w:p>
          <w:p w14:paraId="31EAFB8E" w14:textId="77777777" w:rsidR="003B6131" w:rsidRPr="00093DA0" w:rsidRDefault="00D967C1" w:rsidP="004330D3">
            <w:pPr>
              <w:spacing w:before="120" w:after="0" w:line="240" w:lineRule="auto"/>
              <w:jc w:val="both"/>
              <w:rPr>
                <w:rFonts w:ascii="Times New Roman" w:hAnsi="Times New Roman"/>
                <w:i/>
                <w:iCs/>
              </w:rPr>
            </w:pPr>
            <w:r w:rsidRPr="00093DA0">
              <w:rPr>
                <w:rFonts w:ascii="Times New Roman" w:hAnsi="Times New Roman"/>
                <w:i/>
                <w:iCs/>
              </w:rPr>
              <w:t xml:space="preserve">2.2 </w:t>
            </w:r>
            <w:r w:rsidR="00675154" w:rsidRPr="00093DA0">
              <w:rPr>
                <w:rFonts w:ascii="Times New Roman" w:hAnsi="Times New Roman"/>
                <w:i/>
                <w:iCs/>
              </w:rPr>
              <w:t xml:space="preserve">Strengthened capacities for </w:t>
            </w:r>
            <w:r w:rsidR="00B270B4" w:rsidRPr="00093DA0">
              <w:rPr>
                <w:rFonts w:ascii="Times New Roman" w:hAnsi="Times New Roman"/>
                <w:i/>
                <w:iCs/>
              </w:rPr>
              <w:t xml:space="preserve">crisis </w:t>
            </w:r>
            <w:r w:rsidR="00675154" w:rsidRPr="00093DA0">
              <w:rPr>
                <w:rFonts w:ascii="Times New Roman" w:hAnsi="Times New Roman"/>
                <w:i/>
                <w:iCs/>
              </w:rPr>
              <w:t xml:space="preserve">response </w:t>
            </w:r>
          </w:p>
          <w:p w14:paraId="13C22026" w14:textId="605AFBA4" w:rsidR="00E42202" w:rsidRDefault="00E42202"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Support the establishment of a comprehensive Permanent Training Mechanism for protection and rescue forces members, including developing a National Emergency/Disaster Management Training Strategy, training needs analysis, training programme, and a national database of trained experts on relevant topics.</w:t>
            </w:r>
          </w:p>
          <w:p w14:paraId="1EC14E41" w14:textId="05792662" w:rsidR="001E4028" w:rsidRPr="00093DA0" w:rsidRDefault="00D527EB"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 xml:space="preserve">Capacity building </w:t>
            </w:r>
            <w:r w:rsidR="001E4028" w:rsidRPr="00093DA0">
              <w:rPr>
                <w:rFonts w:ascii="Times New Roman" w:hAnsi="Times New Roman"/>
              </w:rPr>
              <w:t>activities</w:t>
            </w:r>
            <w:r w:rsidRPr="00093DA0">
              <w:rPr>
                <w:rFonts w:ascii="Times New Roman" w:hAnsi="Times New Roman"/>
              </w:rPr>
              <w:t xml:space="preserve"> to improve the forest police capacities to fight against </w:t>
            </w:r>
            <w:r w:rsidR="002336C0" w:rsidRPr="00093DA0">
              <w:rPr>
                <w:rFonts w:ascii="Times New Roman" w:hAnsi="Times New Roman"/>
              </w:rPr>
              <w:t xml:space="preserve">illegal and criminal activities affecting the </w:t>
            </w:r>
            <w:r w:rsidR="001E4028" w:rsidRPr="00093DA0">
              <w:rPr>
                <w:rFonts w:ascii="Times New Roman" w:hAnsi="Times New Roman"/>
              </w:rPr>
              <w:t>forest resources.</w:t>
            </w:r>
          </w:p>
          <w:p w14:paraId="78E3DB04" w14:textId="77777777" w:rsidR="001E4028" w:rsidRPr="00093DA0" w:rsidRDefault="00EA2BD4"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 xml:space="preserve">Capacity building activities </w:t>
            </w:r>
            <w:r w:rsidR="00AB3B9B" w:rsidRPr="00093DA0">
              <w:rPr>
                <w:rFonts w:ascii="Times New Roman" w:hAnsi="Times New Roman"/>
              </w:rPr>
              <w:t xml:space="preserve">for the personnel involved in the fire, rescue, and civil protection tasks </w:t>
            </w:r>
            <w:r w:rsidRPr="00093DA0">
              <w:rPr>
                <w:rFonts w:ascii="Times New Roman" w:hAnsi="Times New Roman"/>
              </w:rPr>
              <w:t xml:space="preserve">to support the implementation of the </w:t>
            </w:r>
            <w:r w:rsidR="0062593E" w:rsidRPr="00093DA0">
              <w:rPr>
                <w:rFonts w:ascii="Times New Roman" w:hAnsi="Times New Roman"/>
              </w:rPr>
              <w:t>N</w:t>
            </w:r>
            <w:r w:rsidRPr="00093DA0">
              <w:rPr>
                <w:rFonts w:ascii="Times New Roman" w:hAnsi="Times New Roman"/>
              </w:rPr>
              <w:t>ational Disaster Risk Management (DRM)/Disaster Risk Reduction (DRR)</w:t>
            </w:r>
            <w:r w:rsidR="00AB3B9B" w:rsidRPr="00093DA0">
              <w:rPr>
                <w:rFonts w:ascii="Times New Roman" w:hAnsi="Times New Roman"/>
              </w:rPr>
              <w:t>.</w:t>
            </w:r>
          </w:p>
          <w:p w14:paraId="58562CA0" w14:textId="77777777" w:rsidR="0062593E" w:rsidRPr="00093DA0" w:rsidRDefault="00667608"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Support to the implementation of a national p</w:t>
            </w:r>
            <w:r w:rsidR="008E3218" w:rsidRPr="00093DA0">
              <w:rPr>
                <w:rFonts w:ascii="Times New Roman" w:hAnsi="Times New Roman"/>
              </w:rPr>
              <w:t xml:space="preserve">ublic awareness </w:t>
            </w:r>
            <w:r w:rsidRPr="00093DA0">
              <w:rPr>
                <w:rFonts w:ascii="Times New Roman" w:hAnsi="Times New Roman"/>
              </w:rPr>
              <w:t>and education campaign</w:t>
            </w:r>
            <w:r w:rsidR="00E2453F" w:rsidRPr="00093DA0">
              <w:rPr>
                <w:rFonts w:ascii="Times New Roman" w:hAnsi="Times New Roman"/>
              </w:rPr>
              <w:t xml:space="preserve"> on crisis events.</w:t>
            </w:r>
          </w:p>
          <w:p w14:paraId="7CFADFD8" w14:textId="1F2F628F" w:rsidR="00E2453F" w:rsidRPr="00093DA0" w:rsidRDefault="004D5F18" w:rsidP="004330D3">
            <w:pPr>
              <w:pStyle w:val="ListParagraph"/>
              <w:numPr>
                <w:ilvl w:val="0"/>
                <w:numId w:val="57"/>
              </w:numPr>
              <w:spacing w:before="120" w:after="0" w:line="240" w:lineRule="auto"/>
              <w:ind w:left="598"/>
              <w:contextualSpacing w:val="0"/>
              <w:jc w:val="both"/>
              <w:rPr>
                <w:rFonts w:ascii="Times New Roman" w:hAnsi="Times New Roman"/>
              </w:rPr>
            </w:pPr>
            <w:r w:rsidRPr="00093DA0">
              <w:rPr>
                <w:rFonts w:ascii="Times New Roman" w:hAnsi="Times New Roman"/>
              </w:rPr>
              <w:t>I</w:t>
            </w:r>
            <w:r w:rsidR="00E11E4E" w:rsidRPr="00093DA0">
              <w:rPr>
                <w:rFonts w:ascii="Times New Roman" w:hAnsi="Times New Roman"/>
              </w:rPr>
              <w:t>mplement</w:t>
            </w:r>
            <w:r w:rsidR="008B42E7" w:rsidRPr="00093DA0">
              <w:rPr>
                <w:rFonts w:ascii="Times New Roman" w:hAnsi="Times New Roman"/>
              </w:rPr>
              <w:t>ation of</w:t>
            </w:r>
            <w:r w:rsidR="00EA4AC3" w:rsidRPr="00093DA0">
              <w:rPr>
                <w:rFonts w:ascii="Times New Roman" w:hAnsi="Times New Roman"/>
              </w:rPr>
              <w:t xml:space="preserve"> unified command system, centralising incident notification and response and, more broadly, sharing of disaster management information across the Government.</w:t>
            </w:r>
            <w:r w:rsidR="00E11E4E" w:rsidRPr="00093DA0">
              <w:rPr>
                <w:rFonts w:ascii="Times New Roman" w:hAnsi="Times New Roman"/>
              </w:rPr>
              <w:t xml:space="preserve"> </w:t>
            </w:r>
          </w:p>
          <w:p w14:paraId="3F6A6CFC" w14:textId="77777777" w:rsidR="00AA7DF6" w:rsidRPr="00093DA0" w:rsidRDefault="00346A1C" w:rsidP="004330D3">
            <w:pPr>
              <w:pStyle w:val="ListParagraph"/>
              <w:numPr>
                <w:ilvl w:val="0"/>
                <w:numId w:val="57"/>
              </w:numPr>
              <w:spacing w:before="120" w:after="0" w:line="240" w:lineRule="auto"/>
              <w:ind w:left="598" w:hanging="357"/>
              <w:contextualSpacing w:val="0"/>
              <w:jc w:val="both"/>
              <w:rPr>
                <w:rFonts w:ascii="Times New Roman" w:hAnsi="Times New Roman"/>
              </w:rPr>
            </w:pPr>
            <w:r w:rsidRPr="00093DA0">
              <w:rPr>
                <w:rFonts w:ascii="Times New Roman" w:hAnsi="Times New Roman"/>
              </w:rPr>
              <w:t>E</w:t>
            </w:r>
            <w:r w:rsidR="00F75B06" w:rsidRPr="00093DA0">
              <w:rPr>
                <w:rFonts w:ascii="Times New Roman" w:hAnsi="Times New Roman"/>
              </w:rPr>
              <w:t>stablish</w:t>
            </w:r>
            <w:r w:rsidR="00EB078A" w:rsidRPr="00093DA0">
              <w:rPr>
                <w:rFonts w:ascii="Times New Roman" w:hAnsi="Times New Roman"/>
              </w:rPr>
              <w:t>ing</w:t>
            </w:r>
            <w:r w:rsidR="00F75B06" w:rsidRPr="00093DA0">
              <w:rPr>
                <w:rFonts w:ascii="Times New Roman" w:hAnsi="Times New Roman"/>
              </w:rPr>
              <w:t xml:space="preserve"> a unified model of Emergency Management System, supported by phase 2 of the 112 Emergency Call</w:t>
            </w:r>
            <w:r w:rsidR="00AA7DF6" w:rsidRPr="00093DA0">
              <w:rPr>
                <w:rFonts w:ascii="Times New Roman" w:hAnsi="Times New Roman"/>
              </w:rPr>
              <w:t xml:space="preserve"> (E112), in line with the EU requirements.</w:t>
            </w:r>
          </w:p>
          <w:p w14:paraId="70E3E1C6" w14:textId="77777777" w:rsidR="00DB170C" w:rsidRPr="00093DA0" w:rsidRDefault="00627DFB" w:rsidP="004330D3">
            <w:pPr>
              <w:pStyle w:val="ListParagraph"/>
              <w:numPr>
                <w:ilvl w:val="0"/>
                <w:numId w:val="57"/>
              </w:numPr>
              <w:spacing w:before="120" w:after="0" w:line="240" w:lineRule="auto"/>
              <w:ind w:left="598" w:hanging="357"/>
              <w:contextualSpacing w:val="0"/>
              <w:jc w:val="both"/>
              <w:rPr>
                <w:rFonts w:ascii="Times New Roman" w:hAnsi="Times New Roman"/>
              </w:rPr>
            </w:pPr>
            <w:r w:rsidRPr="00093DA0">
              <w:rPr>
                <w:rFonts w:ascii="Times New Roman" w:hAnsi="Times New Roman"/>
              </w:rPr>
              <w:t>Establishment of Emergency Operational Centre, connected with Common Emergency Communication and Information System (CECIS) and E112, and equipped with modern communication technology.</w:t>
            </w:r>
          </w:p>
          <w:p w14:paraId="71596E26" w14:textId="77E4D7D2" w:rsidR="000345C9" w:rsidRPr="00093DA0" w:rsidRDefault="000345C9" w:rsidP="004330D3">
            <w:pPr>
              <w:spacing w:before="120" w:after="0" w:line="240" w:lineRule="auto"/>
              <w:jc w:val="both"/>
              <w:rPr>
                <w:rFonts w:ascii="Times New Roman" w:hAnsi="Times New Roman"/>
                <w:b/>
                <w:bCs/>
              </w:rPr>
            </w:pPr>
            <w:r w:rsidRPr="00093DA0">
              <w:rPr>
                <w:rFonts w:ascii="Times New Roman" w:hAnsi="Times New Roman"/>
                <w:b/>
                <w:bCs/>
              </w:rPr>
              <w:t xml:space="preserve">Component </w:t>
            </w:r>
            <w:r w:rsidR="00627DFB" w:rsidRPr="00093DA0">
              <w:rPr>
                <w:rFonts w:ascii="Times New Roman" w:hAnsi="Times New Roman"/>
                <w:b/>
                <w:bCs/>
              </w:rPr>
              <w:t>3</w:t>
            </w:r>
            <w:r w:rsidRPr="00093DA0">
              <w:rPr>
                <w:rFonts w:ascii="Times New Roman" w:hAnsi="Times New Roman"/>
                <w:b/>
                <w:bCs/>
              </w:rPr>
              <w:t xml:space="preserve">:  </w:t>
            </w:r>
            <w:r w:rsidR="001B5257" w:rsidRPr="00093DA0">
              <w:rPr>
                <w:rFonts w:ascii="Times New Roman" w:hAnsi="Times New Roman"/>
                <w:b/>
              </w:rPr>
              <w:t>Enhanc</w:t>
            </w:r>
            <w:r w:rsidR="00FE1B87" w:rsidRPr="00093DA0">
              <w:rPr>
                <w:rFonts w:ascii="Times New Roman" w:hAnsi="Times New Roman"/>
                <w:b/>
              </w:rPr>
              <w:t>ing</w:t>
            </w:r>
            <w:r w:rsidRPr="00093DA0">
              <w:rPr>
                <w:rFonts w:ascii="Times New Roman" w:hAnsi="Times New Roman"/>
                <w:b/>
              </w:rPr>
              <w:t xml:space="preserve"> </w:t>
            </w:r>
            <w:r w:rsidR="00824CE0" w:rsidRPr="00093DA0">
              <w:rPr>
                <w:rFonts w:ascii="Times New Roman" w:hAnsi="Times New Roman"/>
                <w:b/>
              </w:rPr>
              <w:t xml:space="preserve">transport </w:t>
            </w:r>
            <w:r w:rsidR="006B0CF0" w:rsidRPr="00093DA0">
              <w:rPr>
                <w:rFonts w:ascii="Times New Roman" w:hAnsi="Times New Roman"/>
                <w:b/>
              </w:rPr>
              <w:t xml:space="preserve">safety and </w:t>
            </w:r>
            <w:r w:rsidR="00824CE0" w:rsidRPr="00093DA0">
              <w:rPr>
                <w:rFonts w:ascii="Times New Roman" w:hAnsi="Times New Roman"/>
                <w:b/>
              </w:rPr>
              <w:t xml:space="preserve">connectivity </w:t>
            </w:r>
          </w:p>
          <w:p w14:paraId="0EE3A683" w14:textId="77777777" w:rsidR="00647D25" w:rsidRPr="00093DA0" w:rsidRDefault="00647D25" w:rsidP="004330D3">
            <w:pPr>
              <w:spacing w:before="120" w:after="0" w:line="240" w:lineRule="auto"/>
              <w:jc w:val="both"/>
              <w:rPr>
                <w:rFonts w:ascii="Times New Roman" w:hAnsi="Times New Roman"/>
              </w:rPr>
            </w:pPr>
            <w:r w:rsidRPr="00093DA0">
              <w:rPr>
                <w:rFonts w:ascii="Times New Roman" w:hAnsi="Times New Roman"/>
              </w:rPr>
              <w:lastRenderedPageBreak/>
              <w:t>T</w:t>
            </w:r>
            <w:r w:rsidR="007A0D76" w:rsidRPr="00093DA0">
              <w:rPr>
                <w:rFonts w:ascii="Times New Roman" w:hAnsi="Times New Roman"/>
              </w:rPr>
              <w:t xml:space="preserve">he number of fatalities in road traffic accidents </w:t>
            </w:r>
            <w:r w:rsidRPr="00093DA0">
              <w:rPr>
                <w:rFonts w:ascii="Times New Roman" w:hAnsi="Times New Roman"/>
              </w:rPr>
              <w:t xml:space="preserve">in North Macedonia in 2019 (last pre-Covid19 year), </w:t>
            </w:r>
            <w:r w:rsidR="007A0D76" w:rsidRPr="00093DA0">
              <w:rPr>
                <w:rFonts w:ascii="Times New Roman" w:hAnsi="Times New Roman"/>
              </w:rPr>
              <w:t xml:space="preserve">was 63 victims/million inhabitants in 2019, higher than the average in EU countries (42 fatalities/million inhabitants in 2019). North Macedonia needs to align </w:t>
            </w:r>
            <w:r w:rsidRPr="00093DA0">
              <w:rPr>
                <w:rFonts w:ascii="Times New Roman" w:hAnsi="Times New Roman"/>
              </w:rPr>
              <w:t xml:space="preserve">its policy targets </w:t>
            </w:r>
            <w:r w:rsidR="007A0D76" w:rsidRPr="00093DA0">
              <w:rPr>
                <w:rFonts w:ascii="Times New Roman" w:hAnsi="Times New Roman"/>
              </w:rPr>
              <w:t>with the EU</w:t>
            </w:r>
            <w:r w:rsidRPr="00093DA0">
              <w:rPr>
                <w:rFonts w:ascii="Times New Roman" w:hAnsi="Times New Roman"/>
              </w:rPr>
              <w:t xml:space="preserve"> 2030 intermediate and the</w:t>
            </w:r>
            <w:r w:rsidR="007A0D76" w:rsidRPr="00093DA0">
              <w:rPr>
                <w:rFonts w:ascii="Times New Roman" w:hAnsi="Times New Roman"/>
              </w:rPr>
              <w:t xml:space="preserve"> Vision Zero </w:t>
            </w:r>
            <w:r w:rsidRPr="00093DA0">
              <w:rPr>
                <w:rFonts w:ascii="Times New Roman" w:hAnsi="Times New Roman"/>
              </w:rPr>
              <w:t xml:space="preserve">target </w:t>
            </w:r>
            <w:r w:rsidR="007A0D76" w:rsidRPr="00093DA0">
              <w:rPr>
                <w:rFonts w:ascii="Times New Roman" w:hAnsi="Times New Roman"/>
              </w:rPr>
              <w:t>by 2050</w:t>
            </w:r>
            <w:r w:rsidR="00800B56" w:rsidRPr="00093DA0">
              <w:rPr>
                <w:rFonts w:ascii="Times New Roman" w:hAnsi="Times New Roman"/>
              </w:rPr>
              <w:t>.</w:t>
            </w:r>
            <w:r w:rsidR="007A0D76" w:rsidRPr="00093DA0">
              <w:rPr>
                <w:rFonts w:ascii="Times New Roman" w:hAnsi="Times New Roman"/>
              </w:rPr>
              <w:t xml:space="preserve"> </w:t>
            </w:r>
            <w:r w:rsidR="00286CA1" w:rsidRPr="00093DA0">
              <w:rPr>
                <w:rFonts w:ascii="Times New Roman" w:hAnsi="Times New Roman"/>
              </w:rPr>
              <w:t>To achieve th</w:t>
            </w:r>
            <w:r w:rsidR="00800B56" w:rsidRPr="00093DA0">
              <w:rPr>
                <w:rFonts w:ascii="Times New Roman" w:hAnsi="Times New Roman"/>
              </w:rPr>
              <w:t>e</w:t>
            </w:r>
            <w:r w:rsidR="00286CA1" w:rsidRPr="00093DA0">
              <w:rPr>
                <w:rFonts w:ascii="Times New Roman" w:hAnsi="Times New Roman"/>
              </w:rPr>
              <w:t xml:space="preserve">se goals, </w:t>
            </w:r>
            <w:r w:rsidRPr="00093DA0">
              <w:rPr>
                <w:rFonts w:ascii="Times New Roman" w:hAnsi="Times New Roman"/>
              </w:rPr>
              <w:t xml:space="preserve">North Macedonia needs to put in place a new </w:t>
            </w:r>
            <w:r w:rsidR="00286CA1" w:rsidRPr="00093DA0">
              <w:rPr>
                <w:rFonts w:ascii="Times New Roman" w:hAnsi="Times New Roman"/>
              </w:rPr>
              <w:t xml:space="preserve">approach </w:t>
            </w:r>
            <w:r w:rsidRPr="00093DA0">
              <w:rPr>
                <w:rFonts w:ascii="Times New Roman" w:hAnsi="Times New Roman"/>
              </w:rPr>
              <w:t>based on:</w:t>
            </w:r>
          </w:p>
          <w:p w14:paraId="4E77A90F" w14:textId="23FF706E" w:rsidR="00E20081" w:rsidRPr="00093DA0" w:rsidRDefault="004D5F18" w:rsidP="004330D3">
            <w:pPr>
              <w:pStyle w:val="ListParagraph"/>
              <w:numPr>
                <w:ilvl w:val="0"/>
                <w:numId w:val="68"/>
              </w:numPr>
              <w:spacing w:before="120" w:after="0" w:line="240" w:lineRule="auto"/>
              <w:ind w:left="714" w:hanging="357"/>
              <w:contextualSpacing w:val="0"/>
              <w:jc w:val="both"/>
              <w:rPr>
                <w:rFonts w:ascii="Times New Roman" w:hAnsi="Times New Roman"/>
              </w:rPr>
            </w:pPr>
            <w:r w:rsidRPr="00093DA0">
              <w:rPr>
                <w:rFonts w:ascii="Times New Roman" w:hAnsi="Times New Roman"/>
              </w:rPr>
              <w:t>P</w:t>
            </w:r>
            <w:r w:rsidR="00647D25" w:rsidRPr="00093DA0">
              <w:rPr>
                <w:rFonts w:ascii="Times New Roman" w:hAnsi="Times New Roman"/>
              </w:rPr>
              <w:t xml:space="preserve">romoting </w:t>
            </w:r>
            <w:r w:rsidR="00286CA1" w:rsidRPr="00093DA0">
              <w:rPr>
                <w:rFonts w:ascii="Times New Roman" w:hAnsi="Times New Roman"/>
              </w:rPr>
              <w:t xml:space="preserve">“Vision Zero” </w:t>
            </w:r>
            <w:r w:rsidR="00DD12B1" w:rsidRPr="00093DA0">
              <w:rPr>
                <w:rFonts w:ascii="Times New Roman" w:hAnsi="Times New Roman"/>
              </w:rPr>
              <w:t>target and</w:t>
            </w:r>
            <w:r w:rsidR="00647D25" w:rsidRPr="00093DA0">
              <w:rPr>
                <w:rFonts w:ascii="Times New Roman" w:hAnsi="Times New Roman"/>
              </w:rPr>
              <w:t xml:space="preserve"> raising the commitment of</w:t>
            </w:r>
            <w:r w:rsidR="00286CA1" w:rsidRPr="00093DA0">
              <w:rPr>
                <w:rFonts w:ascii="Times New Roman" w:hAnsi="Times New Roman"/>
              </w:rPr>
              <w:t xml:space="preserve"> policymakers and society</w:t>
            </w:r>
            <w:r w:rsidR="00E20081" w:rsidRPr="00093DA0">
              <w:rPr>
                <w:rFonts w:ascii="Times New Roman" w:hAnsi="Times New Roman"/>
              </w:rPr>
              <w:t xml:space="preserve"> on zero tolerance to </w:t>
            </w:r>
            <w:r w:rsidR="00286CA1" w:rsidRPr="00093DA0">
              <w:rPr>
                <w:rFonts w:ascii="Times New Roman" w:hAnsi="Times New Roman"/>
              </w:rPr>
              <w:t xml:space="preserve">loss of life </w:t>
            </w:r>
            <w:r w:rsidR="00E20081" w:rsidRPr="00093DA0">
              <w:rPr>
                <w:rFonts w:ascii="Times New Roman" w:hAnsi="Times New Roman"/>
              </w:rPr>
              <w:t xml:space="preserve">due to poor </w:t>
            </w:r>
            <w:r w:rsidR="00286CA1" w:rsidRPr="00093DA0">
              <w:rPr>
                <w:rFonts w:ascii="Times New Roman" w:hAnsi="Times New Roman"/>
              </w:rPr>
              <w:t xml:space="preserve">road safety. </w:t>
            </w:r>
          </w:p>
          <w:p w14:paraId="5F9D8A80" w14:textId="59A5751C" w:rsidR="00647D25" w:rsidRPr="00093DA0" w:rsidRDefault="004D5F18" w:rsidP="004330D3">
            <w:pPr>
              <w:pStyle w:val="ListParagraph"/>
              <w:numPr>
                <w:ilvl w:val="0"/>
                <w:numId w:val="68"/>
              </w:numPr>
              <w:spacing w:before="120" w:after="0" w:line="240" w:lineRule="auto"/>
              <w:ind w:left="714" w:hanging="357"/>
              <w:contextualSpacing w:val="0"/>
              <w:jc w:val="both"/>
              <w:rPr>
                <w:rFonts w:ascii="Times New Roman" w:hAnsi="Times New Roman"/>
              </w:rPr>
            </w:pPr>
            <w:r w:rsidRPr="00093DA0">
              <w:rPr>
                <w:rFonts w:ascii="Times New Roman" w:hAnsi="Times New Roman"/>
              </w:rPr>
              <w:t>I</w:t>
            </w:r>
            <w:r w:rsidR="00E20081" w:rsidRPr="00093DA0">
              <w:rPr>
                <w:rFonts w:ascii="Times New Roman" w:hAnsi="Times New Roman"/>
              </w:rPr>
              <w:t xml:space="preserve">ntroducing the </w:t>
            </w:r>
            <w:r w:rsidR="00BA0EDC" w:rsidRPr="00093DA0">
              <w:rPr>
                <w:rFonts w:ascii="Times New Roman" w:hAnsi="Times New Roman"/>
              </w:rPr>
              <w:t>“Safe System”</w:t>
            </w:r>
            <w:r w:rsidR="00E20081" w:rsidRPr="00093DA0">
              <w:rPr>
                <w:rFonts w:ascii="Times New Roman" w:hAnsi="Times New Roman"/>
              </w:rPr>
              <w:t xml:space="preserve"> Approach </w:t>
            </w:r>
            <w:r w:rsidR="00DD12B1" w:rsidRPr="00093DA0">
              <w:rPr>
                <w:rFonts w:ascii="Times New Roman" w:hAnsi="Times New Roman"/>
              </w:rPr>
              <w:t>encompassing safe</w:t>
            </w:r>
            <w:r w:rsidR="00BA0EDC" w:rsidRPr="00093DA0">
              <w:rPr>
                <w:rFonts w:ascii="Times New Roman" w:hAnsi="Times New Roman"/>
              </w:rPr>
              <w:t xml:space="preserve"> vehicles, infrastructure, road use (speed, sober driving, wearing safety belts and helmets), and better post-crash care. </w:t>
            </w:r>
            <w:r w:rsidR="006B0429" w:rsidRPr="00093DA0">
              <w:rPr>
                <w:rFonts w:ascii="Times New Roman" w:hAnsi="Times New Roman"/>
              </w:rPr>
              <w:t xml:space="preserve"> </w:t>
            </w:r>
          </w:p>
          <w:p w14:paraId="39D7397A" w14:textId="72F3C2F9" w:rsidR="00E20081" w:rsidRPr="00093DA0" w:rsidRDefault="00E20081" w:rsidP="00834711">
            <w:pPr>
              <w:pStyle w:val="ListParagraph"/>
              <w:numPr>
                <w:ilvl w:val="0"/>
                <w:numId w:val="68"/>
              </w:numPr>
              <w:spacing w:before="120" w:after="0" w:line="240" w:lineRule="auto"/>
              <w:ind w:left="714" w:hanging="357"/>
              <w:contextualSpacing w:val="0"/>
              <w:jc w:val="both"/>
              <w:rPr>
                <w:rFonts w:ascii="Times New Roman" w:hAnsi="Times New Roman"/>
              </w:rPr>
            </w:pPr>
            <w:r w:rsidRPr="00093DA0">
              <w:rPr>
                <w:rFonts w:ascii="Times New Roman" w:hAnsi="Times New Roman"/>
              </w:rPr>
              <w:t>Supporting new driving attitudes and trends that affect the level of attention behind the wheels (mobile phones, connectivity, automation, etc).</w:t>
            </w:r>
          </w:p>
          <w:p w14:paraId="5C268FD5" w14:textId="77777777" w:rsidR="00AA5F5F" w:rsidRPr="00093DA0" w:rsidRDefault="00AA5F5F" w:rsidP="00AA5F5F">
            <w:pPr>
              <w:spacing w:before="120" w:after="0" w:line="240" w:lineRule="auto"/>
              <w:jc w:val="both"/>
              <w:rPr>
                <w:rFonts w:ascii="Times New Roman" w:hAnsi="Times New Roman"/>
              </w:rPr>
            </w:pPr>
            <w:r w:rsidRPr="00093DA0">
              <w:rPr>
                <w:rFonts w:ascii="Times New Roman" w:hAnsi="Times New Roman"/>
              </w:rPr>
              <w:t xml:space="preserve">The legal framework for transport sector is broadly aligned with the EU </w:t>
            </w:r>
            <w:r w:rsidRPr="00093DA0">
              <w:rPr>
                <w:rFonts w:ascii="Times New Roman" w:hAnsi="Times New Roman"/>
                <w:i/>
                <w:iCs/>
              </w:rPr>
              <w:t xml:space="preserve">acquis </w:t>
            </w:r>
            <w:r w:rsidRPr="00093DA0">
              <w:rPr>
                <w:rFonts w:ascii="Times New Roman" w:hAnsi="Times New Roman"/>
                <w:iCs/>
              </w:rPr>
              <w:t>but does not fully reflect the new EU developments</w:t>
            </w:r>
            <w:r w:rsidRPr="00093DA0">
              <w:rPr>
                <w:rFonts w:ascii="Times New Roman" w:hAnsi="Times New Roman"/>
                <w:i/>
                <w:iCs/>
              </w:rPr>
              <w:t xml:space="preserve">. </w:t>
            </w:r>
            <w:r w:rsidRPr="00093DA0">
              <w:rPr>
                <w:rFonts w:ascii="Times New Roman" w:hAnsi="Times New Roman"/>
                <w:iCs/>
              </w:rPr>
              <w:t>The</w:t>
            </w:r>
            <w:r w:rsidRPr="00093DA0">
              <w:rPr>
                <w:rFonts w:ascii="Times New Roman" w:hAnsi="Times New Roman"/>
                <w:i/>
                <w:iCs/>
              </w:rPr>
              <w:t xml:space="preserve"> </w:t>
            </w:r>
            <w:r w:rsidRPr="00093DA0">
              <w:rPr>
                <w:rFonts w:ascii="Times New Roman" w:hAnsi="Times New Roman"/>
              </w:rPr>
              <w:t>Road Safety Management in North Macedonia is implemented through several institutions and bodies that reflect a multi-sectoral approach to road safety. The EUIF funded project supported the elaboration of the Law on Road Traffic Safety Agency (RTSA), promoting inter alia the establishment of a Road safety Agency.</w:t>
            </w:r>
          </w:p>
          <w:p w14:paraId="677F9418" w14:textId="77777777" w:rsidR="007C3EA8" w:rsidRPr="00093DA0" w:rsidRDefault="009C2086" w:rsidP="004330D3">
            <w:pPr>
              <w:spacing w:before="120" w:after="0" w:line="240" w:lineRule="auto"/>
              <w:jc w:val="both"/>
              <w:rPr>
                <w:rFonts w:ascii="Times New Roman" w:hAnsi="Times New Roman"/>
                <w:iCs/>
              </w:rPr>
            </w:pPr>
            <w:r w:rsidRPr="00093DA0">
              <w:rPr>
                <w:rFonts w:ascii="Times New Roman" w:hAnsi="Times New Roman"/>
                <w:iCs/>
              </w:rPr>
              <w:t>The objective of this component will be achieved through the following outputs:</w:t>
            </w:r>
          </w:p>
          <w:p w14:paraId="24615043" w14:textId="4DFCF600" w:rsidR="009C2086" w:rsidRPr="00093DA0" w:rsidRDefault="00F576D4" w:rsidP="004330D3">
            <w:pPr>
              <w:pStyle w:val="ListParagraph"/>
              <w:spacing w:before="120" w:after="0" w:line="240" w:lineRule="auto"/>
              <w:ind w:left="0"/>
              <w:contextualSpacing w:val="0"/>
              <w:jc w:val="both"/>
              <w:rPr>
                <w:rFonts w:ascii="Times New Roman" w:hAnsi="Times New Roman"/>
                <w:i/>
                <w:iCs/>
              </w:rPr>
            </w:pPr>
            <w:r w:rsidRPr="00093DA0">
              <w:rPr>
                <w:rFonts w:ascii="Times New Roman" w:hAnsi="Times New Roman"/>
                <w:i/>
                <w:iCs/>
              </w:rPr>
              <w:t>3.1</w:t>
            </w:r>
            <w:r w:rsidR="003C6C47" w:rsidRPr="00093DA0">
              <w:rPr>
                <w:rFonts w:ascii="Times New Roman" w:hAnsi="Times New Roman"/>
                <w:i/>
                <w:iCs/>
              </w:rPr>
              <w:t xml:space="preserve"> </w:t>
            </w:r>
            <w:r w:rsidR="009C2086" w:rsidRPr="00093DA0">
              <w:rPr>
                <w:rFonts w:ascii="Times New Roman" w:hAnsi="Times New Roman"/>
                <w:i/>
                <w:iCs/>
              </w:rPr>
              <w:t xml:space="preserve">Improved Transport </w:t>
            </w:r>
            <w:r w:rsidR="00191F0E" w:rsidRPr="00093DA0">
              <w:rPr>
                <w:rFonts w:ascii="Times New Roman" w:hAnsi="Times New Roman"/>
                <w:i/>
                <w:iCs/>
              </w:rPr>
              <w:t>p</w:t>
            </w:r>
            <w:r w:rsidR="009C2086" w:rsidRPr="00093DA0">
              <w:rPr>
                <w:rFonts w:ascii="Times New Roman" w:hAnsi="Times New Roman"/>
                <w:i/>
                <w:iCs/>
              </w:rPr>
              <w:t>olicy</w:t>
            </w:r>
            <w:r w:rsidR="00FE1B87" w:rsidRPr="00093DA0">
              <w:rPr>
                <w:rFonts w:ascii="Times New Roman" w:hAnsi="Times New Roman"/>
                <w:i/>
                <w:iCs/>
              </w:rPr>
              <w:t xml:space="preserve"> and</w:t>
            </w:r>
            <w:r w:rsidR="00191F0E" w:rsidRPr="00093DA0">
              <w:rPr>
                <w:rFonts w:ascii="Times New Roman" w:hAnsi="Times New Roman"/>
                <w:i/>
                <w:iCs/>
              </w:rPr>
              <w:t xml:space="preserve"> legal</w:t>
            </w:r>
            <w:r w:rsidR="00FE1B87" w:rsidRPr="00093DA0">
              <w:rPr>
                <w:rFonts w:ascii="Times New Roman" w:hAnsi="Times New Roman"/>
                <w:i/>
                <w:iCs/>
              </w:rPr>
              <w:t xml:space="preserve"> harmonisation</w:t>
            </w:r>
            <w:r w:rsidR="009C2086" w:rsidRPr="00093DA0">
              <w:rPr>
                <w:rFonts w:ascii="Times New Roman" w:hAnsi="Times New Roman"/>
                <w:i/>
                <w:iCs/>
              </w:rPr>
              <w:t xml:space="preserve"> – to be achieved through:</w:t>
            </w:r>
          </w:p>
          <w:p w14:paraId="36E43336" w14:textId="77777777" w:rsidR="00AA5F5F" w:rsidRPr="00093DA0" w:rsidRDefault="00AA5F5F" w:rsidP="00AA5F5F">
            <w:pPr>
              <w:pStyle w:val="ListParagraph"/>
              <w:numPr>
                <w:ilvl w:val="0"/>
                <w:numId w:val="70"/>
              </w:numPr>
              <w:spacing w:before="120" w:after="0" w:line="240" w:lineRule="auto"/>
              <w:contextualSpacing w:val="0"/>
              <w:jc w:val="both"/>
              <w:rPr>
                <w:rFonts w:ascii="Times New Roman" w:hAnsi="Times New Roman"/>
              </w:rPr>
            </w:pPr>
            <w:r w:rsidRPr="00093DA0">
              <w:rPr>
                <w:rFonts w:ascii="Times New Roman" w:hAnsi="Times New Roman"/>
              </w:rPr>
              <w:t>Strengthen the capacities of the Ministry of Ministry of Transport and Communication (MoTC) in order to proceed to lead a modern and even more effective national transport policy, as well as providing TA for high-level advice on transport-related issues and implementation actions, in line with the EU’s overall objectives for a cleaner, greener, safer, and smarter mobility.</w:t>
            </w:r>
          </w:p>
          <w:p w14:paraId="0D5975DB" w14:textId="77777777" w:rsidR="00AA5F5F" w:rsidRPr="00093DA0" w:rsidRDefault="00AA5F5F" w:rsidP="00AA5F5F">
            <w:pPr>
              <w:pStyle w:val="ListParagraph"/>
              <w:numPr>
                <w:ilvl w:val="0"/>
                <w:numId w:val="70"/>
              </w:numPr>
              <w:spacing w:before="120" w:after="0" w:line="240" w:lineRule="auto"/>
              <w:contextualSpacing w:val="0"/>
              <w:jc w:val="both"/>
              <w:rPr>
                <w:rFonts w:ascii="Times New Roman" w:hAnsi="Times New Roman"/>
              </w:rPr>
            </w:pPr>
            <w:r w:rsidRPr="00093DA0">
              <w:rPr>
                <w:rFonts w:ascii="Times New Roman" w:hAnsi="Times New Roman"/>
                <w:iCs/>
              </w:rPr>
              <w:t xml:space="preserve">Alignment with the EU </w:t>
            </w:r>
            <w:r w:rsidRPr="00093DA0">
              <w:rPr>
                <w:rFonts w:ascii="Times New Roman" w:hAnsi="Times New Roman"/>
                <w:i/>
              </w:rPr>
              <w:t>acquis</w:t>
            </w:r>
            <w:r w:rsidRPr="00093DA0">
              <w:rPr>
                <w:rFonts w:ascii="Times New Roman" w:hAnsi="Times New Roman"/>
                <w:iCs/>
              </w:rPr>
              <w:t xml:space="preserve"> on transport safety and passengers’ rights</w:t>
            </w:r>
            <w:r w:rsidRPr="00093DA0">
              <w:rPr>
                <w:rFonts w:ascii="Times New Roman" w:hAnsi="Times New Roman"/>
              </w:rPr>
              <w:t xml:space="preserve"> (e.g. the Regulation 181/2011 concerning the rights of passengers in bus and coach transport and the Regulation 1371/2007 for the rights of passengers in rail transport), as well as implementation of the rights of passengers in all modes of transport.</w:t>
            </w:r>
          </w:p>
          <w:p w14:paraId="15CF79F2" w14:textId="6FF5AE6A" w:rsidR="007C3EA8" w:rsidRPr="00093DA0" w:rsidRDefault="00861D07" w:rsidP="004330D3">
            <w:pPr>
              <w:pStyle w:val="ListParagraph"/>
              <w:numPr>
                <w:ilvl w:val="0"/>
                <w:numId w:val="57"/>
              </w:numPr>
              <w:spacing w:before="120" w:after="0" w:line="240" w:lineRule="auto"/>
              <w:ind w:left="714" w:hanging="357"/>
              <w:contextualSpacing w:val="0"/>
              <w:jc w:val="both"/>
              <w:rPr>
                <w:rFonts w:ascii="Times New Roman" w:hAnsi="Times New Roman"/>
                <w:lang w:val="en-US" w:eastAsia="en-US"/>
              </w:rPr>
            </w:pPr>
            <w:r w:rsidRPr="00093DA0">
              <w:rPr>
                <w:rFonts w:ascii="Times New Roman" w:hAnsi="Times New Roman"/>
              </w:rPr>
              <w:t>H</w:t>
            </w:r>
            <w:r w:rsidR="00D315C5" w:rsidRPr="00093DA0">
              <w:rPr>
                <w:rFonts w:ascii="Times New Roman" w:hAnsi="Times New Roman"/>
              </w:rPr>
              <w:t>armoni</w:t>
            </w:r>
            <w:r w:rsidRPr="00093DA0">
              <w:rPr>
                <w:rFonts w:ascii="Times New Roman" w:hAnsi="Times New Roman"/>
              </w:rPr>
              <w:t>s</w:t>
            </w:r>
            <w:r w:rsidR="00AE4B4F" w:rsidRPr="00093DA0">
              <w:rPr>
                <w:rFonts w:ascii="Times New Roman" w:hAnsi="Times New Roman"/>
              </w:rPr>
              <w:t>ing</w:t>
            </w:r>
            <w:r w:rsidR="00D315C5" w:rsidRPr="00093DA0">
              <w:rPr>
                <w:rFonts w:ascii="Times New Roman" w:hAnsi="Times New Roman"/>
              </w:rPr>
              <w:t xml:space="preserve"> the current </w:t>
            </w:r>
            <w:r w:rsidR="00CC695B" w:rsidRPr="00093DA0">
              <w:rPr>
                <w:rFonts w:ascii="Times New Roman" w:hAnsi="Times New Roman"/>
              </w:rPr>
              <w:t xml:space="preserve">North </w:t>
            </w:r>
            <w:r w:rsidR="00D315C5" w:rsidRPr="00093DA0">
              <w:rPr>
                <w:rFonts w:ascii="Times New Roman" w:hAnsi="Times New Roman"/>
              </w:rPr>
              <w:t xml:space="preserve">Macedonian standards in the railway infrastructure sector with the TSIs and EN standards (in the project should be included the Institute for standardization and other relevant institutions </w:t>
            </w:r>
            <w:r w:rsidR="00045E38" w:rsidRPr="00093DA0">
              <w:rPr>
                <w:rFonts w:ascii="Times New Roman" w:hAnsi="Times New Roman"/>
              </w:rPr>
              <w:t>to</w:t>
            </w:r>
            <w:r w:rsidR="00D315C5" w:rsidRPr="00093DA0">
              <w:rPr>
                <w:rFonts w:ascii="Times New Roman" w:hAnsi="Times New Roman"/>
              </w:rPr>
              <w:t xml:space="preserve"> obtain maximum harmoni</w:t>
            </w:r>
            <w:r w:rsidR="00CC695B" w:rsidRPr="00093DA0">
              <w:rPr>
                <w:rFonts w:ascii="Times New Roman" w:hAnsi="Times New Roman"/>
              </w:rPr>
              <w:t>s</w:t>
            </w:r>
            <w:r w:rsidR="00D315C5" w:rsidRPr="00093DA0">
              <w:rPr>
                <w:rFonts w:ascii="Times New Roman" w:hAnsi="Times New Roman"/>
              </w:rPr>
              <w:t xml:space="preserve">ation) and establishing of verification body in </w:t>
            </w:r>
            <w:r w:rsidR="00AE4B4F" w:rsidRPr="00093DA0">
              <w:rPr>
                <w:rFonts w:ascii="Times New Roman" w:hAnsi="Times New Roman"/>
              </w:rPr>
              <w:t xml:space="preserve">North </w:t>
            </w:r>
            <w:r w:rsidR="00D315C5" w:rsidRPr="00093DA0">
              <w:rPr>
                <w:rFonts w:ascii="Times New Roman" w:hAnsi="Times New Roman"/>
              </w:rPr>
              <w:t>Macedonia (DeBO)</w:t>
            </w:r>
            <w:r w:rsidR="00AF7402" w:rsidRPr="00093DA0">
              <w:rPr>
                <w:rFonts w:ascii="Times New Roman" w:hAnsi="Times New Roman"/>
              </w:rPr>
              <w:t>.</w:t>
            </w:r>
          </w:p>
          <w:p w14:paraId="36333BB7" w14:textId="43D60EB6" w:rsidR="00861D07" w:rsidRPr="00093DA0" w:rsidRDefault="00861D07" w:rsidP="00207269">
            <w:pPr>
              <w:pStyle w:val="ListParagraph"/>
              <w:spacing w:before="120" w:after="0" w:line="240" w:lineRule="auto"/>
              <w:ind w:left="0"/>
              <w:contextualSpacing w:val="0"/>
              <w:jc w:val="both"/>
              <w:rPr>
                <w:rFonts w:ascii="Times New Roman" w:hAnsi="Times New Roman"/>
                <w:i/>
                <w:iCs/>
              </w:rPr>
            </w:pPr>
            <w:r w:rsidRPr="00093DA0">
              <w:rPr>
                <w:rFonts w:ascii="Times New Roman" w:hAnsi="Times New Roman"/>
                <w:i/>
                <w:iCs/>
              </w:rPr>
              <w:t>3.2 Improved Transport safety</w:t>
            </w:r>
            <w:r w:rsidR="00207269" w:rsidRPr="00093DA0">
              <w:rPr>
                <w:rFonts w:ascii="Times New Roman" w:hAnsi="Times New Roman"/>
                <w:i/>
                <w:iCs/>
              </w:rPr>
              <w:t xml:space="preserve"> enforcement and implementation capacity</w:t>
            </w:r>
            <w:r w:rsidRPr="00093DA0">
              <w:rPr>
                <w:rFonts w:ascii="Times New Roman" w:hAnsi="Times New Roman"/>
                <w:i/>
                <w:iCs/>
              </w:rPr>
              <w:t xml:space="preserve"> through:</w:t>
            </w:r>
          </w:p>
          <w:p w14:paraId="5385F215" w14:textId="28523C9F" w:rsidR="007C3EA8" w:rsidRPr="00093DA0" w:rsidRDefault="00AA5F5F" w:rsidP="00207269">
            <w:pPr>
              <w:pStyle w:val="ListParagraph"/>
              <w:numPr>
                <w:ilvl w:val="0"/>
                <w:numId w:val="72"/>
              </w:numPr>
              <w:spacing w:before="120" w:after="0" w:line="240" w:lineRule="auto"/>
              <w:contextualSpacing w:val="0"/>
              <w:jc w:val="both"/>
              <w:rPr>
                <w:rFonts w:ascii="Times New Roman" w:hAnsi="Times New Roman"/>
                <w:lang w:val="en-US" w:eastAsia="en-US"/>
              </w:rPr>
            </w:pPr>
            <w:r w:rsidRPr="00093DA0">
              <w:rPr>
                <w:rFonts w:ascii="Times New Roman" w:hAnsi="Times New Roman"/>
              </w:rPr>
              <w:t xml:space="preserve">Preparation </w:t>
            </w:r>
            <w:r w:rsidR="009C2086" w:rsidRPr="00093DA0">
              <w:rPr>
                <w:rFonts w:ascii="Times New Roman" w:hAnsi="Times New Roman"/>
              </w:rPr>
              <w:t>of a new</w:t>
            </w:r>
            <w:r w:rsidR="007C3EA8" w:rsidRPr="00093DA0">
              <w:rPr>
                <w:rFonts w:ascii="Times New Roman" w:hAnsi="Times New Roman"/>
              </w:rPr>
              <w:t xml:space="preserve"> Road </w:t>
            </w:r>
            <w:r w:rsidR="004A0380" w:rsidRPr="00093DA0">
              <w:rPr>
                <w:rFonts w:ascii="Times New Roman" w:hAnsi="Times New Roman"/>
              </w:rPr>
              <w:t>Safety Strategy and Action Plan.</w:t>
            </w:r>
          </w:p>
          <w:p w14:paraId="59046B14" w14:textId="1203F2C8" w:rsidR="00AF7402" w:rsidRPr="00093DA0" w:rsidRDefault="00861D07" w:rsidP="00207269">
            <w:pPr>
              <w:pStyle w:val="ListParagraph"/>
              <w:numPr>
                <w:ilvl w:val="0"/>
                <w:numId w:val="72"/>
              </w:numPr>
              <w:spacing w:before="120" w:after="0" w:line="240" w:lineRule="auto"/>
              <w:contextualSpacing w:val="0"/>
              <w:jc w:val="both"/>
              <w:rPr>
                <w:rFonts w:ascii="Times New Roman" w:hAnsi="Times New Roman"/>
                <w:iCs/>
              </w:rPr>
            </w:pPr>
            <w:r w:rsidRPr="00093DA0">
              <w:rPr>
                <w:rFonts w:ascii="Times New Roman" w:hAnsi="Times New Roman"/>
                <w:iCs/>
              </w:rPr>
              <w:t>C</w:t>
            </w:r>
            <w:r w:rsidR="00AF7402" w:rsidRPr="00093DA0">
              <w:rPr>
                <w:rFonts w:ascii="Times New Roman" w:hAnsi="Times New Roman"/>
                <w:iCs/>
              </w:rPr>
              <w:t>apacity-building and institutional strengthening measures</w:t>
            </w:r>
            <w:r w:rsidR="001B5257" w:rsidRPr="00093DA0">
              <w:rPr>
                <w:rFonts w:ascii="Times New Roman" w:hAnsi="Times New Roman"/>
                <w:iCs/>
              </w:rPr>
              <w:t xml:space="preserve"> </w:t>
            </w:r>
            <w:r w:rsidRPr="00093DA0">
              <w:rPr>
                <w:rFonts w:ascii="Times New Roman" w:hAnsi="Times New Roman"/>
                <w:iCs/>
              </w:rPr>
              <w:t>covering:</w:t>
            </w:r>
          </w:p>
          <w:p w14:paraId="5B94F28B" w14:textId="675415E8" w:rsidR="00093DA0" w:rsidRPr="00093DA0" w:rsidRDefault="00093DA0" w:rsidP="00093DA0">
            <w:pPr>
              <w:pStyle w:val="ListParagraph"/>
              <w:numPr>
                <w:ilvl w:val="0"/>
                <w:numId w:val="65"/>
              </w:numPr>
              <w:spacing w:before="120" w:after="0" w:line="240" w:lineRule="auto"/>
              <w:contextualSpacing w:val="0"/>
              <w:jc w:val="both"/>
              <w:rPr>
                <w:rFonts w:ascii="Times New Roman" w:hAnsi="Times New Roman"/>
              </w:rPr>
            </w:pPr>
            <w:r w:rsidRPr="00093DA0">
              <w:rPr>
                <w:rFonts w:ascii="Times New Roman" w:hAnsi="Times New Roman"/>
              </w:rPr>
              <w:t xml:space="preserve">The Road Traffic Safety Agency (RSA) should be established by the end of 2022 and therefore there will be the need for a continuous and sustained support in establishing and functioning of the overall road safety system in the country, including the set-up of a unified database regarding road safety features that should be established within the </w:t>
            </w:r>
            <w:r w:rsidRPr="00093DA0">
              <w:rPr>
                <w:rFonts w:ascii="Times New Roman" w:hAnsi="Times New Roman"/>
              </w:rPr>
              <w:lastRenderedPageBreak/>
              <w:t>executive body. The system for continuous road crash data collection is still not established at a national level and the action plans on road safety inspection and audit need to be followed up and implemented. This measure will also comprise a design and implementation of modern public awareness and education measures, sensitising the society of the road safety issues within the newly established RSA.</w:t>
            </w:r>
          </w:p>
          <w:p w14:paraId="68EBCFB6" w14:textId="4E751842" w:rsidR="00207269" w:rsidRPr="00093DA0" w:rsidRDefault="00093DA0" w:rsidP="00093DA0">
            <w:pPr>
              <w:pStyle w:val="ListParagraph"/>
              <w:numPr>
                <w:ilvl w:val="0"/>
                <w:numId w:val="65"/>
              </w:numPr>
              <w:spacing w:before="120" w:after="0" w:line="240" w:lineRule="auto"/>
              <w:contextualSpacing w:val="0"/>
              <w:jc w:val="both"/>
            </w:pPr>
            <w:r w:rsidRPr="00093DA0">
              <w:rPr>
                <w:rFonts w:ascii="Times New Roman" w:hAnsi="Times New Roman"/>
              </w:rPr>
              <w:t>T</w:t>
            </w:r>
            <w:r w:rsidR="00C726A3" w:rsidRPr="00093DA0">
              <w:rPr>
                <w:rFonts w:ascii="Times New Roman" w:hAnsi="Times New Roman"/>
              </w:rPr>
              <w:t xml:space="preserve">he </w:t>
            </w:r>
            <w:r w:rsidR="00D6649F" w:rsidRPr="00093DA0">
              <w:rPr>
                <w:rFonts w:ascii="Times New Roman" w:hAnsi="Times New Roman"/>
              </w:rPr>
              <w:t xml:space="preserve">inspection bodies </w:t>
            </w:r>
            <w:r w:rsidR="001B5257" w:rsidRPr="00093DA0">
              <w:rPr>
                <w:rFonts w:ascii="Times New Roman" w:hAnsi="Times New Roman"/>
              </w:rPr>
              <w:t xml:space="preserve">- </w:t>
            </w:r>
            <w:r w:rsidR="00D6649F" w:rsidRPr="00093DA0">
              <w:rPr>
                <w:rFonts w:ascii="Times New Roman" w:hAnsi="Times New Roman"/>
              </w:rPr>
              <w:t xml:space="preserve">Railway Safety Directorate (RSD) </w:t>
            </w:r>
            <w:r w:rsidR="001B5257" w:rsidRPr="00093DA0">
              <w:rPr>
                <w:rFonts w:ascii="Times New Roman" w:hAnsi="Times New Roman"/>
              </w:rPr>
              <w:t xml:space="preserve">and </w:t>
            </w:r>
            <w:r w:rsidR="00D6649F" w:rsidRPr="00093DA0">
              <w:rPr>
                <w:rFonts w:ascii="Times New Roman" w:hAnsi="Times New Roman"/>
              </w:rPr>
              <w:t>State Transport Inspectorate (STI)</w:t>
            </w:r>
            <w:r w:rsidR="001B5257" w:rsidRPr="00093DA0">
              <w:rPr>
                <w:rFonts w:ascii="Times New Roman" w:hAnsi="Times New Roman"/>
              </w:rPr>
              <w:t xml:space="preserve">, which are </w:t>
            </w:r>
            <w:r w:rsidR="009C2086" w:rsidRPr="00093DA0">
              <w:rPr>
                <w:rFonts w:ascii="Times New Roman" w:hAnsi="Times New Roman"/>
              </w:rPr>
              <w:t>responsible for supervising the implementation of relevant laws and rules in the transport sector, nevertheless, both need to strengthen its enforcement and technical capacities, due to understaffing and lack of professional expertise for inspection.</w:t>
            </w:r>
          </w:p>
          <w:p w14:paraId="7B1107F2" w14:textId="5F089FEA" w:rsidR="00940DE1" w:rsidRPr="00093DA0" w:rsidRDefault="00586721" w:rsidP="004330D3">
            <w:pPr>
              <w:spacing w:before="120" w:after="0" w:line="240" w:lineRule="auto"/>
              <w:jc w:val="both"/>
              <w:rPr>
                <w:rFonts w:ascii="Times New Roman" w:hAnsi="Times New Roman"/>
              </w:rPr>
            </w:pPr>
            <w:r w:rsidRPr="00093DA0">
              <w:rPr>
                <w:rFonts w:ascii="Times New Roman" w:hAnsi="Times New Roman"/>
              </w:rPr>
              <w:t xml:space="preserve">The proposed Action will contribute to addressing specific issues recognised in the EC Country report </w:t>
            </w:r>
            <w:r w:rsidRPr="00093DA0">
              <w:rPr>
                <w:rFonts w:ascii="Times New Roman" w:hAnsi="Times New Roman"/>
                <w:b/>
                <w:bCs/>
              </w:rPr>
              <w:t>(SDW(2021) 294 final), Chapter 15</w:t>
            </w:r>
            <w:r w:rsidRPr="00093DA0">
              <w:rPr>
                <w:rFonts w:ascii="Times New Roman" w:hAnsi="Times New Roman"/>
              </w:rPr>
              <w:t xml:space="preserve">: </w:t>
            </w:r>
            <w:r w:rsidRPr="00093DA0">
              <w:rPr>
                <w:rFonts w:ascii="Times New Roman" w:hAnsi="Times New Roman"/>
                <w:b/>
                <w:bCs/>
              </w:rPr>
              <w:t>Energy</w:t>
            </w:r>
            <w:r w:rsidRPr="00093DA0">
              <w:rPr>
                <w:rFonts w:ascii="Times New Roman" w:hAnsi="Times New Roman"/>
              </w:rPr>
              <w:t xml:space="preserve">, such as the need for increasing the technical/engineering capacity of the Energy Department in the Ministry of Economy and the Energy Agency and adopt and implement energy efficiency legislation. In </w:t>
            </w:r>
            <w:r w:rsidRPr="00093DA0">
              <w:rPr>
                <w:rFonts w:ascii="Times New Roman" w:hAnsi="Times New Roman"/>
                <w:b/>
                <w:bCs/>
              </w:rPr>
              <w:t>Chapter 27: Environment and climate change</w:t>
            </w:r>
            <w:r w:rsidRPr="00093DA0">
              <w:rPr>
                <w:rFonts w:ascii="Times New Roman" w:hAnsi="Times New Roman"/>
              </w:rPr>
              <w:t xml:space="preserve">, the Action is also contributing to overcoming the issues recognised in the Report about the civil protection and the need to strengthen the legal framework and institutional capacities of civil protection authorities, and the cooperation and coordination between the Protection and Rescue Directorate and the Crisis Management Centre. Concerning </w:t>
            </w:r>
            <w:r w:rsidRPr="00093DA0">
              <w:rPr>
                <w:rFonts w:ascii="Times New Roman" w:hAnsi="Times New Roman"/>
                <w:b/>
                <w:bCs/>
              </w:rPr>
              <w:t>Chapter 14: Transport</w:t>
            </w:r>
            <w:r w:rsidRPr="00093DA0">
              <w:rPr>
                <w:rFonts w:ascii="Times New Roman" w:hAnsi="Times New Roman"/>
              </w:rPr>
              <w:t>, the Action is also in line with some of the recommendations of the EC: strengthen the operational and administrative capacity of the inspection bodies and develop enforcement capacity to reduce fatalities on road and rail infrastructures; implement the connectivity reform measures on rail reform and open the rail transport market, and set-up a national system to continuously collect data on road crashes.</w:t>
            </w:r>
          </w:p>
          <w:p w14:paraId="576AD5A2" w14:textId="77777777" w:rsidR="00D648FC" w:rsidRPr="00093DA0" w:rsidRDefault="00D648FC" w:rsidP="004330D3">
            <w:pPr>
              <w:spacing w:before="120" w:after="0" w:line="240" w:lineRule="auto"/>
              <w:jc w:val="both"/>
              <w:rPr>
                <w:rFonts w:ascii="Times New Roman" w:hAnsi="Times New Roman"/>
                <w:lang w:eastAsia="en-US"/>
              </w:rPr>
            </w:pPr>
            <w:r w:rsidRPr="00093DA0">
              <w:rPr>
                <w:rFonts w:ascii="Times New Roman" w:hAnsi="Times New Roman"/>
              </w:rPr>
              <w:t xml:space="preserve">The Action is also in line with the Conclusions/Recommendations of the </w:t>
            </w:r>
            <w:r w:rsidRPr="00093DA0">
              <w:rPr>
                <w:rFonts w:ascii="Times New Roman" w:hAnsi="Times New Roman"/>
                <w:b/>
                <w:bCs/>
              </w:rPr>
              <w:t>Stabilisation and Association Sub-Committee on Transport, Environment, Energy and Regional Development</w:t>
            </w:r>
            <w:r w:rsidRPr="00093DA0">
              <w:rPr>
                <w:rFonts w:ascii="Times New Roman" w:hAnsi="Times New Roman"/>
              </w:rPr>
              <w:t xml:space="preserve"> held in March 2021, which, in </w:t>
            </w:r>
            <w:r w:rsidRPr="00093DA0">
              <w:rPr>
                <w:rFonts w:ascii="Times New Roman" w:hAnsi="Times New Roman"/>
                <w:b/>
                <w:bCs/>
              </w:rPr>
              <w:t>Energy</w:t>
            </w:r>
            <w:r w:rsidRPr="00093DA0">
              <w:rPr>
                <w:rFonts w:ascii="Times New Roman" w:hAnsi="Times New Roman"/>
              </w:rPr>
              <w:t xml:space="preserve">, recommended ensuring coherence of the National Energy and Climate Plan with the EU Green Deal; strengthen institutional capacities for energy efficiency in the Ministry of Economy and the Energy Agency; adopt the secondary legislation for the implementation of the Energy Efficiency Law; and transpose the Renewable Energy Directive, by the adoption of the Law on Biofuels, as envisaged in the new Law on Energy. About </w:t>
            </w:r>
            <w:r w:rsidRPr="00093DA0">
              <w:rPr>
                <w:rFonts w:ascii="Times New Roman" w:hAnsi="Times New Roman"/>
                <w:b/>
                <w:bCs/>
              </w:rPr>
              <w:t>crisis management and civil protection</w:t>
            </w:r>
            <w:r w:rsidRPr="00093DA0">
              <w:rPr>
                <w:rFonts w:ascii="Times New Roman" w:hAnsi="Times New Roman"/>
              </w:rPr>
              <w:t xml:space="preserve">, to ensure streamlined, coordination and efficient disaster mitigation and response activities at all levels; connect to CECIS; increase cooperation and coordination between the Protection and Rescue Directorate and Crisis Management Centre, with the mid-term perspective of merging the two; better defining the role of the National Coordinator for the national platform on Disaster Risk Reduction and implementing the 112-emergency number. In relation to </w:t>
            </w:r>
            <w:r w:rsidRPr="00093DA0">
              <w:rPr>
                <w:rFonts w:ascii="Times New Roman" w:hAnsi="Times New Roman"/>
                <w:b/>
                <w:bCs/>
              </w:rPr>
              <w:t>Transport,</w:t>
            </w:r>
            <w:r w:rsidRPr="00093DA0">
              <w:rPr>
                <w:rFonts w:ascii="Times New Roman" w:hAnsi="Times New Roman"/>
              </w:rPr>
              <w:t xml:space="preserve"> strengthen</w:t>
            </w:r>
            <w:r w:rsidR="006A2DA9" w:rsidRPr="00093DA0">
              <w:rPr>
                <w:rFonts w:ascii="Times New Roman" w:hAnsi="Times New Roman"/>
              </w:rPr>
              <w:t xml:space="preserve"> operational and administrative capacity for all modes of transport; strengthen the operational and administrative capacities of all inspection bodies; raise road safety, better education and awareness raising; and adopt the Law on Road Traffic Safety Agency and make the Agency operational. </w:t>
            </w:r>
            <w:r w:rsidRPr="00093DA0">
              <w:rPr>
                <w:rFonts w:ascii="Times New Roman" w:hAnsi="Times New Roman"/>
              </w:rPr>
              <w:t xml:space="preserve"> </w:t>
            </w:r>
          </w:p>
          <w:p w14:paraId="38929878" w14:textId="77777777" w:rsidR="006D6952" w:rsidRPr="00093DA0" w:rsidRDefault="00803CF4" w:rsidP="004330D3">
            <w:pPr>
              <w:spacing w:before="120" w:after="0" w:line="240" w:lineRule="auto"/>
              <w:jc w:val="both"/>
              <w:rPr>
                <w:rFonts w:ascii="Times New Roman" w:hAnsi="Times New Roman"/>
                <w:b/>
                <w:bCs/>
              </w:rPr>
            </w:pPr>
            <w:r w:rsidRPr="00093DA0">
              <w:rPr>
                <w:rFonts w:ascii="Times New Roman" w:hAnsi="Times New Roman"/>
                <w:lang w:eastAsia="en-US"/>
              </w:rPr>
              <w:t xml:space="preserve">The Action follows the </w:t>
            </w:r>
            <w:r w:rsidRPr="00093DA0">
              <w:rPr>
                <w:rFonts w:ascii="Times New Roman" w:hAnsi="Times New Roman"/>
                <w:b/>
                <w:bCs/>
                <w:lang w:eastAsia="en-US"/>
              </w:rPr>
              <w:t>Economic Reform Program (ERP) 2022-2024</w:t>
            </w:r>
            <w:r w:rsidRPr="00093DA0">
              <w:rPr>
                <w:rFonts w:ascii="Times New Roman" w:hAnsi="Times New Roman"/>
                <w:lang w:eastAsia="en-US"/>
              </w:rPr>
              <w:t xml:space="preserve"> and represents a significant contribution to overcoming the country's challenges. The programme recognises that the country still faces challenges in terms of the necessary reforms to achieve a decent level of competitiveness and inclusive growth of human capital, the green transition and the competitiveness of national companies, their integration into global value and the formalization of the economy. In </w:t>
            </w:r>
            <w:r w:rsidRPr="00093DA0">
              <w:rPr>
                <w:rFonts w:ascii="Times New Roman" w:hAnsi="Times New Roman"/>
                <w:b/>
                <w:bCs/>
                <w:lang w:eastAsia="en-US"/>
              </w:rPr>
              <w:t>green transition</w:t>
            </w:r>
            <w:r w:rsidRPr="00093DA0">
              <w:rPr>
                <w:rFonts w:ascii="Times New Roman" w:hAnsi="Times New Roman"/>
                <w:lang w:eastAsia="en-US"/>
              </w:rPr>
              <w:t xml:space="preserve">, the ERP establishes two measures related to </w:t>
            </w:r>
            <w:r w:rsidRPr="00093DA0">
              <w:rPr>
                <w:rFonts w:ascii="Times New Roman" w:hAnsi="Times New Roman"/>
                <w:lang w:eastAsia="en-US"/>
              </w:rPr>
              <w:lastRenderedPageBreak/>
              <w:t xml:space="preserve">energy: measure 5. Promotion of renewable energy sources, where the greater use of renewable energy resources (RES) and the improvement of energy efficiency is one of the main strategic objectives in the energy sector; and measure 6. Improvement of Energy Efficiency. Within these measures, the planned activities are in line with this Action. In </w:t>
            </w:r>
            <w:r w:rsidRPr="00093DA0">
              <w:rPr>
                <w:rFonts w:ascii="Times New Roman" w:hAnsi="Times New Roman"/>
                <w:b/>
                <w:bCs/>
                <w:lang w:eastAsia="en-US"/>
              </w:rPr>
              <w:t>Transport</w:t>
            </w:r>
            <w:r w:rsidRPr="00093DA0">
              <w:rPr>
                <w:rFonts w:ascii="Times New Roman" w:hAnsi="Times New Roman"/>
                <w:lang w:eastAsia="en-US"/>
              </w:rPr>
              <w:t xml:space="preserve">, </w:t>
            </w:r>
            <w:r w:rsidR="000F21E9" w:rsidRPr="00093DA0">
              <w:rPr>
                <w:rFonts w:ascii="Times New Roman" w:hAnsi="Times New Roman"/>
                <w:lang w:eastAsia="en-US"/>
              </w:rPr>
              <w:t>the ERP proposes a measure 10. Implementation of an Intelligent Transport System (ITS) along Corridor X, whereby developing this measure, one of the strategic objectives stated in the National Transport Strategy will be fulfilled i.e. maintaining a high level of safety and traffic flow in all conditions</w:t>
            </w:r>
            <w:r w:rsidR="006D6952" w:rsidRPr="00093DA0">
              <w:rPr>
                <w:rFonts w:ascii="Times New Roman" w:hAnsi="Times New Roman"/>
                <w:lang w:eastAsia="en-US"/>
              </w:rPr>
              <w:t xml:space="preserve"> and will impact competitiveness through improvements in network capacity, and traveller mobility and enhance economic productivity.</w:t>
            </w:r>
          </w:p>
          <w:p w14:paraId="6AF00DA8" w14:textId="77777777" w:rsidR="00E23DD4" w:rsidRPr="00093DA0" w:rsidRDefault="00B10B7B" w:rsidP="004330D3">
            <w:pPr>
              <w:spacing w:before="120" w:after="0" w:line="240" w:lineRule="auto"/>
              <w:jc w:val="both"/>
              <w:rPr>
                <w:rFonts w:ascii="Times New Roman" w:eastAsia="Arial Unicode MS" w:hAnsi="Times New Roman"/>
                <w:lang w:eastAsia="de-DE"/>
              </w:rPr>
            </w:pPr>
            <w:r w:rsidRPr="00093DA0">
              <w:rPr>
                <w:rFonts w:ascii="Times New Roman" w:eastAsia="Arial Unicode MS" w:hAnsi="Times New Roman"/>
                <w:lang w:eastAsia="de-DE"/>
              </w:rPr>
              <w:t xml:space="preserve">Regarding the Commission Communication </w:t>
            </w:r>
            <w:r w:rsidRPr="00093DA0">
              <w:rPr>
                <w:rFonts w:ascii="Times New Roman" w:eastAsia="Arial Unicode MS" w:hAnsi="Times New Roman"/>
                <w:b/>
                <w:bCs/>
                <w:lang w:eastAsia="de-DE"/>
              </w:rPr>
              <w:t>"A credible enlargement perspective for and enhanced EU engagement with the Western Balkans" (COM (2018)65),</w:t>
            </w:r>
            <w:r w:rsidRPr="00093DA0">
              <w:rPr>
                <w:rFonts w:ascii="Times New Roman" w:eastAsia="Arial Unicode MS" w:hAnsi="Times New Roman"/>
                <w:lang w:eastAsia="de-DE"/>
              </w:rPr>
              <w:t xml:space="preserve"> this Action is in line with the objectives of the Communication in the field of energy when it establishes that energy security, market integration and energy transition, including energy efficiency and renewable energies are dimensions of EU’s Energy Union that should be expanded to the Western Balkans. In transport, the Communication underlines the need to support the creation of a proper transport union with the Western Balkans by implementing the Transport Community Treaty. Among other aspects, the Communication expresses the need to promote the integration of road and rail operations; open the regional rail market and reduce the disproportionately high number of road fatalities. </w:t>
            </w:r>
          </w:p>
          <w:p w14:paraId="1648CC9C" w14:textId="77777777" w:rsidR="006673D9" w:rsidRPr="00093DA0" w:rsidRDefault="001D3E38" w:rsidP="004330D3">
            <w:pPr>
              <w:spacing w:before="120" w:after="0" w:line="240" w:lineRule="auto"/>
              <w:jc w:val="both"/>
              <w:rPr>
                <w:rFonts w:ascii="Times New Roman" w:hAnsi="Times New Roman"/>
              </w:rPr>
            </w:pPr>
            <w:r w:rsidRPr="00093DA0">
              <w:rPr>
                <w:rFonts w:ascii="Times New Roman" w:hAnsi="Times New Roman"/>
              </w:rPr>
              <w:t xml:space="preserve">The proposed Action will contribute as well to achieve the objectives of the </w:t>
            </w:r>
            <w:r w:rsidRPr="00093DA0">
              <w:rPr>
                <w:rFonts w:ascii="Times New Roman" w:hAnsi="Times New Roman"/>
                <w:b/>
              </w:rPr>
              <w:t>Economic and Investment Plan</w:t>
            </w:r>
            <w:r w:rsidR="00CD2545" w:rsidRPr="00093DA0">
              <w:rPr>
                <w:rFonts w:ascii="Times New Roman" w:hAnsi="Times New Roman"/>
                <w:b/>
              </w:rPr>
              <w:t xml:space="preserve"> (EIP)</w:t>
            </w:r>
            <w:r w:rsidRPr="00093DA0">
              <w:rPr>
                <w:rFonts w:ascii="Times New Roman" w:hAnsi="Times New Roman"/>
                <w:b/>
              </w:rPr>
              <w:t xml:space="preserve"> for the Western Balkans</w:t>
            </w:r>
            <w:r w:rsidR="00CD2545" w:rsidRPr="00093DA0">
              <w:rPr>
                <w:rFonts w:ascii="Times New Roman" w:hAnsi="Times New Roman"/>
                <w:b/>
              </w:rPr>
              <w:t xml:space="preserve"> (COM (2020) 641 final). </w:t>
            </w:r>
            <w:r w:rsidR="00CD2545" w:rsidRPr="00093DA0">
              <w:rPr>
                <w:rFonts w:ascii="Times New Roman" w:hAnsi="Times New Roman"/>
              </w:rPr>
              <w:t xml:space="preserve">Boosting investment and economic growth is only possible if the </w:t>
            </w:r>
            <w:r w:rsidR="00E14F52" w:rsidRPr="00093DA0">
              <w:rPr>
                <w:rFonts w:ascii="Times New Roman" w:hAnsi="Times New Roman"/>
              </w:rPr>
              <w:t xml:space="preserve">Western Balkans firmly commit to and implement </w:t>
            </w:r>
            <w:r w:rsidR="00CD2545" w:rsidRPr="00093DA0">
              <w:rPr>
                <w:rFonts w:ascii="Times New Roman" w:hAnsi="Times New Roman"/>
              </w:rPr>
              <w:t>fundamental reforms</w:t>
            </w:r>
            <w:r w:rsidR="00E14F52" w:rsidRPr="00093DA0">
              <w:rPr>
                <w:rFonts w:ascii="Times New Roman" w:hAnsi="Times New Roman"/>
              </w:rPr>
              <w:t xml:space="preserve"> in line with the European values</w:t>
            </w:r>
            <w:r w:rsidR="00CA720E" w:rsidRPr="00093DA0">
              <w:rPr>
                <w:rFonts w:ascii="Times New Roman" w:hAnsi="Times New Roman"/>
              </w:rPr>
              <w:t xml:space="preserve">. </w:t>
            </w:r>
            <w:r w:rsidR="00EB6C4C" w:rsidRPr="00093DA0">
              <w:rPr>
                <w:rFonts w:ascii="Times New Roman" w:hAnsi="Times New Roman"/>
              </w:rPr>
              <w:t xml:space="preserve">In this sense, this Action is a fundamental element in promoting and improving the investments included in the EIP related to clean </w:t>
            </w:r>
            <w:r w:rsidR="00EB6C4C" w:rsidRPr="00093DA0">
              <w:rPr>
                <w:rFonts w:ascii="Times New Roman" w:hAnsi="Times New Roman"/>
                <w:b/>
                <w:bCs/>
              </w:rPr>
              <w:t>energies</w:t>
            </w:r>
            <w:r w:rsidR="00EB6C4C" w:rsidRPr="00093DA0">
              <w:rPr>
                <w:rFonts w:ascii="Times New Roman" w:hAnsi="Times New Roman"/>
              </w:rPr>
              <w:t>. For the EIP, decarbonisation is a critical pillar in line with the objectives of the European Green Deal. Improved connectivity and the extension of the Energy Union to the Western Balkans will also be necessary for a successful transition to clean energy. The EIP will strongly support energy market integration, decarbonisation, and clean energy, just transition, further digitisation of the system and smart grids, energy efficiency and energy security. Aspects, many of them, objectives of this Action.</w:t>
            </w:r>
            <w:r w:rsidR="00E3413E" w:rsidRPr="00093DA0">
              <w:rPr>
                <w:rFonts w:ascii="Times New Roman" w:hAnsi="Times New Roman"/>
              </w:rPr>
              <w:t xml:space="preserve"> </w:t>
            </w:r>
            <w:r w:rsidR="00412F10" w:rsidRPr="00093DA0">
              <w:rPr>
                <w:rFonts w:ascii="Times New Roman" w:hAnsi="Times New Roman"/>
              </w:rPr>
              <w:t xml:space="preserve">Concerning </w:t>
            </w:r>
            <w:r w:rsidR="00230419" w:rsidRPr="00093DA0">
              <w:rPr>
                <w:rFonts w:ascii="Times New Roman" w:hAnsi="Times New Roman"/>
                <w:b/>
                <w:bCs/>
              </w:rPr>
              <w:t>transport,</w:t>
            </w:r>
            <w:r w:rsidR="00230419" w:rsidRPr="00093DA0">
              <w:rPr>
                <w:rFonts w:ascii="Times New Roman" w:hAnsi="Times New Roman"/>
              </w:rPr>
              <w:t xml:space="preserve"> the Action is also in line with the priorities of EIP. The EU will prioritise investments in sustainable transport projects related to the European Trans-European Network (TEN-T), which are of strategic interest to the region and the EU. These investments should be supported by the Western Balkan side, among other aspects, through the adoption and implementation of the regional rail, road safety, transport facilitation and road action plans prepared by the Transport Community; speedy progress on transport connectivity reform measures to accelerate integration with the TEN-T, the EU acquis and its digital and clean energy technologies; and progressive adoption and implementation of all EU transport legislation and technical standards.</w:t>
            </w:r>
          </w:p>
          <w:p w14:paraId="01DE49C7" w14:textId="77777777" w:rsidR="001D175D" w:rsidRPr="00093DA0" w:rsidRDefault="00F06A6F" w:rsidP="004330D3">
            <w:pPr>
              <w:spacing w:before="120" w:after="0" w:line="240" w:lineRule="auto"/>
              <w:jc w:val="both"/>
              <w:rPr>
                <w:rFonts w:ascii="Times New Roman" w:hAnsi="Times New Roman"/>
              </w:rPr>
            </w:pPr>
            <w:r w:rsidRPr="00093DA0">
              <w:rPr>
                <w:rFonts w:ascii="Times New Roman" w:hAnsi="Times New Roman"/>
              </w:rPr>
              <w:t xml:space="preserve">The Action mainly contributes to the </w:t>
            </w:r>
            <w:r w:rsidRPr="00093DA0">
              <w:rPr>
                <w:rFonts w:ascii="Times New Roman" w:hAnsi="Times New Roman"/>
                <w:b/>
                <w:bCs/>
              </w:rPr>
              <w:t>Green Agenda for the Western Balkans</w:t>
            </w:r>
            <w:r w:rsidRPr="00093DA0">
              <w:rPr>
                <w:rFonts w:ascii="Times New Roman" w:hAnsi="Times New Roman"/>
              </w:rPr>
              <w:t xml:space="preserve">, reflecting the </w:t>
            </w:r>
            <w:r w:rsidRPr="00093DA0">
              <w:rPr>
                <w:rFonts w:ascii="Times New Roman" w:hAnsi="Times New Roman"/>
                <w:b/>
                <w:bCs/>
              </w:rPr>
              <w:t>European Green Deal</w:t>
            </w:r>
            <w:r w:rsidRPr="00093DA0">
              <w:rPr>
                <w:rFonts w:ascii="Times New Roman" w:hAnsi="Times New Roman"/>
              </w:rPr>
              <w:t xml:space="preserve"> in the region, particularly climate action, including </w:t>
            </w:r>
            <w:r w:rsidRPr="00093DA0">
              <w:rPr>
                <w:rFonts w:ascii="Times New Roman" w:hAnsi="Times New Roman"/>
                <w:b/>
                <w:bCs/>
              </w:rPr>
              <w:t>decarbonisation, energy, and mobility</w:t>
            </w:r>
            <w:r w:rsidRPr="00093DA0">
              <w:rPr>
                <w:rFonts w:ascii="Times New Roman" w:hAnsi="Times New Roman"/>
              </w:rPr>
              <w:t xml:space="preserve">. </w:t>
            </w:r>
            <w:r w:rsidR="001D175D" w:rsidRPr="00093DA0">
              <w:rPr>
                <w:rFonts w:ascii="Times New Roman" w:hAnsi="Times New Roman"/>
              </w:rPr>
              <w:t xml:space="preserve">The specific initiatives on the agenda are in line with the Proposed Action: assist partners in aligning with the </w:t>
            </w:r>
            <w:r w:rsidR="001D175D" w:rsidRPr="00093DA0">
              <w:rPr>
                <w:rFonts w:ascii="Times New Roman" w:hAnsi="Times New Roman"/>
                <w:i/>
                <w:iCs/>
              </w:rPr>
              <w:t>acquis</w:t>
            </w:r>
            <w:r w:rsidR="001D175D" w:rsidRPr="00093DA0">
              <w:rPr>
                <w:rFonts w:ascii="Times New Roman" w:hAnsi="Times New Roman"/>
              </w:rPr>
              <w:t xml:space="preserve"> related to decarbonisation; assist in the development of National Energy and Climate Plans; assist in the development of renovation schemes for public and private buildings; assist in the implementation of programs that address </w:t>
            </w:r>
            <w:r w:rsidR="001D175D" w:rsidRPr="00093DA0">
              <w:rPr>
                <w:rFonts w:ascii="Times New Roman" w:hAnsi="Times New Roman"/>
              </w:rPr>
              <w:lastRenderedPageBreak/>
              <w:t xml:space="preserve">energy poverty, etc. Regarding smart and sustainable mobility, some initiatives are also in line with the Action: support the performance of the road safety action plan and the road action plan, including road maintenance and resilience. The Green Agenda also proposes initiatives that contribute to the Action results related to </w:t>
            </w:r>
            <w:r w:rsidR="001D175D" w:rsidRPr="00093DA0">
              <w:rPr>
                <w:rFonts w:ascii="Times New Roman" w:hAnsi="Times New Roman"/>
                <w:b/>
                <w:bCs/>
              </w:rPr>
              <w:t>crisis management</w:t>
            </w:r>
            <w:r w:rsidR="001D175D" w:rsidRPr="00093DA0">
              <w:rPr>
                <w:rFonts w:ascii="Times New Roman" w:hAnsi="Times New Roman"/>
              </w:rPr>
              <w:t>. More specifically, actions related to protecting and restoring ecosystems, such as deforestation and illegal logging. The increase of dramatic forest fires in the Western Balkans and pest and disease outbreaks require better risk prevention in sustainable forest management and land use.</w:t>
            </w:r>
          </w:p>
          <w:p w14:paraId="47C1073F" w14:textId="77777777" w:rsidR="00815F20" w:rsidRPr="00093DA0" w:rsidRDefault="00815F20" w:rsidP="004330D3">
            <w:pPr>
              <w:spacing w:before="120" w:after="0" w:line="240" w:lineRule="auto"/>
              <w:jc w:val="both"/>
              <w:rPr>
                <w:rFonts w:ascii="Times New Roman" w:hAnsi="Times New Roman"/>
              </w:rPr>
            </w:pPr>
            <w:r w:rsidRPr="00093DA0">
              <w:rPr>
                <w:rFonts w:ascii="Times New Roman" w:hAnsi="Times New Roman"/>
              </w:rPr>
              <w:t xml:space="preserve">Furthermore, the Action is also in line with the </w:t>
            </w:r>
            <w:r w:rsidRPr="00093DA0">
              <w:rPr>
                <w:rFonts w:ascii="Times New Roman" w:hAnsi="Times New Roman"/>
                <w:b/>
                <w:bCs/>
              </w:rPr>
              <w:t>TEN-T</w:t>
            </w:r>
            <w:r w:rsidRPr="00093DA0">
              <w:rPr>
                <w:rFonts w:ascii="Times New Roman" w:hAnsi="Times New Roman"/>
                <w:bCs/>
              </w:rPr>
              <w:t xml:space="preserve"> connections with the EU, contribution to safe mobility, sustainable mobility and it is in synergy with the reforms promoted by the </w:t>
            </w:r>
            <w:r w:rsidRPr="00093DA0">
              <w:rPr>
                <w:rFonts w:ascii="Times New Roman" w:hAnsi="Times New Roman"/>
                <w:b/>
                <w:bCs/>
              </w:rPr>
              <w:t>Transport Community Treaty-TCT</w:t>
            </w:r>
            <w:r w:rsidRPr="00093DA0">
              <w:rPr>
                <w:rFonts w:ascii="Times New Roman" w:hAnsi="Times New Roman"/>
                <w:bCs/>
              </w:rPr>
              <w:t xml:space="preserve">. </w:t>
            </w:r>
            <w:r w:rsidRPr="00093DA0">
              <w:rPr>
                <w:rFonts w:ascii="Times New Roman" w:hAnsi="Times New Roman"/>
              </w:rPr>
              <w:t>It will contribute to the current TEN-T policy based on Regulation (EU) No 1315/2013 which addresses the implementation and development of a Europe-wide network of railway lines, roads, inland waterways, maritime shipping routes, ports, airports, and railroad terminals. The ultimate objective of the policy is to close gaps, remove bottlenecks and technical barriers, as well as to strengthen social, economic, and territorial cohesion within the EU and through its extension ensure closer integration of the western Balkans region with the EU.</w:t>
            </w:r>
          </w:p>
          <w:p w14:paraId="533FDF51" w14:textId="77777777" w:rsidR="00815F20" w:rsidRPr="00093DA0" w:rsidRDefault="00815F20" w:rsidP="004330D3">
            <w:pPr>
              <w:spacing w:before="120" w:after="0" w:line="240" w:lineRule="auto"/>
              <w:jc w:val="both"/>
              <w:rPr>
                <w:rFonts w:ascii="Times New Roman" w:hAnsi="Times New Roman"/>
              </w:rPr>
            </w:pPr>
            <w:r w:rsidRPr="00093DA0">
              <w:rPr>
                <w:rFonts w:ascii="Times New Roman" w:hAnsi="Times New Roman"/>
              </w:rPr>
              <w:t xml:space="preserve">This Action will support the implementation of the objectives of the </w:t>
            </w:r>
            <w:r w:rsidRPr="00093DA0">
              <w:rPr>
                <w:rFonts w:ascii="Times New Roman" w:hAnsi="Times New Roman"/>
                <w:b/>
                <w:bCs/>
              </w:rPr>
              <w:t>Communication “Europe on the Move – Sustainable Mobility for Europe: safe, connected and clean”</w:t>
            </w:r>
            <w:r w:rsidRPr="00093DA0">
              <w:rPr>
                <w:rFonts w:ascii="Times New Roman" w:hAnsi="Times New Roman"/>
              </w:rPr>
              <w:t xml:space="preserve"> of May 2018, </w:t>
            </w:r>
            <w:r w:rsidR="001C5F6D" w:rsidRPr="00093DA0">
              <w:rPr>
                <w:rFonts w:ascii="Times New Roman" w:hAnsi="Times New Roman"/>
              </w:rPr>
              <w:t xml:space="preserve">and the </w:t>
            </w:r>
            <w:r w:rsidR="001C5F6D" w:rsidRPr="00093DA0">
              <w:rPr>
                <w:rFonts w:ascii="Times New Roman" w:hAnsi="Times New Roman"/>
                <w:b/>
                <w:bCs/>
              </w:rPr>
              <w:t>EU Road Safety Policy Framework 2021-2030-Next steps towards “Vision Zero”</w:t>
            </w:r>
            <w:r w:rsidR="001C5F6D" w:rsidRPr="00093DA0">
              <w:rPr>
                <w:rFonts w:ascii="Times New Roman" w:hAnsi="Times New Roman"/>
              </w:rPr>
              <w:t xml:space="preserve"> of June 2019</w:t>
            </w:r>
            <w:r w:rsidR="001C5F6D" w:rsidRPr="00093DA0">
              <w:rPr>
                <w:rFonts w:ascii="Times New Roman" w:hAnsi="Times New Roman"/>
                <w:b/>
                <w:bCs/>
              </w:rPr>
              <w:t>,</w:t>
            </w:r>
            <w:r w:rsidR="001C5F6D" w:rsidRPr="00093DA0">
              <w:rPr>
                <w:rFonts w:ascii="Times New Roman" w:hAnsi="Times New Roman"/>
              </w:rPr>
              <w:t xml:space="preserve"> </w:t>
            </w:r>
            <w:r w:rsidRPr="00093DA0">
              <w:rPr>
                <w:rFonts w:ascii="Times New Roman" w:hAnsi="Times New Roman"/>
              </w:rPr>
              <w:t>which confirmed the EU's long-term goal of moving close to zero fatalities in road transport by 2050 and added that the same should be achieved for serious injuries. It also proposed new interim targets of reducing the number of road deaths by 50% between 2020 and 2030 and reducing the number of serious injuries by 50% in the same period, as recommended in the Valletta Declaration.</w:t>
            </w:r>
          </w:p>
          <w:p w14:paraId="546718B1" w14:textId="77777777" w:rsidR="00D9380A" w:rsidRPr="00093DA0" w:rsidRDefault="00D9380A" w:rsidP="004330D3">
            <w:pPr>
              <w:spacing w:before="120" w:after="0" w:line="240" w:lineRule="auto"/>
              <w:jc w:val="both"/>
              <w:rPr>
                <w:rFonts w:ascii="Times New Roman" w:hAnsi="Times New Roman"/>
              </w:rPr>
            </w:pPr>
            <w:r w:rsidRPr="00093DA0">
              <w:rPr>
                <w:rFonts w:ascii="Times New Roman" w:hAnsi="Times New Roman"/>
              </w:rPr>
              <w:t xml:space="preserve">The Action also supports the </w:t>
            </w:r>
            <w:r w:rsidRPr="00093DA0">
              <w:rPr>
                <w:rFonts w:ascii="Times New Roman" w:hAnsi="Times New Roman"/>
                <w:b/>
              </w:rPr>
              <w:t xml:space="preserve">Connectivity Agenda </w:t>
            </w:r>
            <w:r w:rsidRPr="00093DA0">
              <w:rPr>
                <w:rFonts w:ascii="Times New Roman" w:hAnsi="Times New Roman"/>
              </w:rPr>
              <w:t>which is transformed into the adopted Action plans of the Transport community, with i</w:t>
            </w:r>
            <w:r w:rsidRPr="00093DA0">
              <w:rPr>
                <w:rFonts w:ascii="Times New Roman" w:hAnsi="Times New Roman"/>
                <w:shd w:val="clear" w:color="auto" w:fill="FFFFFF"/>
              </w:rPr>
              <w:t xml:space="preserve">mproving connectivity within the Western Balkans, as well as between the Western Balkans and the European Union, </w:t>
            </w:r>
            <w:r w:rsidRPr="00093DA0">
              <w:rPr>
                <w:rFonts w:ascii="Times New Roman" w:hAnsi="Times New Roman"/>
              </w:rPr>
              <w:t>and which puts a special emphasis on the preparation and financing of concrete regional infrastructure investment projects and on the implementation of technical standards and reform measures (e.g.: aligning/simplifying border crossing procedures, railway reforms, information systems, road safety and maintenance schemes, unbundling and third-party access).</w:t>
            </w:r>
          </w:p>
          <w:p w14:paraId="122B1838" w14:textId="77777777" w:rsidR="001C5F6D" w:rsidRPr="00093DA0" w:rsidRDefault="00D06071" w:rsidP="004330D3">
            <w:pPr>
              <w:spacing w:before="120" w:after="0" w:line="240" w:lineRule="auto"/>
              <w:jc w:val="both"/>
              <w:rPr>
                <w:rFonts w:ascii="Times New Roman" w:hAnsi="Times New Roman"/>
              </w:rPr>
            </w:pPr>
            <w:r w:rsidRPr="00093DA0">
              <w:rPr>
                <w:rFonts w:ascii="Times New Roman" w:hAnsi="Times New Roman"/>
              </w:rPr>
              <w:t xml:space="preserve">The proposed Action will also contribute to achieving the objectives of the </w:t>
            </w:r>
            <w:r w:rsidRPr="00093DA0">
              <w:rPr>
                <w:rFonts w:ascii="Times New Roman" w:hAnsi="Times New Roman"/>
                <w:b/>
                <w:bCs/>
              </w:rPr>
              <w:t>New EU Forest Strategy 2030</w:t>
            </w:r>
            <w:r w:rsidRPr="00093DA0">
              <w:rPr>
                <w:rFonts w:ascii="Times New Roman" w:hAnsi="Times New Roman"/>
              </w:rPr>
              <w:t xml:space="preserve"> (COM</w:t>
            </w:r>
            <w:r w:rsidR="007F2E73" w:rsidRPr="00093DA0">
              <w:rPr>
                <w:rFonts w:ascii="Times New Roman" w:hAnsi="Times New Roman"/>
              </w:rPr>
              <w:t xml:space="preserve"> </w:t>
            </w:r>
            <w:r w:rsidRPr="00093DA0">
              <w:rPr>
                <w:rFonts w:ascii="Times New Roman" w:hAnsi="Times New Roman"/>
              </w:rPr>
              <w:t>(2021)572 final). Climate change continues to affect the European forests negatively. It has also brought previously hidden vulnerabilities that aggravate other destructive pressures such as pests, pollution, and disease. It affects wildfire regimes, leading to conditions where the extent and intensity of forest fires in the EU will increase in the following years. In this sense, the Action is in line to protect, restore and enlarge the EU’s forests to combat climate change, reverse biodiversity loss and ensure resilient and multifunctional forest ecosystems. This is a precondition for avoiding escalating socio-economic costs from forest disasters and protecting people, land and houses from floods, fires and landslides.</w:t>
            </w:r>
          </w:p>
        </w:tc>
      </w:tr>
      <w:tr w:rsidR="000F3006" w:rsidRPr="000F3006" w14:paraId="7A2E9C4E" w14:textId="77777777" w:rsidTr="00992D7A">
        <w:trPr>
          <w:jc w:val="center"/>
        </w:trPr>
        <w:tc>
          <w:tcPr>
            <w:tcW w:w="534" w:type="dxa"/>
            <w:vMerge/>
            <w:tcBorders>
              <w:left w:val="single" w:sz="4" w:space="0" w:color="auto"/>
              <w:right w:val="single" w:sz="4" w:space="0" w:color="auto"/>
            </w:tcBorders>
          </w:tcPr>
          <w:p w14:paraId="0F9F7F09" w14:textId="77777777" w:rsidR="004262E0" w:rsidRPr="000F3006" w:rsidRDefault="004262E0" w:rsidP="00476031">
            <w:pPr>
              <w:spacing w:after="0"/>
              <w:rPr>
                <w:rFonts w:ascii="Times New Roman" w:hAnsi="Times New Roma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4D92481" w14:textId="77777777" w:rsidR="004262E0" w:rsidRPr="000F3006" w:rsidRDefault="004262E0" w:rsidP="004878F8">
            <w:pPr>
              <w:spacing w:after="0" w:line="240" w:lineRule="auto"/>
              <w:rPr>
                <w:rFonts w:ascii="Times New Roman" w:hAnsi="Times New Roman"/>
              </w:rPr>
            </w:pPr>
            <w:r w:rsidRPr="000F3006">
              <w:rPr>
                <w:rFonts w:ascii="Times New Roman" w:hAnsi="Times New Roman"/>
              </w:rPr>
              <w:t>Contribution to the IPA III Programming Framework objectives</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495A5775" w14:textId="69DB6A60" w:rsidR="008565A7" w:rsidRDefault="00FF324C" w:rsidP="00FF324C">
            <w:pPr>
              <w:spacing w:after="0" w:line="240" w:lineRule="auto"/>
              <w:jc w:val="both"/>
              <w:rPr>
                <w:rFonts w:ascii="Times New Roman" w:hAnsi="Times New Roman"/>
                <w:i/>
                <w:iCs/>
              </w:rPr>
            </w:pPr>
            <w:r w:rsidRPr="000F3006">
              <w:rPr>
                <w:rFonts w:ascii="Times New Roman" w:hAnsi="Times New Roman"/>
              </w:rPr>
              <w:t xml:space="preserve">The Action is designed to contribute to the achievement of the specific objective of the IPA III Programming Framework, </w:t>
            </w:r>
            <w:r w:rsidRPr="00C45B39">
              <w:rPr>
                <w:rFonts w:ascii="Times New Roman" w:hAnsi="Times New Roman"/>
                <w:b/>
                <w:bCs/>
              </w:rPr>
              <w:t>thematic priority</w:t>
            </w:r>
            <w:r w:rsidRPr="000F3006">
              <w:rPr>
                <w:rFonts w:ascii="Times New Roman" w:hAnsi="Times New Roman"/>
              </w:rPr>
              <w:t xml:space="preserve"> </w:t>
            </w:r>
            <w:r w:rsidR="00C45B39">
              <w:rPr>
                <w:rFonts w:ascii="Times New Roman" w:hAnsi="Times New Roman"/>
                <w:b/>
              </w:rPr>
              <w:t xml:space="preserve">1: </w:t>
            </w:r>
            <w:r w:rsidRPr="000F3006">
              <w:rPr>
                <w:rFonts w:ascii="Times New Roman" w:hAnsi="Times New Roman"/>
                <w:b/>
              </w:rPr>
              <w:t xml:space="preserve"> </w:t>
            </w:r>
            <w:r w:rsidR="00C45B39">
              <w:rPr>
                <w:rFonts w:ascii="Times New Roman" w:hAnsi="Times New Roman"/>
                <w:b/>
              </w:rPr>
              <w:t xml:space="preserve">Environment and climate change, </w:t>
            </w:r>
            <w:r w:rsidR="00C45B39" w:rsidRPr="00360D99">
              <w:rPr>
                <w:rFonts w:ascii="Times New Roman" w:hAnsi="Times New Roman"/>
                <w:bCs/>
              </w:rPr>
              <w:t>and</w:t>
            </w:r>
            <w:r w:rsidR="00C45B39">
              <w:rPr>
                <w:rFonts w:ascii="Times New Roman" w:hAnsi="Times New Roman"/>
                <w:b/>
              </w:rPr>
              <w:t xml:space="preserve"> thematic priority 2: Transport, digital economy and society, and energy </w:t>
            </w:r>
            <w:r w:rsidR="00C45B39">
              <w:rPr>
                <w:rFonts w:ascii="Times New Roman" w:hAnsi="Times New Roman"/>
                <w:bCs/>
              </w:rPr>
              <w:t xml:space="preserve">within </w:t>
            </w:r>
            <w:r w:rsidR="00C45B39" w:rsidRPr="00360D99">
              <w:rPr>
                <w:rFonts w:ascii="Times New Roman" w:hAnsi="Times New Roman"/>
                <w:b/>
              </w:rPr>
              <w:t xml:space="preserve">Window </w:t>
            </w:r>
            <w:r w:rsidR="00FF3ADE">
              <w:rPr>
                <w:rFonts w:ascii="Times New Roman" w:hAnsi="Times New Roman"/>
                <w:b/>
              </w:rPr>
              <w:t>3</w:t>
            </w:r>
            <w:r w:rsidR="00C45B39" w:rsidRPr="00360D99">
              <w:rPr>
                <w:rFonts w:ascii="Times New Roman" w:hAnsi="Times New Roman"/>
                <w:b/>
              </w:rPr>
              <w:t>:</w:t>
            </w:r>
            <w:r w:rsidR="00C45B39">
              <w:rPr>
                <w:rFonts w:ascii="Times New Roman" w:hAnsi="Times New Roman"/>
                <w:bCs/>
              </w:rPr>
              <w:t xml:space="preserve"> </w:t>
            </w:r>
            <w:r w:rsidR="00FF3ADE">
              <w:rPr>
                <w:rFonts w:ascii="Times New Roman" w:hAnsi="Times New Roman"/>
                <w:b/>
              </w:rPr>
              <w:t xml:space="preserve">Green Agenda and Sustainable Connectivity. </w:t>
            </w:r>
            <w:r w:rsidR="00FF3ADE">
              <w:rPr>
                <w:rFonts w:ascii="Times New Roman" w:hAnsi="Times New Roman"/>
              </w:rPr>
              <w:t>More</w:t>
            </w:r>
            <w:r w:rsidRPr="000F3006">
              <w:rPr>
                <w:rFonts w:ascii="Times New Roman" w:hAnsi="Times New Roman"/>
              </w:rPr>
              <w:t xml:space="preserve"> specifically</w:t>
            </w:r>
            <w:r w:rsidR="00677BA8">
              <w:rPr>
                <w:rFonts w:ascii="Times New Roman" w:hAnsi="Times New Roman"/>
              </w:rPr>
              <w:t>, under thematic priority 1, the Action</w:t>
            </w:r>
            <w:r w:rsidR="00E86BA2">
              <w:rPr>
                <w:rFonts w:ascii="Times New Roman" w:hAnsi="Times New Roman"/>
              </w:rPr>
              <w:t xml:space="preserve"> addresses the </w:t>
            </w:r>
            <w:r w:rsidR="00677BA8">
              <w:rPr>
                <w:rFonts w:ascii="Times New Roman" w:hAnsi="Times New Roman"/>
              </w:rPr>
              <w:t xml:space="preserve">specific </w:t>
            </w:r>
            <w:r w:rsidR="00677BA8" w:rsidRPr="00106CCB">
              <w:rPr>
                <w:rFonts w:ascii="Times New Roman" w:hAnsi="Times New Roman"/>
              </w:rPr>
              <w:t xml:space="preserve">objective </w:t>
            </w:r>
            <w:r w:rsidR="00E86BA2" w:rsidRPr="00106CCB">
              <w:rPr>
                <w:rFonts w:ascii="Times New Roman" w:hAnsi="Times New Roman"/>
              </w:rPr>
              <w:t>“</w:t>
            </w:r>
            <w:r w:rsidR="00272967" w:rsidRPr="00106CCB">
              <w:rPr>
                <w:rFonts w:ascii="Times New Roman" w:hAnsi="Times New Roman"/>
              </w:rPr>
              <w:t xml:space="preserve">to </w:t>
            </w:r>
            <w:r w:rsidR="00677BA8" w:rsidRPr="00106CCB">
              <w:rPr>
                <w:rFonts w:ascii="Times New Roman" w:hAnsi="Times New Roman"/>
              </w:rPr>
              <w:t xml:space="preserve">support the protection of the environment, improve its </w:t>
            </w:r>
            <w:r w:rsidR="00677BA8" w:rsidRPr="00106CCB">
              <w:rPr>
                <w:rFonts w:ascii="Times New Roman" w:hAnsi="Times New Roman"/>
              </w:rPr>
              <w:lastRenderedPageBreak/>
              <w:t>quality and contribute to actions and policies against climate change to accelerate the shift towards a low carbon economy</w:t>
            </w:r>
            <w:r w:rsidR="00E86BA2" w:rsidRPr="00106CCB">
              <w:rPr>
                <w:rFonts w:ascii="Times New Roman" w:hAnsi="Times New Roman"/>
              </w:rPr>
              <w:t xml:space="preserve">” and </w:t>
            </w:r>
            <w:r w:rsidR="003E5552" w:rsidRPr="00106CCB">
              <w:rPr>
                <w:rFonts w:ascii="Times New Roman" w:hAnsi="Times New Roman"/>
              </w:rPr>
              <w:t>the</w:t>
            </w:r>
            <w:r w:rsidR="008565A7" w:rsidRPr="00106CCB">
              <w:rPr>
                <w:rFonts w:ascii="Times New Roman" w:hAnsi="Times New Roman"/>
              </w:rPr>
              <w:t xml:space="preserve"> strengthen</w:t>
            </w:r>
            <w:r w:rsidR="00E86BA2" w:rsidRPr="00106CCB">
              <w:rPr>
                <w:rFonts w:ascii="Times New Roman" w:hAnsi="Times New Roman"/>
              </w:rPr>
              <w:t>ing of</w:t>
            </w:r>
            <w:r w:rsidR="008565A7" w:rsidRPr="00106CCB">
              <w:rPr>
                <w:rFonts w:ascii="Times New Roman" w:hAnsi="Times New Roman"/>
              </w:rPr>
              <w:t xml:space="preserve"> the administrative capacity for disaster risk reduction, disaster risk management and emergency response with enhanced participation in the Union civil protection mechanism. </w:t>
            </w:r>
            <w:r w:rsidRPr="00106CCB">
              <w:rPr>
                <w:rFonts w:ascii="Times New Roman" w:hAnsi="Times New Roman"/>
              </w:rPr>
              <w:t xml:space="preserve"> </w:t>
            </w:r>
            <w:r w:rsidR="00272967" w:rsidRPr="00106CCB">
              <w:rPr>
                <w:rFonts w:ascii="Times New Roman" w:hAnsi="Times New Roman"/>
              </w:rPr>
              <w:t>The Action</w:t>
            </w:r>
            <w:r w:rsidR="00E86BA2" w:rsidRPr="00106CCB">
              <w:rPr>
                <w:rFonts w:ascii="Times New Roman" w:hAnsi="Times New Roman"/>
              </w:rPr>
              <w:t xml:space="preserve"> is</w:t>
            </w:r>
            <w:r w:rsidR="00272967" w:rsidRPr="00106CCB">
              <w:rPr>
                <w:rFonts w:ascii="Times New Roman" w:hAnsi="Times New Roman"/>
              </w:rPr>
              <w:t xml:space="preserve"> also in line with the specific objective of thematic priority 2 </w:t>
            </w:r>
            <w:r w:rsidR="00106CCB" w:rsidRPr="00106CCB">
              <w:rPr>
                <w:rFonts w:ascii="Times New Roman" w:hAnsi="Times New Roman"/>
              </w:rPr>
              <w:t xml:space="preserve">“to </w:t>
            </w:r>
            <w:r w:rsidR="00272967" w:rsidRPr="00106CCB">
              <w:rPr>
                <w:rFonts w:ascii="Times New Roman" w:hAnsi="Times New Roman"/>
              </w:rPr>
              <w:t>promote smart, sustainable, inclusive, safe transport and to remove bottlenecks in key network infrastructures, to improve access to digital technologies and services, to accelerate</w:t>
            </w:r>
            <w:r w:rsidR="00AF1C56" w:rsidRPr="00106CCB">
              <w:rPr>
                <w:rFonts w:ascii="Times New Roman" w:hAnsi="Times New Roman"/>
              </w:rPr>
              <w:t xml:space="preserve"> the shift towards a low-carbon economy promote clean energy transition and a European integrated energy market</w:t>
            </w:r>
            <w:r w:rsidR="00106CCB" w:rsidRPr="00106CCB">
              <w:rPr>
                <w:rFonts w:ascii="Times New Roman" w:hAnsi="Times New Roman"/>
              </w:rPr>
              <w:t>”</w:t>
            </w:r>
            <w:r w:rsidR="00106CCB">
              <w:rPr>
                <w:rFonts w:ascii="Times New Roman" w:hAnsi="Times New Roman"/>
              </w:rPr>
              <w:t xml:space="preserve"> </w:t>
            </w:r>
            <w:r w:rsidR="00106CCB" w:rsidRPr="00106CCB">
              <w:rPr>
                <w:rFonts w:ascii="Times New Roman" w:hAnsi="Times New Roman"/>
              </w:rPr>
              <w:t>and</w:t>
            </w:r>
            <w:r w:rsidR="00106CCB">
              <w:rPr>
                <w:rFonts w:ascii="Times New Roman" w:hAnsi="Times New Roman"/>
              </w:rPr>
              <w:t xml:space="preserve"> in particular the support to the energy institutional reform, the de-carbonisation and the reform of the transport sector in line with the Transport Community Treaty.</w:t>
            </w:r>
            <w:r w:rsidR="00106CCB">
              <w:rPr>
                <w:rFonts w:ascii="Times New Roman" w:hAnsi="Times New Roman"/>
                <w:i/>
                <w:iCs/>
              </w:rPr>
              <w:t xml:space="preserve"> </w:t>
            </w:r>
          </w:p>
          <w:p w14:paraId="29DA013E" w14:textId="77777777" w:rsidR="00AF1C56" w:rsidRDefault="00AF1C56" w:rsidP="00FF324C">
            <w:pPr>
              <w:spacing w:after="0" w:line="240" w:lineRule="auto"/>
              <w:jc w:val="both"/>
              <w:rPr>
                <w:rFonts w:ascii="Times New Roman" w:hAnsi="Times New Roman"/>
                <w:i/>
                <w:iCs/>
              </w:rPr>
            </w:pPr>
          </w:p>
          <w:p w14:paraId="2B6E63EB" w14:textId="77777777" w:rsidR="00AF1C56" w:rsidRDefault="00AF1C56" w:rsidP="00FF324C">
            <w:pPr>
              <w:spacing w:after="0" w:line="240" w:lineRule="auto"/>
              <w:jc w:val="both"/>
              <w:rPr>
                <w:rFonts w:ascii="Times New Roman" w:hAnsi="Times New Roman"/>
              </w:rPr>
            </w:pPr>
            <w:r>
              <w:rPr>
                <w:rFonts w:ascii="Times New Roman" w:hAnsi="Times New Roman"/>
              </w:rPr>
              <w:t xml:space="preserve">Overall, the proposed Action is aligned with the area of interventions of </w:t>
            </w:r>
            <w:r w:rsidRPr="00360D99">
              <w:rPr>
                <w:rFonts w:ascii="Times New Roman" w:hAnsi="Times New Roman"/>
                <w:b/>
                <w:bCs/>
              </w:rPr>
              <w:t>IPA III 2021-2027 Strategic Response for North Macedonia</w:t>
            </w:r>
            <w:r>
              <w:rPr>
                <w:rFonts w:ascii="Times New Roman" w:hAnsi="Times New Roman"/>
              </w:rPr>
              <w:t>, under Window 3, thematic priority 1,</w:t>
            </w:r>
            <w:r w:rsidR="00BF1DB8">
              <w:rPr>
                <w:rFonts w:ascii="Times New Roman" w:hAnsi="Times New Roman"/>
              </w:rPr>
              <w:t xml:space="preserve"> regarding:</w:t>
            </w:r>
          </w:p>
          <w:p w14:paraId="44FBF148" w14:textId="77777777" w:rsidR="00BF1DB8" w:rsidRDefault="00BF1DB8" w:rsidP="00FF324C">
            <w:pPr>
              <w:spacing w:after="0" w:line="240" w:lineRule="auto"/>
              <w:jc w:val="both"/>
              <w:rPr>
                <w:rFonts w:ascii="Times New Roman" w:hAnsi="Times New Roman"/>
              </w:rPr>
            </w:pPr>
          </w:p>
          <w:p w14:paraId="106438DE" w14:textId="77777777" w:rsidR="00BF1DB8" w:rsidRDefault="00BF1DB8" w:rsidP="00FF324C">
            <w:pPr>
              <w:spacing w:after="0" w:line="240" w:lineRule="auto"/>
              <w:jc w:val="both"/>
              <w:rPr>
                <w:rFonts w:ascii="Times New Roman" w:hAnsi="Times New Roman"/>
              </w:rPr>
            </w:pPr>
            <w:r>
              <w:rPr>
                <w:rFonts w:ascii="Times New Roman" w:hAnsi="Times New Roman"/>
              </w:rPr>
              <w:t>Objective 1.2: To conserve, restore and manage natural resources and to promote their sustainable use</w:t>
            </w:r>
          </w:p>
          <w:p w14:paraId="6FE64ABA" w14:textId="77777777" w:rsidR="00BF1DB8" w:rsidRDefault="00BF1DB8" w:rsidP="00FF324C">
            <w:pPr>
              <w:spacing w:after="0" w:line="240" w:lineRule="auto"/>
              <w:jc w:val="both"/>
              <w:rPr>
                <w:rFonts w:ascii="Times New Roman" w:hAnsi="Times New Roman"/>
              </w:rPr>
            </w:pPr>
          </w:p>
          <w:p w14:paraId="70CDB69B" w14:textId="77777777" w:rsidR="00BF1DB8" w:rsidRDefault="00BF1DB8" w:rsidP="00555E0D">
            <w:pPr>
              <w:pStyle w:val="ListParagraph"/>
              <w:numPr>
                <w:ilvl w:val="0"/>
                <w:numId w:val="48"/>
              </w:numPr>
              <w:spacing w:after="0" w:line="240" w:lineRule="auto"/>
              <w:jc w:val="both"/>
              <w:rPr>
                <w:rFonts w:ascii="Times New Roman" w:hAnsi="Times New Roman"/>
              </w:rPr>
            </w:pPr>
            <w:r>
              <w:rPr>
                <w:rFonts w:ascii="Times New Roman" w:hAnsi="Times New Roman"/>
              </w:rPr>
              <w:t>Building the national capacities for implementation of the national legislation.</w:t>
            </w:r>
          </w:p>
          <w:p w14:paraId="1EE34E06" w14:textId="77777777" w:rsidR="00BF1DB8" w:rsidRDefault="00BF1DB8" w:rsidP="00555E0D">
            <w:pPr>
              <w:pStyle w:val="ListParagraph"/>
              <w:numPr>
                <w:ilvl w:val="0"/>
                <w:numId w:val="48"/>
              </w:numPr>
              <w:spacing w:after="0" w:line="240" w:lineRule="auto"/>
              <w:jc w:val="both"/>
              <w:rPr>
                <w:rFonts w:ascii="Times New Roman" w:hAnsi="Times New Roman"/>
              </w:rPr>
            </w:pPr>
            <w:r>
              <w:rPr>
                <w:rFonts w:ascii="Times New Roman" w:hAnsi="Times New Roman"/>
              </w:rPr>
              <w:t>Improving capacities for nature conservation instruments, land-use planning controls and enforcement measures.</w:t>
            </w:r>
          </w:p>
          <w:p w14:paraId="1134FD72" w14:textId="77777777" w:rsidR="00BF1DB8" w:rsidRDefault="00BF1DB8" w:rsidP="00555E0D">
            <w:pPr>
              <w:pStyle w:val="ListParagraph"/>
              <w:numPr>
                <w:ilvl w:val="0"/>
                <w:numId w:val="48"/>
              </w:numPr>
              <w:spacing w:after="0" w:line="240" w:lineRule="auto"/>
              <w:jc w:val="both"/>
              <w:rPr>
                <w:rFonts w:ascii="Times New Roman" w:hAnsi="Times New Roman"/>
              </w:rPr>
            </w:pPr>
            <w:r>
              <w:rPr>
                <w:rFonts w:ascii="Times New Roman" w:hAnsi="Times New Roman"/>
              </w:rPr>
              <w:t>Improving capacities for management of protected areas (monitoring programme, action plans for conservation of species and habitats, land-use planning controls and enforcement measures.</w:t>
            </w:r>
          </w:p>
          <w:p w14:paraId="38EBB9E8" w14:textId="77777777" w:rsidR="00574EA5" w:rsidRDefault="00574EA5" w:rsidP="00574EA5">
            <w:pPr>
              <w:spacing w:after="0" w:line="240" w:lineRule="auto"/>
              <w:jc w:val="both"/>
              <w:rPr>
                <w:rFonts w:ascii="Times New Roman" w:hAnsi="Times New Roman"/>
              </w:rPr>
            </w:pPr>
          </w:p>
          <w:p w14:paraId="4647DBA9" w14:textId="6B620149" w:rsidR="00574EA5" w:rsidRDefault="00574EA5" w:rsidP="00574EA5">
            <w:pPr>
              <w:spacing w:after="0" w:line="240" w:lineRule="auto"/>
              <w:jc w:val="both"/>
              <w:rPr>
                <w:rFonts w:ascii="Times New Roman" w:hAnsi="Times New Roman"/>
              </w:rPr>
            </w:pPr>
            <w:r>
              <w:rPr>
                <w:rFonts w:ascii="Times New Roman" w:hAnsi="Times New Roman"/>
              </w:rPr>
              <w:t>Objective 1.4</w:t>
            </w:r>
            <w:r w:rsidR="00B60779">
              <w:rPr>
                <w:rFonts w:ascii="Times New Roman" w:hAnsi="Times New Roman"/>
              </w:rPr>
              <w:t>:</w:t>
            </w:r>
            <w:r>
              <w:rPr>
                <w:rFonts w:ascii="Times New Roman" w:hAnsi="Times New Roman"/>
              </w:rPr>
              <w:t xml:space="preserve"> To improve policymaking and enforcement laws</w:t>
            </w:r>
          </w:p>
          <w:p w14:paraId="4DC2CF31" w14:textId="77777777" w:rsidR="00574EA5" w:rsidRDefault="00574EA5" w:rsidP="00574EA5">
            <w:pPr>
              <w:spacing w:after="0" w:line="240" w:lineRule="auto"/>
              <w:jc w:val="both"/>
              <w:rPr>
                <w:rFonts w:ascii="Times New Roman" w:hAnsi="Times New Roman"/>
              </w:rPr>
            </w:pPr>
          </w:p>
          <w:p w14:paraId="45935AC0" w14:textId="77777777" w:rsidR="00574EA5" w:rsidRDefault="00574EA5" w:rsidP="00555E0D">
            <w:pPr>
              <w:pStyle w:val="ListParagraph"/>
              <w:numPr>
                <w:ilvl w:val="0"/>
                <w:numId w:val="48"/>
              </w:numPr>
              <w:spacing w:after="0" w:line="240" w:lineRule="auto"/>
              <w:jc w:val="both"/>
              <w:rPr>
                <w:rFonts w:ascii="Times New Roman" w:hAnsi="Times New Roman"/>
              </w:rPr>
            </w:pPr>
            <w:r>
              <w:rPr>
                <w:rFonts w:ascii="Times New Roman" w:hAnsi="Times New Roman"/>
              </w:rPr>
              <w:t>Further align the national legislation with the EU acquis, standards and best practice and support the implementation in all areas concerning environment</w:t>
            </w:r>
            <w:r w:rsidR="00FB0CE2">
              <w:rPr>
                <w:rFonts w:ascii="Times New Roman" w:hAnsi="Times New Roman"/>
              </w:rPr>
              <w:t>, i.e., noise, chemicals, etc., including strengthening the capacities at national and local levels for implementation and enforcement of the legislation.</w:t>
            </w:r>
          </w:p>
          <w:p w14:paraId="410D4A52" w14:textId="77777777" w:rsidR="00FB0CE2" w:rsidRDefault="00FB0CE2" w:rsidP="00555E0D">
            <w:pPr>
              <w:pStyle w:val="ListParagraph"/>
              <w:numPr>
                <w:ilvl w:val="0"/>
                <w:numId w:val="48"/>
              </w:numPr>
              <w:spacing w:after="0" w:line="240" w:lineRule="auto"/>
              <w:jc w:val="both"/>
              <w:rPr>
                <w:rFonts w:ascii="Times New Roman" w:hAnsi="Times New Roman"/>
              </w:rPr>
            </w:pPr>
            <w:r>
              <w:rPr>
                <w:rFonts w:ascii="Times New Roman" w:hAnsi="Times New Roman"/>
              </w:rPr>
              <w:t>Improve the capacities of the civil protection sector to ensure streamlined, coordinated, and efficient disaster mitigation and response action at all levels.</w:t>
            </w:r>
          </w:p>
          <w:p w14:paraId="35E90C13" w14:textId="77777777" w:rsidR="00FB0CE2" w:rsidRPr="00555E0D" w:rsidRDefault="00FB0CE2" w:rsidP="00555E0D">
            <w:pPr>
              <w:pStyle w:val="ListParagraph"/>
              <w:numPr>
                <w:ilvl w:val="0"/>
                <w:numId w:val="48"/>
              </w:numPr>
              <w:spacing w:after="0" w:line="240" w:lineRule="auto"/>
              <w:jc w:val="both"/>
              <w:rPr>
                <w:rFonts w:ascii="Times New Roman" w:hAnsi="Times New Roman"/>
              </w:rPr>
            </w:pPr>
            <w:r>
              <w:rPr>
                <w:rFonts w:ascii="Times New Roman" w:hAnsi="Times New Roman"/>
              </w:rPr>
              <w:t xml:space="preserve">Improve the capacity of the country to actively participate into the European Union Civil Protection Mechanism, to establish national disaster strategy, operational plans and systems for management and prevention of floods, fires, earthquakes, and other </w:t>
            </w:r>
            <w:r w:rsidR="003A6620">
              <w:rPr>
                <w:rFonts w:ascii="Times New Roman" w:hAnsi="Times New Roman"/>
              </w:rPr>
              <w:t>disasters</w:t>
            </w:r>
            <w:r>
              <w:rPr>
                <w:rFonts w:ascii="Times New Roman" w:hAnsi="Times New Roman"/>
              </w:rPr>
              <w:t>.</w:t>
            </w:r>
          </w:p>
          <w:p w14:paraId="4880F80A" w14:textId="77777777" w:rsidR="00BF1DB8" w:rsidRDefault="00BF1DB8" w:rsidP="00FF324C">
            <w:pPr>
              <w:spacing w:after="0" w:line="240" w:lineRule="auto"/>
              <w:jc w:val="both"/>
              <w:rPr>
                <w:rFonts w:ascii="Times New Roman" w:hAnsi="Times New Roman"/>
              </w:rPr>
            </w:pPr>
          </w:p>
          <w:p w14:paraId="16B867E2" w14:textId="77777777" w:rsidR="00BF1DB8" w:rsidRDefault="00FB0CE2" w:rsidP="00FF324C">
            <w:pPr>
              <w:spacing w:after="0" w:line="240" w:lineRule="auto"/>
              <w:jc w:val="both"/>
              <w:rPr>
                <w:rFonts w:ascii="Times New Roman" w:hAnsi="Times New Roman"/>
              </w:rPr>
            </w:pPr>
            <w:r>
              <w:rPr>
                <w:rFonts w:ascii="Times New Roman" w:hAnsi="Times New Roman"/>
              </w:rPr>
              <w:t xml:space="preserve">Under thematic priority 2, </w:t>
            </w:r>
          </w:p>
          <w:p w14:paraId="3B76112F" w14:textId="77777777" w:rsidR="00FB0CE2" w:rsidRDefault="00FB0CE2" w:rsidP="00FF324C">
            <w:pPr>
              <w:spacing w:after="0" w:line="240" w:lineRule="auto"/>
              <w:jc w:val="both"/>
              <w:rPr>
                <w:rFonts w:ascii="Times New Roman" w:hAnsi="Times New Roman"/>
              </w:rPr>
            </w:pPr>
          </w:p>
          <w:p w14:paraId="3B7E07E0" w14:textId="77777777" w:rsidR="00FB0CE2" w:rsidRDefault="00FB0CE2" w:rsidP="00FF324C">
            <w:pPr>
              <w:spacing w:after="0" w:line="240" w:lineRule="auto"/>
              <w:jc w:val="both"/>
              <w:rPr>
                <w:rFonts w:ascii="Times New Roman" w:hAnsi="Times New Roman"/>
              </w:rPr>
            </w:pPr>
            <w:r>
              <w:rPr>
                <w:rFonts w:ascii="Times New Roman" w:hAnsi="Times New Roman"/>
              </w:rPr>
              <w:t xml:space="preserve">Objective </w:t>
            </w:r>
            <w:r w:rsidR="00360D99">
              <w:rPr>
                <w:rFonts w:ascii="Times New Roman" w:hAnsi="Times New Roman"/>
              </w:rPr>
              <w:t xml:space="preserve">2.1 To develop a harmonised transport sector, that is internationally compatible and integrated in the TEN-T network that stimulates the economic and social development of the country, promote environmentally friendly infrastructure, preserves the </w:t>
            </w:r>
            <w:r w:rsidR="0094018D">
              <w:rPr>
                <w:rFonts w:ascii="Times New Roman" w:hAnsi="Times New Roman"/>
              </w:rPr>
              <w:t>environment,</w:t>
            </w:r>
            <w:r w:rsidR="00360D99">
              <w:rPr>
                <w:rFonts w:ascii="Times New Roman" w:hAnsi="Times New Roman"/>
              </w:rPr>
              <w:t xml:space="preserve"> and secures the needs of future generations</w:t>
            </w:r>
          </w:p>
          <w:p w14:paraId="6D00E102" w14:textId="77777777" w:rsidR="00360D99" w:rsidRDefault="00360D99" w:rsidP="00FF324C">
            <w:pPr>
              <w:spacing w:after="0" w:line="240" w:lineRule="auto"/>
              <w:jc w:val="both"/>
              <w:rPr>
                <w:rFonts w:ascii="Times New Roman" w:hAnsi="Times New Roman"/>
              </w:rPr>
            </w:pPr>
          </w:p>
          <w:p w14:paraId="7F8E6A12" w14:textId="10C29326" w:rsidR="0094018D" w:rsidRDefault="0094018D" w:rsidP="00555E0D">
            <w:pPr>
              <w:pStyle w:val="ListParagraph"/>
              <w:numPr>
                <w:ilvl w:val="0"/>
                <w:numId w:val="48"/>
              </w:numPr>
              <w:spacing w:after="0" w:line="240" w:lineRule="auto"/>
              <w:jc w:val="both"/>
              <w:rPr>
                <w:rFonts w:ascii="Times New Roman" w:hAnsi="Times New Roman"/>
              </w:rPr>
            </w:pPr>
            <w:r>
              <w:rPr>
                <w:rFonts w:ascii="Times New Roman" w:hAnsi="Times New Roman"/>
              </w:rPr>
              <w:t xml:space="preserve">Improvement of the road and rail safety, through intervention in infrastructure and soft measures implementation, including but not limited to preparation of strategic documents, capacity building of the relevant stakeholders, improvement of the administrative </w:t>
            </w:r>
            <w:r w:rsidR="00E903C7">
              <w:rPr>
                <w:rFonts w:ascii="Times New Roman" w:hAnsi="Times New Roman"/>
              </w:rPr>
              <w:t xml:space="preserve">and operational </w:t>
            </w:r>
            <w:r>
              <w:rPr>
                <w:rFonts w:ascii="Times New Roman" w:hAnsi="Times New Roman"/>
              </w:rPr>
              <w:lastRenderedPageBreak/>
              <w:t>capacities, communication activities and campaigns, surveys, and analysis, etc.</w:t>
            </w:r>
          </w:p>
          <w:p w14:paraId="1588392A" w14:textId="77777777" w:rsidR="0094018D" w:rsidRDefault="0094018D" w:rsidP="00555E0D">
            <w:pPr>
              <w:pStyle w:val="ListParagraph"/>
              <w:numPr>
                <w:ilvl w:val="0"/>
                <w:numId w:val="48"/>
              </w:numPr>
              <w:spacing w:after="0" w:line="240" w:lineRule="auto"/>
              <w:jc w:val="both"/>
              <w:rPr>
                <w:rFonts w:ascii="Times New Roman" w:hAnsi="Times New Roman"/>
              </w:rPr>
            </w:pPr>
            <w:r>
              <w:rPr>
                <w:rFonts w:ascii="Times New Roman" w:hAnsi="Times New Roman"/>
              </w:rPr>
              <w:t xml:space="preserve">Further elevation and advancement of the transport sector integration to the EU transport area with approximation of the legal framework with the EU </w:t>
            </w:r>
            <w:r w:rsidRPr="00555E0D">
              <w:rPr>
                <w:rFonts w:ascii="Times New Roman" w:hAnsi="Times New Roman"/>
                <w:i/>
                <w:iCs/>
              </w:rPr>
              <w:t>acquis</w:t>
            </w:r>
            <w:r>
              <w:rPr>
                <w:rFonts w:ascii="Times New Roman" w:hAnsi="Times New Roman"/>
                <w:i/>
                <w:iCs/>
              </w:rPr>
              <w:t xml:space="preserve"> </w:t>
            </w:r>
            <w:r w:rsidRPr="00555E0D">
              <w:rPr>
                <w:rFonts w:ascii="Times New Roman" w:hAnsi="Times New Roman"/>
              </w:rPr>
              <w:t xml:space="preserve">and </w:t>
            </w:r>
            <w:r w:rsidR="00555E0D">
              <w:rPr>
                <w:rFonts w:ascii="Times New Roman" w:hAnsi="Times New Roman"/>
              </w:rPr>
              <w:t>European standards and increasing transport stakeholder capacity to assume the obligations of an EU membership.</w:t>
            </w:r>
          </w:p>
          <w:p w14:paraId="2605C738" w14:textId="77777777" w:rsidR="00555E0D" w:rsidRDefault="00555E0D" w:rsidP="00555E0D">
            <w:pPr>
              <w:spacing w:after="0" w:line="240" w:lineRule="auto"/>
              <w:jc w:val="both"/>
              <w:rPr>
                <w:rFonts w:ascii="Times New Roman" w:hAnsi="Times New Roman"/>
              </w:rPr>
            </w:pPr>
          </w:p>
          <w:p w14:paraId="46B86358" w14:textId="77777777" w:rsidR="00555E0D" w:rsidRDefault="00555E0D" w:rsidP="00555E0D">
            <w:pPr>
              <w:spacing w:after="0" w:line="240" w:lineRule="auto"/>
              <w:jc w:val="both"/>
              <w:rPr>
                <w:rFonts w:ascii="Times New Roman" w:hAnsi="Times New Roman"/>
              </w:rPr>
            </w:pPr>
            <w:r>
              <w:rPr>
                <w:rFonts w:ascii="Times New Roman" w:hAnsi="Times New Roman"/>
              </w:rPr>
              <w:t>Objective 2.3 To gradually shift towards safe and clean energy</w:t>
            </w:r>
          </w:p>
          <w:p w14:paraId="2AC8030F" w14:textId="77777777" w:rsidR="00555E0D" w:rsidRDefault="00555E0D" w:rsidP="00555E0D">
            <w:pPr>
              <w:spacing w:after="0" w:line="240" w:lineRule="auto"/>
              <w:jc w:val="both"/>
              <w:rPr>
                <w:rFonts w:ascii="Times New Roman" w:hAnsi="Times New Roman"/>
              </w:rPr>
            </w:pPr>
          </w:p>
          <w:p w14:paraId="562A12FE"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 xml:space="preserve">Alignment of the national legislation and policies with the EU </w:t>
            </w:r>
            <w:r w:rsidRPr="00555E0D">
              <w:rPr>
                <w:rFonts w:ascii="Times New Roman" w:eastAsia="Arial Unicode MS" w:hAnsi="Times New Roman"/>
                <w:i/>
              </w:rPr>
              <w:t>acquis</w:t>
            </w:r>
            <w:r w:rsidRPr="00555E0D">
              <w:rPr>
                <w:rFonts w:ascii="Times New Roman" w:eastAsia="Arial Unicode MS" w:hAnsi="Times New Roman"/>
              </w:rPr>
              <w:t>, standards and policies including the liberalisation of the energy market and ensuring connectivity with the European energy market and effectuation of energy services agreements.</w:t>
            </w:r>
          </w:p>
          <w:p w14:paraId="27276B1F"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Improving the sector policy making, based on improved use of data, strong sector policy dialogue and clear monitoring of the progress in the reforms of the energy sector.</w:t>
            </w:r>
          </w:p>
          <w:p w14:paraId="2E455DBA"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Reinforcement of institutional set-up and building of the necessary administrative and regulation capacities including the administrative capacities at local level in the process of entering the data in the electronic tool for monitoring and verification of energy efficiency plans and measures (MVP) as well as the information system.</w:t>
            </w:r>
          </w:p>
          <w:p w14:paraId="36297DC4"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Implementation of energy efficiency measures in public buildings including installation of Photovoltaic (PV) rooftop.</w:t>
            </w:r>
          </w:p>
          <w:p w14:paraId="70CA8FD5"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Introduction and smooth operation of the energy certification in North Macedonia.</w:t>
            </w:r>
          </w:p>
          <w:p w14:paraId="25FCD119"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Investments in renewable energy sources.</w:t>
            </w:r>
          </w:p>
          <w:p w14:paraId="6EEE6327"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Upgrade of the technical capacity of the energy grids to integrate renewable energy sources.</w:t>
            </w:r>
          </w:p>
          <w:p w14:paraId="4A5EBC6A"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 xml:space="preserve">Investments in energy efficiency. </w:t>
            </w:r>
          </w:p>
          <w:p w14:paraId="2F6F020E"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Improvement in the country’s energy mix including gasification as intermediary solution from thermal energy dominated mix to prevailing contribution of the renewable energy sources</w:t>
            </w:r>
            <w:r>
              <w:rPr>
                <w:rFonts w:ascii="Times New Roman" w:eastAsia="Arial Unicode MS" w:hAnsi="Times New Roman"/>
              </w:rPr>
              <w:t>.</w:t>
            </w:r>
          </w:p>
          <w:p w14:paraId="50AE9ADE" w14:textId="77777777" w:rsidR="00555E0D" w:rsidRPr="00555E0D" w:rsidRDefault="00555E0D" w:rsidP="00555E0D">
            <w:pPr>
              <w:numPr>
                <w:ilvl w:val="0"/>
                <w:numId w:val="48"/>
              </w:numPr>
              <w:spacing w:after="0" w:line="240" w:lineRule="auto"/>
              <w:jc w:val="both"/>
              <w:outlineLvl w:val="1"/>
              <w:rPr>
                <w:rFonts w:ascii="Times New Roman" w:eastAsia="Arial Unicode MS" w:hAnsi="Times New Roman"/>
              </w:rPr>
            </w:pPr>
            <w:r w:rsidRPr="00555E0D">
              <w:rPr>
                <w:rFonts w:ascii="Times New Roman" w:eastAsia="Arial Unicode MS" w:hAnsi="Times New Roman"/>
              </w:rPr>
              <w:t>Dealing with energy poverty and protection of vulnerable consumers. Implementation of information campaigns that will raise public awareness about the importance, effects and benefits from energy efficiency and organising trainings for the public entities for fulfilling of their obligations arising from the Energy Efficiency Law.</w:t>
            </w:r>
          </w:p>
          <w:p w14:paraId="557810F0" w14:textId="77777777" w:rsidR="007C5A2B" w:rsidRPr="000F3006" w:rsidRDefault="007C5A2B" w:rsidP="00FF324C">
            <w:pPr>
              <w:spacing w:after="0" w:line="240" w:lineRule="auto"/>
              <w:jc w:val="both"/>
              <w:rPr>
                <w:rFonts w:ascii="Times New Roman" w:hAnsi="Times New Roman"/>
                <w:iCs/>
              </w:rPr>
            </w:pPr>
          </w:p>
        </w:tc>
      </w:tr>
      <w:tr w:rsidR="000F3006" w:rsidRPr="000F3006" w14:paraId="696175E8" w14:textId="77777777" w:rsidTr="00992D7A">
        <w:trPr>
          <w:jc w:val="center"/>
        </w:trPr>
        <w:tc>
          <w:tcPr>
            <w:tcW w:w="534" w:type="dxa"/>
            <w:vMerge/>
            <w:tcBorders>
              <w:left w:val="single" w:sz="4" w:space="0" w:color="auto"/>
              <w:right w:val="single" w:sz="4" w:space="0" w:color="auto"/>
            </w:tcBorders>
          </w:tcPr>
          <w:p w14:paraId="692F435C" w14:textId="77777777" w:rsidR="00D92F6C" w:rsidRPr="000F3006" w:rsidRDefault="00D92F6C" w:rsidP="00476031">
            <w:pPr>
              <w:spacing w:after="0"/>
              <w:rPr>
                <w:rFonts w:ascii="Times New Roman" w:hAnsi="Times New Roma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5381755" w14:textId="77777777" w:rsidR="00D92F6C" w:rsidRPr="000F3006" w:rsidRDefault="00D92F6C" w:rsidP="004878F8">
            <w:pPr>
              <w:spacing w:after="0" w:line="240" w:lineRule="auto"/>
              <w:rPr>
                <w:rFonts w:ascii="Times New Roman" w:hAnsi="Times New Roman"/>
              </w:rPr>
            </w:pPr>
            <w:r w:rsidRPr="000F3006">
              <w:rPr>
                <w:rFonts w:ascii="Times New Roman" w:hAnsi="Times New Roman"/>
              </w:rPr>
              <w:t>Links with national, regional and global strategies</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63E3FBD5" w14:textId="77777777" w:rsidR="00775B89" w:rsidRPr="00CC695B" w:rsidRDefault="00035874" w:rsidP="001A566C">
            <w:pPr>
              <w:spacing w:after="120" w:line="240" w:lineRule="auto"/>
              <w:jc w:val="both"/>
              <w:rPr>
                <w:rFonts w:ascii="Times New Roman" w:hAnsi="Times New Roman"/>
                <w:iCs/>
              </w:rPr>
            </w:pPr>
            <w:r w:rsidRPr="00CC695B">
              <w:rPr>
                <w:rFonts w:ascii="Times New Roman" w:eastAsia="Arial Unicode MS" w:hAnsi="Times New Roman"/>
                <w:lang w:eastAsia="de-DE"/>
              </w:rPr>
              <w:t>The proposed Action is in line with</w:t>
            </w:r>
            <w:r w:rsidR="00DD5E5F" w:rsidRPr="00CC695B">
              <w:rPr>
                <w:rFonts w:ascii="Times New Roman" w:eastAsia="Arial Unicode MS" w:hAnsi="Times New Roman"/>
                <w:lang w:eastAsia="de-DE"/>
              </w:rPr>
              <w:t xml:space="preserve"> the following</w:t>
            </w:r>
            <w:r w:rsidRPr="00CC695B">
              <w:rPr>
                <w:rFonts w:ascii="Times New Roman" w:eastAsia="Arial Unicode MS" w:hAnsi="Times New Roman"/>
                <w:lang w:eastAsia="de-DE"/>
              </w:rPr>
              <w:t xml:space="preserve"> </w:t>
            </w:r>
            <w:r w:rsidR="009F0D61" w:rsidRPr="00CC695B">
              <w:rPr>
                <w:rFonts w:ascii="Times New Roman" w:eastAsia="Arial Unicode MS" w:hAnsi="Times New Roman"/>
                <w:lang w:eastAsia="de-DE"/>
              </w:rPr>
              <w:t xml:space="preserve">global, </w:t>
            </w:r>
            <w:r w:rsidR="00E2129C" w:rsidRPr="00CC695B">
              <w:rPr>
                <w:rFonts w:ascii="Times New Roman" w:eastAsia="Arial Unicode MS" w:hAnsi="Times New Roman"/>
                <w:lang w:eastAsia="de-DE"/>
              </w:rPr>
              <w:t>regional,</w:t>
            </w:r>
            <w:r w:rsidR="009F0D61" w:rsidRPr="00CC695B">
              <w:rPr>
                <w:rFonts w:ascii="Times New Roman" w:eastAsia="Arial Unicode MS" w:hAnsi="Times New Roman"/>
                <w:lang w:eastAsia="de-DE"/>
              </w:rPr>
              <w:t xml:space="preserve"> and national </w:t>
            </w:r>
            <w:r w:rsidR="00793149" w:rsidRPr="00CC695B">
              <w:rPr>
                <w:rFonts w:ascii="Times New Roman" w:eastAsia="Arial Unicode MS" w:hAnsi="Times New Roman"/>
                <w:lang w:eastAsia="de-DE"/>
              </w:rPr>
              <w:t>strategies</w:t>
            </w:r>
            <w:r w:rsidR="00DF465F" w:rsidRPr="00CC695B">
              <w:rPr>
                <w:rFonts w:ascii="Times New Roman" w:eastAsia="Arial Unicode MS" w:hAnsi="Times New Roman"/>
                <w:lang w:eastAsia="de-DE"/>
              </w:rPr>
              <w:t>:</w:t>
            </w:r>
          </w:p>
          <w:p w14:paraId="3C41000F" w14:textId="77777777" w:rsidR="00B36CD2" w:rsidRPr="00B36CD2" w:rsidRDefault="00A050F0" w:rsidP="00CC695B">
            <w:pPr>
              <w:pStyle w:val="ListParagraph"/>
              <w:numPr>
                <w:ilvl w:val="0"/>
                <w:numId w:val="48"/>
              </w:numPr>
              <w:spacing w:after="0" w:line="240" w:lineRule="auto"/>
              <w:jc w:val="both"/>
              <w:rPr>
                <w:rFonts w:ascii="Times New Roman" w:hAnsi="Times New Roman"/>
                <w:iCs/>
              </w:rPr>
            </w:pPr>
            <w:r w:rsidRPr="000F3006">
              <w:rPr>
                <w:rFonts w:ascii="Times New Roman" w:hAnsi="Times New Roman"/>
              </w:rPr>
              <w:t>The</w:t>
            </w:r>
            <w:r w:rsidR="0013582C" w:rsidRPr="000F3006">
              <w:rPr>
                <w:rFonts w:ascii="Times New Roman" w:hAnsi="Times New Roman"/>
              </w:rPr>
              <w:t xml:space="preserve"> objectives of </w:t>
            </w:r>
            <w:r w:rsidR="0013582C" w:rsidRPr="000F3006">
              <w:rPr>
                <w:rFonts w:ascii="Times New Roman" w:hAnsi="Times New Roman"/>
                <w:b/>
                <w:bCs/>
              </w:rPr>
              <w:t>United Nation’s 2030</w:t>
            </w:r>
            <w:r w:rsidR="0013582C" w:rsidRPr="000F3006">
              <w:rPr>
                <w:rFonts w:ascii="Times New Roman" w:hAnsi="Times New Roman"/>
                <w:b/>
              </w:rPr>
              <w:t xml:space="preserve"> Agenda for Sustainable Development</w:t>
            </w:r>
            <w:r w:rsidR="00EA1C2E" w:rsidRPr="000F3006">
              <w:rPr>
                <w:rFonts w:ascii="Times New Roman" w:hAnsi="Times New Roman"/>
              </w:rPr>
              <w:t>,</w:t>
            </w:r>
            <w:r w:rsidR="0013582C" w:rsidRPr="000F3006">
              <w:rPr>
                <w:rFonts w:ascii="Times New Roman" w:hAnsi="Times New Roman"/>
              </w:rPr>
              <w:t xml:space="preserve"> more specifically, the </w:t>
            </w:r>
            <w:r w:rsidR="00B25866" w:rsidRPr="000F3006">
              <w:rPr>
                <w:rFonts w:ascii="Times New Roman" w:hAnsi="Times New Roman"/>
              </w:rPr>
              <w:t>A</w:t>
            </w:r>
            <w:r w:rsidR="0013582C" w:rsidRPr="000F3006">
              <w:rPr>
                <w:rFonts w:ascii="Times New Roman" w:hAnsi="Times New Roman"/>
              </w:rPr>
              <w:t xml:space="preserve">ction contributes to </w:t>
            </w:r>
            <w:r w:rsidR="008F779E" w:rsidRPr="000F3006">
              <w:rPr>
                <w:rFonts w:ascii="Times New Roman" w:hAnsi="Times New Roman"/>
              </w:rPr>
              <w:t>the</w:t>
            </w:r>
            <w:r w:rsidR="00B36CD2">
              <w:rPr>
                <w:rFonts w:ascii="Times New Roman" w:hAnsi="Times New Roman"/>
              </w:rPr>
              <w:t xml:space="preserve"> following:</w:t>
            </w:r>
          </w:p>
          <w:p w14:paraId="24AC0596" w14:textId="77777777" w:rsidR="00B36CD2" w:rsidRDefault="00B36CD2" w:rsidP="004330D3">
            <w:pPr>
              <w:pStyle w:val="ListParagraph"/>
              <w:spacing w:after="0" w:line="240" w:lineRule="auto"/>
              <w:ind w:left="360"/>
              <w:jc w:val="both"/>
              <w:rPr>
                <w:rFonts w:ascii="Times New Roman" w:hAnsi="Times New Roman"/>
              </w:rPr>
            </w:pPr>
          </w:p>
          <w:p w14:paraId="765EFF90" w14:textId="77777777" w:rsidR="00B36CD2" w:rsidRPr="00B36CD2" w:rsidRDefault="008F779E" w:rsidP="00CC695B">
            <w:pPr>
              <w:pStyle w:val="ListParagraph"/>
              <w:numPr>
                <w:ilvl w:val="0"/>
                <w:numId w:val="73"/>
              </w:numPr>
              <w:spacing w:after="0" w:line="240" w:lineRule="auto"/>
              <w:jc w:val="both"/>
              <w:rPr>
                <w:rFonts w:ascii="Times New Roman" w:hAnsi="Times New Roman"/>
                <w:iCs/>
              </w:rPr>
            </w:pPr>
            <w:r w:rsidRPr="000F3006">
              <w:rPr>
                <w:rFonts w:ascii="Times New Roman" w:hAnsi="Times New Roman"/>
                <w:b/>
              </w:rPr>
              <w:t>Goal</w:t>
            </w:r>
            <w:r w:rsidR="0013582C" w:rsidRPr="000F3006">
              <w:rPr>
                <w:rFonts w:ascii="Times New Roman" w:hAnsi="Times New Roman"/>
                <w:iCs/>
              </w:rPr>
              <w:t xml:space="preserve"> </w:t>
            </w:r>
            <w:r w:rsidR="00775B89">
              <w:rPr>
                <w:rFonts w:ascii="Times New Roman" w:hAnsi="Times New Roman"/>
                <w:b/>
                <w:bCs/>
                <w:iCs/>
              </w:rPr>
              <w:t>7</w:t>
            </w:r>
            <w:r w:rsidR="0013582C" w:rsidRPr="000F3006">
              <w:rPr>
                <w:rFonts w:ascii="Times New Roman" w:hAnsi="Times New Roman"/>
                <w:b/>
                <w:bCs/>
                <w:iCs/>
              </w:rPr>
              <w:t xml:space="preserve">. </w:t>
            </w:r>
            <w:r w:rsidR="001727F0" w:rsidRPr="00853571">
              <w:rPr>
                <w:rFonts w:ascii="Times New Roman" w:hAnsi="Times New Roman"/>
                <w:iCs/>
              </w:rPr>
              <w:t xml:space="preserve">Ensure access to affordable, reliable, </w:t>
            </w:r>
            <w:r w:rsidR="00993FF6" w:rsidRPr="00853571">
              <w:rPr>
                <w:rFonts w:ascii="Times New Roman" w:hAnsi="Times New Roman"/>
                <w:iCs/>
              </w:rPr>
              <w:t>sustainable,</w:t>
            </w:r>
            <w:r w:rsidR="001727F0" w:rsidRPr="00853571">
              <w:rPr>
                <w:rFonts w:ascii="Times New Roman" w:hAnsi="Times New Roman"/>
                <w:iCs/>
              </w:rPr>
              <w:t xml:space="preserve"> and modern energy for all. </w:t>
            </w:r>
            <w:r w:rsidR="00775B89" w:rsidRPr="00853571">
              <w:rPr>
                <w:rFonts w:ascii="Times New Roman" w:hAnsi="Times New Roman"/>
                <w:iCs/>
              </w:rPr>
              <w:t xml:space="preserve">Affordable and clean </w:t>
            </w:r>
            <w:r w:rsidR="00B36CD2" w:rsidRPr="00853571">
              <w:rPr>
                <w:rFonts w:ascii="Times New Roman" w:hAnsi="Times New Roman"/>
                <w:iCs/>
              </w:rPr>
              <w:t>energy,</w:t>
            </w:r>
            <w:r w:rsidRPr="000F3006">
              <w:rPr>
                <w:rFonts w:ascii="Times New Roman" w:hAnsi="Times New Roman"/>
                <w:bCs/>
                <w:iCs/>
              </w:rPr>
              <w:t xml:space="preserve"> </w:t>
            </w:r>
          </w:p>
          <w:p w14:paraId="357F40BB" w14:textId="77777777" w:rsidR="00B36CD2" w:rsidRPr="00E55B10" w:rsidRDefault="00B36CD2" w:rsidP="00CC695B">
            <w:pPr>
              <w:pStyle w:val="ListParagraph"/>
              <w:numPr>
                <w:ilvl w:val="0"/>
                <w:numId w:val="73"/>
              </w:numPr>
              <w:spacing w:after="0" w:line="240" w:lineRule="auto"/>
              <w:jc w:val="both"/>
              <w:rPr>
                <w:rFonts w:ascii="Times New Roman" w:hAnsi="Times New Roman"/>
                <w:iCs/>
              </w:rPr>
            </w:pPr>
            <w:r w:rsidRPr="00853571">
              <w:rPr>
                <w:rFonts w:ascii="Times New Roman" w:hAnsi="Times New Roman"/>
                <w:b/>
                <w:iCs/>
              </w:rPr>
              <w:t xml:space="preserve">Goal 13. </w:t>
            </w:r>
            <w:r w:rsidRPr="00B36CD2">
              <w:rPr>
                <w:rFonts w:ascii="Times New Roman" w:hAnsi="Times New Roman"/>
                <w:bCs/>
                <w:iCs/>
              </w:rPr>
              <w:t xml:space="preserve">Take urgent action to combat climate change and its impacts. </w:t>
            </w:r>
            <w:r w:rsidR="00E55B10">
              <w:rPr>
                <w:rFonts w:ascii="Times New Roman" w:hAnsi="Times New Roman"/>
                <w:bCs/>
                <w:iCs/>
              </w:rPr>
              <w:t xml:space="preserve">Target 13.1 Strengthen resilience and adaptive capacity to climate-related hazards and natural disasters in all countries; Target 13.2 Integrate climate change measures into national policies, </w:t>
            </w:r>
            <w:r w:rsidR="00993FF6">
              <w:rPr>
                <w:rFonts w:ascii="Times New Roman" w:hAnsi="Times New Roman"/>
                <w:bCs/>
                <w:iCs/>
              </w:rPr>
              <w:t>strategies,</w:t>
            </w:r>
            <w:r w:rsidR="00E55B10">
              <w:rPr>
                <w:rFonts w:ascii="Times New Roman" w:hAnsi="Times New Roman"/>
                <w:bCs/>
                <w:iCs/>
              </w:rPr>
              <w:t xml:space="preserve"> and planning; and Target 13.3 Improve education, awareness-raising and human and institutional capacity on climate change mitigation.</w:t>
            </w:r>
          </w:p>
          <w:p w14:paraId="6DE324DE" w14:textId="77777777" w:rsidR="00B36CD2" w:rsidRDefault="00B36CD2" w:rsidP="00CC695B">
            <w:pPr>
              <w:pStyle w:val="ListParagraph"/>
              <w:numPr>
                <w:ilvl w:val="0"/>
                <w:numId w:val="73"/>
              </w:numPr>
              <w:spacing w:after="0" w:line="240" w:lineRule="auto"/>
              <w:jc w:val="both"/>
              <w:rPr>
                <w:rFonts w:ascii="Times New Roman" w:hAnsi="Times New Roman"/>
                <w:iCs/>
              </w:rPr>
            </w:pPr>
            <w:r w:rsidRPr="00853571">
              <w:rPr>
                <w:rFonts w:ascii="Times New Roman" w:hAnsi="Times New Roman"/>
                <w:b/>
                <w:bCs/>
                <w:iCs/>
              </w:rPr>
              <w:lastRenderedPageBreak/>
              <w:t xml:space="preserve">Goal </w:t>
            </w:r>
            <w:r w:rsidR="00C4626E" w:rsidRPr="00853571">
              <w:rPr>
                <w:rFonts w:ascii="Times New Roman" w:hAnsi="Times New Roman"/>
                <w:b/>
                <w:bCs/>
                <w:iCs/>
              </w:rPr>
              <w:t>9</w:t>
            </w:r>
            <w:r w:rsidR="00C4626E">
              <w:rPr>
                <w:rFonts w:ascii="Times New Roman" w:hAnsi="Times New Roman"/>
                <w:iCs/>
              </w:rPr>
              <w:t>. Build resilient infrastructure, promote inclusive and sustainable industrialisation and foster innovation.</w:t>
            </w:r>
          </w:p>
          <w:p w14:paraId="3E0A37CF" w14:textId="77777777" w:rsidR="005B3675" w:rsidRDefault="00C4626E" w:rsidP="00CC695B">
            <w:pPr>
              <w:pStyle w:val="ListParagraph"/>
              <w:numPr>
                <w:ilvl w:val="0"/>
                <w:numId w:val="73"/>
              </w:numPr>
              <w:spacing w:after="0" w:line="240" w:lineRule="auto"/>
              <w:jc w:val="both"/>
              <w:rPr>
                <w:rFonts w:ascii="Times New Roman" w:hAnsi="Times New Roman"/>
                <w:iCs/>
              </w:rPr>
            </w:pPr>
            <w:r>
              <w:rPr>
                <w:rFonts w:ascii="Times New Roman" w:hAnsi="Times New Roman"/>
                <w:b/>
                <w:bCs/>
                <w:iCs/>
              </w:rPr>
              <w:t>Goal 11</w:t>
            </w:r>
            <w:r w:rsidRPr="00853571">
              <w:rPr>
                <w:rFonts w:ascii="Times New Roman" w:hAnsi="Times New Roman"/>
                <w:iCs/>
              </w:rPr>
              <w:t>.</w:t>
            </w:r>
            <w:r>
              <w:rPr>
                <w:rFonts w:ascii="Times New Roman" w:hAnsi="Times New Roman"/>
                <w:iCs/>
              </w:rPr>
              <w:t xml:space="preserve"> Make cities and human settlements inclusive, safe, resilient, and sustainable. Target 11.2 Provide access to safe, affordable, accessible and sustainable transport systems for all, improving road safety, notably</w:t>
            </w:r>
            <w:r w:rsidR="00E90FD8">
              <w:rPr>
                <w:rFonts w:ascii="Times New Roman" w:hAnsi="Times New Roman"/>
                <w:iCs/>
              </w:rPr>
              <w:t xml:space="preserve"> by</w:t>
            </w:r>
            <w:r>
              <w:rPr>
                <w:rFonts w:ascii="Times New Roman" w:hAnsi="Times New Roman"/>
                <w:iCs/>
              </w:rPr>
              <w:t xml:space="preserve"> expanding</w:t>
            </w:r>
            <w:r w:rsidR="00E90FD8">
              <w:rPr>
                <w:rFonts w:ascii="Times New Roman" w:hAnsi="Times New Roman"/>
                <w:iCs/>
              </w:rPr>
              <w:t xml:space="preserve"> public transport, with attention to the needs of those in vulnerable situations, women, children, persons with disabilities and older persons.</w:t>
            </w:r>
          </w:p>
          <w:p w14:paraId="290BCE0D" w14:textId="77777777" w:rsidR="005B3675" w:rsidRPr="005B3675" w:rsidRDefault="005B3675" w:rsidP="004330D3">
            <w:pPr>
              <w:pStyle w:val="ListParagraph"/>
              <w:spacing w:after="0" w:line="240" w:lineRule="auto"/>
              <w:ind w:left="1080"/>
              <w:jc w:val="both"/>
              <w:rPr>
                <w:rFonts w:ascii="Times New Roman" w:hAnsi="Times New Roman"/>
                <w:iCs/>
              </w:rPr>
            </w:pPr>
          </w:p>
          <w:p w14:paraId="044C2D5B" w14:textId="42C9C970" w:rsidR="005B3675" w:rsidRPr="00B60779" w:rsidRDefault="005B3675" w:rsidP="001A566C">
            <w:pPr>
              <w:pStyle w:val="ListParagraph"/>
              <w:numPr>
                <w:ilvl w:val="0"/>
                <w:numId w:val="48"/>
              </w:numPr>
              <w:spacing w:after="0" w:line="240" w:lineRule="auto"/>
              <w:jc w:val="both"/>
              <w:rPr>
                <w:rFonts w:ascii="Times New Roman" w:hAnsi="Times New Roman"/>
                <w:b/>
                <w:bCs/>
                <w:lang w:val="en-US"/>
              </w:rPr>
            </w:pPr>
            <w:r w:rsidRPr="00B60779">
              <w:rPr>
                <w:rFonts w:ascii="Times New Roman" w:hAnsi="Times New Roman"/>
                <w:b/>
                <w:bCs/>
                <w:lang w:val="en-US"/>
              </w:rPr>
              <w:t>Sendai Framework for Disaster Risk Reduction (2015-2030)</w:t>
            </w:r>
            <w:r w:rsidRPr="00B60779">
              <w:rPr>
                <w:rFonts w:ascii="Times New Roman" w:hAnsi="Times New Roman"/>
              </w:rPr>
              <w:t>. The Sendai Framework for Disaster Risk Reduction 2015-2030 was adopted at the Third UN World Conference in Sendai, Japan, on March 18, 2015. The Sendai Framework articulates the following: the need for improved understanding of disaster risk in all its dimensions of exposure, vulnerability and hazard characteristics; the strengthening of disaster risk governance, including national platforms; accountability for disaster risk management; preparedness to “Build Back Better”; recognition of stakeholders and their roles; mobilisation of risk-sensitive investment to avoid the creation of new risk; resilience of health infrastructure, cultural heritage and work-places; strengthening of international cooperation and global partnership, and risk-informed donor policies and programs, including financial support and loans from international financial institutions.</w:t>
            </w:r>
            <w:r w:rsidR="00B60779" w:rsidRPr="00B60779">
              <w:rPr>
                <w:rFonts w:ascii="Times New Roman" w:hAnsi="Times New Roman"/>
              </w:rPr>
              <w:t xml:space="preserve"> </w:t>
            </w:r>
            <w:r w:rsidRPr="00B60779">
              <w:rPr>
                <w:rFonts w:ascii="Times New Roman" w:hAnsi="Times New Roman"/>
              </w:rPr>
              <w:t>There is also a clear recognition of the Global Platform for Disaster Risk Reduction and the regional platforms for disaster risk reduction as mechanisms for coherence across agendas, monitoring and periodic reviews supporting UN Governance bodies.</w:t>
            </w:r>
          </w:p>
          <w:p w14:paraId="7974BBD2" w14:textId="77777777" w:rsidR="00B36CD2" w:rsidRPr="005B3675" w:rsidRDefault="00B36CD2" w:rsidP="004330D3">
            <w:pPr>
              <w:pStyle w:val="ListParagraph"/>
              <w:spacing w:after="0" w:line="240" w:lineRule="auto"/>
              <w:ind w:left="360"/>
              <w:jc w:val="both"/>
              <w:rPr>
                <w:rFonts w:ascii="Times New Roman" w:hAnsi="Times New Roman"/>
                <w:iCs/>
              </w:rPr>
            </w:pPr>
          </w:p>
          <w:p w14:paraId="0E56573C" w14:textId="77777777" w:rsidR="00E46221" w:rsidRDefault="00E46221" w:rsidP="001A566C">
            <w:pPr>
              <w:pStyle w:val="ListParagraph"/>
              <w:numPr>
                <w:ilvl w:val="0"/>
                <w:numId w:val="48"/>
              </w:numPr>
              <w:spacing w:after="0" w:line="240" w:lineRule="auto"/>
              <w:jc w:val="both"/>
              <w:rPr>
                <w:rFonts w:ascii="Times New Roman" w:hAnsi="Times New Roman"/>
                <w:iCs/>
              </w:rPr>
            </w:pPr>
            <w:r w:rsidRPr="000F3006">
              <w:rPr>
                <w:rFonts w:ascii="Times New Roman" w:hAnsi="Times New Roman"/>
                <w:iCs/>
              </w:rPr>
              <w:t xml:space="preserve">The </w:t>
            </w:r>
            <w:r w:rsidR="00557153" w:rsidRPr="000F3006">
              <w:rPr>
                <w:rFonts w:ascii="Times New Roman" w:hAnsi="Times New Roman"/>
                <w:b/>
                <w:iCs/>
              </w:rPr>
              <w:t>Southeast</w:t>
            </w:r>
            <w:r w:rsidRPr="000F3006">
              <w:rPr>
                <w:rFonts w:ascii="Times New Roman" w:hAnsi="Times New Roman"/>
                <w:b/>
                <w:iCs/>
              </w:rPr>
              <w:t xml:space="preserve"> Europe</w:t>
            </w:r>
            <w:r w:rsidR="00FD43F6" w:rsidRPr="000F3006">
              <w:rPr>
                <w:rFonts w:ascii="Times New Roman" w:hAnsi="Times New Roman"/>
                <w:b/>
                <w:iCs/>
              </w:rPr>
              <w:t xml:space="preserve"> (SEE)</w:t>
            </w:r>
            <w:r w:rsidRPr="000F3006">
              <w:rPr>
                <w:rFonts w:ascii="Times New Roman" w:hAnsi="Times New Roman"/>
                <w:b/>
                <w:iCs/>
              </w:rPr>
              <w:t xml:space="preserve"> 2030 Strategy</w:t>
            </w:r>
            <w:r w:rsidR="00254B95" w:rsidRPr="000F3006">
              <w:rPr>
                <w:rFonts w:ascii="Times New Roman" w:hAnsi="Times New Roman"/>
                <w:b/>
                <w:iCs/>
              </w:rPr>
              <w:t xml:space="preserve"> </w:t>
            </w:r>
            <w:r w:rsidR="00254B95" w:rsidRPr="000F3006">
              <w:rPr>
                <w:rFonts w:ascii="Times New Roman" w:hAnsi="Times New Roman"/>
                <w:iCs/>
              </w:rPr>
              <w:t>whose objective is to reach regionally sustainable economic growth shared by all. The Strategy aims to reduce poverty and inequality, empower women, improve social inclusion, decelerate depopulation of the region through enhancing the quality of life for its citizens and speed up the green agenda and digital transition, without widening socio-economic inequalities and disrupting competitiveness and private sector development, through a genuinely regionally owned political process.</w:t>
            </w:r>
            <w:r w:rsidR="00FD43F6" w:rsidRPr="000F3006">
              <w:rPr>
                <w:rFonts w:ascii="Times New Roman" w:hAnsi="Times New Roman"/>
                <w:iCs/>
              </w:rPr>
              <w:t xml:space="preserve"> The SEE establishes, among others, priority </w:t>
            </w:r>
            <w:r w:rsidR="00006763">
              <w:rPr>
                <w:rFonts w:ascii="Times New Roman" w:hAnsi="Times New Roman"/>
                <w:iCs/>
              </w:rPr>
              <w:t>1</w:t>
            </w:r>
            <w:r w:rsidR="00FD43F6" w:rsidRPr="000F3006">
              <w:rPr>
                <w:rFonts w:ascii="Times New Roman" w:hAnsi="Times New Roman"/>
                <w:iCs/>
              </w:rPr>
              <w:t xml:space="preserve">: </w:t>
            </w:r>
            <w:r w:rsidR="00006763">
              <w:rPr>
                <w:rFonts w:ascii="Times New Roman" w:hAnsi="Times New Roman"/>
                <w:iCs/>
              </w:rPr>
              <w:t>Promoting economic growth through trade creation, sustainable and responsible tourism and enhancing transport connectivity; priority 2: Promoting investment, research and innovation in renewable energy to increase the share of carbon free energy supply and improve energy efficiency; and 3. Enhancing capacity to improve detection and risk reduction of natural disasters to minimise their impact on economic growth.</w:t>
            </w:r>
          </w:p>
          <w:p w14:paraId="215D5AA9" w14:textId="77777777" w:rsidR="006E38FA" w:rsidRPr="00853571" w:rsidRDefault="00AE1D5B" w:rsidP="001A566C">
            <w:pPr>
              <w:pStyle w:val="Heading2"/>
              <w:numPr>
                <w:ilvl w:val="0"/>
                <w:numId w:val="48"/>
              </w:numPr>
              <w:spacing w:line="240" w:lineRule="auto"/>
              <w:jc w:val="both"/>
              <w:rPr>
                <w:rFonts w:ascii="Times New Roman" w:hAnsi="Times New Roman"/>
                <w:b w:val="0"/>
                <w:bCs w:val="0"/>
                <w:iCs/>
                <w:color w:val="000000" w:themeColor="text1"/>
                <w:sz w:val="22"/>
                <w:szCs w:val="22"/>
              </w:rPr>
            </w:pPr>
            <w:r w:rsidRPr="00853571">
              <w:rPr>
                <w:rFonts w:ascii="Times New Roman" w:hAnsi="Times New Roman"/>
                <w:b w:val="0"/>
                <w:bCs w:val="0"/>
                <w:iCs/>
                <w:color w:val="000000" w:themeColor="text1"/>
                <w:sz w:val="22"/>
                <w:szCs w:val="22"/>
              </w:rPr>
              <w:lastRenderedPageBreak/>
              <w:t xml:space="preserve">The </w:t>
            </w:r>
            <w:r w:rsidRPr="00853571">
              <w:rPr>
                <w:rFonts w:ascii="Times New Roman" w:hAnsi="Times New Roman"/>
                <w:iCs/>
                <w:color w:val="000000" w:themeColor="text1"/>
                <w:sz w:val="22"/>
                <w:szCs w:val="22"/>
              </w:rPr>
              <w:t>Strategy for Energy Development of North Macedonia until 20</w:t>
            </w:r>
            <w:r w:rsidR="00A83B5F" w:rsidRPr="00853571">
              <w:rPr>
                <w:rFonts w:ascii="Times New Roman" w:hAnsi="Times New Roman"/>
                <w:iCs/>
                <w:color w:val="000000" w:themeColor="text1"/>
                <w:sz w:val="22"/>
                <w:szCs w:val="22"/>
              </w:rPr>
              <w:t>40</w:t>
            </w:r>
            <w:r w:rsidRPr="00853571">
              <w:rPr>
                <w:rFonts w:ascii="Times New Roman" w:hAnsi="Times New Roman"/>
                <w:iCs/>
                <w:color w:val="000000" w:themeColor="text1"/>
                <w:sz w:val="22"/>
                <w:szCs w:val="22"/>
              </w:rPr>
              <w:t>.</w:t>
            </w:r>
            <w:r w:rsidRPr="00853571">
              <w:rPr>
                <w:rFonts w:ascii="Times New Roman" w:hAnsi="Times New Roman"/>
                <w:b w:val="0"/>
                <w:bCs w:val="0"/>
                <w:iCs/>
                <w:color w:val="000000" w:themeColor="text1"/>
                <w:sz w:val="22"/>
                <w:szCs w:val="22"/>
              </w:rPr>
              <w:t xml:space="preserve"> The Strategy provides the directions for development of the energy sector in the country, </w:t>
            </w:r>
            <w:r w:rsidR="002A726F" w:rsidRPr="00853571">
              <w:rPr>
                <w:rFonts w:ascii="Times New Roman" w:hAnsi="Times New Roman"/>
                <w:b w:val="0"/>
                <w:bCs w:val="0"/>
                <w:iCs/>
                <w:color w:val="000000" w:themeColor="text1"/>
                <w:sz w:val="22"/>
                <w:szCs w:val="22"/>
              </w:rPr>
              <w:t>considering</w:t>
            </w:r>
            <w:r w:rsidRPr="00853571">
              <w:rPr>
                <w:rFonts w:ascii="Times New Roman" w:hAnsi="Times New Roman"/>
                <w:b w:val="0"/>
                <w:bCs w:val="0"/>
                <w:iCs/>
                <w:color w:val="000000" w:themeColor="text1"/>
                <w:sz w:val="22"/>
                <w:szCs w:val="22"/>
              </w:rPr>
              <w:t xml:space="preserve"> the energy policy trends at global</w:t>
            </w:r>
            <w:r w:rsidR="002A726F" w:rsidRPr="00853571">
              <w:rPr>
                <w:rFonts w:ascii="Times New Roman" w:hAnsi="Times New Roman"/>
                <w:b w:val="0"/>
                <w:bCs w:val="0"/>
                <w:iCs/>
                <w:color w:val="000000" w:themeColor="text1"/>
                <w:sz w:val="22"/>
                <w:szCs w:val="22"/>
              </w:rPr>
              <w:t xml:space="preserve"> and European level, and particularly in the framework of the Energy Community. Energy trends are emphasizing more ambitious transition towards low-carbon economy, with renewable energy sources (RES) and energy efficiency (EE) among the most important enablers transition. The Strategy follows good practices of EU RES and EE policies, as well as decarbonisation, taking into account targets and trajectories with realistic dynamics that are adjusted to domestic specifics and priorities of the Government.</w:t>
            </w:r>
          </w:p>
          <w:p w14:paraId="156BD246" w14:textId="77777777" w:rsidR="006E38FA" w:rsidRPr="00FC7F04" w:rsidRDefault="006E38FA" w:rsidP="001A566C">
            <w:pPr>
              <w:pStyle w:val="ListParagraph"/>
              <w:numPr>
                <w:ilvl w:val="0"/>
                <w:numId w:val="48"/>
              </w:numPr>
              <w:spacing w:before="120" w:after="0" w:line="240" w:lineRule="auto"/>
              <w:contextualSpacing w:val="0"/>
              <w:jc w:val="both"/>
              <w:rPr>
                <w:rFonts w:ascii="Times New Roman" w:hAnsi="Times New Roman"/>
                <w:lang w:val="en-US" w:eastAsia="es-ES_tradnl"/>
              </w:rPr>
            </w:pPr>
            <w:r w:rsidRPr="00FC7F04">
              <w:rPr>
                <w:rFonts w:ascii="Times New Roman" w:hAnsi="Times New Roman"/>
              </w:rPr>
              <w:t>The</w:t>
            </w:r>
            <w:r w:rsidRPr="006E38FA">
              <w:rPr>
                <w:rFonts w:ascii="Times New Roman" w:hAnsi="Times New Roman"/>
                <w:b/>
                <w:bCs/>
              </w:rPr>
              <w:t xml:space="preserve"> </w:t>
            </w:r>
            <w:r w:rsidRPr="00FC7F04">
              <w:rPr>
                <w:rFonts w:ascii="Times New Roman" w:hAnsi="Times New Roman"/>
                <w:b/>
                <w:bCs/>
              </w:rPr>
              <w:t>National Energy Efficiency Action Plan 2019-2022</w:t>
            </w:r>
            <w:r w:rsidRPr="006E38FA">
              <w:rPr>
                <w:rFonts w:ascii="Times New Roman" w:hAnsi="Times New Roman"/>
                <w:bCs/>
              </w:rPr>
              <w:t>.</w:t>
            </w:r>
            <w:r w:rsidRPr="006E38FA">
              <w:rPr>
                <w:rFonts w:ascii="Times New Roman" w:hAnsi="Times New Roman"/>
              </w:rPr>
              <w:t xml:space="preserve"> Macedonia has signed the Treaty for establishing the Energy Community and as a result has undertaken several commitments, which refer to the harmonization of national legislation in the field of energy and environment with EU legislation. One of the commitments is to prepare a National Energy Efficiency Action Plan (NEEAP) which should report on the measures that have been implemented in the previous three years, but also to propose measures to reduce consumption in the period from the next three years. Having in mind that the data collection process for the preparation of the Action plan started in 2019 and the development of the document continued in 2020, as well as the situation with Covid-19, this Action plan covers the period from 2016-2019, and measures for 2020, 2021 and 2022 are proposed. </w:t>
            </w:r>
          </w:p>
          <w:p w14:paraId="646E88D7" w14:textId="77777777" w:rsidR="0075286B" w:rsidRPr="00853571" w:rsidRDefault="00AA5BC7" w:rsidP="001A566C">
            <w:pPr>
              <w:pStyle w:val="Heading2"/>
              <w:numPr>
                <w:ilvl w:val="0"/>
                <w:numId w:val="48"/>
              </w:numPr>
              <w:spacing w:before="120" w:line="240" w:lineRule="auto"/>
              <w:jc w:val="both"/>
              <w:rPr>
                <w:rFonts w:ascii="Times New Roman" w:hAnsi="Times New Roman"/>
                <w:b w:val="0"/>
                <w:bCs w:val="0"/>
                <w:color w:val="000000" w:themeColor="text1"/>
                <w:sz w:val="22"/>
                <w:szCs w:val="22"/>
              </w:rPr>
            </w:pPr>
            <w:r w:rsidRPr="00853571">
              <w:rPr>
                <w:rFonts w:ascii="Times New Roman" w:hAnsi="Times New Roman"/>
                <w:b w:val="0"/>
                <w:bCs w:val="0"/>
                <w:color w:val="000000" w:themeColor="text1"/>
                <w:sz w:val="22"/>
                <w:szCs w:val="22"/>
              </w:rPr>
              <w:t xml:space="preserve">The </w:t>
            </w:r>
            <w:r w:rsidRPr="00853571">
              <w:rPr>
                <w:rFonts w:ascii="Times New Roman" w:hAnsi="Times New Roman"/>
                <w:color w:val="000000" w:themeColor="text1"/>
                <w:sz w:val="22"/>
                <w:szCs w:val="22"/>
              </w:rPr>
              <w:t xml:space="preserve">National Energy and Climate Plan 2021-2030. </w:t>
            </w:r>
            <w:r w:rsidRPr="00853571">
              <w:rPr>
                <w:rFonts w:ascii="Times New Roman" w:hAnsi="Times New Roman"/>
                <w:b w:val="0"/>
                <w:bCs w:val="0"/>
                <w:color w:val="000000" w:themeColor="text1"/>
                <w:sz w:val="22"/>
                <w:szCs w:val="22"/>
              </w:rPr>
              <w:t>The NECP takes a holistic approach and address the five main dimensions of the Energy Union in an integrated way recognising the interactions between the different dimensions</w:t>
            </w:r>
            <w:r w:rsidR="00A83B5F" w:rsidRPr="00853571">
              <w:rPr>
                <w:rFonts w:ascii="Times New Roman" w:hAnsi="Times New Roman"/>
                <w:b w:val="0"/>
                <w:bCs w:val="0"/>
                <w:color w:val="000000" w:themeColor="text1"/>
                <w:sz w:val="22"/>
                <w:szCs w:val="22"/>
              </w:rPr>
              <w:t xml:space="preserve">: decarbonisation (addressing two segments: greenhouse gas emissions and renewable energy sources), energy efficiency, security of energy supply, internal energy market, and research, </w:t>
            </w:r>
            <w:r w:rsidR="00982F95" w:rsidRPr="00853571">
              <w:rPr>
                <w:rFonts w:ascii="Times New Roman" w:hAnsi="Times New Roman"/>
                <w:b w:val="0"/>
                <w:bCs w:val="0"/>
                <w:color w:val="000000" w:themeColor="text1"/>
                <w:sz w:val="22"/>
                <w:szCs w:val="22"/>
              </w:rPr>
              <w:t>innovation,</w:t>
            </w:r>
            <w:r w:rsidR="00A83B5F" w:rsidRPr="00853571">
              <w:rPr>
                <w:rFonts w:ascii="Times New Roman" w:hAnsi="Times New Roman"/>
                <w:b w:val="0"/>
                <w:bCs w:val="0"/>
                <w:color w:val="000000" w:themeColor="text1"/>
                <w:sz w:val="22"/>
                <w:szCs w:val="22"/>
              </w:rPr>
              <w:t xml:space="preserve"> and competitiveness. </w:t>
            </w:r>
          </w:p>
          <w:p w14:paraId="7F848FE5" w14:textId="77777777" w:rsidR="00E01D13" w:rsidRDefault="00982F95" w:rsidP="001A566C">
            <w:pPr>
              <w:pStyle w:val="Heading2"/>
              <w:numPr>
                <w:ilvl w:val="0"/>
                <w:numId w:val="48"/>
              </w:numPr>
              <w:spacing w:before="120" w:line="240" w:lineRule="auto"/>
              <w:jc w:val="both"/>
              <w:rPr>
                <w:rFonts w:ascii="Times New Roman" w:hAnsi="Times New Roman"/>
                <w:b w:val="0"/>
                <w:bCs w:val="0"/>
                <w:color w:val="000000" w:themeColor="text1"/>
                <w:sz w:val="22"/>
                <w:szCs w:val="22"/>
              </w:rPr>
            </w:pPr>
            <w:r w:rsidRPr="00853571">
              <w:rPr>
                <w:rFonts w:ascii="Times New Roman" w:hAnsi="Times New Roman"/>
                <w:color w:val="000000" w:themeColor="text1"/>
                <w:sz w:val="22"/>
                <w:szCs w:val="22"/>
              </w:rPr>
              <w:t xml:space="preserve">NDC Implementation Road Map for North Macedonia 2020-2030. </w:t>
            </w:r>
            <w:r w:rsidRPr="00853571">
              <w:rPr>
                <w:rFonts w:ascii="Times New Roman" w:hAnsi="Times New Roman"/>
                <w:b w:val="0"/>
                <w:bCs w:val="0"/>
                <w:color w:val="000000" w:themeColor="text1"/>
                <w:sz w:val="22"/>
                <w:szCs w:val="22"/>
              </w:rPr>
              <w:t xml:space="preserve">The </w:t>
            </w:r>
            <w:r w:rsidR="0075286B" w:rsidRPr="00853571">
              <w:rPr>
                <w:rFonts w:ascii="Times New Roman" w:hAnsi="Times New Roman"/>
                <w:b w:val="0"/>
                <w:bCs w:val="0"/>
                <w:color w:val="000000" w:themeColor="text1"/>
                <w:sz w:val="22"/>
                <w:szCs w:val="22"/>
              </w:rPr>
              <w:t>Enhanced Nationally Determined Contributions (</w:t>
            </w:r>
            <w:r w:rsidRPr="00853571">
              <w:rPr>
                <w:rFonts w:ascii="Times New Roman" w:hAnsi="Times New Roman"/>
                <w:b w:val="0"/>
                <w:bCs w:val="0"/>
                <w:color w:val="000000" w:themeColor="text1"/>
                <w:sz w:val="22"/>
                <w:szCs w:val="22"/>
              </w:rPr>
              <w:t>ENDC</w:t>
            </w:r>
            <w:r w:rsidR="0075286B" w:rsidRPr="00853571">
              <w:rPr>
                <w:rFonts w:ascii="Times New Roman" w:hAnsi="Times New Roman"/>
                <w:b w:val="0"/>
                <w:bCs w:val="0"/>
                <w:color w:val="000000" w:themeColor="text1"/>
                <w:sz w:val="22"/>
                <w:szCs w:val="22"/>
              </w:rPr>
              <w:t>)</w:t>
            </w:r>
            <w:r w:rsidRPr="00853571">
              <w:rPr>
                <w:rFonts w:ascii="Times New Roman" w:hAnsi="Times New Roman"/>
                <w:b w:val="0"/>
                <w:bCs w:val="0"/>
                <w:color w:val="000000" w:themeColor="text1"/>
                <w:sz w:val="22"/>
                <w:szCs w:val="22"/>
              </w:rPr>
              <w:t xml:space="preserve"> Implementation Roadmap follows the framework of undertaking and communicating ambitious efforts in GHG mitigation as indicated in Article 3 of the Paris Agreement. The goal of the roadmap is to provide a pathway for the implementation of specific mitigation actions in North Macedonia. As such, the roadmap is a tool that can be used to:</w:t>
            </w:r>
            <w:r w:rsidR="0075286B" w:rsidRPr="00853571">
              <w:rPr>
                <w:rFonts w:ascii="Times New Roman" w:hAnsi="Times New Roman"/>
                <w:b w:val="0"/>
                <w:bCs w:val="0"/>
                <w:color w:val="000000" w:themeColor="text1"/>
                <w:sz w:val="22"/>
                <w:szCs w:val="22"/>
              </w:rPr>
              <w:t xml:space="preserve"> </w:t>
            </w:r>
            <w:r w:rsidRPr="00853571">
              <w:rPr>
                <w:rFonts w:ascii="Times New Roman" w:hAnsi="Times New Roman"/>
                <w:b w:val="0"/>
                <w:bCs w:val="0"/>
                <w:color w:val="000000" w:themeColor="text1"/>
                <w:sz w:val="22"/>
                <w:szCs w:val="22"/>
              </w:rPr>
              <w:t>1. Increase awareness and provide guidance for key stakeholders on the actions necessary to achieve the ENDC target.</w:t>
            </w:r>
            <w:r w:rsidR="0075286B" w:rsidRPr="00853571">
              <w:rPr>
                <w:rFonts w:ascii="Times New Roman" w:hAnsi="Times New Roman"/>
                <w:b w:val="0"/>
                <w:bCs w:val="0"/>
                <w:color w:val="000000" w:themeColor="text1"/>
                <w:sz w:val="22"/>
                <w:szCs w:val="22"/>
              </w:rPr>
              <w:t xml:space="preserve"> </w:t>
            </w:r>
            <w:r w:rsidRPr="00853571">
              <w:rPr>
                <w:rFonts w:ascii="Times New Roman" w:hAnsi="Times New Roman"/>
                <w:b w:val="0"/>
                <w:bCs w:val="0"/>
                <w:color w:val="000000" w:themeColor="text1"/>
                <w:sz w:val="22"/>
                <w:szCs w:val="22"/>
              </w:rPr>
              <w:t xml:space="preserve">2. Set out a pathway with concrete mitigation actions and interventions leading to emission reductions and transformational change in the energy, agriculture, </w:t>
            </w:r>
            <w:r w:rsidR="0075286B" w:rsidRPr="00853571">
              <w:rPr>
                <w:rFonts w:ascii="Times New Roman" w:hAnsi="Times New Roman"/>
                <w:b w:val="0"/>
                <w:bCs w:val="0"/>
                <w:color w:val="000000" w:themeColor="text1"/>
                <w:sz w:val="22"/>
                <w:szCs w:val="22"/>
              </w:rPr>
              <w:t>forestry,</w:t>
            </w:r>
            <w:r w:rsidRPr="00853571">
              <w:rPr>
                <w:rFonts w:ascii="Times New Roman" w:hAnsi="Times New Roman"/>
                <w:b w:val="0"/>
                <w:bCs w:val="0"/>
                <w:color w:val="000000" w:themeColor="text1"/>
                <w:sz w:val="22"/>
                <w:szCs w:val="22"/>
              </w:rPr>
              <w:t xml:space="preserve"> and land use change (AFOLU) and waste sectors.</w:t>
            </w:r>
          </w:p>
          <w:p w14:paraId="1B9144B2" w14:textId="77777777" w:rsidR="00E01D13" w:rsidRDefault="00853571" w:rsidP="001A566C">
            <w:pPr>
              <w:pStyle w:val="Heading2"/>
              <w:numPr>
                <w:ilvl w:val="0"/>
                <w:numId w:val="48"/>
              </w:numPr>
              <w:spacing w:before="120" w:line="240" w:lineRule="auto"/>
              <w:jc w:val="both"/>
              <w:rPr>
                <w:rFonts w:ascii="Times New Roman" w:hAnsi="Times New Roman"/>
                <w:b w:val="0"/>
                <w:bCs w:val="0"/>
                <w:color w:val="000000" w:themeColor="text1"/>
                <w:sz w:val="22"/>
                <w:szCs w:val="22"/>
              </w:rPr>
            </w:pPr>
            <w:r w:rsidRPr="00E01D13">
              <w:rPr>
                <w:rFonts w:ascii="Times New Roman" w:hAnsi="Times New Roman"/>
                <w:color w:val="000000" w:themeColor="text1"/>
                <w:sz w:val="22"/>
                <w:szCs w:val="22"/>
              </w:rPr>
              <w:t>The National Protection and Rescue Strategy 2022-2025.</w:t>
            </w:r>
            <w:r w:rsidR="00891855" w:rsidRPr="00E01D13">
              <w:rPr>
                <w:rFonts w:ascii="Times New Roman" w:hAnsi="Times New Roman"/>
                <w:color w:val="000000" w:themeColor="text1"/>
              </w:rPr>
              <w:t xml:space="preserve"> </w:t>
            </w:r>
            <w:r w:rsidR="00891855" w:rsidRPr="00E01D13">
              <w:rPr>
                <w:rFonts w:ascii="Times New Roman" w:hAnsi="Times New Roman"/>
                <w:b w:val="0"/>
                <w:bCs w:val="0"/>
                <w:color w:val="000000" w:themeColor="text1"/>
                <w:sz w:val="22"/>
                <w:szCs w:val="22"/>
              </w:rPr>
              <w:t>This National Strategy is intended to provide a four-year roadmap (2022-2025) for the Government of the Republic of North Macedonia to review, assess and improve capacity, capability, plans, and operations covering Disaster Risk Management, as well as to expand the focus into Disaster Risk Reduction. The Strategy also has an accompanying Action Plan to guide implementation efforts.</w:t>
            </w:r>
            <w:r w:rsidR="00E01D13">
              <w:rPr>
                <w:rFonts w:ascii="Times New Roman" w:hAnsi="Times New Roman"/>
                <w:b w:val="0"/>
                <w:bCs w:val="0"/>
                <w:color w:val="000000" w:themeColor="text1"/>
                <w:sz w:val="22"/>
                <w:szCs w:val="22"/>
              </w:rPr>
              <w:t xml:space="preserve"> </w:t>
            </w:r>
            <w:r w:rsidR="00891855" w:rsidRPr="00E01D13">
              <w:rPr>
                <w:rFonts w:ascii="Times New Roman" w:hAnsi="Times New Roman"/>
                <w:b w:val="0"/>
                <w:bCs w:val="0"/>
                <w:color w:val="000000" w:themeColor="text1"/>
                <w:sz w:val="22"/>
                <w:szCs w:val="22"/>
              </w:rPr>
              <w:t>The approach used to develop this strategy and its accompanying action plan is based on a set of Core Principles which mirror the evolution of Disaster Risk Management globally. </w:t>
            </w:r>
            <w:r w:rsidR="00E01D13">
              <w:rPr>
                <w:rFonts w:ascii="Times New Roman" w:hAnsi="Times New Roman"/>
                <w:b w:val="0"/>
                <w:bCs w:val="0"/>
                <w:color w:val="000000" w:themeColor="text1"/>
                <w:sz w:val="22"/>
                <w:szCs w:val="22"/>
              </w:rPr>
              <w:t>T</w:t>
            </w:r>
            <w:r w:rsidR="00891855" w:rsidRPr="00E01D13">
              <w:rPr>
                <w:rFonts w:ascii="Times New Roman" w:hAnsi="Times New Roman"/>
                <w:b w:val="0"/>
                <w:bCs w:val="0"/>
                <w:color w:val="000000" w:themeColor="text1"/>
                <w:sz w:val="22"/>
                <w:szCs w:val="22"/>
              </w:rPr>
              <w:t xml:space="preserve">hese Core </w:t>
            </w:r>
            <w:r w:rsidR="00891855" w:rsidRPr="00E01D13">
              <w:rPr>
                <w:rFonts w:ascii="Times New Roman" w:hAnsi="Times New Roman"/>
                <w:b w:val="0"/>
                <w:bCs w:val="0"/>
                <w:color w:val="000000" w:themeColor="text1"/>
                <w:sz w:val="22"/>
                <w:szCs w:val="22"/>
              </w:rPr>
              <w:lastRenderedPageBreak/>
              <w:t>Principles provide the foundation and logic for improving how the Government of the Republic of North Macedonia will plan, prepare for, respond, and recover from disasters, both artificial and those caused by natural hazards.</w:t>
            </w:r>
          </w:p>
          <w:p w14:paraId="2F0527EC" w14:textId="794AC8D8" w:rsidR="00D9380A" w:rsidRDefault="00D9380A" w:rsidP="001A566C">
            <w:pPr>
              <w:pStyle w:val="ListParagraph"/>
              <w:numPr>
                <w:ilvl w:val="0"/>
                <w:numId w:val="48"/>
              </w:numPr>
              <w:spacing w:before="120" w:after="0" w:line="240" w:lineRule="auto"/>
              <w:jc w:val="both"/>
              <w:rPr>
                <w:rFonts w:ascii="Times New Roman" w:hAnsi="Times New Roman"/>
              </w:rPr>
            </w:pPr>
            <w:r w:rsidRPr="001A566C">
              <w:rPr>
                <w:rFonts w:ascii="Times New Roman" w:hAnsi="Times New Roman"/>
              </w:rPr>
              <w:t xml:space="preserve">The </w:t>
            </w:r>
            <w:r w:rsidRPr="001A566C">
              <w:rPr>
                <w:rFonts w:ascii="Times New Roman" w:hAnsi="Times New Roman"/>
                <w:b/>
                <w:bCs/>
              </w:rPr>
              <w:t>Sustainable and Smart Mobility Strategy of the European Union</w:t>
            </w:r>
            <w:r w:rsidRPr="001A566C">
              <w:rPr>
                <w:rFonts w:ascii="Times New Roman" w:hAnsi="Times New Roman"/>
              </w:rPr>
              <w:t xml:space="preserve"> and the connected </w:t>
            </w:r>
            <w:r w:rsidRPr="001A566C">
              <w:rPr>
                <w:rFonts w:ascii="Times New Roman" w:hAnsi="Times New Roman"/>
                <w:b/>
                <w:bCs/>
              </w:rPr>
              <w:t>Sustainable and Smart Mobility Strategy Western Balkans</w:t>
            </w:r>
            <w:r w:rsidRPr="001A566C">
              <w:rPr>
                <w:rFonts w:ascii="Times New Roman" w:hAnsi="Times New Roman"/>
              </w:rPr>
              <w:t xml:space="preserve"> Perspective of the Transport Community which has defined objectives related to 10 key areas for making the transport sector more sustainable, smart, and resilient.</w:t>
            </w:r>
          </w:p>
          <w:p w14:paraId="450809E5" w14:textId="77777777" w:rsidR="001A566C" w:rsidRPr="001A566C" w:rsidRDefault="001A566C" w:rsidP="001A566C">
            <w:pPr>
              <w:pStyle w:val="ListParagraph"/>
              <w:spacing w:before="120" w:after="0" w:line="240" w:lineRule="auto"/>
              <w:jc w:val="both"/>
              <w:rPr>
                <w:rFonts w:ascii="Times New Roman" w:hAnsi="Times New Roman"/>
              </w:rPr>
            </w:pPr>
          </w:p>
          <w:p w14:paraId="23927DFD" w14:textId="447875FF" w:rsidR="001A566C" w:rsidRDefault="00432521" w:rsidP="001A566C">
            <w:pPr>
              <w:pStyle w:val="ListParagraph"/>
              <w:numPr>
                <w:ilvl w:val="0"/>
                <w:numId w:val="48"/>
              </w:numPr>
              <w:spacing w:after="0" w:line="240" w:lineRule="auto"/>
              <w:ind w:left="714" w:hanging="357"/>
              <w:jc w:val="both"/>
              <w:rPr>
                <w:rFonts w:ascii="Times New Roman" w:hAnsi="Times New Roman"/>
              </w:rPr>
            </w:pPr>
            <w:r w:rsidRPr="001A566C">
              <w:rPr>
                <w:rFonts w:ascii="Times New Roman" w:hAnsi="Times New Roman"/>
              </w:rPr>
              <w:t xml:space="preserve">The </w:t>
            </w:r>
            <w:r w:rsidRPr="001A566C">
              <w:rPr>
                <w:rFonts w:ascii="Times New Roman" w:hAnsi="Times New Roman"/>
                <w:b/>
                <w:bCs/>
              </w:rPr>
              <w:t>National Transport Strategy 2018-2030</w:t>
            </w:r>
            <w:r w:rsidRPr="001A566C">
              <w:rPr>
                <w:rFonts w:ascii="Times New Roman" w:hAnsi="Times New Roman"/>
              </w:rPr>
              <w:t>. General Objective No.4 ‘’Establishment of reliable and safe transport system for all transport modes &amp; urban transport’’ with the aim to reduce death toll on the roads by 50% by 2030. The proposed investment will also contribute to the specific objective No.4.2. ‘’To improve road traffic and road infrastructure safety (incl. Urban transport safety)’’</w:t>
            </w:r>
          </w:p>
          <w:p w14:paraId="5C53869C" w14:textId="77777777" w:rsidR="001A566C" w:rsidRPr="001A566C" w:rsidRDefault="001A566C" w:rsidP="001A566C">
            <w:pPr>
              <w:spacing w:after="0" w:line="240" w:lineRule="auto"/>
              <w:jc w:val="both"/>
              <w:rPr>
                <w:rFonts w:ascii="Times New Roman" w:hAnsi="Times New Roman"/>
              </w:rPr>
            </w:pPr>
          </w:p>
          <w:p w14:paraId="74292446" w14:textId="77777777" w:rsidR="007B5046" w:rsidRPr="00853571" w:rsidRDefault="008763CF" w:rsidP="001A566C">
            <w:pPr>
              <w:pStyle w:val="ListParagraph"/>
              <w:numPr>
                <w:ilvl w:val="0"/>
                <w:numId w:val="48"/>
              </w:numPr>
              <w:spacing w:after="0" w:line="240" w:lineRule="auto"/>
              <w:ind w:left="714" w:hanging="357"/>
              <w:jc w:val="both"/>
            </w:pPr>
            <w:r w:rsidRPr="001A566C">
              <w:rPr>
                <w:rFonts w:ascii="Times New Roman" w:hAnsi="Times New Roman"/>
              </w:rPr>
              <w:t xml:space="preserve">The Action takes in consideration the priorities set out in the </w:t>
            </w:r>
            <w:r w:rsidRPr="001A566C">
              <w:rPr>
                <w:rFonts w:ascii="Times New Roman" w:hAnsi="Times New Roman"/>
                <w:b/>
                <w:bCs/>
              </w:rPr>
              <w:t xml:space="preserve">National Programme for Adoption of the </w:t>
            </w:r>
            <w:r w:rsidRPr="001A566C">
              <w:rPr>
                <w:rFonts w:ascii="Times New Roman" w:hAnsi="Times New Roman"/>
                <w:b/>
                <w:bCs/>
                <w:i/>
              </w:rPr>
              <w:t>Acquis</w:t>
            </w:r>
            <w:r w:rsidR="005B14BB" w:rsidRPr="001A566C">
              <w:rPr>
                <w:rFonts w:ascii="Times New Roman" w:hAnsi="Times New Roman"/>
                <w:b/>
                <w:bCs/>
                <w:i/>
              </w:rPr>
              <w:t xml:space="preserve"> (NPAA), </w:t>
            </w:r>
            <w:r w:rsidR="00933536" w:rsidRPr="001A566C">
              <w:rPr>
                <w:rFonts w:ascii="Times New Roman" w:hAnsi="Times New Roman"/>
                <w:bCs/>
              </w:rPr>
              <w:t>this three-year programme is revised and updated every year with activities that are proposed that will remove the remarks deriving from the progress report of the EC, as well as with short-term and mid-term priorities from the Accession Partnership Agreement.</w:t>
            </w:r>
          </w:p>
        </w:tc>
      </w:tr>
      <w:tr w:rsidR="000F3006" w:rsidRPr="000F3006" w14:paraId="1CE51762" w14:textId="77777777" w:rsidTr="00992D7A">
        <w:trPr>
          <w:jc w:val="center"/>
        </w:trPr>
        <w:tc>
          <w:tcPr>
            <w:tcW w:w="534" w:type="dxa"/>
            <w:vMerge/>
            <w:tcBorders>
              <w:left w:val="single" w:sz="4" w:space="0" w:color="auto"/>
              <w:right w:val="single" w:sz="4" w:space="0" w:color="auto"/>
            </w:tcBorders>
          </w:tcPr>
          <w:p w14:paraId="5AF53573" w14:textId="77777777" w:rsidR="00D92F6C" w:rsidRPr="000F3006" w:rsidRDefault="00D92F6C" w:rsidP="00476031">
            <w:pPr>
              <w:rPr>
                <w:rFonts w:ascii="Times New Roman" w:hAnsi="Times New Roma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C105366" w14:textId="77777777" w:rsidR="00D92F6C" w:rsidRPr="000F3006" w:rsidRDefault="00D92F6C" w:rsidP="004878F8">
            <w:pPr>
              <w:spacing w:line="240" w:lineRule="auto"/>
              <w:rPr>
                <w:rFonts w:ascii="Times New Roman" w:hAnsi="Times New Roman"/>
              </w:rPr>
            </w:pPr>
            <w:r w:rsidRPr="000F3006">
              <w:rPr>
                <w:rFonts w:ascii="Times New Roman" w:hAnsi="Times New Roman"/>
              </w:rPr>
              <w:t xml:space="preserve">Coherence </w:t>
            </w:r>
            <w:r w:rsidR="00E11A2B" w:rsidRPr="000F3006">
              <w:rPr>
                <w:rFonts w:ascii="Times New Roman" w:hAnsi="Times New Roman"/>
              </w:rPr>
              <w:t>with the</w:t>
            </w:r>
            <w:r w:rsidRPr="000F3006">
              <w:rPr>
                <w:rFonts w:ascii="Times New Roman" w:hAnsi="Times New Roman"/>
              </w:rPr>
              <w:t xml:space="preserve"> Sector Approach</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695C22A1" w14:textId="77777777" w:rsidR="00557153" w:rsidRDefault="00486BD3" w:rsidP="00051450">
            <w:pPr>
              <w:tabs>
                <w:tab w:val="left" w:pos="1418"/>
                <w:tab w:val="left" w:pos="8931"/>
              </w:tabs>
              <w:autoSpaceDE w:val="0"/>
              <w:autoSpaceDN w:val="0"/>
              <w:adjustRightInd w:val="0"/>
              <w:spacing w:after="0" w:line="240" w:lineRule="auto"/>
              <w:jc w:val="both"/>
              <w:rPr>
                <w:rFonts w:ascii="Times New Roman" w:hAnsi="Times New Roman"/>
                <w:lang w:val="en-US"/>
              </w:rPr>
            </w:pPr>
            <w:r w:rsidRPr="000F3006">
              <w:rPr>
                <w:rFonts w:ascii="Times New Roman" w:hAnsi="Times New Roman"/>
                <w:lang w:val="en-US"/>
              </w:rPr>
              <w:t xml:space="preserve">The Action falls under </w:t>
            </w:r>
            <w:r w:rsidR="000A3291">
              <w:rPr>
                <w:rFonts w:ascii="Times New Roman" w:hAnsi="Times New Roman"/>
                <w:lang w:val="en-US"/>
              </w:rPr>
              <w:t>three Sector Working Groups: SWG on</w:t>
            </w:r>
            <w:r w:rsidR="00EF4A86">
              <w:rPr>
                <w:rFonts w:ascii="Times New Roman" w:hAnsi="Times New Roman"/>
                <w:lang w:val="en-US"/>
              </w:rPr>
              <w:t xml:space="preserve"> </w:t>
            </w:r>
            <w:r w:rsidR="000A3291">
              <w:rPr>
                <w:rFonts w:ascii="Times New Roman" w:hAnsi="Times New Roman"/>
                <w:lang w:val="en-US"/>
              </w:rPr>
              <w:t>Energy</w:t>
            </w:r>
            <w:r w:rsidR="00EF4A86">
              <w:rPr>
                <w:rFonts w:ascii="Times New Roman" w:hAnsi="Times New Roman"/>
                <w:lang w:val="en-US"/>
              </w:rPr>
              <w:t xml:space="preserve">, SWG on Environment and Climate Change and SWG on Transport </w:t>
            </w:r>
          </w:p>
          <w:p w14:paraId="0EA96BA2" w14:textId="77777777" w:rsidR="00557153" w:rsidRDefault="00557153" w:rsidP="00051450">
            <w:pPr>
              <w:tabs>
                <w:tab w:val="left" w:pos="1418"/>
                <w:tab w:val="left" w:pos="8931"/>
              </w:tabs>
              <w:autoSpaceDE w:val="0"/>
              <w:autoSpaceDN w:val="0"/>
              <w:adjustRightInd w:val="0"/>
              <w:spacing w:after="0" w:line="240" w:lineRule="auto"/>
              <w:jc w:val="both"/>
              <w:rPr>
                <w:rFonts w:ascii="Times New Roman" w:hAnsi="Times New Roman"/>
                <w:lang w:val="en-US"/>
              </w:rPr>
            </w:pPr>
          </w:p>
          <w:p w14:paraId="1492E3F8" w14:textId="77777777" w:rsidR="00557153" w:rsidRDefault="00051450" w:rsidP="00051450">
            <w:pPr>
              <w:tabs>
                <w:tab w:val="left" w:pos="1418"/>
                <w:tab w:val="left" w:pos="8931"/>
              </w:tabs>
              <w:autoSpaceDE w:val="0"/>
              <w:autoSpaceDN w:val="0"/>
              <w:adjustRightInd w:val="0"/>
              <w:spacing w:after="0" w:line="240" w:lineRule="auto"/>
              <w:jc w:val="both"/>
              <w:rPr>
                <w:rFonts w:ascii="Times New Roman" w:hAnsi="Times New Roman"/>
              </w:rPr>
            </w:pPr>
            <w:r w:rsidRPr="004D5C44">
              <w:rPr>
                <w:rFonts w:ascii="Times New Roman" w:hAnsi="Times New Roman"/>
              </w:rPr>
              <w:t xml:space="preserve">North Macedonia has made good progress in introducing the </w:t>
            </w:r>
            <w:r w:rsidRPr="00557153">
              <w:rPr>
                <w:rFonts w:ascii="Times New Roman" w:hAnsi="Times New Roman"/>
                <w:b/>
                <w:bCs/>
              </w:rPr>
              <w:t>Sector Approach</w:t>
            </w:r>
            <w:r w:rsidRPr="004D5C44">
              <w:rPr>
                <w:rFonts w:ascii="Times New Roman" w:hAnsi="Times New Roman"/>
              </w:rPr>
              <w:t>. Key strategy documents, especially those developed after 2017, use a rich data collection and measure success with SMART indicators. They are developed through a participatory process and benefit from the participation of relevant stakeholders, including civil society organizations and international donors. Authorities, donors, and civil society can discuss general and specific strategic directions and thus increase the compliance of the strategies with international and EU standards.</w:t>
            </w:r>
            <w:r>
              <w:t xml:space="preserve"> </w:t>
            </w:r>
            <w:r w:rsidRPr="00486BD3">
              <w:rPr>
                <w:rFonts w:ascii="Times New Roman" w:hAnsi="Times New Roman"/>
              </w:rPr>
              <w:t>The SWG</w:t>
            </w:r>
            <w:r>
              <w:rPr>
                <w:rFonts w:ascii="Times New Roman" w:hAnsi="Times New Roman"/>
              </w:rPr>
              <w:t>s are</w:t>
            </w:r>
            <w:r w:rsidRPr="00486BD3">
              <w:rPr>
                <w:rFonts w:ascii="Times New Roman" w:hAnsi="Times New Roman"/>
              </w:rPr>
              <w:t xml:space="preserve"> supported techn</w:t>
            </w:r>
            <w:r>
              <w:rPr>
                <w:rFonts w:ascii="Times New Roman" w:hAnsi="Times New Roman"/>
              </w:rPr>
              <w:t xml:space="preserve">ically by the line ministries </w:t>
            </w:r>
            <w:r w:rsidRPr="00486BD3">
              <w:rPr>
                <w:rFonts w:ascii="Times New Roman" w:hAnsi="Times New Roman"/>
              </w:rPr>
              <w:t>and guided methodologically by the Secretariat for European Affairs. The SWG</w:t>
            </w:r>
            <w:r>
              <w:rPr>
                <w:rFonts w:ascii="Times New Roman" w:hAnsi="Times New Roman"/>
              </w:rPr>
              <w:t>s</w:t>
            </w:r>
            <w:r w:rsidRPr="00486BD3">
              <w:rPr>
                <w:rFonts w:ascii="Times New Roman" w:hAnsi="Times New Roman"/>
              </w:rPr>
              <w:t xml:space="preserve"> work in two formats: technical, involving the experts from the participating organisations, and decision-making, involving the heads of the participating bodies. The SWG</w:t>
            </w:r>
            <w:r>
              <w:rPr>
                <w:rFonts w:ascii="Times New Roman" w:hAnsi="Times New Roman"/>
              </w:rPr>
              <w:t>s</w:t>
            </w:r>
            <w:r w:rsidRPr="00486BD3">
              <w:rPr>
                <w:rFonts w:ascii="Times New Roman" w:hAnsi="Times New Roman"/>
              </w:rPr>
              <w:t xml:space="preserve"> </w:t>
            </w:r>
            <w:r>
              <w:rPr>
                <w:rFonts w:ascii="Times New Roman" w:hAnsi="Times New Roman"/>
              </w:rPr>
              <w:t>have</w:t>
            </w:r>
            <w:r w:rsidRPr="00486BD3">
              <w:rPr>
                <w:rFonts w:ascii="Times New Roman" w:hAnsi="Times New Roman"/>
              </w:rPr>
              <w:t xml:space="preserve"> the mandate to lead the sector policy dialogue, which includes the definition of sector priorities and the reporting on their implementation.  </w:t>
            </w:r>
          </w:p>
          <w:p w14:paraId="62406AD2" w14:textId="77777777" w:rsidR="00B363A8" w:rsidRDefault="00B363A8" w:rsidP="00051450">
            <w:pPr>
              <w:tabs>
                <w:tab w:val="left" w:pos="1418"/>
                <w:tab w:val="left" w:pos="8931"/>
              </w:tabs>
              <w:autoSpaceDE w:val="0"/>
              <w:autoSpaceDN w:val="0"/>
              <w:adjustRightInd w:val="0"/>
              <w:spacing w:after="0" w:line="240" w:lineRule="auto"/>
              <w:jc w:val="both"/>
              <w:rPr>
                <w:rFonts w:ascii="Times New Roman" w:hAnsi="Times New Roman"/>
              </w:rPr>
            </w:pPr>
            <w:r>
              <w:rPr>
                <w:rFonts w:ascii="Times New Roman" w:hAnsi="Times New Roman"/>
              </w:rPr>
              <w:t>The conte</w:t>
            </w:r>
            <w:r w:rsidR="00913D74">
              <w:rPr>
                <w:rFonts w:ascii="Times New Roman" w:hAnsi="Times New Roman"/>
              </w:rPr>
              <w:t>n</w:t>
            </w:r>
            <w:r>
              <w:rPr>
                <w:rFonts w:ascii="Times New Roman" w:hAnsi="Times New Roman"/>
              </w:rPr>
              <w:t>ts of these AF were consulted with the stakeholders in the plenary and technical sessions of the SWGs held in March, April and May 2022.</w:t>
            </w:r>
          </w:p>
          <w:p w14:paraId="5C4EF04D" w14:textId="77777777" w:rsidR="00B363A8" w:rsidRPr="000F3006" w:rsidRDefault="00B363A8" w:rsidP="00051450">
            <w:pPr>
              <w:tabs>
                <w:tab w:val="left" w:pos="1418"/>
                <w:tab w:val="left" w:pos="8931"/>
              </w:tabs>
              <w:autoSpaceDE w:val="0"/>
              <w:autoSpaceDN w:val="0"/>
              <w:adjustRightInd w:val="0"/>
              <w:spacing w:after="0" w:line="240" w:lineRule="auto"/>
              <w:jc w:val="both"/>
              <w:rPr>
                <w:rFonts w:ascii="Times New Roman" w:hAnsi="Times New Roman"/>
              </w:rPr>
            </w:pPr>
          </w:p>
          <w:p w14:paraId="5B659708" w14:textId="77777777" w:rsidR="00557153" w:rsidRPr="004D5C44" w:rsidRDefault="00557153" w:rsidP="00557153">
            <w:pPr>
              <w:spacing w:after="0" w:line="240" w:lineRule="auto"/>
              <w:jc w:val="both"/>
              <w:outlineLvl w:val="1"/>
              <w:rPr>
                <w:rFonts w:ascii="Times New Roman" w:hAnsi="Times New Roman"/>
              </w:rPr>
            </w:pPr>
            <w:r w:rsidRPr="004D5C44">
              <w:rPr>
                <w:rFonts w:ascii="Times New Roman" w:hAnsi="Times New Roman"/>
              </w:rPr>
              <w:t xml:space="preserve">As of 2020, the country put in place a </w:t>
            </w:r>
            <w:r w:rsidRPr="004D5C44">
              <w:rPr>
                <w:rFonts w:ascii="Times New Roman" w:hAnsi="Times New Roman"/>
                <w:b/>
                <w:bCs/>
              </w:rPr>
              <w:t>Performance Assessment Framework</w:t>
            </w:r>
            <w:r w:rsidRPr="004D5C44">
              <w:rPr>
                <w:rFonts w:ascii="Times New Roman" w:hAnsi="Times New Roman"/>
              </w:rPr>
              <w:t xml:space="preserve"> (PA</w:t>
            </w:r>
            <w:r w:rsidR="00B363A8">
              <w:rPr>
                <w:rFonts w:ascii="Times New Roman" w:hAnsi="Times New Roman"/>
              </w:rPr>
              <w:t>F</w:t>
            </w:r>
            <w:r w:rsidRPr="004D5C44">
              <w:rPr>
                <w:rFonts w:ascii="Times New Roman" w:hAnsi="Times New Roman"/>
              </w:rPr>
              <w:t>), streamlining the policy objectives;</w:t>
            </w:r>
            <w:r>
              <w:rPr>
                <w:rFonts w:ascii="Times New Roman" w:hAnsi="Times New Roman"/>
              </w:rPr>
              <w:t xml:space="preserve"> </w:t>
            </w:r>
            <w:r w:rsidRPr="004D5C44">
              <w:rPr>
                <w:rFonts w:ascii="Times New Roman" w:hAnsi="Times New Roman"/>
              </w:rPr>
              <w:t xml:space="preserve">based on a set of impact and outcome indicators, targets, and baseline data. The indicators formulated and agreed upon for this window provide a robust system for measuring compliance with the evidence-based approach to policy making. </w:t>
            </w:r>
            <w:r w:rsidR="00B363A8">
              <w:rPr>
                <w:rFonts w:ascii="Times New Roman" w:hAnsi="Times New Roman"/>
              </w:rPr>
              <w:t xml:space="preserve">The PAF is available under </w:t>
            </w:r>
            <w:hyperlink r:id="rId11" w:history="1">
              <w:r w:rsidR="00B363A8" w:rsidRPr="003B33FD">
                <w:rPr>
                  <w:rStyle w:val="Hyperlink"/>
                  <w:rFonts w:ascii="Times New Roman" w:hAnsi="Times New Roman"/>
                </w:rPr>
                <w:t>https://pafnorthmacedonia.mk/PAF/</w:t>
              </w:r>
            </w:hyperlink>
            <w:r w:rsidR="00B363A8">
              <w:rPr>
                <w:rFonts w:ascii="Times New Roman" w:hAnsi="Times New Roman"/>
              </w:rPr>
              <w:t xml:space="preserve"> </w:t>
            </w:r>
          </w:p>
          <w:p w14:paraId="635FFEAC" w14:textId="77777777" w:rsidR="00557153" w:rsidRDefault="00557153" w:rsidP="00557153">
            <w:pPr>
              <w:tabs>
                <w:tab w:val="left" w:pos="1418"/>
                <w:tab w:val="left" w:pos="8931"/>
              </w:tabs>
              <w:autoSpaceDE w:val="0"/>
              <w:autoSpaceDN w:val="0"/>
              <w:adjustRightInd w:val="0"/>
              <w:spacing w:before="120" w:after="120" w:line="240" w:lineRule="auto"/>
              <w:ind w:right="-2"/>
              <w:jc w:val="both"/>
              <w:rPr>
                <w:rFonts w:ascii="Times New Roman" w:hAnsi="Times New Roman"/>
              </w:rPr>
            </w:pPr>
            <w:r>
              <w:rPr>
                <w:rFonts w:ascii="Times New Roman" w:hAnsi="Times New Roman"/>
              </w:rPr>
              <w:t xml:space="preserve">The </w:t>
            </w:r>
            <w:r w:rsidRPr="00F524B5">
              <w:rPr>
                <w:rFonts w:ascii="Times New Roman" w:hAnsi="Times New Roman"/>
                <w:b/>
              </w:rPr>
              <w:t>institutional set-up</w:t>
            </w:r>
            <w:r>
              <w:rPr>
                <w:rFonts w:ascii="Times New Roman" w:hAnsi="Times New Roman"/>
              </w:rPr>
              <w:t xml:space="preserve"> is supportive to on-going and planned sector reforms with clear responsibilities allocated to the relevant national authorities.</w:t>
            </w:r>
          </w:p>
          <w:p w14:paraId="74B9F47B" w14:textId="77777777" w:rsidR="00F524B5" w:rsidRPr="000F3006" w:rsidRDefault="00557153" w:rsidP="00B25866">
            <w:pPr>
              <w:tabs>
                <w:tab w:val="left" w:pos="1418"/>
                <w:tab w:val="left" w:pos="8931"/>
              </w:tabs>
              <w:autoSpaceDE w:val="0"/>
              <w:autoSpaceDN w:val="0"/>
              <w:adjustRightInd w:val="0"/>
              <w:spacing w:before="120" w:after="120" w:line="240" w:lineRule="auto"/>
              <w:ind w:right="-2"/>
              <w:jc w:val="both"/>
              <w:rPr>
                <w:rFonts w:ascii="Times New Roman" w:hAnsi="Times New Roman"/>
              </w:rPr>
            </w:pPr>
            <w:r w:rsidRPr="00087F0A">
              <w:rPr>
                <w:rFonts w:ascii="Times New Roman" w:hAnsi="Times New Roman"/>
              </w:rPr>
              <w:t xml:space="preserve">The sector </w:t>
            </w:r>
            <w:r w:rsidRPr="00087F0A">
              <w:rPr>
                <w:rFonts w:ascii="Times New Roman" w:hAnsi="Times New Roman"/>
                <w:b/>
              </w:rPr>
              <w:t>policy budgeting</w:t>
            </w:r>
            <w:r w:rsidRPr="00087F0A">
              <w:rPr>
                <w:rFonts w:ascii="Times New Roman" w:hAnsi="Times New Roman"/>
              </w:rPr>
              <w:t xml:space="preserve"> needs improvement. North Macedonia does not yet benefit from a robust medium-term expenditure framework to anchor the costs for </w:t>
            </w:r>
            <w:r w:rsidRPr="00087F0A">
              <w:rPr>
                <w:rFonts w:ascii="Times New Roman" w:hAnsi="Times New Roman"/>
              </w:rPr>
              <w:lastRenderedPageBreak/>
              <w:t>the major reforms and ensure their credibility. The ongoing PFM reform programme is expected to address this issue through the adoption of the new organic budget law.</w:t>
            </w:r>
            <w:r>
              <w:rPr>
                <w:rFonts w:ascii="Times New Roman" w:hAnsi="Times New Roman"/>
              </w:rPr>
              <w:t xml:space="preserve"> </w:t>
            </w:r>
            <w:r w:rsidRPr="002D7441">
              <w:rPr>
                <w:rFonts w:ascii="Times New Roman" w:hAnsi="Times New Roman"/>
              </w:rPr>
              <w:t>North Macedonia has demonstrated continuous progress in PFM and Domestic Revenue Mobilisation</w:t>
            </w:r>
            <w:r>
              <w:rPr>
                <w:rFonts w:ascii="Times New Roman" w:hAnsi="Times New Roman"/>
              </w:rPr>
              <w:t>. There are improvements in the fiscal f</w:t>
            </w:r>
            <w:r w:rsidRPr="002D7441">
              <w:rPr>
                <w:rFonts w:ascii="Times New Roman" w:hAnsi="Times New Roman"/>
              </w:rPr>
              <w:t>ramework, budget planning, budget execution, revenue mobilisation</w:t>
            </w:r>
            <w:r>
              <w:rPr>
                <w:rFonts w:ascii="Times New Roman" w:hAnsi="Times New Roman"/>
              </w:rPr>
              <w:t>, transparent reporting of the b</w:t>
            </w:r>
            <w:r w:rsidRPr="002D7441">
              <w:rPr>
                <w:rFonts w:ascii="Times New Roman" w:hAnsi="Times New Roman"/>
              </w:rPr>
              <w:t>udget, internal control, external control, and Parliamentary oversight.</w:t>
            </w:r>
          </w:p>
        </w:tc>
      </w:tr>
      <w:tr w:rsidR="000F3006" w:rsidRPr="000F3006" w14:paraId="08D0D95E" w14:textId="77777777" w:rsidTr="00992D7A">
        <w:trPr>
          <w:jc w:val="center"/>
        </w:trPr>
        <w:tc>
          <w:tcPr>
            <w:tcW w:w="534" w:type="dxa"/>
            <w:vMerge/>
            <w:tcBorders>
              <w:left w:val="single" w:sz="4" w:space="0" w:color="auto"/>
              <w:bottom w:val="single" w:sz="4" w:space="0" w:color="auto"/>
              <w:right w:val="single" w:sz="4" w:space="0" w:color="auto"/>
            </w:tcBorders>
          </w:tcPr>
          <w:p w14:paraId="1BBED874" w14:textId="77777777" w:rsidR="00D92F6C" w:rsidRPr="000F3006" w:rsidRDefault="00D92F6C" w:rsidP="00476031">
            <w:pP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382A96B" w14:textId="77777777" w:rsidR="00D92F6C" w:rsidRPr="000F3006" w:rsidRDefault="00D92F6C" w:rsidP="00476031">
            <w:pPr>
              <w:rPr>
                <w:rFonts w:ascii="Times New Roman" w:hAnsi="Times New Roman"/>
              </w:rPr>
            </w:pPr>
            <w:r w:rsidRPr="000F3006">
              <w:rPr>
                <w:rFonts w:ascii="Times New Roman" w:hAnsi="Times New Roman"/>
              </w:rPr>
              <w:t>Regional dimension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46AA2817" w14:textId="77777777" w:rsidR="00074669" w:rsidRPr="000F3006" w:rsidRDefault="001E31F5" w:rsidP="005F5A43">
            <w:pPr>
              <w:spacing w:after="0" w:line="240" w:lineRule="auto"/>
              <w:rPr>
                <w:rFonts w:ascii="Times New Roman" w:hAnsi="Times New Roman"/>
                <w:lang w:val="en-US" w:eastAsia="en-US"/>
              </w:rPr>
            </w:pPr>
            <w:r w:rsidRPr="000F3006">
              <w:rPr>
                <w:rFonts w:ascii="Times New Roman" w:hAnsi="Times New Roman"/>
                <w:lang w:val="en-US" w:eastAsia="en-US"/>
              </w:rPr>
              <w:t>Not applicable</w:t>
            </w:r>
          </w:p>
        </w:tc>
      </w:tr>
      <w:tr w:rsidR="000F3006" w:rsidRPr="000F3006" w14:paraId="521407B5" w14:textId="77777777" w:rsidTr="00992D7A">
        <w:trPr>
          <w:jc w:val="center"/>
        </w:trPr>
        <w:tc>
          <w:tcPr>
            <w:tcW w:w="2689" w:type="dxa"/>
            <w:gridSpan w:val="2"/>
            <w:tcBorders>
              <w:top w:val="single" w:sz="4" w:space="0" w:color="auto"/>
              <w:left w:val="single" w:sz="4" w:space="0" w:color="auto"/>
              <w:bottom w:val="single" w:sz="4" w:space="0" w:color="auto"/>
              <w:right w:val="single" w:sz="4" w:space="0" w:color="auto"/>
            </w:tcBorders>
          </w:tcPr>
          <w:p w14:paraId="4F2FAAE9" w14:textId="77777777" w:rsidR="00D92F6C" w:rsidRPr="000F3006" w:rsidRDefault="00D92F6C" w:rsidP="00476031">
            <w:pPr>
              <w:rPr>
                <w:rFonts w:ascii="Times New Roman" w:hAnsi="Times New Roman"/>
              </w:rPr>
            </w:pPr>
            <w:r w:rsidRPr="000F3006">
              <w:rPr>
                <w:rFonts w:ascii="Times New Roman" w:hAnsi="Times New Roman"/>
              </w:rPr>
              <w:t>Indicative budget</w:t>
            </w:r>
            <w:r w:rsidR="004262E0" w:rsidRPr="000F3006">
              <w:rPr>
                <w:rFonts w:ascii="Times New Roman" w:hAnsi="Times New Roman"/>
              </w:rPr>
              <w:t xml:space="preserve"> (in EUR)</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72BC9C96" w14:textId="6352F00B" w:rsidR="009B6E58" w:rsidRPr="000F3006" w:rsidRDefault="00C6650E" w:rsidP="009B6E58">
            <w:pPr>
              <w:spacing w:after="120" w:line="240" w:lineRule="auto"/>
              <w:jc w:val="both"/>
              <w:rPr>
                <w:rFonts w:ascii="Times New Roman" w:hAnsi="Times New Roman"/>
                <w:iCs/>
              </w:rPr>
            </w:pPr>
            <w:r w:rsidRPr="000F3006">
              <w:rPr>
                <w:rFonts w:ascii="Times New Roman" w:hAnsi="Times New Roman"/>
                <w:iCs/>
              </w:rPr>
              <w:t>Total</w:t>
            </w:r>
            <w:r w:rsidR="00EF4101" w:rsidRPr="000F3006">
              <w:rPr>
                <w:rFonts w:ascii="Times New Roman" w:hAnsi="Times New Roman"/>
                <w:iCs/>
              </w:rPr>
              <w:t>: EUR</w:t>
            </w:r>
            <w:r w:rsidR="001114DA" w:rsidRPr="000F3006">
              <w:rPr>
                <w:rFonts w:ascii="Times New Roman" w:hAnsi="Times New Roman"/>
                <w:iCs/>
              </w:rPr>
              <w:t xml:space="preserve"> </w:t>
            </w:r>
            <w:r w:rsidR="00B73084">
              <w:rPr>
                <w:rFonts w:ascii="Times New Roman" w:hAnsi="Times New Roman"/>
                <w:iCs/>
              </w:rPr>
              <w:t>15</w:t>
            </w:r>
            <w:r w:rsidR="00B73084" w:rsidRPr="000F3006">
              <w:rPr>
                <w:rFonts w:ascii="Times New Roman" w:hAnsi="Times New Roman"/>
                <w:iCs/>
              </w:rPr>
              <w:t xml:space="preserve"> </w:t>
            </w:r>
            <w:r w:rsidR="00B05E1C" w:rsidRPr="000F3006">
              <w:rPr>
                <w:rFonts w:ascii="Times New Roman" w:hAnsi="Times New Roman"/>
                <w:iCs/>
              </w:rPr>
              <w:t>million</w:t>
            </w:r>
          </w:p>
          <w:p w14:paraId="48D00E91" w14:textId="77777777" w:rsidR="00D92F6C" w:rsidRPr="000F3006" w:rsidRDefault="00C6650E" w:rsidP="00EF4101">
            <w:pPr>
              <w:spacing w:after="120" w:line="240" w:lineRule="auto"/>
              <w:jc w:val="both"/>
              <w:rPr>
                <w:rFonts w:ascii="Times New Roman" w:hAnsi="Times New Roman"/>
                <w:iCs/>
              </w:rPr>
            </w:pPr>
            <w:r w:rsidRPr="000F3006">
              <w:rPr>
                <w:rFonts w:ascii="Times New Roman" w:hAnsi="Times New Roman"/>
                <w:iCs/>
              </w:rPr>
              <w:t>EU funding</w:t>
            </w:r>
            <w:r w:rsidR="00EF4101" w:rsidRPr="000F3006">
              <w:rPr>
                <w:rFonts w:ascii="Times New Roman" w:hAnsi="Times New Roman"/>
                <w:iCs/>
              </w:rPr>
              <w:t>: EUR</w:t>
            </w:r>
            <w:r w:rsidR="001114DA" w:rsidRPr="000F3006">
              <w:rPr>
                <w:rFonts w:ascii="Times New Roman" w:hAnsi="Times New Roman"/>
                <w:iCs/>
              </w:rPr>
              <w:t xml:space="preserve"> </w:t>
            </w:r>
            <w:r w:rsidR="00557153">
              <w:rPr>
                <w:rFonts w:ascii="Times New Roman" w:hAnsi="Times New Roman"/>
                <w:iCs/>
              </w:rPr>
              <w:t>15</w:t>
            </w:r>
            <w:r w:rsidR="00557153" w:rsidRPr="000F3006">
              <w:rPr>
                <w:rFonts w:ascii="Times New Roman" w:hAnsi="Times New Roman"/>
                <w:iCs/>
              </w:rPr>
              <w:t xml:space="preserve"> </w:t>
            </w:r>
            <w:r w:rsidR="00EF4101" w:rsidRPr="000F3006">
              <w:rPr>
                <w:rFonts w:ascii="Times New Roman" w:hAnsi="Times New Roman"/>
                <w:iCs/>
              </w:rPr>
              <w:t>million</w:t>
            </w:r>
          </w:p>
          <w:p w14:paraId="70CBB60D" w14:textId="77777777" w:rsidR="00EF4101" w:rsidRPr="000F3006" w:rsidRDefault="00C149AF" w:rsidP="00FF6CD6">
            <w:pPr>
              <w:spacing w:after="120" w:line="240" w:lineRule="auto"/>
              <w:jc w:val="both"/>
              <w:rPr>
                <w:rFonts w:ascii="Times New Roman" w:hAnsi="Times New Roman"/>
                <w:i/>
              </w:rPr>
            </w:pPr>
            <w:r w:rsidRPr="000F3006">
              <w:rPr>
                <w:rFonts w:ascii="Times New Roman" w:hAnsi="Times New Roman"/>
                <w:iCs/>
              </w:rPr>
              <w:t xml:space="preserve">National </w:t>
            </w:r>
            <w:r w:rsidR="00FF6CD6" w:rsidRPr="000F3006">
              <w:rPr>
                <w:rFonts w:ascii="Times New Roman" w:hAnsi="Times New Roman"/>
                <w:iCs/>
              </w:rPr>
              <w:t>co-financing</w:t>
            </w:r>
            <w:r w:rsidR="00EF4101" w:rsidRPr="000F3006">
              <w:rPr>
                <w:rFonts w:ascii="Times New Roman" w:hAnsi="Times New Roman"/>
                <w:iCs/>
              </w:rPr>
              <w:t>:</w:t>
            </w:r>
            <w:r w:rsidRPr="000F3006">
              <w:rPr>
                <w:rFonts w:ascii="Times New Roman" w:hAnsi="Times New Roman"/>
                <w:iCs/>
              </w:rPr>
              <w:t xml:space="preserve"> </w:t>
            </w:r>
            <w:r w:rsidR="00EF4101" w:rsidRPr="000F3006">
              <w:rPr>
                <w:rFonts w:ascii="Times New Roman" w:hAnsi="Times New Roman"/>
                <w:iCs/>
              </w:rPr>
              <w:t>EUR</w:t>
            </w:r>
            <w:r w:rsidR="001114DA" w:rsidRPr="000F3006">
              <w:rPr>
                <w:rFonts w:ascii="Times New Roman" w:hAnsi="Times New Roman"/>
                <w:iCs/>
              </w:rPr>
              <w:t xml:space="preserve"> </w:t>
            </w:r>
            <w:r w:rsidR="00741ED3" w:rsidRPr="000F3006">
              <w:rPr>
                <w:rFonts w:ascii="Times New Roman" w:hAnsi="Times New Roman"/>
                <w:iCs/>
              </w:rPr>
              <w:t xml:space="preserve">xxxx </w:t>
            </w:r>
            <w:r w:rsidR="00EF4101" w:rsidRPr="000F3006">
              <w:rPr>
                <w:rFonts w:ascii="Times New Roman" w:hAnsi="Times New Roman"/>
                <w:iCs/>
              </w:rPr>
              <w:t>million</w:t>
            </w:r>
          </w:p>
        </w:tc>
      </w:tr>
      <w:tr w:rsidR="000F3006" w:rsidRPr="000F3006" w14:paraId="17772F4B" w14:textId="77777777" w:rsidTr="00992D7A">
        <w:trPr>
          <w:jc w:val="center"/>
        </w:trPr>
        <w:tc>
          <w:tcPr>
            <w:tcW w:w="2689" w:type="dxa"/>
            <w:gridSpan w:val="2"/>
            <w:tcBorders>
              <w:top w:val="single" w:sz="4" w:space="0" w:color="auto"/>
              <w:left w:val="single" w:sz="4" w:space="0" w:color="auto"/>
              <w:bottom w:val="single" w:sz="4" w:space="0" w:color="auto"/>
              <w:right w:val="single" w:sz="4" w:space="0" w:color="auto"/>
            </w:tcBorders>
          </w:tcPr>
          <w:p w14:paraId="657895AD" w14:textId="77777777" w:rsidR="00D92F6C" w:rsidRPr="000F3006" w:rsidRDefault="00D92F6C" w:rsidP="00476031">
            <w:pPr>
              <w:rPr>
                <w:rFonts w:ascii="Times New Roman" w:hAnsi="Times New Roman"/>
              </w:rPr>
            </w:pPr>
            <w:r w:rsidRPr="000F3006">
              <w:rPr>
                <w:rFonts w:ascii="Times New Roman" w:hAnsi="Times New Roman"/>
              </w:rPr>
              <w:t>Implementation Modality</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5E12EF67" w14:textId="77777777" w:rsidR="00834711" w:rsidRPr="000F3006" w:rsidRDefault="00EC42B9" w:rsidP="003A4032">
            <w:pPr>
              <w:spacing w:after="120" w:line="240" w:lineRule="auto"/>
              <w:jc w:val="both"/>
              <w:rPr>
                <w:rFonts w:ascii="Times New Roman" w:hAnsi="Times New Roman"/>
                <w:iCs/>
              </w:rPr>
            </w:pPr>
            <w:r w:rsidRPr="000F3006">
              <w:rPr>
                <w:rFonts w:ascii="Times New Roman" w:hAnsi="Times New Roman"/>
                <w:iCs/>
              </w:rPr>
              <w:t>Direct Management</w:t>
            </w:r>
          </w:p>
        </w:tc>
      </w:tr>
      <w:tr w:rsidR="00D92F6C" w:rsidRPr="000F3006" w14:paraId="01B1EC65" w14:textId="77777777" w:rsidTr="00992D7A">
        <w:trPr>
          <w:jc w:val="center"/>
        </w:trPr>
        <w:tc>
          <w:tcPr>
            <w:tcW w:w="2689" w:type="dxa"/>
            <w:gridSpan w:val="2"/>
            <w:tcBorders>
              <w:top w:val="single" w:sz="4" w:space="0" w:color="auto"/>
              <w:left w:val="single" w:sz="4" w:space="0" w:color="auto"/>
              <w:bottom w:val="single" w:sz="4" w:space="0" w:color="auto"/>
              <w:right w:val="single" w:sz="4" w:space="0" w:color="auto"/>
            </w:tcBorders>
          </w:tcPr>
          <w:p w14:paraId="525E00CD" w14:textId="77777777" w:rsidR="00D92F6C" w:rsidRPr="000F3006" w:rsidRDefault="00D92F6C" w:rsidP="007A1353">
            <w:pPr>
              <w:rPr>
                <w:rFonts w:ascii="Times New Roman" w:hAnsi="Times New Roman"/>
              </w:rPr>
            </w:pPr>
            <w:r w:rsidRPr="000F3006">
              <w:rPr>
                <w:rFonts w:ascii="Times New Roman" w:hAnsi="Times New Roman"/>
              </w:rPr>
              <w:t xml:space="preserve">Budget Support Readiness </w:t>
            </w:r>
            <w:r w:rsidR="004262E0" w:rsidRPr="000F3006">
              <w:rPr>
                <w:rFonts w:ascii="Times New Roman" w:hAnsi="Times New Roman"/>
              </w:rPr>
              <w:t>(only in the action is implemented through Budget Support)</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7B5186EB" w14:textId="77777777" w:rsidR="00D92F6C" w:rsidRPr="000F3006" w:rsidRDefault="00AD107F" w:rsidP="00476031">
            <w:pPr>
              <w:spacing w:after="120" w:line="240" w:lineRule="auto"/>
              <w:jc w:val="both"/>
              <w:rPr>
                <w:rFonts w:ascii="Times New Roman" w:hAnsi="Times New Roman"/>
                <w:i/>
              </w:rPr>
            </w:pPr>
            <w:r w:rsidRPr="000F3006">
              <w:rPr>
                <w:rFonts w:ascii="Times New Roman" w:hAnsi="Times New Roman"/>
                <w:iCs/>
              </w:rPr>
              <w:t>Not applicable</w:t>
            </w:r>
          </w:p>
        </w:tc>
      </w:tr>
    </w:tbl>
    <w:p w14:paraId="21C69E75" w14:textId="77777777" w:rsidR="00D92F6C" w:rsidRPr="000F3006" w:rsidRDefault="00D92F6C" w:rsidP="00D92F6C">
      <w:pPr>
        <w:spacing w:after="0" w:line="240" w:lineRule="auto"/>
        <w:jc w:val="both"/>
        <w:rPr>
          <w:rFonts w:ascii="Times New Roman" w:hAnsi="Times New Roman"/>
          <w:i/>
          <w:sz w:val="20"/>
          <w:szCs w:val="20"/>
        </w:rPr>
        <w:sectPr w:rsidR="00D92F6C" w:rsidRPr="000F3006">
          <w:pgSz w:w="11906" w:h="16838"/>
          <w:pgMar w:top="1440" w:right="1440" w:bottom="1440" w:left="1440" w:header="708" w:footer="708" w:gutter="0"/>
          <w:cols w:space="708"/>
          <w:docGrid w:linePitch="360"/>
        </w:sectPr>
      </w:pPr>
    </w:p>
    <w:p w14:paraId="5BB9B816" w14:textId="77777777" w:rsidR="008C7455" w:rsidRDefault="008C7455" w:rsidP="008C7455">
      <w:pPr>
        <w:rPr>
          <w:rFonts w:ascii="Times New Roman" w:eastAsia="Arial" w:hAnsi="Times New Roman"/>
          <w:b/>
          <w:bCs/>
          <w:sz w:val="18"/>
          <w:szCs w:val="18"/>
        </w:rPr>
      </w:pPr>
      <w:bookmarkStart w:id="3" w:name="_Hlk103165703"/>
      <w:r w:rsidRPr="000F3006">
        <w:rPr>
          <w:rFonts w:ascii="Times New Roman" w:eastAsia="Arial" w:hAnsi="Times New Roman"/>
          <w:b/>
          <w:bCs/>
          <w:sz w:val="18"/>
          <w:szCs w:val="18"/>
        </w:rPr>
        <w:lastRenderedPageBreak/>
        <w:t xml:space="preserve">LOGICAL FRAMEWORK MATRIX </w:t>
      </w:r>
    </w:p>
    <w:tbl>
      <w:tblPr>
        <w:tblStyle w:val="TableGrid"/>
        <w:tblW w:w="14632" w:type="dxa"/>
        <w:tblLayout w:type="fixed"/>
        <w:tblLook w:val="04A0" w:firstRow="1" w:lastRow="0" w:firstColumn="1" w:lastColumn="0" w:noHBand="0" w:noVBand="1"/>
      </w:tblPr>
      <w:tblGrid>
        <w:gridCol w:w="3085"/>
        <w:gridCol w:w="3402"/>
        <w:gridCol w:w="1418"/>
        <w:gridCol w:w="1559"/>
        <w:gridCol w:w="1417"/>
        <w:gridCol w:w="1745"/>
        <w:gridCol w:w="2006"/>
      </w:tblGrid>
      <w:tr w:rsidR="00220B44" w:rsidRPr="000F3006" w14:paraId="55C74AE1" w14:textId="77777777" w:rsidTr="004F3674">
        <w:trPr>
          <w:gridAfter w:val="1"/>
          <w:wAfter w:w="2006" w:type="dxa"/>
          <w:trHeight w:val="275"/>
        </w:trPr>
        <w:tc>
          <w:tcPr>
            <w:tcW w:w="3085" w:type="dxa"/>
            <w:vAlign w:val="center"/>
          </w:tcPr>
          <w:p w14:paraId="7ED7FCB4" w14:textId="77777777" w:rsidR="00220B44" w:rsidRPr="000F3006" w:rsidRDefault="00220B44" w:rsidP="006D6952">
            <w:pPr>
              <w:spacing w:after="0" w:line="240" w:lineRule="auto"/>
              <w:jc w:val="center"/>
              <w:rPr>
                <w:rFonts w:ascii="Times New Roman" w:hAnsi="Times New Roman"/>
                <w:sz w:val="18"/>
                <w:szCs w:val="18"/>
              </w:rPr>
            </w:pPr>
            <w:r w:rsidRPr="000F3006">
              <w:rPr>
                <w:rFonts w:ascii="Times New Roman" w:hAnsi="Times New Roman"/>
                <w:b/>
                <w:bCs/>
                <w:sz w:val="18"/>
                <w:szCs w:val="18"/>
              </w:rPr>
              <w:t>OVERALL OBJECTIVE(S) / (IMPACT(S))</w:t>
            </w:r>
          </w:p>
        </w:tc>
        <w:tc>
          <w:tcPr>
            <w:tcW w:w="3402" w:type="dxa"/>
            <w:vAlign w:val="center"/>
          </w:tcPr>
          <w:p w14:paraId="3F0687FE" w14:textId="77777777" w:rsidR="00220B44" w:rsidRPr="000F3006" w:rsidRDefault="00220B44" w:rsidP="006D6952">
            <w:pPr>
              <w:spacing w:after="0" w:line="240" w:lineRule="auto"/>
              <w:jc w:val="center"/>
              <w:rPr>
                <w:rFonts w:ascii="Times New Roman" w:hAnsi="Times New Roman"/>
                <w:sz w:val="18"/>
                <w:szCs w:val="18"/>
              </w:rPr>
            </w:pPr>
            <w:r w:rsidRPr="000F3006">
              <w:rPr>
                <w:rFonts w:ascii="Times New Roman" w:hAnsi="Times New Roman"/>
                <w:b/>
                <w:bCs/>
                <w:sz w:val="18"/>
                <w:szCs w:val="18"/>
              </w:rPr>
              <w:t>OBJECTIVELY VERIFIABLE INDICATORS</w:t>
            </w:r>
          </w:p>
        </w:tc>
        <w:tc>
          <w:tcPr>
            <w:tcW w:w="1418" w:type="dxa"/>
            <w:vAlign w:val="center"/>
          </w:tcPr>
          <w:p w14:paraId="789BE5D3" w14:textId="77777777" w:rsidR="00220B44" w:rsidRPr="000F3006" w:rsidRDefault="00220B44" w:rsidP="006D6952">
            <w:pPr>
              <w:spacing w:after="0" w:line="240" w:lineRule="auto"/>
              <w:jc w:val="center"/>
              <w:rPr>
                <w:rFonts w:ascii="Times New Roman" w:hAnsi="Times New Roman"/>
                <w:sz w:val="18"/>
                <w:szCs w:val="18"/>
              </w:rPr>
            </w:pPr>
            <w:r w:rsidRPr="000F3006">
              <w:rPr>
                <w:rFonts w:ascii="Times New Roman" w:hAnsi="Times New Roman"/>
                <w:b/>
                <w:bCs/>
                <w:sz w:val="18"/>
                <w:szCs w:val="18"/>
              </w:rPr>
              <w:t>BASELINES (VALUE AND YEAR</w:t>
            </w:r>
            <w:r w:rsidRPr="000F3006">
              <w:rPr>
                <w:rStyle w:val="FootnoteReference"/>
                <w:rFonts w:ascii="Times New Roman" w:hAnsi="Times New Roman"/>
                <w:b/>
                <w:bCs/>
                <w:sz w:val="18"/>
                <w:szCs w:val="18"/>
              </w:rPr>
              <w:footnoteReference w:id="2"/>
            </w:r>
            <w:r w:rsidRPr="000F3006">
              <w:rPr>
                <w:rFonts w:ascii="Times New Roman" w:hAnsi="Times New Roman"/>
                <w:b/>
                <w:bCs/>
                <w:sz w:val="18"/>
                <w:szCs w:val="18"/>
              </w:rPr>
              <w:t>)</w:t>
            </w:r>
          </w:p>
        </w:tc>
        <w:tc>
          <w:tcPr>
            <w:tcW w:w="1559" w:type="dxa"/>
            <w:vAlign w:val="center"/>
          </w:tcPr>
          <w:p w14:paraId="0FCCC598" w14:textId="77777777" w:rsidR="00220B44" w:rsidRPr="000F3006" w:rsidRDefault="00220B44" w:rsidP="006D6952">
            <w:pPr>
              <w:spacing w:after="0" w:line="240" w:lineRule="auto"/>
              <w:jc w:val="center"/>
              <w:rPr>
                <w:rFonts w:ascii="Times New Roman" w:hAnsi="Times New Roman"/>
                <w:sz w:val="18"/>
                <w:szCs w:val="18"/>
              </w:rPr>
            </w:pPr>
            <w:r w:rsidRPr="000F3006">
              <w:rPr>
                <w:rFonts w:ascii="Times New Roman" w:hAnsi="Times New Roman"/>
                <w:b/>
                <w:bCs/>
                <w:sz w:val="18"/>
                <w:szCs w:val="18"/>
              </w:rPr>
              <w:t>MILESTONES (OPTIONAL)</w:t>
            </w:r>
          </w:p>
        </w:tc>
        <w:tc>
          <w:tcPr>
            <w:tcW w:w="1417" w:type="dxa"/>
            <w:vAlign w:val="center"/>
          </w:tcPr>
          <w:p w14:paraId="3DC50819" w14:textId="77777777" w:rsidR="00220B44" w:rsidRPr="000F3006" w:rsidRDefault="00220B44" w:rsidP="006D6952">
            <w:pPr>
              <w:spacing w:after="0" w:line="240" w:lineRule="auto"/>
              <w:jc w:val="center"/>
              <w:rPr>
                <w:rFonts w:ascii="Times New Roman" w:hAnsi="Times New Roman"/>
                <w:sz w:val="18"/>
                <w:szCs w:val="18"/>
              </w:rPr>
            </w:pPr>
            <w:r w:rsidRPr="000F3006">
              <w:rPr>
                <w:rFonts w:ascii="Times New Roman" w:hAnsi="Times New Roman"/>
                <w:b/>
                <w:bCs/>
                <w:sz w:val="18"/>
                <w:szCs w:val="18"/>
              </w:rPr>
              <w:t>TARGETS</w:t>
            </w:r>
          </w:p>
        </w:tc>
        <w:tc>
          <w:tcPr>
            <w:tcW w:w="1745" w:type="dxa"/>
            <w:vAlign w:val="center"/>
          </w:tcPr>
          <w:p w14:paraId="4AD4838B" w14:textId="77777777" w:rsidR="00220B44" w:rsidRPr="000F3006" w:rsidRDefault="00220B44" w:rsidP="006D6952">
            <w:pPr>
              <w:spacing w:after="0" w:line="240" w:lineRule="auto"/>
              <w:jc w:val="center"/>
              <w:rPr>
                <w:rFonts w:ascii="Times New Roman" w:hAnsi="Times New Roman"/>
                <w:sz w:val="18"/>
                <w:szCs w:val="18"/>
              </w:rPr>
            </w:pPr>
            <w:r w:rsidRPr="000F3006">
              <w:rPr>
                <w:rFonts w:ascii="Times New Roman" w:hAnsi="Times New Roman"/>
                <w:b/>
                <w:bCs/>
                <w:sz w:val="18"/>
                <w:szCs w:val="18"/>
              </w:rPr>
              <w:t>SOURCES &amp; MEANS OF VERIFICATION</w:t>
            </w:r>
          </w:p>
        </w:tc>
      </w:tr>
      <w:tr w:rsidR="004F3674" w:rsidRPr="000F3006" w14:paraId="053663C7" w14:textId="77777777" w:rsidTr="004F3674">
        <w:trPr>
          <w:gridAfter w:val="1"/>
          <w:wAfter w:w="2006" w:type="dxa"/>
          <w:trHeight w:val="621"/>
        </w:trPr>
        <w:tc>
          <w:tcPr>
            <w:tcW w:w="3085" w:type="dxa"/>
            <w:vMerge w:val="restart"/>
            <w:vAlign w:val="center"/>
          </w:tcPr>
          <w:p w14:paraId="59907C58" w14:textId="00B84EE9" w:rsidR="004F3674" w:rsidRPr="003933E1" w:rsidRDefault="003933E1" w:rsidP="006D6952">
            <w:pPr>
              <w:spacing w:after="0" w:line="240" w:lineRule="auto"/>
              <w:rPr>
                <w:rFonts w:ascii="Times New Roman" w:hAnsi="Times New Roman"/>
                <w:sz w:val="18"/>
                <w:szCs w:val="18"/>
              </w:rPr>
            </w:pPr>
            <w:r>
              <w:rPr>
                <w:rFonts w:ascii="Times New Roman" w:hAnsi="Times New Roman"/>
                <w:sz w:val="18"/>
                <w:szCs w:val="18"/>
              </w:rPr>
              <w:t>T</w:t>
            </w:r>
            <w:r w:rsidRPr="00A33411">
              <w:rPr>
                <w:rFonts w:ascii="Times New Roman" w:hAnsi="Times New Roman"/>
                <w:sz w:val="18"/>
                <w:szCs w:val="18"/>
              </w:rPr>
              <w:t>o enhance the structural reforms in the areas of energy, civil protection, and transport in line with the EU policies</w:t>
            </w:r>
          </w:p>
        </w:tc>
        <w:tc>
          <w:tcPr>
            <w:tcW w:w="3402" w:type="dxa"/>
            <w:vAlign w:val="center"/>
          </w:tcPr>
          <w:p w14:paraId="16FF174F" w14:textId="77777777" w:rsidR="004F3674" w:rsidRPr="000F3006" w:rsidRDefault="004F3674" w:rsidP="006D6952">
            <w:pPr>
              <w:spacing w:after="0" w:line="240" w:lineRule="auto"/>
              <w:rPr>
                <w:rFonts w:ascii="Times New Roman" w:hAnsi="Times New Roman"/>
                <w:sz w:val="18"/>
                <w:szCs w:val="18"/>
              </w:rPr>
            </w:pPr>
            <w:r w:rsidRPr="00897802">
              <w:rPr>
                <w:rFonts w:ascii="Times New Roman" w:hAnsi="Times New Roman"/>
                <w:sz w:val="18"/>
                <w:szCs w:val="18"/>
              </w:rPr>
              <w:t>Share of renewable energy</w:t>
            </w:r>
            <w:r>
              <w:rPr>
                <w:rFonts w:ascii="Times New Roman" w:hAnsi="Times New Roman"/>
                <w:sz w:val="18"/>
                <w:szCs w:val="18"/>
              </w:rPr>
              <w:t xml:space="preserve"> </w:t>
            </w:r>
            <w:r w:rsidRPr="004A75A4">
              <w:rPr>
                <w:rFonts w:ascii="Times New Roman" w:hAnsi="Times New Roman"/>
                <w:sz w:val="18"/>
                <w:szCs w:val="18"/>
              </w:rPr>
              <w:t>in the gross final energy consumption</w:t>
            </w:r>
            <w:r w:rsidRPr="001F4ED9">
              <w:rPr>
                <w:sz w:val="20"/>
                <w:szCs w:val="20"/>
                <w:vertAlign w:val="superscript"/>
              </w:rPr>
              <w:footnoteReference w:id="3"/>
            </w:r>
          </w:p>
        </w:tc>
        <w:tc>
          <w:tcPr>
            <w:tcW w:w="1418" w:type="dxa"/>
            <w:vAlign w:val="center"/>
          </w:tcPr>
          <w:p w14:paraId="532DF549" w14:textId="77777777" w:rsidR="004F3674" w:rsidRPr="000F3006" w:rsidRDefault="00714555" w:rsidP="006D6952">
            <w:pPr>
              <w:spacing w:after="0" w:line="240" w:lineRule="auto"/>
              <w:rPr>
                <w:rFonts w:ascii="Times New Roman" w:hAnsi="Times New Roman"/>
                <w:sz w:val="18"/>
                <w:szCs w:val="18"/>
              </w:rPr>
            </w:pPr>
            <w:r w:rsidRPr="00EF4A86">
              <w:rPr>
                <w:rFonts w:ascii="Times New Roman" w:hAnsi="Times New Roman"/>
                <w:sz w:val="18"/>
                <w:szCs w:val="18"/>
              </w:rPr>
              <w:t>19,02%</w:t>
            </w:r>
            <w:r w:rsidR="004F3674" w:rsidRPr="00EF4A86">
              <w:rPr>
                <w:rFonts w:ascii="Times New Roman" w:hAnsi="Times New Roman"/>
                <w:sz w:val="18"/>
                <w:szCs w:val="18"/>
              </w:rPr>
              <w:t xml:space="preserve"> (</w:t>
            </w:r>
            <w:r w:rsidRPr="00EF4A86">
              <w:rPr>
                <w:rFonts w:ascii="Times New Roman" w:hAnsi="Times New Roman"/>
                <w:sz w:val="18"/>
                <w:szCs w:val="18"/>
              </w:rPr>
              <w:t>2020</w:t>
            </w:r>
            <w:r w:rsidR="004F3674" w:rsidRPr="00EF4A86">
              <w:rPr>
                <w:rFonts w:ascii="Times New Roman" w:hAnsi="Times New Roman"/>
                <w:sz w:val="18"/>
                <w:szCs w:val="18"/>
              </w:rPr>
              <w:t>)</w:t>
            </w:r>
          </w:p>
        </w:tc>
        <w:tc>
          <w:tcPr>
            <w:tcW w:w="1559" w:type="dxa"/>
            <w:vAlign w:val="center"/>
          </w:tcPr>
          <w:p w14:paraId="2527C537" w14:textId="77777777" w:rsidR="004F3674" w:rsidRPr="000F3006" w:rsidRDefault="004F3674" w:rsidP="006D6952">
            <w:pPr>
              <w:spacing w:after="0" w:line="240" w:lineRule="auto"/>
              <w:rPr>
                <w:rFonts w:ascii="Times New Roman" w:hAnsi="Times New Roman"/>
                <w:sz w:val="18"/>
                <w:szCs w:val="18"/>
              </w:rPr>
            </w:pPr>
          </w:p>
        </w:tc>
        <w:tc>
          <w:tcPr>
            <w:tcW w:w="1417" w:type="dxa"/>
            <w:vAlign w:val="center"/>
          </w:tcPr>
          <w:p w14:paraId="01C5A4B4" w14:textId="77777777" w:rsidR="004F3674" w:rsidRPr="000F3006" w:rsidRDefault="004F3674" w:rsidP="006D6952">
            <w:pPr>
              <w:spacing w:after="0" w:line="240" w:lineRule="auto"/>
              <w:rPr>
                <w:rFonts w:ascii="Times New Roman" w:hAnsi="Times New Roman"/>
                <w:sz w:val="18"/>
                <w:szCs w:val="18"/>
              </w:rPr>
            </w:pPr>
            <w:r w:rsidRPr="00897802">
              <w:rPr>
                <w:rFonts w:ascii="Times New Roman" w:hAnsi="Times New Roman"/>
                <w:sz w:val="18"/>
                <w:szCs w:val="18"/>
                <w:lang w:val="de-DE" w:eastAsia="en-US"/>
              </w:rPr>
              <w:t>≥ 31% (2027)</w:t>
            </w:r>
          </w:p>
        </w:tc>
        <w:tc>
          <w:tcPr>
            <w:tcW w:w="1745" w:type="dxa"/>
            <w:vAlign w:val="center"/>
          </w:tcPr>
          <w:p w14:paraId="164C3914" w14:textId="77777777" w:rsidR="004F3674" w:rsidRPr="000F3006" w:rsidRDefault="004F3674" w:rsidP="006D6952">
            <w:pPr>
              <w:spacing w:after="0" w:line="240" w:lineRule="auto"/>
              <w:rPr>
                <w:rFonts w:ascii="Times New Roman" w:hAnsi="Times New Roman"/>
                <w:sz w:val="18"/>
                <w:szCs w:val="18"/>
              </w:rPr>
            </w:pPr>
            <w:r>
              <w:rPr>
                <w:rFonts w:ascii="Times New Roman" w:hAnsi="Times New Roman"/>
                <w:sz w:val="18"/>
                <w:szCs w:val="18"/>
              </w:rPr>
              <w:t>SSO</w:t>
            </w:r>
          </w:p>
        </w:tc>
      </w:tr>
      <w:tr w:rsidR="00220B44" w:rsidRPr="000F3006" w14:paraId="6AD3A927" w14:textId="77777777" w:rsidTr="004F3674">
        <w:trPr>
          <w:gridAfter w:val="1"/>
          <w:wAfter w:w="2006" w:type="dxa"/>
          <w:trHeight w:val="349"/>
        </w:trPr>
        <w:tc>
          <w:tcPr>
            <w:tcW w:w="3085" w:type="dxa"/>
            <w:vMerge/>
            <w:vAlign w:val="center"/>
          </w:tcPr>
          <w:p w14:paraId="129E738E" w14:textId="77777777" w:rsidR="00220B44" w:rsidRPr="000F3006" w:rsidRDefault="00220B44" w:rsidP="006D6952">
            <w:pPr>
              <w:spacing w:after="0" w:line="240" w:lineRule="auto"/>
              <w:rPr>
                <w:rFonts w:ascii="Times New Roman" w:hAnsi="Times New Roman"/>
                <w:sz w:val="18"/>
                <w:szCs w:val="18"/>
              </w:rPr>
            </w:pPr>
          </w:p>
        </w:tc>
        <w:tc>
          <w:tcPr>
            <w:tcW w:w="3402" w:type="dxa"/>
            <w:vAlign w:val="center"/>
          </w:tcPr>
          <w:p w14:paraId="63C3D325" w14:textId="77777777" w:rsidR="00220B44" w:rsidRDefault="00220B44" w:rsidP="006D6952">
            <w:pPr>
              <w:spacing w:after="0" w:line="240" w:lineRule="auto"/>
              <w:rPr>
                <w:rFonts w:ascii="Times New Roman" w:hAnsi="Times New Roman"/>
                <w:sz w:val="18"/>
                <w:szCs w:val="18"/>
              </w:rPr>
            </w:pPr>
            <w:r w:rsidRPr="00897802">
              <w:rPr>
                <w:rFonts w:ascii="Times New Roman" w:hAnsi="Times New Roman"/>
                <w:sz w:val="18"/>
                <w:szCs w:val="18"/>
              </w:rPr>
              <w:t>Energy efficiency measured as Intensity of final energy consumption per unit of GDP (Chain linked volumes (2015) millions Euro)</w:t>
            </w:r>
            <w:r w:rsidRPr="001F4ED9">
              <w:rPr>
                <w:sz w:val="20"/>
                <w:szCs w:val="20"/>
                <w:vertAlign w:val="superscript"/>
              </w:rPr>
              <w:footnoteReference w:id="4"/>
            </w:r>
          </w:p>
        </w:tc>
        <w:tc>
          <w:tcPr>
            <w:tcW w:w="1418" w:type="dxa"/>
            <w:vAlign w:val="center"/>
          </w:tcPr>
          <w:p w14:paraId="6A8813FF" w14:textId="77777777" w:rsidR="00220B44" w:rsidRPr="00727ECC" w:rsidRDefault="00220B44" w:rsidP="006D6952">
            <w:pPr>
              <w:spacing w:after="0" w:line="240" w:lineRule="auto"/>
              <w:jc w:val="both"/>
              <w:outlineLvl w:val="1"/>
              <w:rPr>
                <w:rFonts w:ascii="Times New Roman" w:hAnsi="Times New Roman"/>
                <w:sz w:val="18"/>
                <w:szCs w:val="18"/>
                <w:lang w:val="de-DE" w:eastAsia="en-US"/>
              </w:rPr>
            </w:pPr>
            <w:r w:rsidRPr="00727ECC">
              <w:rPr>
                <w:rFonts w:ascii="Times New Roman" w:hAnsi="Times New Roman"/>
                <w:sz w:val="18"/>
                <w:szCs w:val="18"/>
                <w:lang w:val="de-DE" w:eastAsia="en-US"/>
              </w:rPr>
              <w:t>1856ktoe/9688. mill EUR</w:t>
            </w:r>
          </w:p>
          <w:p w14:paraId="01740A83" w14:textId="77777777" w:rsidR="00220B44" w:rsidRPr="00220B44" w:rsidRDefault="00220B44" w:rsidP="006D6952">
            <w:pPr>
              <w:spacing w:after="0" w:line="240" w:lineRule="auto"/>
              <w:rPr>
                <w:rFonts w:ascii="Times New Roman" w:hAnsi="Times New Roman"/>
                <w:sz w:val="18"/>
                <w:szCs w:val="18"/>
                <w:lang w:val="de-DE"/>
              </w:rPr>
            </w:pPr>
            <w:r w:rsidRPr="00727ECC">
              <w:rPr>
                <w:rFonts w:ascii="Times New Roman" w:hAnsi="Times New Roman"/>
                <w:sz w:val="18"/>
                <w:szCs w:val="18"/>
                <w:lang w:val="de-DE" w:eastAsia="en-US"/>
              </w:rPr>
              <w:t>0.19 kgoe/EUR (2018)</w:t>
            </w:r>
          </w:p>
        </w:tc>
        <w:tc>
          <w:tcPr>
            <w:tcW w:w="1559" w:type="dxa"/>
            <w:vAlign w:val="center"/>
          </w:tcPr>
          <w:p w14:paraId="5BC3F424" w14:textId="77777777" w:rsidR="00220B44" w:rsidRPr="00727ECC" w:rsidRDefault="00220B44" w:rsidP="006D6952">
            <w:pPr>
              <w:spacing w:after="0" w:line="240" w:lineRule="auto"/>
              <w:rPr>
                <w:rFonts w:ascii="Times New Roman" w:hAnsi="Times New Roman"/>
                <w:b/>
                <w:bCs/>
                <w:sz w:val="18"/>
                <w:szCs w:val="18"/>
                <w:lang w:val="de-DE"/>
              </w:rPr>
            </w:pPr>
          </w:p>
          <w:p w14:paraId="0779FDE5" w14:textId="77777777" w:rsidR="00220B44" w:rsidRPr="00727ECC" w:rsidRDefault="00220B44" w:rsidP="006D6952">
            <w:pPr>
              <w:spacing w:after="0" w:line="240" w:lineRule="auto"/>
              <w:rPr>
                <w:rFonts w:ascii="Times New Roman" w:hAnsi="Times New Roman"/>
                <w:b/>
                <w:bCs/>
                <w:sz w:val="18"/>
                <w:szCs w:val="18"/>
                <w:lang w:val="de-DE"/>
              </w:rPr>
            </w:pPr>
          </w:p>
          <w:p w14:paraId="6E0DFFF2" w14:textId="77777777" w:rsidR="00220B44" w:rsidRPr="00220B44" w:rsidRDefault="00220B44" w:rsidP="006D6952">
            <w:pPr>
              <w:spacing w:after="0" w:line="240" w:lineRule="auto"/>
              <w:rPr>
                <w:rFonts w:ascii="Times New Roman" w:hAnsi="Times New Roman"/>
                <w:sz w:val="18"/>
                <w:szCs w:val="18"/>
                <w:lang w:val="de-DE"/>
              </w:rPr>
            </w:pPr>
          </w:p>
        </w:tc>
        <w:tc>
          <w:tcPr>
            <w:tcW w:w="1417" w:type="dxa"/>
          </w:tcPr>
          <w:p w14:paraId="2A20EB3D" w14:textId="77777777" w:rsidR="00220B44" w:rsidRDefault="00220B44" w:rsidP="006D6952">
            <w:pPr>
              <w:spacing w:after="0" w:line="240" w:lineRule="auto"/>
              <w:rPr>
                <w:rFonts w:ascii="Times New Roman" w:hAnsi="Times New Roman"/>
                <w:sz w:val="18"/>
                <w:szCs w:val="18"/>
              </w:rPr>
            </w:pPr>
            <w:r w:rsidRPr="00897802">
              <w:rPr>
                <w:rFonts w:ascii="Times New Roman" w:hAnsi="Times New Roman"/>
                <w:sz w:val="18"/>
                <w:szCs w:val="18"/>
                <w:lang w:val="de-DE" w:eastAsia="en-US"/>
              </w:rPr>
              <w:t>≤ 0.16 kgoe/EUR (2027)</w:t>
            </w:r>
          </w:p>
        </w:tc>
        <w:tc>
          <w:tcPr>
            <w:tcW w:w="1745" w:type="dxa"/>
            <w:vAlign w:val="center"/>
          </w:tcPr>
          <w:p w14:paraId="4BED549B" w14:textId="77777777" w:rsidR="00220B44" w:rsidRDefault="00220B44" w:rsidP="006D6952">
            <w:pPr>
              <w:spacing w:after="0" w:line="240" w:lineRule="auto"/>
              <w:rPr>
                <w:rFonts w:ascii="Times New Roman" w:hAnsi="Times New Roman"/>
                <w:sz w:val="18"/>
                <w:szCs w:val="18"/>
              </w:rPr>
            </w:pPr>
            <w:r>
              <w:rPr>
                <w:rFonts w:ascii="Times New Roman" w:hAnsi="Times New Roman"/>
                <w:sz w:val="18"/>
                <w:szCs w:val="18"/>
              </w:rPr>
              <w:t>SSO</w:t>
            </w:r>
          </w:p>
        </w:tc>
      </w:tr>
      <w:tr w:rsidR="00220B44" w:rsidRPr="005B71FE" w14:paraId="6991BACA" w14:textId="77777777" w:rsidTr="004F3674">
        <w:trPr>
          <w:gridAfter w:val="1"/>
          <w:wAfter w:w="2006" w:type="dxa"/>
          <w:trHeight w:val="275"/>
        </w:trPr>
        <w:tc>
          <w:tcPr>
            <w:tcW w:w="3085" w:type="dxa"/>
            <w:vMerge/>
            <w:vAlign w:val="center"/>
          </w:tcPr>
          <w:p w14:paraId="550D3E1E" w14:textId="77777777" w:rsidR="00220B44" w:rsidRPr="000F3006" w:rsidRDefault="00220B44" w:rsidP="006D6952">
            <w:pPr>
              <w:spacing w:after="0" w:line="240" w:lineRule="auto"/>
              <w:rPr>
                <w:rFonts w:ascii="Times New Roman" w:hAnsi="Times New Roman"/>
                <w:sz w:val="18"/>
                <w:szCs w:val="18"/>
              </w:rPr>
            </w:pPr>
          </w:p>
        </w:tc>
        <w:tc>
          <w:tcPr>
            <w:tcW w:w="3402" w:type="dxa"/>
          </w:tcPr>
          <w:p w14:paraId="7814F5F6" w14:textId="77777777" w:rsidR="00220B44" w:rsidRPr="00727ECC" w:rsidRDefault="00220B44" w:rsidP="006D6952">
            <w:pPr>
              <w:spacing w:after="0" w:line="240" w:lineRule="auto"/>
              <w:rPr>
                <w:rFonts w:ascii="Times New Roman" w:hAnsi="Times New Roman"/>
                <w:sz w:val="18"/>
                <w:szCs w:val="18"/>
              </w:rPr>
            </w:pPr>
            <w:r w:rsidRPr="00D2544E">
              <w:rPr>
                <w:rFonts w:ascii="Times New Roman" w:hAnsi="Times New Roman"/>
                <w:sz w:val="18"/>
                <w:szCs w:val="18"/>
              </w:rPr>
              <w:t>Road fatalities (number of road fatalities over population, 1,000,000)</w:t>
            </w:r>
            <w:r w:rsidRPr="001F4ED9">
              <w:rPr>
                <w:sz w:val="20"/>
                <w:szCs w:val="20"/>
                <w:vertAlign w:val="superscript"/>
              </w:rPr>
              <w:footnoteReference w:id="5"/>
            </w:r>
          </w:p>
        </w:tc>
        <w:tc>
          <w:tcPr>
            <w:tcW w:w="1418" w:type="dxa"/>
            <w:vAlign w:val="center"/>
          </w:tcPr>
          <w:p w14:paraId="572CE23D" w14:textId="77777777" w:rsidR="00220B44" w:rsidRPr="000F3006" w:rsidRDefault="00220B44" w:rsidP="006D6952">
            <w:pPr>
              <w:spacing w:after="0" w:line="240" w:lineRule="auto"/>
              <w:rPr>
                <w:rFonts w:ascii="Times New Roman" w:hAnsi="Times New Roman"/>
                <w:sz w:val="18"/>
                <w:szCs w:val="18"/>
              </w:rPr>
            </w:pPr>
            <w:r w:rsidRPr="00727ECC">
              <w:rPr>
                <w:rFonts w:ascii="Times New Roman" w:hAnsi="Times New Roman"/>
                <w:sz w:val="18"/>
                <w:szCs w:val="18"/>
              </w:rPr>
              <w:t>56,07 (2020)</w:t>
            </w:r>
          </w:p>
        </w:tc>
        <w:tc>
          <w:tcPr>
            <w:tcW w:w="1559" w:type="dxa"/>
            <w:vAlign w:val="center"/>
          </w:tcPr>
          <w:p w14:paraId="6FF0325F" w14:textId="77777777" w:rsidR="00220B44" w:rsidRPr="000F3006" w:rsidRDefault="00220B44" w:rsidP="006D6952">
            <w:pPr>
              <w:spacing w:after="0" w:line="240" w:lineRule="auto"/>
              <w:rPr>
                <w:rFonts w:ascii="Times New Roman" w:hAnsi="Times New Roman"/>
                <w:sz w:val="18"/>
                <w:szCs w:val="18"/>
              </w:rPr>
            </w:pPr>
          </w:p>
        </w:tc>
        <w:tc>
          <w:tcPr>
            <w:tcW w:w="1417" w:type="dxa"/>
            <w:vAlign w:val="center"/>
          </w:tcPr>
          <w:p w14:paraId="6CC95C26" w14:textId="77777777" w:rsidR="00220B44" w:rsidRPr="000F3006" w:rsidRDefault="00220B44" w:rsidP="006D6952">
            <w:pPr>
              <w:spacing w:after="0" w:line="240" w:lineRule="auto"/>
              <w:rPr>
                <w:rFonts w:ascii="Times New Roman" w:hAnsi="Times New Roman"/>
                <w:sz w:val="18"/>
                <w:szCs w:val="18"/>
              </w:rPr>
            </w:pPr>
            <w:r w:rsidRPr="00897802">
              <w:rPr>
                <w:rFonts w:ascii="Times New Roman" w:hAnsi="Times New Roman"/>
                <w:sz w:val="18"/>
                <w:szCs w:val="18"/>
                <w:lang w:val="de-DE" w:eastAsia="en-US"/>
              </w:rPr>
              <w:t>≤ 48 (202</w:t>
            </w:r>
            <w:r>
              <w:rPr>
                <w:rFonts w:ascii="Times New Roman" w:hAnsi="Times New Roman"/>
                <w:sz w:val="18"/>
                <w:szCs w:val="18"/>
                <w:lang w:val="de-DE" w:eastAsia="en-US"/>
              </w:rPr>
              <w:t>7</w:t>
            </w:r>
            <w:r w:rsidRPr="00897802">
              <w:rPr>
                <w:rFonts w:ascii="Times New Roman" w:hAnsi="Times New Roman"/>
                <w:sz w:val="18"/>
                <w:szCs w:val="18"/>
                <w:lang w:val="de-DE" w:eastAsia="en-US"/>
              </w:rPr>
              <w:t>)</w:t>
            </w:r>
          </w:p>
        </w:tc>
        <w:tc>
          <w:tcPr>
            <w:tcW w:w="1745" w:type="dxa"/>
            <w:vAlign w:val="center"/>
          </w:tcPr>
          <w:p w14:paraId="03E0FE8B" w14:textId="77777777" w:rsidR="00220B44" w:rsidRPr="000F3006" w:rsidRDefault="00220B44" w:rsidP="006D6952">
            <w:pPr>
              <w:spacing w:after="0" w:line="240" w:lineRule="auto"/>
              <w:rPr>
                <w:rFonts w:ascii="Times New Roman" w:hAnsi="Times New Roman"/>
                <w:sz w:val="18"/>
                <w:szCs w:val="18"/>
              </w:rPr>
            </w:pPr>
            <w:r>
              <w:rPr>
                <w:rFonts w:ascii="Times New Roman" w:hAnsi="Times New Roman"/>
                <w:sz w:val="18"/>
                <w:szCs w:val="18"/>
              </w:rPr>
              <w:t>SSO</w:t>
            </w:r>
          </w:p>
        </w:tc>
      </w:tr>
      <w:tr w:rsidR="00220B44" w:rsidRPr="000F3006" w14:paraId="3D92475B" w14:textId="77777777" w:rsidTr="004F3674">
        <w:trPr>
          <w:gridAfter w:val="1"/>
          <w:wAfter w:w="2006" w:type="dxa"/>
          <w:trHeight w:val="275"/>
        </w:trPr>
        <w:tc>
          <w:tcPr>
            <w:tcW w:w="3085" w:type="dxa"/>
            <w:vMerge/>
            <w:vAlign w:val="center"/>
          </w:tcPr>
          <w:p w14:paraId="16B7BC3D" w14:textId="77777777" w:rsidR="00220B44" w:rsidRPr="000F3006" w:rsidRDefault="00220B44" w:rsidP="006D6952">
            <w:pPr>
              <w:spacing w:after="0" w:line="240" w:lineRule="auto"/>
              <w:rPr>
                <w:rFonts w:ascii="Times New Roman" w:hAnsi="Times New Roman"/>
                <w:sz w:val="18"/>
                <w:szCs w:val="18"/>
              </w:rPr>
            </w:pPr>
          </w:p>
        </w:tc>
        <w:tc>
          <w:tcPr>
            <w:tcW w:w="3402" w:type="dxa"/>
            <w:vAlign w:val="center"/>
          </w:tcPr>
          <w:p w14:paraId="21BD365F" w14:textId="77777777" w:rsidR="00220B44" w:rsidRPr="005B71FE" w:rsidRDefault="00220B44" w:rsidP="006D6952">
            <w:pPr>
              <w:spacing w:after="0" w:line="240" w:lineRule="auto"/>
              <w:rPr>
                <w:rFonts w:ascii="Times New Roman" w:hAnsi="Times New Roman"/>
                <w:sz w:val="18"/>
                <w:szCs w:val="18"/>
              </w:rPr>
            </w:pPr>
            <w:r w:rsidRPr="005B71FE">
              <w:rPr>
                <w:rFonts w:ascii="Times New Roman" w:hAnsi="Times New Roman"/>
                <w:sz w:val="18"/>
                <w:szCs w:val="18"/>
              </w:rPr>
              <w:t>Rail accidents per year</w:t>
            </w:r>
            <w:r w:rsidRPr="005B71FE">
              <w:rPr>
                <w:sz w:val="20"/>
                <w:szCs w:val="20"/>
                <w:vertAlign w:val="superscript"/>
              </w:rPr>
              <w:footnoteReference w:id="6"/>
            </w:r>
          </w:p>
        </w:tc>
        <w:tc>
          <w:tcPr>
            <w:tcW w:w="1418" w:type="dxa"/>
            <w:vAlign w:val="center"/>
          </w:tcPr>
          <w:p w14:paraId="72DB958D" w14:textId="77777777" w:rsidR="00220B44" w:rsidRPr="005B71FE" w:rsidRDefault="00220B44" w:rsidP="006D6952">
            <w:pPr>
              <w:spacing w:after="0" w:line="240" w:lineRule="auto"/>
              <w:rPr>
                <w:rFonts w:ascii="Times New Roman" w:hAnsi="Times New Roman"/>
                <w:sz w:val="18"/>
                <w:szCs w:val="18"/>
              </w:rPr>
            </w:pPr>
            <w:r w:rsidRPr="005B71FE">
              <w:rPr>
                <w:rFonts w:ascii="Times New Roman" w:hAnsi="Times New Roman"/>
                <w:sz w:val="18"/>
                <w:szCs w:val="18"/>
              </w:rPr>
              <w:t>63 (2020)</w:t>
            </w:r>
          </w:p>
        </w:tc>
        <w:tc>
          <w:tcPr>
            <w:tcW w:w="1559" w:type="dxa"/>
            <w:vAlign w:val="center"/>
          </w:tcPr>
          <w:p w14:paraId="6D054785" w14:textId="77777777" w:rsidR="00220B44" w:rsidRPr="005B71FE" w:rsidRDefault="00220B44" w:rsidP="006D6952">
            <w:pPr>
              <w:spacing w:after="0" w:line="240" w:lineRule="auto"/>
              <w:rPr>
                <w:rFonts w:ascii="Times New Roman" w:hAnsi="Times New Roman"/>
                <w:sz w:val="18"/>
                <w:szCs w:val="18"/>
              </w:rPr>
            </w:pPr>
          </w:p>
        </w:tc>
        <w:tc>
          <w:tcPr>
            <w:tcW w:w="1417" w:type="dxa"/>
            <w:vAlign w:val="center"/>
          </w:tcPr>
          <w:p w14:paraId="7E95988C" w14:textId="77777777" w:rsidR="00220B44" w:rsidRPr="005B71FE" w:rsidRDefault="00220B44" w:rsidP="006D6952">
            <w:pPr>
              <w:spacing w:after="0" w:line="240" w:lineRule="auto"/>
              <w:rPr>
                <w:rFonts w:ascii="Times New Roman" w:hAnsi="Times New Roman"/>
                <w:sz w:val="18"/>
                <w:szCs w:val="18"/>
              </w:rPr>
            </w:pPr>
            <w:r w:rsidRPr="005B71FE">
              <w:rPr>
                <w:rFonts w:ascii="Times New Roman" w:hAnsi="Times New Roman"/>
                <w:sz w:val="18"/>
                <w:szCs w:val="18"/>
                <w:lang w:val="de-DE" w:eastAsia="en-US"/>
              </w:rPr>
              <w:t>≤ 43 (2027)</w:t>
            </w:r>
          </w:p>
        </w:tc>
        <w:tc>
          <w:tcPr>
            <w:tcW w:w="1745" w:type="dxa"/>
            <w:vAlign w:val="center"/>
          </w:tcPr>
          <w:p w14:paraId="4C0A2DF7" w14:textId="77777777" w:rsidR="00220B44" w:rsidRPr="005B71FE" w:rsidRDefault="00220B44" w:rsidP="006D6952">
            <w:pPr>
              <w:spacing w:after="0" w:line="240" w:lineRule="auto"/>
              <w:rPr>
                <w:rFonts w:ascii="Times New Roman" w:hAnsi="Times New Roman"/>
                <w:sz w:val="18"/>
                <w:szCs w:val="18"/>
              </w:rPr>
            </w:pPr>
            <w:r w:rsidRPr="005B71FE">
              <w:rPr>
                <w:rFonts w:ascii="Times New Roman" w:hAnsi="Times New Roman"/>
                <w:sz w:val="18"/>
                <w:szCs w:val="18"/>
              </w:rPr>
              <w:t>SSO</w:t>
            </w:r>
          </w:p>
        </w:tc>
      </w:tr>
      <w:tr w:rsidR="00220B44" w:rsidRPr="000F3006" w14:paraId="4CC36E0C" w14:textId="77777777" w:rsidTr="004F3674">
        <w:trPr>
          <w:gridAfter w:val="1"/>
          <w:wAfter w:w="2006" w:type="dxa"/>
          <w:trHeight w:val="275"/>
        </w:trPr>
        <w:tc>
          <w:tcPr>
            <w:tcW w:w="3085" w:type="dxa"/>
            <w:vMerge/>
            <w:vAlign w:val="center"/>
          </w:tcPr>
          <w:p w14:paraId="2FC833BE" w14:textId="77777777" w:rsidR="00220B44" w:rsidRPr="000F3006" w:rsidRDefault="00220B44" w:rsidP="006D6952">
            <w:pPr>
              <w:spacing w:after="0" w:line="240" w:lineRule="auto"/>
              <w:rPr>
                <w:rFonts w:ascii="Times New Roman" w:hAnsi="Times New Roman"/>
                <w:sz w:val="18"/>
                <w:szCs w:val="18"/>
              </w:rPr>
            </w:pPr>
          </w:p>
        </w:tc>
        <w:tc>
          <w:tcPr>
            <w:tcW w:w="3402" w:type="dxa"/>
            <w:vAlign w:val="center"/>
          </w:tcPr>
          <w:p w14:paraId="2E75D704" w14:textId="77777777" w:rsidR="00220B44" w:rsidRDefault="00220B44" w:rsidP="006D6952">
            <w:pPr>
              <w:spacing w:after="0" w:line="240" w:lineRule="auto"/>
              <w:rPr>
                <w:rFonts w:ascii="Times New Roman" w:hAnsi="Times New Roman"/>
                <w:sz w:val="18"/>
                <w:szCs w:val="18"/>
              </w:rPr>
            </w:pPr>
            <w:r>
              <w:rPr>
                <w:rFonts w:ascii="Times New Roman" w:hAnsi="Times New Roman"/>
                <w:sz w:val="18"/>
                <w:szCs w:val="18"/>
              </w:rPr>
              <w:t>Cubic meters of</w:t>
            </w:r>
            <w:r w:rsidRPr="004A75A4">
              <w:rPr>
                <w:rFonts w:ascii="Times New Roman" w:hAnsi="Times New Roman"/>
                <w:sz w:val="18"/>
                <w:szCs w:val="18"/>
              </w:rPr>
              <w:t xml:space="preserve"> burned wood mass in the forests</w:t>
            </w:r>
            <w:r>
              <w:rPr>
                <w:rFonts w:ascii="Times New Roman" w:hAnsi="Times New Roman"/>
                <w:sz w:val="18"/>
                <w:szCs w:val="18"/>
              </w:rPr>
              <w:t xml:space="preserve"> between June and September</w:t>
            </w:r>
            <w:r>
              <w:rPr>
                <w:rStyle w:val="FootnoteReference"/>
                <w:rFonts w:ascii="Times New Roman" w:hAnsi="Times New Roman"/>
                <w:sz w:val="18"/>
                <w:szCs w:val="18"/>
              </w:rPr>
              <w:footnoteReference w:id="7"/>
            </w:r>
            <w:r w:rsidRPr="004A75A4">
              <w:rPr>
                <w:rFonts w:ascii="Times New Roman" w:hAnsi="Times New Roman"/>
                <w:sz w:val="18"/>
                <w:szCs w:val="18"/>
              </w:rPr>
              <w:t xml:space="preserve"> </w:t>
            </w:r>
          </w:p>
        </w:tc>
        <w:tc>
          <w:tcPr>
            <w:tcW w:w="1418" w:type="dxa"/>
            <w:vAlign w:val="center"/>
          </w:tcPr>
          <w:p w14:paraId="79C689DE" w14:textId="77777777" w:rsidR="00220B44" w:rsidRDefault="00220B44" w:rsidP="006D6952">
            <w:pPr>
              <w:spacing w:after="0" w:line="240" w:lineRule="auto"/>
              <w:rPr>
                <w:rFonts w:ascii="Times New Roman" w:hAnsi="Times New Roman"/>
                <w:sz w:val="18"/>
                <w:szCs w:val="18"/>
              </w:rPr>
            </w:pPr>
            <w:r w:rsidRPr="004A75A4">
              <w:rPr>
                <w:rFonts w:ascii="Times New Roman" w:hAnsi="Times New Roman"/>
                <w:sz w:val="18"/>
                <w:szCs w:val="18"/>
              </w:rPr>
              <w:t>482</w:t>
            </w:r>
            <w:r>
              <w:rPr>
                <w:rFonts w:ascii="Times New Roman" w:hAnsi="Times New Roman"/>
                <w:sz w:val="18"/>
                <w:szCs w:val="18"/>
              </w:rPr>
              <w:t>,</w:t>
            </w:r>
            <w:r w:rsidRPr="004A75A4">
              <w:rPr>
                <w:rFonts w:ascii="Times New Roman" w:hAnsi="Times New Roman"/>
                <w:sz w:val="18"/>
                <w:szCs w:val="18"/>
              </w:rPr>
              <w:t>106</w:t>
            </w:r>
            <w:r>
              <w:rPr>
                <w:rFonts w:ascii="Times New Roman" w:hAnsi="Times New Roman"/>
                <w:sz w:val="18"/>
                <w:szCs w:val="18"/>
              </w:rPr>
              <w:t xml:space="preserve"> (2021)</w:t>
            </w:r>
          </w:p>
        </w:tc>
        <w:tc>
          <w:tcPr>
            <w:tcW w:w="1559" w:type="dxa"/>
            <w:vAlign w:val="center"/>
          </w:tcPr>
          <w:p w14:paraId="50A40C8C" w14:textId="77777777" w:rsidR="00220B44" w:rsidRPr="000F3006" w:rsidRDefault="00220B44" w:rsidP="006D6952">
            <w:pPr>
              <w:spacing w:after="0" w:line="240" w:lineRule="auto"/>
              <w:rPr>
                <w:rFonts w:ascii="Times New Roman" w:hAnsi="Times New Roman"/>
                <w:sz w:val="18"/>
                <w:szCs w:val="18"/>
              </w:rPr>
            </w:pPr>
          </w:p>
        </w:tc>
        <w:tc>
          <w:tcPr>
            <w:tcW w:w="1417" w:type="dxa"/>
            <w:vAlign w:val="center"/>
          </w:tcPr>
          <w:p w14:paraId="40823D49" w14:textId="77777777" w:rsidR="00220B44" w:rsidRDefault="00220B44" w:rsidP="006D6952">
            <w:pPr>
              <w:spacing w:after="0" w:line="240" w:lineRule="auto"/>
              <w:rPr>
                <w:rFonts w:ascii="Times New Roman" w:hAnsi="Times New Roman"/>
                <w:sz w:val="18"/>
                <w:szCs w:val="18"/>
              </w:rPr>
            </w:pPr>
            <w:r w:rsidRPr="004A75A4">
              <w:rPr>
                <w:rFonts w:ascii="Times New Roman" w:hAnsi="Times New Roman"/>
                <w:sz w:val="18"/>
                <w:szCs w:val="18"/>
                <w:lang w:val="de-DE" w:eastAsia="en-US"/>
              </w:rPr>
              <w:t xml:space="preserve">≤ </w:t>
            </w:r>
            <w:r>
              <w:rPr>
                <w:rFonts w:ascii="Times New Roman" w:hAnsi="Times New Roman"/>
                <w:sz w:val="18"/>
                <w:szCs w:val="18"/>
                <w:lang w:val="de-DE" w:eastAsia="en-US"/>
              </w:rPr>
              <w:t>300,000</w:t>
            </w:r>
            <w:r w:rsidRPr="004A75A4">
              <w:rPr>
                <w:rFonts w:ascii="Times New Roman" w:hAnsi="Times New Roman"/>
                <w:sz w:val="18"/>
                <w:szCs w:val="18"/>
                <w:lang w:val="de-DE" w:eastAsia="en-US"/>
              </w:rPr>
              <w:t xml:space="preserve"> (2027)</w:t>
            </w:r>
          </w:p>
        </w:tc>
        <w:tc>
          <w:tcPr>
            <w:tcW w:w="1745" w:type="dxa"/>
            <w:vAlign w:val="center"/>
          </w:tcPr>
          <w:p w14:paraId="5F75FEF9" w14:textId="77777777" w:rsidR="00220B44" w:rsidRDefault="00220B44" w:rsidP="006D6952">
            <w:pPr>
              <w:spacing w:after="0" w:line="240" w:lineRule="auto"/>
              <w:rPr>
                <w:rFonts w:ascii="Times New Roman" w:hAnsi="Times New Roman"/>
                <w:sz w:val="18"/>
                <w:szCs w:val="18"/>
              </w:rPr>
            </w:pPr>
            <w:r>
              <w:rPr>
                <w:rFonts w:ascii="Times New Roman" w:hAnsi="Times New Roman"/>
                <w:sz w:val="18"/>
                <w:szCs w:val="18"/>
              </w:rPr>
              <w:t>SSO</w:t>
            </w:r>
          </w:p>
        </w:tc>
      </w:tr>
      <w:tr w:rsidR="00220B44" w:rsidRPr="000F3006" w14:paraId="352475C7" w14:textId="77777777" w:rsidTr="004F3674">
        <w:trPr>
          <w:trHeight w:val="634"/>
        </w:trPr>
        <w:tc>
          <w:tcPr>
            <w:tcW w:w="3085" w:type="dxa"/>
            <w:vAlign w:val="center"/>
          </w:tcPr>
          <w:p w14:paraId="77DF1D21" w14:textId="77777777" w:rsidR="00220B44" w:rsidRPr="000F3006" w:rsidRDefault="00220B44" w:rsidP="006D6952">
            <w:pPr>
              <w:spacing w:after="0" w:line="240" w:lineRule="auto"/>
              <w:jc w:val="center"/>
              <w:rPr>
                <w:rFonts w:ascii="Times New Roman" w:hAnsi="Times New Roman"/>
                <w:b/>
                <w:bCs/>
                <w:sz w:val="18"/>
                <w:szCs w:val="18"/>
              </w:rPr>
            </w:pPr>
          </w:p>
          <w:p w14:paraId="456D81A2" w14:textId="77777777" w:rsidR="00220B44" w:rsidRPr="000F3006" w:rsidRDefault="00220B44" w:rsidP="006D6952">
            <w:pPr>
              <w:spacing w:after="0" w:line="240" w:lineRule="auto"/>
              <w:jc w:val="center"/>
              <w:rPr>
                <w:rFonts w:ascii="Times New Roman" w:hAnsi="Times New Roman"/>
                <w:b/>
                <w:bCs/>
                <w:sz w:val="18"/>
                <w:szCs w:val="18"/>
              </w:rPr>
            </w:pPr>
            <w:r w:rsidRPr="000F3006">
              <w:rPr>
                <w:rFonts w:ascii="Times New Roman" w:hAnsi="Times New Roman"/>
                <w:b/>
                <w:bCs/>
                <w:sz w:val="18"/>
                <w:szCs w:val="18"/>
              </w:rPr>
              <w:t>SPECIFIC OBJECTIVE(S) / OUTCOME(S)</w:t>
            </w:r>
          </w:p>
          <w:p w14:paraId="15130D6E" w14:textId="77777777" w:rsidR="00220B44" w:rsidRPr="000F3006" w:rsidRDefault="00220B44" w:rsidP="006D6952">
            <w:pPr>
              <w:spacing w:after="0" w:line="240" w:lineRule="auto"/>
              <w:jc w:val="center"/>
              <w:rPr>
                <w:rFonts w:ascii="Times New Roman" w:hAnsi="Times New Roman"/>
                <w:sz w:val="18"/>
                <w:szCs w:val="18"/>
              </w:rPr>
            </w:pPr>
          </w:p>
        </w:tc>
        <w:tc>
          <w:tcPr>
            <w:tcW w:w="3402" w:type="dxa"/>
            <w:vAlign w:val="center"/>
          </w:tcPr>
          <w:p w14:paraId="16F6E5D1" w14:textId="77777777" w:rsidR="00220B44" w:rsidRPr="000F3006" w:rsidRDefault="00220B44" w:rsidP="006D6952">
            <w:pPr>
              <w:spacing w:after="0" w:line="240" w:lineRule="auto"/>
              <w:jc w:val="center"/>
              <w:rPr>
                <w:rFonts w:ascii="Times New Roman" w:hAnsi="Times New Roman"/>
                <w:sz w:val="18"/>
                <w:szCs w:val="18"/>
              </w:rPr>
            </w:pPr>
            <w:r w:rsidRPr="000F3006">
              <w:rPr>
                <w:rFonts w:ascii="Times New Roman" w:hAnsi="Times New Roman"/>
                <w:b/>
                <w:bCs/>
                <w:sz w:val="18"/>
                <w:szCs w:val="18"/>
              </w:rPr>
              <w:t>OBJECTIVELY VERIFIABLE INDICATORS</w:t>
            </w:r>
          </w:p>
        </w:tc>
        <w:tc>
          <w:tcPr>
            <w:tcW w:w="1418" w:type="dxa"/>
            <w:vAlign w:val="center"/>
          </w:tcPr>
          <w:p w14:paraId="18DB46E3" w14:textId="77777777" w:rsidR="00220B44" w:rsidRPr="000F3006" w:rsidRDefault="00220B44" w:rsidP="006D6952">
            <w:pPr>
              <w:spacing w:after="0" w:line="240" w:lineRule="auto"/>
              <w:jc w:val="center"/>
              <w:rPr>
                <w:rFonts w:ascii="Times New Roman" w:hAnsi="Times New Roman"/>
                <w:b/>
                <w:bCs/>
                <w:sz w:val="18"/>
                <w:szCs w:val="18"/>
              </w:rPr>
            </w:pPr>
            <w:r w:rsidRPr="000F3006">
              <w:rPr>
                <w:rFonts w:ascii="Times New Roman" w:hAnsi="Times New Roman"/>
                <w:b/>
                <w:bCs/>
                <w:sz w:val="18"/>
                <w:szCs w:val="18"/>
              </w:rPr>
              <w:t>BASELINE</w:t>
            </w:r>
          </w:p>
        </w:tc>
        <w:tc>
          <w:tcPr>
            <w:tcW w:w="1559" w:type="dxa"/>
            <w:vAlign w:val="center"/>
          </w:tcPr>
          <w:p w14:paraId="2F3B42A4" w14:textId="77777777" w:rsidR="00220B44" w:rsidRPr="000F3006" w:rsidRDefault="00220B44" w:rsidP="006D6952">
            <w:pPr>
              <w:spacing w:after="0" w:line="240" w:lineRule="auto"/>
              <w:jc w:val="center"/>
              <w:rPr>
                <w:rFonts w:ascii="Times New Roman" w:hAnsi="Times New Roman"/>
                <w:b/>
                <w:bCs/>
                <w:sz w:val="18"/>
                <w:szCs w:val="18"/>
              </w:rPr>
            </w:pPr>
            <w:r w:rsidRPr="000F3006">
              <w:rPr>
                <w:rFonts w:ascii="Times New Roman" w:hAnsi="Times New Roman"/>
                <w:b/>
                <w:bCs/>
                <w:sz w:val="18"/>
                <w:szCs w:val="18"/>
              </w:rPr>
              <w:t>MILESTONES</w:t>
            </w:r>
          </w:p>
        </w:tc>
        <w:tc>
          <w:tcPr>
            <w:tcW w:w="1417" w:type="dxa"/>
            <w:vAlign w:val="center"/>
          </w:tcPr>
          <w:p w14:paraId="0F784EB2" w14:textId="77777777" w:rsidR="00220B44" w:rsidRPr="000F3006" w:rsidRDefault="00220B44" w:rsidP="006D6952">
            <w:pPr>
              <w:spacing w:after="0" w:line="240" w:lineRule="auto"/>
              <w:jc w:val="center"/>
              <w:rPr>
                <w:rFonts w:ascii="Times New Roman" w:hAnsi="Times New Roman"/>
                <w:b/>
                <w:bCs/>
                <w:sz w:val="18"/>
                <w:szCs w:val="18"/>
              </w:rPr>
            </w:pPr>
            <w:r w:rsidRPr="000F3006">
              <w:rPr>
                <w:rFonts w:ascii="Times New Roman" w:hAnsi="Times New Roman"/>
                <w:b/>
                <w:bCs/>
                <w:sz w:val="18"/>
                <w:szCs w:val="18"/>
              </w:rPr>
              <w:t>TARGETS</w:t>
            </w:r>
          </w:p>
        </w:tc>
        <w:tc>
          <w:tcPr>
            <w:tcW w:w="1745" w:type="dxa"/>
            <w:vAlign w:val="center"/>
          </w:tcPr>
          <w:p w14:paraId="156FB039" w14:textId="77777777" w:rsidR="00220B44" w:rsidRPr="000F3006" w:rsidRDefault="00220B44" w:rsidP="006D6952">
            <w:pPr>
              <w:spacing w:after="0" w:line="240" w:lineRule="auto"/>
              <w:jc w:val="center"/>
              <w:rPr>
                <w:rFonts w:ascii="Times New Roman" w:hAnsi="Times New Roman"/>
                <w:b/>
                <w:bCs/>
                <w:sz w:val="18"/>
                <w:szCs w:val="18"/>
              </w:rPr>
            </w:pPr>
            <w:r w:rsidRPr="000F3006">
              <w:rPr>
                <w:rFonts w:ascii="Times New Roman" w:hAnsi="Times New Roman"/>
                <w:b/>
                <w:bCs/>
                <w:sz w:val="18"/>
                <w:szCs w:val="18"/>
              </w:rPr>
              <w:t>SOURCES OF VERIFICATION</w:t>
            </w:r>
          </w:p>
        </w:tc>
        <w:tc>
          <w:tcPr>
            <w:tcW w:w="2006" w:type="dxa"/>
            <w:shd w:val="clear" w:color="auto" w:fill="auto"/>
            <w:vAlign w:val="center"/>
          </w:tcPr>
          <w:p w14:paraId="78C83EF7" w14:textId="77777777" w:rsidR="00220B44" w:rsidRPr="000F3006" w:rsidRDefault="00220B44" w:rsidP="006D6952">
            <w:pPr>
              <w:spacing w:after="160" w:line="259" w:lineRule="auto"/>
              <w:jc w:val="center"/>
              <w:rPr>
                <w:sz w:val="18"/>
                <w:szCs w:val="18"/>
              </w:rPr>
            </w:pPr>
            <w:r w:rsidRPr="000F3006">
              <w:rPr>
                <w:rFonts w:ascii="Times New Roman" w:hAnsi="Times New Roman"/>
                <w:b/>
                <w:bCs/>
                <w:sz w:val="18"/>
                <w:szCs w:val="18"/>
              </w:rPr>
              <w:t>ASSUMPTIONS</w:t>
            </w:r>
          </w:p>
        </w:tc>
      </w:tr>
      <w:tr w:rsidR="00220B44" w:rsidRPr="000F3006" w14:paraId="695BB8A5" w14:textId="77777777" w:rsidTr="004F3674">
        <w:trPr>
          <w:trHeight w:val="504"/>
        </w:trPr>
        <w:tc>
          <w:tcPr>
            <w:tcW w:w="3085" w:type="dxa"/>
            <w:vAlign w:val="center"/>
          </w:tcPr>
          <w:p w14:paraId="52C72A6F" w14:textId="62594CB5" w:rsidR="00220B44" w:rsidRPr="000F3006" w:rsidRDefault="00220B44" w:rsidP="005B71FE">
            <w:pPr>
              <w:spacing w:after="0" w:line="240" w:lineRule="auto"/>
              <w:rPr>
                <w:rFonts w:ascii="Times New Roman" w:hAnsi="Times New Roman"/>
                <w:sz w:val="18"/>
                <w:szCs w:val="18"/>
              </w:rPr>
            </w:pPr>
            <w:r w:rsidRPr="000F3006">
              <w:rPr>
                <w:rFonts w:ascii="Times New Roman" w:hAnsi="Times New Roman"/>
                <w:sz w:val="18"/>
                <w:szCs w:val="18"/>
              </w:rPr>
              <w:t>1.</w:t>
            </w:r>
            <w:r w:rsidR="003933E1">
              <w:rPr>
                <w:rFonts w:ascii="Times New Roman" w:hAnsi="Times New Roman"/>
                <w:b/>
                <w:bCs/>
              </w:rPr>
              <w:t xml:space="preserve"> </w:t>
            </w:r>
            <w:r w:rsidR="003933E1" w:rsidRPr="00A33411">
              <w:rPr>
                <w:rFonts w:ascii="Times New Roman" w:hAnsi="Times New Roman"/>
                <w:sz w:val="18"/>
                <w:szCs w:val="18"/>
              </w:rPr>
              <w:t xml:space="preserve">To </w:t>
            </w:r>
            <w:r w:rsidR="004D29F1">
              <w:rPr>
                <w:rFonts w:ascii="Times New Roman" w:hAnsi="Times New Roman"/>
                <w:sz w:val="18"/>
                <w:szCs w:val="18"/>
              </w:rPr>
              <w:t>s</w:t>
            </w:r>
            <w:r w:rsidR="003933E1" w:rsidRPr="00A33411">
              <w:rPr>
                <w:rFonts w:ascii="Times New Roman" w:hAnsi="Times New Roman"/>
                <w:sz w:val="18"/>
                <w:szCs w:val="18"/>
              </w:rPr>
              <w:t>upport the energy transition from fossil fuels toward clean energy in line with the Green Agenda for the Western Balkans</w:t>
            </w:r>
          </w:p>
        </w:tc>
        <w:tc>
          <w:tcPr>
            <w:tcW w:w="3402" w:type="dxa"/>
            <w:vAlign w:val="center"/>
          </w:tcPr>
          <w:p w14:paraId="3DB3C7AE" w14:textId="77777777" w:rsidR="00220B44" w:rsidRPr="000F3006" w:rsidRDefault="00220B44" w:rsidP="006D6952">
            <w:pPr>
              <w:spacing w:after="0" w:line="240" w:lineRule="auto"/>
              <w:rPr>
                <w:rFonts w:ascii="Times New Roman" w:hAnsi="Times New Roman"/>
                <w:sz w:val="18"/>
                <w:szCs w:val="18"/>
              </w:rPr>
            </w:pPr>
            <w:r>
              <w:rPr>
                <w:rFonts w:ascii="Times New Roman" w:hAnsi="Times New Roman"/>
                <w:sz w:val="18"/>
                <w:szCs w:val="18"/>
              </w:rPr>
              <w:t>Level of the progress in implementation and enforcement of energy legislation</w:t>
            </w:r>
          </w:p>
        </w:tc>
        <w:tc>
          <w:tcPr>
            <w:tcW w:w="1418" w:type="dxa"/>
            <w:vAlign w:val="center"/>
          </w:tcPr>
          <w:p w14:paraId="35003282" w14:textId="77777777" w:rsidR="00220B44" w:rsidRPr="00727ECC" w:rsidRDefault="00220B44" w:rsidP="006D6952">
            <w:pPr>
              <w:spacing w:after="0" w:line="240" w:lineRule="auto"/>
              <w:rPr>
                <w:rFonts w:ascii="Times New Roman" w:hAnsi="Times New Roman"/>
                <w:sz w:val="18"/>
                <w:szCs w:val="18"/>
              </w:rPr>
            </w:pPr>
            <w:r>
              <w:rPr>
                <w:rFonts w:ascii="Times New Roman" w:hAnsi="Times New Roman"/>
                <w:sz w:val="18"/>
                <w:szCs w:val="18"/>
              </w:rPr>
              <w:t>Some progress under Chapter 15</w:t>
            </w:r>
          </w:p>
        </w:tc>
        <w:tc>
          <w:tcPr>
            <w:tcW w:w="1559" w:type="dxa"/>
            <w:vAlign w:val="center"/>
          </w:tcPr>
          <w:p w14:paraId="639E65F6" w14:textId="77777777" w:rsidR="00220B44" w:rsidRPr="000F3006" w:rsidRDefault="00220B44" w:rsidP="006D6952">
            <w:pPr>
              <w:spacing w:after="0" w:line="240" w:lineRule="auto"/>
              <w:rPr>
                <w:rFonts w:ascii="Times New Roman" w:hAnsi="Times New Roman"/>
                <w:b/>
                <w:bCs/>
                <w:sz w:val="18"/>
                <w:szCs w:val="18"/>
              </w:rPr>
            </w:pPr>
          </w:p>
        </w:tc>
        <w:tc>
          <w:tcPr>
            <w:tcW w:w="1417" w:type="dxa"/>
            <w:vAlign w:val="center"/>
          </w:tcPr>
          <w:p w14:paraId="4EBA8C2C" w14:textId="77777777" w:rsidR="00220B44" w:rsidRPr="00897802" w:rsidRDefault="00220B44" w:rsidP="006D6952">
            <w:pPr>
              <w:spacing w:after="0" w:line="240" w:lineRule="auto"/>
              <w:rPr>
                <w:rFonts w:ascii="Times New Roman" w:hAnsi="Times New Roman"/>
                <w:sz w:val="18"/>
                <w:szCs w:val="18"/>
                <w:lang w:val="de-DE" w:eastAsia="en-US"/>
              </w:rPr>
            </w:pPr>
            <w:r>
              <w:rPr>
                <w:rFonts w:ascii="Times New Roman" w:hAnsi="Times New Roman"/>
                <w:sz w:val="18"/>
                <w:szCs w:val="18"/>
              </w:rPr>
              <w:t>Well advanced under Chapter 15</w:t>
            </w:r>
          </w:p>
        </w:tc>
        <w:tc>
          <w:tcPr>
            <w:tcW w:w="1745" w:type="dxa"/>
            <w:vAlign w:val="center"/>
          </w:tcPr>
          <w:p w14:paraId="65A04CD9" w14:textId="77777777" w:rsidR="00220B44" w:rsidRPr="000F3006" w:rsidRDefault="00220B44" w:rsidP="006D6952">
            <w:pPr>
              <w:spacing w:after="0" w:line="240" w:lineRule="auto"/>
              <w:rPr>
                <w:rFonts w:ascii="Times New Roman" w:hAnsi="Times New Roman"/>
                <w:sz w:val="18"/>
                <w:szCs w:val="18"/>
              </w:rPr>
            </w:pPr>
            <w:r>
              <w:rPr>
                <w:rFonts w:ascii="Times New Roman" w:hAnsi="Times New Roman"/>
                <w:sz w:val="18"/>
                <w:szCs w:val="18"/>
              </w:rPr>
              <w:t>European Commission reports</w:t>
            </w:r>
          </w:p>
        </w:tc>
        <w:tc>
          <w:tcPr>
            <w:tcW w:w="2006" w:type="dxa"/>
            <w:vMerge w:val="restart"/>
            <w:shd w:val="clear" w:color="auto" w:fill="auto"/>
          </w:tcPr>
          <w:p w14:paraId="51B10B01" w14:textId="77777777" w:rsidR="00EF4A86" w:rsidRDefault="00EF4A86" w:rsidP="006D6952">
            <w:pPr>
              <w:spacing w:after="0" w:line="240" w:lineRule="auto"/>
              <w:rPr>
                <w:rFonts w:ascii="Times New Roman" w:hAnsi="Times New Roman"/>
                <w:sz w:val="18"/>
                <w:szCs w:val="18"/>
              </w:rPr>
            </w:pPr>
            <w:r>
              <w:rPr>
                <w:rFonts w:ascii="Times New Roman" w:hAnsi="Times New Roman"/>
                <w:sz w:val="18"/>
                <w:szCs w:val="18"/>
              </w:rPr>
              <w:t>Relevant investments in Energy, Civil Protection and disaster prevention and Transport are supported by the Government, the Donors and the IFIs.</w:t>
            </w:r>
          </w:p>
          <w:p w14:paraId="10000DF7" w14:textId="77777777" w:rsidR="00EF4A86" w:rsidRDefault="00EF4A86" w:rsidP="006D6952">
            <w:pPr>
              <w:spacing w:after="0" w:line="240" w:lineRule="auto"/>
              <w:rPr>
                <w:rFonts w:ascii="Times New Roman" w:hAnsi="Times New Roman"/>
                <w:sz w:val="18"/>
                <w:szCs w:val="18"/>
              </w:rPr>
            </w:pPr>
          </w:p>
          <w:p w14:paraId="6D248615" w14:textId="77777777" w:rsidR="00BC6810" w:rsidRPr="00EF4A86" w:rsidRDefault="00C77847" w:rsidP="006D6952">
            <w:pPr>
              <w:spacing w:after="0" w:line="240" w:lineRule="auto"/>
              <w:rPr>
                <w:rFonts w:ascii="Times New Roman" w:hAnsi="Times New Roman"/>
                <w:sz w:val="18"/>
                <w:szCs w:val="18"/>
              </w:rPr>
            </w:pPr>
            <w:r w:rsidRPr="00EF4A86">
              <w:rPr>
                <w:rFonts w:ascii="Times New Roman" w:hAnsi="Times New Roman"/>
                <w:sz w:val="18"/>
                <w:szCs w:val="18"/>
              </w:rPr>
              <w:t>Continued political will and commitment of the Government and public administration to the accession process and to the application of the EU standards for energy and transport sectors.</w:t>
            </w:r>
          </w:p>
          <w:p w14:paraId="2D38CD2A" w14:textId="77777777" w:rsidR="00BC6810" w:rsidRPr="00EF4A86" w:rsidRDefault="00BC6810" w:rsidP="006D6952">
            <w:pPr>
              <w:spacing w:after="0" w:line="240" w:lineRule="auto"/>
              <w:rPr>
                <w:rFonts w:ascii="Times New Roman" w:hAnsi="Times New Roman"/>
                <w:sz w:val="18"/>
                <w:szCs w:val="18"/>
              </w:rPr>
            </w:pPr>
          </w:p>
          <w:p w14:paraId="77238FB5" w14:textId="77777777" w:rsidR="00C77847" w:rsidRPr="00EF4A86" w:rsidRDefault="00C77847" w:rsidP="006D6952">
            <w:pPr>
              <w:spacing w:after="0" w:line="240" w:lineRule="auto"/>
              <w:rPr>
                <w:rFonts w:ascii="Times New Roman" w:hAnsi="Times New Roman"/>
                <w:sz w:val="18"/>
                <w:szCs w:val="18"/>
              </w:rPr>
            </w:pPr>
            <w:r w:rsidRPr="00EF4A86">
              <w:rPr>
                <w:rFonts w:ascii="Times New Roman" w:hAnsi="Times New Roman"/>
                <w:sz w:val="18"/>
                <w:szCs w:val="18"/>
              </w:rPr>
              <w:t xml:space="preserve">Political commitment of the Government to </w:t>
            </w:r>
            <w:r w:rsidRPr="00EF4A86">
              <w:rPr>
                <w:rFonts w:ascii="Times New Roman" w:hAnsi="Times New Roman"/>
                <w:sz w:val="18"/>
                <w:szCs w:val="18"/>
              </w:rPr>
              <w:lastRenderedPageBreak/>
              <w:t xml:space="preserve">rationalise and modernise the administrative </w:t>
            </w:r>
            <w:r w:rsidR="00714555" w:rsidRPr="00EF4A86">
              <w:rPr>
                <w:rFonts w:ascii="Times New Roman" w:hAnsi="Times New Roman"/>
                <w:sz w:val="18"/>
                <w:szCs w:val="18"/>
              </w:rPr>
              <w:t xml:space="preserve">structures of the </w:t>
            </w:r>
            <w:r w:rsidRPr="00EF4A86">
              <w:rPr>
                <w:rFonts w:ascii="Times New Roman" w:hAnsi="Times New Roman"/>
                <w:sz w:val="18"/>
                <w:szCs w:val="18"/>
              </w:rPr>
              <w:t>crisis management system.</w:t>
            </w:r>
          </w:p>
          <w:p w14:paraId="2A4D0F96" w14:textId="77777777" w:rsidR="00BC6810" w:rsidRPr="00EF4A86" w:rsidRDefault="00BC6810" w:rsidP="006D6952">
            <w:pPr>
              <w:spacing w:after="0" w:line="240" w:lineRule="auto"/>
              <w:rPr>
                <w:rFonts w:ascii="Times New Roman" w:hAnsi="Times New Roman"/>
                <w:sz w:val="18"/>
                <w:szCs w:val="18"/>
              </w:rPr>
            </w:pPr>
            <w:r w:rsidRPr="00EF4A86">
              <w:rPr>
                <w:rFonts w:ascii="Times New Roman" w:hAnsi="Times New Roman"/>
                <w:sz w:val="18"/>
                <w:szCs w:val="18"/>
              </w:rPr>
              <w:t>Progress in the implementation of the Connectivity reform measures in North Macedonia</w:t>
            </w:r>
          </w:p>
        </w:tc>
      </w:tr>
      <w:tr w:rsidR="00220B44" w:rsidRPr="000F3006" w14:paraId="59C62B69" w14:textId="77777777" w:rsidTr="004F3674">
        <w:trPr>
          <w:trHeight w:val="920"/>
        </w:trPr>
        <w:tc>
          <w:tcPr>
            <w:tcW w:w="3085" w:type="dxa"/>
            <w:vAlign w:val="center"/>
          </w:tcPr>
          <w:p w14:paraId="7EC772E5" w14:textId="77777777" w:rsidR="00220B44" w:rsidRPr="000F3006" w:rsidRDefault="00220B44" w:rsidP="006D6952">
            <w:pPr>
              <w:spacing w:after="0" w:line="240" w:lineRule="auto"/>
              <w:rPr>
                <w:rFonts w:ascii="Times New Roman" w:hAnsi="Times New Roman"/>
                <w:sz w:val="18"/>
                <w:szCs w:val="18"/>
              </w:rPr>
            </w:pPr>
            <w:r w:rsidRPr="000F3006">
              <w:rPr>
                <w:rFonts w:ascii="Times New Roman" w:hAnsi="Times New Roman"/>
                <w:sz w:val="18"/>
                <w:szCs w:val="18"/>
              </w:rPr>
              <w:t xml:space="preserve">2.To improve </w:t>
            </w:r>
            <w:r>
              <w:rPr>
                <w:rFonts w:ascii="Times New Roman" w:hAnsi="Times New Roman"/>
                <w:sz w:val="18"/>
                <w:szCs w:val="18"/>
              </w:rPr>
              <w:t xml:space="preserve">the administrative and operational capacities for prevention, mitigation, and response to disasters </w:t>
            </w:r>
          </w:p>
        </w:tc>
        <w:tc>
          <w:tcPr>
            <w:tcW w:w="3402" w:type="dxa"/>
            <w:vAlign w:val="center"/>
          </w:tcPr>
          <w:p w14:paraId="448FBD0B" w14:textId="77777777" w:rsidR="00220B44" w:rsidRPr="000F3006" w:rsidRDefault="00220B44" w:rsidP="006D6952">
            <w:pPr>
              <w:spacing w:after="0" w:line="240" w:lineRule="auto"/>
              <w:rPr>
                <w:rFonts w:ascii="Times New Roman" w:hAnsi="Times New Roman"/>
                <w:sz w:val="18"/>
                <w:szCs w:val="18"/>
              </w:rPr>
            </w:pPr>
            <w:r w:rsidRPr="003713EF">
              <w:rPr>
                <w:rFonts w:ascii="Times New Roman" w:hAnsi="Times New Roman"/>
                <w:sz w:val="18"/>
                <w:szCs w:val="18"/>
              </w:rPr>
              <w:t xml:space="preserve">Level of the progress in implementation and enforcement of </w:t>
            </w:r>
            <w:r>
              <w:rPr>
                <w:rFonts w:ascii="Times New Roman" w:hAnsi="Times New Roman"/>
                <w:sz w:val="18"/>
                <w:szCs w:val="18"/>
              </w:rPr>
              <w:t>civil protection</w:t>
            </w:r>
            <w:r w:rsidRPr="003713EF">
              <w:rPr>
                <w:rFonts w:ascii="Times New Roman" w:hAnsi="Times New Roman"/>
                <w:sz w:val="18"/>
                <w:szCs w:val="18"/>
              </w:rPr>
              <w:t xml:space="preserve"> legislation</w:t>
            </w:r>
          </w:p>
        </w:tc>
        <w:tc>
          <w:tcPr>
            <w:tcW w:w="1418" w:type="dxa"/>
            <w:vAlign w:val="center"/>
          </w:tcPr>
          <w:p w14:paraId="59542097" w14:textId="77777777" w:rsidR="00220B44" w:rsidRPr="000F3006" w:rsidRDefault="00220B44" w:rsidP="006D6952">
            <w:pPr>
              <w:spacing w:after="0" w:line="240" w:lineRule="auto"/>
              <w:rPr>
                <w:rFonts w:ascii="Times New Roman" w:hAnsi="Times New Roman"/>
                <w:sz w:val="18"/>
                <w:szCs w:val="18"/>
              </w:rPr>
            </w:pPr>
            <w:r>
              <w:rPr>
                <w:rFonts w:ascii="Times New Roman" w:hAnsi="Times New Roman"/>
                <w:sz w:val="18"/>
                <w:szCs w:val="18"/>
              </w:rPr>
              <w:t>Limited progress under Chapter 27</w:t>
            </w:r>
          </w:p>
        </w:tc>
        <w:tc>
          <w:tcPr>
            <w:tcW w:w="1559" w:type="dxa"/>
            <w:vAlign w:val="center"/>
          </w:tcPr>
          <w:p w14:paraId="0B7339A5" w14:textId="77777777" w:rsidR="00220B44" w:rsidRPr="000F3006" w:rsidRDefault="00220B44" w:rsidP="006D6952">
            <w:pPr>
              <w:spacing w:after="0" w:line="240" w:lineRule="auto"/>
              <w:rPr>
                <w:rFonts w:ascii="Times New Roman" w:hAnsi="Times New Roman"/>
                <w:b/>
                <w:bCs/>
                <w:sz w:val="18"/>
                <w:szCs w:val="18"/>
              </w:rPr>
            </w:pPr>
          </w:p>
        </w:tc>
        <w:tc>
          <w:tcPr>
            <w:tcW w:w="1417" w:type="dxa"/>
            <w:vAlign w:val="center"/>
          </w:tcPr>
          <w:p w14:paraId="5E771AEC" w14:textId="77777777" w:rsidR="00220B44" w:rsidRPr="000F3006" w:rsidRDefault="00220B44" w:rsidP="006D6952">
            <w:pPr>
              <w:spacing w:after="0" w:line="240" w:lineRule="auto"/>
              <w:rPr>
                <w:rFonts w:ascii="Times New Roman" w:hAnsi="Times New Roman"/>
                <w:b/>
                <w:bCs/>
                <w:sz w:val="18"/>
                <w:szCs w:val="18"/>
              </w:rPr>
            </w:pPr>
            <w:r>
              <w:rPr>
                <w:rFonts w:ascii="Times New Roman" w:hAnsi="Times New Roman"/>
                <w:sz w:val="18"/>
                <w:szCs w:val="18"/>
              </w:rPr>
              <w:t>Well advanced under Chapter 27</w:t>
            </w:r>
          </w:p>
        </w:tc>
        <w:tc>
          <w:tcPr>
            <w:tcW w:w="1745" w:type="dxa"/>
            <w:vAlign w:val="center"/>
          </w:tcPr>
          <w:p w14:paraId="1A50C17A" w14:textId="77777777" w:rsidR="00220B44" w:rsidRPr="000F3006" w:rsidRDefault="00220B44" w:rsidP="006D6952">
            <w:pPr>
              <w:spacing w:after="0" w:line="240" w:lineRule="auto"/>
              <w:rPr>
                <w:rFonts w:ascii="Times New Roman" w:hAnsi="Times New Roman"/>
                <w:sz w:val="18"/>
                <w:szCs w:val="18"/>
              </w:rPr>
            </w:pPr>
            <w:r>
              <w:rPr>
                <w:rFonts w:ascii="Times New Roman" w:hAnsi="Times New Roman"/>
                <w:sz w:val="18"/>
                <w:szCs w:val="18"/>
              </w:rPr>
              <w:t>European Commission reports</w:t>
            </w:r>
          </w:p>
        </w:tc>
        <w:tc>
          <w:tcPr>
            <w:tcW w:w="2006" w:type="dxa"/>
            <w:vMerge/>
            <w:shd w:val="clear" w:color="auto" w:fill="auto"/>
          </w:tcPr>
          <w:p w14:paraId="271B34D2" w14:textId="77777777" w:rsidR="00220B44" w:rsidRPr="000F3006" w:rsidRDefault="00220B44" w:rsidP="006D6952">
            <w:pPr>
              <w:spacing w:after="0" w:line="240" w:lineRule="auto"/>
              <w:rPr>
                <w:rFonts w:ascii="Times New Roman" w:hAnsi="Times New Roman"/>
                <w:sz w:val="18"/>
                <w:szCs w:val="18"/>
              </w:rPr>
            </w:pPr>
          </w:p>
        </w:tc>
      </w:tr>
      <w:tr w:rsidR="00BC6810" w:rsidRPr="000F3006" w14:paraId="55F34A16" w14:textId="77777777" w:rsidTr="006D6952">
        <w:trPr>
          <w:trHeight w:val="830"/>
        </w:trPr>
        <w:tc>
          <w:tcPr>
            <w:tcW w:w="3085" w:type="dxa"/>
            <w:vAlign w:val="center"/>
          </w:tcPr>
          <w:p w14:paraId="227C5428" w14:textId="16E0A7A7" w:rsidR="00BC6810" w:rsidRPr="000F3006" w:rsidRDefault="00BC6810" w:rsidP="006D6952">
            <w:pPr>
              <w:spacing w:after="0" w:line="240" w:lineRule="auto"/>
              <w:rPr>
                <w:rFonts w:ascii="Times New Roman" w:hAnsi="Times New Roman"/>
                <w:sz w:val="18"/>
                <w:szCs w:val="18"/>
              </w:rPr>
            </w:pPr>
            <w:r w:rsidRPr="000F3006">
              <w:rPr>
                <w:rFonts w:ascii="Times New Roman" w:hAnsi="Times New Roman"/>
                <w:sz w:val="18"/>
                <w:szCs w:val="18"/>
              </w:rPr>
              <w:t xml:space="preserve">3.To </w:t>
            </w:r>
            <w:r>
              <w:rPr>
                <w:rFonts w:ascii="Times New Roman" w:hAnsi="Times New Roman"/>
                <w:sz w:val="18"/>
                <w:szCs w:val="18"/>
              </w:rPr>
              <w:t>improve</w:t>
            </w:r>
            <w:r w:rsidRPr="000F3006">
              <w:rPr>
                <w:rFonts w:ascii="Times New Roman" w:hAnsi="Times New Roman"/>
                <w:sz w:val="18"/>
                <w:szCs w:val="18"/>
              </w:rPr>
              <w:t xml:space="preserve"> </w:t>
            </w:r>
            <w:r>
              <w:rPr>
                <w:rFonts w:ascii="Times New Roman" w:hAnsi="Times New Roman"/>
                <w:sz w:val="18"/>
                <w:szCs w:val="18"/>
              </w:rPr>
              <w:t xml:space="preserve">the transport </w:t>
            </w:r>
            <w:r w:rsidR="00A33411">
              <w:rPr>
                <w:rFonts w:ascii="Times New Roman" w:hAnsi="Times New Roman"/>
                <w:sz w:val="18"/>
                <w:szCs w:val="18"/>
              </w:rPr>
              <w:t xml:space="preserve">safety and </w:t>
            </w:r>
            <w:r>
              <w:rPr>
                <w:rFonts w:ascii="Times New Roman" w:hAnsi="Times New Roman"/>
                <w:sz w:val="18"/>
                <w:szCs w:val="18"/>
              </w:rPr>
              <w:t xml:space="preserve">connectivity </w:t>
            </w:r>
          </w:p>
        </w:tc>
        <w:tc>
          <w:tcPr>
            <w:tcW w:w="3402" w:type="dxa"/>
            <w:vAlign w:val="center"/>
          </w:tcPr>
          <w:p w14:paraId="16B5436C" w14:textId="77777777" w:rsidR="00BC6810" w:rsidRPr="000F3006" w:rsidRDefault="00BC6810" w:rsidP="006D6952">
            <w:pPr>
              <w:spacing w:after="0" w:line="240" w:lineRule="auto"/>
              <w:rPr>
                <w:rFonts w:ascii="Times New Roman" w:hAnsi="Times New Roman"/>
                <w:sz w:val="18"/>
                <w:szCs w:val="18"/>
              </w:rPr>
            </w:pPr>
            <w:r>
              <w:rPr>
                <w:rFonts w:ascii="Times New Roman" w:hAnsi="Times New Roman"/>
                <w:sz w:val="18"/>
                <w:szCs w:val="18"/>
              </w:rPr>
              <w:t>Level of the progress in implementation and enforcement of transport legislation</w:t>
            </w:r>
          </w:p>
        </w:tc>
        <w:tc>
          <w:tcPr>
            <w:tcW w:w="1418" w:type="dxa"/>
            <w:vAlign w:val="center"/>
          </w:tcPr>
          <w:p w14:paraId="42E84540" w14:textId="77777777" w:rsidR="00BC6810" w:rsidRPr="00727ECC" w:rsidRDefault="00BC6810" w:rsidP="006D6952">
            <w:pPr>
              <w:spacing w:after="0" w:line="240" w:lineRule="auto"/>
              <w:rPr>
                <w:rFonts w:ascii="Times New Roman" w:hAnsi="Times New Roman"/>
                <w:sz w:val="18"/>
                <w:szCs w:val="18"/>
              </w:rPr>
            </w:pPr>
            <w:r>
              <w:rPr>
                <w:rFonts w:ascii="Times New Roman" w:hAnsi="Times New Roman"/>
                <w:sz w:val="18"/>
                <w:szCs w:val="18"/>
              </w:rPr>
              <w:t>Limited progress under Chapter 14</w:t>
            </w:r>
          </w:p>
        </w:tc>
        <w:tc>
          <w:tcPr>
            <w:tcW w:w="1559" w:type="dxa"/>
            <w:vAlign w:val="center"/>
          </w:tcPr>
          <w:p w14:paraId="63B578DF" w14:textId="77777777" w:rsidR="00BC6810" w:rsidRPr="000F3006" w:rsidRDefault="00BC6810" w:rsidP="006D6952">
            <w:pPr>
              <w:spacing w:after="0" w:line="240" w:lineRule="auto"/>
              <w:rPr>
                <w:rFonts w:ascii="Times New Roman" w:hAnsi="Times New Roman"/>
                <w:b/>
                <w:bCs/>
                <w:sz w:val="18"/>
                <w:szCs w:val="18"/>
              </w:rPr>
            </w:pPr>
          </w:p>
        </w:tc>
        <w:tc>
          <w:tcPr>
            <w:tcW w:w="1417" w:type="dxa"/>
            <w:vAlign w:val="center"/>
          </w:tcPr>
          <w:p w14:paraId="43EAEDEF" w14:textId="77777777" w:rsidR="00BC6810" w:rsidRPr="00897802" w:rsidRDefault="00BC6810" w:rsidP="006D6952">
            <w:pPr>
              <w:spacing w:after="0" w:line="240" w:lineRule="auto"/>
              <w:rPr>
                <w:rFonts w:ascii="Times New Roman" w:hAnsi="Times New Roman"/>
                <w:sz w:val="18"/>
                <w:szCs w:val="18"/>
                <w:lang w:val="de-DE" w:eastAsia="en-US"/>
              </w:rPr>
            </w:pPr>
            <w:r>
              <w:rPr>
                <w:rFonts w:ascii="Times New Roman" w:hAnsi="Times New Roman"/>
                <w:sz w:val="18"/>
                <w:szCs w:val="18"/>
              </w:rPr>
              <w:t>Well advanced under Chapter 14</w:t>
            </w:r>
          </w:p>
        </w:tc>
        <w:tc>
          <w:tcPr>
            <w:tcW w:w="1745" w:type="dxa"/>
            <w:vAlign w:val="center"/>
          </w:tcPr>
          <w:p w14:paraId="26B6CB62" w14:textId="77777777" w:rsidR="00BC6810" w:rsidRPr="000F3006" w:rsidRDefault="00BC6810" w:rsidP="006D6952">
            <w:pPr>
              <w:spacing w:after="0" w:line="240" w:lineRule="auto"/>
              <w:rPr>
                <w:rFonts w:ascii="Times New Roman" w:hAnsi="Times New Roman"/>
                <w:sz w:val="18"/>
                <w:szCs w:val="18"/>
              </w:rPr>
            </w:pPr>
            <w:r>
              <w:rPr>
                <w:rFonts w:ascii="Times New Roman" w:hAnsi="Times New Roman"/>
                <w:sz w:val="18"/>
                <w:szCs w:val="18"/>
              </w:rPr>
              <w:t>European Commission reports</w:t>
            </w:r>
          </w:p>
        </w:tc>
        <w:tc>
          <w:tcPr>
            <w:tcW w:w="2006" w:type="dxa"/>
            <w:vMerge/>
            <w:shd w:val="clear" w:color="auto" w:fill="auto"/>
          </w:tcPr>
          <w:p w14:paraId="4DA5351C" w14:textId="77777777" w:rsidR="00BC6810" w:rsidRPr="000F3006" w:rsidRDefault="00BC6810" w:rsidP="006D6952">
            <w:pPr>
              <w:spacing w:after="0" w:line="240" w:lineRule="auto"/>
              <w:rPr>
                <w:rFonts w:ascii="Times New Roman" w:hAnsi="Times New Roman"/>
                <w:sz w:val="18"/>
                <w:szCs w:val="18"/>
              </w:rPr>
            </w:pPr>
          </w:p>
        </w:tc>
      </w:tr>
      <w:tr w:rsidR="00220B44" w:rsidRPr="000F3006" w14:paraId="42B93F15" w14:textId="77777777" w:rsidTr="004F3674">
        <w:trPr>
          <w:trHeight w:val="275"/>
        </w:trPr>
        <w:tc>
          <w:tcPr>
            <w:tcW w:w="3085" w:type="dxa"/>
            <w:vAlign w:val="center"/>
          </w:tcPr>
          <w:p w14:paraId="716E22CD" w14:textId="77777777" w:rsidR="00220B44" w:rsidRPr="000F3006" w:rsidRDefault="00220B44" w:rsidP="006D6952">
            <w:pPr>
              <w:spacing w:after="0" w:line="240" w:lineRule="auto"/>
              <w:jc w:val="center"/>
              <w:rPr>
                <w:rFonts w:ascii="Times New Roman" w:hAnsi="Times New Roman"/>
                <w:b/>
                <w:bCs/>
                <w:sz w:val="18"/>
                <w:szCs w:val="18"/>
              </w:rPr>
            </w:pPr>
            <w:r w:rsidRPr="000F3006">
              <w:rPr>
                <w:rFonts w:ascii="Times New Roman" w:hAnsi="Times New Roman"/>
                <w:b/>
                <w:bCs/>
                <w:sz w:val="18"/>
                <w:szCs w:val="18"/>
              </w:rPr>
              <w:lastRenderedPageBreak/>
              <w:t>OUTPUTS</w:t>
            </w:r>
          </w:p>
        </w:tc>
        <w:tc>
          <w:tcPr>
            <w:tcW w:w="3402" w:type="dxa"/>
            <w:vAlign w:val="center"/>
          </w:tcPr>
          <w:p w14:paraId="293A197F" w14:textId="77777777" w:rsidR="00220B44" w:rsidRPr="000F3006" w:rsidRDefault="00220B44" w:rsidP="006D6952">
            <w:pPr>
              <w:spacing w:after="0" w:line="240" w:lineRule="auto"/>
              <w:rPr>
                <w:rFonts w:ascii="Times New Roman" w:hAnsi="Times New Roman"/>
                <w:sz w:val="18"/>
                <w:szCs w:val="18"/>
              </w:rPr>
            </w:pPr>
            <w:r w:rsidRPr="000F3006">
              <w:rPr>
                <w:rFonts w:ascii="Times New Roman" w:hAnsi="Times New Roman"/>
                <w:b/>
                <w:bCs/>
                <w:sz w:val="18"/>
                <w:szCs w:val="18"/>
              </w:rPr>
              <w:t>OBJECTIVELY VERIFIABLE INDICATORS</w:t>
            </w:r>
          </w:p>
        </w:tc>
        <w:tc>
          <w:tcPr>
            <w:tcW w:w="1418" w:type="dxa"/>
            <w:vAlign w:val="center"/>
          </w:tcPr>
          <w:p w14:paraId="34F0DCE7" w14:textId="77777777" w:rsidR="00220B44" w:rsidRPr="000F3006" w:rsidRDefault="00220B44" w:rsidP="006D6952">
            <w:pPr>
              <w:spacing w:after="0" w:line="240" w:lineRule="auto"/>
              <w:rPr>
                <w:rFonts w:ascii="Times New Roman" w:hAnsi="Times New Roman"/>
                <w:sz w:val="18"/>
                <w:szCs w:val="18"/>
              </w:rPr>
            </w:pPr>
            <w:r w:rsidRPr="000F3006">
              <w:rPr>
                <w:rFonts w:ascii="Times New Roman" w:hAnsi="Times New Roman"/>
                <w:b/>
                <w:bCs/>
                <w:sz w:val="18"/>
                <w:szCs w:val="18"/>
              </w:rPr>
              <w:t>BASELINE</w:t>
            </w:r>
          </w:p>
        </w:tc>
        <w:tc>
          <w:tcPr>
            <w:tcW w:w="1559" w:type="dxa"/>
            <w:vAlign w:val="center"/>
          </w:tcPr>
          <w:p w14:paraId="17575380" w14:textId="77777777" w:rsidR="00220B44" w:rsidRPr="000F3006" w:rsidRDefault="00220B44" w:rsidP="006D6952">
            <w:pPr>
              <w:spacing w:after="0" w:line="240" w:lineRule="auto"/>
              <w:rPr>
                <w:rFonts w:ascii="Times New Roman" w:hAnsi="Times New Roman"/>
                <w:sz w:val="18"/>
                <w:szCs w:val="18"/>
              </w:rPr>
            </w:pPr>
            <w:r w:rsidRPr="000F3006">
              <w:rPr>
                <w:rFonts w:ascii="Times New Roman" w:hAnsi="Times New Roman"/>
                <w:b/>
                <w:bCs/>
                <w:sz w:val="18"/>
                <w:szCs w:val="18"/>
              </w:rPr>
              <w:t>MILESTONES</w:t>
            </w:r>
          </w:p>
        </w:tc>
        <w:tc>
          <w:tcPr>
            <w:tcW w:w="1417" w:type="dxa"/>
            <w:vAlign w:val="center"/>
          </w:tcPr>
          <w:p w14:paraId="0C2B1737" w14:textId="77777777" w:rsidR="00220B44" w:rsidRPr="000F3006" w:rsidRDefault="00220B44" w:rsidP="006D6952">
            <w:pPr>
              <w:spacing w:after="0" w:line="240" w:lineRule="auto"/>
              <w:rPr>
                <w:rFonts w:ascii="Times New Roman" w:hAnsi="Times New Roman"/>
                <w:sz w:val="18"/>
                <w:szCs w:val="18"/>
              </w:rPr>
            </w:pPr>
            <w:r w:rsidRPr="000F3006">
              <w:rPr>
                <w:rFonts w:ascii="Times New Roman" w:hAnsi="Times New Roman"/>
                <w:b/>
                <w:bCs/>
                <w:sz w:val="18"/>
                <w:szCs w:val="18"/>
              </w:rPr>
              <w:t>TARGETS</w:t>
            </w:r>
          </w:p>
        </w:tc>
        <w:tc>
          <w:tcPr>
            <w:tcW w:w="1745" w:type="dxa"/>
            <w:vAlign w:val="center"/>
          </w:tcPr>
          <w:p w14:paraId="6C2657EB" w14:textId="77777777" w:rsidR="00220B44" w:rsidRPr="000F3006" w:rsidRDefault="00220B44" w:rsidP="006D6952">
            <w:pPr>
              <w:spacing w:after="0" w:line="240" w:lineRule="auto"/>
              <w:rPr>
                <w:rFonts w:ascii="Times New Roman" w:hAnsi="Times New Roman"/>
                <w:sz w:val="18"/>
                <w:szCs w:val="18"/>
              </w:rPr>
            </w:pPr>
            <w:r w:rsidRPr="000F3006">
              <w:rPr>
                <w:rFonts w:ascii="Times New Roman" w:hAnsi="Times New Roman"/>
                <w:b/>
                <w:bCs/>
                <w:sz w:val="18"/>
                <w:szCs w:val="18"/>
              </w:rPr>
              <w:t>SOURCES OF VERIFICATION</w:t>
            </w:r>
          </w:p>
        </w:tc>
        <w:tc>
          <w:tcPr>
            <w:tcW w:w="2006" w:type="dxa"/>
            <w:shd w:val="clear" w:color="auto" w:fill="auto"/>
          </w:tcPr>
          <w:p w14:paraId="1607C264" w14:textId="77777777" w:rsidR="00220B44" w:rsidRPr="000F3006" w:rsidRDefault="00220B44" w:rsidP="006D6952">
            <w:pPr>
              <w:spacing w:after="0" w:line="240" w:lineRule="auto"/>
              <w:jc w:val="center"/>
              <w:rPr>
                <w:rFonts w:ascii="Times New Roman" w:hAnsi="Times New Roman"/>
                <w:sz w:val="18"/>
                <w:szCs w:val="18"/>
              </w:rPr>
            </w:pPr>
            <w:r w:rsidRPr="000F3006">
              <w:rPr>
                <w:rFonts w:ascii="Times New Roman" w:hAnsi="Times New Roman"/>
                <w:b/>
                <w:bCs/>
                <w:sz w:val="18"/>
                <w:szCs w:val="18"/>
              </w:rPr>
              <w:t>ASSUMPTIONS</w:t>
            </w:r>
          </w:p>
        </w:tc>
      </w:tr>
      <w:tr w:rsidR="00540FF9" w:rsidRPr="000F3006" w14:paraId="75D33BBF" w14:textId="77777777" w:rsidTr="004F3674">
        <w:trPr>
          <w:trHeight w:val="79"/>
        </w:trPr>
        <w:tc>
          <w:tcPr>
            <w:tcW w:w="3085" w:type="dxa"/>
            <w:vMerge w:val="restart"/>
            <w:vAlign w:val="center"/>
          </w:tcPr>
          <w:p w14:paraId="57B5F0C7" w14:textId="7F4CE8DD" w:rsidR="00540FF9" w:rsidRPr="000F3006" w:rsidRDefault="00540FF9" w:rsidP="006D6952">
            <w:pPr>
              <w:spacing w:after="0" w:line="240" w:lineRule="auto"/>
              <w:rPr>
                <w:rFonts w:ascii="Times New Roman" w:hAnsi="Times New Roman"/>
                <w:sz w:val="18"/>
                <w:szCs w:val="18"/>
              </w:rPr>
            </w:pPr>
            <w:r w:rsidRPr="000F3006">
              <w:rPr>
                <w:rFonts w:ascii="Times New Roman" w:hAnsi="Times New Roman"/>
                <w:sz w:val="18"/>
                <w:szCs w:val="18"/>
              </w:rPr>
              <w:t xml:space="preserve">1.1 </w:t>
            </w:r>
            <w:r w:rsidRPr="00974470">
              <w:rPr>
                <w:rFonts w:ascii="Times New Roman" w:hAnsi="Times New Roman"/>
                <w:sz w:val="18"/>
                <w:szCs w:val="18"/>
              </w:rPr>
              <w:t>Strengthened National energy policy and institutional framework</w:t>
            </w:r>
          </w:p>
          <w:p w14:paraId="79E2EE90" w14:textId="264957CC" w:rsidR="00540FF9" w:rsidRPr="000F3006" w:rsidRDefault="00540FF9" w:rsidP="006D6952">
            <w:pPr>
              <w:spacing w:after="0" w:line="240" w:lineRule="auto"/>
              <w:rPr>
                <w:rFonts w:ascii="Times New Roman" w:hAnsi="Times New Roman"/>
                <w:sz w:val="18"/>
                <w:szCs w:val="18"/>
              </w:rPr>
            </w:pPr>
          </w:p>
        </w:tc>
        <w:tc>
          <w:tcPr>
            <w:tcW w:w="3402" w:type="dxa"/>
            <w:vAlign w:val="center"/>
          </w:tcPr>
          <w:p w14:paraId="11E6F636" w14:textId="06147335" w:rsidR="00540FF9" w:rsidRPr="000F3006" w:rsidRDefault="00540FF9" w:rsidP="00832252">
            <w:pPr>
              <w:spacing w:after="0" w:line="240" w:lineRule="auto"/>
              <w:rPr>
                <w:rFonts w:ascii="Times New Roman" w:hAnsi="Times New Roman"/>
                <w:sz w:val="18"/>
                <w:szCs w:val="18"/>
              </w:rPr>
            </w:pPr>
            <w:r>
              <w:rPr>
                <w:rFonts w:ascii="Times New Roman" w:hAnsi="Times New Roman"/>
                <w:sz w:val="18"/>
                <w:szCs w:val="18"/>
              </w:rPr>
              <w:t>Number of Strategy, legal acts, Study and Plans for Energy Efficiency and Prosumer prepared</w:t>
            </w:r>
          </w:p>
        </w:tc>
        <w:tc>
          <w:tcPr>
            <w:tcW w:w="1418" w:type="dxa"/>
            <w:vAlign w:val="center"/>
          </w:tcPr>
          <w:p w14:paraId="64803EAC" w14:textId="77777777" w:rsidR="00540FF9" w:rsidRPr="000F3006" w:rsidRDefault="00540FF9" w:rsidP="006D6952">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26F12A26" w14:textId="77777777" w:rsidR="00540FF9" w:rsidRPr="000F3006" w:rsidRDefault="00540FF9" w:rsidP="006D6952">
            <w:pPr>
              <w:spacing w:after="0" w:line="240" w:lineRule="auto"/>
              <w:rPr>
                <w:rFonts w:ascii="Times New Roman" w:hAnsi="Times New Roman"/>
                <w:b/>
                <w:bCs/>
                <w:sz w:val="18"/>
                <w:szCs w:val="18"/>
              </w:rPr>
            </w:pPr>
          </w:p>
        </w:tc>
        <w:tc>
          <w:tcPr>
            <w:tcW w:w="1417" w:type="dxa"/>
            <w:vAlign w:val="center"/>
          </w:tcPr>
          <w:p w14:paraId="0CEAA93B" w14:textId="5994758B" w:rsidR="00540FF9" w:rsidRPr="007B7843" w:rsidRDefault="00540FF9" w:rsidP="006D6952">
            <w:pPr>
              <w:spacing w:after="0" w:line="240" w:lineRule="auto"/>
              <w:rPr>
                <w:rFonts w:ascii="Times New Roman" w:hAnsi="Times New Roman"/>
                <w:sz w:val="18"/>
                <w:szCs w:val="18"/>
              </w:rPr>
            </w:pPr>
            <w:r w:rsidRPr="007B7843">
              <w:rPr>
                <w:rFonts w:ascii="Times New Roman" w:hAnsi="Times New Roman"/>
                <w:sz w:val="18"/>
                <w:szCs w:val="18"/>
              </w:rPr>
              <w:t xml:space="preserve">≥ </w:t>
            </w:r>
            <w:r>
              <w:rPr>
                <w:rFonts w:ascii="Times New Roman" w:hAnsi="Times New Roman"/>
                <w:sz w:val="18"/>
                <w:szCs w:val="18"/>
              </w:rPr>
              <w:t>6</w:t>
            </w:r>
            <w:r w:rsidRPr="007B7843">
              <w:rPr>
                <w:rFonts w:ascii="Times New Roman" w:hAnsi="Times New Roman"/>
                <w:sz w:val="18"/>
                <w:szCs w:val="18"/>
              </w:rPr>
              <w:t xml:space="preserve"> (2026)</w:t>
            </w:r>
          </w:p>
        </w:tc>
        <w:tc>
          <w:tcPr>
            <w:tcW w:w="1745" w:type="dxa"/>
            <w:vAlign w:val="center"/>
          </w:tcPr>
          <w:p w14:paraId="216B0378" w14:textId="77777777" w:rsidR="00540FF9" w:rsidRPr="00730E70" w:rsidRDefault="00540FF9" w:rsidP="006D6952">
            <w:pPr>
              <w:spacing w:after="0" w:line="240" w:lineRule="auto"/>
              <w:rPr>
                <w:rFonts w:ascii="Times New Roman" w:hAnsi="Times New Roman"/>
                <w:sz w:val="18"/>
                <w:szCs w:val="18"/>
              </w:rPr>
            </w:pPr>
            <w:r w:rsidRPr="00730E70">
              <w:rPr>
                <w:rFonts w:ascii="Times New Roman" w:hAnsi="Times New Roman"/>
                <w:sz w:val="18"/>
                <w:szCs w:val="18"/>
              </w:rPr>
              <w:t>MoE</w:t>
            </w:r>
          </w:p>
        </w:tc>
        <w:tc>
          <w:tcPr>
            <w:tcW w:w="2006" w:type="dxa"/>
            <w:vMerge w:val="restart"/>
            <w:shd w:val="clear" w:color="auto" w:fill="auto"/>
          </w:tcPr>
          <w:p w14:paraId="2170CD91" w14:textId="77777777" w:rsidR="00540FF9" w:rsidRPr="00EF4A86" w:rsidRDefault="00540FF9" w:rsidP="006D6952">
            <w:pPr>
              <w:spacing w:after="0" w:line="240" w:lineRule="auto"/>
              <w:rPr>
                <w:rFonts w:ascii="Times New Roman" w:hAnsi="Times New Roman"/>
                <w:sz w:val="18"/>
                <w:szCs w:val="18"/>
              </w:rPr>
            </w:pPr>
            <w:r w:rsidRPr="00EF4A86">
              <w:rPr>
                <w:rFonts w:ascii="Times New Roman" w:hAnsi="Times New Roman"/>
                <w:sz w:val="18"/>
                <w:szCs w:val="18"/>
              </w:rPr>
              <w:t>Good cooperation and coordination among key stakeholders including local administrations.</w:t>
            </w:r>
          </w:p>
          <w:p w14:paraId="7F8AE546" w14:textId="77777777" w:rsidR="00540FF9" w:rsidRPr="00EF4A86" w:rsidRDefault="00540FF9" w:rsidP="006D6952">
            <w:pPr>
              <w:spacing w:after="0" w:line="240" w:lineRule="auto"/>
              <w:rPr>
                <w:rFonts w:ascii="Times New Roman" w:hAnsi="Times New Roman"/>
                <w:sz w:val="18"/>
                <w:szCs w:val="18"/>
              </w:rPr>
            </w:pPr>
          </w:p>
          <w:p w14:paraId="0E8AB814" w14:textId="77777777" w:rsidR="00540FF9" w:rsidRPr="00EF4A86" w:rsidRDefault="00540FF9" w:rsidP="006D6952">
            <w:pPr>
              <w:spacing w:after="0" w:line="240" w:lineRule="auto"/>
              <w:rPr>
                <w:rFonts w:ascii="Times New Roman" w:hAnsi="Times New Roman"/>
                <w:sz w:val="18"/>
                <w:szCs w:val="18"/>
              </w:rPr>
            </w:pPr>
            <w:r>
              <w:rPr>
                <w:rFonts w:ascii="Times New Roman" w:hAnsi="Times New Roman"/>
                <w:sz w:val="18"/>
                <w:szCs w:val="18"/>
              </w:rPr>
              <w:t>All</w:t>
            </w:r>
            <w:r w:rsidRPr="00EF4A86">
              <w:rPr>
                <w:rFonts w:ascii="Times New Roman" w:hAnsi="Times New Roman"/>
                <w:sz w:val="18"/>
                <w:szCs w:val="18"/>
              </w:rPr>
              <w:t xml:space="preserve"> stakeholders </w:t>
            </w:r>
            <w:r>
              <w:rPr>
                <w:rFonts w:ascii="Times New Roman" w:hAnsi="Times New Roman"/>
                <w:sz w:val="18"/>
                <w:szCs w:val="18"/>
              </w:rPr>
              <w:t xml:space="preserve">are proactively </w:t>
            </w:r>
            <w:r w:rsidRPr="00EF4A86">
              <w:rPr>
                <w:rFonts w:ascii="Times New Roman" w:hAnsi="Times New Roman"/>
                <w:sz w:val="18"/>
                <w:szCs w:val="18"/>
              </w:rPr>
              <w:t>involved in the implementation of the relevant activities related to energy.</w:t>
            </w:r>
          </w:p>
          <w:p w14:paraId="7AC47E4D" w14:textId="77777777" w:rsidR="00540FF9" w:rsidRDefault="00540FF9" w:rsidP="006D6952">
            <w:pPr>
              <w:spacing w:after="0" w:line="240" w:lineRule="auto"/>
              <w:rPr>
                <w:rFonts w:ascii="Times New Roman" w:hAnsi="Times New Roman"/>
                <w:color w:val="FF0000"/>
                <w:sz w:val="18"/>
                <w:szCs w:val="18"/>
              </w:rPr>
            </w:pPr>
          </w:p>
          <w:p w14:paraId="5F2E4229" w14:textId="77777777" w:rsidR="00540FF9" w:rsidRDefault="00540FF9" w:rsidP="006D6952">
            <w:pPr>
              <w:spacing w:after="0" w:line="240" w:lineRule="auto"/>
              <w:rPr>
                <w:rFonts w:ascii="Times New Roman" w:hAnsi="Times New Roman"/>
                <w:color w:val="FF0000"/>
                <w:sz w:val="18"/>
                <w:szCs w:val="18"/>
              </w:rPr>
            </w:pPr>
          </w:p>
          <w:p w14:paraId="0CAD1835" w14:textId="77777777" w:rsidR="00540FF9" w:rsidRDefault="00540FF9" w:rsidP="006D6952">
            <w:pPr>
              <w:spacing w:after="0" w:line="240" w:lineRule="auto"/>
              <w:rPr>
                <w:rFonts w:ascii="Times New Roman" w:hAnsi="Times New Roman"/>
                <w:color w:val="FF0000"/>
                <w:sz w:val="18"/>
                <w:szCs w:val="18"/>
              </w:rPr>
            </w:pPr>
          </w:p>
          <w:p w14:paraId="67865FA6" w14:textId="77777777" w:rsidR="00540FF9" w:rsidRDefault="00540FF9" w:rsidP="006D6952">
            <w:pPr>
              <w:spacing w:after="0" w:line="240" w:lineRule="auto"/>
              <w:rPr>
                <w:rFonts w:ascii="Times New Roman" w:hAnsi="Times New Roman"/>
                <w:color w:val="FF0000"/>
                <w:sz w:val="18"/>
                <w:szCs w:val="18"/>
              </w:rPr>
            </w:pPr>
          </w:p>
          <w:p w14:paraId="29105E90" w14:textId="77777777" w:rsidR="00540FF9" w:rsidRDefault="00540FF9" w:rsidP="006D6952">
            <w:pPr>
              <w:spacing w:after="0" w:line="240" w:lineRule="auto"/>
              <w:rPr>
                <w:rFonts w:ascii="Times New Roman" w:hAnsi="Times New Roman"/>
                <w:color w:val="FF0000"/>
                <w:sz w:val="18"/>
                <w:szCs w:val="18"/>
              </w:rPr>
            </w:pPr>
          </w:p>
          <w:p w14:paraId="74088C6E" w14:textId="77777777" w:rsidR="00540FF9" w:rsidRDefault="00540FF9" w:rsidP="006D6952">
            <w:pPr>
              <w:spacing w:after="0" w:line="240" w:lineRule="auto"/>
              <w:rPr>
                <w:rFonts w:ascii="Times New Roman" w:hAnsi="Times New Roman"/>
                <w:color w:val="FF0000"/>
                <w:sz w:val="18"/>
                <w:szCs w:val="18"/>
              </w:rPr>
            </w:pPr>
          </w:p>
          <w:p w14:paraId="07005B2A" w14:textId="77777777" w:rsidR="00540FF9" w:rsidRDefault="00540FF9" w:rsidP="006D6952">
            <w:pPr>
              <w:spacing w:after="0" w:line="240" w:lineRule="auto"/>
              <w:rPr>
                <w:rFonts w:ascii="Times New Roman" w:hAnsi="Times New Roman"/>
                <w:color w:val="FF0000"/>
                <w:sz w:val="18"/>
                <w:szCs w:val="18"/>
              </w:rPr>
            </w:pPr>
          </w:p>
          <w:p w14:paraId="33B60FD5" w14:textId="77777777" w:rsidR="00540FF9" w:rsidRDefault="00540FF9" w:rsidP="006D6952">
            <w:pPr>
              <w:spacing w:after="0" w:line="240" w:lineRule="auto"/>
              <w:rPr>
                <w:rFonts w:ascii="Times New Roman" w:hAnsi="Times New Roman"/>
                <w:color w:val="FF0000"/>
                <w:sz w:val="18"/>
                <w:szCs w:val="18"/>
              </w:rPr>
            </w:pPr>
          </w:p>
          <w:p w14:paraId="6A8A3358" w14:textId="77777777" w:rsidR="00540FF9" w:rsidRDefault="00540FF9" w:rsidP="006D6952">
            <w:pPr>
              <w:spacing w:after="0" w:line="240" w:lineRule="auto"/>
              <w:rPr>
                <w:rFonts w:ascii="Times New Roman" w:hAnsi="Times New Roman"/>
                <w:color w:val="FF0000"/>
                <w:sz w:val="18"/>
                <w:szCs w:val="18"/>
              </w:rPr>
            </w:pPr>
          </w:p>
          <w:p w14:paraId="52E0B66C" w14:textId="77777777" w:rsidR="00540FF9" w:rsidRDefault="00540FF9" w:rsidP="006D6952">
            <w:pPr>
              <w:spacing w:after="0" w:line="240" w:lineRule="auto"/>
              <w:rPr>
                <w:rFonts w:ascii="Times New Roman" w:hAnsi="Times New Roman"/>
                <w:color w:val="FF0000"/>
                <w:sz w:val="18"/>
                <w:szCs w:val="18"/>
              </w:rPr>
            </w:pPr>
          </w:p>
          <w:p w14:paraId="11C325F4" w14:textId="77777777" w:rsidR="00540FF9" w:rsidRDefault="00540FF9" w:rsidP="006D6952">
            <w:pPr>
              <w:spacing w:after="0" w:line="240" w:lineRule="auto"/>
              <w:rPr>
                <w:rFonts w:ascii="Times New Roman" w:hAnsi="Times New Roman"/>
                <w:color w:val="FF0000"/>
                <w:sz w:val="18"/>
                <w:szCs w:val="18"/>
              </w:rPr>
            </w:pPr>
          </w:p>
          <w:p w14:paraId="0693B785" w14:textId="77777777" w:rsidR="00540FF9" w:rsidRDefault="00540FF9" w:rsidP="006D6952">
            <w:pPr>
              <w:spacing w:after="0" w:line="240" w:lineRule="auto"/>
              <w:rPr>
                <w:rFonts w:ascii="Times New Roman" w:hAnsi="Times New Roman"/>
                <w:color w:val="FF0000"/>
                <w:sz w:val="18"/>
                <w:szCs w:val="18"/>
              </w:rPr>
            </w:pPr>
          </w:p>
          <w:p w14:paraId="6BF40D6E" w14:textId="77777777" w:rsidR="00540FF9" w:rsidRDefault="00540FF9" w:rsidP="006D6952">
            <w:pPr>
              <w:spacing w:after="0" w:line="240" w:lineRule="auto"/>
              <w:rPr>
                <w:rFonts w:ascii="Times New Roman" w:hAnsi="Times New Roman"/>
                <w:color w:val="FF0000"/>
                <w:sz w:val="18"/>
                <w:szCs w:val="18"/>
              </w:rPr>
            </w:pPr>
          </w:p>
          <w:p w14:paraId="0CB423EF" w14:textId="77777777" w:rsidR="00540FF9" w:rsidRPr="00324C59" w:rsidRDefault="00540FF9" w:rsidP="006D6952">
            <w:pPr>
              <w:spacing w:after="0" w:line="240" w:lineRule="auto"/>
              <w:rPr>
                <w:rFonts w:ascii="Times New Roman" w:hAnsi="Times New Roman"/>
                <w:color w:val="FF0000"/>
                <w:sz w:val="18"/>
                <w:szCs w:val="18"/>
              </w:rPr>
            </w:pPr>
          </w:p>
        </w:tc>
      </w:tr>
      <w:tr w:rsidR="00540FF9" w:rsidRPr="000F3006" w14:paraId="23ADCC34" w14:textId="77777777" w:rsidTr="004F3674">
        <w:trPr>
          <w:trHeight w:val="265"/>
        </w:trPr>
        <w:tc>
          <w:tcPr>
            <w:tcW w:w="3085" w:type="dxa"/>
            <w:vMerge/>
            <w:vAlign w:val="center"/>
          </w:tcPr>
          <w:p w14:paraId="43A809DE" w14:textId="77777777" w:rsidR="00540FF9" w:rsidRPr="000F3006" w:rsidRDefault="00540FF9" w:rsidP="006D6952">
            <w:pPr>
              <w:spacing w:after="0" w:line="240" w:lineRule="auto"/>
              <w:rPr>
                <w:rFonts w:ascii="Times New Roman" w:hAnsi="Times New Roman"/>
                <w:sz w:val="18"/>
                <w:szCs w:val="18"/>
              </w:rPr>
            </w:pPr>
          </w:p>
        </w:tc>
        <w:tc>
          <w:tcPr>
            <w:tcW w:w="3402" w:type="dxa"/>
            <w:vAlign w:val="center"/>
          </w:tcPr>
          <w:p w14:paraId="208F70AD" w14:textId="3B06B4B4" w:rsidR="00540FF9" w:rsidRDefault="00540FF9" w:rsidP="006D6952">
            <w:pPr>
              <w:spacing w:after="0" w:line="240" w:lineRule="auto"/>
              <w:rPr>
                <w:rFonts w:ascii="Times New Roman" w:hAnsi="Times New Roman"/>
                <w:sz w:val="18"/>
                <w:szCs w:val="18"/>
              </w:rPr>
            </w:pPr>
            <w:r>
              <w:rPr>
                <w:rFonts w:ascii="Times New Roman" w:hAnsi="Times New Roman"/>
                <w:sz w:val="18"/>
                <w:szCs w:val="18"/>
              </w:rPr>
              <w:t>Number of feasibility studies for PUCs on</w:t>
            </w:r>
            <w:r w:rsidRPr="008C6CFF">
              <w:rPr>
                <w:rFonts w:ascii="Times New Roman" w:hAnsi="Times New Roman"/>
                <w:sz w:val="18"/>
                <w:szCs w:val="18"/>
              </w:rPr>
              <w:t xml:space="preserve"> investments in</w:t>
            </w:r>
            <w:r>
              <w:rPr>
                <w:rFonts w:ascii="Times New Roman" w:hAnsi="Times New Roman"/>
                <w:sz w:val="18"/>
                <w:szCs w:val="18"/>
              </w:rPr>
              <w:t xml:space="preserve"> </w:t>
            </w:r>
            <w:r w:rsidRPr="008C6CFF">
              <w:rPr>
                <w:rFonts w:ascii="Times New Roman" w:hAnsi="Times New Roman"/>
                <w:sz w:val="18"/>
                <w:szCs w:val="18"/>
              </w:rPr>
              <w:t>renewable</w:t>
            </w:r>
            <w:r>
              <w:rPr>
                <w:rFonts w:ascii="Times New Roman" w:hAnsi="Times New Roman"/>
                <w:sz w:val="18"/>
                <w:szCs w:val="18"/>
              </w:rPr>
              <w:t xml:space="preserve"> energy and energy efficiency prepared</w:t>
            </w:r>
          </w:p>
          <w:p w14:paraId="39E26D52" w14:textId="77777777" w:rsidR="00540FF9" w:rsidRPr="00AA3BBE" w:rsidRDefault="00540FF9" w:rsidP="002D334E">
            <w:pPr>
              <w:spacing w:after="0" w:line="240" w:lineRule="auto"/>
              <w:rPr>
                <w:rFonts w:asciiTheme="minorHAnsi" w:hAnsiTheme="minorHAnsi" w:cstheme="minorHAnsi"/>
                <w:sz w:val="18"/>
                <w:szCs w:val="18"/>
              </w:rPr>
            </w:pPr>
          </w:p>
        </w:tc>
        <w:tc>
          <w:tcPr>
            <w:tcW w:w="1418" w:type="dxa"/>
            <w:vAlign w:val="center"/>
          </w:tcPr>
          <w:p w14:paraId="3E88BFC7" w14:textId="77777777" w:rsidR="00540FF9" w:rsidRPr="000F3006" w:rsidRDefault="00540FF9" w:rsidP="006D6952">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1F31F8BB" w14:textId="77777777" w:rsidR="00540FF9" w:rsidRPr="000F3006" w:rsidRDefault="00540FF9" w:rsidP="006D6952">
            <w:pPr>
              <w:spacing w:after="0" w:line="240" w:lineRule="auto"/>
              <w:rPr>
                <w:rFonts w:ascii="Times New Roman" w:hAnsi="Times New Roman"/>
                <w:sz w:val="18"/>
                <w:szCs w:val="18"/>
              </w:rPr>
            </w:pPr>
          </w:p>
        </w:tc>
        <w:tc>
          <w:tcPr>
            <w:tcW w:w="1417" w:type="dxa"/>
            <w:vAlign w:val="center"/>
          </w:tcPr>
          <w:p w14:paraId="5B1FE3B1" w14:textId="0B4F41DF" w:rsidR="00540FF9" w:rsidRPr="007B7843" w:rsidRDefault="00540FF9" w:rsidP="006D6952">
            <w:pPr>
              <w:spacing w:after="0" w:line="240" w:lineRule="auto"/>
              <w:rPr>
                <w:rFonts w:ascii="Times New Roman" w:hAnsi="Times New Roman"/>
                <w:sz w:val="18"/>
                <w:szCs w:val="18"/>
              </w:rPr>
            </w:pPr>
            <w:r w:rsidRPr="007B7843">
              <w:rPr>
                <w:rFonts w:ascii="Times New Roman" w:hAnsi="Times New Roman"/>
                <w:sz w:val="18"/>
                <w:szCs w:val="18"/>
              </w:rPr>
              <w:t xml:space="preserve">≥ </w:t>
            </w:r>
            <w:r>
              <w:rPr>
                <w:rFonts w:ascii="Times New Roman" w:hAnsi="Times New Roman"/>
                <w:sz w:val="18"/>
                <w:szCs w:val="18"/>
              </w:rPr>
              <w:t>5</w:t>
            </w:r>
            <w:r w:rsidRPr="007B7843">
              <w:rPr>
                <w:rFonts w:ascii="Times New Roman" w:hAnsi="Times New Roman"/>
                <w:sz w:val="18"/>
                <w:szCs w:val="18"/>
              </w:rPr>
              <w:t xml:space="preserve"> (2026)</w:t>
            </w:r>
          </w:p>
        </w:tc>
        <w:tc>
          <w:tcPr>
            <w:tcW w:w="1745" w:type="dxa"/>
            <w:vAlign w:val="center"/>
          </w:tcPr>
          <w:p w14:paraId="716EDB42" w14:textId="77777777" w:rsidR="00540FF9" w:rsidRPr="000F3006" w:rsidRDefault="00540FF9" w:rsidP="006D6952">
            <w:pPr>
              <w:spacing w:after="0" w:line="240" w:lineRule="auto"/>
              <w:rPr>
                <w:rFonts w:ascii="Times New Roman" w:hAnsi="Times New Roman"/>
                <w:sz w:val="18"/>
                <w:szCs w:val="18"/>
              </w:rPr>
            </w:pPr>
            <w:r w:rsidRPr="00730E70">
              <w:rPr>
                <w:rFonts w:ascii="Times New Roman" w:hAnsi="Times New Roman"/>
                <w:sz w:val="18"/>
                <w:szCs w:val="18"/>
              </w:rPr>
              <w:t>MoE</w:t>
            </w:r>
          </w:p>
        </w:tc>
        <w:tc>
          <w:tcPr>
            <w:tcW w:w="2006" w:type="dxa"/>
            <w:vMerge/>
            <w:shd w:val="clear" w:color="auto" w:fill="auto"/>
          </w:tcPr>
          <w:p w14:paraId="44DE6AA3" w14:textId="77777777" w:rsidR="00540FF9" w:rsidRPr="000F3006" w:rsidRDefault="00540FF9" w:rsidP="006D6952">
            <w:pPr>
              <w:spacing w:after="0" w:line="240" w:lineRule="auto"/>
              <w:rPr>
                <w:rFonts w:ascii="Times New Roman" w:hAnsi="Times New Roman"/>
                <w:b/>
                <w:bCs/>
                <w:sz w:val="18"/>
                <w:szCs w:val="18"/>
              </w:rPr>
            </w:pPr>
          </w:p>
        </w:tc>
      </w:tr>
      <w:tr w:rsidR="00540FF9" w:rsidRPr="000F3006" w14:paraId="1715B9BE" w14:textId="77777777" w:rsidTr="004F3674">
        <w:trPr>
          <w:trHeight w:val="528"/>
        </w:trPr>
        <w:tc>
          <w:tcPr>
            <w:tcW w:w="3085" w:type="dxa"/>
            <w:vMerge/>
            <w:vAlign w:val="center"/>
          </w:tcPr>
          <w:p w14:paraId="5D7FAA53" w14:textId="77777777" w:rsidR="00540FF9" w:rsidRPr="000F3006" w:rsidRDefault="00540FF9" w:rsidP="006D6952">
            <w:pPr>
              <w:spacing w:after="0" w:line="240" w:lineRule="auto"/>
              <w:rPr>
                <w:rFonts w:ascii="Times New Roman" w:hAnsi="Times New Roman"/>
                <w:sz w:val="18"/>
                <w:szCs w:val="18"/>
              </w:rPr>
            </w:pPr>
          </w:p>
        </w:tc>
        <w:tc>
          <w:tcPr>
            <w:tcW w:w="3402" w:type="dxa"/>
            <w:vAlign w:val="center"/>
          </w:tcPr>
          <w:p w14:paraId="05B61E47" w14:textId="77777777" w:rsidR="00540FF9" w:rsidRPr="008C6CFF" w:rsidRDefault="00540FF9" w:rsidP="006D6952">
            <w:pPr>
              <w:spacing w:after="0" w:line="240" w:lineRule="auto"/>
              <w:rPr>
                <w:rFonts w:ascii="Times New Roman" w:hAnsi="Times New Roman"/>
                <w:sz w:val="18"/>
                <w:szCs w:val="18"/>
              </w:rPr>
            </w:pPr>
            <w:r w:rsidRPr="008C6CFF">
              <w:rPr>
                <w:rFonts w:ascii="Times New Roman" w:hAnsi="Times New Roman"/>
                <w:sz w:val="18"/>
                <w:szCs w:val="18"/>
              </w:rPr>
              <w:t>Number of technical reports on measurers supporting the implementation of the Paris Agreement and decarbonisation process</w:t>
            </w:r>
          </w:p>
        </w:tc>
        <w:tc>
          <w:tcPr>
            <w:tcW w:w="1418" w:type="dxa"/>
            <w:vAlign w:val="center"/>
          </w:tcPr>
          <w:p w14:paraId="36B44164" w14:textId="77777777" w:rsidR="00540FF9" w:rsidRPr="00F02DA8" w:rsidRDefault="00540FF9" w:rsidP="006D6952">
            <w:pPr>
              <w:spacing w:after="0" w:line="240" w:lineRule="auto"/>
              <w:rPr>
                <w:rFonts w:ascii="Times New Roman" w:hAnsi="Times New Roman"/>
                <w:sz w:val="18"/>
                <w:szCs w:val="18"/>
                <w:highlight w:val="yellow"/>
              </w:rPr>
            </w:pPr>
            <w:r>
              <w:rPr>
                <w:rFonts w:ascii="Times New Roman" w:hAnsi="Times New Roman"/>
                <w:sz w:val="18"/>
                <w:szCs w:val="18"/>
              </w:rPr>
              <w:t>0 (2022)</w:t>
            </w:r>
          </w:p>
        </w:tc>
        <w:tc>
          <w:tcPr>
            <w:tcW w:w="1559" w:type="dxa"/>
            <w:vAlign w:val="center"/>
          </w:tcPr>
          <w:p w14:paraId="3C3D6AA0" w14:textId="77777777" w:rsidR="00540FF9" w:rsidRPr="00F02DA8" w:rsidRDefault="00540FF9" w:rsidP="006D6952">
            <w:pPr>
              <w:spacing w:after="0" w:line="240" w:lineRule="auto"/>
              <w:rPr>
                <w:rFonts w:ascii="Times New Roman" w:hAnsi="Times New Roman"/>
                <w:sz w:val="18"/>
                <w:szCs w:val="18"/>
                <w:highlight w:val="yellow"/>
              </w:rPr>
            </w:pPr>
          </w:p>
        </w:tc>
        <w:tc>
          <w:tcPr>
            <w:tcW w:w="1417" w:type="dxa"/>
            <w:vAlign w:val="center"/>
          </w:tcPr>
          <w:p w14:paraId="1B30590A" w14:textId="77777777" w:rsidR="00540FF9" w:rsidRPr="007B7843" w:rsidRDefault="00540FF9" w:rsidP="006D6952">
            <w:pPr>
              <w:spacing w:after="0" w:line="240" w:lineRule="auto"/>
              <w:rPr>
                <w:rFonts w:ascii="Times New Roman" w:hAnsi="Times New Roman"/>
                <w:sz w:val="18"/>
                <w:szCs w:val="18"/>
                <w:highlight w:val="yellow"/>
              </w:rPr>
            </w:pPr>
            <w:r w:rsidRPr="007B7843">
              <w:rPr>
                <w:rFonts w:ascii="Times New Roman" w:hAnsi="Times New Roman"/>
                <w:sz w:val="18"/>
                <w:szCs w:val="18"/>
              </w:rPr>
              <w:t>≥ 2 (2026)</w:t>
            </w:r>
          </w:p>
        </w:tc>
        <w:tc>
          <w:tcPr>
            <w:tcW w:w="1745" w:type="dxa"/>
            <w:vAlign w:val="center"/>
          </w:tcPr>
          <w:p w14:paraId="28D4911A" w14:textId="77777777" w:rsidR="00540FF9" w:rsidRPr="00F02DA8" w:rsidRDefault="00540FF9" w:rsidP="006D6952">
            <w:pPr>
              <w:spacing w:after="0" w:line="240" w:lineRule="auto"/>
              <w:rPr>
                <w:rFonts w:ascii="Times New Roman" w:hAnsi="Times New Roman"/>
                <w:sz w:val="18"/>
                <w:szCs w:val="18"/>
                <w:highlight w:val="yellow"/>
              </w:rPr>
            </w:pPr>
            <w:r w:rsidRPr="00730E70">
              <w:rPr>
                <w:rFonts w:ascii="Times New Roman" w:hAnsi="Times New Roman"/>
                <w:sz w:val="18"/>
                <w:szCs w:val="18"/>
              </w:rPr>
              <w:t>MoE</w:t>
            </w:r>
          </w:p>
        </w:tc>
        <w:tc>
          <w:tcPr>
            <w:tcW w:w="2006" w:type="dxa"/>
            <w:vMerge/>
            <w:shd w:val="clear" w:color="auto" w:fill="auto"/>
          </w:tcPr>
          <w:p w14:paraId="7DCF5C52" w14:textId="77777777" w:rsidR="00540FF9" w:rsidRPr="000F3006" w:rsidRDefault="00540FF9" w:rsidP="006D6952">
            <w:pPr>
              <w:spacing w:after="0" w:line="240" w:lineRule="auto"/>
              <w:rPr>
                <w:rFonts w:ascii="Times New Roman" w:hAnsi="Times New Roman"/>
                <w:b/>
                <w:bCs/>
                <w:sz w:val="18"/>
                <w:szCs w:val="18"/>
              </w:rPr>
            </w:pPr>
          </w:p>
        </w:tc>
      </w:tr>
      <w:tr w:rsidR="00540FF9" w:rsidRPr="000F3006" w14:paraId="58C317FB" w14:textId="77777777" w:rsidTr="004F3674">
        <w:trPr>
          <w:trHeight w:val="528"/>
        </w:trPr>
        <w:tc>
          <w:tcPr>
            <w:tcW w:w="3085" w:type="dxa"/>
            <w:vMerge/>
            <w:vAlign w:val="center"/>
          </w:tcPr>
          <w:p w14:paraId="37835C8E" w14:textId="77777777" w:rsidR="00540FF9" w:rsidRPr="000F3006" w:rsidRDefault="00540FF9" w:rsidP="006D6952">
            <w:pPr>
              <w:spacing w:after="0" w:line="240" w:lineRule="auto"/>
              <w:rPr>
                <w:rFonts w:ascii="Times New Roman" w:hAnsi="Times New Roman"/>
                <w:sz w:val="18"/>
                <w:szCs w:val="18"/>
              </w:rPr>
            </w:pPr>
          </w:p>
        </w:tc>
        <w:tc>
          <w:tcPr>
            <w:tcW w:w="3402" w:type="dxa"/>
            <w:vAlign w:val="center"/>
          </w:tcPr>
          <w:p w14:paraId="458285B5" w14:textId="77777777" w:rsidR="00540FF9" w:rsidRPr="008C6CFF" w:rsidRDefault="00540FF9" w:rsidP="006D6952">
            <w:pPr>
              <w:spacing w:after="0" w:line="240" w:lineRule="auto"/>
              <w:rPr>
                <w:rFonts w:ascii="Times New Roman" w:hAnsi="Times New Roman"/>
                <w:sz w:val="18"/>
                <w:szCs w:val="18"/>
              </w:rPr>
            </w:pPr>
            <w:r>
              <w:rPr>
                <w:rFonts w:ascii="Times New Roman" w:hAnsi="Times New Roman"/>
                <w:sz w:val="18"/>
                <w:szCs w:val="18"/>
              </w:rPr>
              <w:t>Number of public awareness events on Green Agenda, Just Transition and De-Carbonisation policies</w:t>
            </w:r>
          </w:p>
        </w:tc>
        <w:tc>
          <w:tcPr>
            <w:tcW w:w="1418" w:type="dxa"/>
            <w:vAlign w:val="center"/>
          </w:tcPr>
          <w:p w14:paraId="3B504D97" w14:textId="77777777" w:rsidR="00540FF9" w:rsidRDefault="00540FF9" w:rsidP="006D6952">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12BD75B8" w14:textId="77777777" w:rsidR="00540FF9" w:rsidRPr="00F02DA8" w:rsidRDefault="00540FF9" w:rsidP="006D6952">
            <w:pPr>
              <w:spacing w:after="0" w:line="240" w:lineRule="auto"/>
              <w:rPr>
                <w:rFonts w:ascii="Times New Roman" w:hAnsi="Times New Roman"/>
                <w:sz w:val="18"/>
                <w:szCs w:val="18"/>
                <w:highlight w:val="yellow"/>
              </w:rPr>
            </w:pPr>
          </w:p>
        </w:tc>
        <w:tc>
          <w:tcPr>
            <w:tcW w:w="1417" w:type="dxa"/>
            <w:vAlign w:val="center"/>
          </w:tcPr>
          <w:p w14:paraId="0959E1D9" w14:textId="1CFAA901" w:rsidR="00540FF9" w:rsidRPr="007B7843" w:rsidRDefault="00540FF9" w:rsidP="006D6952">
            <w:pPr>
              <w:spacing w:after="0" w:line="240" w:lineRule="auto"/>
              <w:rPr>
                <w:rFonts w:ascii="Times New Roman" w:hAnsi="Times New Roman"/>
                <w:sz w:val="18"/>
                <w:szCs w:val="18"/>
              </w:rPr>
            </w:pPr>
            <w:r w:rsidRPr="007B7843">
              <w:rPr>
                <w:rFonts w:ascii="Times New Roman" w:hAnsi="Times New Roman"/>
                <w:sz w:val="18"/>
                <w:szCs w:val="18"/>
              </w:rPr>
              <w:t xml:space="preserve">≥ </w:t>
            </w:r>
            <w:r>
              <w:rPr>
                <w:rFonts w:ascii="Times New Roman" w:hAnsi="Times New Roman"/>
                <w:sz w:val="18"/>
                <w:szCs w:val="18"/>
              </w:rPr>
              <w:t>xx</w:t>
            </w:r>
            <w:r w:rsidRPr="007B7843">
              <w:rPr>
                <w:rFonts w:ascii="Times New Roman" w:hAnsi="Times New Roman"/>
                <w:sz w:val="18"/>
                <w:szCs w:val="18"/>
              </w:rPr>
              <w:t xml:space="preserve"> (2026)</w:t>
            </w:r>
          </w:p>
        </w:tc>
        <w:tc>
          <w:tcPr>
            <w:tcW w:w="1745" w:type="dxa"/>
            <w:vAlign w:val="center"/>
          </w:tcPr>
          <w:p w14:paraId="5839F8AE" w14:textId="6F8BDCEB" w:rsidR="00540FF9" w:rsidRPr="00730E70" w:rsidRDefault="00540FF9" w:rsidP="006D6952">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4306038D" w14:textId="77777777" w:rsidR="00540FF9" w:rsidRPr="000F3006" w:rsidRDefault="00540FF9" w:rsidP="006D6952">
            <w:pPr>
              <w:spacing w:after="0" w:line="240" w:lineRule="auto"/>
              <w:rPr>
                <w:rFonts w:ascii="Times New Roman" w:hAnsi="Times New Roman"/>
                <w:b/>
                <w:bCs/>
                <w:sz w:val="18"/>
                <w:szCs w:val="18"/>
              </w:rPr>
            </w:pPr>
          </w:p>
        </w:tc>
      </w:tr>
      <w:tr w:rsidR="00540FF9" w:rsidRPr="000F3006" w14:paraId="14318A98" w14:textId="77777777" w:rsidTr="004F3674">
        <w:trPr>
          <w:trHeight w:val="528"/>
        </w:trPr>
        <w:tc>
          <w:tcPr>
            <w:tcW w:w="3085" w:type="dxa"/>
            <w:vMerge/>
            <w:vAlign w:val="center"/>
          </w:tcPr>
          <w:p w14:paraId="4F7BD744"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5CFE38CC" w14:textId="7A9ED1BD" w:rsidR="00540FF9" w:rsidRPr="008C6CFF" w:rsidRDefault="00540FF9" w:rsidP="00422A34">
            <w:pPr>
              <w:spacing w:after="0" w:line="240" w:lineRule="auto"/>
              <w:rPr>
                <w:rFonts w:ascii="Times New Roman" w:hAnsi="Times New Roman"/>
                <w:sz w:val="18"/>
                <w:szCs w:val="18"/>
              </w:rPr>
            </w:pPr>
            <w:r>
              <w:rPr>
                <w:rFonts w:ascii="Times New Roman" w:hAnsi="Times New Roman"/>
                <w:sz w:val="18"/>
                <w:szCs w:val="18"/>
              </w:rPr>
              <w:t xml:space="preserve">Number of municipalities with a inventory of public buildings </w:t>
            </w:r>
          </w:p>
        </w:tc>
        <w:tc>
          <w:tcPr>
            <w:tcW w:w="1418" w:type="dxa"/>
            <w:vAlign w:val="center"/>
          </w:tcPr>
          <w:p w14:paraId="1FD5D5EF"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697CF3E9" w14:textId="77777777" w:rsidR="00540FF9" w:rsidRPr="00F02DA8" w:rsidRDefault="00540FF9" w:rsidP="00422A34">
            <w:pPr>
              <w:spacing w:after="0" w:line="240" w:lineRule="auto"/>
              <w:rPr>
                <w:rFonts w:ascii="Times New Roman" w:hAnsi="Times New Roman"/>
                <w:sz w:val="18"/>
                <w:szCs w:val="18"/>
                <w:highlight w:val="yellow"/>
              </w:rPr>
            </w:pPr>
          </w:p>
        </w:tc>
        <w:tc>
          <w:tcPr>
            <w:tcW w:w="1417" w:type="dxa"/>
            <w:vAlign w:val="center"/>
          </w:tcPr>
          <w:p w14:paraId="79A6136C" w14:textId="21A25E0B" w:rsidR="00540FF9" w:rsidRPr="007B7843" w:rsidRDefault="00540FF9" w:rsidP="00832252">
            <w:pPr>
              <w:spacing w:after="0" w:line="240" w:lineRule="auto"/>
              <w:rPr>
                <w:rFonts w:ascii="Times New Roman" w:hAnsi="Times New Roman"/>
                <w:sz w:val="18"/>
                <w:szCs w:val="18"/>
              </w:rPr>
            </w:pPr>
            <w:r w:rsidRPr="007B7843">
              <w:rPr>
                <w:rFonts w:ascii="Times New Roman" w:hAnsi="Times New Roman"/>
                <w:sz w:val="18"/>
                <w:szCs w:val="18"/>
              </w:rPr>
              <w:t xml:space="preserve">≥ </w:t>
            </w:r>
            <w:r>
              <w:rPr>
                <w:rFonts w:ascii="Times New Roman" w:hAnsi="Times New Roman"/>
                <w:sz w:val="18"/>
                <w:szCs w:val="18"/>
              </w:rPr>
              <w:t>35</w:t>
            </w:r>
            <w:r w:rsidRPr="007B7843">
              <w:rPr>
                <w:rFonts w:ascii="Times New Roman" w:hAnsi="Times New Roman"/>
                <w:sz w:val="18"/>
                <w:szCs w:val="18"/>
              </w:rPr>
              <w:t xml:space="preserve"> (2026)</w:t>
            </w:r>
          </w:p>
        </w:tc>
        <w:tc>
          <w:tcPr>
            <w:tcW w:w="1745" w:type="dxa"/>
            <w:vAlign w:val="center"/>
          </w:tcPr>
          <w:p w14:paraId="73441802" w14:textId="63A70680" w:rsidR="00540FF9" w:rsidRPr="00730E70"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1659F5A5"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76F001B3" w14:textId="77777777" w:rsidTr="004F3674">
        <w:trPr>
          <w:trHeight w:val="528"/>
        </w:trPr>
        <w:tc>
          <w:tcPr>
            <w:tcW w:w="3085" w:type="dxa"/>
            <w:vMerge/>
            <w:vAlign w:val="center"/>
          </w:tcPr>
          <w:p w14:paraId="4B9E9FEB"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1F69C4C7" w14:textId="77777777" w:rsidR="00540FF9" w:rsidRPr="008C6CFF" w:rsidRDefault="00540FF9" w:rsidP="00422A34">
            <w:pPr>
              <w:spacing w:after="0" w:line="240" w:lineRule="auto"/>
              <w:rPr>
                <w:rFonts w:ascii="Times New Roman" w:hAnsi="Times New Roman"/>
                <w:sz w:val="18"/>
                <w:szCs w:val="18"/>
              </w:rPr>
            </w:pPr>
            <w:r>
              <w:rPr>
                <w:rFonts w:ascii="Times New Roman" w:hAnsi="Times New Roman"/>
                <w:sz w:val="18"/>
                <w:szCs w:val="18"/>
              </w:rPr>
              <w:t xml:space="preserve">Number of </w:t>
            </w:r>
            <w:r w:rsidRPr="00422A34">
              <w:rPr>
                <w:rFonts w:ascii="Times New Roman" w:hAnsi="Times New Roman"/>
                <w:sz w:val="18"/>
                <w:szCs w:val="18"/>
              </w:rPr>
              <w:t>energy audit and technical documentation</w:t>
            </w:r>
            <w:r>
              <w:rPr>
                <w:rFonts w:ascii="Times New Roman" w:hAnsi="Times New Roman"/>
                <w:sz w:val="18"/>
                <w:szCs w:val="18"/>
              </w:rPr>
              <w:t>s prepared</w:t>
            </w:r>
          </w:p>
        </w:tc>
        <w:tc>
          <w:tcPr>
            <w:tcW w:w="1418" w:type="dxa"/>
            <w:vAlign w:val="center"/>
          </w:tcPr>
          <w:p w14:paraId="37AEC7EE"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4738D3CC" w14:textId="77777777" w:rsidR="00540FF9" w:rsidRPr="00F02DA8" w:rsidRDefault="00540FF9" w:rsidP="00422A34">
            <w:pPr>
              <w:spacing w:after="0" w:line="240" w:lineRule="auto"/>
              <w:rPr>
                <w:rFonts w:ascii="Times New Roman" w:hAnsi="Times New Roman"/>
                <w:sz w:val="18"/>
                <w:szCs w:val="18"/>
                <w:highlight w:val="yellow"/>
              </w:rPr>
            </w:pPr>
          </w:p>
        </w:tc>
        <w:tc>
          <w:tcPr>
            <w:tcW w:w="1417" w:type="dxa"/>
            <w:vAlign w:val="center"/>
          </w:tcPr>
          <w:p w14:paraId="6A2206E2" w14:textId="6CA41AF6" w:rsidR="00540FF9" w:rsidRPr="007B7843" w:rsidRDefault="00540FF9" w:rsidP="00422A34">
            <w:pPr>
              <w:spacing w:after="0" w:line="240" w:lineRule="auto"/>
              <w:rPr>
                <w:rFonts w:ascii="Times New Roman" w:hAnsi="Times New Roman"/>
                <w:sz w:val="18"/>
                <w:szCs w:val="18"/>
              </w:rPr>
            </w:pPr>
            <w:r w:rsidRPr="007B7843">
              <w:rPr>
                <w:rFonts w:ascii="Times New Roman" w:hAnsi="Times New Roman"/>
                <w:sz w:val="18"/>
                <w:szCs w:val="18"/>
              </w:rPr>
              <w:t>≥ (2026)</w:t>
            </w:r>
          </w:p>
        </w:tc>
        <w:tc>
          <w:tcPr>
            <w:tcW w:w="1745" w:type="dxa"/>
            <w:vAlign w:val="center"/>
          </w:tcPr>
          <w:p w14:paraId="366EFAC6" w14:textId="19B14255" w:rsidR="00540FF9" w:rsidRPr="00730E70"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5A973C45"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12CDC89C" w14:textId="77777777" w:rsidTr="004F3674">
        <w:trPr>
          <w:trHeight w:val="528"/>
        </w:trPr>
        <w:tc>
          <w:tcPr>
            <w:tcW w:w="3085" w:type="dxa"/>
            <w:vMerge/>
            <w:vAlign w:val="center"/>
          </w:tcPr>
          <w:p w14:paraId="707E19AC"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30ABE02F" w14:textId="77777777" w:rsidR="00540FF9" w:rsidRPr="008C6CFF" w:rsidRDefault="00540FF9" w:rsidP="00422A34">
            <w:pPr>
              <w:spacing w:after="0" w:line="240" w:lineRule="auto"/>
              <w:rPr>
                <w:rFonts w:ascii="Times New Roman" w:hAnsi="Times New Roman"/>
                <w:sz w:val="18"/>
                <w:szCs w:val="18"/>
              </w:rPr>
            </w:pPr>
            <w:r>
              <w:rPr>
                <w:rFonts w:ascii="Times New Roman" w:hAnsi="Times New Roman"/>
                <w:sz w:val="18"/>
                <w:szCs w:val="18"/>
              </w:rPr>
              <w:t>Number of municipal energy efficiency plans prepared</w:t>
            </w:r>
          </w:p>
        </w:tc>
        <w:tc>
          <w:tcPr>
            <w:tcW w:w="1418" w:type="dxa"/>
            <w:vAlign w:val="center"/>
          </w:tcPr>
          <w:p w14:paraId="4CC438ED"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1EC8AB60" w14:textId="77777777" w:rsidR="00540FF9" w:rsidRPr="00F02DA8" w:rsidRDefault="00540FF9" w:rsidP="00422A34">
            <w:pPr>
              <w:spacing w:after="0" w:line="240" w:lineRule="auto"/>
              <w:rPr>
                <w:rFonts w:ascii="Times New Roman" w:hAnsi="Times New Roman"/>
                <w:sz w:val="18"/>
                <w:szCs w:val="18"/>
                <w:highlight w:val="yellow"/>
              </w:rPr>
            </w:pPr>
          </w:p>
        </w:tc>
        <w:tc>
          <w:tcPr>
            <w:tcW w:w="1417" w:type="dxa"/>
            <w:vAlign w:val="center"/>
          </w:tcPr>
          <w:p w14:paraId="13633C19" w14:textId="3B040D93" w:rsidR="00540FF9" w:rsidRPr="007B7843" w:rsidRDefault="00540FF9" w:rsidP="00422A34">
            <w:pPr>
              <w:spacing w:after="0" w:line="240" w:lineRule="auto"/>
              <w:rPr>
                <w:rFonts w:ascii="Times New Roman" w:hAnsi="Times New Roman"/>
                <w:sz w:val="18"/>
                <w:szCs w:val="18"/>
              </w:rPr>
            </w:pPr>
            <w:r w:rsidRPr="007B7843">
              <w:rPr>
                <w:rFonts w:ascii="Times New Roman" w:hAnsi="Times New Roman"/>
                <w:sz w:val="18"/>
                <w:szCs w:val="18"/>
              </w:rPr>
              <w:t xml:space="preserve">≥ </w:t>
            </w:r>
            <w:r>
              <w:rPr>
                <w:rFonts w:ascii="Times New Roman" w:hAnsi="Times New Roman"/>
                <w:sz w:val="18"/>
                <w:szCs w:val="18"/>
              </w:rPr>
              <w:t>35</w:t>
            </w:r>
            <w:r w:rsidRPr="007B7843">
              <w:rPr>
                <w:rFonts w:ascii="Times New Roman" w:hAnsi="Times New Roman"/>
                <w:sz w:val="18"/>
                <w:szCs w:val="18"/>
              </w:rPr>
              <w:t xml:space="preserve"> (2026)</w:t>
            </w:r>
          </w:p>
        </w:tc>
        <w:tc>
          <w:tcPr>
            <w:tcW w:w="1745" w:type="dxa"/>
            <w:vAlign w:val="center"/>
          </w:tcPr>
          <w:p w14:paraId="610543BA" w14:textId="404A6496" w:rsidR="00540FF9" w:rsidRPr="00730E70"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22041CB3"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10EAADEB" w14:textId="77777777" w:rsidTr="004F3674">
        <w:trPr>
          <w:trHeight w:val="528"/>
        </w:trPr>
        <w:tc>
          <w:tcPr>
            <w:tcW w:w="3085" w:type="dxa"/>
            <w:vMerge/>
            <w:vAlign w:val="center"/>
          </w:tcPr>
          <w:p w14:paraId="7B95CA61"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3C81F6E8" w14:textId="0FD4E4A0" w:rsidR="00540FF9" w:rsidRPr="008C6CFF" w:rsidRDefault="00540FF9" w:rsidP="00422A34">
            <w:pPr>
              <w:spacing w:after="0" w:line="240" w:lineRule="auto"/>
              <w:rPr>
                <w:rFonts w:ascii="Times New Roman" w:hAnsi="Times New Roman"/>
                <w:sz w:val="18"/>
                <w:szCs w:val="18"/>
              </w:rPr>
            </w:pPr>
            <w:r>
              <w:rPr>
                <w:rFonts w:ascii="Times New Roman" w:hAnsi="Times New Roman"/>
                <w:sz w:val="18"/>
                <w:szCs w:val="18"/>
              </w:rPr>
              <w:t>Number of Info Centres on energy efficiency established</w:t>
            </w:r>
          </w:p>
        </w:tc>
        <w:tc>
          <w:tcPr>
            <w:tcW w:w="1418" w:type="dxa"/>
            <w:vAlign w:val="center"/>
          </w:tcPr>
          <w:p w14:paraId="60E9EBEF"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090D1EDF" w14:textId="77777777" w:rsidR="00540FF9" w:rsidRPr="00F02DA8" w:rsidRDefault="00540FF9" w:rsidP="00422A34">
            <w:pPr>
              <w:spacing w:after="0" w:line="240" w:lineRule="auto"/>
              <w:rPr>
                <w:rFonts w:ascii="Times New Roman" w:hAnsi="Times New Roman"/>
                <w:sz w:val="18"/>
                <w:szCs w:val="18"/>
                <w:highlight w:val="yellow"/>
              </w:rPr>
            </w:pPr>
          </w:p>
        </w:tc>
        <w:tc>
          <w:tcPr>
            <w:tcW w:w="1417" w:type="dxa"/>
            <w:vAlign w:val="center"/>
          </w:tcPr>
          <w:p w14:paraId="57660BD4" w14:textId="75537922" w:rsidR="00540FF9" w:rsidRPr="007B7843" w:rsidRDefault="00540FF9" w:rsidP="00422A34">
            <w:pPr>
              <w:spacing w:after="0" w:line="240" w:lineRule="auto"/>
              <w:rPr>
                <w:rFonts w:ascii="Times New Roman" w:hAnsi="Times New Roman"/>
                <w:sz w:val="18"/>
                <w:szCs w:val="18"/>
              </w:rPr>
            </w:pPr>
            <w:r>
              <w:rPr>
                <w:rFonts w:ascii="Times New Roman" w:hAnsi="Times New Roman"/>
                <w:sz w:val="18"/>
                <w:szCs w:val="18"/>
              </w:rPr>
              <w:t>35</w:t>
            </w:r>
            <w:r w:rsidRPr="007B7843">
              <w:rPr>
                <w:rFonts w:ascii="Times New Roman" w:hAnsi="Times New Roman"/>
                <w:sz w:val="18"/>
                <w:szCs w:val="18"/>
              </w:rPr>
              <w:t xml:space="preserve"> (2026)</w:t>
            </w:r>
          </w:p>
        </w:tc>
        <w:tc>
          <w:tcPr>
            <w:tcW w:w="1745" w:type="dxa"/>
            <w:vAlign w:val="center"/>
          </w:tcPr>
          <w:p w14:paraId="00E0B46A" w14:textId="0101A0B1" w:rsidR="00540FF9" w:rsidRPr="00730E70"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4775E54E"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05F09E66" w14:textId="77777777" w:rsidTr="004F3674">
        <w:trPr>
          <w:trHeight w:val="528"/>
        </w:trPr>
        <w:tc>
          <w:tcPr>
            <w:tcW w:w="3085" w:type="dxa"/>
            <w:vMerge/>
            <w:vAlign w:val="center"/>
          </w:tcPr>
          <w:p w14:paraId="161EC161"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34ED51C6"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 xml:space="preserve">Number of </w:t>
            </w:r>
            <w:r w:rsidRPr="00422A34">
              <w:rPr>
                <w:rFonts w:ascii="Times New Roman" w:hAnsi="Times New Roman"/>
                <w:sz w:val="18"/>
                <w:szCs w:val="18"/>
              </w:rPr>
              <w:t>energy audits for ESCO and SMEs</w:t>
            </w:r>
          </w:p>
        </w:tc>
        <w:tc>
          <w:tcPr>
            <w:tcW w:w="1418" w:type="dxa"/>
            <w:vAlign w:val="center"/>
          </w:tcPr>
          <w:p w14:paraId="0F66E0DD"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78CD4025" w14:textId="77777777" w:rsidR="00540FF9" w:rsidRPr="00F02DA8" w:rsidRDefault="00540FF9" w:rsidP="00422A34">
            <w:pPr>
              <w:spacing w:after="0" w:line="240" w:lineRule="auto"/>
              <w:rPr>
                <w:rFonts w:ascii="Times New Roman" w:hAnsi="Times New Roman"/>
                <w:sz w:val="18"/>
                <w:szCs w:val="18"/>
                <w:highlight w:val="yellow"/>
              </w:rPr>
            </w:pPr>
          </w:p>
        </w:tc>
        <w:tc>
          <w:tcPr>
            <w:tcW w:w="1417" w:type="dxa"/>
            <w:vAlign w:val="center"/>
          </w:tcPr>
          <w:p w14:paraId="7522BEAE" w14:textId="21E54338" w:rsidR="00540FF9" w:rsidRPr="007B7843" w:rsidRDefault="00540FF9" w:rsidP="00422A34">
            <w:pPr>
              <w:spacing w:after="0" w:line="240" w:lineRule="auto"/>
              <w:rPr>
                <w:rFonts w:ascii="Times New Roman" w:hAnsi="Times New Roman"/>
                <w:sz w:val="18"/>
                <w:szCs w:val="18"/>
              </w:rPr>
            </w:pPr>
            <w:r w:rsidRPr="007B7843">
              <w:rPr>
                <w:rFonts w:ascii="Times New Roman" w:hAnsi="Times New Roman"/>
                <w:sz w:val="18"/>
                <w:szCs w:val="18"/>
              </w:rPr>
              <w:t xml:space="preserve">≥ </w:t>
            </w:r>
            <w:r>
              <w:rPr>
                <w:rFonts w:ascii="Times New Roman" w:hAnsi="Times New Roman"/>
                <w:sz w:val="18"/>
                <w:szCs w:val="18"/>
              </w:rPr>
              <w:t>xx</w:t>
            </w:r>
            <w:r w:rsidRPr="007B7843">
              <w:rPr>
                <w:rFonts w:ascii="Times New Roman" w:hAnsi="Times New Roman"/>
                <w:sz w:val="18"/>
                <w:szCs w:val="18"/>
              </w:rPr>
              <w:t xml:space="preserve"> (2026)</w:t>
            </w:r>
          </w:p>
        </w:tc>
        <w:tc>
          <w:tcPr>
            <w:tcW w:w="1745" w:type="dxa"/>
            <w:vAlign w:val="center"/>
          </w:tcPr>
          <w:p w14:paraId="50FA0123" w14:textId="367E63BE" w:rsidR="00540FF9" w:rsidRPr="00730E70"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220A7329"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4B6CE5B1" w14:textId="77777777" w:rsidTr="004F3674">
        <w:trPr>
          <w:trHeight w:val="528"/>
        </w:trPr>
        <w:tc>
          <w:tcPr>
            <w:tcW w:w="3085" w:type="dxa"/>
            <w:vMerge/>
            <w:vAlign w:val="center"/>
          </w:tcPr>
          <w:p w14:paraId="7AF972DD"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4EB870E2" w14:textId="39C4B625" w:rsidR="00540FF9" w:rsidRDefault="00540FF9" w:rsidP="00832252">
            <w:pPr>
              <w:spacing w:after="0" w:line="240" w:lineRule="auto"/>
              <w:rPr>
                <w:rFonts w:ascii="Times New Roman" w:hAnsi="Times New Roman"/>
                <w:sz w:val="18"/>
                <w:szCs w:val="18"/>
              </w:rPr>
            </w:pPr>
            <w:r>
              <w:rPr>
                <w:rFonts w:ascii="Times New Roman" w:hAnsi="Times New Roman"/>
                <w:sz w:val="18"/>
                <w:szCs w:val="18"/>
              </w:rPr>
              <w:t xml:space="preserve">Number of </w:t>
            </w:r>
            <w:r w:rsidRPr="00422A34">
              <w:rPr>
                <w:rFonts w:ascii="Times New Roman" w:hAnsi="Times New Roman"/>
                <w:sz w:val="18"/>
                <w:szCs w:val="18"/>
              </w:rPr>
              <w:t xml:space="preserve">feasibility study on the adaptability of pipelines used for </w:t>
            </w:r>
            <w:r>
              <w:rPr>
                <w:rFonts w:ascii="Times New Roman" w:hAnsi="Times New Roman"/>
                <w:sz w:val="18"/>
                <w:szCs w:val="18"/>
              </w:rPr>
              <w:t>natural gas</w:t>
            </w:r>
            <w:r w:rsidRPr="00422A34">
              <w:rPr>
                <w:rFonts w:ascii="Times New Roman" w:hAnsi="Times New Roman"/>
                <w:sz w:val="18"/>
                <w:szCs w:val="18"/>
              </w:rPr>
              <w:t xml:space="preserve"> to be used for </w:t>
            </w:r>
            <w:r>
              <w:rPr>
                <w:rFonts w:ascii="Times New Roman" w:hAnsi="Times New Roman"/>
                <w:sz w:val="18"/>
                <w:szCs w:val="18"/>
              </w:rPr>
              <w:t>h</w:t>
            </w:r>
            <w:r w:rsidRPr="00422A34">
              <w:rPr>
                <w:rFonts w:ascii="Times New Roman" w:hAnsi="Times New Roman"/>
                <w:sz w:val="18"/>
                <w:szCs w:val="18"/>
              </w:rPr>
              <w:t>ydrogen.</w:t>
            </w:r>
          </w:p>
        </w:tc>
        <w:tc>
          <w:tcPr>
            <w:tcW w:w="1418" w:type="dxa"/>
            <w:vAlign w:val="center"/>
          </w:tcPr>
          <w:p w14:paraId="14CF7DD3"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771AB475" w14:textId="77777777" w:rsidR="00540FF9" w:rsidRPr="00F02DA8" w:rsidRDefault="00540FF9" w:rsidP="00422A34">
            <w:pPr>
              <w:spacing w:after="0" w:line="240" w:lineRule="auto"/>
              <w:rPr>
                <w:rFonts w:ascii="Times New Roman" w:hAnsi="Times New Roman"/>
                <w:sz w:val="18"/>
                <w:szCs w:val="18"/>
                <w:highlight w:val="yellow"/>
              </w:rPr>
            </w:pPr>
          </w:p>
        </w:tc>
        <w:tc>
          <w:tcPr>
            <w:tcW w:w="1417" w:type="dxa"/>
            <w:vAlign w:val="center"/>
          </w:tcPr>
          <w:p w14:paraId="5689DE2B" w14:textId="22C7B40E" w:rsidR="00540FF9" w:rsidRPr="007B7843" w:rsidRDefault="00540FF9" w:rsidP="00422A34">
            <w:pPr>
              <w:spacing w:after="0" w:line="240" w:lineRule="auto"/>
              <w:rPr>
                <w:rFonts w:ascii="Times New Roman" w:hAnsi="Times New Roman"/>
                <w:sz w:val="18"/>
                <w:szCs w:val="18"/>
              </w:rPr>
            </w:pPr>
            <w:r>
              <w:rPr>
                <w:rFonts w:ascii="Times New Roman" w:hAnsi="Times New Roman"/>
                <w:sz w:val="18"/>
                <w:szCs w:val="18"/>
              </w:rPr>
              <w:t>1</w:t>
            </w:r>
            <w:r w:rsidRPr="007B7843">
              <w:rPr>
                <w:rFonts w:ascii="Times New Roman" w:hAnsi="Times New Roman"/>
                <w:sz w:val="18"/>
                <w:szCs w:val="18"/>
              </w:rPr>
              <w:t xml:space="preserve"> (2026)</w:t>
            </w:r>
          </w:p>
        </w:tc>
        <w:tc>
          <w:tcPr>
            <w:tcW w:w="1745" w:type="dxa"/>
            <w:vAlign w:val="center"/>
          </w:tcPr>
          <w:p w14:paraId="021D0698" w14:textId="29C547C4" w:rsidR="00540FF9" w:rsidRPr="00730E70"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2E92A912"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1E21C15D" w14:textId="77777777" w:rsidTr="004F3674">
        <w:trPr>
          <w:trHeight w:val="265"/>
        </w:trPr>
        <w:tc>
          <w:tcPr>
            <w:tcW w:w="3085" w:type="dxa"/>
            <w:vMerge/>
            <w:vAlign w:val="center"/>
          </w:tcPr>
          <w:p w14:paraId="2BB49317"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497BA063" w14:textId="77777777"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Number of staff trained (Ministry of Economy and EA)</w:t>
            </w:r>
          </w:p>
        </w:tc>
        <w:tc>
          <w:tcPr>
            <w:tcW w:w="1418" w:type="dxa"/>
            <w:vAlign w:val="center"/>
          </w:tcPr>
          <w:p w14:paraId="26C4D74C" w14:textId="77777777"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68845693" w14:textId="77777777" w:rsidR="00540FF9" w:rsidRPr="000F3006" w:rsidRDefault="00540FF9" w:rsidP="00422A34">
            <w:pPr>
              <w:spacing w:after="0" w:line="240" w:lineRule="auto"/>
              <w:rPr>
                <w:rFonts w:ascii="Times New Roman" w:hAnsi="Times New Roman"/>
                <w:sz w:val="18"/>
                <w:szCs w:val="18"/>
              </w:rPr>
            </w:pPr>
          </w:p>
        </w:tc>
        <w:tc>
          <w:tcPr>
            <w:tcW w:w="1417" w:type="dxa"/>
            <w:vAlign w:val="center"/>
          </w:tcPr>
          <w:p w14:paraId="37FA28AF" w14:textId="77777777" w:rsidR="00540FF9" w:rsidRPr="007B7843" w:rsidRDefault="00540FF9" w:rsidP="00422A34">
            <w:pPr>
              <w:spacing w:after="0" w:line="240" w:lineRule="auto"/>
              <w:rPr>
                <w:rFonts w:ascii="Times New Roman" w:hAnsi="Times New Roman"/>
                <w:sz w:val="18"/>
                <w:szCs w:val="18"/>
              </w:rPr>
            </w:pPr>
            <w:r w:rsidRPr="007B7843">
              <w:rPr>
                <w:rFonts w:ascii="Times New Roman" w:hAnsi="Times New Roman"/>
                <w:sz w:val="18"/>
                <w:szCs w:val="18"/>
              </w:rPr>
              <w:t>≥ 30 (2026)</w:t>
            </w:r>
          </w:p>
        </w:tc>
        <w:tc>
          <w:tcPr>
            <w:tcW w:w="1745" w:type="dxa"/>
            <w:vAlign w:val="center"/>
          </w:tcPr>
          <w:p w14:paraId="12F78EE7" w14:textId="4A8C8D65"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r w:rsidRPr="00730E70" w:rsidDel="00F71B5B">
              <w:rPr>
                <w:rFonts w:ascii="Times New Roman" w:hAnsi="Times New Roman"/>
                <w:sz w:val="18"/>
                <w:szCs w:val="18"/>
              </w:rPr>
              <w:t xml:space="preserve"> </w:t>
            </w:r>
          </w:p>
        </w:tc>
        <w:tc>
          <w:tcPr>
            <w:tcW w:w="2006" w:type="dxa"/>
            <w:vMerge/>
            <w:shd w:val="clear" w:color="auto" w:fill="auto"/>
          </w:tcPr>
          <w:p w14:paraId="3E31F8C7"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2DC96EA8" w14:textId="77777777" w:rsidTr="004F3674">
        <w:trPr>
          <w:trHeight w:val="265"/>
        </w:trPr>
        <w:tc>
          <w:tcPr>
            <w:tcW w:w="3085" w:type="dxa"/>
            <w:vMerge/>
            <w:vAlign w:val="center"/>
          </w:tcPr>
          <w:p w14:paraId="1003C2D0"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7B55579C" w14:textId="77777777"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 xml:space="preserve">Number of </w:t>
            </w:r>
            <w:r w:rsidRPr="00F71B5B">
              <w:rPr>
                <w:rFonts w:ascii="Times New Roman" w:hAnsi="Times New Roman"/>
                <w:i/>
                <w:iCs/>
                <w:sz w:val="18"/>
                <w:szCs w:val="18"/>
              </w:rPr>
              <w:t>one-stop-shops</w:t>
            </w:r>
            <w:r>
              <w:rPr>
                <w:rFonts w:ascii="Times New Roman" w:hAnsi="Times New Roman"/>
                <w:sz w:val="18"/>
                <w:szCs w:val="18"/>
              </w:rPr>
              <w:t xml:space="preserve"> for consumer information in line with Building Directive (EU) 2018/844 established</w:t>
            </w:r>
          </w:p>
        </w:tc>
        <w:tc>
          <w:tcPr>
            <w:tcW w:w="1418" w:type="dxa"/>
            <w:vAlign w:val="center"/>
          </w:tcPr>
          <w:p w14:paraId="140F08C4" w14:textId="77777777"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1FCFFBE1" w14:textId="77777777" w:rsidR="00540FF9" w:rsidRPr="000F3006" w:rsidRDefault="00540FF9" w:rsidP="00422A34">
            <w:pPr>
              <w:spacing w:after="0" w:line="240" w:lineRule="auto"/>
              <w:rPr>
                <w:rFonts w:ascii="Times New Roman" w:hAnsi="Times New Roman"/>
                <w:sz w:val="18"/>
                <w:szCs w:val="18"/>
              </w:rPr>
            </w:pPr>
          </w:p>
        </w:tc>
        <w:tc>
          <w:tcPr>
            <w:tcW w:w="1417" w:type="dxa"/>
            <w:vAlign w:val="center"/>
          </w:tcPr>
          <w:p w14:paraId="08FEB4D1" w14:textId="77777777" w:rsidR="00540FF9" w:rsidRPr="007B7843" w:rsidRDefault="00540FF9" w:rsidP="00422A34">
            <w:pPr>
              <w:spacing w:after="0" w:line="240" w:lineRule="auto"/>
              <w:rPr>
                <w:rFonts w:ascii="Times New Roman" w:hAnsi="Times New Roman"/>
                <w:sz w:val="18"/>
                <w:szCs w:val="18"/>
              </w:rPr>
            </w:pPr>
            <w:r w:rsidRPr="007B7843">
              <w:rPr>
                <w:rFonts w:ascii="Times New Roman" w:hAnsi="Times New Roman"/>
                <w:sz w:val="18"/>
                <w:szCs w:val="18"/>
              </w:rPr>
              <w:t>1 (2026)</w:t>
            </w:r>
          </w:p>
        </w:tc>
        <w:tc>
          <w:tcPr>
            <w:tcW w:w="1745" w:type="dxa"/>
            <w:vAlign w:val="center"/>
          </w:tcPr>
          <w:p w14:paraId="2E6B73BE" w14:textId="0D19415F"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r w:rsidRPr="00730E70" w:rsidDel="00F71B5B">
              <w:rPr>
                <w:rFonts w:ascii="Times New Roman" w:hAnsi="Times New Roman"/>
                <w:sz w:val="18"/>
                <w:szCs w:val="18"/>
              </w:rPr>
              <w:t xml:space="preserve"> </w:t>
            </w:r>
          </w:p>
        </w:tc>
        <w:tc>
          <w:tcPr>
            <w:tcW w:w="2006" w:type="dxa"/>
            <w:vMerge/>
            <w:shd w:val="clear" w:color="auto" w:fill="auto"/>
          </w:tcPr>
          <w:p w14:paraId="6B44143E"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7EA9B297" w14:textId="77777777" w:rsidTr="004F3674">
        <w:trPr>
          <w:trHeight w:val="265"/>
        </w:trPr>
        <w:tc>
          <w:tcPr>
            <w:tcW w:w="3085" w:type="dxa"/>
            <w:vMerge/>
            <w:vAlign w:val="center"/>
          </w:tcPr>
          <w:p w14:paraId="23A6FEAC"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5884C594"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 xml:space="preserve">Number of bankable projects on </w:t>
            </w:r>
            <w:r w:rsidRPr="00411962">
              <w:rPr>
                <w:rFonts w:ascii="Times New Roman" w:hAnsi="Times New Roman"/>
                <w:sz w:val="18"/>
                <w:szCs w:val="18"/>
              </w:rPr>
              <w:t>EE, RES, Energy Communities</w:t>
            </w:r>
            <w:r>
              <w:rPr>
                <w:rFonts w:ascii="Times New Roman" w:hAnsi="Times New Roman"/>
                <w:sz w:val="18"/>
                <w:szCs w:val="18"/>
              </w:rPr>
              <w:t xml:space="preserve"> prepared</w:t>
            </w:r>
          </w:p>
        </w:tc>
        <w:tc>
          <w:tcPr>
            <w:tcW w:w="1418" w:type="dxa"/>
            <w:vAlign w:val="center"/>
          </w:tcPr>
          <w:p w14:paraId="789CA856"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2CF2E8D3" w14:textId="77777777" w:rsidR="00540FF9" w:rsidRPr="000F3006" w:rsidRDefault="00540FF9" w:rsidP="00422A34">
            <w:pPr>
              <w:spacing w:after="0" w:line="240" w:lineRule="auto"/>
              <w:rPr>
                <w:rFonts w:ascii="Times New Roman" w:hAnsi="Times New Roman"/>
                <w:sz w:val="18"/>
                <w:szCs w:val="18"/>
              </w:rPr>
            </w:pPr>
          </w:p>
        </w:tc>
        <w:tc>
          <w:tcPr>
            <w:tcW w:w="1417" w:type="dxa"/>
            <w:vAlign w:val="center"/>
          </w:tcPr>
          <w:p w14:paraId="7DDAAA9C" w14:textId="77777777" w:rsidR="00540FF9" w:rsidRPr="007B7843" w:rsidRDefault="00540FF9" w:rsidP="00422A34">
            <w:pPr>
              <w:spacing w:after="0" w:line="240" w:lineRule="auto"/>
              <w:rPr>
                <w:rFonts w:ascii="Times New Roman" w:hAnsi="Times New Roman"/>
                <w:sz w:val="18"/>
                <w:szCs w:val="18"/>
              </w:rPr>
            </w:pPr>
            <w:r w:rsidRPr="007B7843">
              <w:rPr>
                <w:rFonts w:ascii="Times New Roman" w:hAnsi="Times New Roman"/>
                <w:sz w:val="18"/>
                <w:szCs w:val="18"/>
              </w:rPr>
              <w:t>≥ 3 (2026)</w:t>
            </w:r>
          </w:p>
        </w:tc>
        <w:tc>
          <w:tcPr>
            <w:tcW w:w="1745" w:type="dxa"/>
            <w:vAlign w:val="center"/>
          </w:tcPr>
          <w:p w14:paraId="48D01935" w14:textId="1CED9FA6"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r w:rsidRPr="00730E70" w:rsidDel="00F71B5B">
              <w:rPr>
                <w:rFonts w:ascii="Times New Roman" w:hAnsi="Times New Roman"/>
                <w:sz w:val="18"/>
                <w:szCs w:val="18"/>
              </w:rPr>
              <w:t xml:space="preserve"> </w:t>
            </w:r>
          </w:p>
        </w:tc>
        <w:tc>
          <w:tcPr>
            <w:tcW w:w="2006" w:type="dxa"/>
            <w:vMerge/>
            <w:shd w:val="clear" w:color="auto" w:fill="auto"/>
          </w:tcPr>
          <w:p w14:paraId="7263EDE1"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3B9A8A3E" w14:textId="77777777" w:rsidTr="004F3674">
        <w:trPr>
          <w:trHeight w:val="265"/>
        </w:trPr>
        <w:tc>
          <w:tcPr>
            <w:tcW w:w="3085" w:type="dxa"/>
            <w:vMerge/>
            <w:vAlign w:val="center"/>
          </w:tcPr>
          <w:p w14:paraId="4F3553C0" w14:textId="77777777" w:rsidR="00540FF9" w:rsidRPr="000F3006" w:rsidRDefault="00540FF9" w:rsidP="00422A34">
            <w:pPr>
              <w:spacing w:after="0" w:line="240" w:lineRule="auto"/>
              <w:rPr>
                <w:rFonts w:ascii="Times New Roman" w:hAnsi="Times New Roman"/>
                <w:sz w:val="18"/>
                <w:szCs w:val="18"/>
              </w:rPr>
            </w:pPr>
          </w:p>
        </w:tc>
        <w:tc>
          <w:tcPr>
            <w:tcW w:w="3402" w:type="dxa"/>
            <w:vAlign w:val="center"/>
          </w:tcPr>
          <w:p w14:paraId="4BDAC132" w14:textId="77777777"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Number of gas transmission system operators established</w:t>
            </w:r>
          </w:p>
        </w:tc>
        <w:tc>
          <w:tcPr>
            <w:tcW w:w="1418" w:type="dxa"/>
            <w:vAlign w:val="center"/>
          </w:tcPr>
          <w:p w14:paraId="223269D7" w14:textId="77777777"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03132C4F" w14:textId="77777777" w:rsidR="00540FF9" w:rsidRPr="000F3006" w:rsidRDefault="00540FF9" w:rsidP="00422A34">
            <w:pPr>
              <w:spacing w:after="0" w:line="240" w:lineRule="auto"/>
              <w:rPr>
                <w:rFonts w:ascii="Times New Roman" w:hAnsi="Times New Roman"/>
                <w:sz w:val="18"/>
                <w:szCs w:val="18"/>
              </w:rPr>
            </w:pPr>
          </w:p>
        </w:tc>
        <w:tc>
          <w:tcPr>
            <w:tcW w:w="1417" w:type="dxa"/>
            <w:vAlign w:val="center"/>
          </w:tcPr>
          <w:p w14:paraId="119785F4" w14:textId="77777777" w:rsidR="00540FF9" w:rsidRPr="007B7843" w:rsidRDefault="00540FF9" w:rsidP="00422A34">
            <w:pPr>
              <w:spacing w:after="0" w:line="240" w:lineRule="auto"/>
              <w:rPr>
                <w:rFonts w:ascii="Times New Roman" w:hAnsi="Times New Roman"/>
                <w:sz w:val="18"/>
                <w:szCs w:val="18"/>
              </w:rPr>
            </w:pPr>
            <w:r w:rsidRPr="007B7843">
              <w:rPr>
                <w:rFonts w:ascii="Times New Roman" w:hAnsi="Times New Roman"/>
                <w:sz w:val="18"/>
                <w:szCs w:val="18"/>
              </w:rPr>
              <w:t>1 (2026)</w:t>
            </w:r>
          </w:p>
        </w:tc>
        <w:tc>
          <w:tcPr>
            <w:tcW w:w="1745" w:type="dxa"/>
            <w:vAlign w:val="center"/>
          </w:tcPr>
          <w:p w14:paraId="7CFA9E68" w14:textId="63125761"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r w:rsidRPr="00730E70" w:rsidDel="00F71B5B">
              <w:rPr>
                <w:rFonts w:ascii="Times New Roman" w:hAnsi="Times New Roman"/>
                <w:sz w:val="18"/>
                <w:szCs w:val="18"/>
              </w:rPr>
              <w:t xml:space="preserve"> </w:t>
            </w:r>
          </w:p>
        </w:tc>
        <w:tc>
          <w:tcPr>
            <w:tcW w:w="2006" w:type="dxa"/>
            <w:vMerge/>
            <w:shd w:val="clear" w:color="auto" w:fill="auto"/>
          </w:tcPr>
          <w:p w14:paraId="359BF88A"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0C9826A8" w14:textId="77777777" w:rsidTr="004F3674">
        <w:trPr>
          <w:trHeight w:val="265"/>
        </w:trPr>
        <w:tc>
          <w:tcPr>
            <w:tcW w:w="3085" w:type="dxa"/>
            <w:vMerge w:val="restart"/>
            <w:vAlign w:val="center"/>
          </w:tcPr>
          <w:p w14:paraId="32B64AA2" w14:textId="1A8FAF22"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 xml:space="preserve">1.2 </w:t>
            </w:r>
            <w:r w:rsidRPr="00974470">
              <w:rPr>
                <w:rFonts w:ascii="Times New Roman" w:hAnsi="Times New Roman"/>
                <w:sz w:val="18"/>
                <w:szCs w:val="18"/>
              </w:rPr>
              <w:t>Improved energy efficiency in construction industry and agriculture</w:t>
            </w:r>
          </w:p>
        </w:tc>
        <w:tc>
          <w:tcPr>
            <w:tcW w:w="3402" w:type="dxa"/>
            <w:vAlign w:val="center"/>
          </w:tcPr>
          <w:p w14:paraId="165A0817" w14:textId="77777777"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Number of Building Renovation Strategy developed</w:t>
            </w:r>
          </w:p>
        </w:tc>
        <w:tc>
          <w:tcPr>
            <w:tcW w:w="1418" w:type="dxa"/>
            <w:vAlign w:val="center"/>
          </w:tcPr>
          <w:p w14:paraId="16F508AA" w14:textId="77777777" w:rsidR="00540FF9" w:rsidRPr="00480AA6" w:rsidRDefault="00540FF9" w:rsidP="00422A34">
            <w:pPr>
              <w:spacing w:after="0" w:line="240" w:lineRule="auto"/>
              <w:rPr>
                <w:rFonts w:ascii="Times New Roman" w:hAnsi="Times New Roman"/>
                <w:b/>
                <w:bCs/>
                <w:sz w:val="18"/>
                <w:szCs w:val="18"/>
                <w:lang w:val="mk-MK"/>
              </w:rPr>
            </w:pPr>
            <w:r>
              <w:rPr>
                <w:rFonts w:ascii="Times New Roman" w:hAnsi="Times New Roman"/>
                <w:sz w:val="18"/>
                <w:szCs w:val="18"/>
              </w:rPr>
              <w:t>0 (2022)</w:t>
            </w:r>
          </w:p>
        </w:tc>
        <w:tc>
          <w:tcPr>
            <w:tcW w:w="1559" w:type="dxa"/>
            <w:vAlign w:val="center"/>
          </w:tcPr>
          <w:p w14:paraId="515A1EF9" w14:textId="77777777" w:rsidR="00540FF9" w:rsidRPr="000F3006" w:rsidRDefault="00540FF9" w:rsidP="00422A34">
            <w:pPr>
              <w:spacing w:after="0" w:line="240" w:lineRule="auto"/>
              <w:rPr>
                <w:rFonts w:ascii="Times New Roman" w:hAnsi="Times New Roman"/>
                <w:sz w:val="18"/>
                <w:szCs w:val="18"/>
              </w:rPr>
            </w:pPr>
          </w:p>
        </w:tc>
        <w:tc>
          <w:tcPr>
            <w:tcW w:w="1417" w:type="dxa"/>
            <w:vAlign w:val="center"/>
          </w:tcPr>
          <w:p w14:paraId="09631FA9" w14:textId="77777777" w:rsidR="00540FF9" w:rsidRPr="007B7843" w:rsidRDefault="00540FF9" w:rsidP="00422A34">
            <w:pPr>
              <w:spacing w:after="0" w:line="240" w:lineRule="auto"/>
              <w:rPr>
                <w:rFonts w:ascii="Times New Roman" w:hAnsi="Times New Roman"/>
                <w:sz w:val="18"/>
                <w:szCs w:val="18"/>
                <w:lang w:val="en-US"/>
              </w:rPr>
            </w:pPr>
            <w:r w:rsidRPr="007B7843">
              <w:rPr>
                <w:rFonts w:ascii="Times New Roman" w:hAnsi="Times New Roman"/>
                <w:sz w:val="18"/>
                <w:szCs w:val="18"/>
              </w:rPr>
              <w:t>1 (2026)</w:t>
            </w:r>
          </w:p>
        </w:tc>
        <w:tc>
          <w:tcPr>
            <w:tcW w:w="1745" w:type="dxa"/>
            <w:vAlign w:val="center"/>
          </w:tcPr>
          <w:p w14:paraId="3AC24AC5" w14:textId="153E5AEF"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r w:rsidRPr="00730E70" w:rsidDel="00F71B5B">
              <w:rPr>
                <w:rFonts w:ascii="Times New Roman" w:hAnsi="Times New Roman"/>
                <w:sz w:val="18"/>
                <w:szCs w:val="18"/>
              </w:rPr>
              <w:t xml:space="preserve"> </w:t>
            </w:r>
          </w:p>
        </w:tc>
        <w:tc>
          <w:tcPr>
            <w:tcW w:w="2006" w:type="dxa"/>
            <w:vMerge/>
            <w:shd w:val="clear" w:color="auto" w:fill="auto"/>
          </w:tcPr>
          <w:p w14:paraId="4ABB4022"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5AC7C36B" w14:textId="77777777" w:rsidTr="004F3674">
        <w:trPr>
          <w:trHeight w:val="265"/>
        </w:trPr>
        <w:tc>
          <w:tcPr>
            <w:tcW w:w="3085" w:type="dxa"/>
            <w:vMerge/>
            <w:vAlign w:val="center"/>
          </w:tcPr>
          <w:p w14:paraId="440FA764" w14:textId="77777777" w:rsidR="00540FF9" w:rsidRDefault="00540FF9" w:rsidP="00422A34">
            <w:pPr>
              <w:spacing w:after="0" w:line="240" w:lineRule="auto"/>
              <w:rPr>
                <w:rFonts w:ascii="Times New Roman" w:hAnsi="Times New Roman"/>
                <w:sz w:val="18"/>
                <w:szCs w:val="18"/>
              </w:rPr>
            </w:pPr>
          </w:p>
        </w:tc>
        <w:tc>
          <w:tcPr>
            <w:tcW w:w="3402" w:type="dxa"/>
            <w:vAlign w:val="center"/>
          </w:tcPr>
          <w:p w14:paraId="2AD73F55" w14:textId="078C2AB1"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Number of technical reports on energy efficiency in construction industry and on public financial support and certification of the sector</w:t>
            </w:r>
          </w:p>
        </w:tc>
        <w:tc>
          <w:tcPr>
            <w:tcW w:w="1418" w:type="dxa"/>
            <w:vAlign w:val="center"/>
          </w:tcPr>
          <w:p w14:paraId="1760FCB4" w14:textId="77777777" w:rsidR="00540FF9" w:rsidRDefault="00540FF9" w:rsidP="00422A34">
            <w:pPr>
              <w:spacing w:after="0" w:line="240" w:lineRule="auto"/>
              <w:rPr>
                <w:rFonts w:ascii="Times New Roman" w:hAnsi="Times New Roman"/>
                <w:sz w:val="18"/>
                <w:szCs w:val="18"/>
              </w:rPr>
            </w:pPr>
            <w:r>
              <w:rPr>
                <w:rFonts w:ascii="Times New Roman" w:hAnsi="Times New Roman"/>
                <w:sz w:val="18"/>
                <w:szCs w:val="18"/>
              </w:rPr>
              <w:t>0 (2022)</w:t>
            </w:r>
          </w:p>
          <w:p w14:paraId="598A3DB1" w14:textId="77777777" w:rsidR="00540FF9" w:rsidRDefault="00540FF9" w:rsidP="00422A34">
            <w:pPr>
              <w:spacing w:after="0" w:line="240" w:lineRule="auto"/>
              <w:rPr>
                <w:rFonts w:ascii="Times New Roman" w:hAnsi="Times New Roman"/>
                <w:sz w:val="18"/>
                <w:szCs w:val="18"/>
              </w:rPr>
            </w:pPr>
          </w:p>
          <w:p w14:paraId="33A853EB" w14:textId="77777777" w:rsidR="00540FF9" w:rsidRDefault="00540FF9" w:rsidP="00422A34">
            <w:pPr>
              <w:spacing w:after="0" w:line="240" w:lineRule="auto"/>
              <w:rPr>
                <w:rFonts w:ascii="Times New Roman" w:hAnsi="Times New Roman"/>
                <w:sz w:val="18"/>
                <w:szCs w:val="18"/>
              </w:rPr>
            </w:pPr>
          </w:p>
          <w:p w14:paraId="5EF187C1" w14:textId="77777777" w:rsidR="00540FF9" w:rsidRDefault="00540FF9" w:rsidP="00422A34">
            <w:pPr>
              <w:spacing w:after="0" w:line="240" w:lineRule="auto"/>
              <w:rPr>
                <w:rFonts w:ascii="Times New Roman" w:hAnsi="Times New Roman"/>
                <w:sz w:val="18"/>
                <w:szCs w:val="18"/>
              </w:rPr>
            </w:pPr>
          </w:p>
          <w:p w14:paraId="1EA570E1" w14:textId="5BA83476" w:rsidR="00540FF9" w:rsidRPr="008F66D2" w:rsidRDefault="00540FF9" w:rsidP="00422A34">
            <w:pPr>
              <w:spacing w:after="0" w:line="240" w:lineRule="auto"/>
              <w:rPr>
                <w:rFonts w:ascii="Times New Roman" w:hAnsi="Times New Roman"/>
                <w:b/>
                <w:bCs/>
                <w:sz w:val="18"/>
                <w:szCs w:val="18"/>
              </w:rPr>
            </w:pPr>
          </w:p>
        </w:tc>
        <w:tc>
          <w:tcPr>
            <w:tcW w:w="1559" w:type="dxa"/>
            <w:vAlign w:val="center"/>
          </w:tcPr>
          <w:p w14:paraId="4BE828C7" w14:textId="77777777" w:rsidR="00540FF9" w:rsidRPr="000F3006" w:rsidRDefault="00540FF9" w:rsidP="00422A34">
            <w:pPr>
              <w:spacing w:after="0" w:line="240" w:lineRule="auto"/>
              <w:rPr>
                <w:rFonts w:ascii="Times New Roman" w:hAnsi="Times New Roman"/>
                <w:sz w:val="18"/>
                <w:szCs w:val="18"/>
              </w:rPr>
            </w:pPr>
          </w:p>
        </w:tc>
        <w:tc>
          <w:tcPr>
            <w:tcW w:w="1417" w:type="dxa"/>
            <w:vAlign w:val="center"/>
          </w:tcPr>
          <w:p w14:paraId="2471273F" w14:textId="77777777" w:rsidR="00540FF9" w:rsidRDefault="00540FF9" w:rsidP="00422A34">
            <w:pPr>
              <w:spacing w:after="0" w:line="240" w:lineRule="auto"/>
              <w:rPr>
                <w:rFonts w:ascii="Times New Roman" w:hAnsi="Times New Roman"/>
                <w:sz w:val="18"/>
                <w:szCs w:val="18"/>
              </w:rPr>
            </w:pPr>
            <w:r w:rsidRPr="007B7843">
              <w:rPr>
                <w:rFonts w:ascii="Times New Roman" w:hAnsi="Times New Roman"/>
                <w:sz w:val="18"/>
                <w:szCs w:val="18"/>
              </w:rPr>
              <w:t>1 (2026)</w:t>
            </w:r>
          </w:p>
          <w:p w14:paraId="23FB6445" w14:textId="77777777" w:rsidR="00540FF9" w:rsidRDefault="00540FF9" w:rsidP="00422A34">
            <w:pPr>
              <w:spacing w:after="0" w:line="240" w:lineRule="auto"/>
              <w:rPr>
                <w:rFonts w:ascii="Times New Roman" w:hAnsi="Times New Roman"/>
                <w:sz w:val="18"/>
                <w:szCs w:val="18"/>
              </w:rPr>
            </w:pPr>
          </w:p>
          <w:p w14:paraId="7E42705F" w14:textId="77777777" w:rsidR="00540FF9" w:rsidRDefault="00540FF9" w:rsidP="00422A34">
            <w:pPr>
              <w:spacing w:after="0" w:line="240" w:lineRule="auto"/>
              <w:rPr>
                <w:rFonts w:ascii="Times New Roman" w:hAnsi="Times New Roman"/>
                <w:sz w:val="18"/>
                <w:szCs w:val="18"/>
              </w:rPr>
            </w:pPr>
          </w:p>
          <w:p w14:paraId="55DDED63" w14:textId="77777777" w:rsidR="00540FF9" w:rsidRDefault="00540FF9" w:rsidP="00422A34">
            <w:pPr>
              <w:spacing w:after="0" w:line="240" w:lineRule="auto"/>
              <w:rPr>
                <w:rFonts w:ascii="Times New Roman" w:hAnsi="Times New Roman"/>
                <w:sz w:val="18"/>
                <w:szCs w:val="18"/>
              </w:rPr>
            </w:pPr>
          </w:p>
          <w:p w14:paraId="3DE8D8FD" w14:textId="1433436A" w:rsidR="00540FF9" w:rsidRPr="007B7843" w:rsidRDefault="00540FF9" w:rsidP="00422A34">
            <w:pPr>
              <w:spacing w:after="0" w:line="240" w:lineRule="auto"/>
              <w:rPr>
                <w:rFonts w:ascii="Times New Roman" w:hAnsi="Times New Roman"/>
                <w:sz w:val="18"/>
                <w:szCs w:val="18"/>
                <w:lang w:val="en-US"/>
              </w:rPr>
            </w:pPr>
          </w:p>
        </w:tc>
        <w:tc>
          <w:tcPr>
            <w:tcW w:w="1745" w:type="dxa"/>
            <w:vAlign w:val="center"/>
          </w:tcPr>
          <w:p w14:paraId="28D93C93" w14:textId="0DAE0304" w:rsidR="00540FF9" w:rsidRPr="000F3006" w:rsidRDefault="00540FF9" w:rsidP="00422A34">
            <w:pPr>
              <w:spacing w:after="0" w:line="240" w:lineRule="auto"/>
              <w:rPr>
                <w:rFonts w:ascii="Times New Roman" w:hAnsi="Times New Roman"/>
                <w:sz w:val="18"/>
                <w:szCs w:val="18"/>
              </w:rPr>
            </w:pPr>
            <w:r>
              <w:rPr>
                <w:rFonts w:ascii="Times New Roman" w:hAnsi="Times New Roman"/>
                <w:sz w:val="18"/>
                <w:szCs w:val="18"/>
              </w:rPr>
              <w:t>Project report</w:t>
            </w:r>
            <w:r w:rsidDel="00F71B5B">
              <w:rPr>
                <w:rFonts w:ascii="Times New Roman" w:hAnsi="Times New Roman"/>
                <w:sz w:val="18"/>
                <w:szCs w:val="18"/>
              </w:rPr>
              <w:t xml:space="preserve"> </w:t>
            </w:r>
          </w:p>
        </w:tc>
        <w:tc>
          <w:tcPr>
            <w:tcW w:w="2006" w:type="dxa"/>
            <w:vMerge/>
            <w:shd w:val="clear" w:color="auto" w:fill="auto"/>
          </w:tcPr>
          <w:p w14:paraId="30F5A500" w14:textId="77777777" w:rsidR="00540FF9" w:rsidRPr="000F3006" w:rsidRDefault="00540FF9" w:rsidP="00422A34">
            <w:pPr>
              <w:spacing w:after="0" w:line="240" w:lineRule="auto"/>
              <w:rPr>
                <w:rFonts w:ascii="Times New Roman" w:hAnsi="Times New Roman"/>
                <w:b/>
                <w:bCs/>
                <w:sz w:val="18"/>
                <w:szCs w:val="18"/>
              </w:rPr>
            </w:pPr>
          </w:p>
        </w:tc>
      </w:tr>
      <w:tr w:rsidR="00540FF9" w:rsidRPr="000F3006" w14:paraId="07DDE7E8" w14:textId="77777777" w:rsidTr="004F3674">
        <w:trPr>
          <w:trHeight w:val="265"/>
        </w:trPr>
        <w:tc>
          <w:tcPr>
            <w:tcW w:w="3085" w:type="dxa"/>
            <w:vMerge w:val="restart"/>
            <w:vAlign w:val="center"/>
          </w:tcPr>
          <w:p w14:paraId="42FBBEF4" w14:textId="4344CB76" w:rsidR="00540FF9" w:rsidRDefault="00540FF9" w:rsidP="00540FF9">
            <w:pPr>
              <w:spacing w:after="0" w:line="240" w:lineRule="auto"/>
              <w:rPr>
                <w:rFonts w:ascii="Times New Roman" w:hAnsi="Times New Roman"/>
                <w:sz w:val="18"/>
                <w:szCs w:val="18"/>
              </w:rPr>
            </w:pPr>
            <w:r>
              <w:rPr>
                <w:rFonts w:ascii="Times New Roman" w:hAnsi="Times New Roman"/>
                <w:sz w:val="18"/>
                <w:szCs w:val="18"/>
              </w:rPr>
              <w:t xml:space="preserve">1.3 </w:t>
            </w:r>
            <w:r w:rsidRPr="00AD68C6">
              <w:rPr>
                <w:rFonts w:ascii="Times New Roman" w:hAnsi="Times New Roman"/>
                <w:iCs/>
                <w:sz w:val="18"/>
                <w:szCs w:val="18"/>
              </w:rPr>
              <w:t>Study on introducing renewable energy in agriculture</w:t>
            </w:r>
            <w:r>
              <w:rPr>
                <w:rFonts w:ascii="Times New Roman" w:hAnsi="Times New Roman"/>
                <w:iCs/>
                <w:sz w:val="18"/>
                <w:szCs w:val="18"/>
              </w:rPr>
              <w:t xml:space="preserve"> realised</w:t>
            </w:r>
          </w:p>
        </w:tc>
        <w:tc>
          <w:tcPr>
            <w:tcW w:w="3402" w:type="dxa"/>
            <w:vAlign w:val="center"/>
          </w:tcPr>
          <w:p w14:paraId="4ED96A7C" w14:textId="5806FB3B" w:rsidR="00540FF9" w:rsidRDefault="00540FF9" w:rsidP="00540FF9">
            <w:pPr>
              <w:spacing w:after="0" w:line="240" w:lineRule="auto"/>
              <w:rPr>
                <w:rFonts w:ascii="Times New Roman" w:hAnsi="Times New Roman"/>
                <w:sz w:val="18"/>
                <w:szCs w:val="18"/>
              </w:rPr>
            </w:pPr>
            <w:r>
              <w:rPr>
                <w:rFonts w:ascii="Times New Roman" w:hAnsi="Times New Roman"/>
                <w:sz w:val="18"/>
                <w:szCs w:val="18"/>
              </w:rPr>
              <w:t>Number of in-depth analyses of feasibility of usage of renewables in North Macedonia, and proposals of business models which are replicable and sustainable</w:t>
            </w:r>
          </w:p>
        </w:tc>
        <w:tc>
          <w:tcPr>
            <w:tcW w:w="1418" w:type="dxa"/>
            <w:vAlign w:val="center"/>
          </w:tcPr>
          <w:p w14:paraId="05D6FAB5" w14:textId="1EE0FBB3" w:rsidR="00540FF9" w:rsidRDefault="00540FF9" w:rsidP="00540FF9">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235C9532" w14:textId="77777777" w:rsidR="00540FF9" w:rsidRPr="000F3006" w:rsidRDefault="00540FF9" w:rsidP="00540FF9">
            <w:pPr>
              <w:spacing w:after="0" w:line="240" w:lineRule="auto"/>
              <w:rPr>
                <w:rFonts w:ascii="Times New Roman" w:hAnsi="Times New Roman"/>
                <w:sz w:val="18"/>
                <w:szCs w:val="18"/>
              </w:rPr>
            </w:pPr>
          </w:p>
        </w:tc>
        <w:tc>
          <w:tcPr>
            <w:tcW w:w="1417" w:type="dxa"/>
            <w:vAlign w:val="center"/>
          </w:tcPr>
          <w:p w14:paraId="31D475C8" w14:textId="3824BFC5" w:rsidR="00540FF9" w:rsidRPr="007B7843" w:rsidRDefault="00540FF9" w:rsidP="00540FF9">
            <w:pPr>
              <w:spacing w:after="0" w:line="240" w:lineRule="auto"/>
              <w:rPr>
                <w:rFonts w:ascii="Times New Roman" w:hAnsi="Times New Roman"/>
                <w:sz w:val="18"/>
                <w:szCs w:val="18"/>
              </w:rPr>
            </w:pPr>
            <w:r>
              <w:rPr>
                <w:rFonts w:ascii="Times New Roman" w:hAnsi="Times New Roman"/>
                <w:sz w:val="18"/>
                <w:szCs w:val="18"/>
              </w:rPr>
              <w:t>1 (2026)</w:t>
            </w:r>
          </w:p>
        </w:tc>
        <w:tc>
          <w:tcPr>
            <w:tcW w:w="1745" w:type="dxa"/>
            <w:vAlign w:val="center"/>
          </w:tcPr>
          <w:p w14:paraId="3EB75299" w14:textId="74DDB5D1" w:rsidR="00540FF9" w:rsidRDefault="00540FF9" w:rsidP="00540FF9">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19E8825D" w14:textId="77777777" w:rsidR="00540FF9" w:rsidRPr="000F3006" w:rsidRDefault="00540FF9" w:rsidP="00540FF9">
            <w:pPr>
              <w:spacing w:after="0" w:line="240" w:lineRule="auto"/>
              <w:rPr>
                <w:rFonts w:ascii="Times New Roman" w:hAnsi="Times New Roman"/>
                <w:b/>
                <w:bCs/>
                <w:sz w:val="18"/>
                <w:szCs w:val="18"/>
              </w:rPr>
            </w:pPr>
          </w:p>
        </w:tc>
      </w:tr>
      <w:tr w:rsidR="00540FF9" w:rsidRPr="000F3006" w14:paraId="1F449F71" w14:textId="77777777" w:rsidTr="004F3674">
        <w:trPr>
          <w:trHeight w:val="265"/>
        </w:trPr>
        <w:tc>
          <w:tcPr>
            <w:tcW w:w="3085" w:type="dxa"/>
            <w:vMerge/>
            <w:vAlign w:val="center"/>
          </w:tcPr>
          <w:p w14:paraId="4BAC8553" w14:textId="77777777" w:rsidR="00540FF9" w:rsidRDefault="00540FF9" w:rsidP="00540FF9">
            <w:pPr>
              <w:spacing w:after="0" w:line="240" w:lineRule="auto"/>
              <w:rPr>
                <w:rFonts w:ascii="Times New Roman" w:hAnsi="Times New Roman"/>
                <w:sz w:val="18"/>
                <w:szCs w:val="18"/>
              </w:rPr>
            </w:pPr>
          </w:p>
        </w:tc>
        <w:tc>
          <w:tcPr>
            <w:tcW w:w="3402" w:type="dxa"/>
            <w:vAlign w:val="center"/>
          </w:tcPr>
          <w:p w14:paraId="3483A4E2" w14:textId="13162520" w:rsidR="00540FF9" w:rsidRDefault="00540FF9" w:rsidP="00540FF9">
            <w:pPr>
              <w:spacing w:after="0" w:line="240" w:lineRule="auto"/>
              <w:rPr>
                <w:rFonts w:ascii="Times New Roman" w:hAnsi="Times New Roman"/>
                <w:sz w:val="18"/>
                <w:szCs w:val="18"/>
              </w:rPr>
            </w:pPr>
            <w:r>
              <w:rPr>
                <w:rFonts w:ascii="Times New Roman" w:hAnsi="Times New Roman"/>
                <w:sz w:val="18"/>
                <w:szCs w:val="18"/>
              </w:rPr>
              <w:t>Number of actions taken by the Government in response of the assessment</w:t>
            </w:r>
          </w:p>
        </w:tc>
        <w:tc>
          <w:tcPr>
            <w:tcW w:w="1418" w:type="dxa"/>
            <w:vAlign w:val="center"/>
          </w:tcPr>
          <w:p w14:paraId="395942E0" w14:textId="77E2EEC6" w:rsidR="00540FF9" w:rsidRDefault="00540FF9" w:rsidP="00540FF9">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30675DDF" w14:textId="77777777" w:rsidR="00540FF9" w:rsidRPr="000F3006" w:rsidRDefault="00540FF9" w:rsidP="00540FF9">
            <w:pPr>
              <w:spacing w:after="0" w:line="240" w:lineRule="auto"/>
              <w:rPr>
                <w:rFonts w:ascii="Times New Roman" w:hAnsi="Times New Roman"/>
                <w:sz w:val="18"/>
                <w:szCs w:val="18"/>
              </w:rPr>
            </w:pPr>
          </w:p>
        </w:tc>
        <w:tc>
          <w:tcPr>
            <w:tcW w:w="1417" w:type="dxa"/>
            <w:vAlign w:val="center"/>
          </w:tcPr>
          <w:p w14:paraId="08890D54" w14:textId="6FB8BAEE" w:rsidR="00540FF9" w:rsidRDefault="00540FF9" w:rsidP="00540FF9">
            <w:pPr>
              <w:spacing w:after="0" w:line="240" w:lineRule="auto"/>
              <w:rPr>
                <w:rFonts w:ascii="Times New Roman" w:hAnsi="Times New Roman"/>
                <w:sz w:val="18"/>
                <w:szCs w:val="18"/>
              </w:rPr>
            </w:pPr>
            <w:r w:rsidRPr="007B7843">
              <w:rPr>
                <w:rFonts w:ascii="Times New Roman" w:hAnsi="Times New Roman"/>
                <w:sz w:val="18"/>
                <w:szCs w:val="18"/>
              </w:rPr>
              <w:t xml:space="preserve">≥ </w:t>
            </w:r>
            <w:r>
              <w:rPr>
                <w:rFonts w:ascii="Times New Roman" w:hAnsi="Times New Roman"/>
                <w:sz w:val="18"/>
                <w:szCs w:val="18"/>
              </w:rPr>
              <w:t>10</w:t>
            </w:r>
            <w:r w:rsidRPr="007B7843">
              <w:rPr>
                <w:rFonts w:ascii="Times New Roman" w:hAnsi="Times New Roman"/>
                <w:sz w:val="18"/>
                <w:szCs w:val="18"/>
              </w:rPr>
              <w:t xml:space="preserve"> (2026)</w:t>
            </w:r>
          </w:p>
        </w:tc>
        <w:tc>
          <w:tcPr>
            <w:tcW w:w="1745" w:type="dxa"/>
            <w:vAlign w:val="center"/>
          </w:tcPr>
          <w:p w14:paraId="0CD116C7" w14:textId="3D91BA9B" w:rsidR="00540FF9" w:rsidRDefault="00540FF9" w:rsidP="00540FF9">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4C6379CE" w14:textId="77777777" w:rsidR="00540FF9" w:rsidRPr="000F3006" w:rsidRDefault="00540FF9" w:rsidP="00540FF9">
            <w:pPr>
              <w:spacing w:after="0" w:line="240" w:lineRule="auto"/>
              <w:rPr>
                <w:rFonts w:ascii="Times New Roman" w:hAnsi="Times New Roman"/>
                <w:b/>
                <w:bCs/>
                <w:sz w:val="18"/>
                <w:szCs w:val="18"/>
              </w:rPr>
            </w:pPr>
          </w:p>
        </w:tc>
      </w:tr>
      <w:tr w:rsidR="001E5451" w:rsidRPr="000F3006" w14:paraId="1B29AA1C" w14:textId="77777777" w:rsidTr="00530621">
        <w:trPr>
          <w:trHeight w:val="61"/>
        </w:trPr>
        <w:tc>
          <w:tcPr>
            <w:tcW w:w="3085" w:type="dxa"/>
            <w:vMerge w:val="restart"/>
            <w:vAlign w:val="center"/>
          </w:tcPr>
          <w:p w14:paraId="3CA0D895"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 xml:space="preserve">2.1 </w:t>
            </w:r>
            <w:r w:rsidRPr="00D7166A">
              <w:rPr>
                <w:rFonts w:ascii="Times New Roman" w:hAnsi="Times New Roman"/>
                <w:sz w:val="18"/>
                <w:szCs w:val="18"/>
              </w:rPr>
              <w:t>National strategic, legal, and institutional capacities for crisis management improved</w:t>
            </w:r>
          </w:p>
        </w:tc>
        <w:tc>
          <w:tcPr>
            <w:tcW w:w="3402" w:type="dxa"/>
            <w:vAlign w:val="center"/>
          </w:tcPr>
          <w:p w14:paraId="01A19783"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Percentage of the implementation of the National protection and Rescue strategy 2022 - 2025</w:t>
            </w:r>
            <w:r>
              <w:rPr>
                <w:rStyle w:val="FootnoteReference"/>
                <w:rFonts w:ascii="Times New Roman" w:hAnsi="Times New Roman"/>
                <w:sz w:val="18"/>
                <w:szCs w:val="18"/>
              </w:rPr>
              <w:footnoteReference w:id="8"/>
            </w:r>
          </w:p>
        </w:tc>
        <w:tc>
          <w:tcPr>
            <w:tcW w:w="1418" w:type="dxa"/>
            <w:vAlign w:val="center"/>
          </w:tcPr>
          <w:p w14:paraId="2F3E25BA" w14:textId="77777777" w:rsidR="001E5451" w:rsidRPr="000F3006" w:rsidRDefault="001E5451" w:rsidP="00422A34">
            <w:pPr>
              <w:spacing w:after="0" w:line="240" w:lineRule="auto"/>
              <w:rPr>
                <w:rFonts w:ascii="Times New Roman" w:hAnsi="Times New Roman"/>
                <w:b/>
                <w:bCs/>
                <w:sz w:val="18"/>
                <w:szCs w:val="18"/>
              </w:rPr>
            </w:pPr>
            <w:r>
              <w:rPr>
                <w:rFonts w:ascii="Times New Roman" w:hAnsi="Times New Roman"/>
                <w:sz w:val="18"/>
                <w:szCs w:val="18"/>
              </w:rPr>
              <w:t>0% (2022)</w:t>
            </w:r>
          </w:p>
        </w:tc>
        <w:tc>
          <w:tcPr>
            <w:tcW w:w="1559" w:type="dxa"/>
            <w:vAlign w:val="center"/>
          </w:tcPr>
          <w:p w14:paraId="7E3A1FB1"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16DECDD0" w14:textId="77777777" w:rsidR="001E5451" w:rsidRPr="007B7843" w:rsidRDefault="001E5451" w:rsidP="00422A34">
            <w:pPr>
              <w:spacing w:after="0" w:line="240" w:lineRule="auto"/>
              <w:rPr>
                <w:rFonts w:ascii="Times New Roman" w:hAnsi="Times New Roman"/>
                <w:sz w:val="18"/>
                <w:szCs w:val="18"/>
              </w:rPr>
            </w:pPr>
            <w:r w:rsidRPr="007B7843">
              <w:rPr>
                <w:rFonts w:ascii="Times New Roman" w:hAnsi="Times New Roman"/>
                <w:sz w:val="18"/>
                <w:szCs w:val="18"/>
              </w:rPr>
              <w:t>100% (2026)</w:t>
            </w:r>
          </w:p>
        </w:tc>
        <w:tc>
          <w:tcPr>
            <w:tcW w:w="1745" w:type="dxa"/>
            <w:vAlign w:val="center"/>
          </w:tcPr>
          <w:p w14:paraId="7C8A7435"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val="restart"/>
            <w:shd w:val="clear" w:color="auto" w:fill="auto"/>
          </w:tcPr>
          <w:p w14:paraId="669918AD" w14:textId="77777777" w:rsidR="001E5451" w:rsidRPr="00EF4A86" w:rsidRDefault="001E5451" w:rsidP="00422A34">
            <w:pPr>
              <w:spacing w:after="0" w:line="240" w:lineRule="auto"/>
              <w:rPr>
                <w:rFonts w:ascii="Times New Roman" w:hAnsi="Times New Roman"/>
                <w:sz w:val="18"/>
                <w:szCs w:val="18"/>
              </w:rPr>
            </w:pPr>
            <w:r w:rsidRPr="00EF4A86">
              <w:rPr>
                <w:rFonts w:ascii="Times New Roman" w:hAnsi="Times New Roman"/>
                <w:sz w:val="18"/>
                <w:szCs w:val="18"/>
              </w:rPr>
              <w:t xml:space="preserve">Relevant stakeholders cooperate loyally in achieving the results of the actions related to the crisis management system. </w:t>
            </w:r>
          </w:p>
          <w:p w14:paraId="1A5495C4" w14:textId="77777777" w:rsidR="001E5451" w:rsidRPr="00EF4A86" w:rsidRDefault="001E5451" w:rsidP="00422A34">
            <w:pPr>
              <w:spacing w:after="0" w:line="240" w:lineRule="auto"/>
              <w:rPr>
                <w:rFonts w:ascii="Times New Roman" w:hAnsi="Times New Roman"/>
                <w:sz w:val="18"/>
                <w:szCs w:val="18"/>
              </w:rPr>
            </w:pPr>
          </w:p>
          <w:p w14:paraId="3A024FC7" w14:textId="77777777" w:rsidR="001E5451" w:rsidRPr="00EF4A86" w:rsidRDefault="001E5451" w:rsidP="00422A34">
            <w:pPr>
              <w:spacing w:after="0" w:line="240" w:lineRule="auto"/>
              <w:rPr>
                <w:rFonts w:ascii="Times New Roman" w:hAnsi="Times New Roman"/>
                <w:sz w:val="18"/>
                <w:szCs w:val="18"/>
              </w:rPr>
            </w:pPr>
            <w:r w:rsidRPr="00EF4A86">
              <w:rPr>
                <w:rFonts w:ascii="Times New Roman" w:hAnsi="Times New Roman"/>
                <w:sz w:val="18"/>
                <w:szCs w:val="18"/>
              </w:rPr>
              <w:t>Proper horizontal working group established to coordinate the appropriate implementation of the Action.</w:t>
            </w:r>
          </w:p>
          <w:p w14:paraId="05BB5B64" w14:textId="77777777" w:rsidR="001E5451" w:rsidRPr="00EF4A86" w:rsidRDefault="001E5451" w:rsidP="00422A34">
            <w:pPr>
              <w:spacing w:after="0" w:line="240" w:lineRule="auto"/>
              <w:rPr>
                <w:rFonts w:ascii="Times New Roman" w:hAnsi="Times New Roman"/>
                <w:sz w:val="18"/>
                <w:szCs w:val="18"/>
              </w:rPr>
            </w:pPr>
          </w:p>
          <w:p w14:paraId="7FADB37C" w14:textId="77777777" w:rsidR="001E5451" w:rsidRPr="00EF4A86" w:rsidRDefault="001E5451" w:rsidP="00422A34">
            <w:pPr>
              <w:spacing w:after="0" w:line="240" w:lineRule="auto"/>
              <w:rPr>
                <w:rFonts w:ascii="Times New Roman" w:hAnsi="Times New Roman"/>
                <w:sz w:val="18"/>
                <w:szCs w:val="18"/>
              </w:rPr>
            </w:pPr>
            <w:r w:rsidRPr="00EF4A86">
              <w:rPr>
                <w:rFonts w:ascii="Times New Roman" w:hAnsi="Times New Roman"/>
                <w:sz w:val="18"/>
                <w:szCs w:val="18"/>
              </w:rPr>
              <w:t>Relevant staff and civil servants are willing to participate actively in the institutional/capacity-building activities.</w:t>
            </w:r>
          </w:p>
          <w:p w14:paraId="076079B4"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43E59ECD" w14:textId="77777777" w:rsidTr="004F3674">
        <w:trPr>
          <w:trHeight w:val="265"/>
        </w:trPr>
        <w:tc>
          <w:tcPr>
            <w:tcW w:w="3085" w:type="dxa"/>
            <w:vMerge/>
            <w:vAlign w:val="center"/>
          </w:tcPr>
          <w:p w14:paraId="286FC519" w14:textId="77777777" w:rsidR="001E5451" w:rsidRDefault="001E5451" w:rsidP="00422A34">
            <w:pPr>
              <w:spacing w:after="0" w:line="240" w:lineRule="auto"/>
              <w:rPr>
                <w:rFonts w:ascii="Times New Roman" w:hAnsi="Times New Roman"/>
                <w:sz w:val="18"/>
                <w:szCs w:val="18"/>
              </w:rPr>
            </w:pPr>
          </w:p>
        </w:tc>
        <w:tc>
          <w:tcPr>
            <w:tcW w:w="3402" w:type="dxa"/>
            <w:vAlign w:val="center"/>
          </w:tcPr>
          <w:p w14:paraId="62E90A26"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Number of technical reports on necessary legal adjustments and on allocation of resources to different stakeholders</w:t>
            </w:r>
          </w:p>
        </w:tc>
        <w:tc>
          <w:tcPr>
            <w:tcW w:w="1418" w:type="dxa"/>
            <w:vAlign w:val="center"/>
          </w:tcPr>
          <w:p w14:paraId="21374B3E"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614E5187"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149A973D" w14:textId="77777777" w:rsidR="001E5451" w:rsidRPr="007B7843" w:rsidRDefault="001E5451" w:rsidP="00422A34">
            <w:pPr>
              <w:spacing w:after="0" w:line="240" w:lineRule="auto"/>
              <w:rPr>
                <w:rFonts w:ascii="Times New Roman" w:hAnsi="Times New Roman"/>
                <w:sz w:val="18"/>
                <w:szCs w:val="18"/>
              </w:rPr>
            </w:pPr>
            <w:r w:rsidRPr="007B7843">
              <w:rPr>
                <w:rFonts w:ascii="Times New Roman" w:hAnsi="Times New Roman"/>
                <w:sz w:val="18"/>
                <w:szCs w:val="18"/>
              </w:rPr>
              <w:t>1 (2026)</w:t>
            </w:r>
          </w:p>
        </w:tc>
        <w:tc>
          <w:tcPr>
            <w:tcW w:w="1745" w:type="dxa"/>
            <w:vAlign w:val="center"/>
          </w:tcPr>
          <w:p w14:paraId="09A8C7EB"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2B0A4429"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07240671" w14:textId="77777777" w:rsidTr="004F3674">
        <w:trPr>
          <w:trHeight w:val="265"/>
        </w:trPr>
        <w:tc>
          <w:tcPr>
            <w:tcW w:w="3085" w:type="dxa"/>
            <w:vMerge/>
            <w:vAlign w:val="center"/>
          </w:tcPr>
          <w:p w14:paraId="5B0A0A5E" w14:textId="77777777" w:rsidR="001E5451" w:rsidRDefault="001E5451" w:rsidP="00422A34">
            <w:pPr>
              <w:spacing w:after="0" w:line="240" w:lineRule="auto"/>
              <w:rPr>
                <w:rFonts w:ascii="Times New Roman" w:hAnsi="Times New Roman"/>
                <w:sz w:val="18"/>
                <w:szCs w:val="18"/>
              </w:rPr>
            </w:pPr>
          </w:p>
        </w:tc>
        <w:tc>
          <w:tcPr>
            <w:tcW w:w="3402" w:type="dxa"/>
            <w:vAlign w:val="center"/>
          </w:tcPr>
          <w:p w14:paraId="2B3CA792"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 xml:space="preserve">Number of </w:t>
            </w:r>
            <w:r w:rsidRPr="00922B32">
              <w:rPr>
                <w:rFonts w:ascii="Times New Roman" w:hAnsi="Times New Roman"/>
                <w:sz w:val="18"/>
                <w:szCs w:val="18"/>
              </w:rPr>
              <w:t>updat</w:t>
            </w:r>
            <w:r>
              <w:rPr>
                <w:rFonts w:ascii="Times New Roman" w:hAnsi="Times New Roman"/>
                <w:sz w:val="18"/>
                <w:szCs w:val="18"/>
              </w:rPr>
              <w:t xml:space="preserve">ed </w:t>
            </w:r>
            <w:r w:rsidRPr="00922B32">
              <w:rPr>
                <w:rFonts w:ascii="Times New Roman" w:hAnsi="Times New Roman"/>
                <w:sz w:val="18"/>
                <w:szCs w:val="18"/>
              </w:rPr>
              <w:t>National Risk Assessment and the emergency and crisis planning procedures</w:t>
            </w:r>
          </w:p>
        </w:tc>
        <w:tc>
          <w:tcPr>
            <w:tcW w:w="1418" w:type="dxa"/>
            <w:vAlign w:val="center"/>
          </w:tcPr>
          <w:p w14:paraId="50F54356"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6C251607"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65CAF7F0" w14:textId="77777777" w:rsidR="001E5451" w:rsidRPr="007B7843" w:rsidRDefault="001E5451" w:rsidP="00422A34">
            <w:pPr>
              <w:spacing w:after="0" w:line="240" w:lineRule="auto"/>
              <w:rPr>
                <w:rFonts w:ascii="Times New Roman" w:hAnsi="Times New Roman"/>
                <w:sz w:val="18"/>
                <w:szCs w:val="18"/>
              </w:rPr>
            </w:pPr>
            <w:r w:rsidRPr="007B7843">
              <w:rPr>
                <w:rFonts w:ascii="Times New Roman" w:hAnsi="Times New Roman"/>
                <w:sz w:val="18"/>
                <w:szCs w:val="18"/>
              </w:rPr>
              <w:t>1 (2026)</w:t>
            </w:r>
          </w:p>
        </w:tc>
        <w:tc>
          <w:tcPr>
            <w:tcW w:w="1745" w:type="dxa"/>
            <w:vAlign w:val="center"/>
          </w:tcPr>
          <w:p w14:paraId="36969385"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49A62D48"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1C842353" w14:textId="77777777" w:rsidTr="004F3674">
        <w:trPr>
          <w:trHeight w:val="265"/>
        </w:trPr>
        <w:tc>
          <w:tcPr>
            <w:tcW w:w="3085" w:type="dxa"/>
            <w:vMerge/>
            <w:vAlign w:val="center"/>
          </w:tcPr>
          <w:p w14:paraId="0C17C404" w14:textId="77777777" w:rsidR="001E5451" w:rsidRDefault="001E5451" w:rsidP="00422A34">
            <w:pPr>
              <w:spacing w:after="0" w:line="240" w:lineRule="auto"/>
              <w:rPr>
                <w:rFonts w:ascii="Times New Roman" w:hAnsi="Times New Roman"/>
                <w:sz w:val="18"/>
                <w:szCs w:val="18"/>
              </w:rPr>
            </w:pPr>
          </w:p>
        </w:tc>
        <w:tc>
          <w:tcPr>
            <w:tcW w:w="3402" w:type="dxa"/>
            <w:vAlign w:val="center"/>
          </w:tcPr>
          <w:p w14:paraId="06C79251" w14:textId="67B66B32"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 xml:space="preserve">Number of </w:t>
            </w:r>
            <w:r w:rsidRPr="00922B32">
              <w:rPr>
                <w:rFonts w:ascii="Times New Roman" w:hAnsi="Times New Roman"/>
                <w:sz w:val="18"/>
                <w:szCs w:val="18"/>
              </w:rPr>
              <w:t>National Advisory Board</w:t>
            </w:r>
            <w:r>
              <w:rPr>
                <w:rFonts w:ascii="Times New Roman" w:hAnsi="Times New Roman"/>
                <w:sz w:val="18"/>
                <w:szCs w:val="18"/>
              </w:rPr>
              <w:t>s</w:t>
            </w:r>
            <w:r w:rsidRPr="00922B32">
              <w:rPr>
                <w:rFonts w:ascii="Times New Roman" w:hAnsi="Times New Roman"/>
                <w:sz w:val="18"/>
                <w:szCs w:val="18"/>
              </w:rPr>
              <w:t xml:space="preserve"> includ</w:t>
            </w:r>
            <w:r>
              <w:rPr>
                <w:rFonts w:ascii="Times New Roman" w:hAnsi="Times New Roman"/>
                <w:sz w:val="18"/>
                <w:szCs w:val="18"/>
              </w:rPr>
              <w:t>ing</w:t>
            </w:r>
            <w:r w:rsidRPr="00922B32">
              <w:rPr>
                <w:rFonts w:ascii="Times New Roman" w:hAnsi="Times New Roman"/>
                <w:sz w:val="18"/>
                <w:szCs w:val="18"/>
              </w:rPr>
              <w:t xml:space="preserve"> representatives from the private sector, NGOs, religious and civil society organisations, academia, and research institutions, and community-based and associations</w:t>
            </w:r>
            <w:r>
              <w:rPr>
                <w:rFonts w:ascii="Times New Roman" w:hAnsi="Times New Roman"/>
                <w:sz w:val="18"/>
                <w:szCs w:val="18"/>
              </w:rPr>
              <w:t xml:space="preserve"> established</w:t>
            </w:r>
          </w:p>
        </w:tc>
        <w:tc>
          <w:tcPr>
            <w:tcW w:w="1418" w:type="dxa"/>
            <w:vAlign w:val="center"/>
          </w:tcPr>
          <w:p w14:paraId="3144DE21"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3A0A7460"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3E1F5F4A" w14:textId="77777777" w:rsidR="001E5451" w:rsidRPr="007B7843" w:rsidRDefault="001E5451" w:rsidP="00422A34">
            <w:pPr>
              <w:spacing w:after="0" w:line="240" w:lineRule="auto"/>
              <w:rPr>
                <w:rFonts w:ascii="Times New Roman" w:hAnsi="Times New Roman"/>
                <w:sz w:val="18"/>
                <w:szCs w:val="18"/>
              </w:rPr>
            </w:pPr>
            <w:r w:rsidRPr="007B7843">
              <w:rPr>
                <w:rFonts w:ascii="Times New Roman" w:hAnsi="Times New Roman"/>
                <w:sz w:val="18"/>
                <w:szCs w:val="18"/>
              </w:rPr>
              <w:t>1 (2026)</w:t>
            </w:r>
          </w:p>
        </w:tc>
        <w:tc>
          <w:tcPr>
            <w:tcW w:w="1745" w:type="dxa"/>
            <w:vAlign w:val="center"/>
          </w:tcPr>
          <w:p w14:paraId="5497809C"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532DBBA2"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1CF509B8" w14:textId="77777777" w:rsidTr="004F3674">
        <w:trPr>
          <w:trHeight w:val="265"/>
        </w:trPr>
        <w:tc>
          <w:tcPr>
            <w:tcW w:w="3085" w:type="dxa"/>
            <w:vMerge/>
            <w:vAlign w:val="center"/>
          </w:tcPr>
          <w:p w14:paraId="144BE918" w14:textId="77777777" w:rsidR="001E5451" w:rsidRDefault="001E5451" w:rsidP="00422A34">
            <w:pPr>
              <w:spacing w:after="0" w:line="240" w:lineRule="auto"/>
              <w:rPr>
                <w:rFonts w:ascii="Times New Roman" w:hAnsi="Times New Roman"/>
                <w:sz w:val="18"/>
                <w:szCs w:val="18"/>
              </w:rPr>
            </w:pPr>
          </w:p>
        </w:tc>
        <w:tc>
          <w:tcPr>
            <w:tcW w:w="3402" w:type="dxa"/>
            <w:vAlign w:val="center"/>
          </w:tcPr>
          <w:p w14:paraId="3F39EB33"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Number of volunteers ready to cooperate in case of disasters</w:t>
            </w:r>
          </w:p>
        </w:tc>
        <w:tc>
          <w:tcPr>
            <w:tcW w:w="1418" w:type="dxa"/>
            <w:vAlign w:val="center"/>
          </w:tcPr>
          <w:p w14:paraId="2C00E72F"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39B1BFE1"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731AF15A" w14:textId="77777777" w:rsidR="001E5451" w:rsidRPr="007B7843" w:rsidRDefault="001E5451" w:rsidP="00422A34">
            <w:pPr>
              <w:spacing w:after="0" w:line="240" w:lineRule="auto"/>
              <w:rPr>
                <w:rFonts w:ascii="Times New Roman" w:hAnsi="Times New Roman"/>
                <w:sz w:val="18"/>
                <w:szCs w:val="18"/>
              </w:rPr>
            </w:pPr>
            <w:r w:rsidRPr="007B7843">
              <w:rPr>
                <w:rFonts w:ascii="Times New Roman" w:hAnsi="Times New Roman"/>
                <w:sz w:val="18"/>
                <w:szCs w:val="18"/>
              </w:rPr>
              <w:t>≥ 500 (2026)</w:t>
            </w:r>
          </w:p>
        </w:tc>
        <w:tc>
          <w:tcPr>
            <w:tcW w:w="1745" w:type="dxa"/>
            <w:vAlign w:val="center"/>
          </w:tcPr>
          <w:p w14:paraId="6BAA08FF" w14:textId="77777777" w:rsidR="001E5451" w:rsidRPr="000F3006" w:rsidRDefault="001E5451" w:rsidP="00422A34">
            <w:pPr>
              <w:spacing w:after="0" w:line="240" w:lineRule="auto"/>
              <w:rPr>
                <w:rFonts w:ascii="Times New Roman" w:hAnsi="Times New Roman"/>
                <w:sz w:val="18"/>
                <w:szCs w:val="18"/>
              </w:rPr>
            </w:pPr>
            <w:r w:rsidRPr="00730E70">
              <w:rPr>
                <w:rFonts w:ascii="Times New Roman" w:hAnsi="Times New Roman"/>
                <w:sz w:val="18"/>
                <w:szCs w:val="18"/>
              </w:rPr>
              <w:t>Project report</w:t>
            </w:r>
          </w:p>
        </w:tc>
        <w:tc>
          <w:tcPr>
            <w:tcW w:w="2006" w:type="dxa"/>
            <w:vMerge/>
            <w:shd w:val="clear" w:color="auto" w:fill="auto"/>
          </w:tcPr>
          <w:p w14:paraId="75280FDA"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3E567BCF" w14:textId="77777777" w:rsidTr="004F3674">
        <w:trPr>
          <w:trHeight w:val="265"/>
        </w:trPr>
        <w:tc>
          <w:tcPr>
            <w:tcW w:w="3085" w:type="dxa"/>
            <w:vMerge w:val="restart"/>
            <w:vAlign w:val="center"/>
          </w:tcPr>
          <w:p w14:paraId="73194B6E" w14:textId="7604E05E"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 xml:space="preserve">2.2 </w:t>
            </w:r>
            <w:r w:rsidRPr="00D7166A">
              <w:rPr>
                <w:rFonts w:ascii="Times New Roman" w:hAnsi="Times New Roman"/>
                <w:sz w:val="18"/>
                <w:szCs w:val="18"/>
              </w:rPr>
              <w:t>Capacities, coordination, and governance of the relevant bodies to deal with crisis events strengthened</w:t>
            </w:r>
          </w:p>
        </w:tc>
        <w:tc>
          <w:tcPr>
            <w:tcW w:w="3402" w:type="dxa"/>
            <w:vAlign w:val="center"/>
          </w:tcPr>
          <w:p w14:paraId="2C6FB2B3" w14:textId="51D8DF44"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Number of Permanent Training Mechanisms established</w:t>
            </w:r>
          </w:p>
        </w:tc>
        <w:tc>
          <w:tcPr>
            <w:tcW w:w="1418" w:type="dxa"/>
            <w:vAlign w:val="center"/>
          </w:tcPr>
          <w:p w14:paraId="54273AB1" w14:textId="1EDCFE31"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000384F3"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2210204B" w14:textId="6AA2BCEE" w:rsidR="001E5451" w:rsidRPr="007B7843" w:rsidRDefault="001E5451" w:rsidP="00422A34">
            <w:pPr>
              <w:spacing w:after="0" w:line="240" w:lineRule="auto"/>
              <w:rPr>
                <w:rFonts w:ascii="Times New Roman" w:hAnsi="Times New Roman"/>
                <w:sz w:val="18"/>
                <w:szCs w:val="18"/>
              </w:rPr>
            </w:pPr>
            <w:r>
              <w:rPr>
                <w:rFonts w:ascii="Times New Roman" w:hAnsi="Times New Roman"/>
                <w:sz w:val="18"/>
                <w:szCs w:val="18"/>
              </w:rPr>
              <w:t>1 (2026)</w:t>
            </w:r>
          </w:p>
        </w:tc>
        <w:tc>
          <w:tcPr>
            <w:tcW w:w="1745" w:type="dxa"/>
            <w:vAlign w:val="center"/>
          </w:tcPr>
          <w:p w14:paraId="5FB391B2" w14:textId="68A09760"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06E94707"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7903651B" w14:textId="77777777" w:rsidTr="004F3674">
        <w:trPr>
          <w:trHeight w:val="265"/>
        </w:trPr>
        <w:tc>
          <w:tcPr>
            <w:tcW w:w="3085" w:type="dxa"/>
            <w:vMerge/>
            <w:vAlign w:val="center"/>
          </w:tcPr>
          <w:p w14:paraId="7F82A47E" w14:textId="2F5F4C75" w:rsidR="001E5451" w:rsidRPr="000F3006" w:rsidRDefault="001E5451" w:rsidP="00422A34">
            <w:pPr>
              <w:spacing w:after="0" w:line="240" w:lineRule="auto"/>
              <w:rPr>
                <w:rFonts w:ascii="Times New Roman" w:hAnsi="Times New Roman"/>
                <w:sz w:val="18"/>
                <w:szCs w:val="18"/>
              </w:rPr>
            </w:pPr>
          </w:p>
        </w:tc>
        <w:tc>
          <w:tcPr>
            <w:tcW w:w="3402" w:type="dxa"/>
            <w:vAlign w:val="center"/>
          </w:tcPr>
          <w:p w14:paraId="51ED6F02"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Number of forestry police agents and or employees of the Forestry Company trained</w:t>
            </w:r>
          </w:p>
        </w:tc>
        <w:tc>
          <w:tcPr>
            <w:tcW w:w="1418" w:type="dxa"/>
            <w:vAlign w:val="center"/>
          </w:tcPr>
          <w:p w14:paraId="1CC875AC" w14:textId="77777777" w:rsidR="001E5451" w:rsidRPr="000F3006" w:rsidRDefault="001E5451" w:rsidP="00422A34">
            <w:pPr>
              <w:spacing w:after="0" w:line="240" w:lineRule="auto"/>
              <w:rPr>
                <w:rFonts w:ascii="Times New Roman" w:hAnsi="Times New Roman"/>
                <w:b/>
                <w:bCs/>
                <w:sz w:val="18"/>
                <w:szCs w:val="18"/>
              </w:rPr>
            </w:pPr>
            <w:r>
              <w:rPr>
                <w:rFonts w:ascii="Times New Roman" w:hAnsi="Times New Roman"/>
                <w:sz w:val="18"/>
                <w:szCs w:val="18"/>
              </w:rPr>
              <w:t>0 (2022)</w:t>
            </w:r>
          </w:p>
        </w:tc>
        <w:tc>
          <w:tcPr>
            <w:tcW w:w="1559" w:type="dxa"/>
            <w:vAlign w:val="center"/>
          </w:tcPr>
          <w:p w14:paraId="51570812"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12DD8A69" w14:textId="77777777" w:rsidR="001E5451" w:rsidRPr="007B7843" w:rsidRDefault="001E5451" w:rsidP="00422A34">
            <w:pPr>
              <w:spacing w:after="0" w:line="240" w:lineRule="auto"/>
              <w:rPr>
                <w:rFonts w:ascii="Times New Roman" w:hAnsi="Times New Roman"/>
                <w:sz w:val="18"/>
                <w:szCs w:val="18"/>
              </w:rPr>
            </w:pPr>
            <w:r w:rsidRPr="007B7843">
              <w:rPr>
                <w:rFonts w:ascii="Times New Roman" w:hAnsi="Times New Roman"/>
                <w:sz w:val="18"/>
                <w:szCs w:val="18"/>
              </w:rPr>
              <w:t>≥ 100 (2026)</w:t>
            </w:r>
          </w:p>
        </w:tc>
        <w:tc>
          <w:tcPr>
            <w:tcW w:w="1745" w:type="dxa"/>
            <w:vAlign w:val="center"/>
          </w:tcPr>
          <w:p w14:paraId="581398E3"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02DD25E5"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23A31B11" w14:textId="77777777" w:rsidTr="004F3674">
        <w:trPr>
          <w:trHeight w:val="265"/>
        </w:trPr>
        <w:tc>
          <w:tcPr>
            <w:tcW w:w="3085" w:type="dxa"/>
            <w:vMerge/>
            <w:vAlign w:val="center"/>
          </w:tcPr>
          <w:p w14:paraId="124AAF61" w14:textId="77777777" w:rsidR="001E5451" w:rsidRDefault="001E5451" w:rsidP="00422A34">
            <w:pPr>
              <w:spacing w:after="0" w:line="240" w:lineRule="auto"/>
              <w:rPr>
                <w:rFonts w:ascii="Times New Roman" w:hAnsi="Times New Roman"/>
                <w:sz w:val="18"/>
                <w:szCs w:val="18"/>
              </w:rPr>
            </w:pPr>
          </w:p>
        </w:tc>
        <w:tc>
          <w:tcPr>
            <w:tcW w:w="3402" w:type="dxa"/>
            <w:vAlign w:val="center"/>
          </w:tcPr>
          <w:p w14:paraId="5636DC4D"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 xml:space="preserve">Number of people trained on </w:t>
            </w:r>
            <w:r w:rsidRPr="00FF73B8">
              <w:rPr>
                <w:rFonts w:ascii="Times New Roman" w:hAnsi="Times New Roman"/>
                <w:sz w:val="18"/>
                <w:szCs w:val="18"/>
              </w:rPr>
              <w:t xml:space="preserve">National Disaster Risk Management (DRM)/Disaster Risk Reduction (DRR) </w:t>
            </w:r>
          </w:p>
        </w:tc>
        <w:tc>
          <w:tcPr>
            <w:tcW w:w="1418" w:type="dxa"/>
            <w:vAlign w:val="center"/>
          </w:tcPr>
          <w:p w14:paraId="11AE5B6E"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68F63C30"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496FE43D" w14:textId="77777777" w:rsidR="001E5451" w:rsidRPr="007B7843" w:rsidRDefault="001E5451" w:rsidP="00422A34">
            <w:pPr>
              <w:spacing w:after="0" w:line="240" w:lineRule="auto"/>
              <w:rPr>
                <w:rFonts w:ascii="Times New Roman" w:hAnsi="Times New Roman"/>
                <w:sz w:val="18"/>
                <w:szCs w:val="18"/>
              </w:rPr>
            </w:pPr>
            <w:r w:rsidRPr="007B7843">
              <w:rPr>
                <w:rFonts w:ascii="Times New Roman" w:hAnsi="Times New Roman"/>
                <w:sz w:val="18"/>
                <w:szCs w:val="18"/>
              </w:rPr>
              <w:t>≥ 100 (2026)</w:t>
            </w:r>
          </w:p>
        </w:tc>
        <w:tc>
          <w:tcPr>
            <w:tcW w:w="1745" w:type="dxa"/>
            <w:vAlign w:val="center"/>
          </w:tcPr>
          <w:p w14:paraId="6493DA17"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17228DB5"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2743F980" w14:textId="77777777" w:rsidTr="004F3674">
        <w:trPr>
          <w:trHeight w:val="265"/>
        </w:trPr>
        <w:tc>
          <w:tcPr>
            <w:tcW w:w="3085" w:type="dxa"/>
            <w:vMerge/>
            <w:vAlign w:val="center"/>
          </w:tcPr>
          <w:p w14:paraId="43522B80" w14:textId="77777777" w:rsidR="001E5451" w:rsidRDefault="001E5451" w:rsidP="00422A34">
            <w:pPr>
              <w:spacing w:after="0" w:line="240" w:lineRule="auto"/>
              <w:rPr>
                <w:rFonts w:ascii="Times New Roman" w:hAnsi="Times New Roman"/>
                <w:sz w:val="18"/>
                <w:szCs w:val="18"/>
              </w:rPr>
            </w:pPr>
          </w:p>
        </w:tc>
        <w:tc>
          <w:tcPr>
            <w:tcW w:w="3402" w:type="dxa"/>
            <w:vAlign w:val="center"/>
          </w:tcPr>
          <w:p w14:paraId="425B9C8D"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Number of</w:t>
            </w:r>
            <w:r w:rsidRPr="009031A7">
              <w:rPr>
                <w:rFonts w:ascii="Times New Roman" w:hAnsi="Times New Roman"/>
                <w:sz w:val="18"/>
                <w:szCs w:val="18"/>
              </w:rPr>
              <w:t xml:space="preserve"> national public awareness and education campaign on crisis </w:t>
            </w:r>
            <w:r>
              <w:rPr>
                <w:rFonts w:ascii="Times New Roman" w:hAnsi="Times New Roman"/>
                <w:sz w:val="18"/>
                <w:szCs w:val="18"/>
              </w:rPr>
              <w:t>event</w:t>
            </w:r>
          </w:p>
        </w:tc>
        <w:tc>
          <w:tcPr>
            <w:tcW w:w="1418" w:type="dxa"/>
            <w:vAlign w:val="center"/>
          </w:tcPr>
          <w:p w14:paraId="4F9198E6"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1FA39AEE"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627B5B19" w14:textId="77777777" w:rsidR="001E5451" w:rsidRPr="007B7843" w:rsidRDefault="001E5451" w:rsidP="00422A34">
            <w:pPr>
              <w:spacing w:after="0" w:line="240" w:lineRule="auto"/>
              <w:rPr>
                <w:rFonts w:ascii="Times New Roman" w:hAnsi="Times New Roman"/>
                <w:sz w:val="18"/>
                <w:szCs w:val="18"/>
              </w:rPr>
            </w:pPr>
            <w:r w:rsidRPr="007B7843">
              <w:rPr>
                <w:rFonts w:ascii="Times New Roman" w:hAnsi="Times New Roman"/>
                <w:sz w:val="18"/>
                <w:szCs w:val="18"/>
              </w:rPr>
              <w:t>1 (2026)</w:t>
            </w:r>
          </w:p>
        </w:tc>
        <w:tc>
          <w:tcPr>
            <w:tcW w:w="1745" w:type="dxa"/>
            <w:vAlign w:val="center"/>
          </w:tcPr>
          <w:p w14:paraId="3162C897" w14:textId="77777777" w:rsidR="001E5451" w:rsidRPr="000F3006" w:rsidRDefault="001E5451"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35B62205"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3014F73E" w14:textId="77777777" w:rsidTr="00287B2D">
        <w:trPr>
          <w:trHeight w:val="1144"/>
        </w:trPr>
        <w:tc>
          <w:tcPr>
            <w:tcW w:w="3085" w:type="dxa"/>
            <w:vMerge/>
            <w:vAlign w:val="center"/>
          </w:tcPr>
          <w:p w14:paraId="75C77B9D" w14:textId="77777777" w:rsidR="001E5451" w:rsidRDefault="001E5451" w:rsidP="00422A34">
            <w:pPr>
              <w:spacing w:after="0" w:line="240" w:lineRule="auto"/>
              <w:rPr>
                <w:rFonts w:ascii="Times New Roman" w:hAnsi="Times New Roman"/>
                <w:sz w:val="18"/>
                <w:szCs w:val="18"/>
              </w:rPr>
            </w:pPr>
          </w:p>
        </w:tc>
        <w:tc>
          <w:tcPr>
            <w:tcW w:w="3402" w:type="dxa"/>
            <w:vAlign w:val="center"/>
          </w:tcPr>
          <w:p w14:paraId="00DE2742"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 xml:space="preserve">Number of </w:t>
            </w:r>
            <w:r w:rsidRPr="009031A7">
              <w:rPr>
                <w:rFonts w:ascii="Times New Roman" w:hAnsi="Times New Roman"/>
                <w:sz w:val="18"/>
                <w:szCs w:val="18"/>
              </w:rPr>
              <w:t>unified command system</w:t>
            </w:r>
            <w:r>
              <w:rPr>
                <w:rFonts w:ascii="Times New Roman" w:hAnsi="Times New Roman"/>
                <w:sz w:val="18"/>
                <w:szCs w:val="18"/>
              </w:rPr>
              <w:t>s</w:t>
            </w:r>
            <w:r w:rsidRPr="009031A7">
              <w:rPr>
                <w:rFonts w:ascii="Times New Roman" w:hAnsi="Times New Roman"/>
                <w:sz w:val="18"/>
                <w:szCs w:val="18"/>
              </w:rPr>
              <w:t>, centralising incident notification and response and, more broadly, the sharing of disaster management information across the Government.</w:t>
            </w:r>
          </w:p>
        </w:tc>
        <w:tc>
          <w:tcPr>
            <w:tcW w:w="1418" w:type="dxa"/>
            <w:vAlign w:val="center"/>
          </w:tcPr>
          <w:p w14:paraId="6594ADC5" w14:textId="7777777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13DB5183"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5FD2BF97" w14:textId="77777777" w:rsidR="001E5451" w:rsidRPr="007B7843" w:rsidRDefault="001E5451" w:rsidP="00422A34">
            <w:pPr>
              <w:spacing w:after="0" w:line="240" w:lineRule="auto"/>
              <w:rPr>
                <w:rFonts w:ascii="Times New Roman" w:hAnsi="Times New Roman"/>
                <w:sz w:val="18"/>
                <w:szCs w:val="18"/>
              </w:rPr>
            </w:pPr>
            <w:r w:rsidRPr="007B7843">
              <w:rPr>
                <w:rFonts w:ascii="Times New Roman" w:hAnsi="Times New Roman"/>
                <w:sz w:val="18"/>
                <w:szCs w:val="18"/>
              </w:rPr>
              <w:t>1 (2026)</w:t>
            </w:r>
          </w:p>
        </w:tc>
        <w:tc>
          <w:tcPr>
            <w:tcW w:w="1745" w:type="dxa"/>
            <w:vAlign w:val="center"/>
          </w:tcPr>
          <w:p w14:paraId="330CFC1E" w14:textId="77777777" w:rsidR="001E5451" w:rsidRPr="000F3006" w:rsidRDefault="001E5451" w:rsidP="00422A34">
            <w:pPr>
              <w:spacing w:after="0" w:line="240" w:lineRule="auto"/>
              <w:rPr>
                <w:rFonts w:ascii="Times New Roman" w:hAnsi="Times New Roman"/>
                <w:sz w:val="18"/>
                <w:szCs w:val="18"/>
              </w:rPr>
            </w:pPr>
            <w:r w:rsidRPr="00730E70">
              <w:rPr>
                <w:rFonts w:ascii="Times New Roman" w:hAnsi="Times New Roman"/>
                <w:sz w:val="18"/>
                <w:szCs w:val="18"/>
              </w:rPr>
              <w:t>Project report</w:t>
            </w:r>
          </w:p>
        </w:tc>
        <w:tc>
          <w:tcPr>
            <w:tcW w:w="2006" w:type="dxa"/>
            <w:vMerge/>
            <w:shd w:val="clear" w:color="auto" w:fill="auto"/>
          </w:tcPr>
          <w:p w14:paraId="1430D2D5"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6F702DC4" w14:textId="77777777" w:rsidTr="00287B2D">
        <w:trPr>
          <w:trHeight w:val="429"/>
        </w:trPr>
        <w:tc>
          <w:tcPr>
            <w:tcW w:w="3085" w:type="dxa"/>
            <w:vMerge/>
            <w:vAlign w:val="center"/>
          </w:tcPr>
          <w:p w14:paraId="16E27638" w14:textId="77777777" w:rsidR="001E5451" w:rsidRDefault="001E5451" w:rsidP="00422A34">
            <w:pPr>
              <w:spacing w:after="0" w:line="240" w:lineRule="auto"/>
              <w:rPr>
                <w:rFonts w:ascii="Times New Roman" w:hAnsi="Times New Roman"/>
                <w:sz w:val="18"/>
                <w:szCs w:val="18"/>
              </w:rPr>
            </w:pPr>
          </w:p>
        </w:tc>
        <w:tc>
          <w:tcPr>
            <w:tcW w:w="3402" w:type="dxa"/>
            <w:vAlign w:val="center"/>
          </w:tcPr>
          <w:p w14:paraId="08DDF7C5" w14:textId="3B8958D9" w:rsidR="001E5451" w:rsidRPr="009E7B2D" w:rsidRDefault="001E5451" w:rsidP="00422A34">
            <w:pPr>
              <w:spacing w:after="0" w:line="240" w:lineRule="auto"/>
              <w:rPr>
                <w:rFonts w:ascii="Times New Roman" w:hAnsi="Times New Roman"/>
                <w:sz w:val="18"/>
                <w:szCs w:val="18"/>
              </w:rPr>
            </w:pPr>
            <w:r>
              <w:rPr>
                <w:rFonts w:ascii="Times New Roman" w:hAnsi="Times New Roman"/>
                <w:sz w:val="18"/>
                <w:szCs w:val="18"/>
              </w:rPr>
              <w:t xml:space="preserve">Number of </w:t>
            </w:r>
            <w:r w:rsidRPr="001E5451">
              <w:rPr>
                <w:rFonts w:ascii="Times New Roman" w:hAnsi="Times New Roman"/>
                <w:sz w:val="18"/>
                <w:szCs w:val="18"/>
              </w:rPr>
              <w:t xml:space="preserve">unified </w:t>
            </w:r>
            <w:r w:rsidRPr="008A73A1">
              <w:rPr>
                <w:rFonts w:ascii="Times New Roman" w:hAnsi="Times New Roman"/>
                <w:sz w:val="18"/>
                <w:szCs w:val="18"/>
              </w:rPr>
              <w:t>models</w:t>
            </w:r>
            <w:r w:rsidRPr="001E5451">
              <w:rPr>
                <w:rFonts w:ascii="Times New Roman" w:hAnsi="Times New Roman"/>
                <w:sz w:val="18"/>
                <w:szCs w:val="18"/>
              </w:rPr>
              <w:t xml:space="preserve"> of Emergency Management System, supported by phase 2 of the 112 Emergency Call</w:t>
            </w:r>
            <w:r>
              <w:rPr>
                <w:rFonts w:ascii="Times New Roman" w:hAnsi="Times New Roman"/>
                <w:sz w:val="18"/>
                <w:szCs w:val="18"/>
              </w:rPr>
              <w:t xml:space="preserve"> established</w:t>
            </w:r>
          </w:p>
        </w:tc>
        <w:tc>
          <w:tcPr>
            <w:tcW w:w="1418" w:type="dxa"/>
            <w:vAlign w:val="center"/>
          </w:tcPr>
          <w:p w14:paraId="46770799" w14:textId="64363AD3"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5F6B59EA"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34653DFA" w14:textId="62412A1C" w:rsidR="001E5451" w:rsidRPr="007B7843" w:rsidRDefault="001E5451" w:rsidP="00422A34">
            <w:pPr>
              <w:spacing w:after="0" w:line="240" w:lineRule="auto"/>
              <w:rPr>
                <w:rFonts w:ascii="Times New Roman" w:hAnsi="Times New Roman"/>
                <w:sz w:val="18"/>
                <w:szCs w:val="18"/>
              </w:rPr>
            </w:pPr>
            <w:r>
              <w:rPr>
                <w:rFonts w:ascii="Times New Roman" w:hAnsi="Times New Roman"/>
                <w:sz w:val="18"/>
                <w:szCs w:val="18"/>
              </w:rPr>
              <w:t>1 (2026)</w:t>
            </w:r>
          </w:p>
        </w:tc>
        <w:tc>
          <w:tcPr>
            <w:tcW w:w="1745" w:type="dxa"/>
            <w:vAlign w:val="center"/>
          </w:tcPr>
          <w:p w14:paraId="2B075CBD" w14:textId="7071C0CD" w:rsidR="001E5451" w:rsidRPr="00730E70" w:rsidRDefault="001E5451"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547D8BFC" w14:textId="77777777" w:rsidR="001E5451" w:rsidRPr="000F3006" w:rsidRDefault="001E5451" w:rsidP="00422A34">
            <w:pPr>
              <w:spacing w:after="0" w:line="240" w:lineRule="auto"/>
              <w:rPr>
                <w:rFonts w:ascii="Times New Roman" w:hAnsi="Times New Roman"/>
                <w:b/>
                <w:bCs/>
                <w:sz w:val="18"/>
                <w:szCs w:val="18"/>
              </w:rPr>
            </w:pPr>
          </w:p>
        </w:tc>
      </w:tr>
      <w:tr w:rsidR="001E5451" w:rsidRPr="000F3006" w14:paraId="0C151B19" w14:textId="77777777" w:rsidTr="009E7B2D">
        <w:trPr>
          <w:trHeight w:val="429"/>
        </w:trPr>
        <w:tc>
          <w:tcPr>
            <w:tcW w:w="3085" w:type="dxa"/>
            <w:vMerge/>
            <w:vAlign w:val="center"/>
          </w:tcPr>
          <w:p w14:paraId="67062DDB" w14:textId="77777777" w:rsidR="001E5451" w:rsidRDefault="001E5451" w:rsidP="00422A34">
            <w:pPr>
              <w:spacing w:after="0" w:line="240" w:lineRule="auto"/>
              <w:rPr>
                <w:rFonts w:ascii="Times New Roman" w:hAnsi="Times New Roman"/>
                <w:sz w:val="18"/>
                <w:szCs w:val="18"/>
              </w:rPr>
            </w:pPr>
          </w:p>
        </w:tc>
        <w:tc>
          <w:tcPr>
            <w:tcW w:w="3402" w:type="dxa"/>
            <w:vAlign w:val="center"/>
          </w:tcPr>
          <w:p w14:paraId="731A25D0" w14:textId="5A66C6C1"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 xml:space="preserve">Number of </w:t>
            </w:r>
            <w:r w:rsidRPr="005B71FE">
              <w:rPr>
                <w:rFonts w:ascii="Times New Roman" w:hAnsi="Times New Roman"/>
                <w:sz w:val="18"/>
                <w:szCs w:val="18"/>
              </w:rPr>
              <w:t>Emergency Operational Centre</w:t>
            </w:r>
            <w:r>
              <w:rPr>
                <w:rFonts w:ascii="Times New Roman" w:hAnsi="Times New Roman"/>
                <w:sz w:val="18"/>
                <w:szCs w:val="18"/>
              </w:rPr>
              <w:t>s</w:t>
            </w:r>
            <w:r w:rsidRPr="005B71FE">
              <w:rPr>
                <w:rFonts w:ascii="Times New Roman" w:hAnsi="Times New Roman"/>
                <w:sz w:val="18"/>
                <w:szCs w:val="18"/>
              </w:rPr>
              <w:t>, connected with Common Emergency Communication and Information System (CECIS) and</w:t>
            </w:r>
            <w:r w:rsidRPr="009C5BBD">
              <w:rPr>
                <w:rFonts w:ascii="Times New Roman" w:hAnsi="Times New Roman"/>
              </w:rPr>
              <w:t xml:space="preserve"> </w:t>
            </w:r>
            <w:r w:rsidRPr="005B71FE">
              <w:rPr>
                <w:rFonts w:ascii="Times New Roman" w:hAnsi="Times New Roman"/>
                <w:sz w:val="18"/>
                <w:szCs w:val="18"/>
              </w:rPr>
              <w:t>E112</w:t>
            </w:r>
          </w:p>
        </w:tc>
        <w:tc>
          <w:tcPr>
            <w:tcW w:w="1418" w:type="dxa"/>
            <w:vAlign w:val="center"/>
          </w:tcPr>
          <w:p w14:paraId="4D29950C" w14:textId="138E6FE1"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4F47CA32" w14:textId="77777777" w:rsidR="001E5451" w:rsidRPr="000F3006" w:rsidRDefault="001E5451" w:rsidP="00422A34">
            <w:pPr>
              <w:spacing w:after="0" w:line="240" w:lineRule="auto"/>
              <w:rPr>
                <w:rFonts w:ascii="Times New Roman" w:hAnsi="Times New Roman"/>
                <w:sz w:val="18"/>
                <w:szCs w:val="18"/>
              </w:rPr>
            </w:pPr>
          </w:p>
        </w:tc>
        <w:tc>
          <w:tcPr>
            <w:tcW w:w="1417" w:type="dxa"/>
            <w:vAlign w:val="center"/>
          </w:tcPr>
          <w:p w14:paraId="1024BC08" w14:textId="50594C67" w:rsidR="001E5451" w:rsidRDefault="001E5451" w:rsidP="00422A34">
            <w:pPr>
              <w:spacing w:after="0" w:line="240" w:lineRule="auto"/>
              <w:rPr>
                <w:rFonts w:ascii="Times New Roman" w:hAnsi="Times New Roman"/>
                <w:sz w:val="18"/>
                <w:szCs w:val="18"/>
              </w:rPr>
            </w:pPr>
            <w:r>
              <w:rPr>
                <w:rFonts w:ascii="Times New Roman" w:hAnsi="Times New Roman"/>
                <w:sz w:val="18"/>
                <w:szCs w:val="18"/>
              </w:rPr>
              <w:t>Xx (2026)</w:t>
            </w:r>
          </w:p>
        </w:tc>
        <w:tc>
          <w:tcPr>
            <w:tcW w:w="1745" w:type="dxa"/>
            <w:vAlign w:val="center"/>
          </w:tcPr>
          <w:p w14:paraId="6C4E268A" w14:textId="77777777" w:rsidR="001E5451" w:rsidRDefault="001E5451" w:rsidP="00422A34">
            <w:pPr>
              <w:spacing w:after="0" w:line="240" w:lineRule="auto"/>
              <w:rPr>
                <w:rFonts w:ascii="Times New Roman" w:hAnsi="Times New Roman"/>
                <w:sz w:val="18"/>
                <w:szCs w:val="18"/>
              </w:rPr>
            </w:pPr>
          </w:p>
        </w:tc>
        <w:tc>
          <w:tcPr>
            <w:tcW w:w="2006" w:type="dxa"/>
            <w:vMerge/>
            <w:shd w:val="clear" w:color="auto" w:fill="auto"/>
          </w:tcPr>
          <w:p w14:paraId="0D297FB6" w14:textId="77777777" w:rsidR="001E5451" w:rsidRPr="000F3006" w:rsidRDefault="001E5451" w:rsidP="00422A34">
            <w:pPr>
              <w:spacing w:after="0" w:line="240" w:lineRule="auto"/>
              <w:rPr>
                <w:rFonts w:ascii="Times New Roman" w:hAnsi="Times New Roman"/>
                <w:b/>
                <w:bCs/>
                <w:sz w:val="18"/>
                <w:szCs w:val="18"/>
              </w:rPr>
            </w:pPr>
          </w:p>
        </w:tc>
      </w:tr>
      <w:tr w:rsidR="00422A34" w:rsidRPr="000F3006" w14:paraId="7FB023FC" w14:textId="77777777" w:rsidTr="004F3674">
        <w:trPr>
          <w:trHeight w:val="265"/>
        </w:trPr>
        <w:tc>
          <w:tcPr>
            <w:tcW w:w="3085" w:type="dxa"/>
            <w:vAlign w:val="center"/>
          </w:tcPr>
          <w:p w14:paraId="60186AE3" w14:textId="1FE382EB" w:rsidR="00422A34" w:rsidRPr="002F36FE" w:rsidRDefault="00422A34" w:rsidP="00422A34">
            <w:pPr>
              <w:spacing w:after="0" w:line="240" w:lineRule="auto"/>
              <w:rPr>
                <w:rFonts w:ascii="Times New Roman" w:hAnsi="Times New Roman"/>
                <w:sz w:val="18"/>
                <w:szCs w:val="18"/>
              </w:rPr>
            </w:pPr>
            <w:r w:rsidRPr="000F3006">
              <w:rPr>
                <w:rFonts w:ascii="Times New Roman" w:hAnsi="Times New Roman"/>
                <w:sz w:val="18"/>
                <w:szCs w:val="18"/>
              </w:rPr>
              <w:lastRenderedPageBreak/>
              <w:t>3.</w:t>
            </w:r>
            <w:r>
              <w:rPr>
                <w:rFonts w:ascii="Times New Roman" w:hAnsi="Times New Roman"/>
                <w:sz w:val="18"/>
                <w:szCs w:val="18"/>
              </w:rPr>
              <w:t xml:space="preserve">1 </w:t>
            </w:r>
            <w:r w:rsidR="00C12E7F" w:rsidRPr="00282E5A">
              <w:rPr>
                <w:rFonts w:ascii="Times New Roman" w:hAnsi="Times New Roman"/>
                <w:sz w:val="18"/>
                <w:szCs w:val="18"/>
              </w:rPr>
              <w:t xml:space="preserve">Improved </w:t>
            </w:r>
            <w:r w:rsidR="009F65BE">
              <w:rPr>
                <w:rFonts w:ascii="Times New Roman" w:hAnsi="Times New Roman"/>
                <w:sz w:val="18"/>
                <w:szCs w:val="18"/>
              </w:rPr>
              <w:t>t</w:t>
            </w:r>
            <w:r w:rsidR="00C12E7F" w:rsidRPr="00282E5A">
              <w:rPr>
                <w:rFonts w:ascii="Times New Roman" w:hAnsi="Times New Roman"/>
                <w:sz w:val="18"/>
                <w:szCs w:val="18"/>
              </w:rPr>
              <w:t>ransport policy and legal harmonisation</w:t>
            </w:r>
          </w:p>
        </w:tc>
        <w:tc>
          <w:tcPr>
            <w:tcW w:w="3402" w:type="dxa"/>
            <w:vAlign w:val="center"/>
          </w:tcPr>
          <w:p w14:paraId="23C96ED8" w14:textId="77777777" w:rsidR="00422A34" w:rsidRDefault="00422A34" w:rsidP="00422A34">
            <w:pPr>
              <w:spacing w:after="0" w:line="240" w:lineRule="auto"/>
              <w:rPr>
                <w:rFonts w:ascii="Times New Roman" w:hAnsi="Times New Roman"/>
                <w:sz w:val="18"/>
                <w:szCs w:val="18"/>
              </w:rPr>
            </w:pPr>
            <w:r>
              <w:rPr>
                <w:rFonts w:ascii="Times New Roman" w:hAnsi="Times New Roman"/>
                <w:sz w:val="18"/>
                <w:szCs w:val="18"/>
              </w:rPr>
              <w:t>Number of legal acts on adoption of:</w:t>
            </w:r>
          </w:p>
          <w:p w14:paraId="01AE08EC" w14:textId="6B6520A6" w:rsidR="00422A34" w:rsidRDefault="00422A34" w:rsidP="00422A34">
            <w:pPr>
              <w:spacing w:after="0" w:line="240" w:lineRule="auto"/>
              <w:rPr>
                <w:rFonts w:ascii="Times New Roman" w:hAnsi="Times New Roman"/>
                <w:sz w:val="18"/>
                <w:szCs w:val="18"/>
              </w:rPr>
            </w:pPr>
            <w:r>
              <w:rPr>
                <w:rFonts w:ascii="Times New Roman" w:hAnsi="Times New Roman"/>
                <w:sz w:val="18"/>
                <w:szCs w:val="18"/>
              </w:rPr>
              <w:t>- F</w:t>
            </w:r>
            <w:r w:rsidRPr="007B7843">
              <w:rPr>
                <w:rFonts w:ascii="Times New Roman" w:hAnsi="Times New Roman"/>
                <w:sz w:val="18"/>
                <w:szCs w:val="18"/>
              </w:rPr>
              <w:t xml:space="preserve">ourth Package of Directives of the EU, and the bylaws </w:t>
            </w:r>
            <w:r>
              <w:rPr>
                <w:rFonts w:ascii="Times New Roman" w:hAnsi="Times New Roman"/>
                <w:sz w:val="18"/>
                <w:szCs w:val="18"/>
              </w:rPr>
              <w:t>to</w:t>
            </w:r>
            <w:r w:rsidRPr="007B7843">
              <w:rPr>
                <w:rFonts w:ascii="Times New Roman" w:hAnsi="Times New Roman"/>
                <w:sz w:val="18"/>
                <w:szCs w:val="18"/>
              </w:rPr>
              <w:t xml:space="preserve"> create conditions for </w:t>
            </w:r>
            <w:r w:rsidR="00C12E7F">
              <w:rPr>
                <w:rFonts w:ascii="Times New Roman" w:hAnsi="Times New Roman"/>
                <w:sz w:val="18"/>
                <w:szCs w:val="18"/>
              </w:rPr>
              <w:t>O</w:t>
            </w:r>
            <w:r w:rsidRPr="007B7843">
              <w:rPr>
                <w:rFonts w:ascii="Times New Roman" w:hAnsi="Times New Roman"/>
                <w:sz w:val="18"/>
                <w:szCs w:val="18"/>
              </w:rPr>
              <w:t>pening the market of railway services</w:t>
            </w:r>
          </w:p>
          <w:p w14:paraId="0C98FEE8" w14:textId="77777777" w:rsidR="00422A34" w:rsidRDefault="00422A34" w:rsidP="00422A34">
            <w:pPr>
              <w:spacing w:after="0" w:line="240" w:lineRule="auto"/>
              <w:rPr>
                <w:rFonts w:ascii="Times New Roman" w:hAnsi="Times New Roman"/>
                <w:sz w:val="18"/>
                <w:szCs w:val="18"/>
              </w:rPr>
            </w:pPr>
            <w:r>
              <w:rPr>
                <w:rFonts w:ascii="Times New Roman" w:hAnsi="Times New Roman"/>
                <w:sz w:val="18"/>
                <w:szCs w:val="18"/>
              </w:rPr>
              <w:t xml:space="preserve">- </w:t>
            </w:r>
            <w:r w:rsidRPr="007B7843">
              <w:rPr>
                <w:rFonts w:ascii="Times New Roman" w:hAnsi="Times New Roman"/>
                <w:sz w:val="18"/>
                <w:szCs w:val="18"/>
              </w:rPr>
              <w:t xml:space="preserve">Regulation 181/2011 </w:t>
            </w:r>
          </w:p>
          <w:p w14:paraId="6477D476" w14:textId="77777777" w:rsidR="00422A34" w:rsidRDefault="00422A34" w:rsidP="00422A34">
            <w:pPr>
              <w:spacing w:after="0" w:line="240" w:lineRule="auto"/>
              <w:rPr>
                <w:rFonts w:ascii="Times New Roman" w:hAnsi="Times New Roman"/>
                <w:sz w:val="18"/>
                <w:szCs w:val="18"/>
              </w:rPr>
            </w:pPr>
            <w:r>
              <w:rPr>
                <w:rFonts w:ascii="Times New Roman" w:hAnsi="Times New Roman"/>
                <w:sz w:val="18"/>
                <w:szCs w:val="18"/>
              </w:rPr>
              <w:t xml:space="preserve">- </w:t>
            </w:r>
            <w:r w:rsidRPr="007B7843">
              <w:rPr>
                <w:rFonts w:ascii="Times New Roman" w:hAnsi="Times New Roman"/>
                <w:sz w:val="18"/>
                <w:szCs w:val="18"/>
              </w:rPr>
              <w:t>Regulation 1371/2007</w:t>
            </w:r>
          </w:p>
          <w:p w14:paraId="641E9CF4" w14:textId="77777777" w:rsidR="00422A34" w:rsidRPr="000F3006" w:rsidRDefault="00422A34" w:rsidP="00422A34">
            <w:pPr>
              <w:spacing w:after="0" w:line="240" w:lineRule="auto"/>
              <w:rPr>
                <w:rFonts w:ascii="Times New Roman" w:hAnsi="Times New Roman"/>
                <w:sz w:val="18"/>
                <w:szCs w:val="18"/>
              </w:rPr>
            </w:pPr>
            <w:r>
              <w:rPr>
                <w:rFonts w:ascii="Times New Roman" w:hAnsi="Times New Roman"/>
                <w:sz w:val="18"/>
                <w:szCs w:val="18"/>
              </w:rPr>
              <w:t xml:space="preserve">- </w:t>
            </w:r>
            <w:r w:rsidRPr="00223B8B">
              <w:rPr>
                <w:rFonts w:ascii="Times New Roman" w:hAnsi="Times New Roman"/>
                <w:i/>
                <w:iCs/>
                <w:sz w:val="18"/>
                <w:szCs w:val="18"/>
              </w:rPr>
              <w:t>Acquis</w:t>
            </w:r>
            <w:r w:rsidRPr="007B7843">
              <w:rPr>
                <w:rFonts w:ascii="Times New Roman" w:hAnsi="Times New Roman"/>
                <w:sz w:val="18"/>
                <w:szCs w:val="18"/>
              </w:rPr>
              <w:t xml:space="preserve"> on road, rail, and air transport safety</w:t>
            </w:r>
          </w:p>
        </w:tc>
        <w:tc>
          <w:tcPr>
            <w:tcW w:w="1418" w:type="dxa"/>
            <w:vAlign w:val="center"/>
          </w:tcPr>
          <w:p w14:paraId="0578355B" w14:textId="77777777" w:rsidR="00422A34" w:rsidRPr="000F3006" w:rsidRDefault="00422A34" w:rsidP="00422A34">
            <w:pPr>
              <w:spacing w:after="0" w:line="240" w:lineRule="auto"/>
              <w:rPr>
                <w:rFonts w:ascii="Times New Roman" w:hAnsi="Times New Roman"/>
                <w:b/>
                <w:bCs/>
                <w:sz w:val="18"/>
                <w:szCs w:val="18"/>
              </w:rPr>
            </w:pPr>
            <w:r>
              <w:rPr>
                <w:rFonts w:ascii="Times New Roman" w:hAnsi="Times New Roman"/>
                <w:sz w:val="18"/>
                <w:szCs w:val="18"/>
              </w:rPr>
              <w:t>0 (2022)</w:t>
            </w:r>
          </w:p>
        </w:tc>
        <w:tc>
          <w:tcPr>
            <w:tcW w:w="1559" w:type="dxa"/>
            <w:vAlign w:val="center"/>
          </w:tcPr>
          <w:p w14:paraId="6FA38912" w14:textId="77777777" w:rsidR="00422A34" w:rsidRPr="000F3006" w:rsidRDefault="00422A34" w:rsidP="00422A34">
            <w:pPr>
              <w:spacing w:after="0" w:line="240" w:lineRule="auto"/>
              <w:rPr>
                <w:rFonts w:ascii="Times New Roman" w:hAnsi="Times New Roman"/>
                <w:sz w:val="18"/>
                <w:szCs w:val="18"/>
              </w:rPr>
            </w:pPr>
          </w:p>
        </w:tc>
        <w:tc>
          <w:tcPr>
            <w:tcW w:w="1417" w:type="dxa"/>
            <w:vAlign w:val="center"/>
          </w:tcPr>
          <w:p w14:paraId="6FCE6D66" w14:textId="77777777" w:rsidR="00422A34" w:rsidRPr="007B7843" w:rsidRDefault="00422A34" w:rsidP="00422A34">
            <w:pPr>
              <w:spacing w:after="0" w:line="240" w:lineRule="auto"/>
              <w:rPr>
                <w:rFonts w:ascii="Times New Roman" w:hAnsi="Times New Roman"/>
                <w:sz w:val="18"/>
                <w:szCs w:val="18"/>
              </w:rPr>
            </w:pPr>
            <w:r w:rsidRPr="007B7843">
              <w:rPr>
                <w:rFonts w:ascii="Times New Roman" w:hAnsi="Times New Roman"/>
                <w:sz w:val="18"/>
                <w:szCs w:val="18"/>
              </w:rPr>
              <w:t>4 (2026)</w:t>
            </w:r>
          </w:p>
        </w:tc>
        <w:tc>
          <w:tcPr>
            <w:tcW w:w="1745" w:type="dxa"/>
            <w:vAlign w:val="center"/>
          </w:tcPr>
          <w:p w14:paraId="5D47D79E" w14:textId="77777777" w:rsidR="00422A34" w:rsidRPr="000F3006" w:rsidRDefault="00422A34" w:rsidP="00422A34">
            <w:pPr>
              <w:spacing w:after="0" w:line="240" w:lineRule="auto"/>
              <w:rPr>
                <w:rFonts w:ascii="Times New Roman" w:hAnsi="Times New Roman"/>
                <w:sz w:val="18"/>
                <w:szCs w:val="18"/>
              </w:rPr>
            </w:pPr>
            <w:r>
              <w:rPr>
                <w:rFonts w:ascii="Times New Roman" w:hAnsi="Times New Roman"/>
                <w:sz w:val="18"/>
                <w:szCs w:val="18"/>
              </w:rPr>
              <w:t>MoTC</w:t>
            </w:r>
          </w:p>
        </w:tc>
        <w:tc>
          <w:tcPr>
            <w:tcW w:w="2006" w:type="dxa"/>
            <w:vMerge w:val="restart"/>
            <w:shd w:val="clear" w:color="auto" w:fill="auto"/>
          </w:tcPr>
          <w:p w14:paraId="2827A217" w14:textId="77777777" w:rsidR="00422A34" w:rsidRPr="00EF4A86" w:rsidRDefault="00422A34" w:rsidP="00422A34">
            <w:pPr>
              <w:spacing w:after="0" w:line="240" w:lineRule="auto"/>
              <w:rPr>
                <w:rFonts w:ascii="Times New Roman" w:hAnsi="Times New Roman"/>
                <w:sz w:val="18"/>
                <w:szCs w:val="18"/>
              </w:rPr>
            </w:pPr>
            <w:r w:rsidRPr="00EF4A86">
              <w:rPr>
                <w:rFonts w:ascii="Times New Roman" w:hAnsi="Times New Roman"/>
                <w:sz w:val="18"/>
                <w:szCs w:val="18"/>
              </w:rPr>
              <w:t>All stakeholders are proactively involved in the implementation of the relevant activities related to road safety.</w:t>
            </w:r>
          </w:p>
          <w:p w14:paraId="13821018" w14:textId="77777777" w:rsidR="00422A34" w:rsidRPr="000F3006" w:rsidRDefault="00422A34" w:rsidP="00422A34">
            <w:pPr>
              <w:spacing w:after="0" w:line="240" w:lineRule="auto"/>
              <w:rPr>
                <w:rFonts w:ascii="Times New Roman" w:hAnsi="Times New Roman"/>
                <w:b/>
                <w:bCs/>
                <w:sz w:val="18"/>
                <w:szCs w:val="18"/>
              </w:rPr>
            </w:pPr>
          </w:p>
        </w:tc>
      </w:tr>
      <w:tr w:rsidR="00223B8B" w:rsidRPr="000F3006" w14:paraId="182139E5" w14:textId="77777777" w:rsidTr="004F3674">
        <w:trPr>
          <w:trHeight w:val="265"/>
        </w:trPr>
        <w:tc>
          <w:tcPr>
            <w:tcW w:w="3085" w:type="dxa"/>
            <w:vMerge w:val="restart"/>
            <w:vAlign w:val="center"/>
          </w:tcPr>
          <w:p w14:paraId="797C4EEB" w14:textId="762240CB" w:rsidR="00223B8B" w:rsidRPr="00E147FD" w:rsidRDefault="00223B8B" w:rsidP="00282E5A">
            <w:pPr>
              <w:spacing w:after="0" w:line="240" w:lineRule="auto"/>
              <w:rPr>
                <w:rFonts w:ascii="Times New Roman" w:hAnsi="Times New Roman"/>
                <w:sz w:val="18"/>
                <w:szCs w:val="18"/>
              </w:rPr>
            </w:pPr>
            <w:r>
              <w:rPr>
                <w:rFonts w:ascii="Times New Roman" w:hAnsi="Times New Roman"/>
                <w:sz w:val="18"/>
                <w:szCs w:val="18"/>
              </w:rPr>
              <w:t xml:space="preserve">3.2 </w:t>
            </w:r>
            <w:r w:rsidRPr="00223B8B">
              <w:rPr>
                <w:rFonts w:ascii="Times New Roman" w:hAnsi="Times New Roman"/>
                <w:sz w:val="18"/>
                <w:szCs w:val="18"/>
              </w:rPr>
              <w:t xml:space="preserve">Improved </w:t>
            </w:r>
            <w:r w:rsidR="00F71B5B">
              <w:rPr>
                <w:rFonts w:ascii="Times New Roman" w:hAnsi="Times New Roman"/>
                <w:sz w:val="18"/>
                <w:szCs w:val="18"/>
              </w:rPr>
              <w:t>t</w:t>
            </w:r>
            <w:r w:rsidRPr="00223B8B">
              <w:rPr>
                <w:rFonts w:ascii="Times New Roman" w:hAnsi="Times New Roman"/>
                <w:sz w:val="18"/>
                <w:szCs w:val="18"/>
              </w:rPr>
              <w:t>ransport safety enforcement and implementation capacity</w:t>
            </w:r>
          </w:p>
          <w:p w14:paraId="23616E63" w14:textId="3356F98C" w:rsidR="00223B8B" w:rsidRPr="00E147FD" w:rsidRDefault="00223B8B" w:rsidP="00422A34">
            <w:pPr>
              <w:spacing w:after="0" w:line="240" w:lineRule="auto"/>
              <w:rPr>
                <w:rFonts w:ascii="Times New Roman" w:hAnsi="Times New Roman"/>
                <w:sz w:val="18"/>
                <w:szCs w:val="18"/>
              </w:rPr>
            </w:pPr>
          </w:p>
        </w:tc>
        <w:tc>
          <w:tcPr>
            <w:tcW w:w="3402" w:type="dxa"/>
            <w:vAlign w:val="center"/>
          </w:tcPr>
          <w:p w14:paraId="6BD49EE8" w14:textId="77777777" w:rsidR="00223B8B" w:rsidRPr="00E147FD" w:rsidRDefault="00223B8B" w:rsidP="00422A34">
            <w:pPr>
              <w:spacing w:after="0" w:line="240" w:lineRule="auto"/>
              <w:rPr>
                <w:rFonts w:ascii="Times New Roman" w:hAnsi="Times New Roman"/>
                <w:sz w:val="18"/>
                <w:szCs w:val="18"/>
              </w:rPr>
            </w:pPr>
            <w:r>
              <w:rPr>
                <w:rFonts w:ascii="Times New Roman" w:hAnsi="Times New Roman"/>
                <w:sz w:val="18"/>
                <w:szCs w:val="18"/>
              </w:rPr>
              <w:t>Number of staff from RSA and STI trained</w:t>
            </w:r>
          </w:p>
        </w:tc>
        <w:tc>
          <w:tcPr>
            <w:tcW w:w="1418" w:type="dxa"/>
            <w:vAlign w:val="center"/>
          </w:tcPr>
          <w:p w14:paraId="56E12D68" w14:textId="77777777" w:rsidR="00223B8B" w:rsidRPr="00E147FD" w:rsidDel="00C3460D" w:rsidRDefault="00223B8B" w:rsidP="00422A34">
            <w:pPr>
              <w:spacing w:after="0" w:line="240" w:lineRule="auto"/>
              <w:rPr>
                <w:rFonts w:ascii="Times New Roman" w:hAnsi="Times New Roman"/>
                <w:b/>
                <w:bCs/>
                <w:sz w:val="18"/>
                <w:szCs w:val="18"/>
              </w:rPr>
            </w:pPr>
            <w:r>
              <w:rPr>
                <w:rFonts w:ascii="Times New Roman" w:hAnsi="Times New Roman"/>
                <w:sz w:val="18"/>
                <w:szCs w:val="18"/>
              </w:rPr>
              <w:t>0 (2022)</w:t>
            </w:r>
          </w:p>
        </w:tc>
        <w:tc>
          <w:tcPr>
            <w:tcW w:w="1559" w:type="dxa"/>
            <w:vAlign w:val="center"/>
          </w:tcPr>
          <w:p w14:paraId="1797C3D4" w14:textId="77777777" w:rsidR="00223B8B" w:rsidRPr="00E147FD" w:rsidRDefault="00223B8B" w:rsidP="00422A34">
            <w:pPr>
              <w:spacing w:after="0" w:line="240" w:lineRule="auto"/>
              <w:rPr>
                <w:rFonts w:ascii="Times New Roman" w:hAnsi="Times New Roman"/>
                <w:sz w:val="18"/>
                <w:szCs w:val="18"/>
              </w:rPr>
            </w:pPr>
          </w:p>
        </w:tc>
        <w:tc>
          <w:tcPr>
            <w:tcW w:w="1417" w:type="dxa"/>
            <w:vAlign w:val="center"/>
          </w:tcPr>
          <w:p w14:paraId="344055B6" w14:textId="77777777" w:rsidR="00223B8B" w:rsidRPr="007B7843" w:rsidDel="00C3460D" w:rsidRDefault="00223B8B" w:rsidP="00422A34">
            <w:pPr>
              <w:spacing w:after="0" w:line="240" w:lineRule="auto"/>
              <w:rPr>
                <w:rFonts w:ascii="Times New Roman" w:hAnsi="Times New Roman"/>
                <w:sz w:val="18"/>
                <w:szCs w:val="18"/>
              </w:rPr>
            </w:pPr>
            <w:r w:rsidRPr="007B7843">
              <w:rPr>
                <w:rFonts w:ascii="Times New Roman" w:hAnsi="Times New Roman"/>
                <w:sz w:val="18"/>
                <w:szCs w:val="18"/>
              </w:rPr>
              <w:t>≥ 50 (2026)</w:t>
            </w:r>
          </w:p>
        </w:tc>
        <w:tc>
          <w:tcPr>
            <w:tcW w:w="1745" w:type="dxa"/>
            <w:vAlign w:val="center"/>
          </w:tcPr>
          <w:p w14:paraId="2324FBB7" w14:textId="77777777" w:rsidR="00223B8B" w:rsidRPr="00E147FD" w:rsidRDefault="00223B8B"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5CD951BA" w14:textId="77777777" w:rsidR="00223B8B" w:rsidRPr="00E147FD" w:rsidRDefault="00223B8B" w:rsidP="00422A34">
            <w:pPr>
              <w:spacing w:after="0" w:line="240" w:lineRule="auto"/>
              <w:rPr>
                <w:rFonts w:ascii="Times New Roman" w:hAnsi="Times New Roman"/>
                <w:b/>
                <w:bCs/>
                <w:sz w:val="18"/>
                <w:szCs w:val="18"/>
              </w:rPr>
            </w:pPr>
          </w:p>
        </w:tc>
      </w:tr>
      <w:tr w:rsidR="00223B8B" w:rsidRPr="000F3006" w14:paraId="6326E7E5" w14:textId="77777777" w:rsidTr="004F3674">
        <w:trPr>
          <w:trHeight w:val="265"/>
        </w:trPr>
        <w:tc>
          <w:tcPr>
            <w:tcW w:w="3085" w:type="dxa"/>
            <w:vMerge/>
            <w:vAlign w:val="center"/>
          </w:tcPr>
          <w:p w14:paraId="4DB6BA31" w14:textId="5A68972C" w:rsidR="00223B8B" w:rsidRDefault="00223B8B" w:rsidP="00422A34">
            <w:pPr>
              <w:spacing w:after="0" w:line="240" w:lineRule="auto"/>
              <w:rPr>
                <w:rFonts w:ascii="Times New Roman" w:hAnsi="Times New Roman"/>
                <w:sz w:val="18"/>
                <w:szCs w:val="18"/>
              </w:rPr>
            </w:pPr>
          </w:p>
        </w:tc>
        <w:tc>
          <w:tcPr>
            <w:tcW w:w="3402" w:type="dxa"/>
            <w:vAlign w:val="center"/>
          </w:tcPr>
          <w:p w14:paraId="7611C5E2" w14:textId="6CC20C77" w:rsidR="00223B8B" w:rsidRDefault="00223B8B" w:rsidP="00422A34">
            <w:pPr>
              <w:spacing w:after="0" w:line="240" w:lineRule="auto"/>
              <w:rPr>
                <w:rFonts w:ascii="Times New Roman" w:hAnsi="Times New Roman"/>
                <w:sz w:val="18"/>
                <w:szCs w:val="18"/>
              </w:rPr>
            </w:pPr>
            <w:r>
              <w:rPr>
                <w:rFonts w:ascii="Times New Roman" w:hAnsi="Times New Roman"/>
                <w:sz w:val="18"/>
                <w:szCs w:val="18"/>
              </w:rPr>
              <w:t xml:space="preserve">Number of </w:t>
            </w:r>
            <w:r w:rsidRPr="007B7843">
              <w:rPr>
                <w:rFonts w:ascii="Times New Roman" w:hAnsi="Times New Roman"/>
                <w:sz w:val="18"/>
                <w:szCs w:val="18"/>
              </w:rPr>
              <w:t>national system</w:t>
            </w:r>
            <w:r>
              <w:rPr>
                <w:rFonts w:ascii="Times New Roman" w:hAnsi="Times New Roman"/>
                <w:sz w:val="18"/>
                <w:szCs w:val="18"/>
              </w:rPr>
              <w:t>s</w:t>
            </w:r>
            <w:r w:rsidRPr="007B7843">
              <w:rPr>
                <w:rFonts w:ascii="Times New Roman" w:hAnsi="Times New Roman"/>
                <w:sz w:val="18"/>
                <w:szCs w:val="18"/>
              </w:rPr>
              <w:t xml:space="preserve"> for data collection on road accidents</w:t>
            </w:r>
            <w:r w:rsidR="00530621">
              <w:rPr>
                <w:rFonts w:ascii="Times New Roman" w:hAnsi="Times New Roman"/>
                <w:sz w:val="18"/>
                <w:szCs w:val="18"/>
              </w:rPr>
              <w:t xml:space="preserve"> established</w:t>
            </w:r>
            <w:r w:rsidRPr="007B7843">
              <w:rPr>
                <w:rFonts w:ascii="Times New Roman" w:hAnsi="Times New Roman"/>
                <w:sz w:val="18"/>
                <w:szCs w:val="18"/>
              </w:rPr>
              <w:t>.</w:t>
            </w:r>
          </w:p>
        </w:tc>
        <w:tc>
          <w:tcPr>
            <w:tcW w:w="1418" w:type="dxa"/>
            <w:vAlign w:val="center"/>
          </w:tcPr>
          <w:p w14:paraId="22E1785F" w14:textId="77777777" w:rsidR="00223B8B" w:rsidRPr="00E147FD" w:rsidDel="00C3460D" w:rsidRDefault="00223B8B" w:rsidP="00422A34">
            <w:pPr>
              <w:spacing w:after="0" w:line="240" w:lineRule="auto"/>
              <w:rPr>
                <w:rFonts w:ascii="Times New Roman" w:hAnsi="Times New Roman"/>
                <w:b/>
                <w:bCs/>
                <w:sz w:val="18"/>
                <w:szCs w:val="18"/>
              </w:rPr>
            </w:pPr>
            <w:r>
              <w:rPr>
                <w:rFonts w:ascii="Times New Roman" w:hAnsi="Times New Roman"/>
                <w:sz w:val="18"/>
                <w:szCs w:val="18"/>
              </w:rPr>
              <w:t>0 (2022)</w:t>
            </w:r>
          </w:p>
        </w:tc>
        <w:tc>
          <w:tcPr>
            <w:tcW w:w="1559" w:type="dxa"/>
            <w:vAlign w:val="center"/>
          </w:tcPr>
          <w:p w14:paraId="3ED3A55C" w14:textId="77777777" w:rsidR="00223B8B" w:rsidRPr="00E147FD" w:rsidRDefault="00223B8B" w:rsidP="00422A34">
            <w:pPr>
              <w:spacing w:after="0" w:line="240" w:lineRule="auto"/>
              <w:rPr>
                <w:rFonts w:ascii="Times New Roman" w:hAnsi="Times New Roman"/>
                <w:sz w:val="18"/>
                <w:szCs w:val="18"/>
              </w:rPr>
            </w:pPr>
          </w:p>
        </w:tc>
        <w:tc>
          <w:tcPr>
            <w:tcW w:w="1417" w:type="dxa"/>
            <w:vAlign w:val="center"/>
          </w:tcPr>
          <w:p w14:paraId="587B93E3" w14:textId="77777777" w:rsidR="00223B8B" w:rsidRPr="007B7843" w:rsidDel="00C3460D" w:rsidRDefault="00223B8B" w:rsidP="00422A34">
            <w:pPr>
              <w:spacing w:after="0" w:line="240" w:lineRule="auto"/>
              <w:rPr>
                <w:rFonts w:ascii="Times New Roman" w:hAnsi="Times New Roman"/>
                <w:sz w:val="18"/>
                <w:szCs w:val="18"/>
              </w:rPr>
            </w:pPr>
            <w:r w:rsidRPr="007B7843">
              <w:rPr>
                <w:rFonts w:ascii="Times New Roman" w:hAnsi="Times New Roman"/>
                <w:sz w:val="18"/>
                <w:szCs w:val="18"/>
              </w:rPr>
              <w:t>1 (2026)</w:t>
            </w:r>
          </w:p>
        </w:tc>
        <w:tc>
          <w:tcPr>
            <w:tcW w:w="1745" w:type="dxa"/>
            <w:vAlign w:val="center"/>
          </w:tcPr>
          <w:p w14:paraId="17E540A9" w14:textId="77777777" w:rsidR="00223B8B" w:rsidRPr="00E147FD" w:rsidRDefault="00223B8B" w:rsidP="00422A34">
            <w:pPr>
              <w:spacing w:after="0" w:line="240" w:lineRule="auto"/>
              <w:rPr>
                <w:rFonts w:ascii="Times New Roman" w:hAnsi="Times New Roman"/>
                <w:sz w:val="18"/>
                <w:szCs w:val="18"/>
              </w:rPr>
            </w:pPr>
            <w:r>
              <w:rPr>
                <w:rFonts w:ascii="Times New Roman" w:hAnsi="Times New Roman"/>
                <w:sz w:val="18"/>
                <w:szCs w:val="18"/>
              </w:rPr>
              <w:t>MoTC, PESR</w:t>
            </w:r>
          </w:p>
        </w:tc>
        <w:tc>
          <w:tcPr>
            <w:tcW w:w="2006" w:type="dxa"/>
            <w:vMerge/>
            <w:shd w:val="clear" w:color="auto" w:fill="auto"/>
          </w:tcPr>
          <w:p w14:paraId="50EE5B06" w14:textId="77777777" w:rsidR="00223B8B" w:rsidRPr="00E147FD" w:rsidRDefault="00223B8B" w:rsidP="00422A34">
            <w:pPr>
              <w:spacing w:after="0" w:line="240" w:lineRule="auto"/>
              <w:rPr>
                <w:rFonts w:ascii="Times New Roman" w:hAnsi="Times New Roman"/>
                <w:b/>
                <w:bCs/>
                <w:sz w:val="18"/>
                <w:szCs w:val="18"/>
              </w:rPr>
            </w:pPr>
          </w:p>
        </w:tc>
      </w:tr>
      <w:tr w:rsidR="00223B8B" w:rsidRPr="000F3006" w14:paraId="34563373" w14:textId="77777777" w:rsidTr="004F3674">
        <w:trPr>
          <w:trHeight w:val="265"/>
        </w:trPr>
        <w:tc>
          <w:tcPr>
            <w:tcW w:w="3085" w:type="dxa"/>
            <w:vMerge/>
            <w:vAlign w:val="center"/>
          </w:tcPr>
          <w:p w14:paraId="669B198D" w14:textId="4321760B" w:rsidR="00223B8B" w:rsidRPr="00E147FD" w:rsidRDefault="00223B8B" w:rsidP="00422A34">
            <w:pPr>
              <w:spacing w:after="0" w:line="240" w:lineRule="auto"/>
              <w:rPr>
                <w:rFonts w:ascii="Times New Roman" w:hAnsi="Times New Roman"/>
                <w:sz w:val="18"/>
                <w:szCs w:val="18"/>
              </w:rPr>
            </w:pPr>
          </w:p>
        </w:tc>
        <w:tc>
          <w:tcPr>
            <w:tcW w:w="3402" w:type="dxa"/>
            <w:vAlign w:val="center"/>
          </w:tcPr>
          <w:p w14:paraId="67301C7F" w14:textId="77777777" w:rsidR="00223B8B" w:rsidRPr="00E147FD" w:rsidRDefault="00223B8B" w:rsidP="00422A34">
            <w:pPr>
              <w:spacing w:after="0" w:line="240" w:lineRule="auto"/>
              <w:rPr>
                <w:rFonts w:ascii="Times New Roman" w:hAnsi="Times New Roman"/>
                <w:sz w:val="18"/>
                <w:szCs w:val="18"/>
              </w:rPr>
            </w:pPr>
            <w:r>
              <w:rPr>
                <w:rFonts w:ascii="Times New Roman" w:hAnsi="Times New Roman"/>
                <w:sz w:val="18"/>
                <w:szCs w:val="18"/>
              </w:rPr>
              <w:t>Number of people covered by public awareness activities for road safety</w:t>
            </w:r>
          </w:p>
        </w:tc>
        <w:tc>
          <w:tcPr>
            <w:tcW w:w="1418" w:type="dxa"/>
            <w:vAlign w:val="center"/>
          </w:tcPr>
          <w:p w14:paraId="3BC23204" w14:textId="77777777" w:rsidR="00223B8B" w:rsidRPr="00853571" w:rsidDel="00C3460D" w:rsidRDefault="00223B8B" w:rsidP="00422A34">
            <w:pPr>
              <w:spacing w:after="0" w:line="240" w:lineRule="auto"/>
              <w:rPr>
                <w:rFonts w:ascii="Times New Roman" w:hAnsi="Times New Roman"/>
                <w:sz w:val="18"/>
                <w:szCs w:val="18"/>
              </w:rPr>
            </w:pPr>
            <w:r w:rsidRPr="00853571">
              <w:rPr>
                <w:rFonts w:ascii="Times New Roman" w:hAnsi="Times New Roman"/>
                <w:sz w:val="18"/>
                <w:szCs w:val="18"/>
              </w:rPr>
              <w:t>0 (202</w:t>
            </w:r>
            <w:r>
              <w:rPr>
                <w:rFonts w:ascii="Times New Roman" w:hAnsi="Times New Roman"/>
                <w:sz w:val="18"/>
                <w:szCs w:val="18"/>
              </w:rPr>
              <w:t>2</w:t>
            </w:r>
            <w:r w:rsidRPr="00853571">
              <w:rPr>
                <w:rFonts w:ascii="Times New Roman" w:hAnsi="Times New Roman"/>
                <w:sz w:val="18"/>
                <w:szCs w:val="18"/>
              </w:rPr>
              <w:t>)</w:t>
            </w:r>
          </w:p>
        </w:tc>
        <w:tc>
          <w:tcPr>
            <w:tcW w:w="1559" w:type="dxa"/>
            <w:vAlign w:val="center"/>
          </w:tcPr>
          <w:p w14:paraId="2405A34A" w14:textId="77777777" w:rsidR="00223B8B" w:rsidRPr="00E147FD" w:rsidRDefault="00223B8B" w:rsidP="00422A34">
            <w:pPr>
              <w:spacing w:after="0" w:line="240" w:lineRule="auto"/>
              <w:rPr>
                <w:rFonts w:ascii="Times New Roman" w:hAnsi="Times New Roman"/>
                <w:sz w:val="18"/>
                <w:szCs w:val="18"/>
              </w:rPr>
            </w:pPr>
          </w:p>
        </w:tc>
        <w:tc>
          <w:tcPr>
            <w:tcW w:w="1417" w:type="dxa"/>
            <w:vAlign w:val="center"/>
          </w:tcPr>
          <w:p w14:paraId="07560D93" w14:textId="77777777" w:rsidR="00223B8B" w:rsidRPr="007B7843" w:rsidDel="00C3460D" w:rsidRDefault="00223B8B" w:rsidP="00422A34">
            <w:pPr>
              <w:spacing w:after="0" w:line="240" w:lineRule="auto"/>
              <w:rPr>
                <w:rFonts w:ascii="Times New Roman" w:hAnsi="Times New Roman"/>
                <w:sz w:val="18"/>
                <w:szCs w:val="18"/>
              </w:rPr>
            </w:pPr>
            <w:r w:rsidRPr="007B7843">
              <w:rPr>
                <w:rFonts w:ascii="Times New Roman" w:hAnsi="Times New Roman"/>
                <w:sz w:val="18"/>
                <w:szCs w:val="18"/>
              </w:rPr>
              <w:t>≥ 50,000 (2026)</w:t>
            </w:r>
          </w:p>
        </w:tc>
        <w:tc>
          <w:tcPr>
            <w:tcW w:w="1745" w:type="dxa"/>
            <w:vAlign w:val="center"/>
          </w:tcPr>
          <w:p w14:paraId="0B538304" w14:textId="77777777" w:rsidR="00223B8B" w:rsidRPr="00E147FD" w:rsidRDefault="00223B8B"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1DD5F64A" w14:textId="77777777" w:rsidR="00223B8B" w:rsidRPr="00E147FD" w:rsidRDefault="00223B8B" w:rsidP="00422A34">
            <w:pPr>
              <w:spacing w:after="0" w:line="240" w:lineRule="auto"/>
              <w:rPr>
                <w:rFonts w:ascii="Times New Roman" w:hAnsi="Times New Roman"/>
                <w:b/>
                <w:bCs/>
                <w:sz w:val="18"/>
                <w:szCs w:val="18"/>
              </w:rPr>
            </w:pPr>
          </w:p>
        </w:tc>
      </w:tr>
      <w:tr w:rsidR="00223B8B" w:rsidRPr="000F3006" w14:paraId="4BF8A05D" w14:textId="77777777" w:rsidTr="005B71FE">
        <w:trPr>
          <w:trHeight w:val="585"/>
        </w:trPr>
        <w:tc>
          <w:tcPr>
            <w:tcW w:w="3085" w:type="dxa"/>
            <w:vMerge/>
            <w:vAlign w:val="center"/>
          </w:tcPr>
          <w:p w14:paraId="6A008FF4" w14:textId="77777777" w:rsidR="00223B8B" w:rsidRDefault="00223B8B" w:rsidP="00422A34">
            <w:pPr>
              <w:spacing w:after="0" w:line="240" w:lineRule="auto"/>
              <w:rPr>
                <w:rFonts w:ascii="Times New Roman" w:hAnsi="Times New Roman"/>
                <w:sz w:val="18"/>
                <w:szCs w:val="18"/>
              </w:rPr>
            </w:pPr>
          </w:p>
        </w:tc>
        <w:tc>
          <w:tcPr>
            <w:tcW w:w="3402" w:type="dxa"/>
            <w:vAlign w:val="center"/>
          </w:tcPr>
          <w:p w14:paraId="329F60ED" w14:textId="77777777" w:rsidR="00223B8B" w:rsidRDefault="00223B8B" w:rsidP="00422A34">
            <w:pPr>
              <w:spacing w:after="0" w:line="240" w:lineRule="auto"/>
              <w:rPr>
                <w:rFonts w:ascii="Times New Roman" w:hAnsi="Times New Roman"/>
                <w:sz w:val="18"/>
                <w:szCs w:val="18"/>
              </w:rPr>
            </w:pPr>
            <w:r>
              <w:rPr>
                <w:rFonts w:ascii="Times New Roman" w:hAnsi="Times New Roman"/>
                <w:sz w:val="18"/>
                <w:szCs w:val="18"/>
              </w:rPr>
              <w:t>Number of students (primary and secondary education) trained on road safety</w:t>
            </w:r>
          </w:p>
        </w:tc>
        <w:tc>
          <w:tcPr>
            <w:tcW w:w="1418" w:type="dxa"/>
            <w:vAlign w:val="center"/>
          </w:tcPr>
          <w:p w14:paraId="27564369" w14:textId="77777777" w:rsidR="00223B8B" w:rsidRPr="00B64E1C" w:rsidRDefault="00223B8B" w:rsidP="00422A34">
            <w:pPr>
              <w:spacing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3364C86B" w14:textId="77777777" w:rsidR="00223B8B" w:rsidRPr="00E147FD" w:rsidRDefault="00223B8B" w:rsidP="00422A34">
            <w:pPr>
              <w:spacing w:after="0" w:line="240" w:lineRule="auto"/>
              <w:rPr>
                <w:rFonts w:ascii="Times New Roman" w:hAnsi="Times New Roman"/>
                <w:sz w:val="18"/>
                <w:szCs w:val="18"/>
              </w:rPr>
            </w:pPr>
          </w:p>
        </w:tc>
        <w:tc>
          <w:tcPr>
            <w:tcW w:w="1417" w:type="dxa"/>
            <w:vAlign w:val="center"/>
          </w:tcPr>
          <w:p w14:paraId="3C699055" w14:textId="77777777" w:rsidR="00223B8B" w:rsidRPr="007B7843" w:rsidDel="00C3460D" w:rsidRDefault="00223B8B" w:rsidP="00422A34">
            <w:pPr>
              <w:spacing w:after="0" w:line="240" w:lineRule="auto"/>
              <w:rPr>
                <w:rFonts w:ascii="Times New Roman" w:hAnsi="Times New Roman"/>
                <w:sz w:val="18"/>
                <w:szCs w:val="18"/>
              </w:rPr>
            </w:pPr>
            <w:r w:rsidRPr="007B7843">
              <w:rPr>
                <w:rFonts w:ascii="Times New Roman" w:hAnsi="Times New Roman"/>
                <w:sz w:val="18"/>
                <w:szCs w:val="18"/>
              </w:rPr>
              <w:t>≥ 10,000 (2026)</w:t>
            </w:r>
          </w:p>
        </w:tc>
        <w:tc>
          <w:tcPr>
            <w:tcW w:w="1745" w:type="dxa"/>
            <w:vAlign w:val="center"/>
          </w:tcPr>
          <w:p w14:paraId="38D2D017" w14:textId="77777777" w:rsidR="00223B8B" w:rsidRPr="00E147FD" w:rsidRDefault="00223B8B" w:rsidP="00422A34">
            <w:pPr>
              <w:spacing w:after="0" w:line="240" w:lineRule="auto"/>
              <w:rPr>
                <w:rFonts w:ascii="Times New Roman" w:hAnsi="Times New Roman"/>
                <w:sz w:val="18"/>
                <w:szCs w:val="18"/>
              </w:rPr>
            </w:pPr>
            <w:r>
              <w:rPr>
                <w:rFonts w:ascii="Times New Roman" w:hAnsi="Times New Roman"/>
                <w:sz w:val="18"/>
                <w:szCs w:val="18"/>
              </w:rPr>
              <w:t>Project report</w:t>
            </w:r>
          </w:p>
        </w:tc>
        <w:tc>
          <w:tcPr>
            <w:tcW w:w="2006" w:type="dxa"/>
            <w:vMerge/>
            <w:shd w:val="clear" w:color="auto" w:fill="auto"/>
          </w:tcPr>
          <w:p w14:paraId="0A85D993" w14:textId="77777777" w:rsidR="00223B8B" w:rsidRPr="00E147FD" w:rsidRDefault="00223B8B" w:rsidP="00422A34">
            <w:pPr>
              <w:spacing w:after="0" w:line="240" w:lineRule="auto"/>
              <w:rPr>
                <w:rFonts w:ascii="Times New Roman" w:hAnsi="Times New Roman"/>
                <w:b/>
                <w:bCs/>
                <w:sz w:val="18"/>
                <w:szCs w:val="18"/>
              </w:rPr>
            </w:pPr>
          </w:p>
        </w:tc>
      </w:tr>
      <w:tr w:rsidR="00422A34" w:rsidRPr="000F3006" w14:paraId="5EFE6191" w14:textId="77777777" w:rsidTr="00E66848">
        <w:trPr>
          <w:trHeight w:val="120"/>
        </w:trPr>
        <w:tc>
          <w:tcPr>
            <w:tcW w:w="3085" w:type="dxa"/>
            <w:vAlign w:val="center"/>
          </w:tcPr>
          <w:p w14:paraId="1C2CDFF6" w14:textId="77777777" w:rsidR="00422A34" w:rsidRPr="000F3006" w:rsidRDefault="00422A34" w:rsidP="00422A34">
            <w:pPr>
              <w:spacing w:after="0" w:line="240" w:lineRule="auto"/>
              <w:rPr>
                <w:rFonts w:ascii="Times New Roman" w:hAnsi="Times New Roman"/>
                <w:b/>
                <w:bCs/>
                <w:sz w:val="18"/>
                <w:szCs w:val="18"/>
              </w:rPr>
            </w:pPr>
            <w:r w:rsidRPr="000F3006">
              <w:rPr>
                <w:rFonts w:ascii="Times New Roman" w:hAnsi="Times New Roman"/>
                <w:b/>
                <w:bCs/>
                <w:sz w:val="18"/>
                <w:szCs w:val="18"/>
              </w:rPr>
              <w:t>BROAD ARRANGEMENTS FOR IMPLEMENTATION (IF AVAILABLE)</w:t>
            </w:r>
          </w:p>
        </w:tc>
        <w:tc>
          <w:tcPr>
            <w:tcW w:w="11547" w:type="dxa"/>
            <w:gridSpan w:val="6"/>
            <w:vAlign w:val="center"/>
          </w:tcPr>
          <w:p w14:paraId="0098A17C" w14:textId="77777777" w:rsidR="00422A34" w:rsidRPr="000F3006" w:rsidRDefault="00422A34" w:rsidP="00422A34">
            <w:pPr>
              <w:spacing w:after="0" w:line="240" w:lineRule="auto"/>
              <w:rPr>
                <w:rFonts w:ascii="Times New Roman" w:hAnsi="Times New Roman"/>
                <w:sz w:val="18"/>
                <w:szCs w:val="18"/>
              </w:rPr>
            </w:pPr>
            <w:r w:rsidRPr="000F3006">
              <w:rPr>
                <w:rFonts w:ascii="Times New Roman" w:hAnsi="Times New Roman"/>
                <w:sz w:val="18"/>
                <w:szCs w:val="18"/>
              </w:rPr>
              <w:t>It should be flagged out if it is proposed to implement this action through the WBIF</w:t>
            </w:r>
          </w:p>
          <w:p w14:paraId="7A77BF9A" w14:textId="77777777" w:rsidR="00422A34" w:rsidRPr="000F3006" w:rsidRDefault="00422A34" w:rsidP="00422A34">
            <w:pPr>
              <w:spacing w:after="0" w:line="240" w:lineRule="auto"/>
              <w:rPr>
                <w:rFonts w:ascii="Times New Roman" w:hAnsi="Times New Roman"/>
                <w:sz w:val="18"/>
                <w:szCs w:val="18"/>
              </w:rPr>
            </w:pPr>
            <w:r w:rsidRPr="000F3006">
              <w:rPr>
                <w:rFonts w:ascii="Times New Roman" w:hAnsi="Times New Roman"/>
                <w:sz w:val="18"/>
                <w:szCs w:val="18"/>
              </w:rPr>
              <w:t>Specify also the management modes (direct, indirect with implementing partner or IMBC)</w:t>
            </w:r>
          </w:p>
        </w:tc>
      </w:tr>
      <w:bookmarkEnd w:id="3"/>
    </w:tbl>
    <w:p w14:paraId="5FF1EF56" w14:textId="77777777" w:rsidR="00220B44" w:rsidRPr="000F3006" w:rsidRDefault="00220B44" w:rsidP="008C7455">
      <w:pPr>
        <w:rPr>
          <w:rFonts w:ascii="Times New Roman" w:hAnsi="Times New Roman"/>
          <w:sz w:val="18"/>
          <w:szCs w:val="18"/>
        </w:rPr>
      </w:pPr>
    </w:p>
    <w:sectPr w:rsidR="00220B44" w:rsidRPr="000F3006" w:rsidSect="00275CA9">
      <w:pgSz w:w="16838" w:h="11906" w:orient="landscape"/>
      <w:pgMar w:top="567" w:right="1440" w:bottom="426" w:left="1440" w:header="708" w:footer="2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C1125" w14:textId="77777777" w:rsidR="006A6F76" w:rsidRDefault="006A6F76" w:rsidP="00D92F6C">
      <w:pPr>
        <w:spacing w:after="0" w:line="240" w:lineRule="auto"/>
      </w:pPr>
      <w:r>
        <w:separator/>
      </w:r>
    </w:p>
  </w:endnote>
  <w:endnote w:type="continuationSeparator" w:id="0">
    <w:p w14:paraId="63C117DC" w14:textId="77777777" w:rsidR="006A6F76" w:rsidRDefault="006A6F76" w:rsidP="00D9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CAFC8" w14:textId="77777777" w:rsidR="006A6F76" w:rsidRDefault="006A6F76" w:rsidP="00D92F6C">
      <w:pPr>
        <w:spacing w:after="0" w:line="240" w:lineRule="auto"/>
      </w:pPr>
      <w:r>
        <w:separator/>
      </w:r>
    </w:p>
  </w:footnote>
  <w:footnote w:type="continuationSeparator" w:id="0">
    <w:p w14:paraId="2C357515" w14:textId="77777777" w:rsidR="006A6F76" w:rsidRDefault="006A6F76" w:rsidP="00D92F6C">
      <w:pPr>
        <w:spacing w:after="0" w:line="240" w:lineRule="auto"/>
      </w:pPr>
      <w:r>
        <w:continuationSeparator/>
      </w:r>
    </w:p>
  </w:footnote>
  <w:footnote w:id="1">
    <w:p w14:paraId="3A1ABFD1" w14:textId="77777777" w:rsidR="00667F1B" w:rsidRPr="009F65BE" w:rsidRDefault="00667F1B" w:rsidP="009F65BE">
      <w:pPr>
        <w:pStyle w:val="FootnoteText"/>
        <w:spacing w:line="240" w:lineRule="auto"/>
        <w:ind w:left="142" w:hanging="142"/>
        <w:rPr>
          <w:sz w:val="16"/>
          <w:szCs w:val="16"/>
        </w:rPr>
      </w:pPr>
      <w:r w:rsidRPr="009F65BE">
        <w:rPr>
          <w:rStyle w:val="FootnoteReference"/>
          <w:sz w:val="16"/>
          <w:szCs w:val="16"/>
        </w:rPr>
        <w:footnoteRef/>
      </w:r>
      <w:r w:rsidRPr="009F65BE">
        <w:rPr>
          <w:sz w:val="16"/>
          <w:szCs w:val="16"/>
        </w:rPr>
        <w:t xml:space="preserve"> </w:t>
      </w:r>
      <w:r w:rsidRPr="009F65BE">
        <w:rPr>
          <w:rFonts w:ascii="Times New Roman" w:hAnsi="Times New Roman"/>
          <w:sz w:val="16"/>
          <w:szCs w:val="16"/>
        </w:rPr>
        <w:t>North Macedonia intends to build a 300-350 MW solar photovoltaic project in Stip and a 100 MW solar plant in Oslomej. Several smaller solar plants are also planned, including a 10 MW solar plant in Oslomej, two 10 MW solar projects in Bitola, and solar plants totalling 60 MW elsewhere</w:t>
      </w:r>
    </w:p>
  </w:footnote>
  <w:footnote w:id="2">
    <w:p w14:paraId="2F3D82C7" w14:textId="77777777" w:rsidR="00667F1B" w:rsidRPr="00EF4A86" w:rsidRDefault="00667F1B" w:rsidP="00220B44">
      <w:pPr>
        <w:pStyle w:val="FootnoteText"/>
        <w:rPr>
          <w:rFonts w:ascii="Times New Roman" w:hAnsi="Times New Roman"/>
          <w:sz w:val="15"/>
          <w:szCs w:val="15"/>
          <w:lang w:val="en-US"/>
        </w:rPr>
      </w:pPr>
      <w:r w:rsidRPr="00E97AC2">
        <w:rPr>
          <w:rStyle w:val="FootnoteReference"/>
          <w:rFonts w:ascii="Times New Roman" w:hAnsi="Times New Roman"/>
          <w:sz w:val="15"/>
          <w:szCs w:val="15"/>
        </w:rPr>
        <w:footnoteRef/>
      </w:r>
      <w:r w:rsidRPr="00E97AC2">
        <w:rPr>
          <w:rFonts w:ascii="Times New Roman" w:hAnsi="Times New Roman"/>
          <w:sz w:val="15"/>
          <w:szCs w:val="15"/>
        </w:rPr>
        <w:t xml:space="preserve"> </w:t>
      </w:r>
      <w:r w:rsidRPr="00E97AC2">
        <w:rPr>
          <w:rFonts w:ascii="Times New Roman" w:hAnsi="Times New Roman"/>
          <w:sz w:val="15"/>
          <w:szCs w:val="15"/>
          <w:lang w:val="en-US"/>
        </w:rPr>
        <w:t>The baseline v</w:t>
      </w:r>
      <w:r w:rsidRPr="00EF4A86">
        <w:rPr>
          <w:rFonts w:ascii="Times New Roman" w:hAnsi="Times New Roman"/>
          <w:sz w:val="15"/>
          <w:szCs w:val="15"/>
          <w:lang w:val="en-US"/>
        </w:rPr>
        <w:t>alue may be “0” (i.e. no reference values are available as the Action represents a novelty for the beneficiary) but cannot be left empty or include references such as “N/A” or “will be determined later”.</w:t>
      </w:r>
    </w:p>
  </w:footnote>
  <w:footnote w:id="3">
    <w:p w14:paraId="65CEDB91" w14:textId="77777777" w:rsidR="00667F1B" w:rsidRPr="00EF4A86" w:rsidRDefault="00667F1B" w:rsidP="00220B44">
      <w:pPr>
        <w:pStyle w:val="FootnoteText"/>
        <w:spacing w:line="240" w:lineRule="auto"/>
        <w:ind w:left="28" w:hanging="182"/>
        <w:rPr>
          <w:rFonts w:ascii="Times New Roman" w:hAnsi="Times New Roman"/>
          <w:sz w:val="16"/>
          <w:szCs w:val="16"/>
        </w:rPr>
      </w:pPr>
      <w:r w:rsidRPr="00EF4A86">
        <w:rPr>
          <w:rStyle w:val="FootnoteReference"/>
          <w:sz w:val="16"/>
          <w:szCs w:val="16"/>
        </w:rPr>
        <w:footnoteRef/>
      </w:r>
      <w:r w:rsidRPr="004330D3">
        <w:rPr>
          <w:sz w:val="16"/>
          <w:szCs w:val="16"/>
        </w:rPr>
        <w:t xml:space="preserve"> </w:t>
      </w:r>
      <w:r w:rsidRPr="00EF4A86">
        <w:rPr>
          <w:rFonts w:ascii="Times New Roman" w:hAnsi="Times New Roman"/>
          <w:sz w:val="16"/>
          <w:szCs w:val="16"/>
        </w:rPr>
        <w:t xml:space="preserve">Source: Energy balance 2020, State Statistical Office, table T-01: Energy indicators   </w:t>
      </w:r>
    </w:p>
    <w:p w14:paraId="4BCA2A42" w14:textId="77777777" w:rsidR="00667F1B" w:rsidRPr="004330D3" w:rsidRDefault="00667F1B" w:rsidP="00220B44">
      <w:pPr>
        <w:pStyle w:val="FootnoteText"/>
        <w:spacing w:line="240" w:lineRule="auto"/>
        <w:ind w:left="28" w:hanging="170"/>
        <w:rPr>
          <w:rFonts w:ascii="Times New Roman" w:hAnsi="Times New Roman"/>
          <w:sz w:val="16"/>
          <w:szCs w:val="16"/>
        </w:rPr>
      </w:pPr>
      <w:r w:rsidRPr="004330D3">
        <w:rPr>
          <w:rFonts w:ascii="Times New Roman" w:hAnsi="Times New Roman"/>
          <w:sz w:val="16"/>
          <w:szCs w:val="16"/>
        </w:rPr>
        <w:t xml:space="preserve">      https://www.stat.gov.mk/pdf/2021/6.1.21.60_mk.pdf</w:t>
      </w:r>
    </w:p>
  </w:footnote>
  <w:footnote w:id="4">
    <w:p w14:paraId="25C404FD" w14:textId="77777777" w:rsidR="00667F1B" w:rsidRPr="00897802" w:rsidRDefault="00667F1B" w:rsidP="00220B44">
      <w:pPr>
        <w:pStyle w:val="FootnoteText"/>
        <w:spacing w:line="240" w:lineRule="auto"/>
        <w:ind w:left="42" w:hanging="196"/>
        <w:rPr>
          <w:rStyle w:val="Hyperlink"/>
          <w:color w:val="auto"/>
          <w:sz w:val="16"/>
          <w:szCs w:val="16"/>
          <w:u w:val="none"/>
        </w:rPr>
      </w:pPr>
      <w:r w:rsidRPr="00245892">
        <w:rPr>
          <w:rStyle w:val="FootnoteReference"/>
          <w:sz w:val="16"/>
          <w:szCs w:val="16"/>
        </w:rPr>
        <w:footnoteRef/>
      </w:r>
      <w:r>
        <w:rPr>
          <w:sz w:val="16"/>
          <w:szCs w:val="16"/>
        </w:rPr>
        <w:t xml:space="preserve"> </w:t>
      </w:r>
      <w:r w:rsidRPr="00245892">
        <w:rPr>
          <w:sz w:val="16"/>
          <w:szCs w:val="16"/>
        </w:rPr>
        <w:t xml:space="preserve">Numerator: Energy balance 2018, State Statistical Office, Final energy consumption from Table T-02: Total energy balance </w:t>
      </w:r>
      <w:r>
        <w:rPr>
          <w:sz w:val="16"/>
          <w:szCs w:val="16"/>
        </w:rPr>
        <w:t xml:space="preserve">  </w:t>
      </w:r>
      <w:r w:rsidRPr="00245892">
        <w:rPr>
          <w:sz w:val="16"/>
          <w:szCs w:val="16"/>
        </w:rPr>
        <w:t>(</w:t>
      </w:r>
      <w:hyperlink r:id="rId1" w:history="1">
        <w:r w:rsidRPr="00245892">
          <w:rPr>
            <w:rStyle w:val="Hyperlink"/>
            <w:sz w:val="16"/>
            <w:szCs w:val="16"/>
          </w:rPr>
          <w:t>http://www.stat.gov.mk/pdf/2020/6.1.20.59_mk.pdf</w:t>
        </w:r>
      </w:hyperlink>
      <w:r w:rsidRPr="00245892">
        <w:rPr>
          <w:sz w:val="16"/>
          <w:szCs w:val="16"/>
        </w:rPr>
        <w:t xml:space="preserve"> )</w:t>
      </w:r>
    </w:p>
    <w:p w14:paraId="6C001DAC" w14:textId="77777777" w:rsidR="00667F1B" w:rsidRPr="00897802" w:rsidRDefault="00667F1B" w:rsidP="00220B44">
      <w:pPr>
        <w:pStyle w:val="FootnoteText"/>
        <w:spacing w:line="240" w:lineRule="auto"/>
        <w:ind w:left="42" w:hanging="184"/>
        <w:rPr>
          <w:sz w:val="16"/>
          <w:szCs w:val="16"/>
        </w:rPr>
      </w:pPr>
      <w:r>
        <w:rPr>
          <w:sz w:val="16"/>
          <w:szCs w:val="16"/>
        </w:rPr>
        <w:t xml:space="preserve">     </w:t>
      </w:r>
      <w:r w:rsidRPr="00245892">
        <w:rPr>
          <w:sz w:val="16"/>
          <w:szCs w:val="16"/>
        </w:rPr>
        <w:t xml:space="preserve">Denominator: EUROSTAT, GDP and main components (output, expenditure and income) [nama_10_gdp], Chain linked volumes </w:t>
      </w:r>
      <w:r>
        <w:rPr>
          <w:sz w:val="16"/>
          <w:szCs w:val="16"/>
        </w:rPr>
        <w:t xml:space="preserve"> </w:t>
      </w:r>
      <w:r w:rsidRPr="00897802">
        <w:rPr>
          <w:sz w:val="16"/>
          <w:szCs w:val="16"/>
        </w:rPr>
        <w:t>(2015),   million euro (</w:t>
      </w:r>
      <w:hyperlink r:id="rId2" w:history="1">
        <w:r w:rsidRPr="00897802">
          <w:rPr>
            <w:rStyle w:val="Hyperlink"/>
            <w:sz w:val="16"/>
            <w:szCs w:val="16"/>
          </w:rPr>
          <w:t>https://appsso.eurostat.ec.europa.eu/nui/show.do?dataset=nama_10_gdp&amp;lang=en</w:t>
        </w:r>
      </w:hyperlink>
      <w:r w:rsidRPr="00897802">
        <w:rPr>
          <w:sz w:val="16"/>
          <w:szCs w:val="16"/>
        </w:rPr>
        <w:t xml:space="preserve"> ).</w:t>
      </w:r>
    </w:p>
  </w:footnote>
  <w:footnote w:id="5">
    <w:p w14:paraId="5B7F3F6D" w14:textId="77777777" w:rsidR="00667F1B" w:rsidRPr="00245892" w:rsidRDefault="00667F1B" w:rsidP="00220B44">
      <w:pPr>
        <w:pStyle w:val="FootnoteText"/>
        <w:spacing w:line="240" w:lineRule="auto"/>
        <w:ind w:left="196" w:hanging="214"/>
        <w:rPr>
          <w:sz w:val="16"/>
          <w:szCs w:val="16"/>
        </w:rPr>
      </w:pPr>
      <w:r w:rsidRPr="00245892">
        <w:rPr>
          <w:rStyle w:val="FootnoteReference"/>
          <w:sz w:val="16"/>
          <w:szCs w:val="16"/>
        </w:rPr>
        <w:footnoteRef/>
      </w:r>
      <w:r w:rsidRPr="00245892">
        <w:rPr>
          <w:sz w:val="16"/>
          <w:szCs w:val="16"/>
        </w:rPr>
        <w:t xml:space="preserve"> Source of numerator: </w:t>
      </w:r>
      <w:hyperlink r:id="rId3" w:history="1">
        <w:r w:rsidRPr="00245892">
          <w:rPr>
            <w:rStyle w:val="Hyperlink"/>
            <w:sz w:val="16"/>
            <w:szCs w:val="16"/>
          </w:rPr>
          <w:t>http://makstat.stat.gov.mk/PXWeb/pxweb/en/MakStat/MakStat__Transport__SoobrakajniNesreki/325_Trans_MK_T_48_en.px/?rxid=b14b7e4a-3c41-447f-93fa-e9eba26a7167</w:t>
        </w:r>
      </w:hyperlink>
      <w:r w:rsidRPr="00245892">
        <w:rPr>
          <w:sz w:val="16"/>
          <w:szCs w:val="16"/>
        </w:rPr>
        <w:t xml:space="preserve"> </w:t>
      </w:r>
    </w:p>
    <w:p w14:paraId="3BB120D3" w14:textId="77777777" w:rsidR="00667F1B" w:rsidRPr="00245892" w:rsidRDefault="00667F1B" w:rsidP="00220B44">
      <w:pPr>
        <w:pStyle w:val="FootnoteText"/>
        <w:spacing w:line="240" w:lineRule="auto"/>
        <w:ind w:left="196" w:hanging="214"/>
        <w:rPr>
          <w:sz w:val="16"/>
          <w:szCs w:val="16"/>
        </w:rPr>
      </w:pPr>
      <w:r>
        <w:rPr>
          <w:sz w:val="16"/>
          <w:szCs w:val="16"/>
        </w:rPr>
        <w:t xml:space="preserve">     </w:t>
      </w:r>
      <w:r w:rsidRPr="00245892">
        <w:rPr>
          <w:sz w:val="16"/>
          <w:szCs w:val="16"/>
        </w:rPr>
        <w:t xml:space="preserve">Source of denominator: </w:t>
      </w:r>
      <w:hyperlink r:id="rId4" w:history="1">
        <w:r w:rsidRPr="00245892">
          <w:rPr>
            <w:rStyle w:val="Hyperlink"/>
            <w:sz w:val="16"/>
            <w:szCs w:val="16"/>
          </w:rPr>
          <w:t>http://makstat.stat.gov.mk/PXWeb/pxweb/en/MakStat/MakStat__Naselenie__ProcenkiNaselenie/115_Popis_RM_1Star_Dec_eng.px/?rxid=a1e36641-ae7d-44a4-a868-ed8fb90eef27</w:t>
        </w:r>
      </w:hyperlink>
      <w:r w:rsidRPr="00245892">
        <w:rPr>
          <w:sz w:val="16"/>
          <w:szCs w:val="16"/>
        </w:rPr>
        <w:t xml:space="preserve">  </w:t>
      </w:r>
    </w:p>
  </w:footnote>
  <w:footnote w:id="6">
    <w:p w14:paraId="15450B88" w14:textId="77777777" w:rsidR="00667F1B" w:rsidRPr="004330D3" w:rsidRDefault="00667F1B" w:rsidP="00220B44">
      <w:pPr>
        <w:pStyle w:val="FootnoteText"/>
        <w:spacing w:line="240" w:lineRule="auto"/>
        <w:ind w:left="182" w:hanging="182"/>
        <w:rPr>
          <w:sz w:val="16"/>
          <w:szCs w:val="16"/>
        </w:rPr>
      </w:pPr>
      <w:r w:rsidRPr="00245892">
        <w:rPr>
          <w:rStyle w:val="FootnoteReference"/>
          <w:sz w:val="16"/>
          <w:szCs w:val="16"/>
        </w:rPr>
        <w:footnoteRef/>
      </w:r>
      <w:r w:rsidRPr="004330D3">
        <w:rPr>
          <w:sz w:val="16"/>
          <w:szCs w:val="16"/>
        </w:rPr>
        <w:t>Source:</w:t>
      </w:r>
      <w:hyperlink r:id="rId5" w:history="1">
        <w:r w:rsidRPr="004330D3">
          <w:rPr>
            <w:rStyle w:val="Hyperlink"/>
            <w:sz w:val="16"/>
            <w:szCs w:val="16"/>
          </w:rPr>
          <w:t>http://makstat.stat.gov.mk/PXWeb/pxweb/en/MakStat/MakStat__Transport__SoobrakajniNesreki/125_Trans_Mk_ZelSN_ang.px/?rxid=6263d405-f656-4350-a635-777e57b54850</w:t>
        </w:r>
      </w:hyperlink>
      <w:r w:rsidRPr="004330D3">
        <w:rPr>
          <w:sz w:val="16"/>
          <w:szCs w:val="16"/>
        </w:rPr>
        <w:t xml:space="preserve"> </w:t>
      </w:r>
    </w:p>
  </w:footnote>
  <w:footnote w:id="7">
    <w:p w14:paraId="14D821D2" w14:textId="77777777" w:rsidR="00667F1B" w:rsidRPr="004330D3" w:rsidRDefault="00667F1B" w:rsidP="00220B44">
      <w:pPr>
        <w:pStyle w:val="FootnoteText"/>
      </w:pPr>
      <w:r>
        <w:rPr>
          <w:rStyle w:val="FootnoteReference"/>
        </w:rPr>
        <w:footnoteRef/>
      </w:r>
      <w:r w:rsidRPr="004330D3">
        <w:t xml:space="preserve"> </w:t>
      </w:r>
      <w:r w:rsidRPr="004330D3">
        <w:rPr>
          <w:rFonts w:ascii="Times New Roman" w:hAnsi="Times New Roman"/>
          <w:sz w:val="15"/>
          <w:szCs w:val="15"/>
        </w:rPr>
        <w:t>https://www.stat.gov.mk/pdf/2021/5.1.21.15_mk.pdf</w:t>
      </w:r>
    </w:p>
  </w:footnote>
  <w:footnote w:id="8">
    <w:p w14:paraId="42963EB8" w14:textId="77777777" w:rsidR="00667F1B" w:rsidRPr="00530621" w:rsidRDefault="00667F1B" w:rsidP="00220B44">
      <w:pPr>
        <w:pStyle w:val="FootnoteText"/>
        <w:rPr>
          <w:sz w:val="16"/>
          <w:szCs w:val="16"/>
        </w:rPr>
      </w:pPr>
      <w:r w:rsidRPr="00530621">
        <w:rPr>
          <w:rStyle w:val="FootnoteReference"/>
          <w:sz w:val="16"/>
          <w:szCs w:val="16"/>
        </w:rPr>
        <w:footnoteRef/>
      </w:r>
      <w:r w:rsidRPr="00530621">
        <w:rPr>
          <w:sz w:val="16"/>
          <w:szCs w:val="16"/>
        </w:rPr>
        <w:t xml:space="preserve"> The percentage of implementation should be calculated by dividing the number of actions entirely implemented by the totsl number of actions included in the strategy.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17"/>
    <w:lvl w:ilvl="0">
      <w:start w:val="1"/>
      <w:numFmt w:val="bullet"/>
      <w:lvlText w:val=""/>
      <w:lvlJc w:val="left"/>
      <w:pPr>
        <w:tabs>
          <w:tab w:val="num" w:pos="0"/>
        </w:tabs>
        <w:ind w:left="360" w:hanging="360"/>
      </w:pPr>
      <w:rPr>
        <w:rFonts w:ascii="Wingdings" w:hAnsi="Wingdings" w:cs="Wingdings"/>
        <w:sz w:val="22"/>
        <w:szCs w:val="22"/>
      </w:rPr>
    </w:lvl>
  </w:abstractNum>
  <w:abstractNum w:abstractNumId="1">
    <w:nsid w:val="02F949ED"/>
    <w:multiLevelType w:val="hybridMultilevel"/>
    <w:tmpl w:val="AE8CCF28"/>
    <w:lvl w:ilvl="0" w:tplc="23861B2A">
      <w:start w:val="5"/>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
    <w:nsid w:val="039761E0"/>
    <w:multiLevelType w:val="multilevel"/>
    <w:tmpl w:val="411C5B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45029BE"/>
    <w:multiLevelType w:val="hybridMultilevel"/>
    <w:tmpl w:val="45B0E96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6966079"/>
    <w:multiLevelType w:val="multilevel"/>
    <w:tmpl w:val="96502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6AC2723"/>
    <w:multiLevelType w:val="hybridMultilevel"/>
    <w:tmpl w:val="2CD09F4A"/>
    <w:lvl w:ilvl="0" w:tplc="09A8CFF2">
      <w:numFmt w:val="bullet"/>
      <w:lvlText w:val="•"/>
      <w:lvlJc w:val="left"/>
      <w:pPr>
        <w:ind w:left="720" w:hanging="360"/>
      </w:pPr>
      <w:rPr>
        <w:rFonts w:hint="default"/>
        <w:lang w:val="en-GB" w:eastAsia="en-GB" w:bidi="en-G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07AA2405"/>
    <w:multiLevelType w:val="hybridMultilevel"/>
    <w:tmpl w:val="1DD6DE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86D708F"/>
    <w:multiLevelType w:val="hybridMultilevel"/>
    <w:tmpl w:val="188E6FC2"/>
    <w:lvl w:ilvl="0" w:tplc="8898C7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B57AC"/>
    <w:multiLevelType w:val="hybridMultilevel"/>
    <w:tmpl w:val="75AE0280"/>
    <w:lvl w:ilvl="0" w:tplc="09A8CFF2">
      <w:numFmt w:val="bullet"/>
      <w:lvlText w:val="•"/>
      <w:lvlJc w:val="left"/>
      <w:pPr>
        <w:ind w:left="720" w:hanging="360"/>
      </w:pPr>
      <w:rPr>
        <w:rFonts w:hint="default"/>
        <w:lang w:val="en-GB" w:eastAsia="en-GB" w:bidi="en-G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0ADB2906"/>
    <w:multiLevelType w:val="hybridMultilevel"/>
    <w:tmpl w:val="0A76C366"/>
    <w:lvl w:ilvl="0" w:tplc="23861B2A">
      <w:start w:val="5"/>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0B93465F"/>
    <w:multiLevelType w:val="hybridMultilevel"/>
    <w:tmpl w:val="C854C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0D0A6D14"/>
    <w:multiLevelType w:val="hybridMultilevel"/>
    <w:tmpl w:val="ACB88DB8"/>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nsid w:val="0F0563F0"/>
    <w:multiLevelType w:val="hybridMultilevel"/>
    <w:tmpl w:val="05F26A56"/>
    <w:lvl w:ilvl="0" w:tplc="02C0FF6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0ECC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34DC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B837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5A14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3874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9212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7A15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B2B4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0F8E6677"/>
    <w:multiLevelType w:val="hybridMultilevel"/>
    <w:tmpl w:val="1EBEEAC4"/>
    <w:lvl w:ilvl="0" w:tplc="62D05E8C">
      <w:start w:val="2019"/>
      <w:numFmt w:val="bullet"/>
      <w:lvlText w:val="-"/>
      <w:lvlJc w:val="left"/>
      <w:pPr>
        <w:ind w:left="720" w:hanging="360"/>
      </w:pPr>
      <w:rPr>
        <w:rFonts w:ascii="Arial" w:eastAsia="Times New Roman" w:hAnsi="Arial" w:cs="Arial"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007819"/>
    <w:multiLevelType w:val="hybridMultilevel"/>
    <w:tmpl w:val="2946E67A"/>
    <w:lvl w:ilvl="0" w:tplc="04090001">
      <w:start w:val="1"/>
      <w:numFmt w:val="bullet"/>
      <w:lvlText w:val=""/>
      <w:lvlJc w:val="left"/>
      <w:pPr>
        <w:tabs>
          <w:tab w:val="num" w:pos="650"/>
        </w:tabs>
        <w:ind w:left="650" w:hanging="360"/>
      </w:pPr>
      <w:rPr>
        <w:rFonts w:ascii="Symbol" w:hAnsi="Symbol" w:hint="default"/>
      </w:rPr>
    </w:lvl>
    <w:lvl w:ilvl="1" w:tplc="04090003">
      <w:start w:val="1"/>
      <w:numFmt w:val="bullet"/>
      <w:lvlText w:val="o"/>
      <w:lvlJc w:val="left"/>
      <w:pPr>
        <w:tabs>
          <w:tab w:val="num" w:pos="1370"/>
        </w:tabs>
        <w:ind w:left="1370" w:hanging="360"/>
      </w:pPr>
      <w:rPr>
        <w:rFonts w:ascii="Courier New" w:hAnsi="Courier New" w:cs="Times New Roman" w:hint="default"/>
      </w:rPr>
    </w:lvl>
    <w:lvl w:ilvl="2" w:tplc="04090005">
      <w:start w:val="1"/>
      <w:numFmt w:val="bullet"/>
      <w:lvlText w:val=""/>
      <w:lvlJc w:val="left"/>
      <w:pPr>
        <w:tabs>
          <w:tab w:val="num" w:pos="2090"/>
        </w:tabs>
        <w:ind w:left="2090" w:hanging="360"/>
      </w:pPr>
      <w:rPr>
        <w:rFonts w:ascii="Wingdings" w:hAnsi="Wingdings" w:hint="default"/>
      </w:rPr>
    </w:lvl>
    <w:lvl w:ilvl="3" w:tplc="04090001">
      <w:start w:val="1"/>
      <w:numFmt w:val="bullet"/>
      <w:lvlText w:val=""/>
      <w:lvlJc w:val="left"/>
      <w:pPr>
        <w:tabs>
          <w:tab w:val="num" w:pos="2810"/>
        </w:tabs>
        <w:ind w:left="2810" w:hanging="360"/>
      </w:pPr>
      <w:rPr>
        <w:rFonts w:ascii="Symbol" w:hAnsi="Symbol" w:hint="default"/>
      </w:rPr>
    </w:lvl>
    <w:lvl w:ilvl="4" w:tplc="04090003">
      <w:start w:val="1"/>
      <w:numFmt w:val="bullet"/>
      <w:lvlText w:val="o"/>
      <w:lvlJc w:val="left"/>
      <w:pPr>
        <w:tabs>
          <w:tab w:val="num" w:pos="3530"/>
        </w:tabs>
        <w:ind w:left="3530" w:hanging="360"/>
      </w:pPr>
      <w:rPr>
        <w:rFonts w:ascii="Courier New" w:hAnsi="Courier New" w:cs="Times New Roman" w:hint="default"/>
      </w:rPr>
    </w:lvl>
    <w:lvl w:ilvl="5" w:tplc="04090005">
      <w:start w:val="1"/>
      <w:numFmt w:val="bullet"/>
      <w:lvlText w:val=""/>
      <w:lvlJc w:val="left"/>
      <w:pPr>
        <w:tabs>
          <w:tab w:val="num" w:pos="4250"/>
        </w:tabs>
        <w:ind w:left="4250" w:hanging="360"/>
      </w:pPr>
      <w:rPr>
        <w:rFonts w:ascii="Wingdings" w:hAnsi="Wingdings" w:hint="default"/>
      </w:rPr>
    </w:lvl>
    <w:lvl w:ilvl="6" w:tplc="04090001">
      <w:start w:val="1"/>
      <w:numFmt w:val="bullet"/>
      <w:lvlText w:val=""/>
      <w:lvlJc w:val="left"/>
      <w:pPr>
        <w:tabs>
          <w:tab w:val="num" w:pos="4970"/>
        </w:tabs>
        <w:ind w:left="4970" w:hanging="360"/>
      </w:pPr>
      <w:rPr>
        <w:rFonts w:ascii="Symbol" w:hAnsi="Symbol" w:hint="default"/>
      </w:rPr>
    </w:lvl>
    <w:lvl w:ilvl="7" w:tplc="04090003">
      <w:start w:val="1"/>
      <w:numFmt w:val="bullet"/>
      <w:lvlText w:val="o"/>
      <w:lvlJc w:val="left"/>
      <w:pPr>
        <w:tabs>
          <w:tab w:val="num" w:pos="5690"/>
        </w:tabs>
        <w:ind w:left="5690" w:hanging="360"/>
      </w:pPr>
      <w:rPr>
        <w:rFonts w:ascii="Courier New" w:hAnsi="Courier New" w:cs="Times New Roman" w:hint="default"/>
      </w:rPr>
    </w:lvl>
    <w:lvl w:ilvl="8" w:tplc="04090005">
      <w:start w:val="1"/>
      <w:numFmt w:val="bullet"/>
      <w:lvlText w:val=""/>
      <w:lvlJc w:val="left"/>
      <w:pPr>
        <w:tabs>
          <w:tab w:val="num" w:pos="6410"/>
        </w:tabs>
        <w:ind w:left="6410" w:hanging="360"/>
      </w:pPr>
      <w:rPr>
        <w:rFonts w:ascii="Wingdings" w:hAnsi="Wingdings" w:hint="default"/>
      </w:rPr>
    </w:lvl>
  </w:abstractNum>
  <w:abstractNum w:abstractNumId="15">
    <w:nsid w:val="10303815"/>
    <w:multiLevelType w:val="hybridMultilevel"/>
    <w:tmpl w:val="AFC001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13C626B"/>
    <w:multiLevelType w:val="hybridMultilevel"/>
    <w:tmpl w:val="DBF2575C"/>
    <w:lvl w:ilvl="0" w:tplc="2AF6AE3E">
      <w:start w:val="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C00154"/>
    <w:multiLevelType w:val="hybridMultilevel"/>
    <w:tmpl w:val="4F4EDFF2"/>
    <w:lvl w:ilvl="0" w:tplc="09A8CFF2">
      <w:numFmt w:val="bullet"/>
      <w:lvlText w:val="•"/>
      <w:lvlJc w:val="left"/>
      <w:pPr>
        <w:ind w:left="1440" w:hanging="360"/>
      </w:pPr>
      <w:rPr>
        <w:rFonts w:hint="default"/>
        <w:lang w:val="en-GB" w:eastAsia="en-GB" w:bidi="en-GB"/>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nsid w:val="163F1334"/>
    <w:multiLevelType w:val="hybridMultilevel"/>
    <w:tmpl w:val="90741FF6"/>
    <w:lvl w:ilvl="0" w:tplc="08D4EB9E">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E42753"/>
    <w:multiLevelType w:val="multilevel"/>
    <w:tmpl w:val="A160580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nsid w:val="1F9600DE"/>
    <w:multiLevelType w:val="hybridMultilevel"/>
    <w:tmpl w:val="F1DAF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16261CF"/>
    <w:multiLevelType w:val="hybridMultilevel"/>
    <w:tmpl w:val="D9E49596"/>
    <w:lvl w:ilvl="0" w:tplc="DE8884C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F44FA2"/>
    <w:multiLevelType w:val="hybridMultilevel"/>
    <w:tmpl w:val="63AAF2B8"/>
    <w:lvl w:ilvl="0" w:tplc="23861B2A">
      <w:start w:val="5"/>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3">
    <w:nsid w:val="225666C4"/>
    <w:multiLevelType w:val="hybridMultilevel"/>
    <w:tmpl w:val="58149008"/>
    <w:lvl w:ilvl="0" w:tplc="08090001">
      <w:start w:val="1"/>
      <w:numFmt w:val="bullet"/>
      <w:lvlText w:val=""/>
      <w:lvlJc w:val="left"/>
      <w:pPr>
        <w:ind w:left="1068" w:hanging="360"/>
      </w:pPr>
      <w:rPr>
        <w:rFonts w:ascii="Symbol" w:hAnsi="Symbol"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4">
    <w:nsid w:val="23454EF9"/>
    <w:multiLevelType w:val="hybridMultilevel"/>
    <w:tmpl w:val="EEFE3B30"/>
    <w:lvl w:ilvl="0" w:tplc="23861B2A">
      <w:start w:val="5"/>
      <w:numFmt w:val="bullet"/>
      <w:lvlText w:val="-"/>
      <w:lvlJc w:val="left"/>
      <w:pPr>
        <w:ind w:left="1068" w:hanging="360"/>
      </w:pPr>
      <w:rPr>
        <w:rFonts w:ascii="Arial" w:eastAsia="Calibri" w:hAnsi="Arial" w:cs="Arial"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nsid w:val="23523D36"/>
    <w:multiLevelType w:val="multilevel"/>
    <w:tmpl w:val="8B28E0D6"/>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26">
    <w:nsid w:val="23FC21AF"/>
    <w:multiLevelType w:val="hybridMultilevel"/>
    <w:tmpl w:val="D514E406"/>
    <w:lvl w:ilvl="0" w:tplc="04090001">
      <w:start w:val="1"/>
      <w:numFmt w:val="bullet"/>
      <w:lvlText w:val=""/>
      <w:lvlJc w:val="left"/>
      <w:pPr>
        <w:tabs>
          <w:tab w:val="num" w:pos="650"/>
        </w:tabs>
        <w:ind w:left="650" w:hanging="360"/>
      </w:pPr>
      <w:rPr>
        <w:rFonts w:ascii="Symbol" w:hAnsi="Symbol" w:hint="default"/>
      </w:rPr>
    </w:lvl>
    <w:lvl w:ilvl="1" w:tplc="04090003">
      <w:start w:val="1"/>
      <w:numFmt w:val="bullet"/>
      <w:lvlText w:val="o"/>
      <w:lvlJc w:val="left"/>
      <w:pPr>
        <w:tabs>
          <w:tab w:val="num" w:pos="1370"/>
        </w:tabs>
        <w:ind w:left="1370" w:hanging="360"/>
      </w:pPr>
      <w:rPr>
        <w:rFonts w:ascii="Courier New" w:hAnsi="Courier New" w:cs="Courier New" w:hint="default"/>
      </w:rPr>
    </w:lvl>
    <w:lvl w:ilvl="2" w:tplc="04090005">
      <w:start w:val="1"/>
      <w:numFmt w:val="bullet"/>
      <w:lvlText w:val=""/>
      <w:lvlJc w:val="left"/>
      <w:pPr>
        <w:tabs>
          <w:tab w:val="num" w:pos="2090"/>
        </w:tabs>
        <w:ind w:left="2090" w:hanging="360"/>
      </w:pPr>
      <w:rPr>
        <w:rFonts w:ascii="Wingdings" w:hAnsi="Wingdings" w:hint="default"/>
      </w:rPr>
    </w:lvl>
    <w:lvl w:ilvl="3" w:tplc="04090001">
      <w:start w:val="1"/>
      <w:numFmt w:val="bullet"/>
      <w:lvlText w:val=""/>
      <w:lvlJc w:val="left"/>
      <w:pPr>
        <w:tabs>
          <w:tab w:val="num" w:pos="2810"/>
        </w:tabs>
        <w:ind w:left="2810" w:hanging="360"/>
      </w:pPr>
      <w:rPr>
        <w:rFonts w:ascii="Symbol" w:hAnsi="Symbol" w:hint="default"/>
      </w:rPr>
    </w:lvl>
    <w:lvl w:ilvl="4" w:tplc="04090003">
      <w:start w:val="1"/>
      <w:numFmt w:val="bullet"/>
      <w:lvlText w:val="o"/>
      <w:lvlJc w:val="left"/>
      <w:pPr>
        <w:tabs>
          <w:tab w:val="num" w:pos="3530"/>
        </w:tabs>
        <w:ind w:left="3530" w:hanging="360"/>
      </w:pPr>
      <w:rPr>
        <w:rFonts w:ascii="Courier New" w:hAnsi="Courier New" w:cs="Courier New" w:hint="default"/>
      </w:rPr>
    </w:lvl>
    <w:lvl w:ilvl="5" w:tplc="04090005">
      <w:start w:val="1"/>
      <w:numFmt w:val="bullet"/>
      <w:lvlText w:val=""/>
      <w:lvlJc w:val="left"/>
      <w:pPr>
        <w:tabs>
          <w:tab w:val="num" w:pos="4250"/>
        </w:tabs>
        <w:ind w:left="4250" w:hanging="360"/>
      </w:pPr>
      <w:rPr>
        <w:rFonts w:ascii="Wingdings" w:hAnsi="Wingdings" w:hint="default"/>
      </w:rPr>
    </w:lvl>
    <w:lvl w:ilvl="6" w:tplc="04090001">
      <w:start w:val="1"/>
      <w:numFmt w:val="bullet"/>
      <w:lvlText w:val=""/>
      <w:lvlJc w:val="left"/>
      <w:pPr>
        <w:tabs>
          <w:tab w:val="num" w:pos="4970"/>
        </w:tabs>
        <w:ind w:left="4970" w:hanging="360"/>
      </w:pPr>
      <w:rPr>
        <w:rFonts w:ascii="Symbol" w:hAnsi="Symbol" w:hint="default"/>
      </w:rPr>
    </w:lvl>
    <w:lvl w:ilvl="7" w:tplc="04090003">
      <w:start w:val="1"/>
      <w:numFmt w:val="bullet"/>
      <w:lvlText w:val="o"/>
      <w:lvlJc w:val="left"/>
      <w:pPr>
        <w:tabs>
          <w:tab w:val="num" w:pos="5690"/>
        </w:tabs>
        <w:ind w:left="5690" w:hanging="360"/>
      </w:pPr>
      <w:rPr>
        <w:rFonts w:ascii="Courier New" w:hAnsi="Courier New" w:cs="Courier New" w:hint="default"/>
      </w:rPr>
    </w:lvl>
    <w:lvl w:ilvl="8" w:tplc="04090005">
      <w:start w:val="1"/>
      <w:numFmt w:val="bullet"/>
      <w:lvlText w:val=""/>
      <w:lvlJc w:val="left"/>
      <w:pPr>
        <w:tabs>
          <w:tab w:val="num" w:pos="6410"/>
        </w:tabs>
        <w:ind w:left="6410" w:hanging="360"/>
      </w:pPr>
      <w:rPr>
        <w:rFonts w:ascii="Wingdings" w:hAnsi="Wingdings" w:hint="default"/>
      </w:rPr>
    </w:lvl>
  </w:abstractNum>
  <w:abstractNum w:abstractNumId="27">
    <w:nsid w:val="274425DA"/>
    <w:multiLevelType w:val="hybridMultilevel"/>
    <w:tmpl w:val="C85A98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289E7FA1"/>
    <w:multiLevelType w:val="hybridMultilevel"/>
    <w:tmpl w:val="3A3EB71E"/>
    <w:lvl w:ilvl="0" w:tplc="49222C7C">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8E05548"/>
    <w:multiLevelType w:val="hybridMultilevel"/>
    <w:tmpl w:val="FBF81F8E"/>
    <w:lvl w:ilvl="0" w:tplc="09A8CFF2">
      <w:numFmt w:val="bullet"/>
      <w:lvlText w:val="•"/>
      <w:lvlJc w:val="left"/>
      <w:pPr>
        <w:ind w:left="1440" w:hanging="360"/>
      </w:pPr>
      <w:rPr>
        <w:rFonts w:hint="default"/>
        <w:lang w:val="en-GB" w:eastAsia="en-GB" w:bidi="en-GB"/>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0">
    <w:nsid w:val="290E2DD2"/>
    <w:multiLevelType w:val="hybridMultilevel"/>
    <w:tmpl w:val="405087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292106F1"/>
    <w:multiLevelType w:val="hybridMultilevel"/>
    <w:tmpl w:val="1C2C3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EAC2895"/>
    <w:multiLevelType w:val="hybridMultilevel"/>
    <w:tmpl w:val="CE88E96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2FF8764E"/>
    <w:multiLevelType w:val="hybridMultilevel"/>
    <w:tmpl w:val="C6F684FA"/>
    <w:lvl w:ilvl="0" w:tplc="49222C7C">
      <w:numFmt w:val="bullet"/>
      <w:lvlText w:val="-"/>
      <w:lvlJc w:val="left"/>
      <w:pPr>
        <w:ind w:left="780" w:hanging="360"/>
      </w:pPr>
      <w:rPr>
        <w:rFonts w:ascii="Times New Roman" w:eastAsia="Times New Roman" w:hAnsi="Times New Roman" w:cs="Times New Roman"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30B54EF2"/>
    <w:multiLevelType w:val="hybridMultilevel"/>
    <w:tmpl w:val="9BBC17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325057E2"/>
    <w:multiLevelType w:val="hybridMultilevel"/>
    <w:tmpl w:val="654A4292"/>
    <w:lvl w:ilvl="0" w:tplc="09A8CFF2">
      <w:numFmt w:val="bullet"/>
      <w:lvlText w:val="•"/>
      <w:lvlJc w:val="left"/>
      <w:pPr>
        <w:ind w:left="1440" w:hanging="360"/>
      </w:pPr>
      <w:rPr>
        <w:rFonts w:hint="default"/>
        <w:lang w:val="en-GB" w:eastAsia="en-GB" w:bidi="en-GB"/>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6">
    <w:nsid w:val="327B23C6"/>
    <w:multiLevelType w:val="hybridMultilevel"/>
    <w:tmpl w:val="C7A0EC80"/>
    <w:lvl w:ilvl="0" w:tplc="74D0D352">
      <w:start w:val="1"/>
      <w:numFmt w:val="decimal"/>
      <w:lvlText w:val="%1"/>
      <w:lvlJc w:val="left"/>
    </w:lvl>
    <w:lvl w:ilvl="1" w:tplc="990A7CB8">
      <w:numFmt w:val="decimal"/>
      <w:lvlText w:val=""/>
      <w:lvlJc w:val="left"/>
    </w:lvl>
    <w:lvl w:ilvl="2" w:tplc="02A83D16">
      <w:numFmt w:val="decimal"/>
      <w:lvlText w:val=""/>
      <w:lvlJc w:val="left"/>
    </w:lvl>
    <w:lvl w:ilvl="3" w:tplc="CF2E9902">
      <w:numFmt w:val="decimal"/>
      <w:lvlText w:val=""/>
      <w:lvlJc w:val="left"/>
    </w:lvl>
    <w:lvl w:ilvl="4" w:tplc="4EF81490">
      <w:numFmt w:val="decimal"/>
      <w:lvlText w:val=""/>
      <w:lvlJc w:val="left"/>
    </w:lvl>
    <w:lvl w:ilvl="5" w:tplc="4B067DF4">
      <w:numFmt w:val="decimal"/>
      <w:lvlText w:val=""/>
      <w:lvlJc w:val="left"/>
    </w:lvl>
    <w:lvl w:ilvl="6" w:tplc="64627048">
      <w:numFmt w:val="decimal"/>
      <w:lvlText w:val=""/>
      <w:lvlJc w:val="left"/>
    </w:lvl>
    <w:lvl w:ilvl="7" w:tplc="D6E46714">
      <w:numFmt w:val="decimal"/>
      <w:lvlText w:val=""/>
      <w:lvlJc w:val="left"/>
    </w:lvl>
    <w:lvl w:ilvl="8" w:tplc="CBF02AE8">
      <w:numFmt w:val="decimal"/>
      <w:lvlText w:val=""/>
      <w:lvlJc w:val="left"/>
    </w:lvl>
  </w:abstractNum>
  <w:abstractNum w:abstractNumId="37">
    <w:nsid w:val="33591339"/>
    <w:multiLevelType w:val="hybridMultilevel"/>
    <w:tmpl w:val="8928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4167B44"/>
    <w:multiLevelType w:val="multilevel"/>
    <w:tmpl w:val="411C5B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34C068DB"/>
    <w:multiLevelType w:val="hybridMultilevel"/>
    <w:tmpl w:val="DA3476D6"/>
    <w:lvl w:ilvl="0" w:tplc="23861B2A">
      <w:start w:val="5"/>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0">
    <w:nsid w:val="350841E4"/>
    <w:multiLevelType w:val="hybridMultilevel"/>
    <w:tmpl w:val="2520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7771362"/>
    <w:multiLevelType w:val="hybridMultilevel"/>
    <w:tmpl w:val="AB763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DF31A6"/>
    <w:multiLevelType w:val="hybridMultilevel"/>
    <w:tmpl w:val="F552E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3AB861AC"/>
    <w:multiLevelType w:val="hybridMultilevel"/>
    <w:tmpl w:val="8AE88086"/>
    <w:lvl w:ilvl="0" w:tplc="04090003">
      <w:numFmt w:val="bullet"/>
      <w:lvlText w:val="-"/>
      <w:lvlJc w:val="left"/>
      <w:pPr>
        <w:ind w:left="1080" w:hanging="360"/>
      </w:pPr>
      <w:rPr>
        <w:rFonts w:ascii="Times New Roman" w:eastAsia="Times New Roman"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4">
    <w:nsid w:val="41954041"/>
    <w:multiLevelType w:val="hybridMultilevel"/>
    <w:tmpl w:val="8B2234F2"/>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5">
    <w:nsid w:val="42696AA8"/>
    <w:multiLevelType w:val="hybridMultilevel"/>
    <w:tmpl w:val="FB22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2F85E0A"/>
    <w:multiLevelType w:val="hybridMultilevel"/>
    <w:tmpl w:val="DC38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4C21572"/>
    <w:multiLevelType w:val="hybridMultilevel"/>
    <w:tmpl w:val="72965246"/>
    <w:lvl w:ilvl="0" w:tplc="FFFFFFFF">
      <w:start w:val="1"/>
      <w:numFmt w:val="bullet"/>
      <w:lvlText w:val="-"/>
      <w:lvlJc w:val="left"/>
      <w:pPr>
        <w:tabs>
          <w:tab w:val="num" w:pos="720"/>
        </w:tabs>
        <w:ind w:left="720" w:hanging="360"/>
      </w:pPr>
      <w:rPr>
        <w:rFonts w:ascii="Times New Roman" w:eastAsia="Arial Unicode MS"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nsid w:val="4F332038"/>
    <w:multiLevelType w:val="hybridMultilevel"/>
    <w:tmpl w:val="BF549EB8"/>
    <w:lvl w:ilvl="0" w:tplc="B7EEAFA2">
      <w:start w:val="3"/>
      <w:numFmt w:val="bullet"/>
      <w:lvlText w:val="-"/>
      <w:lvlJc w:val="left"/>
      <w:pPr>
        <w:ind w:left="360" w:hanging="360"/>
      </w:pPr>
      <w:rPr>
        <w:rFonts w:ascii="Calibri" w:eastAsiaTheme="minorHAnsi" w:hAnsi="Calibri" w:cs="Calibri" w:hint="default"/>
      </w:rPr>
    </w:lvl>
    <w:lvl w:ilvl="1" w:tplc="2BFCB584">
      <w:start w:val="1"/>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505517F7"/>
    <w:multiLevelType w:val="hybridMultilevel"/>
    <w:tmpl w:val="37006374"/>
    <w:lvl w:ilvl="0" w:tplc="23861B2A">
      <w:start w:val="5"/>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50">
    <w:nsid w:val="52C10957"/>
    <w:multiLevelType w:val="hybridMultilevel"/>
    <w:tmpl w:val="0DA24A12"/>
    <w:lvl w:ilvl="0" w:tplc="49222C7C">
      <w:numFmt w:val="bullet"/>
      <w:lvlText w:val="-"/>
      <w:lvlJc w:val="left"/>
      <w:pPr>
        <w:ind w:left="780" w:hanging="360"/>
      </w:pPr>
      <w:rPr>
        <w:rFonts w:ascii="Times New Roman" w:eastAsia="Times New Roman" w:hAnsi="Times New Roman" w:cs="Times New Roman"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nsid w:val="537443EE"/>
    <w:multiLevelType w:val="hybridMultilevel"/>
    <w:tmpl w:val="A6B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38C76BB"/>
    <w:multiLevelType w:val="hybridMultilevel"/>
    <w:tmpl w:val="5E7888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nsid w:val="544642B3"/>
    <w:multiLevelType w:val="hybridMultilevel"/>
    <w:tmpl w:val="260CFA12"/>
    <w:lvl w:ilvl="0" w:tplc="23861B2A">
      <w:start w:val="5"/>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nsid w:val="54C71B8B"/>
    <w:multiLevelType w:val="hybridMultilevel"/>
    <w:tmpl w:val="CD2A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5">
    <w:nsid w:val="55880033"/>
    <w:multiLevelType w:val="hybridMultilevel"/>
    <w:tmpl w:val="CA92B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56A77E92"/>
    <w:multiLevelType w:val="hybridMultilevel"/>
    <w:tmpl w:val="42480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D9725E8"/>
    <w:multiLevelType w:val="multilevel"/>
    <w:tmpl w:val="267CC1BA"/>
    <w:lvl w:ilvl="0">
      <w:start w:val="1"/>
      <w:numFmt w:val="decimal"/>
      <w:lvlText w:val="%1."/>
      <w:lvlJc w:val="left"/>
      <w:pPr>
        <w:ind w:left="360" w:hanging="360"/>
      </w:pPr>
      <w:rPr>
        <w:color w:val="auto"/>
      </w:rPr>
    </w:lvl>
    <w:lvl w:ilvl="1">
      <w:start w:val="1"/>
      <w:numFmt w:val="decimal"/>
      <w:lvlText w:val="%1.%2."/>
      <w:lvlJc w:val="left"/>
      <w:pPr>
        <w:ind w:left="792" w:hanging="432"/>
      </w:pPr>
      <w:rPr>
        <w:b/>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0C11613"/>
    <w:multiLevelType w:val="hybridMultilevel"/>
    <w:tmpl w:val="36D620E0"/>
    <w:lvl w:ilvl="0" w:tplc="F440F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10E1C09"/>
    <w:multiLevelType w:val="multilevel"/>
    <w:tmpl w:val="58FE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1C33A6F"/>
    <w:multiLevelType w:val="hybridMultilevel"/>
    <w:tmpl w:val="16681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643F1E75"/>
    <w:multiLevelType w:val="hybridMultilevel"/>
    <w:tmpl w:val="57DA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51368EB"/>
    <w:multiLevelType w:val="hybridMultilevel"/>
    <w:tmpl w:val="83827026"/>
    <w:lvl w:ilvl="0" w:tplc="23861B2A">
      <w:start w:val="5"/>
      <w:numFmt w:val="bullet"/>
      <w:lvlText w:val="-"/>
      <w:lvlJc w:val="left"/>
      <w:pPr>
        <w:ind w:left="1068"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A3D6293"/>
    <w:multiLevelType w:val="hybridMultilevel"/>
    <w:tmpl w:val="CD6E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82087F"/>
    <w:multiLevelType w:val="hybridMultilevel"/>
    <w:tmpl w:val="BB46E5F6"/>
    <w:lvl w:ilvl="0" w:tplc="7D129B20">
      <w:start w:val="3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5">
    <w:nsid w:val="6C833D45"/>
    <w:multiLevelType w:val="hybridMultilevel"/>
    <w:tmpl w:val="A74CBC3A"/>
    <w:lvl w:ilvl="0" w:tplc="2AF6AE3E">
      <w:start w:val="67"/>
      <w:numFmt w:val="bullet"/>
      <w:lvlText w:val="-"/>
      <w:lvlJc w:val="left"/>
      <w:pPr>
        <w:ind w:left="1381" w:hanging="360"/>
      </w:pPr>
      <w:rPr>
        <w:rFonts w:ascii="Times New Roman" w:eastAsia="Times New Roman" w:hAnsi="Times New Roman" w:cs="Times New Roman"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66">
    <w:nsid w:val="6EBC7872"/>
    <w:multiLevelType w:val="hybridMultilevel"/>
    <w:tmpl w:val="FA449B6E"/>
    <w:lvl w:ilvl="0" w:tplc="23861B2A">
      <w:start w:val="5"/>
      <w:numFmt w:val="bullet"/>
      <w:lvlText w:val="-"/>
      <w:lvlJc w:val="left"/>
      <w:pPr>
        <w:ind w:left="1499" w:hanging="360"/>
      </w:pPr>
      <w:rPr>
        <w:rFonts w:ascii="Arial" w:eastAsia="Calibri" w:hAnsi="Arial" w:cs="Arial" w:hint="default"/>
      </w:rPr>
    </w:lvl>
    <w:lvl w:ilvl="1" w:tplc="040A0003" w:tentative="1">
      <w:start w:val="1"/>
      <w:numFmt w:val="bullet"/>
      <w:lvlText w:val="o"/>
      <w:lvlJc w:val="left"/>
      <w:pPr>
        <w:ind w:left="2219" w:hanging="360"/>
      </w:pPr>
      <w:rPr>
        <w:rFonts w:ascii="Courier New" w:hAnsi="Courier New" w:cs="Courier New" w:hint="default"/>
      </w:rPr>
    </w:lvl>
    <w:lvl w:ilvl="2" w:tplc="040A0005" w:tentative="1">
      <w:start w:val="1"/>
      <w:numFmt w:val="bullet"/>
      <w:lvlText w:val=""/>
      <w:lvlJc w:val="left"/>
      <w:pPr>
        <w:ind w:left="2939" w:hanging="360"/>
      </w:pPr>
      <w:rPr>
        <w:rFonts w:ascii="Wingdings" w:hAnsi="Wingdings" w:hint="default"/>
      </w:rPr>
    </w:lvl>
    <w:lvl w:ilvl="3" w:tplc="040A0001" w:tentative="1">
      <w:start w:val="1"/>
      <w:numFmt w:val="bullet"/>
      <w:lvlText w:val=""/>
      <w:lvlJc w:val="left"/>
      <w:pPr>
        <w:ind w:left="3659" w:hanging="360"/>
      </w:pPr>
      <w:rPr>
        <w:rFonts w:ascii="Symbol" w:hAnsi="Symbol" w:hint="default"/>
      </w:rPr>
    </w:lvl>
    <w:lvl w:ilvl="4" w:tplc="040A0003" w:tentative="1">
      <w:start w:val="1"/>
      <w:numFmt w:val="bullet"/>
      <w:lvlText w:val="o"/>
      <w:lvlJc w:val="left"/>
      <w:pPr>
        <w:ind w:left="4379" w:hanging="360"/>
      </w:pPr>
      <w:rPr>
        <w:rFonts w:ascii="Courier New" w:hAnsi="Courier New" w:cs="Courier New" w:hint="default"/>
      </w:rPr>
    </w:lvl>
    <w:lvl w:ilvl="5" w:tplc="040A0005" w:tentative="1">
      <w:start w:val="1"/>
      <w:numFmt w:val="bullet"/>
      <w:lvlText w:val=""/>
      <w:lvlJc w:val="left"/>
      <w:pPr>
        <w:ind w:left="5099" w:hanging="360"/>
      </w:pPr>
      <w:rPr>
        <w:rFonts w:ascii="Wingdings" w:hAnsi="Wingdings" w:hint="default"/>
      </w:rPr>
    </w:lvl>
    <w:lvl w:ilvl="6" w:tplc="040A0001" w:tentative="1">
      <w:start w:val="1"/>
      <w:numFmt w:val="bullet"/>
      <w:lvlText w:val=""/>
      <w:lvlJc w:val="left"/>
      <w:pPr>
        <w:ind w:left="5819" w:hanging="360"/>
      </w:pPr>
      <w:rPr>
        <w:rFonts w:ascii="Symbol" w:hAnsi="Symbol" w:hint="default"/>
      </w:rPr>
    </w:lvl>
    <w:lvl w:ilvl="7" w:tplc="040A0003" w:tentative="1">
      <w:start w:val="1"/>
      <w:numFmt w:val="bullet"/>
      <w:lvlText w:val="o"/>
      <w:lvlJc w:val="left"/>
      <w:pPr>
        <w:ind w:left="6539" w:hanging="360"/>
      </w:pPr>
      <w:rPr>
        <w:rFonts w:ascii="Courier New" w:hAnsi="Courier New" w:cs="Courier New" w:hint="default"/>
      </w:rPr>
    </w:lvl>
    <w:lvl w:ilvl="8" w:tplc="040A0005" w:tentative="1">
      <w:start w:val="1"/>
      <w:numFmt w:val="bullet"/>
      <w:lvlText w:val=""/>
      <w:lvlJc w:val="left"/>
      <w:pPr>
        <w:ind w:left="7259" w:hanging="360"/>
      </w:pPr>
      <w:rPr>
        <w:rFonts w:ascii="Wingdings" w:hAnsi="Wingdings" w:hint="default"/>
      </w:rPr>
    </w:lvl>
  </w:abstractNum>
  <w:abstractNum w:abstractNumId="67">
    <w:nsid w:val="706C3047"/>
    <w:multiLevelType w:val="hybridMultilevel"/>
    <w:tmpl w:val="B50C4528"/>
    <w:lvl w:ilvl="0" w:tplc="49222C7C">
      <w:numFmt w:val="bullet"/>
      <w:lvlText w:val="-"/>
      <w:lvlJc w:val="left"/>
      <w:pPr>
        <w:ind w:left="1068" w:hanging="360"/>
      </w:pPr>
      <w:rPr>
        <w:rFonts w:ascii="Times New Roman" w:eastAsia="Times New Roman" w:hAnsi="Times New Roman" w:cs="Times New Roman" w:hint="default"/>
        <w:b/>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68">
    <w:nsid w:val="75E63CE4"/>
    <w:multiLevelType w:val="hybridMultilevel"/>
    <w:tmpl w:val="5926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6C93FA8"/>
    <w:multiLevelType w:val="hybridMultilevel"/>
    <w:tmpl w:val="09A8F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6CA0236"/>
    <w:multiLevelType w:val="hybridMultilevel"/>
    <w:tmpl w:val="0C046D0A"/>
    <w:lvl w:ilvl="0" w:tplc="B7EEAFA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77A5656"/>
    <w:multiLevelType w:val="hybridMultilevel"/>
    <w:tmpl w:val="E0A6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8220ADA"/>
    <w:multiLevelType w:val="hybridMultilevel"/>
    <w:tmpl w:val="4210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842420F"/>
    <w:multiLevelType w:val="hybridMultilevel"/>
    <w:tmpl w:val="16E8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7AEB5FEB"/>
    <w:multiLevelType w:val="multilevel"/>
    <w:tmpl w:val="9F9A4A5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6"/>
  </w:num>
  <w:num w:numId="2">
    <w:abstractNumId w:val="27"/>
  </w:num>
  <w:num w:numId="3">
    <w:abstractNumId w:val="7"/>
  </w:num>
  <w:num w:numId="4">
    <w:abstractNumId w:val="10"/>
  </w:num>
  <w:num w:numId="5">
    <w:abstractNumId w:val="54"/>
  </w:num>
  <w:num w:numId="6">
    <w:abstractNumId w:val="13"/>
  </w:num>
  <w:num w:numId="7">
    <w:abstractNumId w:val="31"/>
  </w:num>
  <w:num w:numId="8">
    <w:abstractNumId w:val="58"/>
  </w:num>
  <w:num w:numId="9">
    <w:abstractNumId w:val="18"/>
  </w:num>
  <w:num w:numId="10">
    <w:abstractNumId w:val="71"/>
  </w:num>
  <w:num w:numId="11">
    <w:abstractNumId w:val="21"/>
  </w:num>
  <w:num w:numId="12">
    <w:abstractNumId w:val="25"/>
  </w:num>
  <w:num w:numId="13">
    <w:abstractNumId w:val="59"/>
  </w:num>
  <w:num w:numId="14">
    <w:abstractNumId w:val="47"/>
  </w:num>
  <w:num w:numId="15">
    <w:abstractNumId w:val="26"/>
  </w:num>
  <w:num w:numId="16">
    <w:abstractNumId w:val="14"/>
  </w:num>
  <w:num w:numId="17">
    <w:abstractNumId w:val="11"/>
  </w:num>
  <w:num w:numId="18">
    <w:abstractNumId w:val="69"/>
  </w:num>
  <w:num w:numId="19">
    <w:abstractNumId w:val="0"/>
  </w:num>
  <w:num w:numId="20">
    <w:abstractNumId w:val="56"/>
  </w:num>
  <w:num w:numId="21">
    <w:abstractNumId w:val="55"/>
  </w:num>
  <w:num w:numId="22">
    <w:abstractNumId w:val="61"/>
  </w:num>
  <w:num w:numId="23">
    <w:abstractNumId w:val="41"/>
  </w:num>
  <w:num w:numId="24">
    <w:abstractNumId w:val="20"/>
  </w:num>
  <w:num w:numId="25">
    <w:abstractNumId w:val="74"/>
  </w:num>
  <w:num w:numId="26">
    <w:abstractNumId w:val="48"/>
  </w:num>
  <w:num w:numId="27">
    <w:abstractNumId w:val="70"/>
  </w:num>
  <w:num w:numId="28">
    <w:abstractNumId w:val="63"/>
  </w:num>
  <w:num w:numId="29">
    <w:abstractNumId w:val="37"/>
  </w:num>
  <w:num w:numId="30">
    <w:abstractNumId w:val="51"/>
  </w:num>
  <w:num w:numId="31">
    <w:abstractNumId w:val="57"/>
  </w:num>
  <w:num w:numId="32">
    <w:abstractNumId w:val="62"/>
  </w:num>
  <w:num w:numId="33">
    <w:abstractNumId w:val="36"/>
  </w:num>
  <w:num w:numId="34">
    <w:abstractNumId w:val="19"/>
  </w:num>
  <w:num w:numId="35">
    <w:abstractNumId w:val="8"/>
  </w:num>
  <w:num w:numId="36">
    <w:abstractNumId w:val="29"/>
  </w:num>
  <w:num w:numId="37">
    <w:abstractNumId w:val="35"/>
  </w:num>
  <w:num w:numId="38">
    <w:abstractNumId w:val="5"/>
  </w:num>
  <w:num w:numId="39">
    <w:abstractNumId w:val="17"/>
  </w:num>
  <w:num w:numId="40">
    <w:abstractNumId w:val="16"/>
  </w:num>
  <w:num w:numId="41">
    <w:abstractNumId w:val="65"/>
  </w:num>
  <w:num w:numId="42">
    <w:abstractNumId w:val="2"/>
  </w:num>
  <w:num w:numId="43">
    <w:abstractNumId w:val="38"/>
  </w:num>
  <w:num w:numId="44">
    <w:abstractNumId w:val="64"/>
  </w:num>
  <w:num w:numId="45">
    <w:abstractNumId w:val="52"/>
  </w:num>
  <w:num w:numId="46">
    <w:abstractNumId w:val="42"/>
  </w:num>
  <w:num w:numId="47">
    <w:abstractNumId w:val="34"/>
  </w:num>
  <w:num w:numId="48">
    <w:abstractNumId w:val="32"/>
  </w:num>
  <w:num w:numId="49">
    <w:abstractNumId w:val="40"/>
  </w:num>
  <w:num w:numId="50">
    <w:abstractNumId w:val="66"/>
  </w:num>
  <w:num w:numId="51">
    <w:abstractNumId w:val="3"/>
  </w:num>
  <w:num w:numId="52">
    <w:abstractNumId w:val="9"/>
  </w:num>
  <w:num w:numId="53">
    <w:abstractNumId w:val="53"/>
  </w:num>
  <w:num w:numId="54">
    <w:abstractNumId w:val="49"/>
  </w:num>
  <w:num w:numId="55">
    <w:abstractNumId w:val="1"/>
  </w:num>
  <w:num w:numId="56">
    <w:abstractNumId w:val="22"/>
  </w:num>
  <w:num w:numId="57">
    <w:abstractNumId w:val="23"/>
  </w:num>
  <w:num w:numId="58">
    <w:abstractNumId w:val="24"/>
  </w:num>
  <w:num w:numId="59">
    <w:abstractNumId w:val="39"/>
  </w:num>
  <w:num w:numId="60">
    <w:abstractNumId w:val="15"/>
  </w:num>
  <w:num w:numId="61">
    <w:abstractNumId w:val="68"/>
  </w:num>
  <w:num w:numId="62">
    <w:abstractNumId w:val="73"/>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 w:numId="65">
    <w:abstractNumId w:val="67"/>
  </w:num>
  <w:num w:numId="66">
    <w:abstractNumId w:val="50"/>
  </w:num>
  <w:num w:numId="67">
    <w:abstractNumId w:val="33"/>
  </w:num>
  <w:num w:numId="68">
    <w:abstractNumId w:val="28"/>
  </w:num>
  <w:num w:numId="69">
    <w:abstractNumId w:val="72"/>
  </w:num>
  <w:num w:numId="70">
    <w:abstractNumId w:val="45"/>
  </w:num>
  <w:num w:numId="71">
    <w:abstractNumId w:val="12"/>
  </w:num>
  <w:num w:numId="72">
    <w:abstractNumId w:val="30"/>
  </w:num>
  <w:num w:numId="73">
    <w:abstractNumId w:val="43"/>
  </w:num>
  <w:num w:numId="74">
    <w:abstractNumId w:val="4"/>
  </w:num>
  <w:num w:numId="75">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92F6C"/>
    <w:rsid w:val="000009F1"/>
    <w:rsid w:val="00002585"/>
    <w:rsid w:val="00005F23"/>
    <w:rsid w:val="00006153"/>
    <w:rsid w:val="00006763"/>
    <w:rsid w:val="000109A8"/>
    <w:rsid w:val="00010D2A"/>
    <w:rsid w:val="00012297"/>
    <w:rsid w:val="00012C41"/>
    <w:rsid w:val="00013F6B"/>
    <w:rsid w:val="000178C6"/>
    <w:rsid w:val="000232EC"/>
    <w:rsid w:val="00023747"/>
    <w:rsid w:val="0003291A"/>
    <w:rsid w:val="000345C9"/>
    <w:rsid w:val="00035874"/>
    <w:rsid w:val="0003650D"/>
    <w:rsid w:val="0004293D"/>
    <w:rsid w:val="0004402B"/>
    <w:rsid w:val="00045E38"/>
    <w:rsid w:val="00047FEC"/>
    <w:rsid w:val="00050A0D"/>
    <w:rsid w:val="00051450"/>
    <w:rsid w:val="00051C9A"/>
    <w:rsid w:val="0005303D"/>
    <w:rsid w:val="0005583B"/>
    <w:rsid w:val="000571A8"/>
    <w:rsid w:val="0006006D"/>
    <w:rsid w:val="00060152"/>
    <w:rsid w:val="00062127"/>
    <w:rsid w:val="00062BB9"/>
    <w:rsid w:val="00066FA2"/>
    <w:rsid w:val="00070472"/>
    <w:rsid w:val="00074669"/>
    <w:rsid w:val="000762F6"/>
    <w:rsid w:val="0007728C"/>
    <w:rsid w:val="00077842"/>
    <w:rsid w:val="000814F8"/>
    <w:rsid w:val="000841C6"/>
    <w:rsid w:val="0008420D"/>
    <w:rsid w:val="00091409"/>
    <w:rsid w:val="00091764"/>
    <w:rsid w:val="000921EA"/>
    <w:rsid w:val="0009346B"/>
    <w:rsid w:val="00093DA0"/>
    <w:rsid w:val="000949E9"/>
    <w:rsid w:val="0009576A"/>
    <w:rsid w:val="00096DAC"/>
    <w:rsid w:val="000A1863"/>
    <w:rsid w:val="000A3291"/>
    <w:rsid w:val="000A3B7B"/>
    <w:rsid w:val="000A470C"/>
    <w:rsid w:val="000A75B1"/>
    <w:rsid w:val="000B1F79"/>
    <w:rsid w:val="000B20E5"/>
    <w:rsid w:val="000B4218"/>
    <w:rsid w:val="000B501A"/>
    <w:rsid w:val="000B7906"/>
    <w:rsid w:val="000C25DE"/>
    <w:rsid w:val="000C3D05"/>
    <w:rsid w:val="000C3F97"/>
    <w:rsid w:val="000C5528"/>
    <w:rsid w:val="000C601A"/>
    <w:rsid w:val="000C69BE"/>
    <w:rsid w:val="000D0D08"/>
    <w:rsid w:val="000D333E"/>
    <w:rsid w:val="000D70FC"/>
    <w:rsid w:val="000E058D"/>
    <w:rsid w:val="000E0A70"/>
    <w:rsid w:val="000E15A6"/>
    <w:rsid w:val="000E1DFC"/>
    <w:rsid w:val="000E6718"/>
    <w:rsid w:val="000F0D22"/>
    <w:rsid w:val="000F119B"/>
    <w:rsid w:val="000F21E9"/>
    <w:rsid w:val="000F3006"/>
    <w:rsid w:val="000F3E40"/>
    <w:rsid w:val="000F6261"/>
    <w:rsid w:val="000F6CBF"/>
    <w:rsid w:val="000F6E56"/>
    <w:rsid w:val="0010002F"/>
    <w:rsid w:val="00105946"/>
    <w:rsid w:val="00106CCB"/>
    <w:rsid w:val="001071FD"/>
    <w:rsid w:val="00111109"/>
    <w:rsid w:val="001114DA"/>
    <w:rsid w:val="001119D1"/>
    <w:rsid w:val="00113CA6"/>
    <w:rsid w:val="00113D18"/>
    <w:rsid w:val="00115070"/>
    <w:rsid w:val="001179A5"/>
    <w:rsid w:val="00120FE6"/>
    <w:rsid w:val="001235EB"/>
    <w:rsid w:val="001241F3"/>
    <w:rsid w:val="001249A1"/>
    <w:rsid w:val="001251CF"/>
    <w:rsid w:val="0012705E"/>
    <w:rsid w:val="00127A95"/>
    <w:rsid w:val="001316E2"/>
    <w:rsid w:val="00131B39"/>
    <w:rsid w:val="0013582C"/>
    <w:rsid w:val="00137F72"/>
    <w:rsid w:val="0014009D"/>
    <w:rsid w:val="0014014A"/>
    <w:rsid w:val="001401E6"/>
    <w:rsid w:val="001470DE"/>
    <w:rsid w:val="00147EF5"/>
    <w:rsid w:val="00150A5A"/>
    <w:rsid w:val="00150E61"/>
    <w:rsid w:val="00150FEF"/>
    <w:rsid w:val="00151EFF"/>
    <w:rsid w:val="001524F5"/>
    <w:rsid w:val="00153C07"/>
    <w:rsid w:val="001544FA"/>
    <w:rsid w:val="00156D68"/>
    <w:rsid w:val="001643CC"/>
    <w:rsid w:val="0016591C"/>
    <w:rsid w:val="00171A3A"/>
    <w:rsid w:val="00171CCB"/>
    <w:rsid w:val="001727F0"/>
    <w:rsid w:val="00174764"/>
    <w:rsid w:val="00176D2A"/>
    <w:rsid w:val="00176FB1"/>
    <w:rsid w:val="0017767D"/>
    <w:rsid w:val="0018632C"/>
    <w:rsid w:val="00187C85"/>
    <w:rsid w:val="00191F0E"/>
    <w:rsid w:val="001924BD"/>
    <w:rsid w:val="001963DD"/>
    <w:rsid w:val="00196EFC"/>
    <w:rsid w:val="001A14D7"/>
    <w:rsid w:val="001A2101"/>
    <w:rsid w:val="001A35F9"/>
    <w:rsid w:val="001A3642"/>
    <w:rsid w:val="001A5379"/>
    <w:rsid w:val="001A566C"/>
    <w:rsid w:val="001A6E63"/>
    <w:rsid w:val="001A7DA8"/>
    <w:rsid w:val="001B02B9"/>
    <w:rsid w:val="001B03C0"/>
    <w:rsid w:val="001B12DF"/>
    <w:rsid w:val="001B23C5"/>
    <w:rsid w:val="001B3624"/>
    <w:rsid w:val="001B38FF"/>
    <w:rsid w:val="001B4408"/>
    <w:rsid w:val="001B5257"/>
    <w:rsid w:val="001C25DF"/>
    <w:rsid w:val="001C31CA"/>
    <w:rsid w:val="001C4506"/>
    <w:rsid w:val="001C55D6"/>
    <w:rsid w:val="001C5F6D"/>
    <w:rsid w:val="001C7E52"/>
    <w:rsid w:val="001D175D"/>
    <w:rsid w:val="001D3E38"/>
    <w:rsid w:val="001D4C66"/>
    <w:rsid w:val="001D6B50"/>
    <w:rsid w:val="001E116D"/>
    <w:rsid w:val="001E31F5"/>
    <w:rsid w:val="001E4028"/>
    <w:rsid w:val="001E4289"/>
    <w:rsid w:val="001E479E"/>
    <w:rsid w:val="001E5451"/>
    <w:rsid w:val="001E71C9"/>
    <w:rsid w:val="001F10CF"/>
    <w:rsid w:val="001F1325"/>
    <w:rsid w:val="001F3ECE"/>
    <w:rsid w:val="001F4126"/>
    <w:rsid w:val="001F75A2"/>
    <w:rsid w:val="00200390"/>
    <w:rsid w:val="00200E7F"/>
    <w:rsid w:val="00202EE4"/>
    <w:rsid w:val="00204F1D"/>
    <w:rsid w:val="00207269"/>
    <w:rsid w:val="002075B8"/>
    <w:rsid w:val="00220B44"/>
    <w:rsid w:val="0022273A"/>
    <w:rsid w:val="00223B8B"/>
    <w:rsid w:val="00223C4C"/>
    <w:rsid w:val="002264DA"/>
    <w:rsid w:val="00230419"/>
    <w:rsid w:val="002335ED"/>
    <w:rsid w:val="002336C0"/>
    <w:rsid w:val="00234525"/>
    <w:rsid w:val="00236708"/>
    <w:rsid w:val="002412C8"/>
    <w:rsid w:val="00241C8A"/>
    <w:rsid w:val="00242DA8"/>
    <w:rsid w:val="00242EAC"/>
    <w:rsid w:val="0024548D"/>
    <w:rsid w:val="00245D59"/>
    <w:rsid w:val="00245F5D"/>
    <w:rsid w:val="00246332"/>
    <w:rsid w:val="00246D3C"/>
    <w:rsid w:val="0025011C"/>
    <w:rsid w:val="00254AB8"/>
    <w:rsid w:val="00254B95"/>
    <w:rsid w:val="00254F64"/>
    <w:rsid w:val="00256993"/>
    <w:rsid w:val="00257E1E"/>
    <w:rsid w:val="00260EE2"/>
    <w:rsid w:val="00262710"/>
    <w:rsid w:val="00263035"/>
    <w:rsid w:val="00263549"/>
    <w:rsid w:val="00263A0F"/>
    <w:rsid w:val="00263FA6"/>
    <w:rsid w:val="00264597"/>
    <w:rsid w:val="002648A9"/>
    <w:rsid w:val="002664B1"/>
    <w:rsid w:val="002669CC"/>
    <w:rsid w:val="00266AE5"/>
    <w:rsid w:val="002714D5"/>
    <w:rsid w:val="00272967"/>
    <w:rsid w:val="00274004"/>
    <w:rsid w:val="002741F1"/>
    <w:rsid w:val="002753AA"/>
    <w:rsid w:val="00275B86"/>
    <w:rsid w:val="00275CA9"/>
    <w:rsid w:val="002760C6"/>
    <w:rsid w:val="0028288B"/>
    <w:rsid w:val="00282DE4"/>
    <w:rsid w:val="00282E5A"/>
    <w:rsid w:val="002837AE"/>
    <w:rsid w:val="0028610D"/>
    <w:rsid w:val="00286CA1"/>
    <w:rsid w:val="002877F3"/>
    <w:rsid w:val="002878D2"/>
    <w:rsid w:val="00287B2D"/>
    <w:rsid w:val="00290399"/>
    <w:rsid w:val="00296FEE"/>
    <w:rsid w:val="002A2A0A"/>
    <w:rsid w:val="002A726F"/>
    <w:rsid w:val="002B13ED"/>
    <w:rsid w:val="002B20EB"/>
    <w:rsid w:val="002B2A48"/>
    <w:rsid w:val="002B2F2A"/>
    <w:rsid w:val="002B7167"/>
    <w:rsid w:val="002C5FC0"/>
    <w:rsid w:val="002C7AA5"/>
    <w:rsid w:val="002C7BAE"/>
    <w:rsid w:val="002D334E"/>
    <w:rsid w:val="002D36E6"/>
    <w:rsid w:val="002D3796"/>
    <w:rsid w:val="002D41BF"/>
    <w:rsid w:val="002D41C6"/>
    <w:rsid w:val="002E0E38"/>
    <w:rsid w:val="002E4E69"/>
    <w:rsid w:val="002E5124"/>
    <w:rsid w:val="002E6861"/>
    <w:rsid w:val="002E7BE4"/>
    <w:rsid w:val="002F04D4"/>
    <w:rsid w:val="002F27D9"/>
    <w:rsid w:val="002F369C"/>
    <w:rsid w:val="002F36FE"/>
    <w:rsid w:val="002F45E7"/>
    <w:rsid w:val="002F4A98"/>
    <w:rsid w:val="002F6F9D"/>
    <w:rsid w:val="00300298"/>
    <w:rsid w:val="00303C17"/>
    <w:rsid w:val="00304AEB"/>
    <w:rsid w:val="00307CAA"/>
    <w:rsid w:val="003222FC"/>
    <w:rsid w:val="00324C59"/>
    <w:rsid w:val="00324D8F"/>
    <w:rsid w:val="00325921"/>
    <w:rsid w:val="0032618B"/>
    <w:rsid w:val="00326F34"/>
    <w:rsid w:val="003303B5"/>
    <w:rsid w:val="00332633"/>
    <w:rsid w:val="0033444D"/>
    <w:rsid w:val="00335766"/>
    <w:rsid w:val="00335A5E"/>
    <w:rsid w:val="00340975"/>
    <w:rsid w:val="00340A16"/>
    <w:rsid w:val="00343DB4"/>
    <w:rsid w:val="003454A8"/>
    <w:rsid w:val="00346A1C"/>
    <w:rsid w:val="003470EB"/>
    <w:rsid w:val="0034726F"/>
    <w:rsid w:val="00347934"/>
    <w:rsid w:val="00350AFB"/>
    <w:rsid w:val="00353B01"/>
    <w:rsid w:val="00353E97"/>
    <w:rsid w:val="00357528"/>
    <w:rsid w:val="00360D99"/>
    <w:rsid w:val="00361895"/>
    <w:rsid w:val="00366E64"/>
    <w:rsid w:val="003702DF"/>
    <w:rsid w:val="00373085"/>
    <w:rsid w:val="00381168"/>
    <w:rsid w:val="00382BC8"/>
    <w:rsid w:val="003832DE"/>
    <w:rsid w:val="00386F32"/>
    <w:rsid w:val="00391215"/>
    <w:rsid w:val="003925CE"/>
    <w:rsid w:val="003933E1"/>
    <w:rsid w:val="00393DEA"/>
    <w:rsid w:val="0039427A"/>
    <w:rsid w:val="0039429B"/>
    <w:rsid w:val="00396756"/>
    <w:rsid w:val="003967CF"/>
    <w:rsid w:val="00396C0B"/>
    <w:rsid w:val="00397982"/>
    <w:rsid w:val="003A2E73"/>
    <w:rsid w:val="003A4032"/>
    <w:rsid w:val="003A454C"/>
    <w:rsid w:val="003A552E"/>
    <w:rsid w:val="003A6620"/>
    <w:rsid w:val="003A76D9"/>
    <w:rsid w:val="003B3F13"/>
    <w:rsid w:val="003B4036"/>
    <w:rsid w:val="003B48D5"/>
    <w:rsid w:val="003B5AC9"/>
    <w:rsid w:val="003B6131"/>
    <w:rsid w:val="003B6DCB"/>
    <w:rsid w:val="003C10F1"/>
    <w:rsid w:val="003C1283"/>
    <w:rsid w:val="003C1430"/>
    <w:rsid w:val="003C1BD6"/>
    <w:rsid w:val="003C21AC"/>
    <w:rsid w:val="003C21BB"/>
    <w:rsid w:val="003C4568"/>
    <w:rsid w:val="003C64A0"/>
    <w:rsid w:val="003C6C47"/>
    <w:rsid w:val="003D02B1"/>
    <w:rsid w:val="003D1B1E"/>
    <w:rsid w:val="003D1C5F"/>
    <w:rsid w:val="003D264E"/>
    <w:rsid w:val="003D2819"/>
    <w:rsid w:val="003D521E"/>
    <w:rsid w:val="003D58A8"/>
    <w:rsid w:val="003D6CBA"/>
    <w:rsid w:val="003E4927"/>
    <w:rsid w:val="003E5552"/>
    <w:rsid w:val="003E6F2A"/>
    <w:rsid w:val="003F0273"/>
    <w:rsid w:val="003F0559"/>
    <w:rsid w:val="003F2D9F"/>
    <w:rsid w:val="003F7587"/>
    <w:rsid w:val="003F7755"/>
    <w:rsid w:val="00400322"/>
    <w:rsid w:val="00401BE0"/>
    <w:rsid w:val="00404826"/>
    <w:rsid w:val="00406848"/>
    <w:rsid w:val="00410930"/>
    <w:rsid w:val="004110B4"/>
    <w:rsid w:val="00412E97"/>
    <w:rsid w:val="00412F10"/>
    <w:rsid w:val="0041346F"/>
    <w:rsid w:val="00413F12"/>
    <w:rsid w:val="00420281"/>
    <w:rsid w:val="00421781"/>
    <w:rsid w:val="00422A34"/>
    <w:rsid w:val="004232C7"/>
    <w:rsid w:val="00424A46"/>
    <w:rsid w:val="00425E6E"/>
    <w:rsid w:val="004262E0"/>
    <w:rsid w:val="00430A40"/>
    <w:rsid w:val="00430EE3"/>
    <w:rsid w:val="00432521"/>
    <w:rsid w:val="00432E8E"/>
    <w:rsid w:val="004330D3"/>
    <w:rsid w:val="004331BB"/>
    <w:rsid w:val="004331E1"/>
    <w:rsid w:val="00433646"/>
    <w:rsid w:val="00433D8D"/>
    <w:rsid w:val="0043401A"/>
    <w:rsid w:val="00436520"/>
    <w:rsid w:val="00436C23"/>
    <w:rsid w:val="00436C8B"/>
    <w:rsid w:val="00436EDC"/>
    <w:rsid w:val="0043781C"/>
    <w:rsid w:val="004401E4"/>
    <w:rsid w:val="0044051C"/>
    <w:rsid w:val="0044068E"/>
    <w:rsid w:val="00441475"/>
    <w:rsid w:val="004427B4"/>
    <w:rsid w:val="00444662"/>
    <w:rsid w:val="00445688"/>
    <w:rsid w:val="004457D6"/>
    <w:rsid w:val="00446520"/>
    <w:rsid w:val="00447256"/>
    <w:rsid w:val="0045315B"/>
    <w:rsid w:val="0045384F"/>
    <w:rsid w:val="00454752"/>
    <w:rsid w:val="0045706C"/>
    <w:rsid w:val="004607A5"/>
    <w:rsid w:val="00463EAF"/>
    <w:rsid w:val="0046760A"/>
    <w:rsid w:val="0047196D"/>
    <w:rsid w:val="00471ED6"/>
    <w:rsid w:val="00473720"/>
    <w:rsid w:val="004747E1"/>
    <w:rsid w:val="00476031"/>
    <w:rsid w:val="00476284"/>
    <w:rsid w:val="00480AA6"/>
    <w:rsid w:val="0048379A"/>
    <w:rsid w:val="0048395D"/>
    <w:rsid w:val="00486BD3"/>
    <w:rsid w:val="004878F8"/>
    <w:rsid w:val="00492385"/>
    <w:rsid w:val="004A0380"/>
    <w:rsid w:val="004A3531"/>
    <w:rsid w:val="004A363C"/>
    <w:rsid w:val="004A3B6F"/>
    <w:rsid w:val="004A4627"/>
    <w:rsid w:val="004A4F61"/>
    <w:rsid w:val="004A563A"/>
    <w:rsid w:val="004B1057"/>
    <w:rsid w:val="004B124E"/>
    <w:rsid w:val="004B2CC1"/>
    <w:rsid w:val="004B7C58"/>
    <w:rsid w:val="004C1A35"/>
    <w:rsid w:val="004C3857"/>
    <w:rsid w:val="004C3C8F"/>
    <w:rsid w:val="004C4F3D"/>
    <w:rsid w:val="004C6F5A"/>
    <w:rsid w:val="004C6FFC"/>
    <w:rsid w:val="004D1204"/>
    <w:rsid w:val="004D21A2"/>
    <w:rsid w:val="004D29F1"/>
    <w:rsid w:val="004D411D"/>
    <w:rsid w:val="004D4CE4"/>
    <w:rsid w:val="004D5F18"/>
    <w:rsid w:val="004E0312"/>
    <w:rsid w:val="004E0442"/>
    <w:rsid w:val="004E094D"/>
    <w:rsid w:val="004E41C9"/>
    <w:rsid w:val="004E448D"/>
    <w:rsid w:val="004E4F30"/>
    <w:rsid w:val="004E76AA"/>
    <w:rsid w:val="004F019E"/>
    <w:rsid w:val="004F0DB6"/>
    <w:rsid w:val="004F3674"/>
    <w:rsid w:val="004F3AB5"/>
    <w:rsid w:val="004F55CD"/>
    <w:rsid w:val="004F6D9B"/>
    <w:rsid w:val="004F7860"/>
    <w:rsid w:val="00501C67"/>
    <w:rsid w:val="0050451E"/>
    <w:rsid w:val="00505E08"/>
    <w:rsid w:val="005061D9"/>
    <w:rsid w:val="0050659E"/>
    <w:rsid w:val="0051151B"/>
    <w:rsid w:val="00511EB3"/>
    <w:rsid w:val="00513464"/>
    <w:rsid w:val="00513BE5"/>
    <w:rsid w:val="005144BB"/>
    <w:rsid w:val="0051450C"/>
    <w:rsid w:val="005146E2"/>
    <w:rsid w:val="00515BFB"/>
    <w:rsid w:val="005174E5"/>
    <w:rsid w:val="005179D2"/>
    <w:rsid w:val="00521902"/>
    <w:rsid w:val="0052219F"/>
    <w:rsid w:val="00522B23"/>
    <w:rsid w:val="005259EC"/>
    <w:rsid w:val="00526A0E"/>
    <w:rsid w:val="00530621"/>
    <w:rsid w:val="00533498"/>
    <w:rsid w:val="00535715"/>
    <w:rsid w:val="00536B94"/>
    <w:rsid w:val="00540FF9"/>
    <w:rsid w:val="005422DE"/>
    <w:rsid w:val="00542754"/>
    <w:rsid w:val="0054507E"/>
    <w:rsid w:val="005451F9"/>
    <w:rsid w:val="005505D8"/>
    <w:rsid w:val="0055080D"/>
    <w:rsid w:val="00550DA9"/>
    <w:rsid w:val="00555E0D"/>
    <w:rsid w:val="00557153"/>
    <w:rsid w:val="005576FF"/>
    <w:rsid w:val="005579DB"/>
    <w:rsid w:val="00557CD0"/>
    <w:rsid w:val="00560C40"/>
    <w:rsid w:val="00563A5E"/>
    <w:rsid w:val="005640EC"/>
    <w:rsid w:val="00564B00"/>
    <w:rsid w:val="00566BD1"/>
    <w:rsid w:val="00567868"/>
    <w:rsid w:val="005726B8"/>
    <w:rsid w:val="00573326"/>
    <w:rsid w:val="0057439B"/>
    <w:rsid w:val="00574EA5"/>
    <w:rsid w:val="0057539D"/>
    <w:rsid w:val="00577A6A"/>
    <w:rsid w:val="00580322"/>
    <w:rsid w:val="00582178"/>
    <w:rsid w:val="00586721"/>
    <w:rsid w:val="0058681F"/>
    <w:rsid w:val="0058713B"/>
    <w:rsid w:val="005904FE"/>
    <w:rsid w:val="0059086A"/>
    <w:rsid w:val="0059098D"/>
    <w:rsid w:val="00592C91"/>
    <w:rsid w:val="005939CA"/>
    <w:rsid w:val="00595099"/>
    <w:rsid w:val="005962B2"/>
    <w:rsid w:val="00597A80"/>
    <w:rsid w:val="005A1414"/>
    <w:rsid w:val="005A2044"/>
    <w:rsid w:val="005A497D"/>
    <w:rsid w:val="005A5EA4"/>
    <w:rsid w:val="005A6C7E"/>
    <w:rsid w:val="005A6D50"/>
    <w:rsid w:val="005B0288"/>
    <w:rsid w:val="005B13AF"/>
    <w:rsid w:val="005B14BB"/>
    <w:rsid w:val="005B328F"/>
    <w:rsid w:val="005B3675"/>
    <w:rsid w:val="005B38D2"/>
    <w:rsid w:val="005B3C1B"/>
    <w:rsid w:val="005B4BCB"/>
    <w:rsid w:val="005B71FE"/>
    <w:rsid w:val="005B77E4"/>
    <w:rsid w:val="005C255A"/>
    <w:rsid w:val="005C3F1B"/>
    <w:rsid w:val="005C4FAD"/>
    <w:rsid w:val="005D1A77"/>
    <w:rsid w:val="005D296D"/>
    <w:rsid w:val="005D2A88"/>
    <w:rsid w:val="005D4403"/>
    <w:rsid w:val="005D4B7A"/>
    <w:rsid w:val="005D73D7"/>
    <w:rsid w:val="005E104B"/>
    <w:rsid w:val="005E4754"/>
    <w:rsid w:val="005E4AF2"/>
    <w:rsid w:val="005E52D4"/>
    <w:rsid w:val="005E7201"/>
    <w:rsid w:val="005F0B88"/>
    <w:rsid w:val="005F1841"/>
    <w:rsid w:val="005F28DF"/>
    <w:rsid w:val="005F29BD"/>
    <w:rsid w:val="005F372E"/>
    <w:rsid w:val="005F5A43"/>
    <w:rsid w:val="005F732A"/>
    <w:rsid w:val="006009FB"/>
    <w:rsid w:val="0061182E"/>
    <w:rsid w:val="006131D0"/>
    <w:rsid w:val="006151F9"/>
    <w:rsid w:val="00615DA2"/>
    <w:rsid w:val="0062118D"/>
    <w:rsid w:val="006227C2"/>
    <w:rsid w:val="00623185"/>
    <w:rsid w:val="00623482"/>
    <w:rsid w:val="00623B87"/>
    <w:rsid w:val="0062593E"/>
    <w:rsid w:val="006267F6"/>
    <w:rsid w:val="006277E6"/>
    <w:rsid w:val="00627C1E"/>
    <w:rsid w:val="00627DFB"/>
    <w:rsid w:val="00632398"/>
    <w:rsid w:val="00633400"/>
    <w:rsid w:val="00635993"/>
    <w:rsid w:val="00635DF6"/>
    <w:rsid w:val="00645A3A"/>
    <w:rsid w:val="006464A3"/>
    <w:rsid w:val="00647406"/>
    <w:rsid w:val="00647D25"/>
    <w:rsid w:val="00650DBD"/>
    <w:rsid w:val="0065140C"/>
    <w:rsid w:val="0065389C"/>
    <w:rsid w:val="00653CC6"/>
    <w:rsid w:val="00654FC2"/>
    <w:rsid w:val="00654FFC"/>
    <w:rsid w:val="006602D9"/>
    <w:rsid w:val="00661468"/>
    <w:rsid w:val="00662F7A"/>
    <w:rsid w:val="00663605"/>
    <w:rsid w:val="00664D03"/>
    <w:rsid w:val="006673D9"/>
    <w:rsid w:val="006675BB"/>
    <w:rsid w:val="00667608"/>
    <w:rsid w:val="0066795B"/>
    <w:rsid w:val="00667F1B"/>
    <w:rsid w:val="006702BC"/>
    <w:rsid w:val="006725C3"/>
    <w:rsid w:val="006737F1"/>
    <w:rsid w:val="0067421E"/>
    <w:rsid w:val="006744C8"/>
    <w:rsid w:val="00675154"/>
    <w:rsid w:val="00675EE0"/>
    <w:rsid w:val="00677BA8"/>
    <w:rsid w:val="006813CA"/>
    <w:rsid w:val="006818C8"/>
    <w:rsid w:val="00684B53"/>
    <w:rsid w:val="0068514B"/>
    <w:rsid w:val="00686C2E"/>
    <w:rsid w:val="006878B9"/>
    <w:rsid w:val="00693C5A"/>
    <w:rsid w:val="00694445"/>
    <w:rsid w:val="00694976"/>
    <w:rsid w:val="006A2DA9"/>
    <w:rsid w:val="006A5247"/>
    <w:rsid w:val="006A5AB5"/>
    <w:rsid w:val="006A6F76"/>
    <w:rsid w:val="006B0429"/>
    <w:rsid w:val="006B0CF0"/>
    <w:rsid w:val="006B0D3C"/>
    <w:rsid w:val="006B303B"/>
    <w:rsid w:val="006B43BC"/>
    <w:rsid w:val="006B43E2"/>
    <w:rsid w:val="006B790E"/>
    <w:rsid w:val="006B798F"/>
    <w:rsid w:val="006C0377"/>
    <w:rsid w:val="006C16BB"/>
    <w:rsid w:val="006C182C"/>
    <w:rsid w:val="006C2338"/>
    <w:rsid w:val="006C545C"/>
    <w:rsid w:val="006D1308"/>
    <w:rsid w:val="006D439F"/>
    <w:rsid w:val="006D6952"/>
    <w:rsid w:val="006D6A4D"/>
    <w:rsid w:val="006E3668"/>
    <w:rsid w:val="006E38FA"/>
    <w:rsid w:val="006E4DE6"/>
    <w:rsid w:val="006E5DFE"/>
    <w:rsid w:val="006E73B6"/>
    <w:rsid w:val="006F4218"/>
    <w:rsid w:val="006F5366"/>
    <w:rsid w:val="006F5B24"/>
    <w:rsid w:val="006F7403"/>
    <w:rsid w:val="006F7E36"/>
    <w:rsid w:val="006F7F5F"/>
    <w:rsid w:val="007007F8"/>
    <w:rsid w:val="00700B70"/>
    <w:rsid w:val="007078E2"/>
    <w:rsid w:val="00712D85"/>
    <w:rsid w:val="00713D1C"/>
    <w:rsid w:val="00714555"/>
    <w:rsid w:val="0071750C"/>
    <w:rsid w:val="0072039F"/>
    <w:rsid w:val="00721782"/>
    <w:rsid w:val="007221B2"/>
    <w:rsid w:val="007227CB"/>
    <w:rsid w:val="00724454"/>
    <w:rsid w:val="00724584"/>
    <w:rsid w:val="007252E5"/>
    <w:rsid w:val="00726A64"/>
    <w:rsid w:val="007273A1"/>
    <w:rsid w:val="00732695"/>
    <w:rsid w:val="007326D9"/>
    <w:rsid w:val="00735547"/>
    <w:rsid w:val="007363D9"/>
    <w:rsid w:val="0073679C"/>
    <w:rsid w:val="00741787"/>
    <w:rsid w:val="00741ED3"/>
    <w:rsid w:val="00747EFA"/>
    <w:rsid w:val="00752409"/>
    <w:rsid w:val="0075286B"/>
    <w:rsid w:val="007556D8"/>
    <w:rsid w:val="00755742"/>
    <w:rsid w:val="00756C31"/>
    <w:rsid w:val="00757DC4"/>
    <w:rsid w:val="0076064C"/>
    <w:rsid w:val="0076082C"/>
    <w:rsid w:val="00762003"/>
    <w:rsid w:val="007647D6"/>
    <w:rsid w:val="00764924"/>
    <w:rsid w:val="0076495A"/>
    <w:rsid w:val="0077020C"/>
    <w:rsid w:val="0077331C"/>
    <w:rsid w:val="00775409"/>
    <w:rsid w:val="00775B3F"/>
    <w:rsid w:val="00775B89"/>
    <w:rsid w:val="0077707A"/>
    <w:rsid w:val="0077780E"/>
    <w:rsid w:val="00777C7E"/>
    <w:rsid w:val="00780BFF"/>
    <w:rsid w:val="007829E6"/>
    <w:rsid w:val="00784019"/>
    <w:rsid w:val="00784084"/>
    <w:rsid w:val="00785C34"/>
    <w:rsid w:val="00787BF8"/>
    <w:rsid w:val="00790BF5"/>
    <w:rsid w:val="0079210B"/>
    <w:rsid w:val="0079220E"/>
    <w:rsid w:val="00793149"/>
    <w:rsid w:val="00793FE4"/>
    <w:rsid w:val="007946B4"/>
    <w:rsid w:val="007A0CAB"/>
    <w:rsid w:val="007A0D76"/>
    <w:rsid w:val="007A1353"/>
    <w:rsid w:val="007A20DE"/>
    <w:rsid w:val="007A40B9"/>
    <w:rsid w:val="007A60C7"/>
    <w:rsid w:val="007A700C"/>
    <w:rsid w:val="007B0211"/>
    <w:rsid w:val="007B412B"/>
    <w:rsid w:val="007B482E"/>
    <w:rsid w:val="007B5046"/>
    <w:rsid w:val="007B7391"/>
    <w:rsid w:val="007C0FCE"/>
    <w:rsid w:val="007C3EA8"/>
    <w:rsid w:val="007C490A"/>
    <w:rsid w:val="007C5A2B"/>
    <w:rsid w:val="007C5BAE"/>
    <w:rsid w:val="007C6C38"/>
    <w:rsid w:val="007C7937"/>
    <w:rsid w:val="007C7948"/>
    <w:rsid w:val="007D08A8"/>
    <w:rsid w:val="007D241E"/>
    <w:rsid w:val="007D29CA"/>
    <w:rsid w:val="007D2E24"/>
    <w:rsid w:val="007D7993"/>
    <w:rsid w:val="007E0BCD"/>
    <w:rsid w:val="007E3D6E"/>
    <w:rsid w:val="007E465D"/>
    <w:rsid w:val="007E4F8A"/>
    <w:rsid w:val="007E4FE3"/>
    <w:rsid w:val="007E53FB"/>
    <w:rsid w:val="007F1055"/>
    <w:rsid w:val="007F2E73"/>
    <w:rsid w:val="007F366A"/>
    <w:rsid w:val="007F468B"/>
    <w:rsid w:val="007F7AF9"/>
    <w:rsid w:val="00800B56"/>
    <w:rsid w:val="00800ED0"/>
    <w:rsid w:val="00803CF4"/>
    <w:rsid w:val="008052C7"/>
    <w:rsid w:val="0081053D"/>
    <w:rsid w:val="008105FD"/>
    <w:rsid w:val="008114CF"/>
    <w:rsid w:val="0081380D"/>
    <w:rsid w:val="00813A44"/>
    <w:rsid w:val="008143F9"/>
    <w:rsid w:val="00815F20"/>
    <w:rsid w:val="00816153"/>
    <w:rsid w:val="008172A0"/>
    <w:rsid w:val="00823FEA"/>
    <w:rsid w:val="00824CE0"/>
    <w:rsid w:val="00826273"/>
    <w:rsid w:val="0082725C"/>
    <w:rsid w:val="00827EDF"/>
    <w:rsid w:val="008312F1"/>
    <w:rsid w:val="00832252"/>
    <w:rsid w:val="00833F86"/>
    <w:rsid w:val="008341DC"/>
    <w:rsid w:val="00834263"/>
    <w:rsid w:val="00834711"/>
    <w:rsid w:val="0083491A"/>
    <w:rsid w:val="008353EA"/>
    <w:rsid w:val="00841437"/>
    <w:rsid w:val="00841F24"/>
    <w:rsid w:val="00845149"/>
    <w:rsid w:val="00847041"/>
    <w:rsid w:val="00850187"/>
    <w:rsid w:val="00850CFC"/>
    <w:rsid w:val="0085172E"/>
    <w:rsid w:val="0085239C"/>
    <w:rsid w:val="00853571"/>
    <w:rsid w:val="008563C7"/>
    <w:rsid w:val="008565A7"/>
    <w:rsid w:val="00860D40"/>
    <w:rsid w:val="00861D07"/>
    <w:rsid w:val="00863A85"/>
    <w:rsid w:val="00864F22"/>
    <w:rsid w:val="00874D04"/>
    <w:rsid w:val="008763CF"/>
    <w:rsid w:val="00881789"/>
    <w:rsid w:val="00881831"/>
    <w:rsid w:val="00884E92"/>
    <w:rsid w:val="008854CC"/>
    <w:rsid w:val="00891855"/>
    <w:rsid w:val="008918F5"/>
    <w:rsid w:val="00891CD0"/>
    <w:rsid w:val="00892FEE"/>
    <w:rsid w:val="008931E6"/>
    <w:rsid w:val="00895557"/>
    <w:rsid w:val="00896FC3"/>
    <w:rsid w:val="0089752E"/>
    <w:rsid w:val="00897983"/>
    <w:rsid w:val="008A0213"/>
    <w:rsid w:val="008A06E0"/>
    <w:rsid w:val="008A0DBE"/>
    <w:rsid w:val="008A25BD"/>
    <w:rsid w:val="008A2CAE"/>
    <w:rsid w:val="008A37BC"/>
    <w:rsid w:val="008A73A1"/>
    <w:rsid w:val="008B28EF"/>
    <w:rsid w:val="008B325A"/>
    <w:rsid w:val="008B42E7"/>
    <w:rsid w:val="008B45CE"/>
    <w:rsid w:val="008B6830"/>
    <w:rsid w:val="008B7EEC"/>
    <w:rsid w:val="008C02E6"/>
    <w:rsid w:val="008C634B"/>
    <w:rsid w:val="008C7455"/>
    <w:rsid w:val="008D1261"/>
    <w:rsid w:val="008D2CF5"/>
    <w:rsid w:val="008D3CC1"/>
    <w:rsid w:val="008D4CE7"/>
    <w:rsid w:val="008D5880"/>
    <w:rsid w:val="008E0789"/>
    <w:rsid w:val="008E1388"/>
    <w:rsid w:val="008E215D"/>
    <w:rsid w:val="008E294C"/>
    <w:rsid w:val="008E3218"/>
    <w:rsid w:val="008E43F4"/>
    <w:rsid w:val="008E4E35"/>
    <w:rsid w:val="008E55D1"/>
    <w:rsid w:val="008E63D4"/>
    <w:rsid w:val="008E7BB9"/>
    <w:rsid w:val="008F4BD8"/>
    <w:rsid w:val="008F53E1"/>
    <w:rsid w:val="008F6288"/>
    <w:rsid w:val="008F779E"/>
    <w:rsid w:val="008F7999"/>
    <w:rsid w:val="008F7E5F"/>
    <w:rsid w:val="00904E90"/>
    <w:rsid w:val="009057B2"/>
    <w:rsid w:val="009065CB"/>
    <w:rsid w:val="0091087B"/>
    <w:rsid w:val="009124BD"/>
    <w:rsid w:val="00913D74"/>
    <w:rsid w:val="0091452A"/>
    <w:rsid w:val="00915D99"/>
    <w:rsid w:val="0091636C"/>
    <w:rsid w:val="009203E9"/>
    <w:rsid w:val="00924388"/>
    <w:rsid w:val="0092586F"/>
    <w:rsid w:val="009274BA"/>
    <w:rsid w:val="00930DA2"/>
    <w:rsid w:val="00931D8E"/>
    <w:rsid w:val="00933536"/>
    <w:rsid w:val="00933578"/>
    <w:rsid w:val="009338FF"/>
    <w:rsid w:val="00935D04"/>
    <w:rsid w:val="00936329"/>
    <w:rsid w:val="00937FC1"/>
    <w:rsid w:val="0094018D"/>
    <w:rsid w:val="00940DE1"/>
    <w:rsid w:val="009415F4"/>
    <w:rsid w:val="00944BA9"/>
    <w:rsid w:val="009464D6"/>
    <w:rsid w:val="0094755A"/>
    <w:rsid w:val="009509BF"/>
    <w:rsid w:val="00951750"/>
    <w:rsid w:val="00954D26"/>
    <w:rsid w:val="009570DD"/>
    <w:rsid w:val="00957A7D"/>
    <w:rsid w:val="00960B56"/>
    <w:rsid w:val="00961477"/>
    <w:rsid w:val="009634DB"/>
    <w:rsid w:val="00965DB0"/>
    <w:rsid w:val="00966CB0"/>
    <w:rsid w:val="00967245"/>
    <w:rsid w:val="00972775"/>
    <w:rsid w:val="009727AB"/>
    <w:rsid w:val="009729B6"/>
    <w:rsid w:val="00974470"/>
    <w:rsid w:val="00974B55"/>
    <w:rsid w:val="00974CD2"/>
    <w:rsid w:val="00976273"/>
    <w:rsid w:val="00982F95"/>
    <w:rsid w:val="009832C9"/>
    <w:rsid w:val="00983CC7"/>
    <w:rsid w:val="00985619"/>
    <w:rsid w:val="009857B1"/>
    <w:rsid w:val="00986C54"/>
    <w:rsid w:val="00987D4D"/>
    <w:rsid w:val="00991C09"/>
    <w:rsid w:val="00992D7A"/>
    <w:rsid w:val="00993FF6"/>
    <w:rsid w:val="00994B64"/>
    <w:rsid w:val="00997482"/>
    <w:rsid w:val="009A0452"/>
    <w:rsid w:val="009A0CCB"/>
    <w:rsid w:val="009A1E9B"/>
    <w:rsid w:val="009A3268"/>
    <w:rsid w:val="009A4E73"/>
    <w:rsid w:val="009A57A2"/>
    <w:rsid w:val="009A5C94"/>
    <w:rsid w:val="009A6D55"/>
    <w:rsid w:val="009A7797"/>
    <w:rsid w:val="009B2332"/>
    <w:rsid w:val="009B2762"/>
    <w:rsid w:val="009B30BC"/>
    <w:rsid w:val="009B4893"/>
    <w:rsid w:val="009B65FF"/>
    <w:rsid w:val="009B6E58"/>
    <w:rsid w:val="009C2086"/>
    <w:rsid w:val="009C2392"/>
    <w:rsid w:val="009C2F3B"/>
    <w:rsid w:val="009C31A8"/>
    <w:rsid w:val="009C5BBD"/>
    <w:rsid w:val="009C6C35"/>
    <w:rsid w:val="009D0D4D"/>
    <w:rsid w:val="009D28F3"/>
    <w:rsid w:val="009D2A98"/>
    <w:rsid w:val="009D2D82"/>
    <w:rsid w:val="009D3CA4"/>
    <w:rsid w:val="009D4CE9"/>
    <w:rsid w:val="009D65C6"/>
    <w:rsid w:val="009D7559"/>
    <w:rsid w:val="009E2F90"/>
    <w:rsid w:val="009E39AE"/>
    <w:rsid w:val="009E5221"/>
    <w:rsid w:val="009E7B2D"/>
    <w:rsid w:val="009F0D61"/>
    <w:rsid w:val="009F2864"/>
    <w:rsid w:val="009F5C39"/>
    <w:rsid w:val="009F647B"/>
    <w:rsid w:val="009F65BE"/>
    <w:rsid w:val="009F6D57"/>
    <w:rsid w:val="00A03C24"/>
    <w:rsid w:val="00A03FBC"/>
    <w:rsid w:val="00A04502"/>
    <w:rsid w:val="00A0473B"/>
    <w:rsid w:val="00A04C81"/>
    <w:rsid w:val="00A04D1C"/>
    <w:rsid w:val="00A050F0"/>
    <w:rsid w:val="00A11E9B"/>
    <w:rsid w:val="00A12102"/>
    <w:rsid w:val="00A1226A"/>
    <w:rsid w:val="00A14404"/>
    <w:rsid w:val="00A16111"/>
    <w:rsid w:val="00A17F9A"/>
    <w:rsid w:val="00A23031"/>
    <w:rsid w:val="00A23604"/>
    <w:rsid w:val="00A244A6"/>
    <w:rsid w:val="00A25C62"/>
    <w:rsid w:val="00A25ECF"/>
    <w:rsid w:val="00A269FA"/>
    <w:rsid w:val="00A27BAC"/>
    <w:rsid w:val="00A3061D"/>
    <w:rsid w:val="00A33411"/>
    <w:rsid w:val="00A33F99"/>
    <w:rsid w:val="00A34E70"/>
    <w:rsid w:val="00A35528"/>
    <w:rsid w:val="00A369C4"/>
    <w:rsid w:val="00A37809"/>
    <w:rsid w:val="00A37C4E"/>
    <w:rsid w:val="00A37DD5"/>
    <w:rsid w:val="00A40EC1"/>
    <w:rsid w:val="00A42DAB"/>
    <w:rsid w:val="00A50D43"/>
    <w:rsid w:val="00A51B8A"/>
    <w:rsid w:val="00A52120"/>
    <w:rsid w:val="00A52E92"/>
    <w:rsid w:val="00A54EB5"/>
    <w:rsid w:val="00A57D82"/>
    <w:rsid w:val="00A57EB3"/>
    <w:rsid w:val="00A64215"/>
    <w:rsid w:val="00A65E2C"/>
    <w:rsid w:val="00A6735C"/>
    <w:rsid w:val="00A71069"/>
    <w:rsid w:val="00A73B46"/>
    <w:rsid w:val="00A7638B"/>
    <w:rsid w:val="00A764B8"/>
    <w:rsid w:val="00A7789E"/>
    <w:rsid w:val="00A77AE1"/>
    <w:rsid w:val="00A77C3D"/>
    <w:rsid w:val="00A80E6C"/>
    <w:rsid w:val="00A8172D"/>
    <w:rsid w:val="00A8304E"/>
    <w:rsid w:val="00A83B5F"/>
    <w:rsid w:val="00A8404E"/>
    <w:rsid w:val="00A841F9"/>
    <w:rsid w:val="00A84D7E"/>
    <w:rsid w:val="00A86C7A"/>
    <w:rsid w:val="00A86DE4"/>
    <w:rsid w:val="00A919E7"/>
    <w:rsid w:val="00A91EEA"/>
    <w:rsid w:val="00A92EE5"/>
    <w:rsid w:val="00A93F95"/>
    <w:rsid w:val="00A94060"/>
    <w:rsid w:val="00A944A7"/>
    <w:rsid w:val="00A95F96"/>
    <w:rsid w:val="00A97A85"/>
    <w:rsid w:val="00AA1820"/>
    <w:rsid w:val="00AA2707"/>
    <w:rsid w:val="00AA31E5"/>
    <w:rsid w:val="00AA3BBE"/>
    <w:rsid w:val="00AA4D2B"/>
    <w:rsid w:val="00AA5BC7"/>
    <w:rsid w:val="00AA5F5F"/>
    <w:rsid w:val="00AA7641"/>
    <w:rsid w:val="00AA7DF6"/>
    <w:rsid w:val="00AB25DF"/>
    <w:rsid w:val="00AB363C"/>
    <w:rsid w:val="00AB3B9B"/>
    <w:rsid w:val="00AB5D2A"/>
    <w:rsid w:val="00AB6295"/>
    <w:rsid w:val="00AC13FB"/>
    <w:rsid w:val="00AC38B3"/>
    <w:rsid w:val="00AC707F"/>
    <w:rsid w:val="00AC7C08"/>
    <w:rsid w:val="00AD013D"/>
    <w:rsid w:val="00AD02EC"/>
    <w:rsid w:val="00AD107F"/>
    <w:rsid w:val="00AD1341"/>
    <w:rsid w:val="00AD3013"/>
    <w:rsid w:val="00AD444D"/>
    <w:rsid w:val="00AD4916"/>
    <w:rsid w:val="00AD5252"/>
    <w:rsid w:val="00AD68C6"/>
    <w:rsid w:val="00AD6C88"/>
    <w:rsid w:val="00AE0A7A"/>
    <w:rsid w:val="00AE1D5B"/>
    <w:rsid w:val="00AE49EA"/>
    <w:rsid w:val="00AE4B4F"/>
    <w:rsid w:val="00AE592F"/>
    <w:rsid w:val="00AE6130"/>
    <w:rsid w:val="00AE67ED"/>
    <w:rsid w:val="00AE6F73"/>
    <w:rsid w:val="00AE76F1"/>
    <w:rsid w:val="00AF1197"/>
    <w:rsid w:val="00AF1505"/>
    <w:rsid w:val="00AF16EB"/>
    <w:rsid w:val="00AF1C56"/>
    <w:rsid w:val="00AF237B"/>
    <w:rsid w:val="00AF6420"/>
    <w:rsid w:val="00AF66D9"/>
    <w:rsid w:val="00AF736D"/>
    <w:rsid w:val="00AF7402"/>
    <w:rsid w:val="00B03D94"/>
    <w:rsid w:val="00B05E1C"/>
    <w:rsid w:val="00B07FA4"/>
    <w:rsid w:val="00B10582"/>
    <w:rsid w:val="00B1071D"/>
    <w:rsid w:val="00B10991"/>
    <w:rsid w:val="00B10B7B"/>
    <w:rsid w:val="00B10DF4"/>
    <w:rsid w:val="00B14789"/>
    <w:rsid w:val="00B212BE"/>
    <w:rsid w:val="00B23443"/>
    <w:rsid w:val="00B24F10"/>
    <w:rsid w:val="00B25866"/>
    <w:rsid w:val="00B270B4"/>
    <w:rsid w:val="00B279C7"/>
    <w:rsid w:val="00B3010F"/>
    <w:rsid w:val="00B3395E"/>
    <w:rsid w:val="00B363A8"/>
    <w:rsid w:val="00B3679A"/>
    <w:rsid w:val="00B36CD2"/>
    <w:rsid w:val="00B372BC"/>
    <w:rsid w:val="00B379D8"/>
    <w:rsid w:val="00B37B42"/>
    <w:rsid w:val="00B409C0"/>
    <w:rsid w:val="00B40E75"/>
    <w:rsid w:val="00B410BE"/>
    <w:rsid w:val="00B423C3"/>
    <w:rsid w:val="00B4246A"/>
    <w:rsid w:val="00B43108"/>
    <w:rsid w:val="00B43925"/>
    <w:rsid w:val="00B43E00"/>
    <w:rsid w:val="00B45266"/>
    <w:rsid w:val="00B45D70"/>
    <w:rsid w:val="00B4701F"/>
    <w:rsid w:val="00B47D3A"/>
    <w:rsid w:val="00B508CD"/>
    <w:rsid w:val="00B50A1C"/>
    <w:rsid w:val="00B51A67"/>
    <w:rsid w:val="00B53D10"/>
    <w:rsid w:val="00B53ED6"/>
    <w:rsid w:val="00B55C46"/>
    <w:rsid w:val="00B602D4"/>
    <w:rsid w:val="00B60779"/>
    <w:rsid w:val="00B60832"/>
    <w:rsid w:val="00B621A8"/>
    <w:rsid w:val="00B62852"/>
    <w:rsid w:val="00B62F89"/>
    <w:rsid w:val="00B63237"/>
    <w:rsid w:val="00B63AA0"/>
    <w:rsid w:val="00B64614"/>
    <w:rsid w:val="00B64E1C"/>
    <w:rsid w:val="00B67893"/>
    <w:rsid w:val="00B71D9A"/>
    <w:rsid w:val="00B73084"/>
    <w:rsid w:val="00B732C9"/>
    <w:rsid w:val="00B73790"/>
    <w:rsid w:val="00B7643C"/>
    <w:rsid w:val="00B770F1"/>
    <w:rsid w:val="00B806C7"/>
    <w:rsid w:val="00B848FC"/>
    <w:rsid w:val="00B85ECA"/>
    <w:rsid w:val="00B862CF"/>
    <w:rsid w:val="00B86736"/>
    <w:rsid w:val="00B875C5"/>
    <w:rsid w:val="00B90294"/>
    <w:rsid w:val="00B91AFB"/>
    <w:rsid w:val="00B93284"/>
    <w:rsid w:val="00B9362F"/>
    <w:rsid w:val="00BA03D6"/>
    <w:rsid w:val="00BA05EE"/>
    <w:rsid w:val="00BA0EDC"/>
    <w:rsid w:val="00BA1069"/>
    <w:rsid w:val="00BA2012"/>
    <w:rsid w:val="00BA272E"/>
    <w:rsid w:val="00BB059D"/>
    <w:rsid w:val="00BB1868"/>
    <w:rsid w:val="00BB1B12"/>
    <w:rsid w:val="00BB1F1D"/>
    <w:rsid w:val="00BB36A8"/>
    <w:rsid w:val="00BC4A10"/>
    <w:rsid w:val="00BC6810"/>
    <w:rsid w:val="00BC759C"/>
    <w:rsid w:val="00BD0A18"/>
    <w:rsid w:val="00BD1EB4"/>
    <w:rsid w:val="00BD276D"/>
    <w:rsid w:val="00BD2F56"/>
    <w:rsid w:val="00BD396A"/>
    <w:rsid w:val="00BD7109"/>
    <w:rsid w:val="00BD7CC6"/>
    <w:rsid w:val="00BE2B80"/>
    <w:rsid w:val="00BE43DB"/>
    <w:rsid w:val="00BE645C"/>
    <w:rsid w:val="00BE7159"/>
    <w:rsid w:val="00BF1DA6"/>
    <w:rsid w:val="00BF1DB8"/>
    <w:rsid w:val="00BF42EF"/>
    <w:rsid w:val="00BF71FC"/>
    <w:rsid w:val="00C000A9"/>
    <w:rsid w:val="00C05009"/>
    <w:rsid w:val="00C06140"/>
    <w:rsid w:val="00C063F6"/>
    <w:rsid w:val="00C06AC1"/>
    <w:rsid w:val="00C072F5"/>
    <w:rsid w:val="00C10BA0"/>
    <w:rsid w:val="00C10FF8"/>
    <w:rsid w:val="00C11AD7"/>
    <w:rsid w:val="00C11F3B"/>
    <w:rsid w:val="00C12E7F"/>
    <w:rsid w:val="00C13698"/>
    <w:rsid w:val="00C149AF"/>
    <w:rsid w:val="00C20BAA"/>
    <w:rsid w:val="00C20F05"/>
    <w:rsid w:val="00C2186D"/>
    <w:rsid w:val="00C256A4"/>
    <w:rsid w:val="00C258AE"/>
    <w:rsid w:val="00C25CDF"/>
    <w:rsid w:val="00C26644"/>
    <w:rsid w:val="00C268A4"/>
    <w:rsid w:val="00C27572"/>
    <w:rsid w:val="00C2796F"/>
    <w:rsid w:val="00C27B06"/>
    <w:rsid w:val="00C311D0"/>
    <w:rsid w:val="00C340B4"/>
    <w:rsid w:val="00C3460D"/>
    <w:rsid w:val="00C369B9"/>
    <w:rsid w:val="00C37B53"/>
    <w:rsid w:val="00C37FAF"/>
    <w:rsid w:val="00C41A1B"/>
    <w:rsid w:val="00C44A43"/>
    <w:rsid w:val="00C44C91"/>
    <w:rsid w:val="00C45B39"/>
    <w:rsid w:val="00C461DB"/>
    <w:rsid w:val="00C4626E"/>
    <w:rsid w:val="00C4675D"/>
    <w:rsid w:val="00C531AD"/>
    <w:rsid w:val="00C545C3"/>
    <w:rsid w:val="00C55E2D"/>
    <w:rsid w:val="00C63620"/>
    <w:rsid w:val="00C64BDE"/>
    <w:rsid w:val="00C6650E"/>
    <w:rsid w:val="00C6734E"/>
    <w:rsid w:val="00C7085E"/>
    <w:rsid w:val="00C720E5"/>
    <w:rsid w:val="00C726A3"/>
    <w:rsid w:val="00C74A8F"/>
    <w:rsid w:val="00C750ED"/>
    <w:rsid w:val="00C77847"/>
    <w:rsid w:val="00C86090"/>
    <w:rsid w:val="00C8642A"/>
    <w:rsid w:val="00C91C5D"/>
    <w:rsid w:val="00C93A21"/>
    <w:rsid w:val="00C94063"/>
    <w:rsid w:val="00C9620A"/>
    <w:rsid w:val="00C96E8E"/>
    <w:rsid w:val="00C97199"/>
    <w:rsid w:val="00C978EE"/>
    <w:rsid w:val="00CA1821"/>
    <w:rsid w:val="00CA3B43"/>
    <w:rsid w:val="00CA3BA7"/>
    <w:rsid w:val="00CA4E84"/>
    <w:rsid w:val="00CA720E"/>
    <w:rsid w:val="00CA7CEB"/>
    <w:rsid w:val="00CB005A"/>
    <w:rsid w:val="00CB0D20"/>
    <w:rsid w:val="00CB1F7F"/>
    <w:rsid w:val="00CB2C73"/>
    <w:rsid w:val="00CB3462"/>
    <w:rsid w:val="00CB4016"/>
    <w:rsid w:val="00CB403F"/>
    <w:rsid w:val="00CB5994"/>
    <w:rsid w:val="00CB6601"/>
    <w:rsid w:val="00CB6C7A"/>
    <w:rsid w:val="00CB7722"/>
    <w:rsid w:val="00CB77D7"/>
    <w:rsid w:val="00CC072D"/>
    <w:rsid w:val="00CC0A7E"/>
    <w:rsid w:val="00CC0D73"/>
    <w:rsid w:val="00CC2140"/>
    <w:rsid w:val="00CC2767"/>
    <w:rsid w:val="00CC278C"/>
    <w:rsid w:val="00CC2BEF"/>
    <w:rsid w:val="00CC655C"/>
    <w:rsid w:val="00CC695B"/>
    <w:rsid w:val="00CD0002"/>
    <w:rsid w:val="00CD2545"/>
    <w:rsid w:val="00CD2A23"/>
    <w:rsid w:val="00CD4E99"/>
    <w:rsid w:val="00CD5834"/>
    <w:rsid w:val="00CD6A36"/>
    <w:rsid w:val="00CE06B7"/>
    <w:rsid w:val="00CE2CB3"/>
    <w:rsid w:val="00CE344C"/>
    <w:rsid w:val="00CE38FF"/>
    <w:rsid w:val="00CE6353"/>
    <w:rsid w:val="00CE6C02"/>
    <w:rsid w:val="00CF15E0"/>
    <w:rsid w:val="00CF4DD8"/>
    <w:rsid w:val="00CF5F96"/>
    <w:rsid w:val="00CF65E1"/>
    <w:rsid w:val="00D009B6"/>
    <w:rsid w:val="00D00A19"/>
    <w:rsid w:val="00D012DF"/>
    <w:rsid w:val="00D033B9"/>
    <w:rsid w:val="00D0377E"/>
    <w:rsid w:val="00D05B07"/>
    <w:rsid w:val="00D06071"/>
    <w:rsid w:val="00D14DE4"/>
    <w:rsid w:val="00D17C8D"/>
    <w:rsid w:val="00D2243F"/>
    <w:rsid w:val="00D225AD"/>
    <w:rsid w:val="00D22636"/>
    <w:rsid w:val="00D227BE"/>
    <w:rsid w:val="00D22E19"/>
    <w:rsid w:val="00D233D3"/>
    <w:rsid w:val="00D2351C"/>
    <w:rsid w:val="00D31043"/>
    <w:rsid w:val="00D315C5"/>
    <w:rsid w:val="00D31BB7"/>
    <w:rsid w:val="00D322C2"/>
    <w:rsid w:val="00D35252"/>
    <w:rsid w:val="00D352E2"/>
    <w:rsid w:val="00D35F76"/>
    <w:rsid w:val="00D370CA"/>
    <w:rsid w:val="00D4292E"/>
    <w:rsid w:val="00D42A45"/>
    <w:rsid w:val="00D44B48"/>
    <w:rsid w:val="00D51D7E"/>
    <w:rsid w:val="00D527EB"/>
    <w:rsid w:val="00D5459D"/>
    <w:rsid w:val="00D54CCB"/>
    <w:rsid w:val="00D54F5F"/>
    <w:rsid w:val="00D578BD"/>
    <w:rsid w:val="00D60939"/>
    <w:rsid w:val="00D639BC"/>
    <w:rsid w:val="00D648FC"/>
    <w:rsid w:val="00D65293"/>
    <w:rsid w:val="00D653D6"/>
    <w:rsid w:val="00D6649F"/>
    <w:rsid w:val="00D67E8A"/>
    <w:rsid w:val="00D71574"/>
    <w:rsid w:val="00D71FE2"/>
    <w:rsid w:val="00D7351B"/>
    <w:rsid w:val="00D77AF7"/>
    <w:rsid w:val="00D844E4"/>
    <w:rsid w:val="00D86676"/>
    <w:rsid w:val="00D92F6C"/>
    <w:rsid w:val="00D9380A"/>
    <w:rsid w:val="00D94235"/>
    <w:rsid w:val="00D967C1"/>
    <w:rsid w:val="00DA076A"/>
    <w:rsid w:val="00DA1E7F"/>
    <w:rsid w:val="00DA2ACB"/>
    <w:rsid w:val="00DA2D73"/>
    <w:rsid w:val="00DA2E6A"/>
    <w:rsid w:val="00DA4F53"/>
    <w:rsid w:val="00DA609A"/>
    <w:rsid w:val="00DB170C"/>
    <w:rsid w:val="00DB3FB7"/>
    <w:rsid w:val="00DB4733"/>
    <w:rsid w:val="00DB473F"/>
    <w:rsid w:val="00DB5BB0"/>
    <w:rsid w:val="00DC205E"/>
    <w:rsid w:val="00DC28DF"/>
    <w:rsid w:val="00DC3861"/>
    <w:rsid w:val="00DC4113"/>
    <w:rsid w:val="00DC48DE"/>
    <w:rsid w:val="00DC66E8"/>
    <w:rsid w:val="00DD12B1"/>
    <w:rsid w:val="00DD36A6"/>
    <w:rsid w:val="00DD406E"/>
    <w:rsid w:val="00DD5E5F"/>
    <w:rsid w:val="00DD7347"/>
    <w:rsid w:val="00DD7911"/>
    <w:rsid w:val="00DD7D39"/>
    <w:rsid w:val="00DE155B"/>
    <w:rsid w:val="00DE6965"/>
    <w:rsid w:val="00DE71F4"/>
    <w:rsid w:val="00DF056E"/>
    <w:rsid w:val="00DF0BB4"/>
    <w:rsid w:val="00DF128A"/>
    <w:rsid w:val="00DF150C"/>
    <w:rsid w:val="00DF356D"/>
    <w:rsid w:val="00DF3C6F"/>
    <w:rsid w:val="00DF465F"/>
    <w:rsid w:val="00DF4F5A"/>
    <w:rsid w:val="00E002D4"/>
    <w:rsid w:val="00E0041E"/>
    <w:rsid w:val="00E01D13"/>
    <w:rsid w:val="00E023B6"/>
    <w:rsid w:val="00E03CF1"/>
    <w:rsid w:val="00E047F9"/>
    <w:rsid w:val="00E06161"/>
    <w:rsid w:val="00E07415"/>
    <w:rsid w:val="00E1065D"/>
    <w:rsid w:val="00E11A2B"/>
    <w:rsid w:val="00E11D77"/>
    <w:rsid w:val="00E11E4E"/>
    <w:rsid w:val="00E147FD"/>
    <w:rsid w:val="00E149DA"/>
    <w:rsid w:val="00E14F52"/>
    <w:rsid w:val="00E15643"/>
    <w:rsid w:val="00E17EFD"/>
    <w:rsid w:val="00E20081"/>
    <w:rsid w:val="00E21271"/>
    <w:rsid w:val="00E2129C"/>
    <w:rsid w:val="00E22F36"/>
    <w:rsid w:val="00E23DD4"/>
    <w:rsid w:val="00E241D7"/>
    <w:rsid w:val="00E2453F"/>
    <w:rsid w:val="00E27327"/>
    <w:rsid w:val="00E30466"/>
    <w:rsid w:val="00E33583"/>
    <w:rsid w:val="00E3413E"/>
    <w:rsid w:val="00E34B27"/>
    <w:rsid w:val="00E34BE2"/>
    <w:rsid w:val="00E41A4E"/>
    <w:rsid w:val="00E4208A"/>
    <w:rsid w:val="00E42202"/>
    <w:rsid w:val="00E42F7C"/>
    <w:rsid w:val="00E43175"/>
    <w:rsid w:val="00E44A83"/>
    <w:rsid w:val="00E46221"/>
    <w:rsid w:val="00E5046E"/>
    <w:rsid w:val="00E523C4"/>
    <w:rsid w:val="00E524AA"/>
    <w:rsid w:val="00E53E8A"/>
    <w:rsid w:val="00E55152"/>
    <w:rsid w:val="00E55A28"/>
    <w:rsid w:val="00E55B10"/>
    <w:rsid w:val="00E56287"/>
    <w:rsid w:val="00E56EC7"/>
    <w:rsid w:val="00E5729E"/>
    <w:rsid w:val="00E57356"/>
    <w:rsid w:val="00E60507"/>
    <w:rsid w:val="00E607F2"/>
    <w:rsid w:val="00E6139B"/>
    <w:rsid w:val="00E62ED7"/>
    <w:rsid w:val="00E63735"/>
    <w:rsid w:val="00E64314"/>
    <w:rsid w:val="00E66848"/>
    <w:rsid w:val="00E7011A"/>
    <w:rsid w:val="00E70524"/>
    <w:rsid w:val="00E70D7F"/>
    <w:rsid w:val="00E80528"/>
    <w:rsid w:val="00E820CF"/>
    <w:rsid w:val="00E82A5D"/>
    <w:rsid w:val="00E83A68"/>
    <w:rsid w:val="00E86BA2"/>
    <w:rsid w:val="00E903C7"/>
    <w:rsid w:val="00E90FD8"/>
    <w:rsid w:val="00E93532"/>
    <w:rsid w:val="00E93B92"/>
    <w:rsid w:val="00E94028"/>
    <w:rsid w:val="00E97AC2"/>
    <w:rsid w:val="00EA0ABF"/>
    <w:rsid w:val="00EA1C2E"/>
    <w:rsid w:val="00EA1D93"/>
    <w:rsid w:val="00EA2BD4"/>
    <w:rsid w:val="00EA3495"/>
    <w:rsid w:val="00EA4AC3"/>
    <w:rsid w:val="00EA7D24"/>
    <w:rsid w:val="00EB078A"/>
    <w:rsid w:val="00EB17DD"/>
    <w:rsid w:val="00EB195C"/>
    <w:rsid w:val="00EB34C5"/>
    <w:rsid w:val="00EB6C3C"/>
    <w:rsid w:val="00EB6C4C"/>
    <w:rsid w:val="00EB6D5D"/>
    <w:rsid w:val="00EB7178"/>
    <w:rsid w:val="00EC29C1"/>
    <w:rsid w:val="00EC3E43"/>
    <w:rsid w:val="00EC3EDA"/>
    <w:rsid w:val="00EC42B9"/>
    <w:rsid w:val="00EC5A02"/>
    <w:rsid w:val="00ED1400"/>
    <w:rsid w:val="00ED15D6"/>
    <w:rsid w:val="00ED3E78"/>
    <w:rsid w:val="00ED53F6"/>
    <w:rsid w:val="00ED6728"/>
    <w:rsid w:val="00EE537D"/>
    <w:rsid w:val="00EE6866"/>
    <w:rsid w:val="00EE70CC"/>
    <w:rsid w:val="00EF037B"/>
    <w:rsid w:val="00EF1C48"/>
    <w:rsid w:val="00EF2D3F"/>
    <w:rsid w:val="00EF3193"/>
    <w:rsid w:val="00EF3889"/>
    <w:rsid w:val="00EF3DAD"/>
    <w:rsid w:val="00EF40AE"/>
    <w:rsid w:val="00EF4101"/>
    <w:rsid w:val="00EF41CC"/>
    <w:rsid w:val="00EF4A86"/>
    <w:rsid w:val="00EF7BA1"/>
    <w:rsid w:val="00F02DA8"/>
    <w:rsid w:val="00F06A6F"/>
    <w:rsid w:val="00F07183"/>
    <w:rsid w:val="00F120A5"/>
    <w:rsid w:val="00F12133"/>
    <w:rsid w:val="00F12C46"/>
    <w:rsid w:val="00F15F56"/>
    <w:rsid w:val="00F17ACD"/>
    <w:rsid w:val="00F21AE2"/>
    <w:rsid w:val="00F22A75"/>
    <w:rsid w:val="00F23D1F"/>
    <w:rsid w:val="00F26FEA"/>
    <w:rsid w:val="00F34F2F"/>
    <w:rsid w:val="00F37F2B"/>
    <w:rsid w:val="00F42D79"/>
    <w:rsid w:val="00F439E0"/>
    <w:rsid w:val="00F46D18"/>
    <w:rsid w:val="00F46EE1"/>
    <w:rsid w:val="00F47841"/>
    <w:rsid w:val="00F51A94"/>
    <w:rsid w:val="00F524B5"/>
    <w:rsid w:val="00F54CAB"/>
    <w:rsid w:val="00F576D4"/>
    <w:rsid w:val="00F57944"/>
    <w:rsid w:val="00F632AA"/>
    <w:rsid w:val="00F6404B"/>
    <w:rsid w:val="00F64AE5"/>
    <w:rsid w:val="00F64BAA"/>
    <w:rsid w:val="00F66BD1"/>
    <w:rsid w:val="00F66E09"/>
    <w:rsid w:val="00F67045"/>
    <w:rsid w:val="00F71B5B"/>
    <w:rsid w:val="00F73AB3"/>
    <w:rsid w:val="00F75B06"/>
    <w:rsid w:val="00F75B6C"/>
    <w:rsid w:val="00F76F3E"/>
    <w:rsid w:val="00F7776D"/>
    <w:rsid w:val="00F77D51"/>
    <w:rsid w:val="00F8033D"/>
    <w:rsid w:val="00F80F53"/>
    <w:rsid w:val="00F83424"/>
    <w:rsid w:val="00F85199"/>
    <w:rsid w:val="00F85ECB"/>
    <w:rsid w:val="00F85FA5"/>
    <w:rsid w:val="00F86B63"/>
    <w:rsid w:val="00F9061A"/>
    <w:rsid w:val="00F93ECE"/>
    <w:rsid w:val="00F97749"/>
    <w:rsid w:val="00F97DF5"/>
    <w:rsid w:val="00FA14EC"/>
    <w:rsid w:val="00FA29A4"/>
    <w:rsid w:val="00FA404E"/>
    <w:rsid w:val="00FA5AD8"/>
    <w:rsid w:val="00FA7209"/>
    <w:rsid w:val="00FB007D"/>
    <w:rsid w:val="00FB04FD"/>
    <w:rsid w:val="00FB0CE2"/>
    <w:rsid w:val="00FB2548"/>
    <w:rsid w:val="00FB769C"/>
    <w:rsid w:val="00FC1A81"/>
    <w:rsid w:val="00FC1B81"/>
    <w:rsid w:val="00FC7128"/>
    <w:rsid w:val="00FC7F04"/>
    <w:rsid w:val="00FD12AD"/>
    <w:rsid w:val="00FD2277"/>
    <w:rsid w:val="00FD23DA"/>
    <w:rsid w:val="00FD2D2B"/>
    <w:rsid w:val="00FD43F6"/>
    <w:rsid w:val="00FD462F"/>
    <w:rsid w:val="00FD4812"/>
    <w:rsid w:val="00FD6A3F"/>
    <w:rsid w:val="00FD7E87"/>
    <w:rsid w:val="00FE167F"/>
    <w:rsid w:val="00FE1B87"/>
    <w:rsid w:val="00FE390F"/>
    <w:rsid w:val="00FE46E9"/>
    <w:rsid w:val="00FE584E"/>
    <w:rsid w:val="00FE58E3"/>
    <w:rsid w:val="00FF0141"/>
    <w:rsid w:val="00FF1545"/>
    <w:rsid w:val="00FF324C"/>
    <w:rsid w:val="00FF33B0"/>
    <w:rsid w:val="00FF3ADE"/>
    <w:rsid w:val="00FF3B10"/>
    <w:rsid w:val="00FF6C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515EC"/>
  <w15:docId w15:val="{426593E5-5B2E-7C41-B3A4-EC73B46A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35"/>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B10582"/>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D92F6C"/>
    <w:pPr>
      <w:keepNext/>
      <w:keepLines/>
      <w:spacing w:before="200" w:after="0"/>
      <w:outlineLvl w:val="1"/>
    </w:pPr>
    <w:rPr>
      <w:rFonts w:ascii="Cambria" w:hAnsi="Cambria"/>
      <w:b/>
      <w:bCs/>
      <w:color w:val="2DA2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F6C"/>
    <w:rPr>
      <w:rFonts w:ascii="Cambria" w:eastAsia="Times New Roman" w:hAnsi="Cambria" w:cs="Times New Roman"/>
      <w:b/>
      <w:bCs/>
      <w:color w:val="2DA2BF"/>
      <w:sz w:val="26"/>
      <w:szCs w:val="26"/>
    </w:rPr>
  </w:style>
  <w:style w:type="paragraph" w:styleId="Footer">
    <w:name w:val="footer"/>
    <w:basedOn w:val="Normal"/>
    <w:link w:val="FooterChar"/>
    <w:uiPriority w:val="99"/>
    <w:rsid w:val="00D92F6C"/>
    <w:pPr>
      <w:tabs>
        <w:tab w:val="center" w:pos="4535"/>
        <w:tab w:val="right" w:pos="9071"/>
        <w:tab w:val="right" w:pos="9921"/>
      </w:tabs>
      <w:spacing w:before="360" w:after="0"/>
      <w:ind w:left="-850" w:right="-850"/>
    </w:pPr>
    <w:rPr>
      <w:rFonts w:ascii="Tunga" w:eastAsia="Arial Unicode MS" w:hAnsi="Tunga"/>
      <w:lang w:eastAsia="de-DE"/>
    </w:rPr>
  </w:style>
  <w:style w:type="character" w:customStyle="1" w:styleId="FooterChar">
    <w:name w:val="Footer Char"/>
    <w:basedOn w:val="DefaultParagraphFont"/>
    <w:link w:val="Footer"/>
    <w:uiPriority w:val="99"/>
    <w:rsid w:val="00D92F6C"/>
    <w:rPr>
      <w:rFonts w:ascii="Tunga" w:eastAsia="Arial Unicode MS" w:hAnsi="Tunga" w:cs="Times New Roman"/>
      <w:lang w:eastAsia="de-DE"/>
    </w:rPr>
  </w:style>
  <w:style w:type="character" w:styleId="FootnoteReferenc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D92F6C"/>
    <w:rPr>
      <w:vertAlign w:val="superscript"/>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1"/>
    <w:uiPriority w:val="99"/>
    <w:qFormat/>
    <w:rsid w:val="00D92F6C"/>
    <w:pPr>
      <w:spacing w:after="0"/>
      <w:ind w:left="720" w:hanging="720"/>
    </w:pPr>
    <w:rPr>
      <w:sz w:val="20"/>
      <w:szCs w:val="20"/>
    </w:rPr>
  </w:style>
  <w:style w:type="character" w:customStyle="1" w:styleId="FootnoteTextChar">
    <w:name w:val="Footnote Text Char"/>
    <w:aliases w:val="Footnote Text Char1 Char1 Char Char,single space Char,fn Char,ft Char"/>
    <w:basedOn w:val="DefaultParagraphFont"/>
    <w:uiPriority w:val="99"/>
    <w:qFormat/>
    <w:rsid w:val="00D92F6C"/>
    <w:rPr>
      <w:rFonts w:ascii="Calibri" w:eastAsia="Times New Roman" w:hAnsi="Calibri" w:cs="Times New Roman"/>
      <w:sz w:val="20"/>
      <w:szCs w:val="20"/>
      <w:lang w:val="en-GB" w:eastAsia="en-GB"/>
    </w:rPr>
  </w:style>
  <w:style w:type="paragraph" w:styleId="Header">
    <w:name w:val="header"/>
    <w:basedOn w:val="Normal"/>
    <w:link w:val="HeaderChar"/>
    <w:uiPriority w:val="99"/>
    <w:rsid w:val="00D92F6C"/>
    <w:pPr>
      <w:tabs>
        <w:tab w:val="right" w:pos="9071"/>
      </w:tabs>
    </w:pPr>
  </w:style>
  <w:style w:type="character" w:customStyle="1" w:styleId="HeaderChar">
    <w:name w:val="Header Char"/>
    <w:basedOn w:val="DefaultParagraphFont"/>
    <w:link w:val="Header"/>
    <w:uiPriority w:val="99"/>
    <w:rsid w:val="00D92F6C"/>
    <w:rPr>
      <w:rFonts w:ascii="Calibri" w:eastAsia="Times New Roman" w:hAnsi="Calibri" w:cs="Times New Roman"/>
      <w:lang w:val="en-GB" w:eastAsia="en-GB"/>
    </w:rPr>
  </w:style>
  <w:style w:type="paragraph" w:styleId="ListParagraph">
    <w:name w:val="List Paragraph"/>
    <w:aliases w:val="Bullet point,Table of contents numbered,Colorful List - Accent 11,List Paragraph2,Light Grid - Accent 31,Akapit z listą BS,Bullet1,List Paragraph in table,PROVERE 1,Table/Figure Heading,Dot pt,F5 List Paragraph,List Paragraph1"/>
    <w:basedOn w:val="Normal"/>
    <w:link w:val="ListParagraphChar"/>
    <w:uiPriority w:val="34"/>
    <w:qFormat/>
    <w:rsid w:val="00D92F6C"/>
    <w:pPr>
      <w:ind w:left="720"/>
      <w:contextualSpacing/>
    </w:pPr>
  </w:style>
  <w:style w:type="character" w:customStyle="1" w:styleId="FootnoteTextChar1">
    <w:name w:val="Footnote Text Char1"/>
    <w:aliases w:val="Footnote Text Char Char Char Char,Footnote Text Char Char Char1,Fußnote Char,Footnote Char,Footnote Text Char1 Char Char,Footnote Text Char1 Char Char Char Char,Footnote Text Char Char Char Char Char Char,Fußnotentextf Char,fn Char1"/>
    <w:link w:val="FootnoteText"/>
    <w:uiPriority w:val="99"/>
    <w:qFormat/>
    <w:rsid w:val="00D92F6C"/>
    <w:rPr>
      <w:rFonts w:ascii="Calibri" w:eastAsia="Times New Roman" w:hAnsi="Calibri" w:cs="Times New Roman"/>
      <w:sz w:val="20"/>
      <w:szCs w:val="20"/>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D92F6C"/>
    <w:pPr>
      <w:spacing w:before="120" w:after="160" w:line="240" w:lineRule="exact"/>
      <w:jc w:val="both"/>
    </w:pPr>
    <w:rPr>
      <w:rFonts w:asciiTheme="minorHAnsi" w:eastAsiaTheme="minorHAnsi" w:hAnsiTheme="minorHAnsi" w:cstheme="minorBidi"/>
      <w:vertAlign w:val="superscript"/>
      <w:lang w:val="fr-BE" w:eastAsia="en-US"/>
    </w:rPr>
  </w:style>
  <w:style w:type="character" w:customStyle="1" w:styleId="ListParagraphChar">
    <w:name w:val="List Paragraph Char"/>
    <w:aliases w:val="Bullet point Char,Table of contents numbered Char,Colorful List - Accent 11 Char,List Paragraph2 Char,Light Grid - Accent 31 Char,Akapit z listą BS Char,Bullet1 Char,List Paragraph in table Char,PROVERE 1 Char,Dot pt Char"/>
    <w:link w:val="ListParagraph"/>
    <w:uiPriority w:val="99"/>
    <w:qFormat/>
    <w:locked/>
    <w:rsid w:val="00D92F6C"/>
    <w:rPr>
      <w:rFonts w:ascii="Calibri" w:eastAsia="Times New Roman" w:hAnsi="Calibri" w:cs="Times New Roman"/>
      <w:lang w:val="en-GB" w:eastAsia="en-GB"/>
    </w:rPr>
  </w:style>
  <w:style w:type="paragraph" w:customStyle="1" w:styleId="Default">
    <w:name w:val="Default"/>
    <w:rsid w:val="003D1B1E"/>
    <w:pPr>
      <w:autoSpaceDE w:val="0"/>
      <w:autoSpaceDN w:val="0"/>
      <w:adjustRightInd w:val="0"/>
      <w:spacing w:after="0" w:line="240" w:lineRule="auto"/>
    </w:pPr>
    <w:rPr>
      <w:rFonts w:ascii="Times New Roman" w:eastAsia="Calibri" w:hAnsi="Times New Roman" w:cs="Times New Roman"/>
      <w:color w:val="000000"/>
      <w:sz w:val="24"/>
      <w:szCs w:val="24"/>
      <w:lang w:val="mk-MK" w:eastAsia="mk-MK"/>
    </w:rPr>
  </w:style>
  <w:style w:type="paragraph" w:styleId="EndnoteText">
    <w:name w:val="endnote text"/>
    <w:basedOn w:val="Normal"/>
    <w:link w:val="EndnoteTextChar"/>
    <w:uiPriority w:val="99"/>
    <w:semiHidden/>
    <w:unhideWhenUsed/>
    <w:rsid w:val="007E4F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4FE3"/>
    <w:rPr>
      <w:rFonts w:ascii="Calibri" w:eastAsia="Times New Roman" w:hAnsi="Calibri" w:cs="Times New Roman"/>
      <w:sz w:val="20"/>
      <w:szCs w:val="20"/>
      <w:lang w:val="en-GB" w:eastAsia="en-GB"/>
    </w:rPr>
  </w:style>
  <w:style w:type="character" w:styleId="EndnoteReference">
    <w:name w:val="endnote reference"/>
    <w:basedOn w:val="DefaultParagraphFont"/>
    <w:uiPriority w:val="99"/>
    <w:semiHidden/>
    <w:unhideWhenUsed/>
    <w:rsid w:val="007E4FE3"/>
    <w:rPr>
      <w:vertAlign w:val="superscript"/>
    </w:rPr>
  </w:style>
  <w:style w:type="paragraph" w:customStyle="1" w:styleId="Titreobjet">
    <w:name w:val="Titre objet"/>
    <w:basedOn w:val="Normal"/>
    <w:next w:val="Normal"/>
    <w:rsid w:val="00F46D18"/>
    <w:pPr>
      <w:spacing w:before="180" w:after="180" w:line="240" w:lineRule="auto"/>
      <w:jc w:val="center"/>
    </w:pPr>
    <w:rPr>
      <w:rFonts w:ascii="Times New Roman" w:eastAsia="Calibri" w:hAnsi="Times New Roman"/>
      <w:b/>
      <w:sz w:val="24"/>
    </w:rPr>
  </w:style>
  <w:style w:type="paragraph" w:customStyle="1" w:styleId="Typeacteprincipal">
    <w:name w:val="Type acte principal"/>
    <w:basedOn w:val="Normal"/>
    <w:next w:val="Objetacteprincipal"/>
    <w:rsid w:val="00F46D18"/>
    <w:pPr>
      <w:spacing w:after="240" w:line="240" w:lineRule="auto"/>
      <w:jc w:val="center"/>
    </w:pPr>
    <w:rPr>
      <w:rFonts w:ascii="Times New Roman" w:eastAsia="Calibri" w:hAnsi="Times New Roman"/>
      <w:b/>
      <w:sz w:val="24"/>
    </w:rPr>
  </w:style>
  <w:style w:type="paragraph" w:customStyle="1" w:styleId="Accompagnant">
    <w:name w:val="Accompagnant"/>
    <w:basedOn w:val="Normal"/>
    <w:next w:val="Typeacteprincipal"/>
    <w:rsid w:val="00F46D18"/>
    <w:pPr>
      <w:spacing w:before="180" w:after="240" w:line="240" w:lineRule="auto"/>
      <w:jc w:val="center"/>
    </w:pPr>
    <w:rPr>
      <w:rFonts w:ascii="Times New Roman" w:eastAsia="Calibri" w:hAnsi="Times New Roman"/>
      <w:b/>
      <w:sz w:val="24"/>
    </w:rPr>
  </w:style>
  <w:style w:type="paragraph" w:customStyle="1" w:styleId="Objetacteprincipal">
    <w:name w:val="Objet acte principal"/>
    <w:basedOn w:val="Normal"/>
    <w:next w:val="Normal"/>
    <w:rsid w:val="00F46D18"/>
    <w:pPr>
      <w:spacing w:after="360" w:line="240" w:lineRule="auto"/>
      <w:jc w:val="center"/>
    </w:pPr>
    <w:rPr>
      <w:rFonts w:ascii="Times New Roman" w:eastAsia="Calibri" w:hAnsi="Times New Roman"/>
      <w:b/>
      <w:sz w:val="24"/>
    </w:rPr>
  </w:style>
  <w:style w:type="paragraph" w:styleId="BalloonText">
    <w:name w:val="Balloon Text"/>
    <w:basedOn w:val="Normal"/>
    <w:link w:val="BalloonTextChar"/>
    <w:uiPriority w:val="99"/>
    <w:semiHidden/>
    <w:unhideWhenUsed/>
    <w:rsid w:val="00BA2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12"/>
    <w:rPr>
      <w:rFonts w:ascii="Tahoma" w:eastAsia="Times New Roman" w:hAnsi="Tahoma" w:cs="Tahoma"/>
      <w:sz w:val="16"/>
      <w:szCs w:val="16"/>
      <w:lang w:val="en-GB" w:eastAsia="en-GB"/>
    </w:rPr>
  </w:style>
  <w:style w:type="character" w:styleId="CommentReference">
    <w:name w:val="annotation reference"/>
    <w:basedOn w:val="DefaultParagraphFont"/>
    <w:uiPriority w:val="99"/>
    <w:unhideWhenUsed/>
    <w:qFormat/>
    <w:rsid w:val="0004402B"/>
    <w:rPr>
      <w:sz w:val="16"/>
      <w:szCs w:val="16"/>
    </w:rPr>
  </w:style>
  <w:style w:type="paragraph" w:styleId="CommentText">
    <w:name w:val="annotation text"/>
    <w:aliases w:val="Char Char"/>
    <w:basedOn w:val="Normal"/>
    <w:link w:val="CommentTextChar"/>
    <w:uiPriority w:val="99"/>
    <w:unhideWhenUsed/>
    <w:rsid w:val="0004402B"/>
    <w:pPr>
      <w:spacing w:line="240" w:lineRule="auto"/>
    </w:pPr>
    <w:rPr>
      <w:sz w:val="20"/>
      <w:szCs w:val="20"/>
    </w:rPr>
  </w:style>
  <w:style w:type="character" w:customStyle="1" w:styleId="CommentTextChar">
    <w:name w:val="Comment Text Char"/>
    <w:aliases w:val="Char Char Char"/>
    <w:basedOn w:val="DefaultParagraphFont"/>
    <w:link w:val="CommentText"/>
    <w:uiPriority w:val="99"/>
    <w:rsid w:val="0004402B"/>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4402B"/>
    <w:rPr>
      <w:b/>
      <w:bCs/>
    </w:rPr>
  </w:style>
  <w:style w:type="character" w:customStyle="1" w:styleId="CommentSubjectChar">
    <w:name w:val="Comment Subject Char"/>
    <w:basedOn w:val="CommentTextChar"/>
    <w:link w:val="CommentSubject"/>
    <w:uiPriority w:val="99"/>
    <w:semiHidden/>
    <w:rsid w:val="0004402B"/>
    <w:rPr>
      <w:rFonts w:ascii="Calibri" w:eastAsia="Times New Roman" w:hAnsi="Calibri" w:cs="Times New Roman"/>
      <w:b/>
      <w:bCs/>
      <w:sz w:val="20"/>
      <w:szCs w:val="20"/>
      <w:lang w:val="en-GB" w:eastAsia="en-GB"/>
    </w:rPr>
  </w:style>
  <w:style w:type="paragraph" w:customStyle="1" w:styleId="Char2CharCharCharCharCharCharCharCharChar">
    <w:name w:val="Char2 Char Char Char Char Char Char Char Char Char"/>
    <w:basedOn w:val="Normal"/>
    <w:rsid w:val="00784084"/>
    <w:pPr>
      <w:spacing w:after="160" w:line="240" w:lineRule="exact"/>
    </w:pPr>
    <w:rPr>
      <w:rFonts w:ascii="Tahoma" w:hAnsi="Tahoma"/>
      <w:sz w:val="20"/>
      <w:szCs w:val="20"/>
      <w:lang w:val="en-US" w:eastAsia="en-US"/>
    </w:rPr>
  </w:style>
  <w:style w:type="paragraph" w:styleId="NoSpacing">
    <w:name w:val="No Spacing"/>
    <w:qFormat/>
    <w:rsid w:val="00931D8E"/>
    <w:pPr>
      <w:spacing w:after="0" w:line="240" w:lineRule="auto"/>
    </w:pPr>
    <w:rPr>
      <w:rFonts w:ascii="Calibri" w:eastAsia="Times New Roman" w:hAnsi="Calibri" w:cs="Times New Roman"/>
      <w:lang w:val="en-IE"/>
    </w:rPr>
  </w:style>
  <w:style w:type="paragraph" w:styleId="BodyText">
    <w:name w:val="Body Text"/>
    <w:basedOn w:val="Normal"/>
    <w:link w:val="BodyTextChar"/>
    <w:uiPriority w:val="1"/>
    <w:qFormat/>
    <w:rsid w:val="00CA3B43"/>
    <w:pPr>
      <w:widowControl w:val="0"/>
      <w:autoSpaceDE w:val="0"/>
      <w:autoSpaceDN w:val="0"/>
      <w:spacing w:after="0" w:line="240" w:lineRule="auto"/>
    </w:pPr>
    <w:rPr>
      <w:rFonts w:eastAsia="Calibri" w:cs="Calibri"/>
      <w:lang w:val="en-US" w:eastAsia="en-US"/>
    </w:rPr>
  </w:style>
  <w:style w:type="character" w:customStyle="1" w:styleId="BodyTextChar">
    <w:name w:val="Body Text Char"/>
    <w:basedOn w:val="DefaultParagraphFont"/>
    <w:link w:val="BodyText"/>
    <w:uiPriority w:val="1"/>
    <w:rsid w:val="00CA3B43"/>
    <w:rPr>
      <w:rFonts w:ascii="Calibri" w:eastAsia="Calibri" w:hAnsi="Calibri" w:cs="Calibri"/>
      <w:lang w:val="en-US"/>
    </w:rPr>
  </w:style>
  <w:style w:type="character" w:customStyle="1" w:styleId="Heading1Char">
    <w:name w:val="Heading 1 Char"/>
    <w:basedOn w:val="DefaultParagraphFont"/>
    <w:link w:val="Heading1"/>
    <w:uiPriority w:val="9"/>
    <w:rsid w:val="00B10582"/>
    <w:rPr>
      <w:rFonts w:asciiTheme="majorHAnsi" w:eastAsiaTheme="majorEastAsia" w:hAnsiTheme="majorHAnsi" w:cstheme="majorBidi"/>
      <w:b/>
      <w:bCs/>
      <w:color w:val="2C6EAB" w:themeColor="accent1" w:themeShade="B5"/>
      <w:sz w:val="32"/>
      <w:szCs w:val="32"/>
      <w:lang w:val="en-GB" w:eastAsia="en-GB"/>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Char,Appel note de bas de p."/>
    <w:basedOn w:val="Normal"/>
    <w:uiPriority w:val="99"/>
    <w:rsid w:val="00B10582"/>
    <w:pPr>
      <w:spacing w:after="0" w:line="240" w:lineRule="exact"/>
      <w:jc w:val="both"/>
    </w:pPr>
    <w:rPr>
      <w:rFonts w:ascii="Times New Roman" w:eastAsiaTheme="minorHAnsi" w:hAnsi="Times New Roman" w:cstheme="minorBidi"/>
      <w:sz w:val="24"/>
      <w:vertAlign w:val="superscript"/>
      <w:lang w:eastAsia="en-US"/>
    </w:rPr>
  </w:style>
  <w:style w:type="paragraph" w:customStyle="1" w:styleId="FootnoteText1">
    <w:name w:val="Footnote Text1"/>
    <w:basedOn w:val="Normal"/>
    <w:rsid w:val="00B10582"/>
    <w:pPr>
      <w:spacing w:after="0"/>
      <w:ind w:left="720" w:hanging="720"/>
    </w:pPr>
    <w:rPr>
      <w:rFonts w:cs="Calibri"/>
      <w:sz w:val="20"/>
      <w:szCs w:val="20"/>
      <w:lang w:val="en-US" w:eastAsia="en-US"/>
    </w:rPr>
  </w:style>
  <w:style w:type="character" w:styleId="Hyperlink">
    <w:name w:val="Hyperlink"/>
    <w:basedOn w:val="DefaultParagraphFont"/>
    <w:uiPriority w:val="99"/>
    <w:unhideWhenUsed/>
    <w:rsid w:val="00C369B9"/>
    <w:rPr>
      <w:color w:val="0563C1" w:themeColor="hyperlink"/>
      <w:u w:val="single"/>
    </w:rPr>
  </w:style>
  <w:style w:type="table" w:styleId="TableGrid">
    <w:name w:val="Table Grid"/>
    <w:basedOn w:val="TableNormal"/>
    <w:uiPriority w:val="39"/>
    <w:rsid w:val="00891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E55D1"/>
    <w:rPr>
      <w:color w:val="605E5C"/>
      <w:shd w:val="clear" w:color="auto" w:fill="E1DFDD"/>
    </w:rPr>
  </w:style>
  <w:style w:type="paragraph" w:customStyle="1" w:styleId="Standard">
    <w:name w:val="Standard"/>
    <w:rsid w:val="00991C09"/>
    <w:pPr>
      <w:suppressAutoHyphens/>
      <w:spacing w:after="0" w:line="276" w:lineRule="auto"/>
      <w:ind w:right="567"/>
      <w:jc w:val="both"/>
    </w:pPr>
    <w:rPr>
      <w:rFonts w:ascii="Liberation Serif" w:eastAsia="NSimSun" w:hAnsi="Liberation Serif" w:cs="Lucida Sans"/>
      <w:kern w:val="3"/>
      <w:sz w:val="24"/>
      <w:szCs w:val="24"/>
      <w:lang w:val="en-GB" w:eastAsia="zh-CN" w:bidi="hi-IN"/>
    </w:rPr>
  </w:style>
  <w:style w:type="paragraph" w:styleId="NormalWeb">
    <w:name w:val="Normal (Web)"/>
    <w:basedOn w:val="Normal"/>
    <w:uiPriority w:val="99"/>
    <w:unhideWhenUsed/>
    <w:rsid w:val="00FE46E9"/>
    <w:pPr>
      <w:spacing w:before="100" w:beforeAutospacing="1" w:after="100" w:afterAutospacing="1" w:line="240" w:lineRule="auto"/>
    </w:pPr>
    <w:rPr>
      <w:rFonts w:ascii="Times New Roman" w:hAnsi="Times New Roman"/>
      <w:sz w:val="24"/>
      <w:szCs w:val="24"/>
      <w:lang w:val="en-US" w:eastAsia="en-US"/>
    </w:rPr>
  </w:style>
  <w:style w:type="paragraph" w:styleId="Revision">
    <w:name w:val="Revision"/>
    <w:hidden/>
    <w:uiPriority w:val="99"/>
    <w:semiHidden/>
    <w:rsid w:val="00892FEE"/>
    <w:pPr>
      <w:spacing w:after="0" w:line="240" w:lineRule="auto"/>
    </w:pPr>
    <w:rPr>
      <w:rFonts w:ascii="Calibri" w:eastAsia="Times New Roman" w:hAnsi="Calibri" w:cs="Times New Roman"/>
      <w:lang w:val="en-GB" w:eastAsia="en-GB"/>
    </w:rPr>
  </w:style>
  <w:style w:type="character" w:styleId="FollowedHyperlink">
    <w:name w:val="FollowedHyperlink"/>
    <w:basedOn w:val="DefaultParagraphFont"/>
    <w:uiPriority w:val="99"/>
    <w:semiHidden/>
    <w:unhideWhenUsed/>
    <w:rsid w:val="00BC6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2527">
      <w:bodyDiv w:val="1"/>
      <w:marLeft w:val="0"/>
      <w:marRight w:val="0"/>
      <w:marTop w:val="0"/>
      <w:marBottom w:val="0"/>
      <w:divBdr>
        <w:top w:val="none" w:sz="0" w:space="0" w:color="auto"/>
        <w:left w:val="none" w:sz="0" w:space="0" w:color="auto"/>
        <w:bottom w:val="none" w:sz="0" w:space="0" w:color="auto"/>
        <w:right w:val="none" w:sz="0" w:space="0" w:color="auto"/>
      </w:divBdr>
    </w:div>
    <w:div w:id="198513951">
      <w:bodyDiv w:val="1"/>
      <w:marLeft w:val="0"/>
      <w:marRight w:val="0"/>
      <w:marTop w:val="0"/>
      <w:marBottom w:val="0"/>
      <w:divBdr>
        <w:top w:val="none" w:sz="0" w:space="0" w:color="auto"/>
        <w:left w:val="none" w:sz="0" w:space="0" w:color="auto"/>
        <w:bottom w:val="none" w:sz="0" w:space="0" w:color="auto"/>
        <w:right w:val="none" w:sz="0" w:space="0" w:color="auto"/>
      </w:divBdr>
    </w:div>
    <w:div w:id="203637741">
      <w:bodyDiv w:val="1"/>
      <w:marLeft w:val="0"/>
      <w:marRight w:val="0"/>
      <w:marTop w:val="0"/>
      <w:marBottom w:val="0"/>
      <w:divBdr>
        <w:top w:val="none" w:sz="0" w:space="0" w:color="auto"/>
        <w:left w:val="none" w:sz="0" w:space="0" w:color="auto"/>
        <w:bottom w:val="none" w:sz="0" w:space="0" w:color="auto"/>
        <w:right w:val="none" w:sz="0" w:space="0" w:color="auto"/>
      </w:divBdr>
    </w:div>
    <w:div w:id="232934481">
      <w:bodyDiv w:val="1"/>
      <w:marLeft w:val="0"/>
      <w:marRight w:val="0"/>
      <w:marTop w:val="0"/>
      <w:marBottom w:val="0"/>
      <w:divBdr>
        <w:top w:val="none" w:sz="0" w:space="0" w:color="auto"/>
        <w:left w:val="none" w:sz="0" w:space="0" w:color="auto"/>
        <w:bottom w:val="none" w:sz="0" w:space="0" w:color="auto"/>
        <w:right w:val="none" w:sz="0" w:space="0" w:color="auto"/>
      </w:divBdr>
      <w:divsChild>
        <w:div w:id="649863894">
          <w:marLeft w:val="0"/>
          <w:marRight w:val="0"/>
          <w:marTop w:val="0"/>
          <w:marBottom w:val="0"/>
          <w:divBdr>
            <w:top w:val="none" w:sz="0" w:space="0" w:color="auto"/>
            <w:left w:val="none" w:sz="0" w:space="0" w:color="auto"/>
            <w:bottom w:val="none" w:sz="0" w:space="0" w:color="auto"/>
            <w:right w:val="none" w:sz="0" w:space="0" w:color="auto"/>
          </w:divBdr>
        </w:div>
        <w:div w:id="1219973113">
          <w:marLeft w:val="0"/>
          <w:marRight w:val="0"/>
          <w:marTop w:val="0"/>
          <w:marBottom w:val="120"/>
          <w:divBdr>
            <w:top w:val="none" w:sz="0" w:space="0" w:color="auto"/>
            <w:left w:val="none" w:sz="0" w:space="0" w:color="auto"/>
            <w:bottom w:val="none" w:sz="0" w:space="0" w:color="auto"/>
            <w:right w:val="none" w:sz="0" w:space="0" w:color="auto"/>
          </w:divBdr>
        </w:div>
      </w:divsChild>
    </w:div>
    <w:div w:id="234053863">
      <w:bodyDiv w:val="1"/>
      <w:marLeft w:val="0"/>
      <w:marRight w:val="0"/>
      <w:marTop w:val="0"/>
      <w:marBottom w:val="0"/>
      <w:divBdr>
        <w:top w:val="none" w:sz="0" w:space="0" w:color="auto"/>
        <w:left w:val="none" w:sz="0" w:space="0" w:color="auto"/>
        <w:bottom w:val="none" w:sz="0" w:space="0" w:color="auto"/>
        <w:right w:val="none" w:sz="0" w:space="0" w:color="auto"/>
      </w:divBdr>
    </w:div>
    <w:div w:id="517695841">
      <w:bodyDiv w:val="1"/>
      <w:marLeft w:val="0"/>
      <w:marRight w:val="0"/>
      <w:marTop w:val="0"/>
      <w:marBottom w:val="0"/>
      <w:divBdr>
        <w:top w:val="none" w:sz="0" w:space="0" w:color="auto"/>
        <w:left w:val="none" w:sz="0" w:space="0" w:color="auto"/>
        <w:bottom w:val="none" w:sz="0" w:space="0" w:color="auto"/>
        <w:right w:val="none" w:sz="0" w:space="0" w:color="auto"/>
      </w:divBdr>
    </w:div>
    <w:div w:id="532965825">
      <w:bodyDiv w:val="1"/>
      <w:marLeft w:val="0"/>
      <w:marRight w:val="0"/>
      <w:marTop w:val="0"/>
      <w:marBottom w:val="0"/>
      <w:divBdr>
        <w:top w:val="none" w:sz="0" w:space="0" w:color="auto"/>
        <w:left w:val="none" w:sz="0" w:space="0" w:color="auto"/>
        <w:bottom w:val="none" w:sz="0" w:space="0" w:color="auto"/>
        <w:right w:val="none" w:sz="0" w:space="0" w:color="auto"/>
      </w:divBdr>
    </w:div>
    <w:div w:id="557130676">
      <w:bodyDiv w:val="1"/>
      <w:marLeft w:val="0"/>
      <w:marRight w:val="0"/>
      <w:marTop w:val="0"/>
      <w:marBottom w:val="0"/>
      <w:divBdr>
        <w:top w:val="none" w:sz="0" w:space="0" w:color="auto"/>
        <w:left w:val="none" w:sz="0" w:space="0" w:color="auto"/>
        <w:bottom w:val="none" w:sz="0" w:space="0" w:color="auto"/>
        <w:right w:val="none" w:sz="0" w:space="0" w:color="auto"/>
      </w:divBdr>
    </w:div>
    <w:div w:id="606929480">
      <w:bodyDiv w:val="1"/>
      <w:marLeft w:val="0"/>
      <w:marRight w:val="0"/>
      <w:marTop w:val="0"/>
      <w:marBottom w:val="0"/>
      <w:divBdr>
        <w:top w:val="none" w:sz="0" w:space="0" w:color="auto"/>
        <w:left w:val="none" w:sz="0" w:space="0" w:color="auto"/>
        <w:bottom w:val="none" w:sz="0" w:space="0" w:color="auto"/>
        <w:right w:val="none" w:sz="0" w:space="0" w:color="auto"/>
      </w:divBdr>
    </w:div>
    <w:div w:id="612785356">
      <w:bodyDiv w:val="1"/>
      <w:marLeft w:val="0"/>
      <w:marRight w:val="0"/>
      <w:marTop w:val="0"/>
      <w:marBottom w:val="0"/>
      <w:divBdr>
        <w:top w:val="none" w:sz="0" w:space="0" w:color="auto"/>
        <w:left w:val="none" w:sz="0" w:space="0" w:color="auto"/>
        <w:bottom w:val="none" w:sz="0" w:space="0" w:color="auto"/>
        <w:right w:val="none" w:sz="0" w:space="0" w:color="auto"/>
      </w:divBdr>
      <w:divsChild>
        <w:div w:id="21975978">
          <w:marLeft w:val="0"/>
          <w:marRight w:val="0"/>
          <w:marTop w:val="280"/>
          <w:marBottom w:val="0"/>
          <w:divBdr>
            <w:top w:val="none" w:sz="0" w:space="0" w:color="auto"/>
            <w:left w:val="none" w:sz="0" w:space="0" w:color="auto"/>
            <w:bottom w:val="none" w:sz="0" w:space="0" w:color="auto"/>
            <w:right w:val="none" w:sz="0" w:space="0" w:color="auto"/>
          </w:divBdr>
        </w:div>
        <w:div w:id="257715901">
          <w:marLeft w:val="0"/>
          <w:marRight w:val="0"/>
          <w:marTop w:val="240"/>
          <w:marBottom w:val="280"/>
          <w:divBdr>
            <w:top w:val="none" w:sz="0" w:space="0" w:color="auto"/>
            <w:left w:val="none" w:sz="0" w:space="0" w:color="auto"/>
            <w:bottom w:val="none" w:sz="0" w:space="0" w:color="auto"/>
            <w:right w:val="none" w:sz="0" w:space="0" w:color="auto"/>
          </w:divBdr>
        </w:div>
        <w:div w:id="1341617268">
          <w:marLeft w:val="0"/>
          <w:marRight w:val="0"/>
          <w:marTop w:val="240"/>
          <w:marBottom w:val="280"/>
          <w:divBdr>
            <w:top w:val="none" w:sz="0" w:space="0" w:color="auto"/>
            <w:left w:val="none" w:sz="0" w:space="0" w:color="auto"/>
            <w:bottom w:val="none" w:sz="0" w:space="0" w:color="auto"/>
            <w:right w:val="none" w:sz="0" w:space="0" w:color="auto"/>
          </w:divBdr>
        </w:div>
      </w:divsChild>
    </w:div>
    <w:div w:id="628440992">
      <w:bodyDiv w:val="1"/>
      <w:marLeft w:val="0"/>
      <w:marRight w:val="0"/>
      <w:marTop w:val="0"/>
      <w:marBottom w:val="0"/>
      <w:divBdr>
        <w:top w:val="none" w:sz="0" w:space="0" w:color="auto"/>
        <w:left w:val="none" w:sz="0" w:space="0" w:color="auto"/>
        <w:bottom w:val="none" w:sz="0" w:space="0" w:color="auto"/>
        <w:right w:val="none" w:sz="0" w:space="0" w:color="auto"/>
      </w:divBdr>
    </w:div>
    <w:div w:id="639844548">
      <w:bodyDiv w:val="1"/>
      <w:marLeft w:val="0"/>
      <w:marRight w:val="0"/>
      <w:marTop w:val="0"/>
      <w:marBottom w:val="0"/>
      <w:divBdr>
        <w:top w:val="none" w:sz="0" w:space="0" w:color="auto"/>
        <w:left w:val="none" w:sz="0" w:space="0" w:color="auto"/>
        <w:bottom w:val="none" w:sz="0" w:space="0" w:color="auto"/>
        <w:right w:val="none" w:sz="0" w:space="0" w:color="auto"/>
      </w:divBdr>
    </w:div>
    <w:div w:id="685252040">
      <w:bodyDiv w:val="1"/>
      <w:marLeft w:val="0"/>
      <w:marRight w:val="0"/>
      <w:marTop w:val="0"/>
      <w:marBottom w:val="0"/>
      <w:divBdr>
        <w:top w:val="none" w:sz="0" w:space="0" w:color="auto"/>
        <w:left w:val="none" w:sz="0" w:space="0" w:color="auto"/>
        <w:bottom w:val="none" w:sz="0" w:space="0" w:color="auto"/>
        <w:right w:val="none" w:sz="0" w:space="0" w:color="auto"/>
      </w:divBdr>
    </w:div>
    <w:div w:id="692615806">
      <w:bodyDiv w:val="1"/>
      <w:marLeft w:val="0"/>
      <w:marRight w:val="0"/>
      <w:marTop w:val="0"/>
      <w:marBottom w:val="0"/>
      <w:divBdr>
        <w:top w:val="none" w:sz="0" w:space="0" w:color="auto"/>
        <w:left w:val="none" w:sz="0" w:space="0" w:color="auto"/>
        <w:bottom w:val="none" w:sz="0" w:space="0" w:color="auto"/>
        <w:right w:val="none" w:sz="0" w:space="0" w:color="auto"/>
      </w:divBdr>
    </w:div>
    <w:div w:id="737750901">
      <w:bodyDiv w:val="1"/>
      <w:marLeft w:val="0"/>
      <w:marRight w:val="0"/>
      <w:marTop w:val="0"/>
      <w:marBottom w:val="0"/>
      <w:divBdr>
        <w:top w:val="none" w:sz="0" w:space="0" w:color="auto"/>
        <w:left w:val="none" w:sz="0" w:space="0" w:color="auto"/>
        <w:bottom w:val="none" w:sz="0" w:space="0" w:color="auto"/>
        <w:right w:val="none" w:sz="0" w:space="0" w:color="auto"/>
      </w:divBdr>
    </w:div>
    <w:div w:id="841092185">
      <w:bodyDiv w:val="1"/>
      <w:marLeft w:val="0"/>
      <w:marRight w:val="0"/>
      <w:marTop w:val="0"/>
      <w:marBottom w:val="0"/>
      <w:divBdr>
        <w:top w:val="none" w:sz="0" w:space="0" w:color="auto"/>
        <w:left w:val="none" w:sz="0" w:space="0" w:color="auto"/>
        <w:bottom w:val="none" w:sz="0" w:space="0" w:color="auto"/>
        <w:right w:val="none" w:sz="0" w:space="0" w:color="auto"/>
      </w:divBdr>
    </w:div>
    <w:div w:id="928852316">
      <w:bodyDiv w:val="1"/>
      <w:marLeft w:val="0"/>
      <w:marRight w:val="0"/>
      <w:marTop w:val="0"/>
      <w:marBottom w:val="0"/>
      <w:divBdr>
        <w:top w:val="none" w:sz="0" w:space="0" w:color="auto"/>
        <w:left w:val="none" w:sz="0" w:space="0" w:color="auto"/>
        <w:bottom w:val="none" w:sz="0" w:space="0" w:color="auto"/>
        <w:right w:val="none" w:sz="0" w:space="0" w:color="auto"/>
      </w:divBdr>
    </w:div>
    <w:div w:id="958338994">
      <w:bodyDiv w:val="1"/>
      <w:marLeft w:val="0"/>
      <w:marRight w:val="0"/>
      <w:marTop w:val="0"/>
      <w:marBottom w:val="0"/>
      <w:divBdr>
        <w:top w:val="none" w:sz="0" w:space="0" w:color="auto"/>
        <w:left w:val="none" w:sz="0" w:space="0" w:color="auto"/>
        <w:bottom w:val="none" w:sz="0" w:space="0" w:color="auto"/>
        <w:right w:val="none" w:sz="0" w:space="0" w:color="auto"/>
      </w:divBdr>
    </w:div>
    <w:div w:id="1005785443">
      <w:bodyDiv w:val="1"/>
      <w:marLeft w:val="0"/>
      <w:marRight w:val="0"/>
      <w:marTop w:val="0"/>
      <w:marBottom w:val="0"/>
      <w:divBdr>
        <w:top w:val="none" w:sz="0" w:space="0" w:color="auto"/>
        <w:left w:val="none" w:sz="0" w:space="0" w:color="auto"/>
        <w:bottom w:val="none" w:sz="0" w:space="0" w:color="auto"/>
        <w:right w:val="none" w:sz="0" w:space="0" w:color="auto"/>
      </w:divBdr>
      <w:divsChild>
        <w:div w:id="1403795406">
          <w:marLeft w:val="0"/>
          <w:marRight w:val="0"/>
          <w:marTop w:val="280"/>
          <w:marBottom w:val="0"/>
          <w:divBdr>
            <w:top w:val="none" w:sz="0" w:space="0" w:color="auto"/>
            <w:left w:val="none" w:sz="0" w:space="0" w:color="auto"/>
            <w:bottom w:val="none" w:sz="0" w:space="0" w:color="auto"/>
            <w:right w:val="none" w:sz="0" w:space="0" w:color="auto"/>
          </w:divBdr>
        </w:div>
        <w:div w:id="1669358117">
          <w:marLeft w:val="0"/>
          <w:marRight w:val="0"/>
          <w:marTop w:val="280"/>
          <w:marBottom w:val="0"/>
          <w:divBdr>
            <w:top w:val="none" w:sz="0" w:space="0" w:color="auto"/>
            <w:left w:val="none" w:sz="0" w:space="0" w:color="auto"/>
            <w:bottom w:val="none" w:sz="0" w:space="0" w:color="auto"/>
            <w:right w:val="none" w:sz="0" w:space="0" w:color="auto"/>
          </w:divBdr>
        </w:div>
      </w:divsChild>
    </w:div>
    <w:div w:id="1071192693">
      <w:bodyDiv w:val="1"/>
      <w:marLeft w:val="0"/>
      <w:marRight w:val="0"/>
      <w:marTop w:val="0"/>
      <w:marBottom w:val="0"/>
      <w:divBdr>
        <w:top w:val="none" w:sz="0" w:space="0" w:color="auto"/>
        <w:left w:val="none" w:sz="0" w:space="0" w:color="auto"/>
        <w:bottom w:val="none" w:sz="0" w:space="0" w:color="auto"/>
        <w:right w:val="none" w:sz="0" w:space="0" w:color="auto"/>
      </w:divBdr>
    </w:div>
    <w:div w:id="1283685133">
      <w:bodyDiv w:val="1"/>
      <w:marLeft w:val="0"/>
      <w:marRight w:val="0"/>
      <w:marTop w:val="0"/>
      <w:marBottom w:val="0"/>
      <w:divBdr>
        <w:top w:val="none" w:sz="0" w:space="0" w:color="auto"/>
        <w:left w:val="none" w:sz="0" w:space="0" w:color="auto"/>
        <w:bottom w:val="none" w:sz="0" w:space="0" w:color="auto"/>
        <w:right w:val="none" w:sz="0" w:space="0" w:color="auto"/>
      </w:divBdr>
    </w:div>
    <w:div w:id="1327660966">
      <w:bodyDiv w:val="1"/>
      <w:marLeft w:val="0"/>
      <w:marRight w:val="0"/>
      <w:marTop w:val="0"/>
      <w:marBottom w:val="0"/>
      <w:divBdr>
        <w:top w:val="none" w:sz="0" w:space="0" w:color="auto"/>
        <w:left w:val="none" w:sz="0" w:space="0" w:color="auto"/>
        <w:bottom w:val="none" w:sz="0" w:space="0" w:color="auto"/>
        <w:right w:val="none" w:sz="0" w:space="0" w:color="auto"/>
      </w:divBdr>
    </w:div>
    <w:div w:id="1373726066">
      <w:bodyDiv w:val="1"/>
      <w:marLeft w:val="0"/>
      <w:marRight w:val="0"/>
      <w:marTop w:val="0"/>
      <w:marBottom w:val="0"/>
      <w:divBdr>
        <w:top w:val="none" w:sz="0" w:space="0" w:color="auto"/>
        <w:left w:val="none" w:sz="0" w:space="0" w:color="auto"/>
        <w:bottom w:val="none" w:sz="0" w:space="0" w:color="auto"/>
        <w:right w:val="none" w:sz="0" w:space="0" w:color="auto"/>
      </w:divBdr>
    </w:div>
    <w:div w:id="1381592108">
      <w:bodyDiv w:val="1"/>
      <w:marLeft w:val="0"/>
      <w:marRight w:val="0"/>
      <w:marTop w:val="0"/>
      <w:marBottom w:val="0"/>
      <w:divBdr>
        <w:top w:val="none" w:sz="0" w:space="0" w:color="auto"/>
        <w:left w:val="none" w:sz="0" w:space="0" w:color="auto"/>
        <w:bottom w:val="none" w:sz="0" w:space="0" w:color="auto"/>
        <w:right w:val="none" w:sz="0" w:space="0" w:color="auto"/>
      </w:divBdr>
    </w:div>
    <w:div w:id="1391155135">
      <w:bodyDiv w:val="1"/>
      <w:marLeft w:val="0"/>
      <w:marRight w:val="0"/>
      <w:marTop w:val="0"/>
      <w:marBottom w:val="0"/>
      <w:divBdr>
        <w:top w:val="none" w:sz="0" w:space="0" w:color="auto"/>
        <w:left w:val="none" w:sz="0" w:space="0" w:color="auto"/>
        <w:bottom w:val="none" w:sz="0" w:space="0" w:color="auto"/>
        <w:right w:val="none" w:sz="0" w:space="0" w:color="auto"/>
      </w:divBdr>
    </w:div>
    <w:div w:id="1405028131">
      <w:bodyDiv w:val="1"/>
      <w:marLeft w:val="0"/>
      <w:marRight w:val="0"/>
      <w:marTop w:val="0"/>
      <w:marBottom w:val="0"/>
      <w:divBdr>
        <w:top w:val="none" w:sz="0" w:space="0" w:color="auto"/>
        <w:left w:val="none" w:sz="0" w:space="0" w:color="auto"/>
        <w:bottom w:val="none" w:sz="0" w:space="0" w:color="auto"/>
        <w:right w:val="none" w:sz="0" w:space="0" w:color="auto"/>
      </w:divBdr>
    </w:div>
    <w:div w:id="1484664512">
      <w:bodyDiv w:val="1"/>
      <w:marLeft w:val="0"/>
      <w:marRight w:val="0"/>
      <w:marTop w:val="0"/>
      <w:marBottom w:val="0"/>
      <w:divBdr>
        <w:top w:val="none" w:sz="0" w:space="0" w:color="auto"/>
        <w:left w:val="none" w:sz="0" w:space="0" w:color="auto"/>
        <w:bottom w:val="none" w:sz="0" w:space="0" w:color="auto"/>
        <w:right w:val="none" w:sz="0" w:space="0" w:color="auto"/>
      </w:divBdr>
    </w:div>
    <w:div w:id="1607349915">
      <w:bodyDiv w:val="1"/>
      <w:marLeft w:val="0"/>
      <w:marRight w:val="0"/>
      <w:marTop w:val="0"/>
      <w:marBottom w:val="0"/>
      <w:divBdr>
        <w:top w:val="none" w:sz="0" w:space="0" w:color="auto"/>
        <w:left w:val="none" w:sz="0" w:space="0" w:color="auto"/>
        <w:bottom w:val="none" w:sz="0" w:space="0" w:color="auto"/>
        <w:right w:val="none" w:sz="0" w:space="0" w:color="auto"/>
      </w:divBdr>
    </w:div>
    <w:div w:id="1698777629">
      <w:bodyDiv w:val="1"/>
      <w:marLeft w:val="0"/>
      <w:marRight w:val="0"/>
      <w:marTop w:val="0"/>
      <w:marBottom w:val="0"/>
      <w:divBdr>
        <w:top w:val="none" w:sz="0" w:space="0" w:color="auto"/>
        <w:left w:val="none" w:sz="0" w:space="0" w:color="auto"/>
        <w:bottom w:val="none" w:sz="0" w:space="0" w:color="auto"/>
        <w:right w:val="none" w:sz="0" w:space="0" w:color="auto"/>
      </w:divBdr>
    </w:div>
    <w:div w:id="1825124623">
      <w:bodyDiv w:val="1"/>
      <w:marLeft w:val="0"/>
      <w:marRight w:val="0"/>
      <w:marTop w:val="0"/>
      <w:marBottom w:val="0"/>
      <w:divBdr>
        <w:top w:val="none" w:sz="0" w:space="0" w:color="auto"/>
        <w:left w:val="none" w:sz="0" w:space="0" w:color="auto"/>
        <w:bottom w:val="none" w:sz="0" w:space="0" w:color="auto"/>
        <w:right w:val="none" w:sz="0" w:space="0" w:color="auto"/>
      </w:divBdr>
    </w:div>
    <w:div w:id="1900096077">
      <w:bodyDiv w:val="1"/>
      <w:marLeft w:val="0"/>
      <w:marRight w:val="0"/>
      <w:marTop w:val="0"/>
      <w:marBottom w:val="0"/>
      <w:divBdr>
        <w:top w:val="none" w:sz="0" w:space="0" w:color="auto"/>
        <w:left w:val="none" w:sz="0" w:space="0" w:color="auto"/>
        <w:bottom w:val="none" w:sz="0" w:space="0" w:color="auto"/>
        <w:right w:val="none" w:sz="0" w:space="0" w:color="auto"/>
      </w:divBdr>
    </w:div>
    <w:div w:id="1942756497">
      <w:bodyDiv w:val="1"/>
      <w:marLeft w:val="0"/>
      <w:marRight w:val="0"/>
      <w:marTop w:val="0"/>
      <w:marBottom w:val="0"/>
      <w:divBdr>
        <w:top w:val="none" w:sz="0" w:space="0" w:color="auto"/>
        <w:left w:val="none" w:sz="0" w:space="0" w:color="auto"/>
        <w:bottom w:val="none" w:sz="0" w:space="0" w:color="auto"/>
        <w:right w:val="none" w:sz="0" w:space="0" w:color="auto"/>
      </w:divBdr>
    </w:div>
    <w:div w:id="1953323910">
      <w:bodyDiv w:val="1"/>
      <w:marLeft w:val="0"/>
      <w:marRight w:val="0"/>
      <w:marTop w:val="0"/>
      <w:marBottom w:val="0"/>
      <w:divBdr>
        <w:top w:val="none" w:sz="0" w:space="0" w:color="auto"/>
        <w:left w:val="none" w:sz="0" w:space="0" w:color="auto"/>
        <w:bottom w:val="none" w:sz="0" w:space="0" w:color="auto"/>
        <w:right w:val="none" w:sz="0" w:space="0" w:color="auto"/>
      </w:divBdr>
      <w:divsChild>
        <w:div w:id="1454446737">
          <w:marLeft w:val="0"/>
          <w:marRight w:val="0"/>
          <w:marTop w:val="280"/>
          <w:marBottom w:val="280"/>
          <w:divBdr>
            <w:top w:val="none" w:sz="0" w:space="0" w:color="auto"/>
            <w:left w:val="none" w:sz="0" w:space="0" w:color="auto"/>
            <w:bottom w:val="none" w:sz="0" w:space="0" w:color="auto"/>
            <w:right w:val="none" w:sz="0" w:space="0" w:color="auto"/>
          </w:divBdr>
        </w:div>
        <w:div w:id="1454709080">
          <w:marLeft w:val="0"/>
          <w:marRight w:val="0"/>
          <w:marTop w:val="280"/>
          <w:marBottom w:val="280"/>
          <w:divBdr>
            <w:top w:val="none" w:sz="0" w:space="0" w:color="auto"/>
            <w:left w:val="none" w:sz="0" w:space="0" w:color="auto"/>
            <w:bottom w:val="none" w:sz="0" w:space="0" w:color="auto"/>
            <w:right w:val="none" w:sz="0" w:space="0" w:color="auto"/>
          </w:divBdr>
        </w:div>
      </w:divsChild>
    </w:div>
    <w:div w:id="20933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fnorthmacedonia.mk/PA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makstat.stat.gov.mk/PXWeb/pxweb/en/MakStat/MakStat__Transport__SoobrakajniNesreki/325_Trans_MK_T_48_en.px/?rxid=b14b7e4a-3c41-447f-93fa-e9eba26a7167" TargetMode="External"/><Relationship Id="rId2" Type="http://schemas.openxmlformats.org/officeDocument/2006/relationships/hyperlink" Target="https://appsso.eurostat.ec.europa.eu/nui/show.do?dataset=nama_10_gdp&amp;lang=en" TargetMode="External"/><Relationship Id="rId1" Type="http://schemas.openxmlformats.org/officeDocument/2006/relationships/hyperlink" Target="http://www.stat.gov.mk/pdf/2020/6.1.20.59_mk.pdf" TargetMode="External"/><Relationship Id="rId5" Type="http://schemas.openxmlformats.org/officeDocument/2006/relationships/hyperlink" Target="http://makstat.stat.gov.mk/PXWeb/pxweb/en/MakStat/MakStat__Transport__SoobrakajniNesreki/125_Trans_Mk_ZelSN_ang.px/?rxid=6263d405-f656-4350-a635-777e57b54850" TargetMode="External"/><Relationship Id="rId4" Type="http://schemas.openxmlformats.org/officeDocument/2006/relationships/hyperlink" Target="http://makstat.stat.gov.mk/PXWeb/pxweb/en/MakStat/MakStat__Naselenie__ProcenkiNaselenie/115_Popis_RM_1Star_Dec_eng.px/?rxid=a1e36641-ae7d-44a4-a868-ed8fb90eef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9CF15115B254438B72036D0DB6B8E3" ma:contentTypeVersion="0" ma:contentTypeDescription="Create a new document." ma:contentTypeScope="" ma:versionID="6b99e1834085a207847516c83d9c8f9f">
  <xsd:schema xmlns:xsd="http://www.w3.org/2001/XMLSchema" xmlns:xs="http://www.w3.org/2001/XMLSchema" xmlns:p="http://schemas.microsoft.com/office/2006/metadata/properties" targetNamespace="http://schemas.microsoft.com/office/2006/metadata/properties" ma:root="true" ma:fieldsID="55780e068fda866f9b450b89e46cd8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5D20-526F-4D06-89F8-DB4FC3D648BE}">
  <ds:schemaRefs>
    <ds:schemaRef ds:uri="http://schemas.microsoft.com/sharepoint/v3/contenttype/forms"/>
  </ds:schemaRefs>
</ds:datastoreItem>
</file>

<file path=customXml/itemProps2.xml><?xml version="1.0" encoding="utf-8"?>
<ds:datastoreItem xmlns:ds="http://schemas.openxmlformats.org/officeDocument/2006/customXml" ds:itemID="{4086309C-1DFF-4F2F-99B0-A7099A2B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F378FE-EC44-4998-98F1-631B9E8C19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179A42-8046-4EB0-BC09-DA3BD35A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8778</Words>
  <Characters>50041</Characters>
  <Application>Microsoft Office Word</Application>
  <DocSecurity>0</DocSecurity>
  <Lines>417</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SAVIOLO Andrea (NEAR)</dc:creator>
  <cp:lastModifiedBy>Ljubica Gerasimova</cp:lastModifiedBy>
  <cp:revision>3</cp:revision>
  <cp:lastPrinted>2022-07-15T11:36:00Z</cp:lastPrinted>
  <dcterms:created xsi:type="dcterms:W3CDTF">2022-07-15T11:38:00Z</dcterms:created>
  <dcterms:modified xsi:type="dcterms:W3CDTF">2022-07-15T11:38:00Z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0x010100689CF15115B254438B72036D0DB6B8E3</vt:lpwstr>
  </property>
  <property fmtid="{D5CDD505-2E9C-101B-9397-08002B2CF9AE}" pid="3" name="IsMyDocuments">
    <vt:bool>true</vt:bool>
  </property>
</Properties>
</file>