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9C968" w14:textId="77777777" w:rsidR="00D92F6C" w:rsidRPr="004675C2" w:rsidRDefault="00B10991" w:rsidP="00D92F6C">
      <w:pPr>
        <w:pStyle w:val="Heading2"/>
        <w:rPr>
          <w:rFonts w:ascii="Times New Roman" w:hAnsi="Times New Roman"/>
          <w:b w:val="0"/>
          <w:bCs w:val="0"/>
          <w:smallCaps/>
          <w:sz w:val="22"/>
          <w:szCs w:val="22"/>
        </w:rPr>
      </w:pPr>
      <w:bookmarkStart w:id="0" w:name="_Toc33714665"/>
      <w:r w:rsidRPr="004675C2">
        <w:rPr>
          <w:rFonts w:ascii="Times New Roman" w:hAnsi="Times New Roman"/>
          <w:smallCaps/>
          <w:color w:val="auto"/>
          <w:sz w:val="22"/>
          <w:szCs w:val="22"/>
          <w:lang w:val="it-IT"/>
        </w:rPr>
        <w:t>ANNEX I –</w:t>
      </w:r>
      <w:r w:rsidR="00D92F6C" w:rsidRPr="004675C2">
        <w:rPr>
          <w:rFonts w:ascii="Times New Roman" w:hAnsi="Times New Roman"/>
          <w:smallCaps/>
          <w:color w:val="auto"/>
          <w:sz w:val="22"/>
          <w:szCs w:val="22"/>
          <w:lang w:val="it-IT"/>
        </w:rPr>
        <w:t xml:space="preserve"> </w:t>
      </w:r>
      <w:r w:rsidRPr="004675C2">
        <w:rPr>
          <w:rFonts w:ascii="Times New Roman" w:hAnsi="Times New Roman"/>
          <w:smallCaps/>
          <w:color w:val="auto"/>
          <w:sz w:val="22"/>
          <w:szCs w:val="22"/>
          <w:lang w:val="it-IT"/>
        </w:rPr>
        <w:t xml:space="preserve">IPA III </w:t>
      </w:r>
      <w:r w:rsidR="00D92F6C" w:rsidRPr="004675C2">
        <w:rPr>
          <w:rFonts w:ascii="Times New Roman" w:hAnsi="Times New Roman"/>
          <w:smallCaps/>
          <w:color w:val="auto"/>
          <w:sz w:val="22"/>
          <w:szCs w:val="22"/>
          <w:lang w:val="it-IT"/>
        </w:rPr>
        <w:t>A</w:t>
      </w:r>
      <w:r w:rsidRPr="004675C2">
        <w:rPr>
          <w:rFonts w:ascii="Times New Roman" w:hAnsi="Times New Roman"/>
          <w:smallCaps/>
          <w:color w:val="auto"/>
          <w:sz w:val="22"/>
          <w:szCs w:val="22"/>
          <w:lang w:val="it-IT"/>
        </w:rPr>
        <w:t xml:space="preserve">ction Fiche Template </w:t>
      </w:r>
      <w:bookmarkEnd w:id="0"/>
    </w:p>
    <w:p w14:paraId="2E5054C7" w14:textId="77777777" w:rsidR="00D92F6C" w:rsidRPr="004675C2" w:rsidRDefault="00D92F6C" w:rsidP="00D92F6C">
      <w:pPr>
        <w:keepNext/>
        <w:keepLines/>
        <w:spacing w:before="200" w:after="0"/>
        <w:outlineLvl w:val="1"/>
        <w:rPr>
          <w:rFonts w:ascii="Times New Roman" w:hAnsi="Times New Roman"/>
          <w:b/>
          <w:bCs/>
          <w:smallCaps/>
          <w:lang w:val="it-IT"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4675C2" w14:paraId="44C99CF7" w14:textId="77777777" w:rsidTr="004C5B23">
        <w:trPr>
          <w:jc w:val="center"/>
        </w:trPr>
        <w:tc>
          <w:tcPr>
            <w:tcW w:w="534" w:type="dxa"/>
            <w:tcBorders>
              <w:top w:val="single" w:sz="4" w:space="0" w:color="auto"/>
              <w:left w:val="single" w:sz="4" w:space="0" w:color="auto"/>
              <w:bottom w:val="single" w:sz="4" w:space="0" w:color="auto"/>
              <w:right w:val="single" w:sz="4" w:space="0" w:color="auto"/>
            </w:tcBorders>
          </w:tcPr>
          <w:p w14:paraId="5AD12065" w14:textId="77777777" w:rsidR="00D92F6C" w:rsidRPr="004675C2" w:rsidRDefault="00D92F6C" w:rsidP="004C5B23">
            <w:pPr>
              <w:spacing w:after="0" w:line="240" w:lineRule="auto"/>
              <w:rPr>
                <w:rFonts w:ascii="Times New Roman" w:hAnsi="Times New Roman"/>
                <w:b/>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3D4B52F" w14:textId="77777777" w:rsidR="00D92F6C" w:rsidRPr="004675C2" w:rsidRDefault="00D92F6C" w:rsidP="004C5B23">
            <w:pPr>
              <w:spacing w:after="0" w:line="240" w:lineRule="auto"/>
              <w:rPr>
                <w:rFonts w:ascii="Times New Roman" w:hAnsi="Times New Roman"/>
              </w:rPr>
            </w:pPr>
            <w:r w:rsidRPr="004675C2">
              <w:rPr>
                <w:rFonts w:ascii="Times New Roman" w:hAnsi="Times New Roman"/>
              </w:rPr>
              <w:t>Indicative title of the Action</w:t>
            </w:r>
          </w:p>
          <w:p w14:paraId="32379488" w14:textId="77777777" w:rsidR="00D92F6C" w:rsidRPr="004675C2" w:rsidRDefault="00D92F6C" w:rsidP="004C5B23">
            <w:pPr>
              <w:spacing w:after="0" w:line="240" w:lineRule="auto"/>
              <w:rPr>
                <w:rFonts w:ascii="Times New Roman" w:hAnsi="Times New Roman"/>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949F1B0" w14:textId="20999EA2" w:rsidR="00D92F6C" w:rsidRPr="004675C2" w:rsidRDefault="008C4591" w:rsidP="002105BB">
            <w:pPr>
              <w:spacing w:after="0" w:line="240" w:lineRule="auto"/>
              <w:jc w:val="both"/>
              <w:rPr>
                <w:rFonts w:ascii="Times New Roman" w:hAnsi="Times New Roman"/>
                <w:b/>
                <w:bCs/>
              </w:rPr>
            </w:pPr>
            <w:r w:rsidRPr="004675C2">
              <w:rPr>
                <w:rFonts w:ascii="Times New Roman" w:hAnsi="Times New Roman"/>
                <w:b/>
                <w:bCs/>
              </w:rPr>
              <w:t>EU FOR</w:t>
            </w:r>
            <w:r w:rsidR="00C340A6" w:rsidRPr="004675C2">
              <w:rPr>
                <w:rFonts w:ascii="Times New Roman" w:hAnsi="Times New Roman"/>
                <w:b/>
                <w:bCs/>
              </w:rPr>
              <w:t xml:space="preserve"> THE</w:t>
            </w:r>
            <w:r w:rsidR="00962C17" w:rsidRPr="004675C2">
              <w:rPr>
                <w:rFonts w:ascii="Times New Roman" w:hAnsi="Times New Roman"/>
                <w:b/>
                <w:bCs/>
              </w:rPr>
              <w:t xml:space="preserve"> DEVELOPMENT OF</w:t>
            </w:r>
            <w:r w:rsidR="00C340A6" w:rsidRPr="004675C2">
              <w:rPr>
                <w:rFonts w:ascii="Times New Roman" w:hAnsi="Times New Roman"/>
                <w:b/>
                <w:bCs/>
              </w:rPr>
              <w:t xml:space="preserve"> AGRICULTURE</w:t>
            </w:r>
          </w:p>
        </w:tc>
      </w:tr>
      <w:tr w:rsidR="00D92F6C" w:rsidRPr="004675C2" w14:paraId="67314B7D" w14:textId="77777777" w:rsidTr="001E3D3B">
        <w:trPr>
          <w:trHeight w:val="575"/>
          <w:jc w:val="center"/>
        </w:trPr>
        <w:tc>
          <w:tcPr>
            <w:tcW w:w="534" w:type="dxa"/>
            <w:vMerge w:val="restart"/>
            <w:tcBorders>
              <w:top w:val="single" w:sz="4" w:space="0" w:color="auto"/>
              <w:left w:val="single" w:sz="4" w:space="0" w:color="auto"/>
              <w:right w:val="single" w:sz="4" w:space="0" w:color="auto"/>
            </w:tcBorders>
            <w:textDirection w:val="btLr"/>
          </w:tcPr>
          <w:p w14:paraId="05979A22" w14:textId="77777777" w:rsidR="00D92F6C" w:rsidRPr="004675C2" w:rsidRDefault="00D92F6C" w:rsidP="004C5B23">
            <w:pPr>
              <w:spacing w:after="0" w:line="240" w:lineRule="auto"/>
              <w:ind w:left="113" w:right="113"/>
              <w:rPr>
                <w:rFonts w:ascii="Times New Roman" w:hAnsi="Times New Roman"/>
              </w:rPr>
            </w:pPr>
            <w:r w:rsidRPr="004675C2">
              <w:rPr>
                <w:rFonts w:ascii="Times New Roman" w:hAnsi="Times New Roman"/>
                <w:b/>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00BB22" w14:textId="77777777" w:rsidR="00D92F6C" w:rsidRPr="004675C2" w:rsidRDefault="00D92F6C" w:rsidP="004C5B23">
            <w:pPr>
              <w:spacing w:after="0" w:line="240" w:lineRule="auto"/>
              <w:rPr>
                <w:rFonts w:ascii="Times New Roman" w:hAnsi="Times New Roman"/>
              </w:rPr>
            </w:pPr>
            <w:r w:rsidRPr="004675C2">
              <w:rPr>
                <w:rFonts w:ascii="Times New Roman" w:hAnsi="Times New Roman"/>
              </w:rPr>
              <w:t>Key thematic priority</w:t>
            </w:r>
          </w:p>
          <w:p w14:paraId="4B17C458" w14:textId="77777777" w:rsidR="00D92F6C" w:rsidRPr="004675C2" w:rsidRDefault="00D92F6C" w:rsidP="004C5B23">
            <w:pPr>
              <w:spacing w:after="0" w:line="240" w:lineRule="auto"/>
              <w:rPr>
                <w:rFonts w:ascii="Times New Roman" w:hAnsi="Times New Roman"/>
                <w:i/>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9D43843" w14:textId="77777777" w:rsidR="001E3D3B" w:rsidRPr="004675C2" w:rsidRDefault="001E3D3B" w:rsidP="002105BB">
            <w:pPr>
              <w:spacing w:after="0" w:line="240" w:lineRule="auto"/>
              <w:jc w:val="both"/>
              <w:rPr>
                <w:rFonts w:ascii="Times New Roman" w:hAnsi="Times New Roman"/>
                <w:b/>
              </w:rPr>
            </w:pPr>
            <w:r w:rsidRPr="004675C2">
              <w:rPr>
                <w:rFonts w:ascii="Times New Roman" w:hAnsi="Times New Roman"/>
                <w:b/>
              </w:rPr>
              <w:t>WINDOW 4 – COMPETITIVENESS AND INCLUSIVE GROWTH</w:t>
            </w:r>
          </w:p>
          <w:p w14:paraId="0D7F4972" w14:textId="77777777" w:rsidR="00D92F6C" w:rsidRPr="004675C2" w:rsidRDefault="00B97ACE" w:rsidP="002105BB">
            <w:pPr>
              <w:spacing w:after="0" w:line="240" w:lineRule="auto"/>
              <w:jc w:val="both"/>
              <w:rPr>
                <w:rFonts w:ascii="Times New Roman" w:hAnsi="Times New Roman"/>
                <w:b/>
                <w:bCs/>
              </w:rPr>
            </w:pPr>
            <w:r w:rsidRPr="004675C2">
              <w:rPr>
                <w:rFonts w:ascii="Times New Roman" w:hAnsi="Times New Roman"/>
                <w:b/>
              </w:rPr>
              <w:t xml:space="preserve">Thematic Priority </w:t>
            </w:r>
            <w:r w:rsidR="002105BB" w:rsidRPr="004675C2">
              <w:rPr>
                <w:rFonts w:ascii="Times New Roman" w:hAnsi="Times New Roman"/>
                <w:b/>
              </w:rPr>
              <w:t>3</w:t>
            </w:r>
            <w:r w:rsidRPr="004675C2">
              <w:rPr>
                <w:rFonts w:ascii="Times New Roman" w:hAnsi="Times New Roman"/>
                <w:b/>
              </w:rPr>
              <w:t>: Agriculture and Rural Development</w:t>
            </w:r>
          </w:p>
        </w:tc>
      </w:tr>
      <w:tr w:rsidR="00D92F6C" w:rsidRPr="004675C2" w14:paraId="6D2DD559" w14:textId="77777777" w:rsidTr="004C5B23">
        <w:trPr>
          <w:jc w:val="center"/>
        </w:trPr>
        <w:tc>
          <w:tcPr>
            <w:tcW w:w="534" w:type="dxa"/>
            <w:vMerge/>
            <w:tcBorders>
              <w:left w:val="single" w:sz="4" w:space="0" w:color="auto"/>
              <w:right w:val="single" w:sz="4" w:space="0" w:color="auto"/>
            </w:tcBorders>
          </w:tcPr>
          <w:p w14:paraId="6929F9A3" w14:textId="77777777" w:rsidR="00D92F6C" w:rsidRPr="004675C2" w:rsidRDefault="00D92F6C" w:rsidP="004C5B23">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A5ACC64" w14:textId="77777777" w:rsidR="00D92F6C" w:rsidRPr="004675C2" w:rsidRDefault="00D92F6C" w:rsidP="004C5B23">
            <w:pPr>
              <w:spacing w:after="0"/>
              <w:rPr>
                <w:rFonts w:ascii="Times New Roman" w:hAnsi="Times New Roman"/>
              </w:rPr>
            </w:pPr>
            <w:r w:rsidRPr="004675C2">
              <w:rPr>
                <w:rFonts w:ascii="Times New Roman" w:hAnsi="Times New Roman"/>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F122EBA" w14:textId="1B85DE13" w:rsidR="00F012C4" w:rsidRPr="004675C2" w:rsidRDefault="002105BB" w:rsidP="002105BB">
            <w:pPr>
              <w:spacing w:after="0" w:line="240" w:lineRule="auto"/>
              <w:jc w:val="both"/>
              <w:rPr>
                <w:rFonts w:ascii="Times New Roman" w:eastAsia="Arial Unicode MS" w:hAnsi="Times New Roman"/>
              </w:rPr>
            </w:pPr>
            <w:r w:rsidRPr="004675C2">
              <w:rPr>
                <w:rFonts w:ascii="Times New Roman" w:hAnsi="Times New Roman"/>
              </w:rPr>
              <w:t>The proposed Action aims to</w:t>
            </w:r>
            <w:r w:rsidR="00962C17" w:rsidRPr="004675C2">
              <w:rPr>
                <w:rFonts w:ascii="Times New Roman" w:eastAsia="Arial Unicode MS" w:hAnsi="Times New Roman"/>
                <w:b/>
                <w:bCs/>
              </w:rPr>
              <w:t xml:space="preserve"> </w:t>
            </w:r>
            <w:r w:rsidR="00962C17" w:rsidRPr="004675C2">
              <w:rPr>
                <w:rFonts w:ascii="Times New Roman" w:eastAsia="Arial Unicode MS" w:hAnsi="Times New Roman"/>
              </w:rPr>
              <w:t xml:space="preserve">prepare the country for participation in the EU Common Agricultural Policy, harmonise agriculture with the European standards and also increase the competitiveness of the agricultural production. In particular the Action </w:t>
            </w:r>
            <w:r w:rsidR="0003318E" w:rsidRPr="004675C2">
              <w:rPr>
                <w:rFonts w:ascii="Times New Roman" w:eastAsia="Arial Unicode MS" w:hAnsi="Times New Roman"/>
              </w:rPr>
              <w:t>ha two objectives</w:t>
            </w:r>
            <w:r w:rsidR="00962C17" w:rsidRPr="004675C2">
              <w:rPr>
                <w:rFonts w:ascii="Times New Roman" w:eastAsia="Arial Unicode MS" w:hAnsi="Times New Roman"/>
              </w:rPr>
              <w:t xml:space="preserve">: </w:t>
            </w:r>
          </w:p>
          <w:p w14:paraId="4113F0F9" w14:textId="695E1E62" w:rsidR="00DD1536" w:rsidRPr="004675C2" w:rsidRDefault="0003318E" w:rsidP="00DD1536">
            <w:pPr>
              <w:pStyle w:val="ListParagraph"/>
              <w:numPr>
                <w:ilvl w:val="0"/>
                <w:numId w:val="6"/>
              </w:numPr>
              <w:spacing w:after="0" w:line="240" w:lineRule="auto"/>
              <w:jc w:val="both"/>
              <w:rPr>
                <w:rFonts w:ascii="Times New Roman" w:eastAsia="Arial Unicode MS" w:hAnsi="Times New Roman"/>
                <w:b/>
                <w:bCs/>
              </w:rPr>
            </w:pPr>
            <w:r w:rsidRPr="004675C2">
              <w:rPr>
                <w:rFonts w:ascii="Times New Roman" w:eastAsia="Arial Unicode MS" w:hAnsi="Times New Roman"/>
                <w:b/>
                <w:bCs/>
              </w:rPr>
              <w:t>T</w:t>
            </w:r>
            <w:r w:rsidR="000C3309">
              <w:rPr>
                <w:rFonts w:ascii="Times New Roman" w:eastAsia="Arial Unicode MS" w:hAnsi="Times New Roman"/>
                <w:b/>
                <w:bCs/>
              </w:rPr>
              <w:t>o</w:t>
            </w:r>
            <w:r w:rsidRPr="004675C2">
              <w:rPr>
                <w:rFonts w:ascii="Times New Roman" w:eastAsia="Arial Unicode MS" w:hAnsi="Times New Roman"/>
                <w:b/>
                <w:bCs/>
              </w:rPr>
              <w:t xml:space="preserve"> d</w:t>
            </w:r>
            <w:r w:rsidR="002105BB" w:rsidRPr="004675C2">
              <w:rPr>
                <w:rFonts w:ascii="Times New Roman" w:eastAsia="Arial Unicode MS" w:hAnsi="Times New Roman"/>
                <w:b/>
                <w:bCs/>
              </w:rPr>
              <w:t xml:space="preserve">evelop the </w:t>
            </w:r>
            <w:r w:rsidR="00FB65A7" w:rsidRPr="004675C2">
              <w:rPr>
                <w:rFonts w:ascii="Times New Roman" w:eastAsia="Arial Unicode MS" w:hAnsi="Times New Roman"/>
                <w:b/>
                <w:bCs/>
              </w:rPr>
              <w:t>capacities</w:t>
            </w:r>
            <w:r w:rsidR="00DD1536" w:rsidRPr="004675C2">
              <w:rPr>
                <w:rFonts w:ascii="Times New Roman" w:eastAsia="Arial Unicode MS" w:hAnsi="Times New Roman"/>
                <w:b/>
                <w:bCs/>
              </w:rPr>
              <w:t>, align the policies</w:t>
            </w:r>
            <w:r w:rsidR="00FB65A7" w:rsidRPr="004675C2">
              <w:rPr>
                <w:rFonts w:ascii="Times New Roman" w:eastAsia="Arial Unicode MS" w:hAnsi="Times New Roman"/>
                <w:b/>
                <w:bCs/>
              </w:rPr>
              <w:t xml:space="preserve"> </w:t>
            </w:r>
            <w:r w:rsidR="002105BB" w:rsidRPr="004675C2">
              <w:rPr>
                <w:rFonts w:ascii="Times New Roman" w:eastAsia="Arial Unicode MS" w:hAnsi="Times New Roman"/>
                <w:b/>
                <w:bCs/>
              </w:rPr>
              <w:t xml:space="preserve">of North Macedonia </w:t>
            </w:r>
            <w:r w:rsidR="00FB65A7" w:rsidRPr="004675C2">
              <w:rPr>
                <w:rFonts w:ascii="Times New Roman" w:eastAsia="Arial Unicode MS" w:hAnsi="Times New Roman"/>
                <w:b/>
                <w:bCs/>
              </w:rPr>
              <w:t>to implement the common market organisation for agricultural products</w:t>
            </w:r>
            <w:r w:rsidR="00DD1536" w:rsidRPr="004675C2">
              <w:rPr>
                <w:rFonts w:ascii="Times New Roman" w:eastAsia="Arial Unicode MS" w:hAnsi="Times New Roman"/>
                <w:b/>
                <w:bCs/>
              </w:rPr>
              <w:t xml:space="preserve">; </w:t>
            </w:r>
          </w:p>
          <w:p w14:paraId="6A35B75B" w14:textId="77777777" w:rsidR="0003318E" w:rsidRPr="004675C2" w:rsidRDefault="0003318E" w:rsidP="00DD1536">
            <w:pPr>
              <w:pStyle w:val="ListParagraph"/>
              <w:numPr>
                <w:ilvl w:val="0"/>
                <w:numId w:val="6"/>
              </w:numPr>
              <w:spacing w:after="0" w:line="240" w:lineRule="auto"/>
              <w:jc w:val="both"/>
              <w:rPr>
                <w:rFonts w:ascii="Times New Roman" w:eastAsia="Arial Unicode MS" w:hAnsi="Times New Roman"/>
              </w:rPr>
            </w:pPr>
            <w:r w:rsidRPr="004675C2">
              <w:rPr>
                <w:rFonts w:ascii="Times New Roman" w:eastAsia="Arial Unicode MS" w:hAnsi="Times New Roman"/>
                <w:b/>
                <w:bCs/>
              </w:rPr>
              <w:t>To enhance the productivity in agriculture</w:t>
            </w:r>
          </w:p>
          <w:p w14:paraId="19E47933" w14:textId="7538544B" w:rsidR="00DD1536" w:rsidRPr="000C3309" w:rsidRDefault="00DD1536" w:rsidP="000C3309">
            <w:pPr>
              <w:spacing w:after="0" w:line="240" w:lineRule="auto"/>
              <w:jc w:val="both"/>
              <w:rPr>
                <w:rFonts w:ascii="Times New Roman" w:eastAsia="Arial Unicode MS" w:hAnsi="Times New Roman"/>
              </w:rPr>
            </w:pPr>
          </w:p>
          <w:p w14:paraId="7D16F0F9" w14:textId="5876C8E7" w:rsidR="006D4594" w:rsidRDefault="0003318E" w:rsidP="0003318E">
            <w:pPr>
              <w:spacing w:after="0" w:line="240" w:lineRule="auto"/>
              <w:jc w:val="both"/>
              <w:rPr>
                <w:rFonts w:ascii="Times New Roman" w:eastAsia="Arial Unicode MS" w:hAnsi="Times New Roman"/>
              </w:rPr>
            </w:pPr>
            <w:r w:rsidRPr="004675C2">
              <w:rPr>
                <w:rFonts w:ascii="Times New Roman" w:eastAsia="Arial Unicode MS" w:hAnsi="Times New Roman"/>
              </w:rPr>
              <w:t xml:space="preserve">The achievement of the first objective will contribute to create a more competitive agriculture in North Macedonia that can compete with the one of the EU member states after accession. The establishment of </w:t>
            </w:r>
            <w:r w:rsidRPr="004675C2">
              <w:rPr>
                <w:rFonts w:ascii="Times New Roman" w:eastAsia="Arial Unicode MS" w:hAnsi="Times New Roman"/>
                <w:b/>
                <w:bCs/>
              </w:rPr>
              <w:t>Common Market Organisation</w:t>
            </w:r>
            <w:r w:rsidR="00502358" w:rsidRPr="004675C2">
              <w:rPr>
                <w:rFonts w:ascii="Times New Roman" w:eastAsia="Arial Unicode MS" w:hAnsi="Times New Roman"/>
                <w:b/>
                <w:bCs/>
              </w:rPr>
              <w:t>s</w:t>
            </w:r>
            <w:r w:rsidRPr="004675C2">
              <w:rPr>
                <w:rFonts w:ascii="Times New Roman" w:eastAsia="Arial Unicode MS" w:hAnsi="Times New Roman"/>
              </w:rPr>
              <w:t xml:space="preserve"> is in fact the one of the corner stones of the EU Agriculture Policy and has important effects on the shortening of the supply chain. </w:t>
            </w:r>
            <w:r w:rsidR="006D4594">
              <w:rPr>
                <w:rFonts w:ascii="Times New Roman" w:eastAsia="Arial Unicode MS" w:hAnsi="Times New Roman"/>
              </w:rPr>
              <w:t xml:space="preserve">Preparation will be performed in order to assist the country to be ready to implement timely  the </w:t>
            </w:r>
            <w:r w:rsidR="000B66EE">
              <w:rPr>
                <w:rFonts w:ascii="Times New Roman" w:eastAsia="Arial Unicode MS" w:hAnsi="Times New Roman"/>
              </w:rPr>
              <w:t>relevant legal framework</w:t>
            </w:r>
            <w:r w:rsidR="006D4594" w:rsidRPr="006D4594">
              <w:rPr>
                <w:rFonts w:ascii="Times New Roman" w:eastAsia="Arial Unicode MS" w:hAnsi="Times New Roman"/>
              </w:rPr>
              <w:t xml:space="preserve"> establishing rules of the common organization of mar</w:t>
            </w:r>
            <w:r w:rsidR="006D4594">
              <w:rPr>
                <w:rFonts w:ascii="Times New Roman" w:eastAsia="Arial Unicode MS" w:hAnsi="Times New Roman"/>
              </w:rPr>
              <w:t xml:space="preserve">kets in agricultural products as foreseen </w:t>
            </w:r>
            <w:r w:rsidR="000B66EE">
              <w:rPr>
                <w:rFonts w:ascii="Times New Roman" w:eastAsia="Arial Unicode MS" w:hAnsi="Times New Roman"/>
              </w:rPr>
              <w:t xml:space="preserve">in </w:t>
            </w:r>
            <w:r w:rsidR="006D4594" w:rsidRPr="006D4594">
              <w:rPr>
                <w:rFonts w:ascii="Times New Roman" w:eastAsia="Arial Unicode MS" w:hAnsi="Times New Roman"/>
              </w:rPr>
              <w:t xml:space="preserve"> the Regulation (EU) No 1308/2013 of the European Parliament and of the Council of 17 December 2013 establishing a common organization of the markets in agricultural products and repealing Council Regulations (EEC) No 922/72, (EEC) No 234/79, (EC) No 1037/2001 and (EC) No 1234/2007</w:t>
            </w:r>
            <w:r w:rsidR="006D4594">
              <w:rPr>
                <w:rFonts w:ascii="Times New Roman" w:eastAsia="Arial Unicode MS" w:hAnsi="Times New Roman"/>
              </w:rPr>
              <w:t>.</w:t>
            </w:r>
          </w:p>
          <w:p w14:paraId="4B63363B" w14:textId="77777777" w:rsidR="006D4594" w:rsidRPr="004675C2" w:rsidRDefault="006D4594" w:rsidP="0003318E">
            <w:pPr>
              <w:spacing w:after="0" w:line="240" w:lineRule="auto"/>
              <w:jc w:val="both"/>
              <w:rPr>
                <w:rFonts w:ascii="Times New Roman" w:eastAsia="Arial Unicode MS" w:hAnsi="Times New Roman"/>
              </w:rPr>
            </w:pPr>
          </w:p>
          <w:p w14:paraId="3478B59A" w14:textId="4A7D15A0" w:rsidR="0003318E" w:rsidRPr="004675C2" w:rsidRDefault="0003318E" w:rsidP="00502358">
            <w:pPr>
              <w:spacing w:after="0" w:line="240" w:lineRule="auto"/>
              <w:jc w:val="both"/>
              <w:rPr>
                <w:rFonts w:ascii="Times New Roman" w:eastAsia="Arial Unicode MS" w:hAnsi="Times New Roman"/>
              </w:rPr>
            </w:pPr>
            <w:r w:rsidRPr="004675C2">
              <w:rPr>
                <w:rFonts w:ascii="Times New Roman" w:eastAsia="Arial Unicode MS" w:hAnsi="Times New Roman"/>
              </w:rPr>
              <w:t xml:space="preserve">The achievement of the second objective will be achieved through the realisation of four </w:t>
            </w:r>
            <w:r w:rsidRPr="004675C2">
              <w:rPr>
                <w:rFonts w:ascii="Times New Roman" w:eastAsia="Arial Unicode MS" w:hAnsi="Times New Roman"/>
                <w:b/>
                <w:bCs/>
              </w:rPr>
              <w:t xml:space="preserve">irrigation schemes. </w:t>
            </w:r>
            <w:r w:rsidR="00502358" w:rsidRPr="004675C2">
              <w:rPr>
                <w:rFonts w:ascii="Times New Roman" w:eastAsia="Arial Unicode MS" w:hAnsi="Times New Roman"/>
              </w:rPr>
              <w:t xml:space="preserve">Irrigation plays a major role for the development of agriculture. It makes agriculture more productive and at the same time it reduces the risk that the agriculture production can be lost because the lack of the rainfall. Under this AF, the </w:t>
            </w:r>
            <w:r w:rsidRPr="004675C2">
              <w:rPr>
                <w:rFonts w:ascii="Times New Roman" w:eastAsia="Arial Unicode MS" w:hAnsi="Times New Roman"/>
              </w:rPr>
              <w:t xml:space="preserve">Construction of </w:t>
            </w:r>
            <w:r w:rsidR="00FB419A">
              <w:rPr>
                <w:rFonts w:ascii="Times New Roman" w:eastAsia="Arial Unicode MS" w:hAnsi="Times New Roman"/>
              </w:rPr>
              <w:t>at least three</w:t>
            </w:r>
            <w:r w:rsidRPr="004675C2">
              <w:rPr>
                <w:rFonts w:ascii="Times New Roman" w:eastAsia="Arial Unicode MS" w:hAnsi="Times New Roman"/>
              </w:rPr>
              <w:t xml:space="preserve"> small-scale, low-cost, environment friendly irrigation project</w:t>
            </w:r>
            <w:r w:rsidR="00502358" w:rsidRPr="004675C2">
              <w:rPr>
                <w:rFonts w:ascii="Times New Roman" w:eastAsia="Arial Unicode MS" w:hAnsi="Times New Roman"/>
              </w:rPr>
              <w:t xml:space="preserve"> is envisaged. </w:t>
            </w:r>
          </w:p>
          <w:p w14:paraId="32099D4A" w14:textId="77777777" w:rsidR="00502358" w:rsidRPr="004675C2" w:rsidRDefault="00502358" w:rsidP="00724B13">
            <w:pPr>
              <w:spacing w:after="160" w:line="256" w:lineRule="auto"/>
              <w:jc w:val="both"/>
              <w:rPr>
                <w:rFonts w:ascii="Times New Roman" w:hAnsi="Times New Roman"/>
              </w:rPr>
            </w:pPr>
          </w:p>
          <w:p w14:paraId="6A5BCE32" w14:textId="1E90BF5A" w:rsidR="00FB65A7" w:rsidRPr="004675C2" w:rsidRDefault="00724B13" w:rsidP="00724B13">
            <w:pPr>
              <w:spacing w:after="160" w:line="256" w:lineRule="auto"/>
              <w:jc w:val="both"/>
              <w:rPr>
                <w:rFonts w:ascii="Times New Roman" w:eastAsia="Calibri" w:hAnsi="Times New Roman"/>
                <w:color w:val="ED7D31" w:themeColor="accent2"/>
                <w:lang w:val="en-US" w:eastAsia="en-US"/>
              </w:rPr>
            </w:pPr>
            <w:r w:rsidRPr="004675C2">
              <w:rPr>
                <w:rFonts w:ascii="Times New Roman" w:hAnsi="Times New Roman"/>
              </w:rPr>
              <w:t>The Action will foster the sustainable development of rural areas through financing key drivers of growth and unblocking the potential of agriculture to become an economic engine for rural areas.</w:t>
            </w:r>
            <w:r w:rsidRPr="004675C2">
              <w:rPr>
                <w:rFonts w:ascii="Times New Roman" w:hAnsi="Times New Roman"/>
                <w:b/>
                <w:bCs/>
                <w:color w:val="808080" w:themeColor="background1" w:themeShade="80"/>
              </w:rPr>
              <w:t xml:space="preserve"> </w:t>
            </w:r>
          </w:p>
          <w:p w14:paraId="5F0237E4" w14:textId="77777777" w:rsidR="00FB65A7" w:rsidRPr="004675C2" w:rsidRDefault="002105BB" w:rsidP="002105BB">
            <w:pPr>
              <w:spacing w:after="0" w:line="240" w:lineRule="auto"/>
              <w:jc w:val="both"/>
              <w:rPr>
                <w:rFonts w:ascii="Times New Roman" w:hAnsi="Times New Roman"/>
              </w:rPr>
            </w:pPr>
            <w:r w:rsidRPr="004675C2">
              <w:rPr>
                <w:rFonts w:ascii="Times New Roman" w:hAnsi="Times New Roman"/>
              </w:rPr>
              <w:t xml:space="preserve">The Action is designed to contribute to the achievement of the specific objective of Window 4 Thematic priority 3 “Agriculture and rural development”, as defined in the </w:t>
            </w:r>
            <w:r w:rsidRPr="004675C2">
              <w:rPr>
                <w:rFonts w:ascii="Times New Roman" w:hAnsi="Times New Roman"/>
                <w:b/>
                <w:bCs/>
              </w:rPr>
              <w:t>IPA III Programming Framework</w:t>
            </w:r>
            <w:r w:rsidRPr="004675C2">
              <w:rPr>
                <w:rFonts w:ascii="Times New Roman" w:hAnsi="Times New Roman"/>
              </w:rPr>
              <w:t xml:space="preserve">, which aims to gradually build an agricultural sector capable of competing with market forces, while progressively aligning with the EU legal framework in the field of agriculture and rural development and the relevant veterinary, food safety and phytosanitary standards. </w:t>
            </w:r>
          </w:p>
          <w:p w14:paraId="12221A46" w14:textId="77777777" w:rsidR="00296808" w:rsidRPr="004675C2" w:rsidRDefault="00296808" w:rsidP="002105BB">
            <w:pPr>
              <w:spacing w:after="0" w:line="240" w:lineRule="auto"/>
              <w:jc w:val="both"/>
              <w:rPr>
                <w:rFonts w:ascii="Times New Roman" w:hAnsi="Times New Roman"/>
                <w:highlight w:val="cyan"/>
              </w:rPr>
            </w:pPr>
          </w:p>
          <w:p w14:paraId="74D92D10" w14:textId="77777777" w:rsidR="00AB3E8C" w:rsidRPr="004675C2" w:rsidRDefault="00F16D0F" w:rsidP="00AB3E8C">
            <w:pPr>
              <w:spacing w:after="0" w:line="240" w:lineRule="auto"/>
              <w:jc w:val="both"/>
              <w:rPr>
                <w:rFonts w:ascii="Times New Roman" w:hAnsi="Times New Roman"/>
                <w:b/>
                <w:bCs/>
              </w:rPr>
            </w:pPr>
            <w:r w:rsidRPr="004675C2">
              <w:rPr>
                <w:rFonts w:ascii="Times New Roman" w:hAnsi="Times New Roman"/>
              </w:rPr>
              <w:t xml:space="preserve">Further on, the proposed Action will contribute to the implementation of the </w:t>
            </w:r>
            <w:r w:rsidRPr="004675C2">
              <w:rPr>
                <w:rFonts w:ascii="Times New Roman" w:hAnsi="Times New Roman"/>
                <w:b/>
                <w:bCs/>
              </w:rPr>
              <w:t>EU acquis under Chapter 11</w:t>
            </w:r>
            <w:r w:rsidRPr="004675C2">
              <w:rPr>
                <w:rFonts w:ascii="Times New Roman" w:hAnsi="Times New Roman"/>
              </w:rPr>
              <w:t xml:space="preserve">. </w:t>
            </w:r>
            <w:r w:rsidR="00AB3E8C" w:rsidRPr="004675C2">
              <w:rPr>
                <w:rFonts w:ascii="Times New Roman" w:hAnsi="Times New Roman"/>
              </w:rPr>
              <w:t xml:space="preserve">The country's legal framework for this chapter is largely aligned with the acquis. </w:t>
            </w:r>
            <w:r w:rsidRPr="004675C2">
              <w:rPr>
                <w:rFonts w:ascii="Times New Roman" w:hAnsi="Times New Roman"/>
              </w:rPr>
              <w:t>T</w:t>
            </w:r>
            <w:r w:rsidR="00296808" w:rsidRPr="004675C2">
              <w:rPr>
                <w:rFonts w:ascii="Times New Roman" w:hAnsi="Times New Roman"/>
              </w:rPr>
              <w:t xml:space="preserve">he Action addresses the recommendation of the </w:t>
            </w:r>
            <w:r w:rsidR="00296808" w:rsidRPr="004675C2">
              <w:rPr>
                <w:rFonts w:ascii="Times New Roman" w:hAnsi="Times New Roman"/>
                <w:b/>
                <w:bCs/>
              </w:rPr>
              <w:t>EC country report 2019 (</w:t>
            </w:r>
            <w:proofErr w:type="gramStart"/>
            <w:r w:rsidR="00296808" w:rsidRPr="004675C2">
              <w:rPr>
                <w:rFonts w:ascii="Times New Roman" w:hAnsi="Times New Roman"/>
                <w:b/>
                <w:bCs/>
              </w:rPr>
              <w:t>COM(</w:t>
            </w:r>
            <w:proofErr w:type="gramEnd"/>
            <w:r w:rsidR="00296808" w:rsidRPr="004675C2">
              <w:rPr>
                <w:rFonts w:ascii="Times New Roman" w:hAnsi="Times New Roman"/>
                <w:b/>
                <w:bCs/>
              </w:rPr>
              <w:t>2019) 260 final)</w:t>
            </w:r>
            <w:r w:rsidRPr="004675C2">
              <w:rPr>
                <w:rFonts w:ascii="Times New Roman" w:hAnsi="Times New Roman"/>
                <w:b/>
                <w:bCs/>
              </w:rPr>
              <w:t xml:space="preserve"> for Chapter 11</w:t>
            </w:r>
            <w:r w:rsidR="00AB3E8C" w:rsidRPr="004675C2">
              <w:rPr>
                <w:rFonts w:ascii="Times New Roman" w:hAnsi="Times New Roman"/>
                <w:b/>
                <w:bCs/>
              </w:rPr>
              <w:t xml:space="preserve">. </w:t>
            </w:r>
            <w:r w:rsidR="00AB3E8C" w:rsidRPr="004675C2">
              <w:rPr>
                <w:rFonts w:ascii="Times New Roman" w:hAnsi="Times New Roman"/>
              </w:rPr>
              <w:lastRenderedPageBreak/>
              <w:t xml:space="preserve">Concerning </w:t>
            </w:r>
          </w:p>
          <w:p w14:paraId="0D3838E3" w14:textId="79D92375" w:rsidR="00AB3E8C" w:rsidRPr="004675C2" w:rsidRDefault="00AB3E8C" w:rsidP="00AB3E8C">
            <w:pPr>
              <w:spacing w:after="0" w:line="240" w:lineRule="auto"/>
              <w:jc w:val="both"/>
              <w:rPr>
                <w:rFonts w:ascii="Times New Roman" w:hAnsi="Times New Roman"/>
                <w:b/>
                <w:bCs/>
              </w:rPr>
            </w:pPr>
            <w:r w:rsidRPr="004675C2">
              <w:rPr>
                <w:rFonts w:ascii="Times New Roman" w:hAnsi="Times New Roman"/>
              </w:rPr>
              <w:t>the common market organisation, the report</w:t>
            </w:r>
            <w:r w:rsidRPr="004675C2">
              <w:rPr>
                <w:rFonts w:ascii="Times New Roman" w:hAnsi="Times New Roman"/>
                <w:b/>
                <w:bCs/>
              </w:rPr>
              <w:t xml:space="preserve"> </w:t>
            </w:r>
            <w:r w:rsidRPr="004675C2">
              <w:rPr>
                <w:rFonts w:ascii="Times New Roman" w:hAnsi="Times New Roman"/>
              </w:rPr>
              <w:t>states</w:t>
            </w:r>
            <w:r w:rsidR="00296808" w:rsidRPr="004675C2">
              <w:rPr>
                <w:rFonts w:ascii="Times New Roman" w:hAnsi="Times New Roman"/>
              </w:rPr>
              <w:t xml:space="preserve"> </w:t>
            </w:r>
            <w:r w:rsidRPr="004675C2">
              <w:rPr>
                <w:rFonts w:ascii="Times New Roman" w:hAnsi="Times New Roman"/>
              </w:rPr>
              <w:t>that, the legal framework on quality and marketing standards for agricultural products is mostly in place. Legal provisions on market interventions in line with the EU acquis exist, but still need to be implemented. Progress is still needed in aligning of commodity-specific schemes and in supporting for public and private storage, producer organisations, and market intervention. Implementation capacity needs to be strengthened.</w:t>
            </w:r>
            <w:r w:rsidR="00C04BC9" w:rsidRPr="004675C2">
              <w:rPr>
                <w:rFonts w:ascii="Times New Roman" w:hAnsi="Times New Roman"/>
              </w:rPr>
              <w:t xml:space="preserve"> </w:t>
            </w:r>
            <w:r w:rsidRPr="004675C2">
              <w:rPr>
                <w:rFonts w:ascii="Times New Roman" w:hAnsi="Times New Roman"/>
              </w:rPr>
              <w:t xml:space="preserve">The </w:t>
            </w:r>
            <w:r w:rsidRPr="004675C2">
              <w:rPr>
                <w:rFonts w:ascii="Times New Roman" w:hAnsi="Times New Roman"/>
                <w:b/>
                <w:bCs/>
              </w:rPr>
              <w:t>report</w:t>
            </w:r>
            <w:r w:rsidR="00C04BC9" w:rsidRPr="004675C2">
              <w:rPr>
                <w:rFonts w:ascii="Times New Roman" w:hAnsi="Times New Roman"/>
                <w:b/>
                <w:bCs/>
              </w:rPr>
              <w:t xml:space="preserve"> concretely</w:t>
            </w:r>
            <w:r w:rsidRPr="004675C2">
              <w:rPr>
                <w:rFonts w:ascii="Times New Roman" w:hAnsi="Times New Roman"/>
                <w:b/>
                <w:bCs/>
              </w:rPr>
              <w:t xml:space="preserve"> </w:t>
            </w:r>
            <w:r w:rsidR="00C04BC9" w:rsidRPr="004675C2">
              <w:rPr>
                <w:rFonts w:ascii="Times New Roman" w:hAnsi="Times New Roman"/>
                <w:b/>
                <w:bCs/>
              </w:rPr>
              <w:t>recommends</w:t>
            </w:r>
            <w:r w:rsidRPr="004675C2">
              <w:rPr>
                <w:rFonts w:ascii="Times New Roman" w:hAnsi="Times New Roman"/>
                <w:b/>
                <w:bCs/>
              </w:rPr>
              <w:t xml:space="preserve"> to p</w:t>
            </w:r>
            <w:r w:rsidRPr="004675C2">
              <w:rPr>
                <w:rFonts w:ascii="Times New Roman" w:hAnsi="Times New Roman"/>
                <w:b/>
                <w:bCs/>
                <w:iCs/>
              </w:rPr>
              <w:t xml:space="preserve">repare of an action plan for further institutional and legal alignment to the acquis in the area of common market organisation. </w:t>
            </w:r>
          </w:p>
          <w:p w14:paraId="34D83179" w14:textId="5210E956" w:rsidR="007C1262" w:rsidRPr="004675C2" w:rsidRDefault="007C1262" w:rsidP="002105BB">
            <w:pPr>
              <w:spacing w:after="0" w:line="240" w:lineRule="auto"/>
              <w:jc w:val="both"/>
              <w:rPr>
                <w:rFonts w:ascii="Times New Roman" w:hAnsi="Times New Roman"/>
                <w:b/>
                <w:bCs/>
              </w:rPr>
            </w:pPr>
          </w:p>
          <w:p w14:paraId="64EEBAEF" w14:textId="57221DFB" w:rsidR="007C1262" w:rsidRPr="004675C2" w:rsidRDefault="007C1262" w:rsidP="00962C17">
            <w:pPr>
              <w:spacing w:after="0" w:line="240" w:lineRule="auto"/>
              <w:jc w:val="both"/>
              <w:rPr>
                <w:rFonts w:ascii="Times New Roman" w:hAnsi="Times New Roman"/>
              </w:rPr>
            </w:pPr>
            <w:r w:rsidRPr="004675C2">
              <w:rPr>
                <w:rFonts w:ascii="Times New Roman" w:eastAsia="Arial Unicode MS" w:hAnsi="Times New Roman"/>
                <w:lang w:eastAsia="de-DE"/>
              </w:rPr>
              <w:t xml:space="preserve">Regarding the Commission Communication </w:t>
            </w:r>
            <w:r w:rsidRPr="004675C2">
              <w:rPr>
                <w:rFonts w:ascii="Times New Roman" w:eastAsia="Arial Unicode MS" w:hAnsi="Times New Roman"/>
                <w:b/>
                <w:lang w:eastAsia="de-DE"/>
              </w:rPr>
              <w:t>"A credible enlargement perspective for and enhanced EU engagement with the Western Balkans" (COM(2018)65),</w:t>
            </w:r>
            <w:r w:rsidRPr="004675C2">
              <w:rPr>
                <w:rFonts w:ascii="Times New Roman" w:eastAsia="Arial Unicode MS" w:hAnsi="Times New Roman"/>
                <w:lang w:eastAsia="de-DE"/>
              </w:rPr>
              <w:t xml:space="preserve"> </w:t>
            </w:r>
            <w:r w:rsidRPr="004675C2">
              <w:rPr>
                <w:rFonts w:ascii="Times New Roman" w:hAnsi="Times New Roman"/>
              </w:rPr>
              <w:t>this Action supports its strategic purpose to</w:t>
            </w:r>
            <w:r w:rsidR="00C04BC9" w:rsidRPr="004675C2">
              <w:rPr>
                <w:rFonts w:ascii="Times New Roman" w:hAnsi="Times New Roman"/>
              </w:rPr>
              <w:t xml:space="preserve"> strengthen</w:t>
            </w:r>
            <w:r w:rsidR="009C42C6" w:rsidRPr="004675C2">
              <w:rPr>
                <w:rFonts w:ascii="Times New Roman" w:hAnsi="Times New Roman"/>
              </w:rPr>
              <w:t>, modernise and increase the competitiveness of the economy,</w:t>
            </w:r>
            <w:r w:rsidR="00C04BC9" w:rsidRPr="004675C2">
              <w:rPr>
                <w:rFonts w:ascii="Times New Roman" w:hAnsi="Times New Roman"/>
              </w:rPr>
              <w:t xml:space="preserve"> in order to be have a capacity to cope with the market pressure and market forces in the union</w:t>
            </w:r>
            <w:r w:rsidR="009C42C6" w:rsidRPr="004675C2">
              <w:rPr>
                <w:rFonts w:ascii="Times New Roman" w:hAnsi="Times New Roman"/>
              </w:rPr>
              <w:t xml:space="preserve"> and also increase the level of economic integration with the EU. </w:t>
            </w:r>
          </w:p>
          <w:p w14:paraId="358643B5" w14:textId="77777777" w:rsidR="007C1262" w:rsidRPr="004675C2" w:rsidRDefault="007C1262" w:rsidP="00962C17">
            <w:pPr>
              <w:spacing w:after="0" w:line="240" w:lineRule="auto"/>
              <w:jc w:val="both"/>
              <w:rPr>
                <w:rFonts w:ascii="Times New Roman" w:hAnsi="Times New Roman"/>
              </w:rPr>
            </w:pPr>
          </w:p>
          <w:p w14:paraId="198BAF7E" w14:textId="2206CEA0" w:rsidR="0070713E" w:rsidRPr="004675C2" w:rsidRDefault="007C1262" w:rsidP="00962C17">
            <w:pPr>
              <w:suppressAutoHyphens/>
              <w:spacing w:after="120"/>
              <w:jc w:val="both"/>
              <w:rPr>
                <w:rFonts w:ascii="Times New Roman" w:hAnsi="Times New Roman"/>
                <w:color w:val="000000"/>
              </w:rPr>
            </w:pPr>
            <w:r w:rsidRPr="004675C2">
              <w:rPr>
                <w:rFonts w:ascii="Times New Roman" w:hAnsi="Times New Roman"/>
              </w:rPr>
              <w:t xml:space="preserve">Additionally, the action is also in line with the recommendations of the </w:t>
            </w:r>
            <w:r w:rsidR="0070713E" w:rsidRPr="004675C2">
              <w:rPr>
                <w:rFonts w:ascii="Times New Roman" w:hAnsi="Times New Roman"/>
              </w:rPr>
              <w:t>15</w:t>
            </w:r>
            <w:r w:rsidR="0070713E" w:rsidRPr="004675C2">
              <w:rPr>
                <w:rFonts w:ascii="Times New Roman" w:hAnsi="Times New Roman"/>
                <w:vertAlign w:val="superscript"/>
              </w:rPr>
              <w:t>th</w:t>
            </w:r>
            <w:r w:rsidR="0070713E" w:rsidRPr="004675C2">
              <w:rPr>
                <w:rFonts w:ascii="Times New Roman" w:hAnsi="Times New Roman"/>
              </w:rPr>
              <w:t xml:space="preserve"> </w:t>
            </w:r>
            <w:r w:rsidRPr="004675C2">
              <w:rPr>
                <w:rFonts w:ascii="Times New Roman" w:hAnsi="Times New Roman"/>
              </w:rPr>
              <w:t>meeting of th</w:t>
            </w:r>
            <w:r w:rsidRPr="004675C2">
              <w:rPr>
                <w:rFonts w:ascii="Times New Roman" w:hAnsi="Times New Roman"/>
                <w:b/>
                <w:bCs/>
              </w:rPr>
              <w:t>e Sub-Committee on</w:t>
            </w:r>
            <w:r w:rsidR="00962C17" w:rsidRPr="004675C2">
              <w:rPr>
                <w:rFonts w:ascii="Times New Roman" w:hAnsi="Times New Roman"/>
                <w:b/>
                <w:bCs/>
              </w:rPr>
              <w:t xml:space="preserve"> Agriculture and Fisheries</w:t>
            </w:r>
            <w:r w:rsidR="00962C17" w:rsidRPr="004675C2">
              <w:rPr>
                <w:rFonts w:ascii="Times New Roman" w:hAnsi="Times New Roman"/>
                <w:b/>
                <w:smallCaps/>
                <w:color w:val="000000"/>
              </w:rPr>
              <w:t xml:space="preserve"> </w:t>
            </w:r>
            <w:r w:rsidRPr="004675C2">
              <w:rPr>
                <w:rFonts w:ascii="Times New Roman" w:hAnsi="Times New Roman"/>
              </w:rPr>
              <w:t xml:space="preserve">of the </w:t>
            </w:r>
            <w:r w:rsidRPr="004675C2">
              <w:rPr>
                <w:rFonts w:ascii="Times New Roman" w:hAnsi="Times New Roman"/>
                <w:b/>
              </w:rPr>
              <w:t>Stabilisation and Association Agreement (SAA),</w:t>
            </w:r>
            <w:r w:rsidRPr="004675C2">
              <w:rPr>
                <w:rFonts w:ascii="Times New Roman" w:hAnsi="Times New Roman"/>
              </w:rPr>
              <w:t xml:space="preserve"> held on </w:t>
            </w:r>
            <w:r w:rsidR="00962C17" w:rsidRPr="004675C2">
              <w:rPr>
                <w:rFonts w:ascii="Times New Roman" w:hAnsi="Times New Roman"/>
              </w:rPr>
              <w:t>13</w:t>
            </w:r>
            <w:r w:rsidRPr="004675C2">
              <w:rPr>
                <w:rFonts w:ascii="Times New Roman" w:hAnsi="Times New Roman"/>
              </w:rPr>
              <w:t xml:space="preserve"> May 2019,</w:t>
            </w:r>
            <w:r w:rsidR="0070713E" w:rsidRPr="004675C2">
              <w:rPr>
                <w:rFonts w:ascii="Times New Roman" w:hAnsi="Times New Roman"/>
              </w:rPr>
              <w:t xml:space="preserve"> which recommended to </w:t>
            </w:r>
            <w:r w:rsidR="0070713E" w:rsidRPr="004675C2">
              <w:rPr>
                <w:rFonts w:ascii="Times New Roman" w:hAnsi="Times New Roman"/>
                <w:color w:val="000000"/>
              </w:rPr>
              <w:t xml:space="preserve">the authorities to elaborate on controls of organic production and quality standards of agriculture products. </w:t>
            </w:r>
          </w:p>
          <w:p w14:paraId="51C81BDA" w14:textId="04E151F1" w:rsidR="00296808" w:rsidRPr="004675C2" w:rsidRDefault="00296808" w:rsidP="002105BB">
            <w:pPr>
              <w:spacing w:after="0" w:line="240" w:lineRule="auto"/>
              <w:jc w:val="both"/>
              <w:rPr>
                <w:rFonts w:ascii="Times New Roman" w:hAnsi="Times New Roman"/>
              </w:rPr>
            </w:pPr>
          </w:p>
          <w:p w14:paraId="35D3E300" w14:textId="77777777" w:rsidR="00502358" w:rsidRPr="004675C2" w:rsidRDefault="00502358" w:rsidP="00502358">
            <w:pPr>
              <w:spacing w:after="0" w:line="240" w:lineRule="auto"/>
              <w:jc w:val="both"/>
              <w:rPr>
                <w:rFonts w:ascii="Times New Roman" w:hAnsi="Times New Roman"/>
              </w:rPr>
            </w:pPr>
            <w:r w:rsidRPr="00FB419A">
              <w:rPr>
                <w:rStyle w:val="Hyperlink"/>
                <w:rFonts w:ascii="Times New Roman" w:hAnsi="Times New Roman"/>
                <w:color w:val="auto"/>
                <w:highlight w:val="yellow"/>
                <w:u w:val="none"/>
              </w:rPr>
              <w:t xml:space="preserve">The Action is in line with the planned activities within </w:t>
            </w:r>
            <w:r w:rsidRPr="00FB419A">
              <w:rPr>
                <w:rStyle w:val="Hyperlink"/>
                <w:rFonts w:ascii="Times New Roman" w:hAnsi="Times New Roman"/>
                <w:b/>
                <w:bCs/>
                <w:color w:val="auto"/>
                <w:highlight w:val="yellow"/>
                <w:u w:val="none"/>
              </w:rPr>
              <w:t>the National Plan for the adoption of the Acquis for 2020-21</w:t>
            </w:r>
            <w:r w:rsidRPr="00FB419A">
              <w:rPr>
                <w:rStyle w:val="Hyperlink"/>
                <w:rFonts w:ascii="Times New Roman" w:hAnsi="Times New Roman"/>
                <w:color w:val="auto"/>
                <w:highlight w:val="yellow"/>
                <w:u w:val="none"/>
              </w:rPr>
              <w:t>, where, harmonisation with EU legislation is envisaged.</w:t>
            </w:r>
            <w:r w:rsidRPr="004675C2">
              <w:rPr>
                <w:rStyle w:val="Hyperlink"/>
                <w:rFonts w:ascii="Times New Roman" w:hAnsi="Times New Roman"/>
                <w:color w:val="auto"/>
                <w:u w:val="none"/>
              </w:rPr>
              <w:t xml:space="preserve"> </w:t>
            </w:r>
          </w:p>
          <w:p w14:paraId="1706711B" w14:textId="079E5214" w:rsidR="000F2081" w:rsidRPr="004675C2" w:rsidRDefault="000F2081" w:rsidP="00724B13">
            <w:pPr>
              <w:spacing w:after="0" w:line="240" w:lineRule="auto"/>
              <w:jc w:val="both"/>
              <w:rPr>
                <w:rFonts w:ascii="Times New Roman" w:hAnsi="Times New Roman"/>
                <w:color w:val="ED7D31" w:themeColor="accent2"/>
              </w:rPr>
            </w:pPr>
          </w:p>
        </w:tc>
      </w:tr>
      <w:tr w:rsidR="00D92F6C" w:rsidRPr="004675C2" w14:paraId="7AA09095" w14:textId="77777777" w:rsidTr="004C5B23">
        <w:trPr>
          <w:jc w:val="center"/>
        </w:trPr>
        <w:tc>
          <w:tcPr>
            <w:tcW w:w="534" w:type="dxa"/>
            <w:vMerge/>
            <w:tcBorders>
              <w:left w:val="single" w:sz="4" w:space="0" w:color="auto"/>
              <w:right w:val="single" w:sz="4" w:space="0" w:color="auto"/>
            </w:tcBorders>
          </w:tcPr>
          <w:p w14:paraId="125EAE8C" w14:textId="77777777" w:rsidR="00D92F6C" w:rsidRPr="004675C2" w:rsidRDefault="00D92F6C" w:rsidP="004C5B23">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55AE409" w14:textId="77777777" w:rsidR="00D92F6C" w:rsidRPr="004675C2" w:rsidRDefault="00D92F6C" w:rsidP="004C5B23">
            <w:pPr>
              <w:spacing w:after="0"/>
              <w:rPr>
                <w:rFonts w:ascii="Times New Roman" w:hAnsi="Times New Roman"/>
              </w:rPr>
            </w:pPr>
            <w:r w:rsidRPr="00FB419A">
              <w:rPr>
                <w:rFonts w:ascii="Times New Roman" w:hAnsi="Times New Roman"/>
                <w:highlight w:val="yellow"/>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AEB096F" w14:textId="74501853" w:rsidR="007C1262" w:rsidRPr="004675C2" w:rsidRDefault="007C1262" w:rsidP="007C1262">
            <w:pPr>
              <w:spacing w:after="120" w:line="240" w:lineRule="auto"/>
              <w:jc w:val="both"/>
              <w:rPr>
                <w:rFonts w:ascii="Times New Roman" w:eastAsia="Arial Unicode MS" w:hAnsi="Times New Roman"/>
                <w:lang w:eastAsia="de-DE"/>
              </w:rPr>
            </w:pPr>
            <w:r w:rsidRPr="004675C2">
              <w:rPr>
                <w:rFonts w:ascii="Times New Roman" w:eastAsia="Arial Unicode MS" w:hAnsi="Times New Roman"/>
                <w:lang w:eastAsia="de-DE"/>
              </w:rPr>
              <w:t xml:space="preserve">The proposed Action is in line with national, regional and global strategies in the field of </w:t>
            </w:r>
            <w:r w:rsidR="000A5D40">
              <w:rPr>
                <w:rFonts w:ascii="Times New Roman" w:eastAsia="Arial Unicode MS" w:hAnsi="Times New Roman"/>
                <w:lang w:eastAsia="de-DE"/>
              </w:rPr>
              <w:t>ARD</w:t>
            </w:r>
            <w:r w:rsidRPr="004675C2">
              <w:rPr>
                <w:rFonts w:ascii="Times New Roman" w:eastAsia="Arial Unicode MS" w:hAnsi="Times New Roman"/>
                <w:lang w:eastAsia="de-DE"/>
              </w:rPr>
              <w:t>.</w:t>
            </w:r>
          </w:p>
          <w:p w14:paraId="17FB1DC7" w14:textId="2AF53F47" w:rsidR="00DE7292" w:rsidRPr="004675C2" w:rsidRDefault="007C1262" w:rsidP="007C1262">
            <w:pPr>
              <w:spacing w:after="120" w:line="240" w:lineRule="auto"/>
              <w:jc w:val="both"/>
              <w:rPr>
                <w:rFonts w:ascii="Times New Roman" w:hAnsi="Times New Roman"/>
                <w:iCs/>
              </w:rPr>
            </w:pPr>
            <w:r w:rsidRPr="004675C2">
              <w:rPr>
                <w:rFonts w:ascii="Times New Roman" w:hAnsi="Times New Roman"/>
              </w:rPr>
              <w:t xml:space="preserve">The Action is in harmony with the objectives of </w:t>
            </w:r>
            <w:r w:rsidRPr="004675C2">
              <w:rPr>
                <w:rFonts w:ascii="Times New Roman" w:hAnsi="Times New Roman"/>
                <w:b/>
              </w:rPr>
              <w:t>2030 Agenda for Sustainable Development;</w:t>
            </w:r>
            <w:r w:rsidRPr="004675C2">
              <w:rPr>
                <w:rFonts w:ascii="Times New Roman" w:hAnsi="Times New Roman"/>
              </w:rPr>
              <w:t xml:space="preserve"> m</w:t>
            </w:r>
            <w:r w:rsidRPr="004675C2">
              <w:rPr>
                <w:rFonts w:ascii="Times New Roman" w:hAnsi="Times New Roman"/>
                <w:iCs/>
              </w:rPr>
              <w:t xml:space="preserve">ore specifically </w:t>
            </w:r>
            <w:r w:rsidRPr="004675C2">
              <w:rPr>
                <w:rFonts w:ascii="Times New Roman" w:hAnsi="Times New Roman"/>
              </w:rPr>
              <w:t xml:space="preserve">with </w:t>
            </w:r>
            <w:r w:rsidR="00DE7292" w:rsidRPr="004675C2">
              <w:rPr>
                <w:rFonts w:ascii="Times New Roman" w:hAnsi="Times New Roman"/>
              </w:rPr>
              <w:t>Priority 1 and Priority 2 “No poverty and Zero Hunger” that address the agriculture production, Priority 15 “Life on Land” that address eco-friendly production,  Priority 8 “Decent Work and Economic Growth” that address issues related to economic development, Priority 11 “Sustainable cities and communities” that addresses Rural Development.</w:t>
            </w:r>
            <w:r w:rsidR="00DE7292" w:rsidRPr="004675C2">
              <w:rPr>
                <w:rFonts w:ascii="Times New Roman" w:hAnsi="Times New Roman"/>
                <w:color w:val="0070C0"/>
                <w:highlight w:val="yellow"/>
              </w:rPr>
              <w:t xml:space="preserve"> </w:t>
            </w:r>
          </w:p>
          <w:p w14:paraId="6166F5B8" w14:textId="4670E9C6" w:rsidR="00D64F24" w:rsidRPr="004675C2" w:rsidRDefault="00D64F24" w:rsidP="000F460D">
            <w:pPr>
              <w:spacing w:after="120" w:line="240" w:lineRule="auto"/>
              <w:jc w:val="both"/>
              <w:rPr>
                <w:rFonts w:ascii="Times New Roman" w:hAnsi="Times New Roman"/>
              </w:rPr>
            </w:pPr>
            <w:r w:rsidRPr="004675C2">
              <w:rPr>
                <w:rFonts w:ascii="Times New Roman" w:hAnsi="Times New Roman"/>
              </w:rPr>
              <w:t>T</w:t>
            </w:r>
            <w:r w:rsidR="00DE7292" w:rsidRPr="004675C2">
              <w:rPr>
                <w:rFonts w:ascii="Times New Roman" w:hAnsi="Times New Roman"/>
              </w:rPr>
              <w:t xml:space="preserve">he </w:t>
            </w:r>
            <w:r w:rsidRPr="004675C2">
              <w:rPr>
                <w:rFonts w:ascii="Times New Roman" w:hAnsi="Times New Roman"/>
              </w:rPr>
              <w:t xml:space="preserve">Action contributes to the objectives of the </w:t>
            </w:r>
            <w:r w:rsidR="00DE7292" w:rsidRPr="004675C2">
              <w:rPr>
                <w:rFonts w:ascii="Times New Roman" w:hAnsi="Times New Roman"/>
                <w:b/>
                <w:bCs/>
              </w:rPr>
              <w:t xml:space="preserve">Paris Agreement, </w:t>
            </w:r>
            <w:r w:rsidRPr="004675C2">
              <w:rPr>
                <w:rFonts w:ascii="Times New Roman" w:hAnsi="Times New Roman"/>
                <w:b/>
                <w:bCs/>
              </w:rPr>
              <w:t xml:space="preserve">the </w:t>
            </w:r>
            <w:r w:rsidR="00DE7292" w:rsidRPr="004675C2">
              <w:rPr>
                <w:rFonts w:ascii="Times New Roman" w:hAnsi="Times New Roman"/>
                <w:b/>
                <w:bCs/>
              </w:rPr>
              <w:t>European Green Deal</w:t>
            </w:r>
            <w:r w:rsidR="004675C2" w:rsidRPr="004675C2">
              <w:rPr>
                <w:rFonts w:ascii="Times New Roman" w:hAnsi="Times New Roman"/>
                <w:b/>
                <w:bCs/>
              </w:rPr>
              <w:t xml:space="preserve"> </w:t>
            </w:r>
            <w:r w:rsidR="004675C2" w:rsidRPr="004675C2">
              <w:rPr>
                <w:rFonts w:ascii="Times New Roman" w:hAnsi="Times New Roman"/>
              </w:rPr>
              <w:t>and</w:t>
            </w:r>
            <w:r w:rsidRPr="004675C2">
              <w:rPr>
                <w:rFonts w:ascii="Times New Roman" w:hAnsi="Times New Roman"/>
              </w:rPr>
              <w:t xml:space="preserve"> the</w:t>
            </w:r>
            <w:r w:rsidRPr="004675C2">
              <w:rPr>
                <w:rFonts w:ascii="Times New Roman" w:hAnsi="Times New Roman"/>
                <w:b/>
                <w:bCs/>
              </w:rPr>
              <w:t xml:space="preserve"> </w:t>
            </w:r>
            <w:r w:rsidR="00DE7292" w:rsidRPr="004675C2">
              <w:rPr>
                <w:rFonts w:ascii="Times New Roman" w:hAnsi="Times New Roman"/>
                <w:b/>
                <w:bCs/>
              </w:rPr>
              <w:t>Green Agenda for the Western Balkan</w:t>
            </w:r>
            <w:r w:rsidR="004675C2" w:rsidRPr="004675C2">
              <w:rPr>
                <w:rFonts w:ascii="Times New Roman" w:hAnsi="Times New Roman"/>
                <w:b/>
                <w:bCs/>
              </w:rPr>
              <w:t xml:space="preserve"> </w:t>
            </w:r>
            <w:r w:rsidR="004675C2" w:rsidRPr="004675C2">
              <w:rPr>
                <w:rFonts w:ascii="Times New Roman" w:hAnsi="Times New Roman"/>
              </w:rPr>
              <w:t xml:space="preserve">by ensuring a </w:t>
            </w:r>
            <w:r w:rsidR="00CB2642">
              <w:rPr>
                <w:rFonts w:ascii="Times New Roman" w:hAnsi="Times New Roman"/>
              </w:rPr>
              <w:t>h</w:t>
            </w:r>
            <w:r w:rsidR="004675C2" w:rsidRPr="004675C2">
              <w:rPr>
                <w:rFonts w:ascii="Times New Roman" w:hAnsi="Times New Roman"/>
              </w:rPr>
              <w:t>igher level of control over the agriculture production as well as by ensuring that agriculture production is not lost because of water shortening. The use of irrigation in fertile soils indirectly reduces the pressure on the less favourable agriculture areas.</w:t>
            </w:r>
          </w:p>
          <w:p w14:paraId="5610DC08" w14:textId="4E103A2A" w:rsidR="00F16D0F" w:rsidRPr="004675C2" w:rsidRDefault="00F16D0F" w:rsidP="00F16D0F">
            <w:pPr>
              <w:spacing w:after="0" w:line="240" w:lineRule="auto"/>
              <w:jc w:val="both"/>
              <w:rPr>
                <w:rFonts w:ascii="Times New Roman" w:hAnsi="Times New Roman"/>
              </w:rPr>
            </w:pPr>
            <w:r w:rsidRPr="004675C2">
              <w:rPr>
                <w:rFonts w:ascii="Times New Roman" w:hAnsi="Times New Roman"/>
              </w:rPr>
              <w:t xml:space="preserve">North Macedonia has demonstrated a significant progress in the field of agriculture and rural development. The importance of this sector in socio-economic aspect as well as for the accession process pushed the country to develop the necessary strategic and legal framework and establish good institutional capacity, mainly with the support of the EU. The </w:t>
            </w:r>
            <w:r w:rsidRPr="004675C2">
              <w:rPr>
                <w:rFonts w:ascii="Times New Roman" w:hAnsi="Times New Roman"/>
                <w:b/>
                <w:bCs/>
              </w:rPr>
              <w:t>strategic framework for Agriculture and Rural Development</w:t>
            </w:r>
            <w:r w:rsidRPr="004675C2">
              <w:rPr>
                <w:rFonts w:ascii="Times New Roman" w:hAnsi="Times New Roman"/>
              </w:rPr>
              <w:t xml:space="preserve"> covers and defines a number of strategic prioritie</w:t>
            </w:r>
            <w:r w:rsidR="006814EB" w:rsidRPr="004675C2">
              <w:rPr>
                <w:rFonts w:ascii="Times New Roman" w:hAnsi="Times New Roman"/>
              </w:rPr>
              <w:t xml:space="preserve">s, among others the followings: </w:t>
            </w:r>
          </w:p>
          <w:p w14:paraId="5F94306D" w14:textId="630765F3" w:rsidR="006814EB" w:rsidRPr="004675C2" w:rsidRDefault="006814EB" w:rsidP="00F16D0F">
            <w:pPr>
              <w:pStyle w:val="ListParagraph"/>
              <w:numPr>
                <w:ilvl w:val="0"/>
                <w:numId w:val="12"/>
              </w:numPr>
              <w:spacing w:after="0" w:line="240" w:lineRule="auto"/>
              <w:jc w:val="both"/>
              <w:rPr>
                <w:rFonts w:ascii="Times New Roman" w:hAnsi="Times New Roman"/>
              </w:rPr>
            </w:pPr>
            <w:r w:rsidRPr="004675C2">
              <w:rPr>
                <w:rFonts w:ascii="Times New Roman" w:hAnsi="Times New Roman"/>
              </w:rPr>
              <w:t xml:space="preserve">To improve market organization (e.g. cooperatives and farmers’ associations), vertical integration and quality improvements. </w:t>
            </w:r>
          </w:p>
          <w:p w14:paraId="5FD5F6F2" w14:textId="65EAB321" w:rsidR="00F16D0F" w:rsidRPr="004675C2" w:rsidRDefault="00F16D0F" w:rsidP="006814EB">
            <w:pPr>
              <w:pStyle w:val="ListParagraph"/>
              <w:numPr>
                <w:ilvl w:val="0"/>
                <w:numId w:val="12"/>
              </w:numPr>
              <w:spacing w:after="0" w:line="240" w:lineRule="auto"/>
              <w:jc w:val="both"/>
              <w:rPr>
                <w:rFonts w:ascii="Times New Roman" w:hAnsi="Times New Roman"/>
              </w:rPr>
            </w:pPr>
            <w:r w:rsidRPr="004675C2">
              <w:rPr>
                <w:rFonts w:ascii="Times New Roman" w:hAnsi="Times New Roman"/>
              </w:rPr>
              <w:lastRenderedPageBreak/>
              <w:t>To promote territorially balanced and sustainable development in rural areas,</w:t>
            </w:r>
          </w:p>
          <w:p w14:paraId="2E6F8C2A" w14:textId="5CCE943C" w:rsidR="00F16D0F" w:rsidRPr="004675C2" w:rsidRDefault="00F16D0F" w:rsidP="006814EB">
            <w:pPr>
              <w:pStyle w:val="ListParagraph"/>
              <w:numPr>
                <w:ilvl w:val="0"/>
                <w:numId w:val="12"/>
              </w:numPr>
              <w:spacing w:after="0" w:line="240" w:lineRule="auto"/>
              <w:jc w:val="both"/>
              <w:rPr>
                <w:rFonts w:ascii="Times New Roman" w:hAnsi="Times New Roman"/>
              </w:rPr>
            </w:pPr>
            <w:r w:rsidRPr="004675C2">
              <w:rPr>
                <w:rFonts w:ascii="Times New Roman" w:hAnsi="Times New Roman"/>
              </w:rPr>
              <w:t xml:space="preserve">To enhance farm viability and competitiveness of all types of agriculture and primary food-processing, </w:t>
            </w:r>
          </w:p>
          <w:p w14:paraId="0860F077" w14:textId="0060045E" w:rsidR="00F16D0F" w:rsidRPr="004675C2" w:rsidRDefault="00F16D0F" w:rsidP="006814EB">
            <w:pPr>
              <w:pStyle w:val="ListParagraph"/>
              <w:numPr>
                <w:ilvl w:val="0"/>
                <w:numId w:val="12"/>
              </w:numPr>
              <w:spacing w:after="0" w:line="240" w:lineRule="auto"/>
              <w:jc w:val="both"/>
              <w:rPr>
                <w:rFonts w:ascii="Times New Roman" w:hAnsi="Times New Roman"/>
              </w:rPr>
            </w:pPr>
            <w:r w:rsidRPr="004675C2">
              <w:rPr>
                <w:rFonts w:ascii="Times New Roman" w:hAnsi="Times New Roman"/>
              </w:rPr>
              <w:t>To develop human and physical capital (irrigation and mechanisation),</w:t>
            </w:r>
          </w:p>
          <w:p w14:paraId="09F5CA78" w14:textId="6BF71F38" w:rsidR="00F16D0F" w:rsidRPr="004675C2" w:rsidRDefault="00F16D0F" w:rsidP="006814EB">
            <w:pPr>
              <w:pStyle w:val="ListParagraph"/>
              <w:numPr>
                <w:ilvl w:val="0"/>
                <w:numId w:val="12"/>
              </w:numPr>
              <w:spacing w:after="0" w:line="240" w:lineRule="auto"/>
              <w:jc w:val="both"/>
              <w:rPr>
                <w:rFonts w:ascii="Times New Roman" w:hAnsi="Times New Roman"/>
              </w:rPr>
            </w:pPr>
            <w:r w:rsidRPr="004675C2">
              <w:rPr>
                <w:rFonts w:ascii="Times New Roman" w:hAnsi="Times New Roman"/>
              </w:rPr>
              <w:t>To reduce the fragmentation of the farms and to increase the size of the small land holdings,</w:t>
            </w:r>
          </w:p>
          <w:p w14:paraId="005B3C14" w14:textId="7C1C2F85" w:rsidR="00F16D0F" w:rsidRPr="004675C2" w:rsidRDefault="00F16D0F" w:rsidP="006814EB">
            <w:pPr>
              <w:pStyle w:val="ListParagraph"/>
              <w:numPr>
                <w:ilvl w:val="0"/>
                <w:numId w:val="12"/>
              </w:numPr>
              <w:spacing w:after="0" w:line="240" w:lineRule="auto"/>
              <w:jc w:val="both"/>
              <w:rPr>
                <w:rFonts w:ascii="Times New Roman" w:hAnsi="Times New Roman"/>
              </w:rPr>
            </w:pPr>
            <w:r w:rsidRPr="004675C2">
              <w:rPr>
                <w:rFonts w:ascii="Times New Roman" w:hAnsi="Times New Roman"/>
              </w:rPr>
              <w:t>To improve plant health</w:t>
            </w:r>
          </w:p>
          <w:p w14:paraId="471C7F31" w14:textId="03AA69BC" w:rsidR="00F16D0F" w:rsidRPr="004675C2" w:rsidRDefault="00F16D0F" w:rsidP="006814EB">
            <w:pPr>
              <w:pStyle w:val="ListParagraph"/>
              <w:numPr>
                <w:ilvl w:val="0"/>
                <w:numId w:val="12"/>
              </w:numPr>
              <w:spacing w:after="0" w:line="240" w:lineRule="auto"/>
              <w:jc w:val="both"/>
              <w:rPr>
                <w:rFonts w:ascii="Times New Roman" w:hAnsi="Times New Roman"/>
              </w:rPr>
            </w:pPr>
            <w:r w:rsidRPr="004675C2">
              <w:rPr>
                <w:rFonts w:ascii="Times New Roman" w:hAnsi="Times New Roman"/>
              </w:rPr>
              <w:t>To increase the international competitiveness of North Macedonia’s agricultural production and agro-food industry</w:t>
            </w:r>
            <w:r w:rsidR="00F611BB" w:rsidRPr="004675C2">
              <w:rPr>
                <w:rFonts w:ascii="Times New Roman" w:hAnsi="Times New Roman"/>
              </w:rPr>
              <w:t xml:space="preserve">. </w:t>
            </w:r>
          </w:p>
          <w:p w14:paraId="3C27C57B" w14:textId="77777777" w:rsidR="00F16D0F" w:rsidRPr="004675C2" w:rsidRDefault="00F16D0F" w:rsidP="000F460D">
            <w:pPr>
              <w:spacing w:after="120" w:line="240" w:lineRule="auto"/>
              <w:jc w:val="both"/>
              <w:rPr>
                <w:rFonts w:ascii="Times New Roman" w:hAnsi="Times New Roman"/>
                <w:color w:val="0070C0"/>
              </w:rPr>
            </w:pPr>
          </w:p>
          <w:p w14:paraId="0CA3F570" w14:textId="77777777" w:rsidR="007C1262" w:rsidRPr="004675C2" w:rsidRDefault="007C1262" w:rsidP="007C1262">
            <w:pPr>
              <w:spacing w:after="120" w:line="240" w:lineRule="auto"/>
              <w:jc w:val="both"/>
              <w:rPr>
                <w:rFonts w:ascii="Times New Roman" w:hAnsi="Times New Roman"/>
                <w:b/>
              </w:rPr>
            </w:pPr>
            <w:r w:rsidRPr="004675C2">
              <w:rPr>
                <w:rFonts w:ascii="Times New Roman" w:eastAsia="Arial Unicode MS" w:hAnsi="Times New Roman"/>
                <w:lang w:eastAsia="de-DE"/>
              </w:rPr>
              <w:t xml:space="preserve">The Action will support the implementation of the following </w:t>
            </w:r>
            <w:r w:rsidRPr="004675C2">
              <w:rPr>
                <w:rFonts w:ascii="Times New Roman" w:eastAsia="Arial Unicode MS" w:hAnsi="Times New Roman"/>
                <w:b/>
                <w:bCs/>
                <w:lang w:eastAsia="de-DE"/>
              </w:rPr>
              <w:t>national strategies</w:t>
            </w:r>
            <w:r w:rsidRPr="004675C2">
              <w:rPr>
                <w:rFonts w:ascii="Times New Roman" w:eastAsia="Arial Unicode MS" w:hAnsi="Times New Roman"/>
                <w:lang w:eastAsia="de-DE"/>
              </w:rPr>
              <w:t xml:space="preserve">:  </w:t>
            </w:r>
          </w:p>
          <w:p w14:paraId="090B7500" w14:textId="6BA58834" w:rsidR="007C1262" w:rsidRPr="004675C2" w:rsidRDefault="007C1262" w:rsidP="00E1323E">
            <w:pPr>
              <w:pStyle w:val="ListParagraph"/>
              <w:numPr>
                <w:ilvl w:val="0"/>
                <w:numId w:val="5"/>
              </w:numPr>
              <w:spacing w:after="120" w:line="240" w:lineRule="auto"/>
              <w:jc w:val="both"/>
              <w:rPr>
                <w:rFonts w:ascii="Times New Roman" w:hAnsi="Times New Roman"/>
              </w:rPr>
            </w:pPr>
            <w:r w:rsidRPr="004675C2">
              <w:rPr>
                <w:rFonts w:ascii="Times New Roman" w:hAnsi="Times New Roman"/>
                <w:bCs/>
              </w:rPr>
              <w:t>The</w:t>
            </w:r>
            <w:r w:rsidRPr="004675C2">
              <w:rPr>
                <w:rFonts w:ascii="Times New Roman" w:hAnsi="Times New Roman"/>
              </w:rPr>
              <w:t xml:space="preserve"> </w:t>
            </w:r>
            <w:r w:rsidR="00E1323E" w:rsidRPr="004675C2">
              <w:rPr>
                <w:rFonts w:ascii="Times New Roman" w:hAnsi="Times New Roman"/>
                <w:b/>
              </w:rPr>
              <w:t xml:space="preserve">National Strategy for Agriculture and Rural Development (NARDS) 2014-2020 </w:t>
            </w:r>
            <w:r w:rsidR="00E1323E" w:rsidRPr="004675C2">
              <w:rPr>
                <w:rFonts w:ascii="Times New Roman" w:hAnsi="Times New Roman"/>
                <w:bCs/>
              </w:rPr>
              <w:t>(at present the strategy is under revision, however the main objectives are going to be kept), which aims to increase the international competitiveness of North Macedonia’s agricultural production and agri-food industry</w:t>
            </w:r>
            <w:r w:rsidR="00CB2642">
              <w:rPr>
                <w:rFonts w:ascii="Times New Roman" w:hAnsi="Times New Roman"/>
                <w:bCs/>
              </w:rPr>
              <w:t xml:space="preserve"> </w:t>
            </w:r>
            <w:r w:rsidR="00E1323E" w:rsidRPr="004675C2">
              <w:rPr>
                <w:rFonts w:ascii="Times New Roman" w:hAnsi="Times New Roman"/>
                <w:bCs/>
              </w:rPr>
              <w:t>and securing sustainable development of rural areas. The strategy has specific objectives related to the market regulation, organization of the food chain and improving the quality of agricultural products; and also, to the</w:t>
            </w:r>
            <w:r w:rsidR="00E1323E" w:rsidRPr="004675C2">
              <w:rPr>
                <w:rFonts w:ascii="Times New Roman" w:hAnsi="Times New Roman"/>
              </w:rPr>
              <w:t xml:space="preserve"> </w:t>
            </w:r>
            <w:r w:rsidR="00E1323E" w:rsidRPr="004675C2">
              <w:rPr>
                <w:rFonts w:ascii="Times New Roman" w:hAnsi="Times New Roman"/>
                <w:bCs/>
              </w:rPr>
              <w:t xml:space="preserve">modernization of the agri-food sector. </w:t>
            </w:r>
          </w:p>
          <w:p w14:paraId="17943407" w14:textId="4362D15D" w:rsidR="007C1262" w:rsidRPr="004675C2" w:rsidRDefault="00DE7292" w:rsidP="007C1262">
            <w:pPr>
              <w:pStyle w:val="ListParagraph"/>
              <w:numPr>
                <w:ilvl w:val="0"/>
                <w:numId w:val="5"/>
              </w:numPr>
              <w:spacing w:after="120" w:line="240" w:lineRule="auto"/>
              <w:jc w:val="both"/>
              <w:rPr>
                <w:rFonts w:ascii="Times New Roman" w:hAnsi="Times New Roman"/>
              </w:rPr>
            </w:pPr>
            <w:r w:rsidRPr="004675C2">
              <w:rPr>
                <w:rFonts w:ascii="Times New Roman" w:hAnsi="Times New Roman"/>
                <w:b/>
                <w:bCs/>
              </w:rPr>
              <w:t xml:space="preserve">Economic Reform Programme 2020 – 2022, </w:t>
            </w:r>
            <w:r w:rsidRPr="004675C2">
              <w:rPr>
                <w:rFonts w:ascii="Times New Roman" w:hAnsi="Times New Roman"/>
              </w:rPr>
              <w:t>which aims</w:t>
            </w:r>
            <w:r w:rsidRPr="004675C2">
              <w:rPr>
                <w:rFonts w:ascii="Times New Roman" w:hAnsi="Times New Roman"/>
                <w:b/>
                <w:bCs/>
              </w:rPr>
              <w:t xml:space="preserve"> </w:t>
            </w:r>
            <w:r w:rsidRPr="004675C2">
              <w:rPr>
                <w:rFonts w:ascii="Times New Roman" w:hAnsi="Times New Roman"/>
              </w:rPr>
              <w:t xml:space="preserve">to improve the irrigation system in North Macedonia. </w:t>
            </w:r>
          </w:p>
          <w:p w14:paraId="14181660" w14:textId="06F2324E" w:rsidR="00D92F6C" w:rsidRPr="004675C2" w:rsidRDefault="002D752F" w:rsidP="006814EB">
            <w:pPr>
              <w:pStyle w:val="ListParagraph"/>
              <w:numPr>
                <w:ilvl w:val="0"/>
                <w:numId w:val="5"/>
              </w:numPr>
              <w:spacing w:after="120" w:line="240" w:lineRule="auto"/>
              <w:jc w:val="both"/>
              <w:rPr>
                <w:rFonts w:ascii="Times New Roman" w:hAnsi="Times New Roman"/>
              </w:rPr>
            </w:pPr>
            <w:r w:rsidRPr="004675C2">
              <w:rPr>
                <w:rFonts w:ascii="Times New Roman" w:hAnsi="Times New Roman"/>
                <w:b/>
                <w:bCs/>
              </w:rPr>
              <w:t>Investment Plan for Water Management Master Infrastructure 2015-2025",</w:t>
            </w:r>
            <w:r w:rsidR="00DE7292" w:rsidRPr="004675C2">
              <w:rPr>
                <w:rFonts w:ascii="Times New Roman" w:hAnsi="Times New Roman"/>
                <w:b/>
                <w:bCs/>
              </w:rPr>
              <w:t xml:space="preserve"> </w:t>
            </w:r>
            <w:r w:rsidR="00DE7292" w:rsidRPr="004675C2">
              <w:rPr>
                <w:rFonts w:ascii="Times New Roman" w:hAnsi="Times New Roman"/>
              </w:rPr>
              <w:t>which</w:t>
            </w:r>
            <w:r w:rsidRPr="004675C2">
              <w:rPr>
                <w:rFonts w:ascii="Times New Roman" w:hAnsi="Times New Roman"/>
              </w:rPr>
              <w:t xml:space="preserve"> </w:t>
            </w:r>
            <w:r w:rsidR="00F16D0F" w:rsidRPr="004675C2">
              <w:rPr>
                <w:rFonts w:ascii="Times New Roman" w:hAnsi="Times New Roman"/>
              </w:rPr>
              <w:t>aims to</w:t>
            </w:r>
            <w:r w:rsidRPr="004675C2">
              <w:rPr>
                <w:rFonts w:ascii="Times New Roman" w:hAnsi="Times New Roman"/>
              </w:rPr>
              <w:t xml:space="preserve"> enhance capital investments in dams and irrigation systems. In the mid-term perspective, the state investments in irrigation should allow irrigation of 144.000 ha. In longer-term period, the gradual widening of irrigation systems should ensure coverage of around 250.000 ha, which is a half of the cultivated land. The state investments cover two types of infrastructure works:</w:t>
            </w:r>
            <w:r w:rsidR="00F16D0F" w:rsidRPr="004675C2">
              <w:rPr>
                <w:rFonts w:ascii="Times New Roman" w:hAnsi="Times New Roman"/>
              </w:rPr>
              <w:t xml:space="preserve"> </w:t>
            </w:r>
            <w:r w:rsidR="00DE7292" w:rsidRPr="004675C2">
              <w:rPr>
                <w:rFonts w:ascii="Times New Roman" w:hAnsi="Times New Roman"/>
              </w:rPr>
              <w:t xml:space="preserve">- </w:t>
            </w:r>
            <w:r w:rsidRPr="004675C2">
              <w:rPr>
                <w:rFonts w:ascii="Times New Roman" w:hAnsi="Times New Roman"/>
              </w:rPr>
              <w:t xml:space="preserve">Rehabilitation and reconstruction of the current infrastructure for irrigation and drainage in order to achieve their sustainability and water conservation; </w:t>
            </w:r>
            <w:r w:rsidR="00DE7292" w:rsidRPr="004675C2">
              <w:rPr>
                <w:rFonts w:ascii="Times New Roman" w:hAnsi="Times New Roman"/>
              </w:rPr>
              <w:t xml:space="preserve">- </w:t>
            </w:r>
            <w:r w:rsidRPr="004675C2">
              <w:rPr>
                <w:rFonts w:ascii="Times New Roman" w:hAnsi="Times New Roman"/>
              </w:rPr>
              <w:t>Upgrading and extension of the existing hydro-system in order to increase the irrigated area in the country and construction of new structures. The implementation of these investments will improve the efficiency of irrigation systems in the country and contribute to the increasing of the competitiveness of agricultural farms</w:t>
            </w:r>
            <w:r w:rsidR="006814EB" w:rsidRPr="004675C2">
              <w:rPr>
                <w:rFonts w:ascii="Times New Roman" w:hAnsi="Times New Roman"/>
              </w:rPr>
              <w:t xml:space="preserve">. </w:t>
            </w:r>
          </w:p>
          <w:p w14:paraId="0DF63F16" w14:textId="77777777" w:rsidR="00086085" w:rsidRPr="004675C2" w:rsidRDefault="006814EB" w:rsidP="006814EB">
            <w:pPr>
              <w:pStyle w:val="ListParagraph"/>
              <w:numPr>
                <w:ilvl w:val="0"/>
                <w:numId w:val="5"/>
              </w:numPr>
              <w:spacing w:after="120" w:line="240" w:lineRule="auto"/>
              <w:jc w:val="both"/>
              <w:rPr>
                <w:rFonts w:ascii="Times New Roman" w:hAnsi="Times New Roman"/>
              </w:rPr>
            </w:pPr>
            <w:r w:rsidRPr="004675C2">
              <w:rPr>
                <w:rFonts w:ascii="Times New Roman" w:hAnsi="Times New Roman"/>
                <w:b/>
                <w:bCs/>
              </w:rPr>
              <w:t>National Programme for Agriculture and Rural Development 2018-2022, which aims to</w:t>
            </w:r>
            <w:r w:rsidRPr="004675C2">
              <w:rPr>
                <w:rFonts w:ascii="Times New Roman" w:hAnsi="Times New Roman"/>
              </w:rPr>
              <w:t>: - providing stable production of quality and cheaper food and providing the population with sufficient quantities of food, - increasing the competitiveness of agriculture, - ensuring a stable level of income of the agricultural economy, - sustainable development of rural areas, and - optimal use of natural resources while respecting the principles of nature and environmental protection.</w:t>
            </w:r>
          </w:p>
          <w:p w14:paraId="15EB3017" w14:textId="53F4C59B" w:rsidR="00C452AF" w:rsidRPr="004675C2" w:rsidRDefault="00C452AF" w:rsidP="00C452AF">
            <w:pPr>
              <w:pStyle w:val="ListParagraph"/>
              <w:numPr>
                <w:ilvl w:val="0"/>
                <w:numId w:val="5"/>
              </w:numPr>
              <w:spacing w:after="120" w:line="240" w:lineRule="auto"/>
              <w:jc w:val="both"/>
              <w:rPr>
                <w:rFonts w:ascii="Times New Roman" w:hAnsi="Times New Roman"/>
              </w:rPr>
            </w:pPr>
            <w:r w:rsidRPr="004675C2">
              <w:rPr>
                <w:rFonts w:ascii="Times New Roman" w:hAnsi="Times New Roman"/>
                <w:b/>
                <w:bCs/>
              </w:rPr>
              <w:t>IPARD RURAL DEVELOPMENT PROGRAMME 2014-2020</w:t>
            </w:r>
            <w:r w:rsidRPr="004675C2">
              <w:rPr>
                <w:rFonts w:ascii="Times New Roman" w:hAnsi="Times New Roman"/>
              </w:rPr>
              <w:t xml:space="preserve">, which aims to enhance farm viability and competitiveness of all types of agriculture and primary food-processing, while progressively aligning with the Union standards /developing human and physical capital; develop the ability of the agri-food sector to cope with competitive pressure as well as to progressively align the sector with </w:t>
            </w:r>
            <w:r w:rsidRPr="004675C2">
              <w:rPr>
                <w:rFonts w:ascii="Times New Roman" w:hAnsi="Times New Roman"/>
              </w:rPr>
              <w:lastRenderedPageBreak/>
              <w:t xml:space="preserve">Union standards. </w:t>
            </w:r>
          </w:p>
        </w:tc>
      </w:tr>
      <w:tr w:rsidR="00D92F6C" w:rsidRPr="004675C2" w14:paraId="299D7644" w14:textId="77777777" w:rsidTr="004C5B23">
        <w:trPr>
          <w:jc w:val="center"/>
        </w:trPr>
        <w:tc>
          <w:tcPr>
            <w:tcW w:w="534" w:type="dxa"/>
            <w:vMerge/>
            <w:tcBorders>
              <w:left w:val="single" w:sz="4" w:space="0" w:color="auto"/>
              <w:right w:val="single" w:sz="4" w:space="0" w:color="auto"/>
            </w:tcBorders>
          </w:tcPr>
          <w:p w14:paraId="7CD7A71A" w14:textId="77777777" w:rsidR="00D92F6C" w:rsidRPr="004675C2" w:rsidRDefault="00D92F6C" w:rsidP="004C5B2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8327DC3" w14:textId="77777777" w:rsidR="00D92F6C" w:rsidRPr="004675C2" w:rsidRDefault="00D92F6C" w:rsidP="004C5B23">
            <w:pPr>
              <w:rPr>
                <w:rFonts w:ascii="Times New Roman" w:hAnsi="Times New Roman"/>
              </w:rPr>
            </w:pPr>
            <w:r w:rsidRPr="004675C2">
              <w:rPr>
                <w:rFonts w:ascii="Times New Roman" w:hAnsi="Times New Roman"/>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40FA2A4" w14:textId="77777777" w:rsidR="004C5B23" w:rsidRPr="004675C2" w:rsidRDefault="004C5B23" w:rsidP="004C5B23">
            <w:pPr>
              <w:spacing w:after="120" w:line="240" w:lineRule="auto"/>
              <w:jc w:val="both"/>
              <w:rPr>
                <w:rFonts w:ascii="Times New Roman" w:hAnsi="Times New Roman"/>
              </w:rPr>
            </w:pPr>
            <w:r w:rsidRPr="004675C2">
              <w:rPr>
                <w:rFonts w:ascii="Times New Roman" w:hAnsi="Times New Roman"/>
              </w:rPr>
              <w:t xml:space="preserve">The </w:t>
            </w:r>
            <w:r w:rsidRPr="004675C2">
              <w:rPr>
                <w:rFonts w:ascii="Times New Roman" w:hAnsi="Times New Roman"/>
                <w:b/>
                <w:bCs/>
              </w:rPr>
              <w:t>sector strategic framework is well established</w:t>
            </w:r>
            <w:r w:rsidRPr="004675C2">
              <w:rPr>
                <w:rFonts w:ascii="Times New Roman" w:hAnsi="Times New Roman"/>
              </w:rPr>
              <w:t xml:space="preserve"> and credible although complex. The new generation of strategies to cover the next mid-and long-term period is under preparation. The strategic planning process is based on analysis of the implementation of the still ongoing strategies and rich statistical data exists to back up the planning process. The follow-up on the implementation of the priorities, objectives and measures, defined by the various strategies is based on the established standard monitoring system for each of the adopted strategy. However, to ease up the sector monitoring, the national authorities, with the EU support, during 2020 developed </w:t>
            </w:r>
            <w:r w:rsidRPr="004675C2">
              <w:rPr>
                <w:rFonts w:ascii="Times New Roman" w:hAnsi="Times New Roman"/>
                <w:b/>
                <w:bCs/>
              </w:rPr>
              <w:t>a sector Performance Assessment Framework (PAF)</w:t>
            </w:r>
            <w:r w:rsidRPr="004675C2">
              <w:rPr>
                <w:rFonts w:ascii="Times New Roman" w:hAnsi="Times New Roman"/>
              </w:rPr>
              <w:t>, based on a set of impact and outcome indicators, targets and baseline data. The selected indicators cover very well the entire sector.</w:t>
            </w:r>
          </w:p>
          <w:p w14:paraId="26DF50B6" w14:textId="77777777" w:rsidR="004C5B23" w:rsidRPr="004675C2" w:rsidRDefault="004C5B23" w:rsidP="004C5B23">
            <w:pPr>
              <w:spacing w:after="120" w:line="240" w:lineRule="auto"/>
              <w:jc w:val="both"/>
              <w:rPr>
                <w:rFonts w:ascii="Times New Roman" w:hAnsi="Times New Roman"/>
              </w:rPr>
            </w:pPr>
            <w:r w:rsidRPr="004675C2">
              <w:rPr>
                <w:rFonts w:ascii="Times New Roman" w:hAnsi="Times New Roman"/>
              </w:rPr>
              <w:t xml:space="preserve">The sector policy dialogue is channelled through the </w:t>
            </w:r>
            <w:r w:rsidRPr="004675C2">
              <w:rPr>
                <w:rFonts w:ascii="Times New Roman" w:hAnsi="Times New Roman"/>
                <w:b/>
                <w:bCs/>
              </w:rPr>
              <w:t>Sector Working Group (SWG) Agriculture and Rural development</w:t>
            </w:r>
            <w:r w:rsidRPr="004675C2">
              <w:rPr>
                <w:rFonts w:ascii="Times New Roman" w:hAnsi="Times New Roman"/>
              </w:rPr>
              <w:t xml:space="preserve"> which focuses the discussions on the national sector priorities and their implementation in an inclusive and participatory manner. The SWG embed the IPA programming but go far beyond the discussions on EU funds: this is the platform to voice also the opinion of the various donors, relevant state institutions and civil society on how the sector develops, how effective are the current policies and how the various donors contribute to the national sector priorities. The SWG is meeting in different formats: decision-making (at least twice per year) and technical (at least once per month). In the negotiation phase with the EU, will assume new functions primarily by becoming the public channel for informing stakeholders about the progress of the negotiations, as well as providing feedback to decision makers on how the new legislation is implemented in practice. In addressing these new obligations, the SWG will be complementary to the negotiating structure established in 2019, which will technically handle discussions with the European Commission. </w:t>
            </w:r>
          </w:p>
          <w:p w14:paraId="60281581" w14:textId="3E8494C8" w:rsidR="004C5B23" w:rsidRPr="004675C2" w:rsidRDefault="004C5B23" w:rsidP="001E3D3B">
            <w:pPr>
              <w:spacing w:after="0" w:line="240" w:lineRule="auto"/>
              <w:jc w:val="both"/>
              <w:rPr>
                <w:rFonts w:ascii="Times New Roman" w:hAnsi="Times New Roman"/>
              </w:rPr>
            </w:pPr>
            <w:r w:rsidRPr="004675C2">
              <w:rPr>
                <w:rFonts w:ascii="Times New Roman" w:hAnsi="Times New Roman"/>
              </w:rPr>
              <w:t xml:space="preserve">The </w:t>
            </w:r>
            <w:r w:rsidRPr="004675C2">
              <w:rPr>
                <w:rFonts w:ascii="Times New Roman" w:hAnsi="Times New Roman"/>
                <w:b/>
                <w:bCs/>
              </w:rPr>
              <w:t>institutional set up</w:t>
            </w:r>
            <w:r w:rsidRPr="004675C2">
              <w:rPr>
                <w:rFonts w:ascii="Times New Roman" w:hAnsi="Times New Roman"/>
              </w:rPr>
              <w:t xml:space="preserve"> comprises </w:t>
            </w:r>
            <w:r w:rsidR="00E91B38">
              <w:rPr>
                <w:rFonts w:ascii="Times New Roman" w:hAnsi="Times New Roman"/>
              </w:rPr>
              <w:t>several</w:t>
            </w:r>
            <w:r w:rsidRPr="004675C2">
              <w:rPr>
                <w:rFonts w:ascii="Times New Roman" w:hAnsi="Times New Roman"/>
              </w:rPr>
              <w:t xml:space="preserve"> institutions with relatively </w:t>
            </w:r>
            <w:r w:rsidR="008C4591" w:rsidRPr="004675C2">
              <w:rPr>
                <w:rFonts w:ascii="Times New Roman" w:hAnsi="Times New Roman"/>
              </w:rPr>
              <w:t>well-established</w:t>
            </w:r>
            <w:r w:rsidRPr="004675C2">
              <w:rPr>
                <w:rFonts w:ascii="Times New Roman" w:hAnsi="Times New Roman"/>
              </w:rPr>
              <w:t xml:space="preserve"> administrative capacity:</w:t>
            </w:r>
          </w:p>
          <w:p w14:paraId="784BD19C" w14:textId="5C26C5E0" w:rsidR="006D4594" w:rsidRPr="00E91B38" w:rsidRDefault="004C5B23" w:rsidP="00E91B38">
            <w:pPr>
              <w:pStyle w:val="ListParagraph"/>
              <w:numPr>
                <w:ilvl w:val="0"/>
                <w:numId w:val="15"/>
              </w:numPr>
              <w:spacing w:after="0" w:line="240" w:lineRule="auto"/>
              <w:jc w:val="both"/>
              <w:rPr>
                <w:rFonts w:ascii="Times New Roman" w:eastAsia="Calibri" w:hAnsi="Times New Roman" w:cs="Arial"/>
                <w:sz w:val="24"/>
                <w:szCs w:val="24"/>
                <w:lang w:val="fr-BE"/>
              </w:rPr>
            </w:pPr>
            <w:r w:rsidRPr="00E91B38">
              <w:rPr>
                <w:rFonts w:ascii="Times New Roman" w:eastAsia="Calibri" w:hAnsi="Times New Roman" w:cs="Arial"/>
                <w:sz w:val="24"/>
                <w:szCs w:val="24"/>
                <w:lang w:val="fr-BE"/>
              </w:rPr>
              <w:t>The Ministry of Agriculture, Forestry and Water Economy, responsible for the sector policy making and policy implementation</w:t>
            </w:r>
            <w:r w:rsidR="00E91B38" w:rsidRPr="00E91B38">
              <w:rPr>
                <w:rFonts w:ascii="Times New Roman" w:eastAsia="Calibri" w:hAnsi="Times New Roman" w:cs="Arial"/>
                <w:sz w:val="24"/>
                <w:szCs w:val="24"/>
                <w:lang w:val="fr-BE"/>
              </w:rPr>
              <w:t>.</w:t>
            </w:r>
            <w:r w:rsidR="006D4594" w:rsidRPr="00E91B38">
              <w:rPr>
                <w:rFonts w:ascii="Times New Roman" w:eastAsia="Calibri" w:hAnsi="Times New Roman" w:cs="Arial"/>
                <w:sz w:val="24"/>
                <w:szCs w:val="24"/>
                <w:lang w:val="fr-BE"/>
              </w:rPr>
              <w:t xml:space="preserve"> More </w:t>
            </w:r>
            <w:r w:rsidR="00E91B38" w:rsidRPr="00E91B38">
              <w:rPr>
                <w:rFonts w:ascii="Times New Roman" w:eastAsia="Calibri" w:hAnsi="Times New Roman" w:cs="Arial"/>
                <w:sz w:val="24"/>
                <w:szCs w:val="24"/>
                <w:lang w:val="fr-BE"/>
              </w:rPr>
              <w:t xml:space="preserve">precisely: </w:t>
            </w:r>
            <w:r w:rsidR="006D4594" w:rsidRPr="00E91B38">
              <w:rPr>
                <w:rFonts w:ascii="Times New Roman" w:eastAsia="Calibri" w:hAnsi="Times New Roman" w:cs="Arial"/>
                <w:sz w:val="24"/>
                <w:szCs w:val="24"/>
                <w:lang w:val="fr-BE"/>
              </w:rPr>
              <w:t xml:space="preserve">Department for EU, Department for Agriculture, Department for Marketing and Quality of Agricultural Products, Department for Viticulture, wine and </w:t>
            </w:r>
            <w:proofErr w:type="gramStart"/>
            <w:r w:rsidR="006D4594" w:rsidRPr="00E91B38">
              <w:rPr>
                <w:rFonts w:ascii="Times New Roman" w:eastAsia="Calibri" w:hAnsi="Times New Roman" w:cs="Arial"/>
                <w:sz w:val="24"/>
                <w:szCs w:val="24"/>
                <w:lang w:val="fr-BE"/>
              </w:rPr>
              <w:t>orchards,  Unit</w:t>
            </w:r>
            <w:proofErr w:type="gramEnd"/>
            <w:r w:rsidR="006D4594" w:rsidRPr="00E91B38">
              <w:rPr>
                <w:rFonts w:ascii="Times New Roman" w:eastAsia="Calibri" w:hAnsi="Times New Roman" w:cs="Arial"/>
                <w:sz w:val="24"/>
                <w:szCs w:val="24"/>
                <w:lang w:val="fr-BE"/>
              </w:rPr>
              <w:t xml:space="preserve"> for agricultural cooperatives, in charge of the activities related to the promotion of agricultural cooperatives and any other Departments deems necessary</w:t>
            </w:r>
          </w:p>
          <w:p w14:paraId="13A5ABDE" w14:textId="02280EF2" w:rsidR="006D4594" w:rsidRPr="00E91B38" w:rsidRDefault="00E91B38" w:rsidP="00E91B38">
            <w:pPr>
              <w:pStyle w:val="ListParagraph"/>
              <w:numPr>
                <w:ilvl w:val="0"/>
                <w:numId w:val="15"/>
              </w:numPr>
              <w:spacing w:after="0" w:line="240" w:lineRule="auto"/>
              <w:jc w:val="both"/>
              <w:rPr>
                <w:rFonts w:ascii="Times New Roman" w:hAnsi="Times New Roman"/>
              </w:rPr>
            </w:pPr>
            <w:r>
              <w:rPr>
                <w:rFonts w:ascii="Times New Roman" w:eastAsia="Calibri" w:hAnsi="Times New Roman" w:cs="Arial"/>
                <w:sz w:val="24"/>
                <w:szCs w:val="24"/>
                <w:lang w:val="fr-BE"/>
              </w:rPr>
              <w:t xml:space="preserve">The </w:t>
            </w:r>
            <w:r w:rsidR="006D4594" w:rsidRPr="00E91B38">
              <w:rPr>
                <w:rFonts w:ascii="Times New Roman" w:eastAsia="Calibri" w:hAnsi="Times New Roman" w:cs="Arial"/>
                <w:sz w:val="24"/>
                <w:szCs w:val="24"/>
                <w:lang w:val="fr-BE"/>
              </w:rPr>
              <w:t>National Extension Agency</w:t>
            </w:r>
          </w:p>
          <w:p w14:paraId="409A3083" w14:textId="57521731" w:rsidR="006D4594" w:rsidRPr="00E91B38" w:rsidRDefault="00E91B38" w:rsidP="001E3D3B">
            <w:pPr>
              <w:pStyle w:val="ListParagraph"/>
              <w:numPr>
                <w:ilvl w:val="0"/>
                <w:numId w:val="15"/>
              </w:numPr>
              <w:spacing w:after="0" w:line="240" w:lineRule="auto"/>
              <w:jc w:val="both"/>
              <w:rPr>
                <w:rFonts w:ascii="Times New Roman" w:hAnsi="Times New Roman"/>
              </w:rPr>
            </w:pPr>
            <w:r>
              <w:rPr>
                <w:rFonts w:ascii="Times New Roman" w:eastAsia="Calibri" w:hAnsi="Times New Roman" w:cs="Arial"/>
                <w:sz w:val="24"/>
                <w:szCs w:val="24"/>
                <w:lang w:val="fr-BE"/>
              </w:rPr>
              <w:t xml:space="preserve">The </w:t>
            </w:r>
            <w:r w:rsidR="006D4594" w:rsidRPr="00E91B38">
              <w:rPr>
                <w:rFonts w:ascii="Times New Roman" w:eastAsia="Calibri" w:hAnsi="Times New Roman" w:cs="Arial"/>
                <w:sz w:val="24"/>
                <w:szCs w:val="24"/>
                <w:lang w:val="fr-BE"/>
              </w:rPr>
              <w:t xml:space="preserve">State Agriculture </w:t>
            </w:r>
            <w:proofErr w:type="spellStart"/>
            <w:r w:rsidR="006D4594" w:rsidRPr="00E91B38">
              <w:rPr>
                <w:rFonts w:ascii="Times New Roman" w:eastAsia="Calibri" w:hAnsi="Times New Roman" w:cs="Arial"/>
                <w:sz w:val="24"/>
                <w:szCs w:val="24"/>
                <w:lang w:val="fr-BE"/>
              </w:rPr>
              <w:t>Inspectorate</w:t>
            </w:r>
            <w:proofErr w:type="spellEnd"/>
          </w:p>
          <w:p w14:paraId="035FF520" w14:textId="5E3A2D5A" w:rsidR="004C5B23" w:rsidRPr="00E91B38" w:rsidRDefault="004C5B23" w:rsidP="00E91B38">
            <w:pPr>
              <w:pStyle w:val="ListParagraph"/>
              <w:numPr>
                <w:ilvl w:val="0"/>
                <w:numId w:val="15"/>
              </w:numPr>
              <w:spacing w:after="0" w:line="240" w:lineRule="auto"/>
              <w:jc w:val="both"/>
              <w:rPr>
                <w:rFonts w:ascii="Times New Roman" w:eastAsia="Calibri" w:hAnsi="Times New Roman" w:cs="Arial"/>
                <w:sz w:val="24"/>
                <w:szCs w:val="24"/>
                <w:lang w:val="fr-BE"/>
              </w:rPr>
            </w:pPr>
            <w:r w:rsidRPr="00E91B38">
              <w:rPr>
                <w:rFonts w:ascii="Times New Roman" w:eastAsia="Calibri" w:hAnsi="Times New Roman" w:cs="Arial"/>
                <w:sz w:val="24"/>
                <w:szCs w:val="24"/>
                <w:lang w:val="fr-BE"/>
              </w:rPr>
              <w:t xml:space="preserve">The Agency for Financial Support to Agriculture and Rural Development (AFSARD), responsible for procurement, contracting and payments to farmers;  </w:t>
            </w:r>
          </w:p>
          <w:p w14:paraId="134B89C5" w14:textId="43F10F8F" w:rsidR="004C5B23" w:rsidRPr="00E91B38" w:rsidRDefault="004C5B23" w:rsidP="00E91B38">
            <w:pPr>
              <w:pStyle w:val="ListParagraph"/>
              <w:numPr>
                <w:ilvl w:val="0"/>
                <w:numId w:val="15"/>
              </w:numPr>
              <w:spacing w:after="0" w:line="240" w:lineRule="auto"/>
              <w:jc w:val="both"/>
              <w:rPr>
                <w:rFonts w:ascii="Times New Roman" w:eastAsia="Calibri" w:hAnsi="Times New Roman" w:cs="Arial"/>
                <w:sz w:val="24"/>
                <w:szCs w:val="24"/>
                <w:lang w:val="fr-BE"/>
              </w:rPr>
            </w:pPr>
            <w:r w:rsidRPr="00E91B38">
              <w:rPr>
                <w:rFonts w:ascii="Times New Roman" w:eastAsia="Calibri" w:hAnsi="Times New Roman" w:cs="Arial"/>
                <w:sz w:val="24"/>
                <w:szCs w:val="24"/>
                <w:lang w:val="fr-BE"/>
              </w:rPr>
              <w:t>The Administration for Water Economy responsible for irrigation and drainage on the whole territory of the country through Joint Stock Company Water Management.</w:t>
            </w:r>
          </w:p>
          <w:p w14:paraId="53F1066F" w14:textId="77777777" w:rsidR="008C4591" w:rsidRPr="004675C2" w:rsidRDefault="008C4591" w:rsidP="001E3D3B">
            <w:pPr>
              <w:spacing w:after="0" w:line="240" w:lineRule="auto"/>
              <w:jc w:val="both"/>
              <w:rPr>
                <w:rFonts w:ascii="Times New Roman" w:hAnsi="Times New Roman"/>
              </w:rPr>
            </w:pPr>
          </w:p>
          <w:p w14:paraId="6090AF2F" w14:textId="77777777" w:rsidR="008C4591" w:rsidRPr="004675C2" w:rsidRDefault="002623AC" w:rsidP="001E3D3B">
            <w:pPr>
              <w:spacing w:after="0" w:line="240" w:lineRule="auto"/>
              <w:jc w:val="both"/>
              <w:rPr>
                <w:rFonts w:ascii="Times New Roman" w:hAnsi="Times New Roman"/>
              </w:rPr>
            </w:pPr>
            <w:r w:rsidRPr="004675C2">
              <w:rPr>
                <w:rFonts w:ascii="Times New Roman" w:hAnsi="Times New Roman"/>
                <w:lang w:bidi="mn-Mong-CN"/>
              </w:rPr>
              <w:t xml:space="preserve">North Macedonia provides significant </w:t>
            </w:r>
            <w:r w:rsidRPr="004675C2">
              <w:rPr>
                <w:rFonts w:ascii="Times New Roman" w:hAnsi="Times New Roman"/>
                <w:b/>
                <w:bCs/>
                <w:lang w:bidi="mn-Mong-CN"/>
              </w:rPr>
              <w:t>resources</w:t>
            </w:r>
            <w:r w:rsidRPr="004675C2">
              <w:rPr>
                <w:rFonts w:ascii="Times New Roman" w:hAnsi="Times New Roman"/>
                <w:lang w:bidi="mn-Mong-CN"/>
              </w:rPr>
              <w:t xml:space="preserve"> for the sector.  </w:t>
            </w:r>
            <w:r w:rsidRPr="004675C2">
              <w:rPr>
                <w:rFonts w:ascii="Times New Roman" w:hAnsi="Times New Roman"/>
                <w:iCs/>
              </w:rPr>
              <w:t xml:space="preserve">The annual budget allocation is around 10 billion </w:t>
            </w:r>
            <w:proofErr w:type="spellStart"/>
            <w:r w:rsidRPr="004675C2">
              <w:rPr>
                <w:rFonts w:ascii="Times New Roman" w:hAnsi="Times New Roman"/>
                <w:iCs/>
              </w:rPr>
              <w:t>Denars</w:t>
            </w:r>
            <w:proofErr w:type="spellEnd"/>
            <w:r w:rsidRPr="004675C2">
              <w:rPr>
                <w:rFonts w:ascii="Times New Roman" w:hAnsi="Times New Roman"/>
                <w:iCs/>
              </w:rPr>
              <w:t xml:space="preserve"> (around EUR 160 million) for the years 2018, 2019 and 2020.</w:t>
            </w:r>
          </w:p>
        </w:tc>
      </w:tr>
      <w:tr w:rsidR="00D92F6C" w:rsidRPr="004675C2" w14:paraId="458FD89E" w14:textId="77777777" w:rsidTr="004C5B23">
        <w:trPr>
          <w:jc w:val="center"/>
        </w:trPr>
        <w:tc>
          <w:tcPr>
            <w:tcW w:w="534" w:type="dxa"/>
            <w:vMerge/>
            <w:tcBorders>
              <w:left w:val="single" w:sz="4" w:space="0" w:color="auto"/>
              <w:bottom w:val="single" w:sz="4" w:space="0" w:color="auto"/>
              <w:right w:val="single" w:sz="4" w:space="0" w:color="auto"/>
            </w:tcBorders>
          </w:tcPr>
          <w:p w14:paraId="18CEE087" w14:textId="77777777" w:rsidR="00D92F6C" w:rsidRPr="004675C2" w:rsidRDefault="00D92F6C" w:rsidP="004C5B2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3885C01" w14:textId="77777777" w:rsidR="00D92F6C" w:rsidRPr="004675C2" w:rsidRDefault="00D92F6C" w:rsidP="004C5B23">
            <w:pPr>
              <w:rPr>
                <w:rFonts w:ascii="Times New Roman" w:hAnsi="Times New Roman"/>
              </w:rPr>
            </w:pPr>
            <w:r w:rsidRPr="004675C2">
              <w:rPr>
                <w:rFonts w:ascii="Times New Roman" w:hAnsi="Times New Roman"/>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13E7EB6" w14:textId="279C9B5F" w:rsidR="00D92F6C" w:rsidRPr="004675C2" w:rsidRDefault="00F16D0F" w:rsidP="00143430">
            <w:pPr>
              <w:spacing w:after="120" w:line="240" w:lineRule="auto"/>
              <w:jc w:val="both"/>
              <w:rPr>
                <w:rFonts w:ascii="Times New Roman" w:hAnsi="Times New Roman"/>
              </w:rPr>
            </w:pPr>
            <w:r w:rsidRPr="004675C2">
              <w:rPr>
                <w:rFonts w:ascii="Times New Roman" w:hAnsi="Times New Roman"/>
              </w:rPr>
              <w:t>Not relevant</w:t>
            </w:r>
          </w:p>
        </w:tc>
      </w:tr>
      <w:tr w:rsidR="00D92F6C" w:rsidRPr="00E91B38" w14:paraId="659EDF09" w14:textId="77777777" w:rsidTr="004C5B23">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A7610B2" w14:textId="77777777" w:rsidR="00D92F6C" w:rsidRPr="004675C2" w:rsidRDefault="00D92F6C" w:rsidP="004C5B23">
            <w:pPr>
              <w:rPr>
                <w:rFonts w:ascii="Times New Roman" w:hAnsi="Times New Roman"/>
              </w:rPr>
            </w:pPr>
            <w:r w:rsidRPr="004675C2">
              <w:rPr>
                <w:rFonts w:ascii="Times New Roman" w:hAnsi="Times New Roman"/>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72D747F" w14:textId="77777777" w:rsidR="00132C73" w:rsidRPr="004675C2" w:rsidRDefault="00132C73" w:rsidP="00132C73">
            <w:pPr>
              <w:spacing w:after="120" w:line="240" w:lineRule="auto"/>
              <w:jc w:val="both"/>
              <w:rPr>
                <w:rFonts w:ascii="Times New Roman" w:hAnsi="Times New Roman"/>
                <w:iCs/>
                <w:lang w:val="es-ES"/>
              </w:rPr>
            </w:pPr>
            <w:r w:rsidRPr="004675C2">
              <w:rPr>
                <w:rFonts w:ascii="Times New Roman" w:hAnsi="Times New Roman"/>
                <w:iCs/>
                <w:lang w:val="es-ES"/>
              </w:rPr>
              <w:t>Total:</w:t>
            </w:r>
            <w:r>
              <w:rPr>
                <w:rFonts w:ascii="Times New Roman" w:hAnsi="Times New Roman"/>
                <w:iCs/>
                <w:lang w:val="es-ES"/>
              </w:rPr>
              <w:t xml:space="preserve"> 6,000,000</w:t>
            </w:r>
            <w:r w:rsidRPr="004741FA">
              <w:rPr>
                <w:rFonts w:ascii="Times New Roman" w:hAnsi="Times New Roman"/>
                <w:iCs/>
                <w:lang w:val="es-ES"/>
              </w:rPr>
              <w:t xml:space="preserve"> Euro</w:t>
            </w:r>
          </w:p>
          <w:p w14:paraId="05DB1E2E" w14:textId="77777777" w:rsidR="00132C73" w:rsidRDefault="00132C73" w:rsidP="00132C73">
            <w:pPr>
              <w:spacing w:after="120" w:line="240" w:lineRule="auto"/>
              <w:jc w:val="both"/>
              <w:rPr>
                <w:rFonts w:ascii="Times New Roman" w:hAnsi="Times New Roman"/>
                <w:iCs/>
                <w:lang w:val="es-ES"/>
              </w:rPr>
            </w:pPr>
            <w:r w:rsidRPr="004675C2">
              <w:rPr>
                <w:rFonts w:ascii="Times New Roman" w:hAnsi="Times New Roman"/>
                <w:iCs/>
                <w:lang w:val="es-ES"/>
              </w:rPr>
              <w:t>EU grant: 5,000,000 Euro</w:t>
            </w:r>
          </w:p>
          <w:p w14:paraId="57835D4B" w14:textId="42218FB8" w:rsidR="004741FA" w:rsidRPr="004675C2" w:rsidRDefault="00132C73" w:rsidP="00132C73">
            <w:pPr>
              <w:spacing w:after="120" w:line="240" w:lineRule="auto"/>
              <w:jc w:val="both"/>
              <w:rPr>
                <w:rFonts w:ascii="Times New Roman" w:hAnsi="Times New Roman"/>
                <w:lang w:val="es-ES"/>
              </w:rPr>
            </w:pPr>
            <w:r w:rsidRPr="00E91B38">
              <w:rPr>
                <w:rFonts w:ascii="Times New Roman" w:hAnsi="Times New Roman"/>
                <w:iCs/>
              </w:rPr>
              <w:t>National contribution</w:t>
            </w:r>
            <w:r w:rsidRPr="00E91B38">
              <w:rPr>
                <w:rFonts w:ascii="Times New Roman" w:hAnsi="Times New Roman"/>
                <w:iCs/>
                <w:lang w:val="es-ES"/>
              </w:rPr>
              <w:t>: 1,000,000</w:t>
            </w:r>
            <w:r>
              <w:rPr>
                <w:rFonts w:ascii="Times New Roman" w:hAnsi="Times New Roman"/>
                <w:iCs/>
                <w:lang w:val="es-ES"/>
              </w:rPr>
              <w:t xml:space="preserve"> Euro</w:t>
            </w:r>
          </w:p>
        </w:tc>
      </w:tr>
      <w:tr w:rsidR="00D92F6C" w:rsidRPr="004675C2" w14:paraId="7D4E6930" w14:textId="77777777" w:rsidTr="004C5B23">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1ADF3F7A" w14:textId="77777777" w:rsidR="00D92F6C" w:rsidRPr="004675C2" w:rsidRDefault="00D92F6C" w:rsidP="004C5B23">
            <w:pPr>
              <w:rPr>
                <w:rFonts w:ascii="Times New Roman" w:hAnsi="Times New Roman"/>
              </w:rPr>
            </w:pPr>
            <w:r w:rsidRPr="004675C2">
              <w:rPr>
                <w:rFonts w:ascii="Times New Roman" w:hAnsi="Times New Roman"/>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192F1AF" w14:textId="4E068648" w:rsidR="00D92F6C" w:rsidRPr="004675C2" w:rsidRDefault="006646D2" w:rsidP="00143430">
            <w:pPr>
              <w:spacing w:after="120" w:line="240" w:lineRule="auto"/>
              <w:jc w:val="both"/>
              <w:rPr>
                <w:rFonts w:ascii="Times New Roman" w:hAnsi="Times New Roman"/>
              </w:rPr>
            </w:pPr>
            <w:r w:rsidRPr="004675C2">
              <w:rPr>
                <w:rFonts w:ascii="Times New Roman" w:hAnsi="Times New Roman"/>
              </w:rPr>
              <w:t>Direct management through works and service contracts</w:t>
            </w:r>
          </w:p>
        </w:tc>
      </w:tr>
      <w:tr w:rsidR="00D92F6C" w:rsidRPr="004675C2" w14:paraId="6871D42F" w14:textId="77777777" w:rsidTr="004C5B23">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426537E" w14:textId="77777777" w:rsidR="00D92F6C" w:rsidRPr="004675C2" w:rsidRDefault="00D92F6C" w:rsidP="004C5B23">
            <w:pPr>
              <w:rPr>
                <w:rFonts w:ascii="Times New Roman" w:hAnsi="Times New Roman"/>
              </w:rPr>
            </w:pPr>
            <w:r w:rsidRPr="004675C2">
              <w:rPr>
                <w:rFonts w:ascii="Times New Roman" w:hAnsi="Times New Roman"/>
              </w:rPr>
              <w:t>Budget Support Readiness (only if the action is implemented through Budget Support)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D5DF44D" w14:textId="77777777" w:rsidR="00D92F6C" w:rsidRPr="004675C2" w:rsidRDefault="00143430" w:rsidP="00143430">
            <w:pPr>
              <w:spacing w:after="120" w:line="240" w:lineRule="auto"/>
              <w:jc w:val="both"/>
              <w:rPr>
                <w:rFonts w:ascii="Times New Roman" w:hAnsi="Times New Roman"/>
              </w:rPr>
            </w:pPr>
            <w:r w:rsidRPr="004675C2">
              <w:rPr>
                <w:rFonts w:ascii="Times New Roman" w:hAnsi="Times New Roman"/>
              </w:rPr>
              <w:t xml:space="preserve">Not relevant </w:t>
            </w:r>
          </w:p>
        </w:tc>
      </w:tr>
    </w:tbl>
    <w:p w14:paraId="71E60156" w14:textId="77777777" w:rsidR="00D92F6C" w:rsidRPr="004675C2" w:rsidRDefault="00D92F6C" w:rsidP="00D92F6C">
      <w:pPr>
        <w:spacing w:after="0" w:line="240" w:lineRule="auto"/>
        <w:jc w:val="both"/>
        <w:rPr>
          <w:rFonts w:ascii="Times New Roman" w:hAnsi="Times New Roman"/>
          <w:i/>
        </w:rPr>
        <w:sectPr w:rsidR="00D92F6C" w:rsidRPr="004675C2">
          <w:pgSz w:w="11906" w:h="16838"/>
          <w:pgMar w:top="1440" w:right="1440" w:bottom="1440" w:left="1440" w:header="708" w:footer="708" w:gutter="0"/>
          <w:cols w:space="708"/>
          <w:docGrid w:linePitch="360"/>
        </w:sectPr>
      </w:pPr>
    </w:p>
    <w:p w14:paraId="1FCE4086" w14:textId="77777777" w:rsidR="00D92F6C" w:rsidRPr="004675C2" w:rsidRDefault="00D92F6C" w:rsidP="00D92F6C">
      <w:pPr>
        <w:rPr>
          <w:rFonts w:ascii="Times New Roman" w:hAnsi="Times New Roman"/>
          <w:bCs/>
          <w:smallCaps/>
          <w:lang w:val="fr-FR"/>
        </w:rPr>
      </w:pPr>
      <w:bookmarkStart w:id="1" w:name="_Toc33698402"/>
      <w:r w:rsidRPr="004675C2">
        <w:rPr>
          <w:rFonts w:ascii="Times New Roman" w:hAnsi="Times New Roman"/>
          <w:b/>
          <w:bCs/>
          <w:smallCaps/>
          <w:lang w:val="fr-FR"/>
        </w:rPr>
        <w:lastRenderedPageBreak/>
        <w:t>LOGICAL FRAMEWORK MATRIX [2 PAGES MAXIMUM]</w:t>
      </w:r>
      <w:bookmarkEnd w:id="1"/>
    </w:p>
    <w:tbl>
      <w:tblPr>
        <w:tblW w:w="1530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895"/>
        <w:gridCol w:w="3118"/>
        <w:gridCol w:w="2410"/>
        <w:gridCol w:w="1276"/>
        <w:gridCol w:w="1417"/>
        <w:gridCol w:w="1418"/>
        <w:gridCol w:w="1775"/>
      </w:tblGrid>
      <w:tr w:rsidR="00D92F6C" w:rsidRPr="004675C2" w14:paraId="236A33BC" w14:textId="77777777" w:rsidTr="00EB33BA">
        <w:trPr>
          <w:trHeight w:val="1039"/>
        </w:trPr>
        <w:tc>
          <w:tcPr>
            <w:tcW w:w="3895" w:type="dxa"/>
            <w:shd w:val="clear" w:color="auto" w:fill="FFFFFF"/>
            <w:vAlign w:val="center"/>
          </w:tcPr>
          <w:p w14:paraId="468E06F5" w14:textId="77777777" w:rsidR="00D92F6C" w:rsidRPr="004675C2" w:rsidRDefault="00D92F6C" w:rsidP="004C5B23">
            <w:pPr>
              <w:shd w:val="clear" w:color="auto" w:fill="FFFFFF"/>
              <w:spacing w:before="100" w:beforeAutospacing="1" w:after="100" w:afterAutospacing="1"/>
              <w:jc w:val="center"/>
              <w:rPr>
                <w:rFonts w:ascii="Times New Roman" w:hAnsi="Times New Roman"/>
                <w:b/>
                <w:sz w:val="16"/>
                <w:szCs w:val="16"/>
              </w:rPr>
            </w:pPr>
            <w:r w:rsidRPr="004675C2">
              <w:rPr>
                <w:rFonts w:ascii="Times New Roman" w:hAnsi="Times New Roman"/>
                <w:b/>
                <w:sz w:val="16"/>
                <w:szCs w:val="16"/>
              </w:rPr>
              <w:t>OVERALL OBJECTIVE(S) / (IMPACT(S))</w:t>
            </w:r>
          </w:p>
        </w:tc>
        <w:tc>
          <w:tcPr>
            <w:tcW w:w="3118" w:type="dxa"/>
            <w:shd w:val="clear" w:color="auto" w:fill="FFFFFF"/>
            <w:vAlign w:val="center"/>
          </w:tcPr>
          <w:p w14:paraId="51ADBA46" w14:textId="77777777" w:rsidR="00D92F6C" w:rsidRPr="004675C2" w:rsidRDefault="00D92F6C" w:rsidP="004C5B23">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OBJECTIVELY VERIFIABLE INDICATORS</w:t>
            </w:r>
          </w:p>
          <w:p w14:paraId="10CFDE08" w14:textId="77777777" w:rsidR="00D92F6C" w:rsidRPr="004675C2" w:rsidRDefault="00D92F6C" w:rsidP="004C5B23">
            <w:pPr>
              <w:shd w:val="clear" w:color="auto" w:fill="FFFFFF"/>
              <w:spacing w:after="0"/>
              <w:jc w:val="center"/>
              <w:rPr>
                <w:rFonts w:ascii="Times New Roman" w:hAnsi="Times New Roman"/>
                <w:b/>
                <w:sz w:val="16"/>
                <w:szCs w:val="16"/>
              </w:rPr>
            </w:pPr>
          </w:p>
        </w:tc>
        <w:tc>
          <w:tcPr>
            <w:tcW w:w="2410" w:type="dxa"/>
            <w:shd w:val="clear" w:color="auto" w:fill="FFFFFF"/>
            <w:vAlign w:val="center"/>
          </w:tcPr>
          <w:p w14:paraId="1185A124" w14:textId="77777777" w:rsidR="00D92F6C" w:rsidRPr="004641C9" w:rsidRDefault="00D92F6C" w:rsidP="004C5B23">
            <w:pPr>
              <w:shd w:val="clear" w:color="auto" w:fill="FFFFFF"/>
              <w:jc w:val="center"/>
              <w:rPr>
                <w:rFonts w:ascii="Times New Roman" w:hAnsi="Times New Roman"/>
                <w:b/>
                <w:sz w:val="16"/>
                <w:szCs w:val="16"/>
                <w:highlight w:val="yellow"/>
              </w:rPr>
            </w:pPr>
            <w:r w:rsidRPr="004641C9">
              <w:rPr>
                <w:rFonts w:ascii="Times New Roman" w:hAnsi="Times New Roman"/>
                <w:b/>
                <w:sz w:val="16"/>
                <w:szCs w:val="16"/>
                <w:highlight w:val="yellow"/>
              </w:rPr>
              <w:t>BASELINES</w:t>
            </w:r>
          </w:p>
          <w:p w14:paraId="4E839973" w14:textId="77777777" w:rsidR="00D92F6C" w:rsidRPr="004675C2" w:rsidRDefault="00D92F6C" w:rsidP="004C5B23">
            <w:pPr>
              <w:shd w:val="clear" w:color="auto" w:fill="FFFFFF"/>
              <w:spacing w:after="0"/>
              <w:jc w:val="both"/>
              <w:rPr>
                <w:rFonts w:ascii="Times New Roman" w:hAnsi="Times New Roman"/>
                <w:b/>
                <w:sz w:val="16"/>
                <w:szCs w:val="16"/>
              </w:rPr>
            </w:pPr>
            <w:r w:rsidRPr="004641C9">
              <w:rPr>
                <w:rFonts w:ascii="Times New Roman" w:hAnsi="Times New Roman"/>
                <w:b/>
                <w:sz w:val="16"/>
                <w:szCs w:val="16"/>
                <w:highlight w:val="yellow"/>
              </w:rPr>
              <w:t>(INCL. VALUE &amp; REFERENCE YEAR</w:t>
            </w:r>
            <w:r w:rsidRPr="004641C9">
              <w:rPr>
                <w:rStyle w:val="FootnoteReference"/>
                <w:rFonts w:ascii="Times New Roman" w:hAnsi="Times New Roman"/>
                <w:b/>
                <w:sz w:val="16"/>
                <w:szCs w:val="16"/>
                <w:highlight w:val="yellow"/>
              </w:rPr>
              <w:footnoteReference w:id="1"/>
            </w:r>
            <w:r w:rsidRPr="004641C9">
              <w:rPr>
                <w:rFonts w:ascii="Times New Roman" w:hAnsi="Times New Roman"/>
                <w:b/>
                <w:sz w:val="16"/>
                <w:szCs w:val="16"/>
                <w:highlight w:val="yellow"/>
              </w:rPr>
              <w:t>)</w:t>
            </w:r>
            <w:r w:rsidRPr="004675C2" w:rsidDel="00042F9A">
              <w:rPr>
                <w:rFonts w:ascii="Times New Roman" w:hAnsi="Times New Roman"/>
                <w:b/>
                <w:sz w:val="16"/>
                <w:szCs w:val="16"/>
              </w:rPr>
              <w:t xml:space="preserve"> </w:t>
            </w:r>
          </w:p>
        </w:tc>
        <w:tc>
          <w:tcPr>
            <w:tcW w:w="1276" w:type="dxa"/>
            <w:shd w:val="clear" w:color="auto" w:fill="FFFFFF"/>
          </w:tcPr>
          <w:p w14:paraId="29A2B389" w14:textId="77777777" w:rsidR="00D92F6C" w:rsidRPr="004675C2" w:rsidRDefault="00D92F6C" w:rsidP="004C5B23">
            <w:pPr>
              <w:shd w:val="clear" w:color="auto" w:fill="FFFFFF"/>
              <w:spacing w:after="0"/>
              <w:jc w:val="center"/>
              <w:rPr>
                <w:rFonts w:ascii="Times New Roman" w:hAnsi="Times New Roman"/>
                <w:b/>
                <w:sz w:val="16"/>
                <w:szCs w:val="16"/>
              </w:rPr>
            </w:pPr>
          </w:p>
          <w:p w14:paraId="61CE51AE" w14:textId="77777777" w:rsidR="00D92F6C" w:rsidRPr="004675C2" w:rsidRDefault="00D92F6C" w:rsidP="004C5B23">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MILESTONES</w:t>
            </w:r>
          </w:p>
          <w:p w14:paraId="4C5948D1" w14:textId="078569DA" w:rsidR="00D92F6C" w:rsidRPr="004675C2" w:rsidRDefault="00D92F6C" w:rsidP="00EB33BA">
            <w:pPr>
              <w:shd w:val="clear" w:color="auto" w:fill="FFFFFF"/>
              <w:jc w:val="center"/>
              <w:rPr>
                <w:rFonts w:ascii="Times New Roman" w:hAnsi="Times New Roman"/>
                <w:b/>
                <w:sz w:val="16"/>
                <w:szCs w:val="16"/>
              </w:rPr>
            </w:pPr>
            <w:r w:rsidRPr="004675C2">
              <w:rPr>
                <w:rFonts w:ascii="Times New Roman" w:hAnsi="Times New Roman"/>
                <w:b/>
                <w:sz w:val="16"/>
                <w:szCs w:val="16"/>
              </w:rPr>
              <w:t>[OPTIONAL]</w:t>
            </w:r>
          </w:p>
        </w:tc>
        <w:tc>
          <w:tcPr>
            <w:tcW w:w="1417" w:type="dxa"/>
            <w:shd w:val="clear" w:color="auto" w:fill="FFFFFF"/>
            <w:vAlign w:val="center"/>
          </w:tcPr>
          <w:p w14:paraId="1B2D0B26" w14:textId="46F7F281" w:rsidR="00D92F6C" w:rsidRPr="004675C2" w:rsidRDefault="00D92F6C" w:rsidP="00EB33BA">
            <w:pPr>
              <w:shd w:val="clear" w:color="auto" w:fill="FFFFFF"/>
              <w:jc w:val="center"/>
              <w:rPr>
                <w:rFonts w:ascii="Times New Roman" w:hAnsi="Times New Roman"/>
                <w:b/>
                <w:sz w:val="16"/>
                <w:szCs w:val="16"/>
              </w:rPr>
            </w:pPr>
            <w:r w:rsidRPr="004675C2">
              <w:rPr>
                <w:rFonts w:ascii="Times New Roman" w:hAnsi="Times New Roman"/>
                <w:b/>
                <w:sz w:val="16"/>
                <w:szCs w:val="16"/>
              </w:rPr>
              <w:t>TARGETS</w:t>
            </w:r>
            <w:r w:rsidR="00EB33BA" w:rsidRPr="004675C2">
              <w:rPr>
                <w:rFonts w:ascii="Times New Roman" w:hAnsi="Times New Roman"/>
                <w:b/>
                <w:sz w:val="16"/>
                <w:szCs w:val="16"/>
              </w:rPr>
              <w:t xml:space="preserve"> (</w:t>
            </w:r>
            <w:r w:rsidRPr="004675C2">
              <w:rPr>
                <w:rFonts w:ascii="Times New Roman" w:hAnsi="Times New Roman"/>
                <w:b/>
                <w:sz w:val="16"/>
                <w:szCs w:val="16"/>
              </w:rPr>
              <w:t>INCL. VALUE &amp; REFERENCE YEAR)</w:t>
            </w:r>
          </w:p>
        </w:tc>
        <w:tc>
          <w:tcPr>
            <w:tcW w:w="1418" w:type="dxa"/>
            <w:shd w:val="clear" w:color="auto" w:fill="FFFFFF"/>
            <w:vAlign w:val="center"/>
          </w:tcPr>
          <w:p w14:paraId="2A11640F" w14:textId="77777777" w:rsidR="00D92F6C" w:rsidRPr="004675C2" w:rsidRDefault="00D92F6C" w:rsidP="004C5B23">
            <w:pPr>
              <w:shd w:val="clear" w:color="auto" w:fill="FFFFFF"/>
              <w:spacing w:after="0"/>
              <w:jc w:val="center"/>
              <w:rPr>
                <w:rFonts w:ascii="Times New Roman" w:hAnsi="Times New Roman"/>
                <w:sz w:val="16"/>
                <w:szCs w:val="16"/>
              </w:rPr>
            </w:pPr>
            <w:r w:rsidRPr="004675C2">
              <w:rPr>
                <w:rFonts w:ascii="Times New Roman" w:hAnsi="Times New Roman"/>
                <w:b/>
                <w:sz w:val="16"/>
                <w:szCs w:val="16"/>
              </w:rPr>
              <w:t>SOURCES &amp; MEANS OF VERIFICATION</w:t>
            </w:r>
          </w:p>
        </w:tc>
        <w:tc>
          <w:tcPr>
            <w:tcW w:w="1775" w:type="dxa"/>
            <w:vMerge w:val="restart"/>
            <w:tcBorders>
              <w:top w:val="nil"/>
              <w:right w:val="nil"/>
            </w:tcBorders>
            <w:shd w:val="clear" w:color="auto" w:fill="FFFFFF"/>
          </w:tcPr>
          <w:p w14:paraId="78385037" w14:textId="77777777" w:rsidR="00D92F6C" w:rsidRPr="004675C2" w:rsidRDefault="00D92F6C" w:rsidP="004C5B23">
            <w:pPr>
              <w:shd w:val="clear" w:color="auto" w:fill="FFFFFF"/>
              <w:spacing w:after="0"/>
              <w:rPr>
                <w:rFonts w:ascii="Times New Roman" w:hAnsi="Times New Roman"/>
                <w:sz w:val="16"/>
                <w:szCs w:val="16"/>
              </w:rPr>
            </w:pPr>
          </w:p>
        </w:tc>
      </w:tr>
      <w:tr w:rsidR="00D92F6C" w:rsidRPr="004675C2" w14:paraId="4FAE5158" w14:textId="77777777" w:rsidTr="00EB33BA">
        <w:trPr>
          <w:trHeight w:val="1325"/>
        </w:trPr>
        <w:tc>
          <w:tcPr>
            <w:tcW w:w="3895" w:type="dxa"/>
            <w:shd w:val="clear" w:color="auto" w:fill="FFFFFF"/>
          </w:tcPr>
          <w:p w14:paraId="51035F1D" w14:textId="2AE31D68" w:rsidR="00D92F6C" w:rsidRPr="004675C2" w:rsidRDefault="002105BB" w:rsidP="000109C2">
            <w:pPr>
              <w:spacing w:after="0" w:line="240" w:lineRule="auto"/>
              <w:jc w:val="both"/>
              <w:rPr>
                <w:rFonts w:ascii="Times New Roman" w:hAnsi="Times New Roman"/>
                <w:sz w:val="16"/>
                <w:szCs w:val="16"/>
              </w:rPr>
            </w:pPr>
            <w:r w:rsidRPr="004675C2">
              <w:rPr>
                <w:rFonts w:ascii="Times New Roman" w:eastAsia="Arial Unicode MS" w:hAnsi="Times New Roman"/>
                <w:b/>
                <w:bCs/>
                <w:sz w:val="16"/>
                <w:szCs w:val="16"/>
              </w:rPr>
              <w:t>To</w:t>
            </w:r>
            <w:r w:rsidR="00FB6A8A" w:rsidRPr="004675C2">
              <w:rPr>
                <w:rFonts w:ascii="Times New Roman" w:eastAsia="Arial Unicode MS" w:hAnsi="Times New Roman"/>
                <w:b/>
                <w:bCs/>
                <w:sz w:val="16"/>
                <w:szCs w:val="16"/>
              </w:rPr>
              <w:t xml:space="preserve"> increase the competitiveness of North Macedonian agriculture in line with the rules of the </w:t>
            </w:r>
            <w:r w:rsidRPr="004675C2">
              <w:rPr>
                <w:rFonts w:ascii="Times New Roman" w:eastAsia="Arial Unicode MS" w:hAnsi="Times New Roman"/>
                <w:b/>
                <w:bCs/>
                <w:sz w:val="16"/>
                <w:szCs w:val="16"/>
              </w:rPr>
              <w:t>EU Common Agricultural Policy</w:t>
            </w:r>
            <w:r w:rsidR="003566D3" w:rsidRPr="004675C2">
              <w:rPr>
                <w:rFonts w:ascii="Times New Roman" w:eastAsia="Arial Unicode MS" w:hAnsi="Times New Roman"/>
                <w:b/>
                <w:bCs/>
                <w:sz w:val="16"/>
                <w:szCs w:val="16"/>
              </w:rPr>
              <w:t xml:space="preserve"> </w:t>
            </w:r>
          </w:p>
        </w:tc>
        <w:tc>
          <w:tcPr>
            <w:tcW w:w="3118" w:type="dxa"/>
            <w:shd w:val="clear" w:color="auto" w:fill="FFFFFF"/>
          </w:tcPr>
          <w:p w14:paraId="209F2E27" w14:textId="77777777" w:rsidR="00EB33BA" w:rsidRPr="004675C2" w:rsidRDefault="00EB33BA" w:rsidP="004C5B23">
            <w:pPr>
              <w:shd w:val="clear" w:color="auto" w:fill="FFFFFF"/>
              <w:spacing w:before="60" w:after="0"/>
              <w:rPr>
                <w:rFonts w:ascii="Times New Roman" w:hAnsi="Times New Roman"/>
                <w:iCs/>
                <w:sz w:val="16"/>
                <w:szCs w:val="16"/>
              </w:rPr>
            </w:pPr>
            <w:r w:rsidRPr="004675C2">
              <w:rPr>
                <w:rFonts w:ascii="Times New Roman" w:hAnsi="Times New Roman"/>
                <w:iCs/>
                <w:sz w:val="16"/>
                <w:szCs w:val="16"/>
              </w:rPr>
              <w:t>Total irrigated land in the country</w:t>
            </w:r>
          </w:p>
          <w:p w14:paraId="29DBF5EB" w14:textId="77777777" w:rsidR="00EB33BA" w:rsidRPr="004675C2" w:rsidRDefault="00EB33BA" w:rsidP="004C5B23">
            <w:pPr>
              <w:shd w:val="clear" w:color="auto" w:fill="FFFFFF"/>
              <w:spacing w:before="60" w:after="0"/>
              <w:rPr>
                <w:rFonts w:ascii="Times New Roman" w:hAnsi="Times New Roman"/>
                <w:iCs/>
                <w:sz w:val="16"/>
                <w:szCs w:val="16"/>
              </w:rPr>
            </w:pPr>
          </w:p>
          <w:p w14:paraId="52B8909E" w14:textId="77777777" w:rsidR="00EB33BA" w:rsidRPr="004675C2" w:rsidRDefault="00EB33BA" w:rsidP="004C5B23">
            <w:pPr>
              <w:shd w:val="clear" w:color="auto" w:fill="FFFFFF"/>
              <w:spacing w:before="60" w:after="0"/>
              <w:rPr>
                <w:rFonts w:ascii="Times New Roman" w:hAnsi="Times New Roman"/>
                <w:iCs/>
                <w:sz w:val="16"/>
                <w:szCs w:val="16"/>
              </w:rPr>
            </w:pPr>
            <w:r w:rsidRPr="004675C2">
              <w:rPr>
                <w:rFonts w:ascii="Times New Roman" w:hAnsi="Times New Roman"/>
                <w:iCs/>
                <w:sz w:val="16"/>
                <w:szCs w:val="16"/>
              </w:rPr>
              <w:t xml:space="preserve"> Rate of irrigated land over UAA (cultivated land)</w:t>
            </w:r>
          </w:p>
          <w:p w14:paraId="073C80BE" w14:textId="05AD5B53" w:rsidR="00EB33BA" w:rsidRPr="004675C2" w:rsidRDefault="00EB33BA" w:rsidP="004C5B23">
            <w:pPr>
              <w:shd w:val="clear" w:color="auto" w:fill="FFFFFF"/>
              <w:spacing w:before="60" w:after="0"/>
              <w:rPr>
                <w:rFonts w:ascii="Times New Roman" w:hAnsi="Times New Roman"/>
                <w:iCs/>
                <w:sz w:val="16"/>
                <w:szCs w:val="16"/>
              </w:rPr>
            </w:pPr>
            <w:r w:rsidRPr="004675C2">
              <w:rPr>
                <w:rFonts w:ascii="Times New Roman" w:hAnsi="Times New Roman"/>
                <w:iCs/>
                <w:sz w:val="16"/>
                <w:szCs w:val="16"/>
              </w:rPr>
              <w:t xml:space="preserve">Gross Agricultural Output (current prices in </w:t>
            </w:r>
            <w:proofErr w:type="spellStart"/>
            <w:r w:rsidRPr="004675C2">
              <w:rPr>
                <w:rFonts w:ascii="Times New Roman" w:hAnsi="Times New Roman"/>
                <w:iCs/>
                <w:sz w:val="16"/>
                <w:szCs w:val="16"/>
              </w:rPr>
              <w:t>Denars</w:t>
            </w:r>
            <w:proofErr w:type="spellEnd"/>
            <w:r w:rsidRPr="004675C2">
              <w:rPr>
                <w:rFonts w:ascii="Times New Roman" w:hAnsi="Times New Roman"/>
                <w:iCs/>
                <w:sz w:val="16"/>
                <w:szCs w:val="16"/>
              </w:rPr>
              <w:t>)</w:t>
            </w:r>
          </w:p>
          <w:p w14:paraId="0964B6BA" w14:textId="52E6AC17" w:rsidR="00EB33BA" w:rsidRPr="004675C2" w:rsidRDefault="00EB33BA" w:rsidP="00C70B49">
            <w:pPr>
              <w:shd w:val="clear" w:color="auto" w:fill="FFFFFF"/>
              <w:spacing w:before="60" w:after="0"/>
              <w:rPr>
                <w:rFonts w:ascii="Times New Roman" w:hAnsi="Times New Roman"/>
                <w:iCs/>
                <w:sz w:val="16"/>
                <w:szCs w:val="16"/>
              </w:rPr>
            </w:pPr>
            <w:r w:rsidRPr="004675C2">
              <w:rPr>
                <w:rFonts w:ascii="Times New Roman" w:hAnsi="Times New Roman"/>
                <w:iCs/>
                <w:sz w:val="16"/>
                <w:szCs w:val="16"/>
              </w:rPr>
              <w:t>Net value added at current price per Utilized Agricultural Area (</w:t>
            </w:r>
            <w:proofErr w:type="spellStart"/>
            <w:r w:rsidRPr="004675C2">
              <w:rPr>
                <w:rFonts w:ascii="Times New Roman" w:hAnsi="Times New Roman"/>
                <w:iCs/>
                <w:sz w:val="16"/>
                <w:szCs w:val="16"/>
              </w:rPr>
              <w:t>Denars</w:t>
            </w:r>
            <w:proofErr w:type="spellEnd"/>
            <w:r w:rsidRPr="004675C2">
              <w:rPr>
                <w:rFonts w:ascii="Times New Roman" w:hAnsi="Times New Roman"/>
                <w:iCs/>
                <w:sz w:val="16"/>
                <w:szCs w:val="16"/>
              </w:rPr>
              <w:t>)</w:t>
            </w:r>
          </w:p>
        </w:tc>
        <w:tc>
          <w:tcPr>
            <w:tcW w:w="2410" w:type="dxa"/>
            <w:shd w:val="clear" w:color="auto" w:fill="FFFFFF"/>
          </w:tcPr>
          <w:p w14:paraId="37BAF9BA" w14:textId="77777777" w:rsidR="00D92F6C" w:rsidRPr="004675C2" w:rsidRDefault="00EB33BA" w:rsidP="004C5B23">
            <w:pPr>
              <w:shd w:val="clear" w:color="auto" w:fill="FFFFFF"/>
              <w:spacing w:before="60" w:after="0"/>
              <w:rPr>
                <w:rFonts w:ascii="Times New Roman" w:hAnsi="Times New Roman"/>
                <w:iCs/>
                <w:sz w:val="16"/>
                <w:szCs w:val="16"/>
              </w:rPr>
            </w:pPr>
            <w:r w:rsidRPr="004675C2">
              <w:rPr>
                <w:rFonts w:ascii="Times New Roman" w:hAnsi="Times New Roman"/>
                <w:iCs/>
                <w:sz w:val="16"/>
                <w:szCs w:val="16"/>
              </w:rPr>
              <w:t>84,434 ha (2016)</w:t>
            </w:r>
          </w:p>
          <w:p w14:paraId="1331CFA9" w14:textId="77777777" w:rsidR="00EB33BA" w:rsidRPr="004675C2" w:rsidRDefault="00EB33BA" w:rsidP="004C5B23">
            <w:pPr>
              <w:shd w:val="clear" w:color="auto" w:fill="FFFFFF"/>
              <w:spacing w:before="60" w:after="0"/>
              <w:rPr>
                <w:rFonts w:ascii="Times New Roman" w:hAnsi="Times New Roman"/>
                <w:iCs/>
                <w:sz w:val="16"/>
                <w:szCs w:val="16"/>
              </w:rPr>
            </w:pPr>
          </w:p>
          <w:p w14:paraId="6FC58ED9" w14:textId="77777777" w:rsidR="00EB33BA" w:rsidRPr="004675C2" w:rsidRDefault="00EB33BA" w:rsidP="004C5B23">
            <w:pPr>
              <w:shd w:val="clear" w:color="auto" w:fill="FFFFFF"/>
              <w:spacing w:before="60" w:after="0"/>
              <w:rPr>
                <w:rFonts w:ascii="Times New Roman" w:hAnsi="Times New Roman"/>
                <w:iCs/>
                <w:sz w:val="16"/>
                <w:szCs w:val="16"/>
              </w:rPr>
            </w:pPr>
            <w:r w:rsidRPr="004675C2">
              <w:rPr>
                <w:rFonts w:ascii="Times New Roman" w:hAnsi="Times New Roman"/>
                <w:iCs/>
                <w:sz w:val="16"/>
                <w:szCs w:val="16"/>
              </w:rPr>
              <w:t>16.3 % (2016)</w:t>
            </w:r>
          </w:p>
          <w:p w14:paraId="49D7DEFC" w14:textId="77777777" w:rsidR="00EB33BA" w:rsidRPr="004675C2" w:rsidRDefault="00EB33BA" w:rsidP="004C5B23">
            <w:pPr>
              <w:shd w:val="clear" w:color="auto" w:fill="FFFFFF"/>
              <w:spacing w:before="60" w:after="0"/>
              <w:rPr>
                <w:rFonts w:ascii="Times New Roman" w:hAnsi="Times New Roman"/>
                <w:iCs/>
                <w:sz w:val="16"/>
                <w:szCs w:val="16"/>
              </w:rPr>
            </w:pPr>
          </w:p>
          <w:p w14:paraId="2D1C5E97" w14:textId="44E4F26D" w:rsidR="00EB33BA" w:rsidRPr="004675C2" w:rsidRDefault="008F3361" w:rsidP="004C5B23">
            <w:pPr>
              <w:shd w:val="clear" w:color="auto" w:fill="FFFFFF"/>
              <w:spacing w:before="60" w:after="0"/>
              <w:rPr>
                <w:rFonts w:ascii="Times New Roman" w:hAnsi="Times New Roman"/>
                <w:iCs/>
                <w:sz w:val="16"/>
                <w:szCs w:val="16"/>
              </w:rPr>
            </w:pPr>
            <w:r>
              <w:rPr>
                <w:rFonts w:ascii="Times New Roman" w:hAnsi="Times New Roman"/>
                <w:iCs/>
                <w:sz w:val="16"/>
                <w:szCs w:val="16"/>
              </w:rPr>
              <w:t>71</w:t>
            </w:r>
            <w:r w:rsidR="00EB33BA" w:rsidRPr="004675C2">
              <w:rPr>
                <w:rFonts w:ascii="Times New Roman" w:hAnsi="Times New Roman"/>
                <w:iCs/>
                <w:sz w:val="16"/>
                <w:szCs w:val="16"/>
              </w:rPr>
              <w:t>,</w:t>
            </w:r>
            <w:r w:rsidR="004B7EBA">
              <w:rPr>
                <w:rFonts w:ascii="Times New Roman" w:hAnsi="Times New Roman"/>
                <w:iCs/>
                <w:sz w:val="16"/>
                <w:szCs w:val="16"/>
              </w:rPr>
              <w:t>1</w:t>
            </w:r>
            <w:r>
              <w:rPr>
                <w:rFonts w:ascii="Times New Roman" w:hAnsi="Times New Roman"/>
                <w:iCs/>
                <w:sz w:val="16"/>
                <w:szCs w:val="16"/>
              </w:rPr>
              <w:t>62</w:t>
            </w:r>
            <w:r w:rsidR="00EB33BA" w:rsidRPr="004675C2">
              <w:rPr>
                <w:rFonts w:ascii="Times New Roman" w:hAnsi="Times New Roman"/>
                <w:iCs/>
                <w:sz w:val="16"/>
                <w:szCs w:val="16"/>
              </w:rPr>
              <w:t>,000,000 (201</w:t>
            </w:r>
            <w:r>
              <w:rPr>
                <w:rFonts w:ascii="Times New Roman" w:hAnsi="Times New Roman"/>
                <w:iCs/>
                <w:sz w:val="16"/>
                <w:szCs w:val="16"/>
              </w:rPr>
              <w:t>7</w:t>
            </w:r>
            <w:r w:rsidR="00EB33BA" w:rsidRPr="004675C2">
              <w:rPr>
                <w:rFonts w:ascii="Times New Roman" w:hAnsi="Times New Roman"/>
                <w:iCs/>
                <w:sz w:val="16"/>
                <w:szCs w:val="16"/>
              </w:rPr>
              <w:t>)</w:t>
            </w:r>
          </w:p>
          <w:p w14:paraId="39C71EDB" w14:textId="77777777" w:rsidR="00EB33BA" w:rsidRPr="004675C2" w:rsidRDefault="00EB33BA" w:rsidP="004C5B23">
            <w:pPr>
              <w:shd w:val="clear" w:color="auto" w:fill="FFFFFF"/>
              <w:spacing w:before="60" w:after="0"/>
              <w:rPr>
                <w:rFonts w:ascii="Times New Roman" w:hAnsi="Times New Roman"/>
                <w:iCs/>
                <w:sz w:val="16"/>
                <w:szCs w:val="16"/>
              </w:rPr>
            </w:pPr>
          </w:p>
          <w:p w14:paraId="4C01F1B2" w14:textId="173AEB7B" w:rsidR="00EB33BA" w:rsidRPr="004675C2" w:rsidRDefault="00EB33BA" w:rsidP="00EB33BA">
            <w:pPr>
              <w:spacing w:after="0" w:line="240" w:lineRule="auto"/>
              <w:rPr>
                <w:rFonts w:ascii="Times New Roman" w:hAnsi="Times New Roman"/>
                <w:iCs/>
                <w:sz w:val="16"/>
                <w:szCs w:val="16"/>
              </w:rPr>
            </w:pPr>
            <w:r w:rsidRPr="004675C2">
              <w:rPr>
                <w:rFonts w:ascii="Times New Roman" w:hAnsi="Times New Roman"/>
                <w:iCs/>
                <w:sz w:val="16"/>
                <w:szCs w:val="16"/>
              </w:rPr>
              <w:t>78,969.6 (201</w:t>
            </w:r>
            <w:r w:rsidR="00C70B49">
              <w:rPr>
                <w:rFonts w:ascii="Times New Roman" w:hAnsi="Times New Roman"/>
                <w:iCs/>
                <w:sz w:val="16"/>
                <w:szCs w:val="16"/>
              </w:rPr>
              <w:t>7</w:t>
            </w:r>
            <w:r w:rsidRPr="004675C2">
              <w:rPr>
                <w:rFonts w:ascii="Times New Roman" w:hAnsi="Times New Roman"/>
                <w:iCs/>
                <w:sz w:val="16"/>
                <w:szCs w:val="16"/>
              </w:rPr>
              <w:t>)</w:t>
            </w:r>
          </w:p>
          <w:p w14:paraId="77C2B337" w14:textId="3465A065" w:rsidR="00EB33BA" w:rsidRPr="004675C2" w:rsidRDefault="00EB33BA" w:rsidP="004C5B23">
            <w:pPr>
              <w:shd w:val="clear" w:color="auto" w:fill="FFFFFF"/>
              <w:spacing w:before="60" w:after="0"/>
              <w:rPr>
                <w:rFonts w:ascii="Times New Roman" w:hAnsi="Times New Roman"/>
                <w:sz w:val="16"/>
                <w:szCs w:val="16"/>
              </w:rPr>
            </w:pPr>
          </w:p>
        </w:tc>
        <w:tc>
          <w:tcPr>
            <w:tcW w:w="1276" w:type="dxa"/>
            <w:shd w:val="clear" w:color="auto" w:fill="FFFFFF"/>
          </w:tcPr>
          <w:p w14:paraId="03624749" w14:textId="4FB0C08B" w:rsidR="00EB33BA" w:rsidRPr="004675C2" w:rsidRDefault="00EB33BA" w:rsidP="00EB33BA">
            <w:pPr>
              <w:shd w:val="clear" w:color="auto" w:fill="FFFFFF"/>
              <w:spacing w:before="60" w:after="0"/>
              <w:rPr>
                <w:rFonts w:ascii="Times New Roman" w:hAnsi="Times New Roman"/>
                <w:sz w:val="16"/>
                <w:szCs w:val="16"/>
              </w:rPr>
            </w:pPr>
          </w:p>
        </w:tc>
        <w:tc>
          <w:tcPr>
            <w:tcW w:w="1417" w:type="dxa"/>
            <w:shd w:val="clear" w:color="auto" w:fill="FFFFFF"/>
          </w:tcPr>
          <w:p w14:paraId="264A0153" w14:textId="7A7C5C90" w:rsidR="00EB33BA" w:rsidRPr="004675C2" w:rsidRDefault="00CC4593" w:rsidP="00EB33BA">
            <w:pPr>
              <w:shd w:val="clear" w:color="auto" w:fill="FFFFFF"/>
              <w:spacing w:before="60" w:after="0"/>
              <w:rPr>
                <w:rFonts w:ascii="Times New Roman" w:hAnsi="Times New Roman"/>
                <w:sz w:val="16"/>
                <w:szCs w:val="16"/>
              </w:rPr>
            </w:pPr>
            <w:r>
              <w:rPr>
                <w:rFonts w:ascii="Times New Roman" w:hAnsi="Times New Roman"/>
                <w:sz w:val="16"/>
                <w:szCs w:val="16"/>
              </w:rPr>
              <w:t>9</w:t>
            </w:r>
            <w:r w:rsidR="008511EC">
              <w:rPr>
                <w:rFonts w:ascii="Times New Roman" w:hAnsi="Times New Roman"/>
                <w:sz w:val="16"/>
                <w:szCs w:val="16"/>
              </w:rPr>
              <w:t>5</w:t>
            </w:r>
            <w:r>
              <w:rPr>
                <w:rFonts w:ascii="Times New Roman" w:hAnsi="Times New Roman"/>
                <w:sz w:val="16"/>
                <w:szCs w:val="16"/>
              </w:rPr>
              <w:t>,000</w:t>
            </w:r>
            <w:r w:rsidR="00EB33BA" w:rsidRPr="004675C2">
              <w:rPr>
                <w:rFonts w:ascii="Times New Roman" w:hAnsi="Times New Roman"/>
                <w:sz w:val="16"/>
                <w:szCs w:val="16"/>
              </w:rPr>
              <w:t xml:space="preserve"> (</w:t>
            </w:r>
            <w:r w:rsidR="00BC3100" w:rsidRPr="004675C2">
              <w:rPr>
                <w:rFonts w:ascii="Times New Roman" w:hAnsi="Times New Roman"/>
                <w:sz w:val="16"/>
                <w:szCs w:val="16"/>
              </w:rPr>
              <w:t>2027</w:t>
            </w:r>
            <w:r w:rsidR="00EB33BA" w:rsidRPr="004675C2">
              <w:rPr>
                <w:rFonts w:ascii="Times New Roman" w:hAnsi="Times New Roman"/>
                <w:sz w:val="16"/>
                <w:szCs w:val="16"/>
              </w:rPr>
              <w:t>)</w:t>
            </w:r>
          </w:p>
          <w:p w14:paraId="0021A173" w14:textId="77777777" w:rsidR="00EB33BA" w:rsidRPr="004675C2" w:rsidRDefault="00EB33BA" w:rsidP="00EB33BA">
            <w:pPr>
              <w:shd w:val="clear" w:color="auto" w:fill="FFFFFF"/>
              <w:spacing w:before="60" w:after="0"/>
              <w:rPr>
                <w:rFonts w:ascii="Times New Roman" w:hAnsi="Times New Roman"/>
                <w:sz w:val="16"/>
                <w:szCs w:val="16"/>
              </w:rPr>
            </w:pPr>
          </w:p>
          <w:p w14:paraId="5BF25F33" w14:textId="25035B80" w:rsidR="00BC3100" w:rsidRPr="004675C2" w:rsidRDefault="00DE6927" w:rsidP="00BC3100">
            <w:pPr>
              <w:shd w:val="clear" w:color="auto" w:fill="FFFFFF"/>
              <w:spacing w:before="60" w:after="0"/>
              <w:rPr>
                <w:rFonts w:ascii="Times New Roman" w:hAnsi="Times New Roman"/>
                <w:sz w:val="16"/>
                <w:szCs w:val="16"/>
              </w:rPr>
            </w:pPr>
            <w:r>
              <w:rPr>
                <w:rFonts w:ascii="Times New Roman" w:hAnsi="Times New Roman"/>
                <w:sz w:val="16"/>
                <w:szCs w:val="16"/>
              </w:rPr>
              <w:t>1</w:t>
            </w:r>
            <w:r w:rsidR="008511EC">
              <w:rPr>
                <w:rFonts w:ascii="Times New Roman" w:hAnsi="Times New Roman"/>
                <w:sz w:val="16"/>
                <w:szCs w:val="16"/>
              </w:rPr>
              <w:t>8</w:t>
            </w:r>
            <w:r>
              <w:rPr>
                <w:rFonts w:ascii="Times New Roman" w:hAnsi="Times New Roman"/>
                <w:sz w:val="16"/>
                <w:szCs w:val="16"/>
              </w:rPr>
              <w:t>.</w:t>
            </w:r>
            <w:r w:rsidR="008511EC">
              <w:rPr>
                <w:rFonts w:ascii="Times New Roman" w:hAnsi="Times New Roman"/>
                <w:sz w:val="16"/>
                <w:szCs w:val="16"/>
              </w:rPr>
              <w:t>3</w:t>
            </w:r>
            <w:r>
              <w:rPr>
                <w:rFonts w:ascii="Times New Roman" w:hAnsi="Times New Roman"/>
                <w:sz w:val="16"/>
                <w:szCs w:val="16"/>
              </w:rPr>
              <w:t xml:space="preserve"> %</w:t>
            </w:r>
            <w:r w:rsidR="00BC3100" w:rsidRPr="004675C2">
              <w:rPr>
                <w:rFonts w:ascii="Times New Roman" w:hAnsi="Times New Roman"/>
                <w:sz w:val="16"/>
                <w:szCs w:val="16"/>
              </w:rPr>
              <w:t xml:space="preserve"> (2027)</w:t>
            </w:r>
          </w:p>
          <w:p w14:paraId="75B19465" w14:textId="77777777" w:rsidR="00EB33BA" w:rsidRPr="004675C2" w:rsidRDefault="00EB33BA" w:rsidP="00EB33BA">
            <w:pPr>
              <w:shd w:val="clear" w:color="auto" w:fill="FFFFFF"/>
              <w:spacing w:before="60" w:after="0"/>
              <w:rPr>
                <w:rFonts w:ascii="Times New Roman" w:hAnsi="Times New Roman"/>
                <w:sz w:val="16"/>
                <w:szCs w:val="16"/>
              </w:rPr>
            </w:pPr>
          </w:p>
          <w:p w14:paraId="7ECFE365" w14:textId="6EF6536D" w:rsidR="00BC3100" w:rsidRPr="004675C2" w:rsidRDefault="008F3361" w:rsidP="00BC3100">
            <w:pPr>
              <w:shd w:val="clear" w:color="auto" w:fill="FFFFFF"/>
              <w:spacing w:before="60" w:after="0"/>
              <w:rPr>
                <w:rFonts w:ascii="Times New Roman" w:hAnsi="Times New Roman"/>
                <w:sz w:val="16"/>
                <w:szCs w:val="16"/>
              </w:rPr>
            </w:pPr>
            <w:r>
              <w:rPr>
                <w:rFonts w:ascii="Times New Roman" w:hAnsi="Times New Roman"/>
                <w:sz w:val="16"/>
                <w:szCs w:val="16"/>
              </w:rPr>
              <w:t>85,400</w:t>
            </w:r>
            <w:r w:rsidR="00BC3100" w:rsidRPr="004675C2">
              <w:rPr>
                <w:rFonts w:ascii="Times New Roman" w:hAnsi="Times New Roman"/>
                <w:sz w:val="16"/>
                <w:szCs w:val="16"/>
              </w:rPr>
              <w:t xml:space="preserve"> (2027)</w:t>
            </w:r>
          </w:p>
          <w:p w14:paraId="790FE9D2" w14:textId="77777777" w:rsidR="00EB33BA" w:rsidRPr="004675C2" w:rsidRDefault="00EB33BA" w:rsidP="00EB33BA">
            <w:pPr>
              <w:shd w:val="clear" w:color="auto" w:fill="FFFFFF"/>
              <w:spacing w:before="60" w:after="0"/>
              <w:rPr>
                <w:rFonts w:ascii="Times New Roman" w:hAnsi="Times New Roman"/>
                <w:sz w:val="16"/>
                <w:szCs w:val="16"/>
              </w:rPr>
            </w:pPr>
          </w:p>
          <w:p w14:paraId="4530A849" w14:textId="7D6CFBED" w:rsidR="00BC3100" w:rsidRPr="004675C2" w:rsidRDefault="004B7EBA" w:rsidP="00BC3100">
            <w:pPr>
              <w:shd w:val="clear" w:color="auto" w:fill="FFFFFF"/>
              <w:spacing w:before="60" w:after="0"/>
              <w:rPr>
                <w:rFonts w:ascii="Times New Roman" w:hAnsi="Times New Roman"/>
                <w:sz w:val="16"/>
                <w:szCs w:val="16"/>
              </w:rPr>
            </w:pPr>
            <w:r>
              <w:rPr>
                <w:rFonts w:ascii="Times New Roman" w:hAnsi="Times New Roman"/>
                <w:sz w:val="16"/>
                <w:szCs w:val="16"/>
              </w:rPr>
              <w:t>95,000</w:t>
            </w:r>
            <w:r w:rsidR="00BC3100" w:rsidRPr="004675C2">
              <w:rPr>
                <w:rFonts w:ascii="Times New Roman" w:hAnsi="Times New Roman"/>
                <w:sz w:val="16"/>
                <w:szCs w:val="16"/>
              </w:rPr>
              <w:t xml:space="preserve"> (2027)</w:t>
            </w:r>
          </w:p>
          <w:p w14:paraId="6C556A33" w14:textId="2BDE360F" w:rsidR="00D92F6C" w:rsidRPr="004675C2" w:rsidRDefault="00D92F6C" w:rsidP="004C5B23">
            <w:pPr>
              <w:shd w:val="clear" w:color="auto" w:fill="FFFFFF"/>
              <w:spacing w:before="60" w:after="0"/>
              <w:rPr>
                <w:rFonts w:ascii="Times New Roman" w:hAnsi="Times New Roman"/>
                <w:sz w:val="16"/>
                <w:szCs w:val="16"/>
              </w:rPr>
            </w:pPr>
          </w:p>
        </w:tc>
        <w:tc>
          <w:tcPr>
            <w:tcW w:w="1418" w:type="dxa"/>
            <w:shd w:val="clear" w:color="auto" w:fill="FFFFFF"/>
          </w:tcPr>
          <w:p w14:paraId="6A26EF0F" w14:textId="77777777" w:rsidR="00D92F6C" w:rsidRPr="004675C2" w:rsidRDefault="00BC3100" w:rsidP="004C5B23">
            <w:pPr>
              <w:numPr>
                <w:ilvl w:val="12"/>
                <w:numId w:val="0"/>
              </w:numPr>
              <w:shd w:val="clear" w:color="auto" w:fill="FFFFFF"/>
              <w:spacing w:before="60" w:after="0"/>
              <w:rPr>
                <w:rFonts w:ascii="Times New Roman" w:hAnsi="Times New Roman"/>
                <w:sz w:val="16"/>
                <w:szCs w:val="16"/>
              </w:rPr>
            </w:pPr>
            <w:r w:rsidRPr="004675C2">
              <w:rPr>
                <w:rFonts w:ascii="Times New Roman" w:hAnsi="Times New Roman"/>
                <w:sz w:val="16"/>
                <w:szCs w:val="16"/>
              </w:rPr>
              <w:t>SSO</w:t>
            </w:r>
          </w:p>
          <w:p w14:paraId="1B142215" w14:textId="77777777" w:rsidR="00BC3100" w:rsidRPr="004675C2" w:rsidRDefault="00BC3100" w:rsidP="004C5B23">
            <w:pPr>
              <w:numPr>
                <w:ilvl w:val="12"/>
                <w:numId w:val="0"/>
              </w:numPr>
              <w:shd w:val="clear" w:color="auto" w:fill="FFFFFF"/>
              <w:spacing w:before="60" w:after="0"/>
              <w:rPr>
                <w:rFonts w:ascii="Times New Roman" w:hAnsi="Times New Roman"/>
                <w:sz w:val="16"/>
                <w:szCs w:val="16"/>
              </w:rPr>
            </w:pPr>
          </w:p>
          <w:p w14:paraId="6573DEA4" w14:textId="77777777" w:rsidR="00BC3100" w:rsidRPr="004675C2" w:rsidRDefault="00BC3100" w:rsidP="004C5B23">
            <w:pPr>
              <w:numPr>
                <w:ilvl w:val="12"/>
                <w:numId w:val="0"/>
              </w:numPr>
              <w:shd w:val="clear" w:color="auto" w:fill="FFFFFF"/>
              <w:spacing w:before="60" w:after="0"/>
              <w:rPr>
                <w:rFonts w:ascii="Times New Roman" w:hAnsi="Times New Roman"/>
                <w:sz w:val="16"/>
                <w:szCs w:val="16"/>
              </w:rPr>
            </w:pPr>
            <w:r w:rsidRPr="004675C2">
              <w:rPr>
                <w:rFonts w:ascii="Times New Roman" w:hAnsi="Times New Roman"/>
                <w:sz w:val="16"/>
                <w:szCs w:val="16"/>
              </w:rPr>
              <w:t>SSO</w:t>
            </w:r>
          </w:p>
          <w:p w14:paraId="604BE1C9" w14:textId="77777777" w:rsidR="00BC3100" w:rsidRPr="004675C2" w:rsidRDefault="00BC3100" w:rsidP="004C5B23">
            <w:pPr>
              <w:numPr>
                <w:ilvl w:val="12"/>
                <w:numId w:val="0"/>
              </w:numPr>
              <w:shd w:val="clear" w:color="auto" w:fill="FFFFFF"/>
              <w:spacing w:before="60" w:after="0"/>
              <w:rPr>
                <w:rFonts w:ascii="Times New Roman" w:hAnsi="Times New Roman"/>
                <w:sz w:val="16"/>
                <w:szCs w:val="16"/>
              </w:rPr>
            </w:pPr>
          </w:p>
          <w:p w14:paraId="5A75A8A7" w14:textId="45A7AD25" w:rsidR="00BC3100" w:rsidRPr="004675C2" w:rsidRDefault="00BC3100" w:rsidP="004C5B23">
            <w:pPr>
              <w:numPr>
                <w:ilvl w:val="12"/>
                <w:numId w:val="0"/>
              </w:numPr>
              <w:shd w:val="clear" w:color="auto" w:fill="FFFFFF"/>
              <w:spacing w:before="60" w:after="0"/>
              <w:rPr>
                <w:rFonts w:ascii="Times New Roman" w:hAnsi="Times New Roman"/>
                <w:sz w:val="16"/>
                <w:szCs w:val="16"/>
              </w:rPr>
            </w:pPr>
            <w:r w:rsidRPr="004675C2">
              <w:rPr>
                <w:rFonts w:ascii="Times New Roman" w:hAnsi="Times New Roman"/>
                <w:sz w:val="16"/>
                <w:szCs w:val="16"/>
              </w:rPr>
              <w:t>SSO</w:t>
            </w:r>
          </w:p>
          <w:p w14:paraId="4CAA3716" w14:textId="39102E3E" w:rsidR="00BC3100" w:rsidRPr="004675C2" w:rsidRDefault="00BC3100" w:rsidP="004C5B23">
            <w:pPr>
              <w:numPr>
                <w:ilvl w:val="12"/>
                <w:numId w:val="0"/>
              </w:numPr>
              <w:shd w:val="clear" w:color="auto" w:fill="FFFFFF"/>
              <w:spacing w:before="60" w:after="0"/>
              <w:rPr>
                <w:rFonts w:ascii="Times New Roman" w:hAnsi="Times New Roman"/>
                <w:sz w:val="16"/>
                <w:szCs w:val="16"/>
              </w:rPr>
            </w:pPr>
          </w:p>
          <w:p w14:paraId="670F5C0E" w14:textId="333EA8B2" w:rsidR="00BC3100" w:rsidRPr="004675C2" w:rsidRDefault="00BC3100" w:rsidP="004C5B23">
            <w:pPr>
              <w:numPr>
                <w:ilvl w:val="12"/>
                <w:numId w:val="0"/>
              </w:numPr>
              <w:shd w:val="clear" w:color="auto" w:fill="FFFFFF"/>
              <w:spacing w:before="60" w:after="0"/>
              <w:rPr>
                <w:rFonts w:ascii="Times New Roman" w:hAnsi="Times New Roman"/>
                <w:sz w:val="16"/>
                <w:szCs w:val="16"/>
              </w:rPr>
            </w:pPr>
            <w:r w:rsidRPr="004675C2">
              <w:rPr>
                <w:rFonts w:ascii="Times New Roman" w:hAnsi="Times New Roman"/>
                <w:sz w:val="16"/>
                <w:szCs w:val="16"/>
              </w:rPr>
              <w:t>SSO</w:t>
            </w:r>
          </w:p>
          <w:p w14:paraId="23D80696" w14:textId="5A21B6FB" w:rsidR="00BC3100" w:rsidRPr="004675C2" w:rsidRDefault="00BC3100" w:rsidP="004C5B23">
            <w:pPr>
              <w:numPr>
                <w:ilvl w:val="12"/>
                <w:numId w:val="0"/>
              </w:numPr>
              <w:shd w:val="clear" w:color="auto" w:fill="FFFFFF"/>
              <w:spacing w:before="60" w:after="0"/>
              <w:rPr>
                <w:rFonts w:ascii="Times New Roman" w:hAnsi="Times New Roman"/>
                <w:sz w:val="16"/>
                <w:szCs w:val="16"/>
              </w:rPr>
            </w:pPr>
          </w:p>
        </w:tc>
        <w:tc>
          <w:tcPr>
            <w:tcW w:w="1775" w:type="dxa"/>
            <w:vMerge/>
            <w:tcBorders>
              <w:right w:val="nil"/>
            </w:tcBorders>
            <w:shd w:val="clear" w:color="auto" w:fill="FFFFFF"/>
          </w:tcPr>
          <w:p w14:paraId="31817D3D" w14:textId="77777777" w:rsidR="00D92F6C" w:rsidRPr="004675C2" w:rsidRDefault="00D92F6C" w:rsidP="004C5B23">
            <w:pPr>
              <w:shd w:val="clear" w:color="auto" w:fill="FFFFFF"/>
              <w:spacing w:before="60" w:after="0"/>
              <w:rPr>
                <w:rFonts w:ascii="Times New Roman" w:hAnsi="Times New Roman"/>
                <w:sz w:val="16"/>
                <w:szCs w:val="16"/>
              </w:rPr>
            </w:pPr>
          </w:p>
        </w:tc>
      </w:tr>
      <w:tr w:rsidR="00D92F6C" w:rsidRPr="004675C2" w14:paraId="7749D051" w14:textId="77777777" w:rsidTr="00EB33BA">
        <w:trPr>
          <w:trHeight w:val="189"/>
        </w:trPr>
        <w:tc>
          <w:tcPr>
            <w:tcW w:w="3895" w:type="dxa"/>
            <w:shd w:val="clear" w:color="auto" w:fill="FFFFFF"/>
          </w:tcPr>
          <w:p w14:paraId="6D73820B" w14:textId="77777777" w:rsidR="00D92F6C" w:rsidRPr="004675C2" w:rsidRDefault="00D92F6C" w:rsidP="004C5B23">
            <w:pPr>
              <w:numPr>
                <w:ilvl w:val="12"/>
                <w:numId w:val="0"/>
              </w:numPr>
              <w:shd w:val="clear" w:color="auto" w:fill="FFFFFF"/>
              <w:spacing w:before="100" w:beforeAutospacing="1" w:after="100" w:afterAutospacing="1"/>
              <w:jc w:val="center"/>
              <w:rPr>
                <w:rFonts w:ascii="Times New Roman" w:hAnsi="Times New Roman"/>
                <w:sz w:val="16"/>
                <w:szCs w:val="16"/>
              </w:rPr>
            </w:pPr>
            <w:r w:rsidRPr="004675C2">
              <w:rPr>
                <w:rFonts w:ascii="Times New Roman" w:hAnsi="Times New Roman"/>
                <w:b/>
                <w:sz w:val="16"/>
                <w:szCs w:val="16"/>
              </w:rPr>
              <w:t>SPECIFIC OBJECTIVE(S) / OUTCOME(S)</w:t>
            </w:r>
          </w:p>
        </w:tc>
        <w:tc>
          <w:tcPr>
            <w:tcW w:w="3118" w:type="dxa"/>
            <w:shd w:val="clear" w:color="auto" w:fill="FFFFFF"/>
          </w:tcPr>
          <w:p w14:paraId="0350E17A" w14:textId="77777777" w:rsidR="00D92F6C" w:rsidRPr="004675C2" w:rsidRDefault="00D92F6C" w:rsidP="004C5B23">
            <w:pPr>
              <w:shd w:val="clear" w:color="auto" w:fill="FFFFFF"/>
              <w:spacing w:after="0"/>
              <w:jc w:val="center"/>
              <w:rPr>
                <w:rFonts w:ascii="Times New Roman" w:hAnsi="Times New Roman"/>
                <w:sz w:val="16"/>
                <w:szCs w:val="16"/>
              </w:rPr>
            </w:pPr>
            <w:r w:rsidRPr="004675C2">
              <w:rPr>
                <w:rFonts w:ascii="Times New Roman" w:hAnsi="Times New Roman"/>
                <w:b/>
                <w:sz w:val="16"/>
                <w:szCs w:val="16"/>
              </w:rPr>
              <w:t>OBJECTIVELY VERIFIABLE INDICATORS (*)</w:t>
            </w:r>
          </w:p>
        </w:tc>
        <w:tc>
          <w:tcPr>
            <w:tcW w:w="2410" w:type="dxa"/>
            <w:shd w:val="clear" w:color="auto" w:fill="FFFFFF"/>
          </w:tcPr>
          <w:p w14:paraId="50E6B400" w14:textId="77777777" w:rsidR="00D92F6C" w:rsidRPr="004675C2" w:rsidRDefault="00D92F6C" w:rsidP="004C5B23">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BASELINES</w:t>
            </w:r>
          </w:p>
          <w:p w14:paraId="3D944410" w14:textId="77777777" w:rsidR="00D92F6C" w:rsidRPr="004675C2" w:rsidRDefault="00D92F6C" w:rsidP="004C5B23">
            <w:pPr>
              <w:shd w:val="clear" w:color="auto" w:fill="FFFFFF"/>
              <w:spacing w:after="0"/>
              <w:ind w:left="-352"/>
              <w:jc w:val="center"/>
              <w:rPr>
                <w:rFonts w:ascii="Times New Roman" w:hAnsi="Times New Roman"/>
                <w:b/>
                <w:sz w:val="16"/>
                <w:szCs w:val="16"/>
              </w:rPr>
            </w:pPr>
          </w:p>
        </w:tc>
        <w:tc>
          <w:tcPr>
            <w:tcW w:w="1276" w:type="dxa"/>
            <w:shd w:val="clear" w:color="auto" w:fill="FFFFFF"/>
          </w:tcPr>
          <w:p w14:paraId="7C03DF0B" w14:textId="77777777" w:rsidR="00D92F6C" w:rsidRPr="004675C2" w:rsidRDefault="00D92F6C" w:rsidP="004C5B23">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MILESTONES</w:t>
            </w:r>
          </w:p>
          <w:p w14:paraId="3B90A2E8" w14:textId="77777777" w:rsidR="00D92F6C" w:rsidRPr="004675C2" w:rsidRDefault="00D92F6C" w:rsidP="004C5B23">
            <w:pPr>
              <w:shd w:val="clear" w:color="auto" w:fill="FFFFFF"/>
              <w:spacing w:after="0"/>
              <w:jc w:val="center"/>
              <w:rPr>
                <w:rFonts w:ascii="Times New Roman" w:hAnsi="Times New Roman"/>
                <w:b/>
                <w:sz w:val="16"/>
                <w:szCs w:val="16"/>
              </w:rPr>
            </w:pPr>
          </w:p>
        </w:tc>
        <w:tc>
          <w:tcPr>
            <w:tcW w:w="1417" w:type="dxa"/>
            <w:shd w:val="clear" w:color="auto" w:fill="FFFFFF"/>
          </w:tcPr>
          <w:p w14:paraId="36C66623" w14:textId="77777777" w:rsidR="00D92F6C" w:rsidRPr="004675C2" w:rsidRDefault="00D92F6C" w:rsidP="004C5B23">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TARGETS</w:t>
            </w:r>
          </w:p>
          <w:p w14:paraId="74492DF8" w14:textId="77777777" w:rsidR="00D92F6C" w:rsidRPr="004675C2" w:rsidRDefault="00D92F6C" w:rsidP="004C5B23">
            <w:pPr>
              <w:shd w:val="clear" w:color="auto" w:fill="FFFFFF"/>
              <w:spacing w:after="0"/>
              <w:jc w:val="center"/>
              <w:rPr>
                <w:rFonts w:ascii="Times New Roman" w:hAnsi="Times New Roman"/>
                <w:b/>
                <w:sz w:val="16"/>
                <w:szCs w:val="16"/>
              </w:rPr>
            </w:pPr>
          </w:p>
        </w:tc>
        <w:tc>
          <w:tcPr>
            <w:tcW w:w="1418" w:type="dxa"/>
            <w:shd w:val="clear" w:color="auto" w:fill="FFFFFF"/>
          </w:tcPr>
          <w:p w14:paraId="36757A75" w14:textId="77777777" w:rsidR="00D92F6C" w:rsidRPr="004675C2" w:rsidRDefault="00D92F6C" w:rsidP="004C5B23">
            <w:pPr>
              <w:shd w:val="clear" w:color="auto" w:fill="FFFFFF"/>
              <w:spacing w:after="0"/>
              <w:jc w:val="center"/>
              <w:rPr>
                <w:rFonts w:ascii="Times New Roman" w:hAnsi="Times New Roman"/>
                <w:sz w:val="16"/>
                <w:szCs w:val="16"/>
              </w:rPr>
            </w:pPr>
            <w:r w:rsidRPr="004675C2">
              <w:rPr>
                <w:rFonts w:ascii="Times New Roman" w:hAnsi="Times New Roman"/>
                <w:b/>
                <w:sz w:val="16"/>
                <w:szCs w:val="16"/>
              </w:rPr>
              <w:t>SOURCES OF VERIFICATION</w:t>
            </w:r>
          </w:p>
        </w:tc>
        <w:tc>
          <w:tcPr>
            <w:tcW w:w="1775" w:type="dxa"/>
            <w:shd w:val="clear" w:color="auto" w:fill="FFFFFF"/>
          </w:tcPr>
          <w:p w14:paraId="53E79B9E" w14:textId="77777777" w:rsidR="00D92F6C" w:rsidRPr="004675C2" w:rsidRDefault="00D92F6C" w:rsidP="004C5B23">
            <w:pPr>
              <w:numPr>
                <w:ilvl w:val="12"/>
                <w:numId w:val="0"/>
              </w:numPr>
              <w:shd w:val="clear" w:color="auto" w:fill="FFFFFF"/>
              <w:spacing w:after="0"/>
              <w:jc w:val="center"/>
              <w:rPr>
                <w:rFonts w:ascii="Times New Roman" w:hAnsi="Times New Roman"/>
                <w:b/>
                <w:sz w:val="16"/>
                <w:szCs w:val="16"/>
              </w:rPr>
            </w:pPr>
            <w:r w:rsidRPr="004675C2">
              <w:rPr>
                <w:rFonts w:ascii="Times New Roman" w:hAnsi="Times New Roman"/>
                <w:b/>
                <w:sz w:val="16"/>
                <w:szCs w:val="16"/>
              </w:rPr>
              <w:t>ASSUMPTIONS</w:t>
            </w:r>
          </w:p>
        </w:tc>
      </w:tr>
      <w:tr w:rsidR="00BC3100" w:rsidRPr="004675C2" w14:paraId="68DD021B" w14:textId="77777777" w:rsidTr="00EB33BA">
        <w:trPr>
          <w:trHeight w:val="889"/>
        </w:trPr>
        <w:tc>
          <w:tcPr>
            <w:tcW w:w="3895" w:type="dxa"/>
            <w:shd w:val="clear" w:color="auto" w:fill="FFFFFF"/>
          </w:tcPr>
          <w:p w14:paraId="3D7DB637" w14:textId="26C01020" w:rsidR="00BC3100" w:rsidRPr="004675C2" w:rsidRDefault="00BC3100" w:rsidP="00BC3100">
            <w:pPr>
              <w:spacing w:after="0" w:line="240" w:lineRule="auto"/>
              <w:jc w:val="both"/>
              <w:rPr>
                <w:rFonts w:ascii="Times New Roman" w:eastAsia="Arial Unicode MS" w:hAnsi="Times New Roman"/>
                <w:b/>
                <w:bCs/>
                <w:sz w:val="16"/>
                <w:szCs w:val="16"/>
              </w:rPr>
            </w:pPr>
            <w:r w:rsidRPr="004675C2">
              <w:rPr>
                <w:rFonts w:ascii="Times New Roman" w:eastAsia="Arial Unicode MS" w:hAnsi="Times New Roman"/>
                <w:b/>
                <w:bCs/>
                <w:sz w:val="16"/>
                <w:szCs w:val="16"/>
              </w:rPr>
              <w:t xml:space="preserve">S.O:1: </w:t>
            </w:r>
            <w:r w:rsidR="000C3309" w:rsidRPr="000C3309">
              <w:rPr>
                <w:rFonts w:ascii="Times New Roman" w:eastAsia="Arial Unicode MS" w:hAnsi="Times New Roman"/>
                <w:b/>
                <w:bCs/>
                <w:sz w:val="16"/>
                <w:szCs w:val="16"/>
              </w:rPr>
              <w:t>To develop the capacities, align the policies of North Macedonia to implement the common market organisation for agricultural products</w:t>
            </w:r>
          </w:p>
          <w:p w14:paraId="02C11E7C" w14:textId="77777777" w:rsidR="00BC3100" w:rsidRPr="004675C2" w:rsidRDefault="00BC3100" w:rsidP="00BC3100">
            <w:pPr>
              <w:spacing w:after="0" w:line="240" w:lineRule="auto"/>
              <w:jc w:val="both"/>
              <w:rPr>
                <w:rFonts w:ascii="Times New Roman" w:hAnsi="Times New Roman"/>
                <w:b/>
                <w:bCs/>
                <w:sz w:val="16"/>
                <w:szCs w:val="16"/>
              </w:rPr>
            </w:pPr>
          </w:p>
        </w:tc>
        <w:tc>
          <w:tcPr>
            <w:tcW w:w="3118" w:type="dxa"/>
            <w:shd w:val="clear" w:color="auto" w:fill="FFFFFF"/>
          </w:tcPr>
          <w:p w14:paraId="3D6F82B2" w14:textId="2DBB69F0" w:rsidR="00BC3100" w:rsidRPr="00E254E0" w:rsidRDefault="00BC3100" w:rsidP="00BC3100">
            <w:pPr>
              <w:spacing w:after="0" w:line="240" w:lineRule="auto"/>
              <w:rPr>
                <w:rFonts w:ascii="Times New Roman" w:hAnsi="Times New Roman"/>
                <w:sz w:val="16"/>
                <w:szCs w:val="16"/>
                <w:lang w:val="mk-MK"/>
              </w:rPr>
            </w:pPr>
            <w:r w:rsidRPr="00E254E0">
              <w:rPr>
                <w:rFonts w:ascii="Times New Roman" w:hAnsi="Times New Roman"/>
                <w:sz w:val="16"/>
                <w:szCs w:val="16"/>
              </w:rPr>
              <w:t xml:space="preserve">Number of farmers included in the established Producer Organisations </w:t>
            </w:r>
          </w:p>
          <w:p w14:paraId="65C9D0CE" w14:textId="77777777" w:rsidR="00BC3100" w:rsidRPr="00E254E0" w:rsidRDefault="00BC3100" w:rsidP="00BC3100">
            <w:pPr>
              <w:spacing w:after="0" w:line="240" w:lineRule="auto"/>
              <w:rPr>
                <w:rFonts w:ascii="Times New Roman" w:hAnsi="Times New Roman"/>
                <w:sz w:val="16"/>
                <w:szCs w:val="16"/>
              </w:rPr>
            </w:pPr>
          </w:p>
          <w:p w14:paraId="60BCC8A7" w14:textId="1C17AE51" w:rsidR="00BC3100" w:rsidRPr="004675C2" w:rsidRDefault="00BC3100" w:rsidP="00BC3100">
            <w:pPr>
              <w:spacing w:after="0" w:line="240" w:lineRule="auto"/>
              <w:rPr>
                <w:rFonts w:ascii="Times New Roman" w:hAnsi="Times New Roman"/>
                <w:sz w:val="16"/>
                <w:szCs w:val="16"/>
              </w:rPr>
            </w:pPr>
            <w:r w:rsidRPr="00E254E0">
              <w:rPr>
                <w:rFonts w:ascii="Times New Roman" w:hAnsi="Times New Roman"/>
                <w:sz w:val="16"/>
                <w:szCs w:val="16"/>
              </w:rPr>
              <w:t>Number of recognised producers organisations</w:t>
            </w:r>
            <w:r w:rsidR="00097B81" w:rsidRPr="00E254E0">
              <w:rPr>
                <w:rFonts w:ascii="Times New Roman" w:hAnsi="Times New Roman"/>
                <w:b/>
                <w:sz w:val="16"/>
                <w:szCs w:val="16"/>
                <w:lang w:val="mk-MK"/>
              </w:rPr>
              <w:t xml:space="preserve"> </w:t>
            </w:r>
          </w:p>
          <w:p w14:paraId="20D8B174" w14:textId="77777777" w:rsidR="00BC3100" w:rsidRPr="004675C2" w:rsidRDefault="00BC3100" w:rsidP="00BC3100">
            <w:pPr>
              <w:spacing w:after="0" w:line="240" w:lineRule="auto"/>
              <w:rPr>
                <w:rFonts w:ascii="Times New Roman" w:hAnsi="Times New Roman"/>
                <w:sz w:val="16"/>
                <w:szCs w:val="16"/>
              </w:rPr>
            </w:pPr>
          </w:p>
          <w:p w14:paraId="17F1D11A" w14:textId="1866408C" w:rsidR="00EB369A" w:rsidRDefault="006753BD" w:rsidP="00BC3100">
            <w:pPr>
              <w:shd w:val="clear" w:color="auto" w:fill="FFFFFF"/>
              <w:spacing w:after="0" w:line="240" w:lineRule="auto"/>
              <w:rPr>
                <w:rFonts w:ascii="Times New Roman" w:hAnsi="Times New Roman"/>
                <w:sz w:val="16"/>
                <w:szCs w:val="16"/>
              </w:rPr>
            </w:pPr>
            <w:r>
              <w:rPr>
                <w:rFonts w:ascii="Times New Roman" w:hAnsi="Times New Roman"/>
                <w:sz w:val="16"/>
                <w:szCs w:val="16"/>
                <w:lang w:val="en-US"/>
              </w:rPr>
              <w:t>A</w:t>
            </w:r>
            <w:proofErr w:type="spellStart"/>
            <w:r w:rsidR="00EB369A" w:rsidRPr="00EB369A">
              <w:rPr>
                <w:rFonts w:ascii="Times New Roman" w:hAnsi="Times New Roman"/>
                <w:sz w:val="16"/>
                <w:szCs w:val="16"/>
              </w:rPr>
              <w:t>verage</w:t>
            </w:r>
            <w:proofErr w:type="spellEnd"/>
            <w:r w:rsidR="00EB369A" w:rsidRPr="00EB369A">
              <w:rPr>
                <w:rFonts w:ascii="Times New Roman" w:hAnsi="Times New Roman"/>
                <w:sz w:val="16"/>
                <w:szCs w:val="16"/>
              </w:rPr>
              <w:t xml:space="preserve"> annual export of agricultural and food products </w:t>
            </w:r>
          </w:p>
          <w:p w14:paraId="45BB32A5" w14:textId="04EB837A" w:rsidR="00BC3100" w:rsidRPr="00097B81" w:rsidRDefault="00BC3100" w:rsidP="00EB369A">
            <w:pPr>
              <w:shd w:val="clear" w:color="auto" w:fill="FFFFFF"/>
              <w:spacing w:after="0" w:line="240" w:lineRule="auto"/>
              <w:rPr>
                <w:rFonts w:ascii="Times New Roman" w:hAnsi="Times New Roman"/>
                <w:sz w:val="16"/>
                <w:szCs w:val="16"/>
                <w:lang w:val="mk-MK"/>
              </w:rPr>
            </w:pPr>
          </w:p>
        </w:tc>
        <w:tc>
          <w:tcPr>
            <w:tcW w:w="2410" w:type="dxa"/>
            <w:shd w:val="clear" w:color="auto" w:fill="FFFFFF"/>
          </w:tcPr>
          <w:p w14:paraId="42F1124E" w14:textId="77777777" w:rsidR="00BC3100" w:rsidRPr="004675C2" w:rsidRDefault="00BC3100" w:rsidP="00BC3100">
            <w:pPr>
              <w:spacing w:after="0" w:line="240" w:lineRule="auto"/>
              <w:rPr>
                <w:rFonts w:ascii="Times New Roman" w:hAnsi="Times New Roman"/>
                <w:sz w:val="16"/>
                <w:szCs w:val="16"/>
              </w:rPr>
            </w:pPr>
            <w:r w:rsidRPr="004675C2">
              <w:rPr>
                <w:rFonts w:ascii="Times New Roman" w:hAnsi="Times New Roman"/>
                <w:sz w:val="16"/>
                <w:szCs w:val="16"/>
              </w:rPr>
              <w:t>0 (2020)</w:t>
            </w:r>
          </w:p>
          <w:p w14:paraId="35580E42" w14:textId="77777777" w:rsidR="00BC3100" w:rsidRPr="004675C2" w:rsidRDefault="00BC3100" w:rsidP="00BC3100">
            <w:pPr>
              <w:spacing w:after="0" w:line="240" w:lineRule="auto"/>
              <w:rPr>
                <w:rFonts w:ascii="Times New Roman" w:hAnsi="Times New Roman"/>
                <w:sz w:val="16"/>
                <w:szCs w:val="16"/>
              </w:rPr>
            </w:pPr>
          </w:p>
          <w:p w14:paraId="67A7FB43" w14:textId="77777777" w:rsidR="00BC3100" w:rsidRPr="004675C2" w:rsidRDefault="00BC3100" w:rsidP="00BC3100">
            <w:pPr>
              <w:shd w:val="clear" w:color="auto" w:fill="FFFFFF"/>
              <w:spacing w:after="0" w:line="240" w:lineRule="auto"/>
              <w:rPr>
                <w:rFonts w:ascii="Times New Roman" w:hAnsi="Times New Roman"/>
                <w:sz w:val="16"/>
                <w:szCs w:val="16"/>
              </w:rPr>
            </w:pPr>
          </w:p>
          <w:p w14:paraId="2D124F69" w14:textId="77777777" w:rsidR="00BC3100" w:rsidRPr="004675C2" w:rsidRDefault="00BC3100" w:rsidP="00BC3100">
            <w:p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0 (2020)</w:t>
            </w:r>
          </w:p>
          <w:p w14:paraId="07918953" w14:textId="77777777" w:rsidR="00BC3100" w:rsidRPr="004675C2" w:rsidRDefault="00BC3100" w:rsidP="00BC3100">
            <w:pPr>
              <w:shd w:val="clear" w:color="auto" w:fill="FFFFFF"/>
              <w:spacing w:after="0" w:line="240" w:lineRule="auto"/>
              <w:rPr>
                <w:rFonts w:ascii="Times New Roman" w:hAnsi="Times New Roman"/>
                <w:sz w:val="16"/>
                <w:szCs w:val="16"/>
              </w:rPr>
            </w:pPr>
          </w:p>
          <w:p w14:paraId="46B1B361" w14:textId="77777777" w:rsidR="00BC3100" w:rsidRPr="004675C2" w:rsidRDefault="00BC3100" w:rsidP="00BC3100">
            <w:pPr>
              <w:shd w:val="clear" w:color="auto" w:fill="FFFFFF"/>
              <w:spacing w:after="0" w:line="240" w:lineRule="auto"/>
              <w:rPr>
                <w:rFonts w:ascii="Times New Roman" w:hAnsi="Times New Roman"/>
                <w:sz w:val="16"/>
                <w:szCs w:val="16"/>
              </w:rPr>
            </w:pPr>
          </w:p>
          <w:p w14:paraId="3992B53E" w14:textId="54338CF5" w:rsidR="00BC3100" w:rsidRPr="004675C2" w:rsidRDefault="00DC6307" w:rsidP="00DC6307">
            <w:pPr>
              <w:shd w:val="clear" w:color="auto" w:fill="FFFFFF"/>
              <w:spacing w:after="0" w:line="240" w:lineRule="auto"/>
              <w:rPr>
                <w:rFonts w:ascii="Times New Roman" w:hAnsi="Times New Roman"/>
                <w:sz w:val="16"/>
                <w:szCs w:val="16"/>
              </w:rPr>
            </w:pPr>
            <w:r>
              <w:rPr>
                <w:rFonts w:ascii="Times New Roman" w:hAnsi="Times New Roman"/>
                <w:sz w:val="16"/>
                <w:szCs w:val="16"/>
              </w:rPr>
              <w:t>514 mil.€</w:t>
            </w:r>
            <w:r w:rsidR="00BC3100" w:rsidRPr="004675C2">
              <w:rPr>
                <w:rFonts w:ascii="Times New Roman" w:hAnsi="Times New Roman"/>
                <w:sz w:val="16"/>
                <w:szCs w:val="16"/>
              </w:rPr>
              <w:t xml:space="preserve"> (20</w:t>
            </w:r>
            <w:r>
              <w:rPr>
                <w:rFonts w:ascii="Times New Roman" w:hAnsi="Times New Roman"/>
                <w:sz w:val="16"/>
                <w:szCs w:val="16"/>
              </w:rPr>
              <w:t>13-2018</w:t>
            </w:r>
            <w:r w:rsidR="00BC3100" w:rsidRPr="004675C2">
              <w:rPr>
                <w:rFonts w:ascii="Times New Roman" w:hAnsi="Times New Roman"/>
                <w:sz w:val="16"/>
                <w:szCs w:val="16"/>
              </w:rPr>
              <w:t>)</w:t>
            </w:r>
          </w:p>
        </w:tc>
        <w:tc>
          <w:tcPr>
            <w:tcW w:w="1276" w:type="dxa"/>
            <w:shd w:val="clear" w:color="auto" w:fill="FFFFFF"/>
          </w:tcPr>
          <w:p w14:paraId="4C3FD913" w14:textId="77777777" w:rsidR="00BC3100" w:rsidRPr="004675C2" w:rsidRDefault="00BC3100" w:rsidP="00BC3100">
            <w:pPr>
              <w:shd w:val="clear" w:color="auto" w:fill="FFFFFF"/>
              <w:spacing w:after="0" w:line="240" w:lineRule="auto"/>
              <w:rPr>
                <w:rFonts w:ascii="Times New Roman" w:hAnsi="Times New Roman"/>
                <w:sz w:val="16"/>
                <w:szCs w:val="16"/>
              </w:rPr>
            </w:pPr>
          </w:p>
        </w:tc>
        <w:tc>
          <w:tcPr>
            <w:tcW w:w="1417" w:type="dxa"/>
            <w:shd w:val="clear" w:color="auto" w:fill="FFFFFF"/>
          </w:tcPr>
          <w:p w14:paraId="25B9EFD8" w14:textId="578ECB3C" w:rsidR="00BC3100" w:rsidRPr="004675C2" w:rsidRDefault="00E254E0" w:rsidP="00BC3100">
            <w:pPr>
              <w:spacing w:after="0" w:line="240" w:lineRule="auto"/>
              <w:rPr>
                <w:rFonts w:ascii="Times New Roman" w:hAnsi="Times New Roman"/>
                <w:sz w:val="16"/>
                <w:szCs w:val="16"/>
              </w:rPr>
            </w:pPr>
            <w:r>
              <w:rPr>
                <w:rFonts w:ascii="Times New Roman" w:hAnsi="Times New Roman"/>
                <w:sz w:val="16"/>
                <w:szCs w:val="16"/>
              </w:rPr>
              <w:t>45</w:t>
            </w:r>
            <w:r w:rsidR="00BC3100" w:rsidRPr="004675C2">
              <w:rPr>
                <w:rFonts w:ascii="Times New Roman" w:hAnsi="Times New Roman"/>
                <w:sz w:val="16"/>
                <w:szCs w:val="16"/>
              </w:rPr>
              <w:t xml:space="preserve"> (202</w:t>
            </w:r>
            <w:r>
              <w:rPr>
                <w:rFonts w:ascii="Times New Roman" w:hAnsi="Times New Roman"/>
                <w:sz w:val="16"/>
                <w:szCs w:val="16"/>
              </w:rPr>
              <w:t>4</w:t>
            </w:r>
            <w:r w:rsidR="00BC3100" w:rsidRPr="004675C2">
              <w:rPr>
                <w:rFonts w:ascii="Times New Roman" w:hAnsi="Times New Roman"/>
                <w:sz w:val="16"/>
                <w:szCs w:val="16"/>
              </w:rPr>
              <w:t>)</w:t>
            </w:r>
          </w:p>
          <w:p w14:paraId="69330875" w14:textId="393B1CC4" w:rsidR="00BC3100" w:rsidRPr="004675C2" w:rsidRDefault="00BC3100" w:rsidP="00BC3100">
            <w:pPr>
              <w:spacing w:after="0" w:line="240" w:lineRule="auto"/>
              <w:rPr>
                <w:rFonts w:ascii="Times New Roman" w:hAnsi="Times New Roman"/>
                <w:sz w:val="16"/>
                <w:szCs w:val="16"/>
              </w:rPr>
            </w:pPr>
          </w:p>
          <w:p w14:paraId="2BCB4F64" w14:textId="77777777" w:rsidR="00BC3100" w:rsidRPr="004675C2" w:rsidRDefault="00BC3100" w:rsidP="00BC3100">
            <w:pPr>
              <w:spacing w:after="0" w:line="240" w:lineRule="auto"/>
              <w:rPr>
                <w:rFonts w:ascii="Times New Roman" w:hAnsi="Times New Roman"/>
                <w:sz w:val="16"/>
                <w:szCs w:val="16"/>
              </w:rPr>
            </w:pPr>
          </w:p>
          <w:p w14:paraId="6040A178" w14:textId="09E2339E" w:rsidR="00BC3100" w:rsidRPr="004675C2" w:rsidRDefault="00B225E0" w:rsidP="00BC3100">
            <w:pPr>
              <w:shd w:val="clear" w:color="auto" w:fill="FFFFFF"/>
              <w:spacing w:after="0" w:line="240" w:lineRule="auto"/>
              <w:rPr>
                <w:rFonts w:ascii="Times New Roman" w:hAnsi="Times New Roman"/>
                <w:sz w:val="16"/>
                <w:szCs w:val="16"/>
              </w:rPr>
            </w:pPr>
            <w:r>
              <w:rPr>
                <w:rFonts w:ascii="Times New Roman" w:hAnsi="Times New Roman"/>
                <w:sz w:val="16"/>
                <w:szCs w:val="16"/>
              </w:rPr>
              <w:t>4</w:t>
            </w:r>
            <w:r w:rsidR="00BC3100" w:rsidRPr="004675C2">
              <w:rPr>
                <w:rFonts w:ascii="Times New Roman" w:hAnsi="Times New Roman"/>
                <w:sz w:val="16"/>
                <w:szCs w:val="16"/>
              </w:rPr>
              <w:t xml:space="preserve"> (202</w:t>
            </w:r>
            <w:r>
              <w:rPr>
                <w:rFonts w:ascii="Times New Roman" w:hAnsi="Times New Roman"/>
                <w:sz w:val="16"/>
                <w:szCs w:val="16"/>
              </w:rPr>
              <w:t>4</w:t>
            </w:r>
            <w:r w:rsidR="00BC3100" w:rsidRPr="004675C2">
              <w:rPr>
                <w:rFonts w:ascii="Times New Roman" w:hAnsi="Times New Roman"/>
                <w:sz w:val="16"/>
                <w:szCs w:val="16"/>
              </w:rPr>
              <w:t>)</w:t>
            </w:r>
          </w:p>
          <w:p w14:paraId="7627BFD8" w14:textId="77777777" w:rsidR="00BC3100" w:rsidRPr="004675C2" w:rsidRDefault="00BC3100" w:rsidP="00BC3100">
            <w:pPr>
              <w:shd w:val="clear" w:color="auto" w:fill="FFFFFF"/>
              <w:spacing w:after="0" w:line="240" w:lineRule="auto"/>
              <w:rPr>
                <w:rFonts w:ascii="Times New Roman" w:hAnsi="Times New Roman"/>
                <w:sz w:val="16"/>
                <w:szCs w:val="16"/>
              </w:rPr>
            </w:pPr>
          </w:p>
          <w:p w14:paraId="52834F9D" w14:textId="77777777" w:rsidR="00BC3100" w:rsidRPr="004675C2" w:rsidRDefault="00BC3100" w:rsidP="00BC3100">
            <w:pPr>
              <w:shd w:val="clear" w:color="auto" w:fill="FFFFFF"/>
              <w:spacing w:after="0" w:line="240" w:lineRule="auto"/>
              <w:rPr>
                <w:rFonts w:ascii="Times New Roman" w:hAnsi="Times New Roman"/>
                <w:sz w:val="16"/>
                <w:szCs w:val="16"/>
              </w:rPr>
            </w:pPr>
          </w:p>
          <w:p w14:paraId="487787AB" w14:textId="621E6EE6" w:rsidR="00BC3100" w:rsidRPr="004675C2" w:rsidRDefault="00DC6307" w:rsidP="00B225E0">
            <w:pPr>
              <w:shd w:val="clear" w:color="auto" w:fill="FFFFFF"/>
              <w:spacing w:after="0" w:line="240" w:lineRule="auto"/>
              <w:rPr>
                <w:rFonts w:ascii="Times New Roman" w:hAnsi="Times New Roman"/>
                <w:sz w:val="16"/>
                <w:szCs w:val="16"/>
              </w:rPr>
            </w:pPr>
            <w:r>
              <w:rPr>
                <w:rFonts w:ascii="Times New Roman" w:hAnsi="Times New Roman"/>
                <w:sz w:val="16"/>
                <w:szCs w:val="16"/>
              </w:rPr>
              <w:t xml:space="preserve">550 mil. € </w:t>
            </w:r>
            <w:r w:rsidR="00BC3100" w:rsidRPr="004675C2">
              <w:rPr>
                <w:rFonts w:ascii="Times New Roman" w:hAnsi="Times New Roman"/>
                <w:sz w:val="16"/>
                <w:szCs w:val="16"/>
              </w:rPr>
              <w:t>(202</w:t>
            </w:r>
            <w:r w:rsidR="00B225E0">
              <w:rPr>
                <w:rFonts w:ascii="Times New Roman" w:hAnsi="Times New Roman"/>
                <w:sz w:val="16"/>
                <w:szCs w:val="16"/>
              </w:rPr>
              <w:t>4</w:t>
            </w:r>
            <w:r w:rsidR="00BC3100" w:rsidRPr="004675C2">
              <w:rPr>
                <w:rFonts w:ascii="Times New Roman" w:hAnsi="Times New Roman"/>
                <w:sz w:val="16"/>
                <w:szCs w:val="16"/>
              </w:rPr>
              <w:t>)</w:t>
            </w:r>
          </w:p>
        </w:tc>
        <w:tc>
          <w:tcPr>
            <w:tcW w:w="1418" w:type="dxa"/>
            <w:shd w:val="clear" w:color="auto" w:fill="FFFFFF"/>
          </w:tcPr>
          <w:p w14:paraId="79BFAFDB" w14:textId="0077EAD1" w:rsidR="00BC3100" w:rsidRPr="004675C2" w:rsidRDefault="00BC3100" w:rsidP="00BC3100">
            <w:pPr>
              <w:spacing w:after="0" w:line="240" w:lineRule="auto"/>
              <w:rPr>
                <w:rFonts w:ascii="Times New Roman" w:hAnsi="Times New Roman"/>
                <w:bCs/>
                <w:iCs/>
                <w:sz w:val="16"/>
                <w:szCs w:val="16"/>
              </w:rPr>
            </w:pPr>
            <w:r w:rsidRPr="004675C2">
              <w:rPr>
                <w:rFonts w:ascii="Times New Roman" w:hAnsi="Times New Roman"/>
                <w:bCs/>
                <w:iCs/>
                <w:sz w:val="16"/>
                <w:szCs w:val="16"/>
              </w:rPr>
              <w:t>Annual Report of the MAFWE</w:t>
            </w:r>
          </w:p>
          <w:p w14:paraId="73186F23" w14:textId="7CE9614C" w:rsidR="00BC3100" w:rsidRPr="004675C2" w:rsidRDefault="00BC3100" w:rsidP="00BC3100">
            <w:pPr>
              <w:spacing w:after="0" w:line="240" w:lineRule="auto"/>
              <w:rPr>
                <w:rFonts w:ascii="Times New Roman" w:hAnsi="Times New Roman"/>
                <w:bCs/>
                <w:iCs/>
                <w:sz w:val="16"/>
                <w:szCs w:val="16"/>
              </w:rPr>
            </w:pPr>
          </w:p>
          <w:p w14:paraId="20469D2E" w14:textId="54F7485F" w:rsidR="00BC3100" w:rsidRPr="004675C2" w:rsidRDefault="00BC3100" w:rsidP="00BC3100">
            <w:pPr>
              <w:spacing w:after="0" w:line="240" w:lineRule="auto"/>
              <w:rPr>
                <w:rFonts w:ascii="Times New Roman" w:hAnsi="Times New Roman"/>
                <w:bCs/>
                <w:iCs/>
                <w:sz w:val="16"/>
                <w:szCs w:val="16"/>
              </w:rPr>
            </w:pPr>
            <w:r w:rsidRPr="004675C2">
              <w:rPr>
                <w:rFonts w:ascii="Times New Roman" w:hAnsi="Times New Roman"/>
                <w:bCs/>
                <w:iCs/>
                <w:sz w:val="16"/>
                <w:szCs w:val="16"/>
              </w:rPr>
              <w:t>Annual Report of the MAFWE</w:t>
            </w:r>
          </w:p>
          <w:p w14:paraId="5EB0DB7E" w14:textId="77777777" w:rsidR="00BC3100" w:rsidRPr="004675C2" w:rsidRDefault="00BC3100" w:rsidP="00BC3100">
            <w:pPr>
              <w:spacing w:after="0" w:line="240" w:lineRule="auto"/>
              <w:rPr>
                <w:rFonts w:ascii="Times New Roman" w:hAnsi="Times New Roman"/>
                <w:bCs/>
                <w:iCs/>
                <w:sz w:val="16"/>
                <w:szCs w:val="16"/>
              </w:rPr>
            </w:pPr>
          </w:p>
          <w:p w14:paraId="6516B1E4" w14:textId="77777777" w:rsidR="00DC6307" w:rsidRPr="004675C2" w:rsidRDefault="00DC6307" w:rsidP="00DC6307">
            <w:pPr>
              <w:spacing w:after="0" w:line="240" w:lineRule="auto"/>
              <w:rPr>
                <w:rFonts w:ascii="Times New Roman" w:hAnsi="Times New Roman"/>
                <w:bCs/>
                <w:iCs/>
                <w:sz w:val="16"/>
                <w:szCs w:val="16"/>
              </w:rPr>
            </w:pPr>
            <w:r w:rsidRPr="004675C2">
              <w:rPr>
                <w:rFonts w:ascii="Times New Roman" w:hAnsi="Times New Roman"/>
                <w:bCs/>
                <w:iCs/>
                <w:sz w:val="16"/>
                <w:szCs w:val="16"/>
              </w:rPr>
              <w:t>Annual Report of the MAFWE</w:t>
            </w:r>
          </w:p>
          <w:p w14:paraId="5406794B" w14:textId="77777777" w:rsidR="00BC3100" w:rsidRPr="004675C2" w:rsidRDefault="00BC3100" w:rsidP="00BC3100">
            <w:pPr>
              <w:spacing w:after="0" w:line="240" w:lineRule="auto"/>
              <w:rPr>
                <w:rFonts w:ascii="Times New Roman" w:hAnsi="Times New Roman"/>
                <w:bCs/>
                <w:iCs/>
                <w:sz w:val="16"/>
                <w:szCs w:val="16"/>
              </w:rPr>
            </w:pPr>
          </w:p>
          <w:p w14:paraId="2C9C75D3" w14:textId="3C2D9C79" w:rsidR="00BC3100" w:rsidRPr="004675C2" w:rsidRDefault="00BC3100" w:rsidP="00BC3100">
            <w:pPr>
              <w:numPr>
                <w:ilvl w:val="12"/>
                <w:numId w:val="0"/>
              </w:numPr>
              <w:shd w:val="clear" w:color="auto" w:fill="FFFFFF"/>
              <w:spacing w:after="0" w:line="240" w:lineRule="auto"/>
              <w:rPr>
                <w:rFonts w:ascii="Times New Roman" w:hAnsi="Times New Roman"/>
                <w:sz w:val="16"/>
                <w:szCs w:val="16"/>
              </w:rPr>
            </w:pPr>
          </w:p>
        </w:tc>
        <w:tc>
          <w:tcPr>
            <w:tcW w:w="1775" w:type="dxa"/>
            <w:shd w:val="clear" w:color="auto" w:fill="FFFFFF"/>
          </w:tcPr>
          <w:p w14:paraId="0960FD2B" w14:textId="2584F4DE" w:rsidR="00BC3100" w:rsidRPr="004675C2" w:rsidRDefault="003B1936" w:rsidP="00BC3100">
            <w:pPr>
              <w:numPr>
                <w:ilvl w:val="12"/>
                <w:numId w:val="0"/>
              </w:num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The Government promotes the modernisation of the agriculture</w:t>
            </w:r>
          </w:p>
        </w:tc>
      </w:tr>
      <w:tr w:rsidR="00BC3100" w:rsidRPr="004675C2" w14:paraId="7D521BAD" w14:textId="77777777" w:rsidTr="00EB33BA">
        <w:trPr>
          <w:trHeight w:val="889"/>
        </w:trPr>
        <w:tc>
          <w:tcPr>
            <w:tcW w:w="3895" w:type="dxa"/>
            <w:shd w:val="clear" w:color="auto" w:fill="FFFFFF"/>
          </w:tcPr>
          <w:p w14:paraId="3BBE4912" w14:textId="0C4CD700" w:rsidR="00BC3100" w:rsidRPr="004675C2" w:rsidRDefault="00BC3100" w:rsidP="00FB6A8A">
            <w:pPr>
              <w:spacing w:after="0" w:line="240" w:lineRule="auto"/>
              <w:jc w:val="both"/>
              <w:rPr>
                <w:rFonts w:ascii="Times New Roman" w:eastAsia="Arial Unicode MS" w:hAnsi="Times New Roman"/>
                <w:b/>
                <w:bCs/>
                <w:sz w:val="16"/>
                <w:szCs w:val="16"/>
              </w:rPr>
            </w:pPr>
            <w:r w:rsidRPr="004675C2">
              <w:rPr>
                <w:rFonts w:ascii="Times New Roman" w:eastAsia="Arial Unicode MS" w:hAnsi="Times New Roman"/>
                <w:b/>
                <w:bCs/>
                <w:sz w:val="16"/>
                <w:szCs w:val="16"/>
              </w:rPr>
              <w:t>S.O.2</w:t>
            </w:r>
            <w:r w:rsidR="000C3309">
              <w:rPr>
                <w:rFonts w:ascii="Times New Roman" w:eastAsia="Arial Unicode MS" w:hAnsi="Times New Roman"/>
                <w:b/>
                <w:bCs/>
                <w:sz w:val="16"/>
                <w:szCs w:val="16"/>
              </w:rPr>
              <w:t xml:space="preserve">: </w:t>
            </w:r>
            <w:r w:rsidR="000C3309" w:rsidRPr="000C3309">
              <w:rPr>
                <w:rFonts w:ascii="Times New Roman" w:eastAsia="Arial Unicode MS" w:hAnsi="Times New Roman"/>
                <w:b/>
                <w:bCs/>
                <w:sz w:val="16"/>
                <w:szCs w:val="16"/>
              </w:rPr>
              <w:t>To enhance the productivity in agriculture</w:t>
            </w:r>
          </w:p>
          <w:p w14:paraId="7CA88EA0" w14:textId="77777777" w:rsidR="00BC3100" w:rsidRPr="004675C2" w:rsidRDefault="00BC3100" w:rsidP="00FB6A8A">
            <w:pPr>
              <w:spacing w:after="0" w:line="240" w:lineRule="auto"/>
              <w:jc w:val="both"/>
              <w:rPr>
                <w:rFonts w:ascii="Times New Roman" w:eastAsia="Arial Unicode MS" w:hAnsi="Times New Roman"/>
                <w:b/>
                <w:bCs/>
                <w:sz w:val="16"/>
                <w:szCs w:val="16"/>
              </w:rPr>
            </w:pPr>
          </w:p>
        </w:tc>
        <w:tc>
          <w:tcPr>
            <w:tcW w:w="3118" w:type="dxa"/>
            <w:shd w:val="clear" w:color="auto" w:fill="FFFFFF"/>
          </w:tcPr>
          <w:p w14:paraId="69748B28" w14:textId="36314E55" w:rsidR="00BC3100" w:rsidRPr="004675C2" w:rsidRDefault="00FB6A8A" w:rsidP="00FB6A8A">
            <w:p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 xml:space="preserve">Number of farmers </w:t>
            </w:r>
            <w:r w:rsidR="000C3309">
              <w:rPr>
                <w:rFonts w:ascii="Times New Roman" w:hAnsi="Times New Roman"/>
                <w:sz w:val="16"/>
                <w:szCs w:val="16"/>
              </w:rPr>
              <w:t>benefitting of irrigation in the investment areas</w:t>
            </w:r>
            <w:r w:rsidRPr="004675C2">
              <w:rPr>
                <w:rFonts w:ascii="Times New Roman" w:hAnsi="Times New Roman"/>
                <w:sz w:val="16"/>
                <w:szCs w:val="16"/>
              </w:rPr>
              <w:t xml:space="preserve"> </w:t>
            </w:r>
          </w:p>
        </w:tc>
        <w:tc>
          <w:tcPr>
            <w:tcW w:w="2410" w:type="dxa"/>
            <w:shd w:val="clear" w:color="auto" w:fill="FFFFFF"/>
          </w:tcPr>
          <w:p w14:paraId="370B6143" w14:textId="7B5B43B5" w:rsidR="00FB6A8A" w:rsidRPr="004675C2" w:rsidRDefault="00FB6A8A" w:rsidP="00FB6A8A">
            <w:p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 xml:space="preserve"> </w:t>
            </w:r>
            <w:r w:rsidRPr="004641C9">
              <w:rPr>
                <w:rFonts w:ascii="Times New Roman" w:hAnsi="Times New Roman"/>
                <w:sz w:val="16"/>
                <w:szCs w:val="16"/>
                <w:highlight w:val="yellow"/>
              </w:rPr>
              <w:t>50 farmers (2020)</w:t>
            </w:r>
          </w:p>
        </w:tc>
        <w:tc>
          <w:tcPr>
            <w:tcW w:w="1276" w:type="dxa"/>
            <w:shd w:val="clear" w:color="auto" w:fill="FFFFFF"/>
          </w:tcPr>
          <w:p w14:paraId="4A9F181D" w14:textId="77777777" w:rsidR="00BC3100" w:rsidRPr="004675C2" w:rsidRDefault="00BC3100" w:rsidP="00FB6A8A">
            <w:pPr>
              <w:shd w:val="clear" w:color="auto" w:fill="FFFFFF"/>
              <w:spacing w:after="0" w:line="240" w:lineRule="auto"/>
              <w:rPr>
                <w:rFonts w:ascii="Times New Roman" w:hAnsi="Times New Roman"/>
                <w:sz w:val="16"/>
                <w:szCs w:val="16"/>
              </w:rPr>
            </w:pPr>
          </w:p>
        </w:tc>
        <w:tc>
          <w:tcPr>
            <w:tcW w:w="1417" w:type="dxa"/>
            <w:shd w:val="clear" w:color="auto" w:fill="FFFFFF"/>
          </w:tcPr>
          <w:p w14:paraId="546CE308" w14:textId="47A00292" w:rsidR="00FB6A8A" w:rsidRPr="004675C2" w:rsidRDefault="00FB6A8A" w:rsidP="00FB6A8A">
            <w:p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&gt; 300 farmers (2024)</w:t>
            </w:r>
          </w:p>
        </w:tc>
        <w:tc>
          <w:tcPr>
            <w:tcW w:w="1418" w:type="dxa"/>
            <w:shd w:val="clear" w:color="auto" w:fill="FFFFFF"/>
          </w:tcPr>
          <w:p w14:paraId="184FEEED" w14:textId="77777777" w:rsidR="00BC3100" w:rsidRPr="004675C2" w:rsidRDefault="00BC3100" w:rsidP="00FB6A8A">
            <w:pPr>
              <w:shd w:val="clear" w:color="auto" w:fill="FFFFFF"/>
              <w:spacing w:after="0" w:line="240" w:lineRule="auto"/>
              <w:rPr>
                <w:rFonts w:ascii="Times New Roman" w:hAnsi="Times New Roman"/>
                <w:sz w:val="16"/>
                <w:szCs w:val="16"/>
              </w:rPr>
            </w:pPr>
            <w:r w:rsidRPr="004675C2">
              <w:rPr>
                <w:rFonts w:ascii="Times New Roman" w:hAnsi="Times New Roman"/>
                <w:bCs/>
                <w:iCs/>
                <w:sz w:val="16"/>
                <w:szCs w:val="16"/>
              </w:rPr>
              <w:t>Specific Project monitoring Reports</w:t>
            </w:r>
          </w:p>
          <w:p w14:paraId="704E8338" w14:textId="608F7A7F" w:rsidR="00BC3100" w:rsidRPr="004675C2" w:rsidRDefault="00BC3100" w:rsidP="00FB6A8A">
            <w:pPr>
              <w:spacing w:after="0" w:line="240" w:lineRule="auto"/>
              <w:rPr>
                <w:rFonts w:ascii="Times New Roman" w:hAnsi="Times New Roman"/>
                <w:bCs/>
                <w:iCs/>
                <w:sz w:val="16"/>
                <w:szCs w:val="16"/>
              </w:rPr>
            </w:pPr>
          </w:p>
        </w:tc>
        <w:tc>
          <w:tcPr>
            <w:tcW w:w="1775" w:type="dxa"/>
            <w:shd w:val="clear" w:color="auto" w:fill="FFFFFF"/>
          </w:tcPr>
          <w:p w14:paraId="0F0CE8F8" w14:textId="2FC4C8D7" w:rsidR="00BC3100" w:rsidRPr="004675C2" w:rsidRDefault="00FB6A8A" w:rsidP="00BC3100">
            <w:pPr>
              <w:numPr>
                <w:ilvl w:val="12"/>
                <w:numId w:val="0"/>
              </w:numPr>
              <w:shd w:val="clear" w:color="auto" w:fill="FFFFFF"/>
              <w:spacing w:before="60" w:after="0"/>
              <w:rPr>
                <w:rFonts w:ascii="Times New Roman" w:hAnsi="Times New Roman"/>
                <w:sz w:val="16"/>
                <w:szCs w:val="16"/>
              </w:rPr>
            </w:pPr>
            <w:r w:rsidRPr="004675C2">
              <w:rPr>
                <w:rFonts w:ascii="Times New Roman" w:hAnsi="Times New Roman"/>
                <w:sz w:val="16"/>
                <w:szCs w:val="16"/>
              </w:rPr>
              <w:t>Investments in irrigation schemes are implemented by the Government</w:t>
            </w:r>
          </w:p>
        </w:tc>
      </w:tr>
      <w:tr w:rsidR="00BC3100" w:rsidRPr="004675C2" w14:paraId="258E32BB" w14:textId="77777777" w:rsidTr="00EB33BA">
        <w:trPr>
          <w:trHeight w:val="358"/>
        </w:trPr>
        <w:tc>
          <w:tcPr>
            <w:tcW w:w="3895" w:type="dxa"/>
            <w:shd w:val="clear" w:color="auto" w:fill="FFFFFF"/>
          </w:tcPr>
          <w:p w14:paraId="01A6BB73" w14:textId="77777777" w:rsidR="00BC3100" w:rsidRPr="004675C2" w:rsidRDefault="00BC3100" w:rsidP="00BC3100">
            <w:pPr>
              <w:numPr>
                <w:ilvl w:val="12"/>
                <w:numId w:val="0"/>
              </w:numPr>
              <w:shd w:val="clear" w:color="auto" w:fill="FFFFFF"/>
              <w:spacing w:before="100" w:beforeAutospacing="1" w:after="100" w:afterAutospacing="1"/>
              <w:jc w:val="both"/>
              <w:rPr>
                <w:rFonts w:ascii="Times New Roman" w:hAnsi="Times New Roman"/>
                <w:b/>
                <w:sz w:val="16"/>
                <w:szCs w:val="16"/>
              </w:rPr>
            </w:pPr>
            <w:r w:rsidRPr="004675C2">
              <w:rPr>
                <w:rFonts w:ascii="Times New Roman" w:hAnsi="Times New Roman"/>
                <w:b/>
                <w:sz w:val="16"/>
                <w:szCs w:val="16"/>
              </w:rPr>
              <w:t>OUTPUTS</w:t>
            </w:r>
          </w:p>
        </w:tc>
        <w:tc>
          <w:tcPr>
            <w:tcW w:w="3118" w:type="dxa"/>
            <w:shd w:val="clear" w:color="auto" w:fill="FFFFFF"/>
          </w:tcPr>
          <w:p w14:paraId="7471E4FE" w14:textId="77777777" w:rsidR="00BC3100" w:rsidRPr="004675C2" w:rsidRDefault="00BC3100" w:rsidP="00BC3100">
            <w:pPr>
              <w:shd w:val="clear" w:color="auto" w:fill="FFFFFF"/>
              <w:spacing w:after="0"/>
              <w:jc w:val="center"/>
              <w:rPr>
                <w:rFonts w:ascii="Times New Roman" w:hAnsi="Times New Roman"/>
                <w:sz w:val="16"/>
                <w:szCs w:val="16"/>
              </w:rPr>
            </w:pPr>
            <w:r w:rsidRPr="004675C2">
              <w:rPr>
                <w:rFonts w:ascii="Times New Roman" w:hAnsi="Times New Roman"/>
                <w:b/>
                <w:sz w:val="16"/>
                <w:szCs w:val="16"/>
              </w:rPr>
              <w:t>OBJECTIVELY VERIFIABLE INDICATORS (*)</w:t>
            </w:r>
          </w:p>
        </w:tc>
        <w:tc>
          <w:tcPr>
            <w:tcW w:w="2410" w:type="dxa"/>
            <w:shd w:val="clear" w:color="auto" w:fill="FFFFFF"/>
          </w:tcPr>
          <w:p w14:paraId="506AE9A5" w14:textId="77777777" w:rsidR="00BC3100" w:rsidRPr="004675C2" w:rsidRDefault="00BC3100" w:rsidP="00BC3100">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BASELINES</w:t>
            </w:r>
          </w:p>
          <w:p w14:paraId="3092509C" w14:textId="77777777" w:rsidR="00BC3100" w:rsidRPr="004675C2" w:rsidRDefault="00BC3100" w:rsidP="00BC3100">
            <w:pPr>
              <w:shd w:val="clear" w:color="auto" w:fill="FFFFFF"/>
              <w:spacing w:after="0"/>
              <w:ind w:left="-352"/>
              <w:jc w:val="center"/>
              <w:rPr>
                <w:rFonts w:ascii="Times New Roman" w:hAnsi="Times New Roman"/>
                <w:b/>
                <w:sz w:val="16"/>
                <w:szCs w:val="16"/>
              </w:rPr>
            </w:pPr>
          </w:p>
        </w:tc>
        <w:tc>
          <w:tcPr>
            <w:tcW w:w="1276" w:type="dxa"/>
            <w:shd w:val="clear" w:color="auto" w:fill="FFFFFF"/>
          </w:tcPr>
          <w:p w14:paraId="782B3933" w14:textId="77777777" w:rsidR="00BC3100" w:rsidRPr="004675C2" w:rsidRDefault="00BC3100" w:rsidP="00BC3100">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MILESTONES</w:t>
            </w:r>
          </w:p>
          <w:p w14:paraId="2D3E5323" w14:textId="77777777" w:rsidR="00BC3100" w:rsidRPr="004675C2" w:rsidRDefault="00BC3100" w:rsidP="00BC3100">
            <w:pPr>
              <w:shd w:val="clear" w:color="auto" w:fill="FFFFFF"/>
              <w:spacing w:after="0"/>
              <w:jc w:val="center"/>
              <w:rPr>
                <w:rFonts w:ascii="Times New Roman" w:hAnsi="Times New Roman"/>
                <w:b/>
                <w:sz w:val="16"/>
                <w:szCs w:val="16"/>
              </w:rPr>
            </w:pPr>
          </w:p>
        </w:tc>
        <w:tc>
          <w:tcPr>
            <w:tcW w:w="1417" w:type="dxa"/>
            <w:shd w:val="clear" w:color="auto" w:fill="FFFFFF"/>
          </w:tcPr>
          <w:p w14:paraId="4B083810" w14:textId="77777777" w:rsidR="00BC3100" w:rsidRPr="004675C2" w:rsidRDefault="00BC3100" w:rsidP="00BC3100">
            <w:pPr>
              <w:shd w:val="clear" w:color="auto" w:fill="FFFFFF"/>
              <w:spacing w:after="0"/>
              <w:jc w:val="center"/>
              <w:rPr>
                <w:rFonts w:ascii="Times New Roman" w:hAnsi="Times New Roman"/>
                <w:b/>
                <w:sz w:val="16"/>
                <w:szCs w:val="16"/>
              </w:rPr>
            </w:pPr>
            <w:r w:rsidRPr="004675C2">
              <w:rPr>
                <w:rFonts w:ascii="Times New Roman" w:hAnsi="Times New Roman"/>
                <w:b/>
                <w:sz w:val="16"/>
                <w:szCs w:val="16"/>
              </w:rPr>
              <w:t>TARGETS</w:t>
            </w:r>
          </w:p>
          <w:p w14:paraId="155B8931" w14:textId="77777777" w:rsidR="00BC3100" w:rsidRPr="004675C2" w:rsidRDefault="00BC3100" w:rsidP="00BC3100">
            <w:pPr>
              <w:shd w:val="clear" w:color="auto" w:fill="FFFFFF"/>
              <w:spacing w:after="0"/>
              <w:jc w:val="center"/>
              <w:rPr>
                <w:rFonts w:ascii="Times New Roman" w:hAnsi="Times New Roman"/>
                <w:b/>
                <w:sz w:val="16"/>
                <w:szCs w:val="16"/>
              </w:rPr>
            </w:pPr>
          </w:p>
        </w:tc>
        <w:tc>
          <w:tcPr>
            <w:tcW w:w="1418" w:type="dxa"/>
            <w:shd w:val="clear" w:color="auto" w:fill="FFFFFF"/>
          </w:tcPr>
          <w:p w14:paraId="73AAEC4C" w14:textId="77777777" w:rsidR="00BC3100" w:rsidRPr="004675C2" w:rsidRDefault="00BC3100" w:rsidP="00BC3100">
            <w:pPr>
              <w:shd w:val="clear" w:color="auto" w:fill="FFFFFF"/>
              <w:spacing w:after="0"/>
              <w:jc w:val="center"/>
              <w:rPr>
                <w:rFonts w:ascii="Times New Roman" w:hAnsi="Times New Roman"/>
                <w:sz w:val="16"/>
                <w:szCs w:val="16"/>
              </w:rPr>
            </w:pPr>
            <w:r w:rsidRPr="004675C2">
              <w:rPr>
                <w:rFonts w:ascii="Times New Roman" w:hAnsi="Times New Roman"/>
                <w:b/>
                <w:sz w:val="16"/>
                <w:szCs w:val="16"/>
              </w:rPr>
              <w:t>SOURCES OF VERIFICATION</w:t>
            </w:r>
          </w:p>
        </w:tc>
        <w:tc>
          <w:tcPr>
            <w:tcW w:w="1775" w:type="dxa"/>
            <w:shd w:val="clear" w:color="auto" w:fill="FFFFFF"/>
          </w:tcPr>
          <w:p w14:paraId="7F381518" w14:textId="77777777" w:rsidR="00BC3100" w:rsidRPr="004675C2" w:rsidRDefault="00BC3100" w:rsidP="00BC3100">
            <w:pPr>
              <w:numPr>
                <w:ilvl w:val="12"/>
                <w:numId w:val="0"/>
              </w:numPr>
              <w:shd w:val="clear" w:color="auto" w:fill="FFFFFF"/>
              <w:spacing w:after="0"/>
              <w:jc w:val="center"/>
              <w:rPr>
                <w:rFonts w:ascii="Times New Roman" w:hAnsi="Times New Roman"/>
                <w:b/>
                <w:sz w:val="16"/>
                <w:szCs w:val="16"/>
              </w:rPr>
            </w:pPr>
            <w:r w:rsidRPr="004675C2">
              <w:rPr>
                <w:rFonts w:ascii="Times New Roman" w:hAnsi="Times New Roman"/>
                <w:b/>
                <w:sz w:val="16"/>
                <w:szCs w:val="16"/>
              </w:rPr>
              <w:t>ASSUMPTIONS</w:t>
            </w:r>
          </w:p>
        </w:tc>
      </w:tr>
      <w:tr w:rsidR="00BC3100" w:rsidRPr="004675C2" w14:paraId="52394330" w14:textId="77777777" w:rsidTr="00FB6A8A">
        <w:trPr>
          <w:trHeight w:val="800"/>
        </w:trPr>
        <w:tc>
          <w:tcPr>
            <w:tcW w:w="3895" w:type="dxa"/>
            <w:shd w:val="clear" w:color="auto" w:fill="FFFFFF"/>
          </w:tcPr>
          <w:p w14:paraId="6EDC2F15" w14:textId="4E37D092" w:rsidR="00BC3100" w:rsidRPr="004675C2" w:rsidRDefault="00BC3100" w:rsidP="00BC3100">
            <w:pPr>
              <w:shd w:val="clear" w:color="auto" w:fill="FFFFFF"/>
              <w:spacing w:before="60" w:after="0"/>
              <w:jc w:val="both"/>
              <w:rPr>
                <w:rFonts w:ascii="Times New Roman" w:hAnsi="Times New Roman"/>
                <w:b/>
                <w:sz w:val="16"/>
                <w:szCs w:val="16"/>
              </w:rPr>
            </w:pPr>
            <w:r w:rsidRPr="004675C2">
              <w:rPr>
                <w:rFonts w:ascii="Times New Roman" w:hAnsi="Times New Roman"/>
                <w:b/>
                <w:sz w:val="16"/>
                <w:szCs w:val="16"/>
              </w:rPr>
              <w:t xml:space="preserve">Output 1: (related to S.O.1): </w:t>
            </w:r>
          </w:p>
          <w:p w14:paraId="3AB6EBCA" w14:textId="7B654959" w:rsidR="00BC3100" w:rsidRPr="004675C2" w:rsidRDefault="00BC3100" w:rsidP="00BC3100">
            <w:pPr>
              <w:shd w:val="clear" w:color="auto" w:fill="FFFFFF"/>
              <w:spacing w:before="60" w:after="0"/>
              <w:jc w:val="both"/>
              <w:rPr>
                <w:rFonts w:ascii="Times New Roman" w:hAnsi="Times New Roman"/>
                <w:b/>
                <w:sz w:val="16"/>
                <w:szCs w:val="16"/>
              </w:rPr>
            </w:pPr>
            <w:r w:rsidRPr="004675C2">
              <w:rPr>
                <w:rFonts w:ascii="Times New Roman" w:hAnsi="Times New Roman"/>
                <w:b/>
                <w:sz w:val="16"/>
                <w:szCs w:val="16"/>
              </w:rPr>
              <w:t>Common Marker Organisations established</w:t>
            </w:r>
          </w:p>
        </w:tc>
        <w:tc>
          <w:tcPr>
            <w:tcW w:w="3118" w:type="dxa"/>
            <w:shd w:val="clear" w:color="auto" w:fill="FFFFFF"/>
          </w:tcPr>
          <w:p w14:paraId="26A0664A" w14:textId="77777777" w:rsidR="00BC3100" w:rsidRPr="004675C2" w:rsidRDefault="00BC3100" w:rsidP="00BC3100">
            <w:pPr>
              <w:spacing w:after="0" w:line="240" w:lineRule="auto"/>
              <w:rPr>
                <w:rFonts w:ascii="Times New Roman" w:hAnsi="Times New Roman"/>
                <w:sz w:val="16"/>
                <w:szCs w:val="16"/>
              </w:rPr>
            </w:pPr>
            <w:r w:rsidRPr="004675C2">
              <w:rPr>
                <w:rFonts w:ascii="Times New Roman" w:hAnsi="Times New Roman"/>
                <w:sz w:val="16"/>
                <w:szCs w:val="16"/>
              </w:rPr>
              <w:t>Number of Common Market organisations established</w:t>
            </w:r>
          </w:p>
          <w:p w14:paraId="16806A85" w14:textId="65EBE955" w:rsidR="00BC3100" w:rsidRPr="004675C2" w:rsidRDefault="00BC3100" w:rsidP="00BC3100">
            <w:pPr>
              <w:spacing w:after="0" w:line="240" w:lineRule="auto"/>
              <w:rPr>
                <w:rFonts w:ascii="Times New Roman" w:hAnsi="Times New Roman"/>
                <w:color w:val="2E74B5" w:themeColor="accent1" w:themeShade="BF"/>
                <w:sz w:val="16"/>
                <w:szCs w:val="16"/>
              </w:rPr>
            </w:pPr>
          </w:p>
        </w:tc>
        <w:tc>
          <w:tcPr>
            <w:tcW w:w="2410" w:type="dxa"/>
            <w:shd w:val="clear" w:color="auto" w:fill="FFFFFF"/>
          </w:tcPr>
          <w:p w14:paraId="24FF3E4C" w14:textId="77777777" w:rsidR="00BC3100" w:rsidRPr="004675C2" w:rsidRDefault="00BC3100" w:rsidP="00BC3100">
            <w:pPr>
              <w:spacing w:after="0" w:line="240" w:lineRule="auto"/>
              <w:rPr>
                <w:rFonts w:ascii="Times New Roman" w:hAnsi="Times New Roman"/>
                <w:sz w:val="16"/>
                <w:szCs w:val="16"/>
              </w:rPr>
            </w:pPr>
            <w:r w:rsidRPr="004675C2">
              <w:rPr>
                <w:rFonts w:ascii="Times New Roman" w:hAnsi="Times New Roman"/>
                <w:sz w:val="16"/>
                <w:szCs w:val="16"/>
              </w:rPr>
              <w:t>0 (2020)</w:t>
            </w:r>
          </w:p>
          <w:p w14:paraId="57832464" w14:textId="6AC479DD" w:rsidR="00BC3100" w:rsidRPr="004675C2" w:rsidRDefault="00BC3100" w:rsidP="00BC3100">
            <w:pPr>
              <w:spacing w:after="0" w:line="240" w:lineRule="auto"/>
              <w:rPr>
                <w:rFonts w:ascii="Times New Roman" w:hAnsi="Times New Roman"/>
                <w:sz w:val="16"/>
                <w:szCs w:val="16"/>
              </w:rPr>
            </w:pPr>
          </w:p>
        </w:tc>
        <w:tc>
          <w:tcPr>
            <w:tcW w:w="1276" w:type="dxa"/>
            <w:shd w:val="clear" w:color="auto" w:fill="FFFFFF"/>
          </w:tcPr>
          <w:p w14:paraId="5D17F362" w14:textId="77777777" w:rsidR="00BC3100" w:rsidRPr="004675C2" w:rsidRDefault="00BC3100" w:rsidP="00BC3100">
            <w:pPr>
              <w:shd w:val="clear" w:color="auto" w:fill="FFFFFF"/>
              <w:spacing w:after="0" w:line="240" w:lineRule="auto"/>
              <w:rPr>
                <w:rFonts w:ascii="Times New Roman" w:hAnsi="Times New Roman"/>
                <w:color w:val="2E74B5" w:themeColor="accent1" w:themeShade="BF"/>
                <w:sz w:val="16"/>
                <w:szCs w:val="16"/>
              </w:rPr>
            </w:pPr>
          </w:p>
        </w:tc>
        <w:tc>
          <w:tcPr>
            <w:tcW w:w="1417" w:type="dxa"/>
            <w:shd w:val="clear" w:color="auto" w:fill="FFFFFF"/>
          </w:tcPr>
          <w:p w14:paraId="619698A9" w14:textId="273D7E47" w:rsidR="00BC3100" w:rsidRPr="004675C2" w:rsidRDefault="00E254E0" w:rsidP="00BC3100">
            <w:pPr>
              <w:spacing w:after="0" w:line="240" w:lineRule="auto"/>
              <w:rPr>
                <w:rFonts w:ascii="Times New Roman" w:hAnsi="Times New Roman"/>
                <w:sz w:val="16"/>
                <w:szCs w:val="16"/>
              </w:rPr>
            </w:pPr>
            <w:r>
              <w:rPr>
                <w:rFonts w:ascii="Times New Roman" w:hAnsi="Times New Roman"/>
                <w:sz w:val="16"/>
                <w:szCs w:val="16"/>
              </w:rPr>
              <w:t>Min.</w:t>
            </w:r>
            <w:r w:rsidR="00BC3100" w:rsidRPr="004675C2">
              <w:rPr>
                <w:rFonts w:ascii="Times New Roman" w:hAnsi="Times New Roman"/>
                <w:sz w:val="16"/>
                <w:szCs w:val="16"/>
              </w:rPr>
              <w:t xml:space="preserve"> </w:t>
            </w:r>
            <w:r w:rsidR="00097B81">
              <w:rPr>
                <w:rFonts w:ascii="Times New Roman" w:hAnsi="Times New Roman"/>
                <w:sz w:val="16"/>
                <w:szCs w:val="16"/>
                <w:lang w:val="mk-MK"/>
              </w:rPr>
              <w:t>3</w:t>
            </w:r>
            <w:r w:rsidR="00BC3100" w:rsidRPr="004675C2">
              <w:rPr>
                <w:rFonts w:ascii="Times New Roman" w:hAnsi="Times New Roman"/>
                <w:sz w:val="16"/>
                <w:szCs w:val="16"/>
              </w:rPr>
              <w:t xml:space="preserve"> (202</w:t>
            </w:r>
            <w:r w:rsidR="00B225E0">
              <w:rPr>
                <w:rFonts w:ascii="Times New Roman" w:hAnsi="Times New Roman"/>
                <w:sz w:val="16"/>
                <w:szCs w:val="16"/>
              </w:rPr>
              <w:t>4</w:t>
            </w:r>
            <w:r w:rsidR="00BC3100" w:rsidRPr="004675C2">
              <w:rPr>
                <w:rFonts w:ascii="Times New Roman" w:hAnsi="Times New Roman"/>
                <w:sz w:val="16"/>
                <w:szCs w:val="16"/>
              </w:rPr>
              <w:t>)</w:t>
            </w:r>
          </w:p>
          <w:p w14:paraId="7AE0D562" w14:textId="7A4E86C7" w:rsidR="00BC3100" w:rsidRPr="004675C2" w:rsidRDefault="00BC3100" w:rsidP="00BC3100">
            <w:pPr>
              <w:spacing w:after="0" w:line="240" w:lineRule="auto"/>
              <w:rPr>
                <w:rFonts w:ascii="Times New Roman" w:hAnsi="Times New Roman"/>
                <w:sz w:val="16"/>
                <w:szCs w:val="16"/>
              </w:rPr>
            </w:pPr>
          </w:p>
        </w:tc>
        <w:tc>
          <w:tcPr>
            <w:tcW w:w="1418" w:type="dxa"/>
            <w:shd w:val="clear" w:color="auto" w:fill="FFFFFF"/>
          </w:tcPr>
          <w:p w14:paraId="1E670831" w14:textId="77777777" w:rsidR="00BC3100" w:rsidRPr="004675C2" w:rsidRDefault="00BC3100" w:rsidP="00BC3100">
            <w:pPr>
              <w:spacing w:after="0" w:line="240" w:lineRule="auto"/>
              <w:rPr>
                <w:rFonts w:ascii="Times New Roman" w:hAnsi="Times New Roman"/>
                <w:bCs/>
                <w:iCs/>
                <w:color w:val="2E74B5" w:themeColor="accent1" w:themeShade="BF"/>
                <w:sz w:val="16"/>
                <w:szCs w:val="16"/>
              </w:rPr>
            </w:pPr>
          </w:p>
        </w:tc>
        <w:tc>
          <w:tcPr>
            <w:tcW w:w="1775" w:type="dxa"/>
            <w:shd w:val="clear" w:color="auto" w:fill="FFFFFF"/>
          </w:tcPr>
          <w:p w14:paraId="71B1EF61" w14:textId="1A70DCBB" w:rsidR="00BC3100" w:rsidRPr="004675C2" w:rsidRDefault="00FB6A8A" w:rsidP="00BC3100">
            <w:pPr>
              <w:spacing w:after="0" w:line="240" w:lineRule="auto"/>
              <w:rPr>
                <w:rFonts w:ascii="Times New Roman" w:hAnsi="Times New Roman"/>
                <w:bCs/>
                <w:iCs/>
                <w:color w:val="2E74B5" w:themeColor="accent1" w:themeShade="BF"/>
                <w:sz w:val="16"/>
                <w:szCs w:val="16"/>
              </w:rPr>
            </w:pPr>
            <w:r w:rsidRPr="004675C2">
              <w:rPr>
                <w:rFonts w:ascii="Times New Roman" w:hAnsi="Times New Roman"/>
                <w:bCs/>
                <w:iCs/>
                <w:sz w:val="16"/>
                <w:szCs w:val="16"/>
              </w:rPr>
              <w:t>Outputs from preliminary technical assistance projects timely available</w:t>
            </w:r>
          </w:p>
        </w:tc>
      </w:tr>
      <w:tr w:rsidR="00BC3100" w:rsidRPr="004675C2" w14:paraId="4DAE7C98" w14:textId="77777777" w:rsidTr="00FB6A8A">
        <w:trPr>
          <w:trHeight w:val="1430"/>
        </w:trPr>
        <w:tc>
          <w:tcPr>
            <w:tcW w:w="3895" w:type="dxa"/>
            <w:shd w:val="clear" w:color="auto" w:fill="FFFFFF"/>
          </w:tcPr>
          <w:p w14:paraId="67D69D88" w14:textId="06627C5E" w:rsidR="00BC3100" w:rsidRPr="004675C2" w:rsidRDefault="00BC3100" w:rsidP="00BC3100">
            <w:pPr>
              <w:shd w:val="clear" w:color="auto" w:fill="FFFFFF"/>
              <w:spacing w:before="60" w:after="0"/>
              <w:jc w:val="both"/>
              <w:rPr>
                <w:rFonts w:ascii="Times New Roman" w:hAnsi="Times New Roman"/>
                <w:b/>
                <w:sz w:val="16"/>
                <w:szCs w:val="16"/>
              </w:rPr>
            </w:pPr>
            <w:r w:rsidRPr="004675C2">
              <w:rPr>
                <w:rFonts w:ascii="Times New Roman" w:hAnsi="Times New Roman"/>
                <w:b/>
                <w:sz w:val="16"/>
                <w:szCs w:val="16"/>
              </w:rPr>
              <w:t xml:space="preserve">Output 2 (related to S.O.2): </w:t>
            </w:r>
          </w:p>
          <w:p w14:paraId="2E6113A3" w14:textId="1591CE47" w:rsidR="00BC3100" w:rsidRPr="004675C2" w:rsidRDefault="00BC3100" w:rsidP="00BC3100">
            <w:pPr>
              <w:shd w:val="clear" w:color="auto" w:fill="FFFFFF"/>
              <w:spacing w:before="60" w:after="0"/>
              <w:jc w:val="both"/>
              <w:rPr>
                <w:rFonts w:ascii="Times New Roman" w:hAnsi="Times New Roman"/>
                <w:b/>
                <w:bCs/>
                <w:sz w:val="16"/>
                <w:szCs w:val="16"/>
              </w:rPr>
            </w:pPr>
            <w:r w:rsidRPr="004641C9">
              <w:rPr>
                <w:rFonts w:ascii="Times New Roman" w:hAnsi="Times New Roman"/>
                <w:b/>
                <w:bCs/>
                <w:sz w:val="16"/>
                <w:szCs w:val="16"/>
                <w:highlight w:val="yellow"/>
              </w:rPr>
              <w:t>Four</w:t>
            </w:r>
            <w:bookmarkStart w:id="2" w:name="_GoBack"/>
            <w:bookmarkEnd w:id="2"/>
            <w:r w:rsidRPr="004675C2">
              <w:rPr>
                <w:rFonts w:ascii="Times New Roman" w:hAnsi="Times New Roman"/>
                <w:b/>
                <w:bCs/>
                <w:sz w:val="16"/>
                <w:szCs w:val="16"/>
              </w:rPr>
              <w:t xml:space="preserve"> small-scale, low-cost, environment friendly irrigation schemes are constructed </w:t>
            </w:r>
          </w:p>
        </w:tc>
        <w:tc>
          <w:tcPr>
            <w:tcW w:w="3118" w:type="dxa"/>
            <w:shd w:val="clear" w:color="auto" w:fill="FFFFFF"/>
          </w:tcPr>
          <w:p w14:paraId="1E022788" w14:textId="303AA6C2" w:rsidR="00BC3100" w:rsidRPr="004675C2" w:rsidRDefault="00BC3100" w:rsidP="00BC3100">
            <w:pPr>
              <w:spacing w:after="0" w:line="240" w:lineRule="auto"/>
              <w:rPr>
                <w:rFonts w:ascii="Times New Roman" w:hAnsi="Times New Roman"/>
                <w:bCs/>
                <w:iCs/>
                <w:sz w:val="16"/>
                <w:szCs w:val="16"/>
              </w:rPr>
            </w:pPr>
            <w:r w:rsidRPr="004675C2">
              <w:rPr>
                <w:rFonts w:ascii="Times New Roman" w:hAnsi="Times New Roman"/>
                <w:sz w:val="16"/>
                <w:szCs w:val="16"/>
              </w:rPr>
              <w:t>Number of hectares irrigated in the areas object of the investments</w:t>
            </w:r>
            <w:r w:rsidRPr="004675C2">
              <w:rPr>
                <w:rFonts w:ascii="Times New Roman" w:hAnsi="Times New Roman"/>
                <w:bCs/>
                <w:iCs/>
                <w:sz w:val="16"/>
                <w:szCs w:val="16"/>
              </w:rPr>
              <w:t xml:space="preserve">; </w:t>
            </w:r>
          </w:p>
          <w:p w14:paraId="5562A2AD" w14:textId="77777777" w:rsidR="00BC3100" w:rsidRPr="004675C2" w:rsidRDefault="00BC3100" w:rsidP="00BC3100">
            <w:pPr>
              <w:spacing w:after="0" w:line="240" w:lineRule="auto"/>
              <w:rPr>
                <w:rFonts w:ascii="Times New Roman" w:hAnsi="Times New Roman"/>
                <w:bCs/>
                <w:iCs/>
                <w:sz w:val="16"/>
                <w:szCs w:val="16"/>
              </w:rPr>
            </w:pPr>
          </w:p>
          <w:p w14:paraId="5D3B1926" w14:textId="5D2BBFFB" w:rsidR="00BC3100" w:rsidRPr="004675C2" w:rsidRDefault="00BC3100" w:rsidP="00BC3100">
            <w:pPr>
              <w:spacing w:after="0" w:line="240" w:lineRule="auto"/>
              <w:rPr>
                <w:rFonts w:ascii="Times New Roman" w:hAnsi="Times New Roman"/>
                <w:bCs/>
                <w:iCs/>
                <w:sz w:val="16"/>
                <w:szCs w:val="16"/>
              </w:rPr>
            </w:pPr>
            <w:r w:rsidRPr="004675C2">
              <w:rPr>
                <w:rFonts w:ascii="Times New Roman" w:hAnsi="Times New Roman"/>
                <w:bCs/>
                <w:iCs/>
                <w:sz w:val="16"/>
                <w:szCs w:val="16"/>
              </w:rPr>
              <w:t>Number of small</w:t>
            </w:r>
            <w:r w:rsidR="006646D2" w:rsidRPr="004675C2">
              <w:rPr>
                <w:rFonts w:ascii="Times New Roman" w:hAnsi="Times New Roman"/>
                <w:bCs/>
                <w:iCs/>
                <w:sz w:val="16"/>
                <w:szCs w:val="16"/>
              </w:rPr>
              <w:t>-</w:t>
            </w:r>
            <w:r w:rsidRPr="004675C2">
              <w:rPr>
                <w:rFonts w:ascii="Times New Roman" w:hAnsi="Times New Roman"/>
                <w:bCs/>
                <w:iCs/>
                <w:sz w:val="16"/>
                <w:szCs w:val="16"/>
              </w:rPr>
              <w:t>scale irrigation systems constructed</w:t>
            </w:r>
          </w:p>
        </w:tc>
        <w:tc>
          <w:tcPr>
            <w:tcW w:w="2410" w:type="dxa"/>
            <w:shd w:val="clear" w:color="auto" w:fill="FFFFFF"/>
          </w:tcPr>
          <w:p w14:paraId="5E953704" w14:textId="77FC5E48" w:rsidR="00BC3100" w:rsidRPr="004675C2" w:rsidRDefault="00BC3100" w:rsidP="00BC3100">
            <w:pPr>
              <w:shd w:val="clear" w:color="auto" w:fill="FFFFFF"/>
              <w:spacing w:after="0" w:line="240" w:lineRule="auto"/>
              <w:rPr>
                <w:rFonts w:ascii="Times New Roman" w:hAnsi="Times New Roman"/>
                <w:sz w:val="16"/>
                <w:szCs w:val="16"/>
              </w:rPr>
            </w:pPr>
            <w:r w:rsidRPr="004641C9">
              <w:rPr>
                <w:rFonts w:ascii="Times New Roman" w:hAnsi="Times New Roman"/>
                <w:sz w:val="16"/>
                <w:szCs w:val="16"/>
                <w:highlight w:val="yellow"/>
              </w:rPr>
              <w:t>100 ha (2020)</w:t>
            </w:r>
          </w:p>
          <w:p w14:paraId="74F9C29B" w14:textId="77777777" w:rsidR="00BC3100" w:rsidRPr="004675C2" w:rsidRDefault="00BC3100" w:rsidP="00BC3100">
            <w:pPr>
              <w:shd w:val="clear" w:color="auto" w:fill="FFFFFF"/>
              <w:spacing w:after="0" w:line="240" w:lineRule="auto"/>
              <w:rPr>
                <w:rFonts w:ascii="Times New Roman" w:hAnsi="Times New Roman"/>
                <w:sz w:val="16"/>
                <w:szCs w:val="16"/>
              </w:rPr>
            </w:pPr>
          </w:p>
          <w:p w14:paraId="696E33D4" w14:textId="77777777" w:rsidR="00BC3100" w:rsidRPr="004675C2" w:rsidRDefault="00BC3100" w:rsidP="00BC3100">
            <w:pPr>
              <w:shd w:val="clear" w:color="auto" w:fill="FFFFFF"/>
              <w:spacing w:after="0" w:line="240" w:lineRule="auto"/>
              <w:rPr>
                <w:rFonts w:ascii="Times New Roman" w:hAnsi="Times New Roman"/>
                <w:sz w:val="16"/>
                <w:szCs w:val="16"/>
              </w:rPr>
            </w:pPr>
          </w:p>
          <w:p w14:paraId="3F40A4D7" w14:textId="34FA2BB3" w:rsidR="00BC3100" w:rsidRPr="004675C2" w:rsidRDefault="00BC3100" w:rsidP="00BC3100">
            <w:p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0 (2020)</w:t>
            </w:r>
          </w:p>
        </w:tc>
        <w:tc>
          <w:tcPr>
            <w:tcW w:w="1276" w:type="dxa"/>
            <w:shd w:val="clear" w:color="auto" w:fill="FFFFFF"/>
          </w:tcPr>
          <w:p w14:paraId="2E00A45F" w14:textId="77777777" w:rsidR="00BC3100" w:rsidRPr="004675C2" w:rsidRDefault="00BC3100" w:rsidP="00BC3100">
            <w:pPr>
              <w:shd w:val="clear" w:color="auto" w:fill="FFFFFF"/>
              <w:spacing w:after="0" w:line="240" w:lineRule="auto"/>
              <w:rPr>
                <w:rFonts w:ascii="Times New Roman" w:hAnsi="Times New Roman"/>
                <w:sz w:val="16"/>
                <w:szCs w:val="16"/>
              </w:rPr>
            </w:pPr>
          </w:p>
        </w:tc>
        <w:tc>
          <w:tcPr>
            <w:tcW w:w="1417" w:type="dxa"/>
            <w:shd w:val="clear" w:color="auto" w:fill="FFFFFF"/>
          </w:tcPr>
          <w:p w14:paraId="6A66FBC2" w14:textId="5373D45E" w:rsidR="00BC3100" w:rsidRPr="004675C2" w:rsidRDefault="00BC3100" w:rsidP="00BC3100">
            <w:p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670 ha (2024)</w:t>
            </w:r>
          </w:p>
          <w:p w14:paraId="4F8136A2" w14:textId="43C73630" w:rsidR="00BC3100" w:rsidRPr="004675C2" w:rsidRDefault="00BC3100" w:rsidP="00BC3100">
            <w:pPr>
              <w:shd w:val="clear" w:color="auto" w:fill="FFFFFF"/>
              <w:spacing w:after="0" w:line="240" w:lineRule="auto"/>
              <w:rPr>
                <w:rFonts w:ascii="Times New Roman" w:hAnsi="Times New Roman"/>
                <w:sz w:val="16"/>
                <w:szCs w:val="16"/>
              </w:rPr>
            </w:pPr>
          </w:p>
          <w:p w14:paraId="4C76B809" w14:textId="77777777" w:rsidR="00BC3100" w:rsidRPr="004675C2" w:rsidRDefault="00BC3100" w:rsidP="00BC3100">
            <w:pPr>
              <w:shd w:val="clear" w:color="auto" w:fill="FFFFFF"/>
              <w:spacing w:after="0" w:line="240" w:lineRule="auto"/>
              <w:rPr>
                <w:rFonts w:ascii="Times New Roman" w:hAnsi="Times New Roman"/>
                <w:sz w:val="16"/>
                <w:szCs w:val="16"/>
              </w:rPr>
            </w:pPr>
          </w:p>
          <w:p w14:paraId="69AEA94D" w14:textId="4536C003" w:rsidR="00BC3100" w:rsidRPr="004675C2" w:rsidRDefault="00BC3100" w:rsidP="00BC3100">
            <w:pPr>
              <w:shd w:val="clear" w:color="auto" w:fill="FFFFFF"/>
              <w:spacing w:after="0" w:line="240" w:lineRule="auto"/>
              <w:rPr>
                <w:rFonts w:ascii="Times New Roman" w:hAnsi="Times New Roman"/>
                <w:sz w:val="16"/>
                <w:szCs w:val="16"/>
              </w:rPr>
            </w:pPr>
            <w:r w:rsidRPr="004675C2">
              <w:rPr>
                <w:rFonts w:ascii="Times New Roman" w:hAnsi="Times New Roman"/>
                <w:sz w:val="16"/>
                <w:szCs w:val="16"/>
              </w:rPr>
              <w:t>4 (2024)</w:t>
            </w:r>
          </w:p>
        </w:tc>
        <w:tc>
          <w:tcPr>
            <w:tcW w:w="1418" w:type="dxa"/>
            <w:shd w:val="clear" w:color="auto" w:fill="FFFFFF"/>
          </w:tcPr>
          <w:p w14:paraId="6CA1D22D" w14:textId="4180EE19" w:rsidR="00BC3100" w:rsidRPr="004675C2" w:rsidRDefault="00BC3100" w:rsidP="00BC3100">
            <w:pPr>
              <w:numPr>
                <w:ilvl w:val="12"/>
                <w:numId w:val="0"/>
              </w:numPr>
              <w:shd w:val="clear" w:color="auto" w:fill="FFFFFF"/>
              <w:spacing w:after="0" w:line="240" w:lineRule="auto"/>
              <w:rPr>
                <w:rFonts w:ascii="Times New Roman" w:hAnsi="Times New Roman"/>
                <w:sz w:val="16"/>
                <w:szCs w:val="16"/>
              </w:rPr>
            </w:pPr>
            <w:r w:rsidRPr="004675C2">
              <w:rPr>
                <w:rFonts w:ascii="Times New Roman" w:hAnsi="Times New Roman"/>
                <w:bCs/>
                <w:iCs/>
                <w:sz w:val="16"/>
                <w:szCs w:val="16"/>
              </w:rPr>
              <w:t xml:space="preserve">Specific Project monitoring Reports </w:t>
            </w:r>
          </w:p>
        </w:tc>
        <w:tc>
          <w:tcPr>
            <w:tcW w:w="1775" w:type="dxa"/>
            <w:shd w:val="clear" w:color="auto" w:fill="FFFFFF"/>
          </w:tcPr>
          <w:p w14:paraId="0A3B1D50" w14:textId="77777777" w:rsidR="00BC3100" w:rsidRPr="004675C2" w:rsidRDefault="00BC3100" w:rsidP="00FB6A8A">
            <w:pPr>
              <w:spacing w:after="0" w:line="240" w:lineRule="auto"/>
              <w:rPr>
                <w:rFonts w:ascii="Times New Roman" w:hAnsi="Times New Roman"/>
                <w:bCs/>
                <w:iCs/>
                <w:sz w:val="16"/>
                <w:szCs w:val="16"/>
              </w:rPr>
            </w:pPr>
            <w:r w:rsidRPr="004675C2">
              <w:rPr>
                <w:rFonts w:ascii="Times New Roman" w:hAnsi="Times New Roman"/>
                <w:bCs/>
                <w:iCs/>
                <w:sz w:val="16"/>
                <w:szCs w:val="16"/>
              </w:rPr>
              <w:t>Timely completed expropriation process</w:t>
            </w:r>
          </w:p>
          <w:p w14:paraId="3E57F3F4" w14:textId="77777777" w:rsidR="00FB6A8A" w:rsidRPr="004675C2" w:rsidRDefault="00FB6A8A" w:rsidP="00FB6A8A">
            <w:pPr>
              <w:spacing w:after="0" w:line="240" w:lineRule="auto"/>
              <w:rPr>
                <w:rFonts w:ascii="Times New Roman" w:hAnsi="Times New Roman"/>
                <w:bCs/>
                <w:iCs/>
                <w:sz w:val="16"/>
                <w:szCs w:val="16"/>
              </w:rPr>
            </w:pPr>
          </w:p>
          <w:p w14:paraId="18E02C94" w14:textId="76D0ABB3" w:rsidR="00BC3100" w:rsidRPr="004675C2" w:rsidRDefault="00BC3100" w:rsidP="00FB6A8A">
            <w:pPr>
              <w:spacing w:after="0" w:line="240" w:lineRule="auto"/>
              <w:rPr>
                <w:rFonts w:ascii="Times New Roman" w:hAnsi="Times New Roman"/>
                <w:bCs/>
                <w:iCs/>
                <w:sz w:val="16"/>
                <w:szCs w:val="16"/>
              </w:rPr>
            </w:pPr>
            <w:r w:rsidRPr="004675C2">
              <w:rPr>
                <w:rFonts w:ascii="Times New Roman" w:hAnsi="Times New Roman"/>
                <w:bCs/>
                <w:iCs/>
                <w:sz w:val="16"/>
                <w:szCs w:val="16"/>
              </w:rPr>
              <w:t>Construction permits issued</w:t>
            </w:r>
          </w:p>
          <w:p w14:paraId="1708F512" w14:textId="4329819A" w:rsidR="00BC3100" w:rsidRPr="004675C2" w:rsidRDefault="00BC3100" w:rsidP="00BC3100">
            <w:pPr>
              <w:shd w:val="clear" w:color="auto" w:fill="FFFFFF"/>
              <w:spacing w:after="0" w:line="240" w:lineRule="auto"/>
              <w:rPr>
                <w:rFonts w:ascii="Times New Roman" w:hAnsi="Times New Roman"/>
                <w:sz w:val="16"/>
                <w:szCs w:val="16"/>
              </w:rPr>
            </w:pPr>
          </w:p>
        </w:tc>
      </w:tr>
      <w:tr w:rsidR="00BC3100" w:rsidRPr="004675C2" w14:paraId="6E9B4F3B" w14:textId="77777777" w:rsidTr="00DA520F">
        <w:trPr>
          <w:trHeight w:val="332"/>
        </w:trPr>
        <w:tc>
          <w:tcPr>
            <w:tcW w:w="3895" w:type="dxa"/>
            <w:shd w:val="clear" w:color="auto" w:fill="FFFFFF"/>
          </w:tcPr>
          <w:p w14:paraId="39EEB0E1" w14:textId="77777777" w:rsidR="00BC3100" w:rsidRPr="004675C2" w:rsidRDefault="00BC3100" w:rsidP="00BC3100">
            <w:pPr>
              <w:shd w:val="clear" w:color="auto" w:fill="FFFFFF"/>
              <w:autoSpaceDE w:val="0"/>
              <w:autoSpaceDN w:val="0"/>
              <w:adjustRightInd w:val="0"/>
              <w:jc w:val="center"/>
              <w:rPr>
                <w:rFonts w:ascii="Times New Roman" w:hAnsi="Times New Roman"/>
                <w:sz w:val="16"/>
                <w:szCs w:val="16"/>
              </w:rPr>
            </w:pPr>
            <w:r w:rsidRPr="004675C2">
              <w:rPr>
                <w:rFonts w:ascii="Times New Roman" w:hAnsi="Times New Roman"/>
                <w:b/>
                <w:sz w:val="16"/>
                <w:szCs w:val="16"/>
              </w:rPr>
              <w:lastRenderedPageBreak/>
              <w:t>BROAD ARRANGEMENTS FOR IMPLEMENTATION (IF AVAILABLE)</w:t>
            </w:r>
          </w:p>
        </w:tc>
        <w:tc>
          <w:tcPr>
            <w:tcW w:w="11414" w:type="dxa"/>
            <w:gridSpan w:val="6"/>
            <w:shd w:val="clear" w:color="auto" w:fill="FFFFFF"/>
          </w:tcPr>
          <w:p w14:paraId="69369913" w14:textId="09155815" w:rsidR="00BC3100" w:rsidRPr="004741FA" w:rsidRDefault="004741FA" w:rsidP="00BC3100">
            <w:pPr>
              <w:shd w:val="clear" w:color="auto" w:fill="FFFFFF"/>
              <w:spacing w:before="60" w:after="0"/>
              <w:rPr>
                <w:rFonts w:ascii="Times New Roman" w:hAnsi="Times New Roman"/>
                <w:sz w:val="16"/>
                <w:szCs w:val="16"/>
              </w:rPr>
            </w:pPr>
            <w:r w:rsidRPr="004741FA">
              <w:rPr>
                <w:rFonts w:ascii="Times New Roman" w:hAnsi="Times New Roman"/>
                <w:sz w:val="16"/>
                <w:szCs w:val="16"/>
              </w:rPr>
              <w:t>Direct Management, service and works contracts</w:t>
            </w:r>
          </w:p>
        </w:tc>
      </w:tr>
    </w:tbl>
    <w:p w14:paraId="7F61988B" w14:textId="5E25F971" w:rsidR="00F16D0F" w:rsidRPr="004675C2" w:rsidRDefault="00F16D0F" w:rsidP="00143430">
      <w:pPr>
        <w:rPr>
          <w:rFonts w:ascii="Times New Roman" w:hAnsi="Times New Roman"/>
        </w:rPr>
      </w:pPr>
    </w:p>
    <w:p w14:paraId="7C04465B" w14:textId="77777777" w:rsidR="00724B13" w:rsidRPr="004675C2" w:rsidRDefault="00724B13" w:rsidP="00143430">
      <w:pPr>
        <w:rPr>
          <w:rFonts w:ascii="Times New Roman" w:hAnsi="Times New Roman"/>
        </w:rPr>
      </w:pPr>
    </w:p>
    <w:sectPr w:rsidR="00724B13" w:rsidRPr="004675C2" w:rsidSect="00275CA9">
      <w:pgSz w:w="16838" w:h="11906" w:orient="landscape"/>
      <w:pgMar w:top="567" w:right="1440" w:bottom="426" w:left="1440" w:header="708" w:footer="20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DDD45" w16cex:dateUtc="2020-06-24T12:10:00Z"/>
  <w16cex:commentExtensible w16cex:durableId="229E048A" w16cex:dateUtc="2020-06-24T14:57:00Z"/>
  <w16cex:commentExtensible w16cex:durableId="229DFD0C" w16cex:dateUtc="2020-06-24T14:25:00Z"/>
  <w16cex:commentExtensible w16cex:durableId="229E0006" w16cex:dateUtc="2020-06-24T14:38:00Z"/>
  <w16cex:commentExtensible w16cex:durableId="229DF5EA" w16cex:dateUtc="2020-06-24T13:55:00Z"/>
  <w16cex:commentExtensible w16cex:durableId="229E04CD" w16cex:dateUtc="2020-06-24T14:58:00Z"/>
  <w16cex:commentExtensible w16cex:durableId="229E05EF" w16cex:dateUtc="2020-06-24T15:03:00Z"/>
  <w16cex:commentExtensible w16cex:durableId="229E0519" w16cex:dateUtc="2020-06-24T15:00:00Z"/>
  <w16cex:commentExtensible w16cex:durableId="229E0132" w16cex:dateUtc="2020-06-24T14: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56402" w14:textId="77777777" w:rsidR="00EA3C43" w:rsidRDefault="00EA3C43" w:rsidP="00D92F6C">
      <w:pPr>
        <w:spacing w:after="0" w:line="240" w:lineRule="auto"/>
      </w:pPr>
      <w:r>
        <w:separator/>
      </w:r>
    </w:p>
  </w:endnote>
  <w:endnote w:type="continuationSeparator" w:id="0">
    <w:p w14:paraId="31EC5DB8" w14:textId="77777777" w:rsidR="00EA3C43" w:rsidRDefault="00EA3C43"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Tunga">
    <w:altName w:val="Courier New"/>
    <w:panose1 w:val="00000400000000000000"/>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59942" w14:textId="77777777" w:rsidR="00EA3C43" w:rsidRDefault="00EA3C43" w:rsidP="00D92F6C">
      <w:pPr>
        <w:spacing w:after="0" w:line="240" w:lineRule="auto"/>
      </w:pPr>
      <w:r>
        <w:separator/>
      </w:r>
    </w:p>
  </w:footnote>
  <w:footnote w:type="continuationSeparator" w:id="0">
    <w:p w14:paraId="3566E959" w14:textId="77777777" w:rsidR="00EA3C43" w:rsidRDefault="00EA3C43" w:rsidP="00D92F6C">
      <w:pPr>
        <w:spacing w:after="0" w:line="240" w:lineRule="auto"/>
      </w:pPr>
      <w:r>
        <w:continuationSeparator/>
      </w:r>
    </w:p>
  </w:footnote>
  <w:footnote w:id="1">
    <w:p w14:paraId="3D1C084F" w14:textId="77777777" w:rsidR="00DC6307" w:rsidRPr="003D09A5" w:rsidRDefault="00DC6307" w:rsidP="00D92F6C">
      <w:pPr>
        <w:pStyle w:val="FootnoteText"/>
      </w:pPr>
      <w:r>
        <w:rPr>
          <w:rStyle w:val="FootnoteReference"/>
        </w:rPr>
        <w:footnoteRef/>
      </w:r>
      <w:r>
        <w:t xml:space="preserve"> </w:t>
      </w:r>
      <w:r w:rsidRPr="003D09A5">
        <w:rPr>
          <w:sz w:val="16"/>
          <w:szCs w:val="16"/>
        </w:rPr>
        <w:t>The baseline value may be "0" (i.e. no reference values are available as the Action represents a novelty for the beneficiary) but cannot be left empty or include references such as "N/A" or "will be determined later".</w:t>
      </w:r>
    </w:p>
    <w:p w14:paraId="777784AE" w14:textId="77777777" w:rsidR="00DC6307" w:rsidRPr="00042F9A" w:rsidRDefault="00DC6307" w:rsidP="00D92F6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695B"/>
    <w:multiLevelType w:val="hybridMultilevel"/>
    <w:tmpl w:val="3CD2B706"/>
    <w:lvl w:ilvl="0" w:tplc="0C0A0001">
      <w:start w:val="1"/>
      <w:numFmt w:val="bullet"/>
      <w:lvlText w:val=""/>
      <w:lvlJc w:val="left"/>
      <w:pPr>
        <w:ind w:left="360" w:hanging="360"/>
      </w:pPr>
      <w:rPr>
        <w:rFonts w:ascii="Symbol"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67B7B"/>
    <w:multiLevelType w:val="hybridMultilevel"/>
    <w:tmpl w:val="EDA8F3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F273F3"/>
    <w:multiLevelType w:val="hybridMultilevel"/>
    <w:tmpl w:val="E7E25782"/>
    <w:lvl w:ilvl="0" w:tplc="0C0A0001">
      <w:start w:val="1"/>
      <w:numFmt w:val="bullet"/>
      <w:lvlText w:val=""/>
      <w:lvlJc w:val="left"/>
      <w:pPr>
        <w:ind w:left="360" w:hanging="360"/>
      </w:pPr>
      <w:rPr>
        <w:rFonts w:ascii="Symbol"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3" w15:restartNumberingAfterBreak="0">
    <w:nsid w:val="18B75176"/>
    <w:multiLevelType w:val="hybridMultilevel"/>
    <w:tmpl w:val="B942C9A2"/>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15:restartNumberingAfterBreak="0">
    <w:nsid w:val="262C28E0"/>
    <w:multiLevelType w:val="hybridMultilevel"/>
    <w:tmpl w:val="9A80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EF058EC"/>
    <w:multiLevelType w:val="hybridMultilevel"/>
    <w:tmpl w:val="F782DB14"/>
    <w:lvl w:ilvl="0" w:tplc="0C0A0001">
      <w:start w:val="1"/>
      <w:numFmt w:val="bullet"/>
      <w:lvlText w:val=""/>
      <w:lvlJc w:val="left"/>
      <w:pPr>
        <w:ind w:left="360" w:hanging="360"/>
      </w:pPr>
      <w:rPr>
        <w:rFonts w:ascii="Symbol" w:hAnsi="Symbol"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15:restartNumberingAfterBreak="0">
    <w:nsid w:val="2F980546"/>
    <w:multiLevelType w:val="hybridMultilevel"/>
    <w:tmpl w:val="147674A6"/>
    <w:lvl w:ilvl="0" w:tplc="55A2841A">
      <w:numFmt w:val="bullet"/>
      <w:lvlText w:val="-"/>
      <w:lvlJc w:val="left"/>
      <w:pPr>
        <w:ind w:left="720" w:hanging="360"/>
      </w:pPr>
      <w:rPr>
        <w:rFonts w:ascii="Book Antiqua" w:eastAsia="Times New Roman" w:hAnsi="Book Antiqua" w:cs="Times New Roman" w:hint="default"/>
      </w:rPr>
    </w:lvl>
    <w:lvl w:ilvl="1" w:tplc="042F0003">
      <w:start w:val="1"/>
      <w:numFmt w:val="bullet"/>
      <w:lvlText w:val="o"/>
      <w:lvlJc w:val="left"/>
      <w:pPr>
        <w:ind w:left="1440" w:hanging="360"/>
      </w:pPr>
      <w:rPr>
        <w:rFonts w:ascii="Courier New" w:hAnsi="Courier New" w:cs="Book Antiqua" w:hint="default"/>
      </w:rPr>
    </w:lvl>
    <w:lvl w:ilvl="2" w:tplc="042F0005">
      <w:start w:val="1"/>
      <w:numFmt w:val="bullet"/>
      <w:lvlText w:val=""/>
      <w:lvlJc w:val="left"/>
      <w:pPr>
        <w:ind w:left="2160" w:hanging="360"/>
      </w:pPr>
      <w:rPr>
        <w:rFonts w:ascii="Wingdings" w:hAnsi="Wingdings" w:hint="default"/>
      </w:rPr>
    </w:lvl>
    <w:lvl w:ilvl="3" w:tplc="042F0001">
      <w:start w:val="1"/>
      <w:numFmt w:val="bullet"/>
      <w:lvlText w:val=""/>
      <w:lvlJc w:val="left"/>
      <w:pPr>
        <w:ind w:left="2880" w:hanging="360"/>
      </w:pPr>
      <w:rPr>
        <w:rFonts w:ascii="Symbol" w:hAnsi="Symbol" w:hint="default"/>
      </w:rPr>
    </w:lvl>
    <w:lvl w:ilvl="4" w:tplc="042F0003">
      <w:start w:val="1"/>
      <w:numFmt w:val="bullet"/>
      <w:lvlText w:val="o"/>
      <w:lvlJc w:val="left"/>
      <w:pPr>
        <w:ind w:left="3600" w:hanging="360"/>
      </w:pPr>
      <w:rPr>
        <w:rFonts w:ascii="Courier New" w:hAnsi="Courier New" w:cs="Book Antiqua" w:hint="default"/>
      </w:rPr>
    </w:lvl>
    <w:lvl w:ilvl="5" w:tplc="042F0005">
      <w:start w:val="1"/>
      <w:numFmt w:val="bullet"/>
      <w:lvlText w:val=""/>
      <w:lvlJc w:val="left"/>
      <w:pPr>
        <w:ind w:left="4320" w:hanging="360"/>
      </w:pPr>
      <w:rPr>
        <w:rFonts w:ascii="Wingdings" w:hAnsi="Wingdings" w:hint="default"/>
      </w:rPr>
    </w:lvl>
    <w:lvl w:ilvl="6" w:tplc="042F0001">
      <w:start w:val="1"/>
      <w:numFmt w:val="bullet"/>
      <w:lvlText w:val=""/>
      <w:lvlJc w:val="left"/>
      <w:pPr>
        <w:ind w:left="5040" w:hanging="360"/>
      </w:pPr>
      <w:rPr>
        <w:rFonts w:ascii="Symbol" w:hAnsi="Symbol" w:hint="default"/>
      </w:rPr>
    </w:lvl>
    <w:lvl w:ilvl="7" w:tplc="042F0003">
      <w:start w:val="1"/>
      <w:numFmt w:val="bullet"/>
      <w:lvlText w:val="o"/>
      <w:lvlJc w:val="left"/>
      <w:pPr>
        <w:ind w:left="5760" w:hanging="360"/>
      </w:pPr>
      <w:rPr>
        <w:rFonts w:ascii="Courier New" w:hAnsi="Courier New" w:cs="Book Antiqua" w:hint="default"/>
      </w:rPr>
    </w:lvl>
    <w:lvl w:ilvl="8" w:tplc="042F0005">
      <w:start w:val="1"/>
      <w:numFmt w:val="bullet"/>
      <w:lvlText w:val=""/>
      <w:lvlJc w:val="left"/>
      <w:pPr>
        <w:ind w:left="6480" w:hanging="360"/>
      </w:pPr>
      <w:rPr>
        <w:rFonts w:ascii="Wingdings" w:hAnsi="Wingdings" w:hint="default"/>
      </w:rPr>
    </w:lvl>
  </w:abstractNum>
  <w:abstractNum w:abstractNumId="8" w15:restartNumberingAfterBreak="0">
    <w:nsid w:val="36D83372"/>
    <w:multiLevelType w:val="hybridMultilevel"/>
    <w:tmpl w:val="C7660B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DC6937"/>
    <w:multiLevelType w:val="hybridMultilevel"/>
    <w:tmpl w:val="F8300434"/>
    <w:lvl w:ilvl="0" w:tplc="040E0001">
      <w:start w:val="1"/>
      <w:numFmt w:val="bullet"/>
      <w:lvlText w:val=""/>
      <w:lvlJc w:val="left"/>
      <w:pPr>
        <w:ind w:left="720" w:hanging="360"/>
      </w:pPr>
      <w:rPr>
        <w:rFonts w:ascii="Symbol" w:hAnsi="Symbol" w:hint="default"/>
      </w:rPr>
    </w:lvl>
    <w:lvl w:ilvl="1" w:tplc="A2A40A0E">
      <w:numFmt w:val="bullet"/>
      <w:lvlText w:val="•"/>
      <w:lvlJc w:val="left"/>
      <w:pPr>
        <w:ind w:left="1788" w:hanging="708"/>
      </w:pPr>
      <w:rPr>
        <w:rFonts w:ascii="Arial" w:eastAsia="Times New Roman" w:hAnsi="Arial" w:cs="Aria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2560375"/>
    <w:multiLevelType w:val="hybridMultilevel"/>
    <w:tmpl w:val="83DAC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0C2B14"/>
    <w:multiLevelType w:val="hybridMultilevel"/>
    <w:tmpl w:val="A6A6D786"/>
    <w:lvl w:ilvl="0" w:tplc="0C0A0001">
      <w:start w:val="1"/>
      <w:numFmt w:val="bullet"/>
      <w:lvlText w:val=""/>
      <w:lvlJc w:val="left"/>
      <w:pPr>
        <w:ind w:left="360" w:hanging="360"/>
      </w:pPr>
      <w:rPr>
        <w:rFonts w:ascii="Symbol" w:hAnsi="Symbol"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3" w15:restartNumberingAfterBreak="0">
    <w:nsid w:val="6796354C"/>
    <w:multiLevelType w:val="hybridMultilevel"/>
    <w:tmpl w:val="ADDE8D3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15:restartNumberingAfterBreak="0">
    <w:nsid w:val="6E21483D"/>
    <w:multiLevelType w:val="hybridMultilevel"/>
    <w:tmpl w:val="15EECB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1"/>
  </w:num>
  <w:num w:numId="4">
    <w:abstractNumId w:val="1"/>
  </w:num>
  <w:num w:numId="5">
    <w:abstractNumId w:val="14"/>
  </w:num>
  <w:num w:numId="6">
    <w:abstractNumId w:val="13"/>
  </w:num>
  <w:num w:numId="7">
    <w:abstractNumId w:val="0"/>
  </w:num>
  <w:num w:numId="8">
    <w:abstractNumId w:val="12"/>
  </w:num>
  <w:num w:numId="9">
    <w:abstractNumId w:val="6"/>
  </w:num>
  <w:num w:numId="10">
    <w:abstractNumId w:val="2"/>
  </w:num>
  <w:num w:numId="11">
    <w:abstractNumId w:val="10"/>
  </w:num>
  <w:num w:numId="12">
    <w:abstractNumId w:val="3"/>
  </w:num>
  <w:num w:numId="13">
    <w:abstractNumId w:val="4"/>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hu-HU" w:vendorID="64" w:dllVersion="4096" w:nlCheck="1" w:checkStyle="0"/>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activeWritingStyle w:appName="MSWord" w:lang="es-ES" w:vendorID="64" w:dllVersion="6" w:nlCheck="1" w:checkStyle="0"/>
  <w:activeWritingStyle w:appName="MSWord" w:lang="en-US" w:vendorID="64" w:dllVersion="6" w:nlCheck="1" w:checkStyle="1"/>
  <w:activeWritingStyle w:appName="MSWord" w:lang="en-US" w:vendorID="64" w:dllVersion="0" w:nlCheck="1" w:checkStyle="0"/>
  <w:activeWritingStyle w:appName="MSWord" w:lang="fr-BE" w:vendorID="64" w:dllVersion="6" w:nlCheck="1" w:checkStyle="1"/>
  <w:activeWritingStyle w:appName="MSWord" w:lang="fr-BE" w:vendorID="64" w:dllVersion="0"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2F6C"/>
    <w:rsid w:val="000109C2"/>
    <w:rsid w:val="0003318E"/>
    <w:rsid w:val="00073136"/>
    <w:rsid w:val="00086085"/>
    <w:rsid w:val="00097B81"/>
    <w:rsid w:val="000A5D40"/>
    <w:rsid w:val="000B5491"/>
    <w:rsid w:val="000B66EE"/>
    <w:rsid w:val="000C3309"/>
    <w:rsid w:val="000F2081"/>
    <w:rsid w:val="000F460D"/>
    <w:rsid w:val="00132C73"/>
    <w:rsid w:val="00143430"/>
    <w:rsid w:val="00173C31"/>
    <w:rsid w:val="001E3D3B"/>
    <w:rsid w:val="002105BB"/>
    <w:rsid w:val="00217256"/>
    <w:rsid w:val="00244BE5"/>
    <w:rsid w:val="00245CF8"/>
    <w:rsid w:val="0025042C"/>
    <w:rsid w:val="0025692B"/>
    <w:rsid w:val="002623AC"/>
    <w:rsid w:val="00275CA9"/>
    <w:rsid w:val="00296808"/>
    <w:rsid w:val="002B28F3"/>
    <w:rsid w:val="002D752F"/>
    <w:rsid w:val="003566D3"/>
    <w:rsid w:val="003B1936"/>
    <w:rsid w:val="004641C9"/>
    <w:rsid w:val="004675C2"/>
    <w:rsid w:val="004741FA"/>
    <w:rsid w:val="004B7EBA"/>
    <w:rsid w:val="004C5B23"/>
    <w:rsid w:val="004D0BD9"/>
    <w:rsid w:val="00502358"/>
    <w:rsid w:val="005643ED"/>
    <w:rsid w:val="00592989"/>
    <w:rsid w:val="005C24A1"/>
    <w:rsid w:val="006646D2"/>
    <w:rsid w:val="006753BD"/>
    <w:rsid w:val="00676A52"/>
    <w:rsid w:val="006814EB"/>
    <w:rsid w:val="006B79F5"/>
    <w:rsid w:val="006D4594"/>
    <w:rsid w:val="006F0A55"/>
    <w:rsid w:val="0070713E"/>
    <w:rsid w:val="00724B13"/>
    <w:rsid w:val="007945B6"/>
    <w:rsid w:val="007C1262"/>
    <w:rsid w:val="007C3ECE"/>
    <w:rsid w:val="00807F23"/>
    <w:rsid w:val="008511EC"/>
    <w:rsid w:val="008C4591"/>
    <w:rsid w:val="008F3361"/>
    <w:rsid w:val="00962C17"/>
    <w:rsid w:val="009C42C6"/>
    <w:rsid w:val="009E39AE"/>
    <w:rsid w:val="00AB3E8C"/>
    <w:rsid w:val="00B10991"/>
    <w:rsid w:val="00B225E0"/>
    <w:rsid w:val="00B33B66"/>
    <w:rsid w:val="00B97ACE"/>
    <w:rsid w:val="00BC3100"/>
    <w:rsid w:val="00C04BC9"/>
    <w:rsid w:val="00C340A6"/>
    <w:rsid w:val="00C452AF"/>
    <w:rsid w:val="00C70B49"/>
    <w:rsid w:val="00C75EDE"/>
    <w:rsid w:val="00CB2642"/>
    <w:rsid w:val="00CC4593"/>
    <w:rsid w:val="00D42342"/>
    <w:rsid w:val="00D64F24"/>
    <w:rsid w:val="00D92F6C"/>
    <w:rsid w:val="00DA520F"/>
    <w:rsid w:val="00DC0314"/>
    <w:rsid w:val="00DC6307"/>
    <w:rsid w:val="00DD1536"/>
    <w:rsid w:val="00DE6927"/>
    <w:rsid w:val="00DE7292"/>
    <w:rsid w:val="00E1323E"/>
    <w:rsid w:val="00E254E0"/>
    <w:rsid w:val="00E57051"/>
    <w:rsid w:val="00E607F2"/>
    <w:rsid w:val="00E91B38"/>
    <w:rsid w:val="00EA3C43"/>
    <w:rsid w:val="00EB33BA"/>
    <w:rsid w:val="00EB369A"/>
    <w:rsid w:val="00EB511A"/>
    <w:rsid w:val="00EF4007"/>
    <w:rsid w:val="00F012C4"/>
    <w:rsid w:val="00F16D0F"/>
    <w:rsid w:val="00F238FA"/>
    <w:rsid w:val="00F611BB"/>
    <w:rsid w:val="00FB419A"/>
    <w:rsid w:val="00FB65A7"/>
    <w:rsid w:val="00FB6A8A"/>
  </w:rsids>
  <m:mathPr>
    <m:mathFont m:val="Cambria Math"/>
    <m:brkBin m:val="before"/>
    <m:brkBinSub m:val="--"/>
    <m:smallFrac m:val="0"/>
    <m:dispDef/>
    <m:lMargin m:val="0"/>
    <m:rMargin m:val="0"/>
    <m:defJc m:val="centerGroup"/>
    <m:wrapIndent m:val="1440"/>
    <m:intLim m:val="subSup"/>
    <m:naryLim m:val="undOvr"/>
  </m:mathPr>
  <w:themeFontLang w:val="fr-BE"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E07CA"/>
  <w15:docId w15:val="{3A6EFFB9-167E-429B-B610-B10EE2D18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100"/>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lang w:val="x-none" w:eastAsia="x-none"/>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val="x-none"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val="x-none"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1434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3430"/>
    <w:rPr>
      <w:rFonts w:ascii="Segoe UI" w:eastAsia="Times New Roman" w:hAnsi="Segoe UI" w:cs="Segoe UI"/>
      <w:sz w:val="18"/>
      <w:szCs w:val="18"/>
      <w:lang w:val="en-GB" w:eastAsia="en-GB"/>
    </w:rPr>
  </w:style>
  <w:style w:type="character" w:styleId="Hyperlink">
    <w:name w:val="Hyperlink"/>
    <w:basedOn w:val="DefaultParagraphFont"/>
    <w:uiPriority w:val="99"/>
    <w:unhideWhenUsed/>
    <w:rsid w:val="008C4591"/>
    <w:rPr>
      <w:color w:val="0563C1" w:themeColor="hyperlink"/>
      <w:u w:val="single"/>
    </w:rPr>
  </w:style>
  <w:style w:type="character" w:customStyle="1" w:styleId="UnresolvedMention1">
    <w:name w:val="Unresolved Mention1"/>
    <w:basedOn w:val="DefaultParagraphFont"/>
    <w:uiPriority w:val="99"/>
    <w:semiHidden/>
    <w:unhideWhenUsed/>
    <w:rsid w:val="008C4591"/>
    <w:rPr>
      <w:color w:val="605E5C"/>
      <w:shd w:val="clear" w:color="auto" w:fill="E1DFDD"/>
    </w:rPr>
  </w:style>
  <w:style w:type="character" w:styleId="CommentReference">
    <w:name w:val="annotation reference"/>
    <w:basedOn w:val="DefaultParagraphFont"/>
    <w:uiPriority w:val="99"/>
    <w:semiHidden/>
    <w:unhideWhenUsed/>
    <w:rsid w:val="002105BB"/>
    <w:rPr>
      <w:sz w:val="16"/>
      <w:szCs w:val="16"/>
    </w:rPr>
  </w:style>
  <w:style w:type="paragraph" w:styleId="CommentText">
    <w:name w:val="annotation text"/>
    <w:basedOn w:val="Normal"/>
    <w:link w:val="CommentTextChar"/>
    <w:uiPriority w:val="99"/>
    <w:semiHidden/>
    <w:unhideWhenUsed/>
    <w:rsid w:val="002105BB"/>
    <w:pPr>
      <w:spacing w:line="240" w:lineRule="auto"/>
    </w:pPr>
    <w:rPr>
      <w:sz w:val="20"/>
      <w:szCs w:val="20"/>
    </w:rPr>
  </w:style>
  <w:style w:type="character" w:customStyle="1" w:styleId="CommentTextChar">
    <w:name w:val="Comment Text Char"/>
    <w:basedOn w:val="DefaultParagraphFont"/>
    <w:link w:val="CommentText"/>
    <w:uiPriority w:val="99"/>
    <w:semiHidden/>
    <w:rsid w:val="002105BB"/>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2105BB"/>
    <w:rPr>
      <w:b/>
      <w:bCs/>
    </w:rPr>
  </w:style>
  <w:style w:type="character" w:customStyle="1" w:styleId="CommentSubjectChar">
    <w:name w:val="Comment Subject Char"/>
    <w:basedOn w:val="CommentTextChar"/>
    <w:link w:val="CommentSubject"/>
    <w:uiPriority w:val="99"/>
    <w:semiHidden/>
    <w:rsid w:val="002105BB"/>
    <w:rPr>
      <w:rFonts w:ascii="Calibri" w:eastAsia="Times New Roman" w:hAnsi="Calibri" w:cs="Times New Roman"/>
      <w:b/>
      <w:bCs/>
      <w:sz w:val="20"/>
      <w:szCs w:val="20"/>
      <w:lang w:val="en-GB" w:eastAsia="en-GB"/>
    </w:rPr>
  </w:style>
  <w:style w:type="paragraph" w:customStyle="1" w:styleId="Style2">
    <w:name w:val="Style2"/>
    <w:basedOn w:val="Normal"/>
    <w:link w:val="Style2Char"/>
    <w:qFormat/>
    <w:rsid w:val="00AB3E8C"/>
    <w:pPr>
      <w:keepNext/>
      <w:autoSpaceDE w:val="0"/>
      <w:autoSpaceDN w:val="0"/>
      <w:adjustRightInd w:val="0"/>
      <w:ind w:left="360" w:hanging="360"/>
    </w:pPr>
    <w:rPr>
      <w:rFonts w:ascii="Arial" w:hAnsi="Arial"/>
      <w:b/>
      <w:bCs/>
      <w:caps/>
      <w:sz w:val="24"/>
      <w:szCs w:val="24"/>
      <w:lang w:val="x-none" w:eastAsia="x-none"/>
    </w:rPr>
  </w:style>
  <w:style w:type="character" w:customStyle="1" w:styleId="Style2Char">
    <w:name w:val="Style2 Char"/>
    <w:link w:val="Style2"/>
    <w:rsid w:val="00AB3E8C"/>
    <w:rPr>
      <w:rFonts w:ascii="Arial" w:eastAsia="Times New Roman" w:hAnsi="Arial" w:cs="Times New Roman"/>
      <w:b/>
      <w:bCs/>
      <w:cap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7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3D5E2-E8A8-4F39-B7CE-A2CE836F0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3503</Words>
  <Characters>11948</Characters>
  <Application>Microsoft Office Word</Application>
  <DocSecurity>0</DocSecurity>
  <Lines>2987</Lines>
  <Paragraphs>2575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European Commission</Company>
  <LinksUpToDate>false</LinksUpToDate>
  <CharactersWithSpaces>12876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SAVIOLO Andrea (NEAR)</dc:creator>
  <cp:lastModifiedBy>DELEVA Margarita (EEAS-SKOPJE)</cp:lastModifiedBy>
  <cp:revision>3</cp:revision>
  <dcterms:created xsi:type="dcterms:W3CDTF">2020-07-07T15:04:00Z</dcterms:created>
  <dcterms:modified xsi:type="dcterms:W3CDTF">2020-10-05T11:50:00Z</dcterms:modified>
</cp:coreProperties>
</file>