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F6C" w:rsidRPr="0028116E" w:rsidRDefault="00B10991" w:rsidP="00D92F6C">
      <w:pPr>
        <w:pStyle w:val="Heading2"/>
        <w:rPr>
          <w:rFonts w:ascii="Times New Roman" w:hAnsi="Times New Roman"/>
          <w:b w:val="0"/>
          <w:bCs w:val="0"/>
          <w:smallCaps/>
          <w:sz w:val="28"/>
          <w:szCs w:val="28"/>
        </w:rPr>
      </w:pPr>
      <w:bookmarkStart w:id="0" w:name="_Toc33714665"/>
      <w:r w:rsidRPr="001505CF">
        <w:rPr>
          <w:rFonts w:ascii="Times New Roman" w:hAnsi="Times New Roman"/>
          <w:smallCaps/>
          <w:color w:val="auto"/>
          <w:sz w:val="28"/>
          <w:szCs w:val="28"/>
          <w:lang w:val="fr-BE"/>
        </w:rPr>
        <w:t>ANNEX I –</w:t>
      </w:r>
      <w:r w:rsidR="00D92F6C" w:rsidRPr="001505CF">
        <w:rPr>
          <w:rFonts w:ascii="Times New Roman" w:hAnsi="Times New Roman"/>
          <w:smallCaps/>
          <w:color w:val="auto"/>
          <w:sz w:val="28"/>
          <w:szCs w:val="28"/>
          <w:lang w:val="fr-BE"/>
        </w:rPr>
        <w:t xml:space="preserve"> </w:t>
      </w:r>
      <w:r w:rsidRPr="001505CF">
        <w:rPr>
          <w:rFonts w:ascii="Times New Roman" w:hAnsi="Times New Roman"/>
          <w:smallCaps/>
          <w:color w:val="auto"/>
          <w:sz w:val="28"/>
          <w:szCs w:val="28"/>
          <w:lang w:val="fr-BE"/>
        </w:rPr>
        <w:t xml:space="preserve">IPA III </w:t>
      </w:r>
      <w:r w:rsidR="00D92F6C" w:rsidRPr="001505CF">
        <w:rPr>
          <w:rFonts w:ascii="Times New Roman" w:hAnsi="Times New Roman"/>
          <w:smallCaps/>
          <w:color w:val="auto"/>
          <w:sz w:val="28"/>
          <w:szCs w:val="28"/>
          <w:lang w:val="fr-BE"/>
        </w:rPr>
        <w:t>A</w:t>
      </w:r>
      <w:r w:rsidRPr="001505CF">
        <w:rPr>
          <w:rFonts w:ascii="Times New Roman" w:hAnsi="Times New Roman"/>
          <w:smallCaps/>
          <w:color w:val="auto"/>
          <w:sz w:val="28"/>
          <w:szCs w:val="28"/>
          <w:lang w:val="fr-BE"/>
        </w:rPr>
        <w:t xml:space="preserve">ction Fiche </w:t>
      </w:r>
      <w:bookmarkEnd w:id="0"/>
    </w:p>
    <w:p w:rsidR="00D92F6C" w:rsidRPr="001505CF" w:rsidRDefault="00D92F6C" w:rsidP="00D92F6C">
      <w:pPr>
        <w:keepNext/>
        <w:keepLines/>
        <w:spacing w:before="200" w:after="0"/>
        <w:outlineLvl w:val="1"/>
        <w:rPr>
          <w:rFonts w:ascii="Times New Roman" w:hAnsi="Times New Roman"/>
          <w:b/>
          <w:bCs/>
          <w:smallCaps/>
          <w:sz w:val="24"/>
          <w:szCs w:val="24"/>
          <w:lang w:val="fr-BE"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28116E" w:rsidTr="008B302D">
        <w:trPr>
          <w:jc w:val="center"/>
        </w:trPr>
        <w:tc>
          <w:tcPr>
            <w:tcW w:w="534" w:type="dxa"/>
            <w:tcBorders>
              <w:top w:val="single" w:sz="4" w:space="0" w:color="auto"/>
              <w:left w:val="single" w:sz="4" w:space="0" w:color="auto"/>
              <w:bottom w:val="single" w:sz="4" w:space="0" w:color="auto"/>
              <w:right w:val="single" w:sz="4" w:space="0" w:color="auto"/>
            </w:tcBorders>
          </w:tcPr>
          <w:p w:rsidR="00D92F6C" w:rsidRPr="001505CF" w:rsidRDefault="00D92F6C" w:rsidP="008B302D">
            <w:pPr>
              <w:spacing w:after="0" w:line="240" w:lineRule="auto"/>
              <w:rPr>
                <w:rFonts w:ascii="Times New Roman" w:hAnsi="Times New Roman"/>
                <w:b/>
                <w:sz w:val="24"/>
                <w:szCs w:val="24"/>
                <w:lang w:val="fr-BE"/>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D92F6C" w:rsidP="008B302D">
            <w:pPr>
              <w:spacing w:after="0" w:line="240" w:lineRule="auto"/>
              <w:rPr>
                <w:rFonts w:ascii="Times New Roman" w:hAnsi="Times New Roman"/>
                <w:sz w:val="24"/>
                <w:szCs w:val="24"/>
              </w:rPr>
            </w:pPr>
            <w:r w:rsidRPr="0028116E">
              <w:rPr>
                <w:rFonts w:ascii="Times New Roman" w:hAnsi="Times New Roman"/>
                <w:sz w:val="24"/>
                <w:szCs w:val="24"/>
              </w:rPr>
              <w:t>Indicative title of the Action</w:t>
            </w:r>
          </w:p>
          <w:p w:rsidR="00D92F6C" w:rsidRPr="0028116E" w:rsidRDefault="00D92F6C" w:rsidP="008B302D">
            <w:pPr>
              <w:spacing w:after="0" w:line="240" w:lineRule="auto"/>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985322" w:rsidP="008B302D">
            <w:pPr>
              <w:spacing w:after="0" w:line="240" w:lineRule="auto"/>
              <w:rPr>
                <w:rFonts w:ascii="Times New Roman" w:hAnsi="Times New Roman"/>
                <w:b/>
                <w:bCs/>
                <w:sz w:val="24"/>
                <w:szCs w:val="24"/>
              </w:rPr>
            </w:pPr>
            <w:r w:rsidRPr="0028116E">
              <w:rPr>
                <w:rFonts w:ascii="Times New Roman" w:hAnsi="Times New Roman"/>
                <w:b/>
                <w:color w:val="000000"/>
                <w:sz w:val="24"/>
                <w:szCs w:val="24"/>
              </w:rPr>
              <w:t>EU for modern waste water systems</w:t>
            </w:r>
          </w:p>
        </w:tc>
      </w:tr>
      <w:tr w:rsidR="00D92F6C" w:rsidRPr="0028116E" w:rsidTr="008B302D">
        <w:trPr>
          <w:jc w:val="center"/>
        </w:trPr>
        <w:tc>
          <w:tcPr>
            <w:tcW w:w="534" w:type="dxa"/>
            <w:vMerge w:val="restart"/>
            <w:tcBorders>
              <w:top w:val="single" w:sz="4" w:space="0" w:color="auto"/>
              <w:left w:val="single" w:sz="4" w:space="0" w:color="auto"/>
              <w:right w:val="single" w:sz="4" w:space="0" w:color="auto"/>
            </w:tcBorders>
            <w:textDirection w:val="btLr"/>
          </w:tcPr>
          <w:p w:rsidR="00D92F6C" w:rsidRPr="0028116E" w:rsidRDefault="00D92F6C" w:rsidP="008B302D">
            <w:pPr>
              <w:spacing w:after="0" w:line="240" w:lineRule="auto"/>
              <w:ind w:left="113" w:right="113"/>
              <w:rPr>
                <w:rFonts w:ascii="Times New Roman" w:hAnsi="Times New Roman"/>
                <w:sz w:val="24"/>
                <w:szCs w:val="24"/>
              </w:rPr>
            </w:pPr>
            <w:r w:rsidRPr="0028116E">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D92F6C" w:rsidP="008B302D">
            <w:pPr>
              <w:spacing w:after="0" w:line="240" w:lineRule="auto"/>
              <w:rPr>
                <w:rFonts w:ascii="Times New Roman" w:hAnsi="Times New Roman"/>
                <w:sz w:val="24"/>
                <w:szCs w:val="24"/>
              </w:rPr>
            </w:pPr>
            <w:r w:rsidRPr="0028116E">
              <w:rPr>
                <w:rFonts w:ascii="Times New Roman" w:hAnsi="Times New Roman"/>
                <w:sz w:val="24"/>
                <w:szCs w:val="24"/>
              </w:rPr>
              <w:t>Key thematic priority</w:t>
            </w:r>
          </w:p>
          <w:p w:rsidR="00D92F6C" w:rsidRPr="0028116E" w:rsidRDefault="00D92F6C" w:rsidP="008B302D">
            <w:pPr>
              <w:spacing w:after="0" w:line="240" w:lineRule="auto"/>
              <w:rPr>
                <w:rFonts w:ascii="Times New Roman" w:hAnsi="Times New Roman"/>
                <w:i/>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28116E" w:rsidP="0028116E">
            <w:pPr>
              <w:spacing w:after="0" w:line="240" w:lineRule="auto"/>
              <w:rPr>
                <w:rFonts w:ascii="Times New Roman" w:hAnsi="Times New Roman"/>
                <w:bCs/>
                <w:sz w:val="24"/>
                <w:szCs w:val="24"/>
              </w:rPr>
            </w:pPr>
            <w:r w:rsidRPr="0028116E">
              <w:rPr>
                <w:rFonts w:ascii="Times New Roman" w:eastAsia="Arial Unicode MS" w:hAnsi="Times New Roman"/>
                <w:b/>
                <w:bCs/>
                <w:i/>
                <w:iCs/>
                <w:sz w:val="24"/>
                <w:szCs w:val="24"/>
              </w:rPr>
              <w:t>Environment and climate change</w:t>
            </w:r>
          </w:p>
        </w:tc>
      </w:tr>
      <w:tr w:rsidR="00D92F6C" w:rsidRPr="0028116E" w:rsidTr="008B302D">
        <w:trPr>
          <w:jc w:val="center"/>
        </w:trPr>
        <w:tc>
          <w:tcPr>
            <w:tcW w:w="534" w:type="dxa"/>
            <w:vMerge/>
            <w:tcBorders>
              <w:left w:val="single" w:sz="4" w:space="0" w:color="auto"/>
              <w:right w:val="single" w:sz="4" w:space="0" w:color="auto"/>
            </w:tcBorders>
          </w:tcPr>
          <w:p w:rsidR="00D92F6C" w:rsidRPr="0028116E"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D92F6C" w:rsidP="008B302D">
            <w:pPr>
              <w:spacing w:after="0"/>
              <w:rPr>
                <w:rFonts w:ascii="Times New Roman" w:hAnsi="Times New Roman"/>
                <w:sz w:val="24"/>
                <w:szCs w:val="24"/>
              </w:rPr>
            </w:pPr>
            <w:r w:rsidRPr="0028116E">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442A1A" w:rsidRPr="0028116E" w:rsidRDefault="00765A23" w:rsidP="00442A1A">
            <w:pPr>
              <w:jc w:val="both"/>
              <w:rPr>
                <w:rFonts w:ascii="Times New Roman" w:hAnsi="Times New Roman"/>
                <w:sz w:val="24"/>
                <w:szCs w:val="24"/>
              </w:rPr>
            </w:pPr>
            <w:r w:rsidRPr="0028116E">
              <w:rPr>
                <w:rFonts w:ascii="Times New Roman" w:hAnsi="Times New Roman"/>
                <w:sz w:val="24"/>
                <w:szCs w:val="24"/>
              </w:rPr>
              <w:t>The proposed a</w:t>
            </w:r>
            <w:r w:rsidR="00442A1A" w:rsidRPr="0028116E">
              <w:rPr>
                <w:rFonts w:ascii="Times New Roman" w:hAnsi="Times New Roman"/>
                <w:sz w:val="24"/>
                <w:szCs w:val="24"/>
              </w:rPr>
              <w:t xml:space="preserve">ction will </w:t>
            </w:r>
            <w:r w:rsidR="0028116E" w:rsidRPr="0028116E">
              <w:rPr>
                <w:rFonts w:ascii="Times New Roman" w:eastAsia="Arial Unicode MS" w:hAnsi="Times New Roman"/>
                <w:bCs/>
                <w:iCs/>
                <w:sz w:val="24"/>
                <w:szCs w:val="24"/>
              </w:rPr>
              <w:t xml:space="preserve">optimise water cycle and to reduce the impact of solid waste on </w:t>
            </w:r>
            <w:proofErr w:type="gramStart"/>
            <w:r w:rsidR="0028116E" w:rsidRPr="0028116E">
              <w:rPr>
                <w:rFonts w:ascii="Times New Roman" w:eastAsia="Arial Unicode MS" w:hAnsi="Times New Roman"/>
                <w:bCs/>
                <w:iCs/>
                <w:sz w:val="24"/>
                <w:szCs w:val="24"/>
              </w:rPr>
              <w:t>environment ,</w:t>
            </w:r>
            <w:proofErr w:type="gramEnd"/>
            <w:r w:rsidR="0028116E" w:rsidRPr="0028116E">
              <w:rPr>
                <w:rFonts w:ascii="Times New Roman" w:eastAsia="Arial Unicode MS" w:hAnsi="Times New Roman"/>
                <w:bCs/>
                <w:iCs/>
                <w:sz w:val="24"/>
                <w:szCs w:val="24"/>
              </w:rPr>
              <w:t xml:space="preserve"> thus </w:t>
            </w:r>
            <w:r w:rsidR="00442A1A" w:rsidRPr="0028116E">
              <w:rPr>
                <w:rFonts w:ascii="Times New Roman" w:hAnsi="Times New Roman"/>
                <w:sz w:val="24"/>
                <w:szCs w:val="24"/>
              </w:rPr>
              <w:t>contribut</w:t>
            </w:r>
            <w:r w:rsidR="0028116E" w:rsidRPr="0028116E">
              <w:rPr>
                <w:rFonts w:ascii="Times New Roman" w:hAnsi="Times New Roman"/>
                <w:sz w:val="24"/>
                <w:szCs w:val="24"/>
              </w:rPr>
              <w:t xml:space="preserve">ing </w:t>
            </w:r>
            <w:r w:rsidR="00442A1A" w:rsidRPr="0028116E">
              <w:rPr>
                <w:rFonts w:ascii="Times New Roman" w:hAnsi="Times New Roman"/>
                <w:sz w:val="24"/>
                <w:szCs w:val="24"/>
              </w:rPr>
              <w:t xml:space="preserve">to the implementation of the EU acquis under </w:t>
            </w:r>
            <w:r w:rsidRPr="0028116E">
              <w:rPr>
                <w:rFonts w:ascii="Times New Roman" w:hAnsi="Times New Roman"/>
                <w:sz w:val="24"/>
                <w:szCs w:val="24"/>
              </w:rPr>
              <w:t>Chapter 27. In particular, the a</w:t>
            </w:r>
            <w:r w:rsidR="00442A1A" w:rsidRPr="0028116E">
              <w:rPr>
                <w:rFonts w:ascii="Times New Roman" w:hAnsi="Times New Roman"/>
                <w:sz w:val="24"/>
                <w:szCs w:val="24"/>
              </w:rPr>
              <w:t>ction will contribute to the implementation of the Urban Waste Water Treatment Directive 91/271/EEC. The reform process in the water sector started in 2016 with the adoption of the “Law on the Setting of Prices for Water Services”. The new water tariff that includes the principles of cost-recovery and "polluters pay" increased the sustainability of water investment projects.</w:t>
            </w:r>
          </w:p>
          <w:p w:rsidR="002B151B" w:rsidRPr="0028116E" w:rsidRDefault="00442A1A" w:rsidP="0028116E">
            <w:pPr>
              <w:jc w:val="both"/>
              <w:rPr>
                <w:rFonts w:ascii="Times New Roman" w:hAnsi="Times New Roman"/>
                <w:i/>
                <w:iCs/>
                <w:sz w:val="24"/>
                <w:szCs w:val="24"/>
              </w:rPr>
            </w:pPr>
            <w:r w:rsidRPr="0028116E">
              <w:rPr>
                <w:rFonts w:ascii="Times New Roman" w:hAnsi="Times New Roman"/>
                <w:sz w:val="24"/>
                <w:szCs w:val="24"/>
              </w:rPr>
              <w:t>The progress made in the water sub-sector is a subject of assessment through the Annual Progress Report (Enlargement Package, Chapter 27). The latest Communication on EU Enlargement Policy in Chapter 27 mentions that the country need</w:t>
            </w:r>
            <w:r w:rsidRPr="0028116E">
              <w:rPr>
                <w:rFonts w:ascii="Times New Roman" w:hAnsi="Times New Roman"/>
                <w:i/>
                <w:sz w:val="24"/>
                <w:szCs w:val="24"/>
              </w:rPr>
              <w:t xml:space="preserve"> </w:t>
            </w:r>
            <w:r w:rsidRPr="0028116E">
              <w:rPr>
                <w:rFonts w:ascii="Times New Roman" w:hAnsi="Times New Roman"/>
                <w:sz w:val="24"/>
                <w:szCs w:val="24"/>
              </w:rPr>
              <w:t xml:space="preserve">significant efforts to further align legislation with the </w:t>
            </w:r>
            <w:r w:rsidRPr="0028116E">
              <w:rPr>
                <w:rFonts w:ascii="Times New Roman" w:hAnsi="Times New Roman"/>
                <w:i/>
                <w:iCs/>
                <w:sz w:val="24"/>
                <w:szCs w:val="24"/>
              </w:rPr>
              <w:t xml:space="preserve">acquis </w:t>
            </w:r>
            <w:r w:rsidRPr="0028116E">
              <w:rPr>
                <w:rFonts w:ascii="Times New Roman" w:hAnsi="Times New Roman"/>
                <w:sz w:val="24"/>
                <w:szCs w:val="24"/>
              </w:rPr>
              <w:t>in the water sector</w:t>
            </w:r>
            <w:r w:rsidRPr="0028116E">
              <w:rPr>
                <w:rFonts w:ascii="Times New Roman" w:hAnsi="Times New Roman"/>
                <w:i/>
                <w:iCs/>
                <w:sz w:val="24"/>
                <w:szCs w:val="24"/>
              </w:rPr>
              <w:t xml:space="preserve">. </w:t>
            </w:r>
          </w:p>
        </w:tc>
      </w:tr>
      <w:tr w:rsidR="00D92F6C" w:rsidRPr="0028116E" w:rsidTr="008B302D">
        <w:trPr>
          <w:jc w:val="center"/>
        </w:trPr>
        <w:tc>
          <w:tcPr>
            <w:tcW w:w="534" w:type="dxa"/>
            <w:vMerge/>
            <w:tcBorders>
              <w:left w:val="single" w:sz="4" w:space="0" w:color="auto"/>
              <w:right w:val="single" w:sz="4" w:space="0" w:color="auto"/>
            </w:tcBorders>
          </w:tcPr>
          <w:p w:rsidR="00D92F6C" w:rsidRPr="0028116E"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D92F6C" w:rsidP="008B302D">
            <w:pPr>
              <w:spacing w:after="0"/>
              <w:rPr>
                <w:rFonts w:ascii="Times New Roman" w:hAnsi="Times New Roman"/>
                <w:sz w:val="24"/>
                <w:szCs w:val="24"/>
              </w:rPr>
            </w:pPr>
            <w:r w:rsidRPr="0028116E">
              <w:rPr>
                <w:rFonts w:ascii="Times New Roman" w:hAnsi="Times New Roman"/>
                <w:sz w:val="24"/>
                <w:szCs w:val="24"/>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352DE" w:rsidRPr="0028116E" w:rsidRDefault="00442A1A" w:rsidP="008B302D">
            <w:pPr>
              <w:spacing w:after="120" w:line="240" w:lineRule="auto"/>
              <w:jc w:val="both"/>
              <w:rPr>
                <w:rFonts w:ascii="Times New Roman" w:hAnsi="Times New Roman"/>
                <w:sz w:val="24"/>
                <w:szCs w:val="24"/>
              </w:rPr>
            </w:pPr>
            <w:r w:rsidRPr="0028116E">
              <w:rPr>
                <w:rFonts w:ascii="Times New Roman" w:hAnsi="Times New Roman"/>
                <w:sz w:val="24"/>
                <w:szCs w:val="24"/>
              </w:rPr>
              <w:t xml:space="preserve">The proposed investment will contribute to implementation of the National Water Strategy 2012-2042. Namely, the action will implement the measures and actions envisaged under chapter 5.3 - Water Protection. This action is also consistent with National Environmental Investment Strategy, Second National Environment Plan and National Environment Approximation Strategy. </w:t>
            </w:r>
          </w:p>
          <w:p w:rsidR="009352DE" w:rsidRPr="0028116E" w:rsidRDefault="009352DE" w:rsidP="009352DE">
            <w:pPr>
              <w:spacing w:after="0" w:line="240" w:lineRule="auto"/>
              <w:jc w:val="both"/>
              <w:rPr>
                <w:rFonts w:ascii="Times New Roman" w:hAnsi="Times New Roman"/>
                <w:sz w:val="24"/>
                <w:szCs w:val="24"/>
              </w:rPr>
            </w:pPr>
            <w:r w:rsidRPr="0028116E">
              <w:rPr>
                <w:rFonts w:ascii="Times New Roman" w:hAnsi="Times New Roman"/>
                <w:sz w:val="24"/>
                <w:szCs w:val="24"/>
              </w:rPr>
              <w:t xml:space="preserve">The action will contribute to the objectives of the Green Agenda </w:t>
            </w:r>
            <w:r w:rsidR="00765A23" w:rsidRPr="0028116E">
              <w:rPr>
                <w:rFonts w:ascii="Times New Roman" w:hAnsi="Times New Roman"/>
                <w:sz w:val="24"/>
                <w:szCs w:val="24"/>
              </w:rPr>
              <w:t>for</w:t>
            </w:r>
            <w:r w:rsidRPr="0028116E">
              <w:rPr>
                <w:rFonts w:ascii="Times New Roman" w:hAnsi="Times New Roman"/>
                <w:sz w:val="24"/>
                <w:szCs w:val="24"/>
              </w:rPr>
              <w:t xml:space="preserve"> the Western Balkans by assisting the Country in reducing water pollution.</w:t>
            </w:r>
          </w:p>
          <w:p w:rsidR="00D92F6C" w:rsidRPr="0028116E" w:rsidRDefault="00D92F6C" w:rsidP="008B302D">
            <w:pPr>
              <w:spacing w:after="120" w:line="240" w:lineRule="auto"/>
              <w:jc w:val="both"/>
              <w:rPr>
                <w:rFonts w:ascii="Times New Roman" w:hAnsi="Times New Roman"/>
                <w:sz w:val="24"/>
                <w:szCs w:val="24"/>
              </w:rPr>
            </w:pPr>
          </w:p>
        </w:tc>
      </w:tr>
      <w:tr w:rsidR="00442A1A" w:rsidRPr="0028116E" w:rsidTr="008B302D">
        <w:trPr>
          <w:jc w:val="center"/>
        </w:trPr>
        <w:tc>
          <w:tcPr>
            <w:tcW w:w="534" w:type="dxa"/>
            <w:vMerge/>
            <w:tcBorders>
              <w:left w:val="single" w:sz="4" w:space="0" w:color="auto"/>
              <w:right w:val="single" w:sz="4" w:space="0" w:color="auto"/>
            </w:tcBorders>
          </w:tcPr>
          <w:p w:rsidR="00442A1A" w:rsidRPr="0028116E" w:rsidRDefault="00442A1A" w:rsidP="00442A1A">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42A1A" w:rsidRPr="0028116E" w:rsidRDefault="00442A1A" w:rsidP="00442A1A">
            <w:pPr>
              <w:rPr>
                <w:rFonts w:ascii="Times New Roman" w:hAnsi="Times New Roman"/>
                <w:sz w:val="24"/>
                <w:szCs w:val="24"/>
              </w:rPr>
            </w:pPr>
            <w:r w:rsidRPr="0028116E">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442A1A" w:rsidRPr="0028116E" w:rsidRDefault="00765A23" w:rsidP="00E15219">
            <w:pPr>
              <w:jc w:val="both"/>
              <w:rPr>
                <w:rFonts w:ascii="Times New Roman" w:hAnsi="Times New Roman"/>
                <w:sz w:val="24"/>
                <w:szCs w:val="24"/>
              </w:rPr>
            </w:pPr>
            <w:r w:rsidRPr="0028116E">
              <w:rPr>
                <w:rFonts w:ascii="Times New Roman" w:hAnsi="Times New Roman"/>
                <w:sz w:val="24"/>
                <w:szCs w:val="24"/>
              </w:rPr>
              <w:t>The a</w:t>
            </w:r>
            <w:r w:rsidR="00442A1A" w:rsidRPr="0028116E">
              <w:rPr>
                <w:rFonts w:ascii="Times New Roman" w:hAnsi="Times New Roman"/>
                <w:sz w:val="24"/>
                <w:szCs w:val="24"/>
              </w:rPr>
              <w:t xml:space="preserve">ction falls under the sector of environment and climate change. </w:t>
            </w:r>
          </w:p>
          <w:p w:rsidR="00442A1A" w:rsidRPr="0028116E" w:rsidRDefault="004A6099" w:rsidP="00E15219">
            <w:pPr>
              <w:jc w:val="both"/>
              <w:rPr>
                <w:rFonts w:ascii="Times New Roman" w:hAnsi="Times New Roman"/>
                <w:sz w:val="24"/>
                <w:szCs w:val="24"/>
              </w:rPr>
            </w:pPr>
            <w:r w:rsidRPr="0028116E">
              <w:rPr>
                <w:rFonts w:ascii="Times New Roman" w:hAnsi="Times New Roman"/>
                <w:iCs/>
                <w:sz w:val="24"/>
                <w:szCs w:val="24"/>
              </w:rPr>
              <w:t xml:space="preserve">Environment Sector has all the main basic elements of the Sector Approach.  Sector policy is guided by the Second National Environmental Plan, upon which other planning documents are built, including the Strategy for Environmental Investment, sectoral strategies (for water, waste, nature, air, environmental monitoring) and other planning documents at central and local levels. The sector of environment, i.e. Chapter 27, is one of the most complex chapters requiring strong efforts for coordination, investments and great responsibilities of administrations at central and local level. The </w:t>
            </w:r>
            <w:r w:rsidRPr="0028116E">
              <w:rPr>
                <w:rFonts w:ascii="Times New Roman" w:hAnsi="Times New Roman"/>
                <w:iCs/>
                <w:sz w:val="24"/>
                <w:szCs w:val="24"/>
              </w:rPr>
              <w:lastRenderedPageBreak/>
              <w:t xml:space="preserve">Ministry of Environment and Physical Planning is the lead institution in terms of approximation of the environmental acquis across the sector, and leads preparatory activities for negotiation of Chapter 27. </w:t>
            </w:r>
            <w:proofErr w:type="gramStart"/>
            <w:r w:rsidRPr="0028116E">
              <w:rPr>
                <w:rFonts w:ascii="Times New Roman" w:hAnsi="Times New Roman"/>
                <w:iCs/>
                <w:sz w:val="24"/>
                <w:szCs w:val="24"/>
              </w:rPr>
              <w:t>The Ministry is also responsible for overall coordination of assistance to the environmental sector and is committed to further strengthening this function, by establishing a Sector Working Group for Environment and Climate aimed at strengthening inter-institutional cooperation and ensuring efficient coordination of activities related to programming and monitoring of EU funds, other bilateral and multilateral assistance, and proposing relevant measures and activities in environment and climate sectors</w:t>
            </w:r>
            <w:r w:rsidR="00E15219" w:rsidRPr="0028116E">
              <w:rPr>
                <w:rFonts w:ascii="Times New Roman" w:hAnsi="Times New Roman"/>
                <w:sz w:val="24"/>
                <w:szCs w:val="24"/>
              </w:rPr>
              <w:t>.</w:t>
            </w:r>
            <w:proofErr w:type="gramEnd"/>
            <w:r w:rsidR="00E15219" w:rsidRPr="0028116E">
              <w:rPr>
                <w:rFonts w:ascii="Times New Roman" w:hAnsi="Times New Roman"/>
                <w:sz w:val="24"/>
                <w:szCs w:val="24"/>
              </w:rPr>
              <w:t xml:space="preserve"> </w:t>
            </w:r>
            <w:r w:rsidR="00442A1A" w:rsidRPr="0028116E">
              <w:rPr>
                <w:rFonts w:ascii="Times New Roman" w:hAnsi="Times New Roman"/>
                <w:sz w:val="24"/>
                <w:szCs w:val="24"/>
              </w:rPr>
              <w:t xml:space="preserve">The public dialogue </w:t>
            </w:r>
            <w:proofErr w:type="gramStart"/>
            <w:r w:rsidR="00442A1A" w:rsidRPr="0028116E">
              <w:rPr>
                <w:rFonts w:ascii="Times New Roman" w:hAnsi="Times New Roman"/>
                <w:sz w:val="24"/>
                <w:szCs w:val="24"/>
              </w:rPr>
              <w:t xml:space="preserve">is </w:t>
            </w:r>
            <w:r w:rsidRPr="0028116E">
              <w:rPr>
                <w:rFonts w:ascii="Times New Roman" w:hAnsi="Times New Roman"/>
                <w:sz w:val="24"/>
                <w:szCs w:val="24"/>
              </w:rPr>
              <w:t>focused</w:t>
            </w:r>
            <w:proofErr w:type="gramEnd"/>
            <w:r w:rsidRPr="0028116E">
              <w:rPr>
                <w:rFonts w:ascii="Times New Roman" w:hAnsi="Times New Roman"/>
                <w:sz w:val="24"/>
                <w:szCs w:val="24"/>
              </w:rPr>
              <w:t xml:space="preserve"> </w:t>
            </w:r>
            <w:r w:rsidR="00442A1A" w:rsidRPr="0028116E">
              <w:rPr>
                <w:rFonts w:ascii="Times New Roman" w:hAnsi="Times New Roman"/>
                <w:sz w:val="24"/>
                <w:szCs w:val="24"/>
              </w:rPr>
              <w:t>on the definition and implementation of the country's sector priorities.</w:t>
            </w:r>
          </w:p>
          <w:p w:rsidR="00442A1A" w:rsidRPr="0028116E" w:rsidRDefault="00442A1A" w:rsidP="00E15219">
            <w:pPr>
              <w:jc w:val="both"/>
              <w:rPr>
                <w:rFonts w:ascii="Times New Roman" w:hAnsi="Times New Roman"/>
                <w:sz w:val="24"/>
                <w:szCs w:val="24"/>
              </w:rPr>
            </w:pPr>
            <w:r w:rsidRPr="0028116E">
              <w:rPr>
                <w:rFonts w:ascii="Times New Roman" w:hAnsi="Times New Roman"/>
                <w:sz w:val="24"/>
                <w:szCs w:val="24"/>
              </w:rPr>
              <w:t xml:space="preserve">The sector policy budgeting needs improvement. North Macedonia does not yet benefit from a robust medium-term expenditure framework to anchor the costs for the major reforms and ensure their credibility. The ongoing PFM reform programme </w:t>
            </w:r>
            <w:proofErr w:type="gramStart"/>
            <w:r w:rsidRPr="0028116E">
              <w:rPr>
                <w:rFonts w:ascii="Times New Roman" w:hAnsi="Times New Roman"/>
                <w:sz w:val="24"/>
                <w:szCs w:val="24"/>
              </w:rPr>
              <w:t>is expected</w:t>
            </w:r>
            <w:proofErr w:type="gramEnd"/>
            <w:r w:rsidRPr="0028116E">
              <w:rPr>
                <w:rFonts w:ascii="Times New Roman" w:hAnsi="Times New Roman"/>
                <w:sz w:val="24"/>
                <w:szCs w:val="24"/>
              </w:rPr>
              <w:t xml:space="preserve"> to address this issue through the adoption of the new organic budget law. Significant IPA support </w:t>
            </w:r>
            <w:proofErr w:type="gramStart"/>
            <w:r w:rsidRPr="0028116E">
              <w:rPr>
                <w:rFonts w:ascii="Times New Roman" w:hAnsi="Times New Roman"/>
                <w:sz w:val="24"/>
                <w:szCs w:val="24"/>
              </w:rPr>
              <w:t>is already allocated</w:t>
            </w:r>
            <w:proofErr w:type="gramEnd"/>
            <w:r w:rsidRPr="0028116E">
              <w:rPr>
                <w:rFonts w:ascii="Times New Roman" w:hAnsi="Times New Roman"/>
                <w:sz w:val="24"/>
                <w:szCs w:val="24"/>
              </w:rPr>
              <w:t xml:space="preserve"> to support the country in this challenge. In the absence of a solid MTEF, the country has a quasi-programme for Environment to back up the sector policy objectives. The budget for environment is constantly increasing – 152% from 2015 to 2018, which is a sign of increasing state commitment to the established sector priorities.</w:t>
            </w:r>
          </w:p>
          <w:p w:rsidR="004A6099" w:rsidRPr="0028116E" w:rsidRDefault="004A6099" w:rsidP="0028116E">
            <w:pPr>
              <w:spacing w:after="0" w:line="240" w:lineRule="auto"/>
              <w:jc w:val="both"/>
              <w:rPr>
                <w:rFonts w:ascii="Times New Roman" w:hAnsi="Times New Roman"/>
                <w:sz w:val="24"/>
                <w:szCs w:val="24"/>
              </w:rPr>
            </w:pPr>
            <w:r w:rsidRPr="0028116E">
              <w:rPr>
                <w:rFonts w:ascii="Times New Roman" w:hAnsi="Times New Roman"/>
                <w:sz w:val="24"/>
                <w:szCs w:val="24"/>
              </w:rPr>
              <w:t>The single project pipeline for th</w:t>
            </w:r>
            <w:r w:rsidR="00E15219" w:rsidRPr="0028116E">
              <w:rPr>
                <w:rFonts w:ascii="Times New Roman" w:hAnsi="Times New Roman"/>
                <w:sz w:val="24"/>
                <w:szCs w:val="24"/>
              </w:rPr>
              <w:t xml:space="preserve">e environment sector </w:t>
            </w:r>
            <w:proofErr w:type="gramStart"/>
            <w:r w:rsidR="00E15219" w:rsidRPr="0028116E">
              <w:rPr>
                <w:rFonts w:ascii="Times New Roman" w:hAnsi="Times New Roman"/>
                <w:sz w:val="24"/>
                <w:szCs w:val="24"/>
              </w:rPr>
              <w:t xml:space="preserve">has </w:t>
            </w:r>
            <w:r w:rsidRPr="0028116E">
              <w:rPr>
                <w:rFonts w:ascii="Times New Roman" w:hAnsi="Times New Roman"/>
                <w:sz w:val="24"/>
                <w:szCs w:val="24"/>
              </w:rPr>
              <w:t>been established</w:t>
            </w:r>
            <w:proofErr w:type="gramEnd"/>
            <w:r w:rsidRPr="0028116E">
              <w:rPr>
                <w:rFonts w:ascii="Times New Roman" w:hAnsi="Times New Roman"/>
                <w:sz w:val="24"/>
                <w:szCs w:val="24"/>
              </w:rPr>
              <w:t xml:space="preserve"> and the investment infrastructures foreseen in this Acton are listed as mature environment priorities. </w:t>
            </w:r>
          </w:p>
        </w:tc>
      </w:tr>
      <w:tr w:rsidR="00D92F6C" w:rsidRPr="0028116E" w:rsidTr="008B302D">
        <w:trPr>
          <w:jc w:val="center"/>
        </w:trPr>
        <w:tc>
          <w:tcPr>
            <w:tcW w:w="534" w:type="dxa"/>
            <w:vMerge/>
            <w:tcBorders>
              <w:left w:val="single" w:sz="4" w:space="0" w:color="auto"/>
              <w:bottom w:val="single" w:sz="4" w:space="0" w:color="auto"/>
              <w:right w:val="single" w:sz="4" w:space="0" w:color="auto"/>
            </w:tcBorders>
          </w:tcPr>
          <w:p w:rsidR="00D92F6C" w:rsidRPr="0028116E" w:rsidRDefault="00D92F6C" w:rsidP="008B302D">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D92F6C" w:rsidP="008B302D">
            <w:pPr>
              <w:rPr>
                <w:rFonts w:ascii="Times New Roman" w:hAnsi="Times New Roman"/>
                <w:sz w:val="24"/>
                <w:szCs w:val="24"/>
              </w:rPr>
            </w:pPr>
            <w:r w:rsidRPr="0028116E">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D92F6C" w:rsidRPr="0028116E" w:rsidRDefault="0028116E" w:rsidP="0028116E">
            <w:pPr>
              <w:spacing w:after="0" w:line="240" w:lineRule="auto"/>
              <w:jc w:val="both"/>
              <w:rPr>
                <w:rFonts w:ascii="Times New Roman" w:hAnsi="Times New Roman"/>
                <w:sz w:val="24"/>
                <w:szCs w:val="24"/>
              </w:rPr>
            </w:pPr>
            <w:r w:rsidRPr="0028116E">
              <w:rPr>
                <w:rFonts w:ascii="Times New Roman" w:hAnsi="Times New Roman"/>
                <w:sz w:val="24"/>
                <w:szCs w:val="24"/>
                <w:lang w:eastAsia="en-US"/>
              </w:rPr>
              <w:t xml:space="preserve">The EU investments in </w:t>
            </w:r>
            <w:proofErr w:type="gramStart"/>
            <w:r w:rsidRPr="0028116E">
              <w:rPr>
                <w:rFonts w:ascii="Times New Roman" w:hAnsi="Times New Roman"/>
                <w:sz w:val="24"/>
                <w:szCs w:val="24"/>
                <w:lang w:eastAsia="en-US"/>
              </w:rPr>
              <w:t>waste water</w:t>
            </w:r>
            <w:proofErr w:type="gramEnd"/>
            <w:r w:rsidRPr="0028116E">
              <w:rPr>
                <w:rFonts w:ascii="Times New Roman" w:hAnsi="Times New Roman"/>
                <w:sz w:val="24"/>
                <w:szCs w:val="24"/>
                <w:lang w:eastAsia="en-US"/>
              </w:rPr>
              <w:t xml:space="preserve"> sector in North decreases substantially the pollution of </w:t>
            </w:r>
            <w:proofErr w:type="spellStart"/>
            <w:r w:rsidRPr="0028116E">
              <w:rPr>
                <w:rFonts w:ascii="Times New Roman" w:hAnsi="Times New Roman"/>
                <w:sz w:val="24"/>
                <w:szCs w:val="24"/>
                <w:lang w:eastAsia="en-US"/>
              </w:rPr>
              <w:t>Varder</w:t>
            </w:r>
            <w:proofErr w:type="spellEnd"/>
            <w:r w:rsidRPr="0028116E">
              <w:rPr>
                <w:rFonts w:ascii="Times New Roman" w:hAnsi="Times New Roman"/>
                <w:sz w:val="24"/>
                <w:szCs w:val="24"/>
                <w:lang w:eastAsia="en-US"/>
              </w:rPr>
              <w:t xml:space="preserve"> river</w:t>
            </w:r>
            <w:r w:rsidRPr="0028116E">
              <w:rPr>
                <w:rFonts w:ascii="Times New Roman" w:hAnsi="Times New Roman"/>
                <w:sz w:val="24"/>
                <w:szCs w:val="24"/>
              </w:rPr>
              <w:t xml:space="preserve"> basin, which represent two third of the North Macedonia territory and is an important part of the river capacity in North Greece as well. The Vardar river is the largest and most important river in North Macedonia, where it rises; </w:t>
            </w:r>
            <w:proofErr w:type="gramStart"/>
            <w:r w:rsidRPr="0028116E">
              <w:rPr>
                <w:rFonts w:ascii="Times New Roman" w:hAnsi="Times New Roman"/>
                <w:sz w:val="24"/>
                <w:szCs w:val="24"/>
              </w:rPr>
              <w:t>further</w:t>
            </w:r>
            <w:proofErr w:type="gramEnd"/>
            <w:r w:rsidRPr="0028116E">
              <w:rPr>
                <w:rFonts w:ascii="Times New Roman" w:hAnsi="Times New Roman"/>
                <w:sz w:val="24"/>
                <w:szCs w:val="24"/>
              </w:rPr>
              <w:t xml:space="preserve"> it crosses the Greek border and inflows into the Aegean Sea. The river </w:t>
            </w:r>
            <w:proofErr w:type="spellStart"/>
            <w:r w:rsidRPr="0028116E">
              <w:rPr>
                <w:rFonts w:ascii="Times New Roman" w:hAnsi="Times New Roman"/>
                <w:sz w:val="24"/>
                <w:szCs w:val="24"/>
              </w:rPr>
              <w:t>Bregalnica</w:t>
            </w:r>
            <w:proofErr w:type="spellEnd"/>
            <w:r w:rsidRPr="0028116E">
              <w:rPr>
                <w:rFonts w:ascii="Times New Roman" w:hAnsi="Times New Roman"/>
                <w:sz w:val="24"/>
                <w:szCs w:val="24"/>
              </w:rPr>
              <w:t xml:space="preserve"> is </w:t>
            </w:r>
            <w:r w:rsidRPr="0028116E">
              <w:rPr>
                <w:rFonts w:ascii="Times New Roman" w:hAnsi="Times New Roman"/>
                <w:sz w:val="24"/>
                <w:szCs w:val="24"/>
                <w:lang w:val="en"/>
              </w:rPr>
              <w:t xml:space="preserve">one of the major tributaries </w:t>
            </w:r>
            <w:r w:rsidRPr="0028116E">
              <w:rPr>
                <w:rFonts w:ascii="Times New Roman" w:hAnsi="Times New Roman"/>
                <w:sz w:val="24"/>
                <w:szCs w:val="24"/>
              </w:rPr>
              <w:t xml:space="preserve">of the river Vardar, presenting about 20% of the surface of the Aegean basin in the country. The wastewater generated in Skopje, Tetovo and Veles (gong to </w:t>
            </w:r>
            <w:proofErr w:type="spellStart"/>
            <w:r w:rsidRPr="0028116E">
              <w:rPr>
                <w:rFonts w:ascii="Times New Roman" w:hAnsi="Times New Roman"/>
                <w:sz w:val="24"/>
                <w:szCs w:val="24"/>
              </w:rPr>
              <w:t>Varder</w:t>
            </w:r>
            <w:proofErr w:type="spellEnd"/>
            <w:r w:rsidRPr="0028116E">
              <w:rPr>
                <w:rFonts w:ascii="Times New Roman" w:hAnsi="Times New Roman"/>
                <w:sz w:val="24"/>
                <w:szCs w:val="24"/>
              </w:rPr>
              <w:t xml:space="preserve"> river), in the municipalities of </w:t>
            </w:r>
            <w:proofErr w:type="spellStart"/>
            <w:r w:rsidRPr="0028116E">
              <w:rPr>
                <w:rFonts w:ascii="Times New Roman" w:hAnsi="Times New Roman"/>
                <w:sz w:val="24"/>
                <w:szCs w:val="24"/>
              </w:rPr>
              <w:t>Shtip</w:t>
            </w:r>
            <w:proofErr w:type="spellEnd"/>
            <w:r w:rsidRPr="0028116E">
              <w:rPr>
                <w:rFonts w:ascii="Times New Roman" w:hAnsi="Times New Roman"/>
                <w:sz w:val="24"/>
                <w:szCs w:val="24"/>
              </w:rPr>
              <w:t xml:space="preserve">, </w:t>
            </w:r>
            <w:proofErr w:type="spellStart"/>
            <w:r w:rsidRPr="0028116E">
              <w:rPr>
                <w:rFonts w:ascii="Times New Roman" w:hAnsi="Times New Roman"/>
                <w:sz w:val="24"/>
                <w:szCs w:val="24"/>
              </w:rPr>
              <w:t>Kocani</w:t>
            </w:r>
            <w:proofErr w:type="spellEnd"/>
            <w:r w:rsidRPr="0028116E">
              <w:rPr>
                <w:rFonts w:ascii="Times New Roman" w:hAnsi="Times New Roman"/>
                <w:sz w:val="24"/>
                <w:szCs w:val="24"/>
              </w:rPr>
              <w:t xml:space="preserve"> and </w:t>
            </w:r>
            <w:proofErr w:type="spellStart"/>
            <w:r w:rsidRPr="0028116E">
              <w:rPr>
                <w:rFonts w:ascii="Times New Roman" w:hAnsi="Times New Roman"/>
                <w:sz w:val="24"/>
                <w:szCs w:val="24"/>
              </w:rPr>
              <w:t>Vinica</w:t>
            </w:r>
            <w:proofErr w:type="spellEnd"/>
            <w:r w:rsidRPr="0028116E">
              <w:rPr>
                <w:rFonts w:ascii="Times New Roman" w:hAnsi="Times New Roman"/>
                <w:sz w:val="24"/>
                <w:szCs w:val="24"/>
              </w:rPr>
              <w:t xml:space="preserve"> (going to </w:t>
            </w:r>
            <w:proofErr w:type="spellStart"/>
            <w:r w:rsidRPr="0028116E">
              <w:rPr>
                <w:rFonts w:ascii="Times New Roman" w:hAnsi="Times New Roman"/>
                <w:sz w:val="24"/>
                <w:szCs w:val="24"/>
              </w:rPr>
              <w:t>Bregalnica</w:t>
            </w:r>
            <w:proofErr w:type="spellEnd"/>
            <w:r w:rsidRPr="0028116E">
              <w:rPr>
                <w:rFonts w:ascii="Times New Roman" w:hAnsi="Times New Roman"/>
                <w:sz w:val="24"/>
                <w:szCs w:val="24"/>
              </w:rPr>
              <w:t xml:space="preserve"> river) and Bitola (through </w:t>
            </w:r>
            <w:proofErr w:type="spellStart"/>
            <w:r w:rsidRPr="0028116E">
              <w:rPr>
                <w:rFonts w:ascii="Times New Roman" w:hAnsi="Times New Roman"/>
                <w:sz w:val="24"/>
                <w:szCs w:val="24"/>
              </w:rPr>
              <w:t>Dragor</w:t>
            </w:r>
            <w:proofErr w:type="spellEnd"/>
            <w:r w:rsidRPr="0028116E">
              <w:rPr>
                <w:rFonts w:ascii="Times New Roman" w:hAnsi="Times New Roman"/>
                <w:sz w:val="24"/>
                <w:szCs w:val="24"/>
              </w:rPr>
              <w:t xml:space="preserve"> and </w:t>
            </w:r>
            <w:proofErr w:type="spellStart"/>
            <w:r w:rsidRPr="0028116E">
              <w:rPr>
                <w:rFonts w:ascii="Times New Roman" w:hAnsi="Times New Roman"/>
                <w:sz w:val="24"/>
                <w:szCs w:val="24"/>
              </w:rPr>
              <w:t>Crna</w:t>
            </w:r>
            <w:proofErr w:type="spellEnd"/>
            <w:r w:rsidRPr="0028116E">
              <w:rPr>
                <w:rFonts w:ascii="Times New Roman" w:hAnsi="Times New Roman"/>
                <w:sz w:val="24"/>
                <w:szCs w:val="24"/>
              </w:rPr>
              <w:t xml:space="preserve"> tributaries to Vardar) has a huge impact on the </w:t>
            </w:r>
            <w:proofErr w:type="spellStart"/>
            <w:r w:rsidRPr="0028116E">
              <w:rPr>
                <w:rFonts w:ascii="Times New Roman" w:hAnsi="Times New Roman"/>
                <w:sz w:val="24"/>
                <w:szCs w:val="24"/>
              </w:rPr>
              <w:t>Varder</w:t>
            </w:r>
            <w:proofErr w:type="spellEnd"/>
            <w:r w:rsidRPr="0028116E">
              <w:rPr>
                <w:rFonts w:ascii="Times New Roman" w:hAnsi="Times New Roman"/>
                <w:sz w:val="24"/>
                <w:szCs w:val="24"/>
              </w:rPr>
              <w:t xml:space="preserve"> river water quality. The construction of wastewater treatment plants and improved sewerage in Skopje, Tetovo, Veles</w:t>
            </w:r>
            <w:proofErr w:type="gramStart"/>
            <w:r w:rsidRPr="0028116E">
              <w:rPr>
                <w:rFonts w:ascii="Times New Roman" w:hAnsi="Times New Roman"/>
                <w:sz w:val="24"/>
                <w:szCs w:val="24"/>
              </w:rPr>
              <w:t>,  </w:t>
            </w:r>
            <w:proofErr w:type="spellStart"/>
            <w:r w:rsidRPr="0028116E">
              <w:rPr>
                <w:rFonts w:ascii="Times New Roman" w:hAnsi="Times New Roman"/>
                <w:sz w:val="24"/>
                <w:szCs w:val="24"/>
              </w:rPr>
              <w:t>Shtip</w:t>
            </w:r>
            <w:proofErr w:type="spellEnd"/>
            <w:proofErr w:type="gramEnd"/>
            <w:r w:rsidRPr="0028116E">
              <w:rPr>
                <w:rFonts w:ascii="Times New Roman" w:hAnsi="Times New Roman"/>
                <w:sz w:val="24"/>
                <w:szCs w:val="24"/>
              </w:rPr>
              <w:t xml:space="preserve">, </w:t>
            </w:r>
            <w:proofErr w:type="spellStart"/>
            <w:r w:rsidRPr="0028116E">
              <w:rPr>
                <w:rFonts w:ascii="Times New Roman" w:hAnsi="Times New Roman"/>
                <w:sz w:val="24"/>
                <w:szCs w:val="24"/>
              </w:rPr>
              <w:t>Kochani</w:t>
            </w:r>
            <w:proofErr w:type="spellEnd"/>
            <w:r w:rsidRPr="0028116E">
              <w:rPr>
                <w:rFonts w:ascii="Times New Roman" w:hAnsi="Times New Roman"/>
                <w:sz w:val="24"/>
                <w:szCs w:val="24"/>
              </w:rPr>
              <w:t xml:space="preserve">, </w:t>
            </w:r>
            <w:proofErr w:type="spellStart"/>
            <w:r w:rsidRPr="0028116E">
              <w:rPr>
                <w:rFonts w:ascii="Times New Roman" w:hAnsi="Times New Roman"/>
                <w:sz w:val="24"/>
                <w:szCs w:val="24"/>
              </w:rPr>
              <w:t>Vinica</w:t>
            </w:r>
            <w:proofErr w:type="spellEnd"/>
            <w:r w:rsidRPr="0028116E">
              <w:rPr>
                <w:rFonts w:ascii="Times New Roman" w:hAnsi="Times New Roman"/>
                <w:sz w:val="24"/>
                <w:szCs w:val="24"/>
              </w:rPr>
              <w:t xml:space="preserve"> and Bitola will significantly decrease the water pollution of the Vardar river and will directly impact the quality </w:t>
            </w:r>
            <w:r w:rsidRPr="0028116E">
              <w:rPr>
                <w:rFonts w:ascii="Times New Roman" w:hAnsi="Times New Roman"/>
                <w:sz w:val="24"/>
                <w:szCs w:val="24"/>
                <w:lang w:eastAsia="en-US"/>
              </w:rPr>
              <w:t>of the waters of the northern Greek shores, supporting the development of such a main economic drive in Greece as tourism and agriculture.</w:t>
            </w:r>
          </w:p>
        </w:tc>
      </w:tr>
      <w:tr w:rsidR="00D92F6C" w:rsidRPr="0028116E"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D92F6C" w:rsidRPr="0028116E" w:rsidRDefault="00D92F6C" w:rsidP="008B302D">
            <w:pPr>
              <w:rPr>
                <w:rFonts w:ascii="Times New Roman" w:hAnsi="Times New Roman"/>
                <w:sz w:val="24"/>
                <w:szCs w:val="24"/>
              </w:rPr>
            </w:pPr>
            <w:r w:rsidRPr="0028116E">
              <w:rPr>
                <w:rFonts w:ascii="Times New Roman" w:hAnsi="Times New Roman"/>
                <w:sz w:val="24"/>
                <w:szCs w:val="24"/>
              </w:rPr>
              <w:lastRenderedPageBreak/>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28116E" w:rsidRDefault="0028116E" w:rsidP="00550947">
            <w:pPr>
              <w:spacing w:after="120" w:line="240" w:lineRule="auto"/>
              <w:jc w:val="both"/>
              <w:rPr>
                <w:rFonts w:ascii="Times New Roman" w:hAnsi="Times New Roman"/>
                <w:i/>
                <w:sz w:val="24"/>
                <w:szCs w:val="24"/>
              </w:rPr>
            </w:pPr>
            <w:r>
              <w:rPr>
                <w:rFonts w:ascii="Times New Roman" w:hAnsi="Times New Roman"/>
                <w:i/>
                <w:sz w:val="24"/>
                <w:szCs w:val="24"/>
              </w:rPr>
              <w:t xml:space="preserve">Total budget: EUR </w:t>
            </w:r>
            <w:r w:rsidR="0006235F" w:rsidRPr="0028116E">
              <w:rPr>
                <w:rFonts w:ascii="Times New Roman" w:hAnsi="Times New Roman"/>
                <w:i/>
                <w:sz w:val="24"/>
                <w:szCs w:val="24"/>
              </w:rPr>
              <w:t>53</w:t>
            </w:r>
            <w:r>
              <w:rPr>
                <w:rFonts w:ascii="Times New Roman" w:hAnsi="Times New Roman"/>
                <w:i/>
                <w:sz w:val="24"/>
                <w:szCs w:val="24"/>
              </w:rPr>
              <w:t>,000,000</w:t>
            </w:r>
          </w:p>
          <w:p w:rsidR="0028116E" w:rsidRDefault="0028116E" w:rsidP="00550947">
            <w:pPr>
              <w:spacing w:after="120" w:line="240" w:lineRule="auto"/>
              <w:jc w:val="both"/>
              <w:rPr>
                <w:rFonts w:ascii="Times New Roman" w:hAnsi="Times New Roman"/>
                <w:i/>
                <w:sz w:val="24"/>
                <w:szCs w:val="24"/>
              </w:rPr>
            </w:pPr>
            <w:r>
              <w:rPr>
                <w:rFonts w:ascii="Times New Roman" w:hAnsi="Times New Roman"/>
                <w:i/>
                <w:sz w:val="24"/>
                <w:szCs w:val="24"/>
              </w:rPr>
              <w:t>IPA funding: EUR 26,500,000</w:t>
            </w:r>
          </w:p>
          <w:p w:rsidR="00D92F6C" w:rsidRPr="0028116E" w:rsidRDefault="0028116E" w:rsidP="0028116E">
            <w:pPr>
              <w:spacing w:after="120" w:line="240" w:lineRule="auto"/>
              <w:jc w:val="both"/>
              <w:rPr>
                <w:rFonts w:ascii="Times New Roman" w:hAnsi="Times New Roman"/>
                <w:i/>
                <w:sz w:val="24"/>
                <w:szCs w:val="24"/>
              </w:rPr>
            </w:pPr>
            <w:r>
              <w:rPr>
                <w:rFonts w:ascii="Times New Roman" w:hAnsi="Times New Roman"/>
                <w:i/>
                <w:sz w:val="24"/>
                <w:szCs w:val="24"/>
              </w:rPr>
              <w:t>National funding: EUR 26,500,000</w:t>
            </w:r>
            <w:r w:rsidR="00550947" w:rsidRPr="0028116E">
              <w:rPr>
                <w:rFonts w:ascii="Times New Roman" w:hAnsi="Times New Roman"/>
                <w:i/>
                <w:sz w:val="24"/>
                <w:szCs w:val="24"/>
              </w:rPr>
              <w:t xml:space="preserve"> </w:t>
            </w:r>
          </w:p>
        </w:tc>
      </w:tr>
      <w:tr w:rsidR="0006235F" w:rsidRPr="0028116E"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rsidR="0006235F" w:rsidRPr="0028116E" w:rsidRDefault="0006235F" w:rsidP="0006235F">
            <w:pPr>
              <w:rPr>
                <w:rFonts w:ascii="Times New Roman" w:hAnsi="Times New Roman"/>
                <w:sz w:val="24"/>
                <w:szCs w:val="24"/>
              </w:rPr>
            </w:pPr>
            <w:r w:rsidRPr="0028116E">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06235F" w:rsidRPr="0028116E" w:rsidRDefault="0006235F" w:rsidP="0006235F">
            <w:pPr>
              <w:spacing w:after="120"/>
              <w:jc w:val="both"/>
              <w:rPr>
                <w:rFonts w:ascii="Times New Roman" w:hAnsi="Times New Roman"/>
                <w:sz w:val="24"/>
                <w:szCs w:val="24"/>
              </w:rPr>
            </w:pPr>
            <w:r w:rsidRPr="0028116E">
              <w:rPr>
                <w:rFonts w:ascii="Times New Roman" w:hAnsi="Times New Roman"/>
                <w:sz w:val="24"/>
                <w:szCs w:val="24"/>
              </w:rPr>
              <w:t xml:space="preserve">This action will be implemented through indirect management with </w:t>
            </w:r>
            <w:r w:rsidR="0028116E" w:rsidRPr="0028116E">
              <w:rPr>
                <w:rFonts w:ascii="Times New Roman" w:hAnsi="Times New Roman"/>
                <w:sz w:val="24"/>
                <w:szCs w:val="24"/>
              </w:rPr>
              <w:t>beneficiary country</w:t>
            </w:r>
            <w:r w:rsidR="0028116E">
              <w:rPr>
                <w:rFonts w:ascii="Times New Roman" w:hAnsi="Times New Roman"/>
                <w:sz w:val="24"/>
                <w:szCs w:val="24"/>
              </w:rPr>
              <w:t xml:space="preserve"> (or alternatively with an</w:t>
            </w:r>
            <w:r w:rsidR="0028116E" w:rsidRPr="0028116E">
              <w:rPr>
                <w:rFonts w:ascii="Times New Roman" w:hAnsi="Times New Roman"/>
                <w:sz w:val="24"/>
                <w:szCs w:val="24"/>
              </w:rPr>
              <w:t xml:space="preserve"> </w:t>
            </w:r>
            <w:r w:rsidRPr="0028116E">
              <w:rPr>
                <w:rFonts w:ascii="Times New Roman" w:hAnsi="Times New Roman"/>
                <w:sz w:val="24"/>
                <w:szCs w:val="24"/>
              </w:rPr>
              <w:t>i</w:t>
            </w:r>
            <w:r w:rsidR="0028116E">
              <w:rPr>
                <w:rFonts w:ascii="Times New Roman" w:hAnsi="Times New Roman"/>
                <w:sz w:val="24"/>
                <w:szCs w:val="24"/>
              </w:rPr>
              <w:t>nternational organisation)</w:t>
            </w:r>
            <w:r w:rsidRPr="0028116E">
              <w:rPr>
                <w:rFonts w:ascii="Times New Roman" w:hAnsi="Times New Roman"/>
                <w:sz w:val="24"/>
                <w:szCs w:val="24"/>
              </w:rPr>
              <w:t xml:space="preserve">. </w:t>
            </w:r>
          </w:p>
          <w:p w:rsidR="0006235F" w:rsidRPr="0028116E" w:rsidRDefault="0006235F" w:rsidP="0006235F">
            <w:pPr>
              <w:spacing w:after="120"/>
              <w:jc w:val="both"/>
              <w:rPr>
                <w:rFonts w:ascii="Times New Roman" w:hAnsi="Times New Roman"/>
                <w:sz w:val="24"/>
                <w:szCs w:val="24"/>
              </w:rPr>
            </w:pPr>
            <w:r w:rsidRPr="0028116E">
              <w:rPr>
                <w:rFonts w:ascii="Times New Roman" w:hAnsi="Times New Roman"/>
                <w:sz w:val="24"/>
                <w:szCs w:val="24"/>
              </w:rPr>
              <w:t>Blending of the IPA funds with financial resources and grants from other IFIs and /or international organizations is preferred.</w:t>
            </w:r>
          </w:p>
          <w:p w:rsidR="0006235F" w:rsidRPr="0028116E" w:rsidRDefault="0006235F" w:rsidP="0028116E">
            <w:pPr>
              <w:spacing w:after="120"/>
              <w:jc w:val="both"/>
              <w:rPr>
                <w:rFonts w:ascii="Times New Roman" w:hAnsi="Times New Roman"/>
                <w:sz w:val="24"/>
                <w:szCs w:val="24"/>
              </w:rPr>
            </w:pPr>
            <w:r w:rsidRPr="0028116E">
              <w:rPr>
                <w:rFonts w:ascii="Times New Roman" w:hAnsi="Times New Roman"/>
                <w:sz w:val="24"/>
                <w:szCs w:val="24"/>
              </w:rPr>
              <w:t>The implementation inv</w:t>
            </w:r>
            <w:r w:rsidR="0028116E">
              <w:rPr>
                <w:rFonts w:ascii="Times New Roman" w:hAnsi="Times New Roman"/>
                <w:sz w:val="24"/>
                <w:szCs w:val="24"/>
              </w:rPr>
              <w:t>olves service, supply and works contracts.</w:t>
            </w:r>
            <w:r w:rsidRPr="0028116E">
              <w:rPr>
                <w:rFonts w:ascii="Times New Roman" w:hAnsi="Times New Roman"/>
                <w:sz w:val="24"/>
                <w:szCs w:val="24"/>
              </w:rPr>
              <w:t xml:space="preserve"> </w:t>
            </w:r>
          </w:p>
        </w:tc>
      </w:tr>
    </w:tbl>
    <w:p w:rsidR="00D92F6C" w:rsidRPr="0028116E" w:rsidRDefault="00D92F6C" w:rsidP="00D92F6C">
      <w:pPr>
        <w:spacing w:after="0" w:line="240" w:lineRule="auto"/>
        <w:jc w:val="both"/>
        <w:rPr>
          <w:rFonts w:ascii="Times New Roman" w:hAnsi="Times New Roman"/>
          <w:i/>
          <w:sz w:val="24"/>
          <w:szCs w:val="24"/>
        </w:rPr>
        <w:sectPr w:rsidR="00D92F6C" w:rsidRPr="0028116E">
          <w:pgSz w:w="11906" w:h="16838"/>
          <w:pgMar w:top="1440" w:right="1440" w:bottom="1440" w:left="1440" w:header="708" w:footer="708" w:gutter="0"/>
          <w:cols w:space="708"/>
          <w:docGrid w:linePitch="360"/>
        </w:sectPr>
      </w:pPr>
    </w:p>
    <w:p w:rsidR="00D92F6C" w:rsidRPr="0028116E" w:rsidRDefault="00D92F6C" w:rsidP="00D92F6C">
      <w:pPr>
        <w:rPr>
          <w:rFonts w:ascii="Times New Roman" w:hAnsi="Times New Roman"/>
          <w:bCs/>
          <w:smallCaps/>
          <w:sz w:val="24"/>
          <w:szCs w:val="24"/>
          <w:lang w:val="fr-FR"/>
        </w:rPr>
      </w:pPr>
      <w:bookmarkStart w:id="1" w:name="_Toc33698402"/>
      <w:r w:rsidRPr="0028116E">
        <w:rPr>
          <w:rFonts w:ascii="Times New Roman" w:hAnsi="Times New Roman"/>
          <w:b/>
          <w:bCs/>
          <w:smallCaps/>
          <w:sz w:val="24"/>
          <w:szCs w:val="24"/>
          <w:lang w:val="fr-FR"/>
        </w:rPr>
        <w:lastRenderedPageBreak/>
        <w:t>LOGICAL FRAMEWORK MATRIX [2 PAGES MAXIMUM]</w:t>
      </w:r>
      <w:bookmarkEnd w:id="1"/>
    </w:p>
    <w:tbl>
      <w:tblPr>
        <w:tblW w:w="1530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895"/>
        <w:gridCol w:w="1493"/>
        <w:gridCol w:w="1418"/>
        <w:gridCol w:w="1418"/>
        <w:gridCol w:w="1557"/>
        <w:gridCol w:w="2126"/>
      </w:tblGrid>
      <w:tr w:rsidR="00D92F6C" w:rsidRPr="0028116E" w:rsidTr="00C6744D">
        <w:trPr>
          <w:trHeight w:val="1145"/>
        </w:trPr>
        <w:tc>
          <w:tcPr>
            <w:tcW w:w="3402" w:type="dxa"/>
            <w:shd w:val="clear" w:color="auto" w:fill="FFFFFF"/>
            <w:vAlign w:val="center"/>
          </w:tcPr>
          <w:p w:rsidR="00D92F6C" w:rsidRPr="0028116E" w:rsidRDefault="00D92F6C" w:rsidP="008B302D">
            <w:pPr>
              <w:shd w:val="clear" w:color="auto" w:fill="FFFFFF"/>
              <w:spacing w:before="100" w:beforeAutospacing="1" w:after="100" w:afterAutospacing="1"/>
              <w:jc w:val="center"/>
              <w:rPr>
                <w:rFonts w:ascii="Times New Roman" w:hAnsi="Times New Roman"/>
                <w:b/>
              </w:rPr>
            </w:pPr>
            <w:r w:rsidRPr="0028116E">
              <w:rPr>
                <w:rFonts w:ascii="Times New Roman" w:hAnsi="Times New Roman"/>
                <w:b/>
              </w:rPr>
              <w:t>OVERALL OBJECTIVE(S) / (IMPACT(S))</w:t>
            </w:r>
          </w:p>
        </w:tc>
        <w:tc>
          <w:tcPr>
            <w:tcW w:w="3895" w:type="dxa"/>
            <w:shd w:val="clear" w:color="auto" w:fill="FFFFFF"/>
            <w:vAlign w:val="center"/>
          </w:tcPr>
          <w:p w:rsidR="00D92F6C" w:rsidRPr="0028116E" w:rsidRDefault="00D92F6C" w:rsidP="008B302D">
            <w:pPr>
              <w:shd w:val="clear" w:color="auto" w:fill="FFFFFF"/>
              <w:spacing w:after="0"/>
              <w:jc w:val="center"/>
              <w:rPr>
                <w:rFonts w:ascii="Times New Roman" w:hAnsi="Times New Roman"/>
                <w:b/>
              </w:rPr>
            </w:pPr>
            <w:r w:rsidRPr="0028116E">
              <w:rPr>
                <w:rFonts w:ascii="Times New Roman" w:hAnsi="Times New Roman"/>
                <w:b/>
              </w:rPr>
              <w:t>OBJECTIVELY VERIFIABLE INDICATORS</w:t>
            </w:r>
          </w:p>
          <w:p w:rsidR="00D92F6C" w:rsidRPr="0028116E" w:rsidRDefault="00D92F6C" w:rsidP="008B302D">
            <w:pPr>
              <w:shd w:val="clear" w:color="auto" w:fill="FFFFFF"/>
              <w:spacing w:after="0"/>
              <w:jc w:val="center"/>
              <w:rPr>
                <w:rFonts w:ascii="Times New Roman" w:hAnsi="Times New Roman"/>
                <w:b/>
              </w:rPr>
            </w:pPr>
          </w:p>
        </w:tc>
        <w:tc>
          <w:tcPr>
            <w:tcW w:w="1493" w:type="dxa"/>
            <w:shd w:val="clear" w:color="auto" w:fill="FFFFFF"/>
            <w:vAlign w:val="center"/>
          </w:tcPr>
          <w:p w:rsidR="00D92F6C" w:rsidRPr="0028116E" w:rsidRDefault="00D92F6C" w:rsidP="008B302D">
            <w:pPr>
              <w:shd w:val="clear" w:color="auto" w:fill="FFFFFF"/>
              <w:jc w:val="center"/>
              <w:rPr>
                <w:rFonts w:ascii="Times New Roman" w:hAnsi="Times New Roman"/>
                <w:b/>
              </w:rPr>
            </w:pPr>
            <w:r w:rsidRPr="0028116E">
              <w:rPr>
                <w:rFonts w:ascii="Times New Roman" w:hAnsi="Times New Roman"/>
                <w:b/>
              </w:rPr>
              <w:t>BASELINES</w:t>
            </w:r>
          </w:p>
          <w:p w:rsidR="00D92F6C" w:rsidRPr="0028116E" w:rsidRDefault="00D51CB3" w:rsidP="00C6744D">
            <w:pPr>
              <w:shd w:val="clear" w:color="auto" w:fill="FFFFFF"/>
              <w:spacing w:after="0"/>
              <w:jc w:val="center"/>
              <w:rPr>
                <w:rFonts w:ascii="Times New Roman" w:hAnsi="Times New Roman"/>
                <w:b/>
              </w:rPr>
            </w:pPr>
            <w:r w:rsidRPr="0028116E">
              <w:rPr>
                <w:rFonts w:ascii="Times New Roman" w:hAnsi="Times New Roman"/>
                <w:b/>
              </w:rPr>
              <w:t>(2020)</w:t>
            </w:r>
          </w:p>
        </w:tc>
        <w:tc>
          <w:tcPr>
            <w:tcW w:w="1418" w:type="dxa"/>
            <w:shd w:val="clear" w:color="auto" w:fill="FFFFFF"/>
          </w:tcPr>
          <w:p w:rsidR="00D92F6C" w:rsidRPr="0028116E" w:rsidRDefault="00D92F6C" w:rsidP="008B302D">
            <w:pPr>
              <w:shd w:val="clear" w:color="auto" w:fill="FFFFFF"/>
              <w:spacing w:after="0"/>
              <w:jc w:val="center"/>
              <w:rPr>
                <w:rFonts w:ascii="Times New Roman" w:hAnsi="Times New Roman"/>
                <w:b/>
              </w:rPr>
            </w:pPr>
          </w:p>
          <w:p w:rsidR="00D92F6C" w:rsidRPr="0028116E" w:rsidRDefault="00D92F6C" w:rsidP="008B302D">
            <w:pPr>
              <w:shd w:val="clear" w:color="auto" w:fill="FFFFFF"/>
              <w:spacing w:after="0"/>
              <w:jc w:val="center"/>
              <w:rPr>
                <w:rFonts w:ascii="Times New Roman" w:hAnsi="Times New Roman"/>
                <w:b/>
              </w:rPr>
            </w:pPr>
            <w:r w:rsidRPr="0028116E">
              <w:rPr>
                <w:rFonts w:ascii="Times New Roman" w:hAnsi="Times New Roman"/>
                <w:b/>
              </w:rPr>
              <w:t>MILESTONES</w:t>
            </w:r>
          </w:p>
          <w:p w:rsidR="00D92F6C" w:rsidRPr="0028116E" w:rsidRDefault="00D92F6C" w:rsidP="00C6744D">
            <w:pPr>
              <w:shd w:val="clear" w:color="auto" w:fill="FFFFFF"/>
              <w:jc w:val="center"/>
              <w:rPr>
                <w:rFonts w:ascii="Times New Roman" w:hAnsi="Times New Roman"/>
                <w:b/>
              </w:rPr>
            </w:pPr>
            <w:r w:rsidRPr="0028116E">
              <w:rPr>
                <w:rFonts w:ascii="Times New Roman" w:hAnsi="Times New Roman"/>
                <w:b/>
              </w:rPr>
              <w:t>[OPTIONAL]</w:t>
            </w:r>
          </w:p>
        </w:tc>
        <w:tc>
          <w:tcPr>
            <w:tcW w:w="1418" w:type="dxa"/>
            <w:shd w:val="clear" w:color="auto" w:fill="FFFFFF"/>
            <w:vAlign w:val="center"/>
          </w:tcPr>
          <w:p w:rsidR="00D92F6C" w:rsidRPr="0028116E" w:rsidRDefault="00D92F6C" w:rsidP="008B302D">
            <w:pPr>
              <w:shd w:val="clear" w:color="auto" w:fill="FFFFFF"/>
              <w:jc w:val="center"/>
              <w:rPr>
                <w:rFonts w:ascii="Times New Roman" w:hAnsi="Times New Roman"/>
                <w:b/>
              </w:rPr>
            </w:pPr>
            <w:r w:rsidRPr="0028116E">
              <w:rPr>
                <w:rFonts w:ascii="Times New Roman" w:hAnsi="Times New Roman"/>
                <w:b/>
              </w:rPr>
              <w:t>TARGETS</w:t>
            </w:r>
          </w:p>
          <w:p w:rsidR="00D92F6C" w:rsidRPr="0028116E" w:rsidRDefault="00D51CB3" w:rsidP="00D51CB3">
            <w:pPr>
              <w:shd w:val="clear" w:color="auto" w:fill="FFFFFF"/>
              <w:jc w:val="center"/>
              <w:rPr>
                <w:rFonts w:ascii="Times New Roman" w:hAnsi="Times New Roman"/>
                <w:b/>
              </w:rPr>
            </w:pPr>
            <w:r w:rsidRPr="0028116E">
              <w:rPr>
                <w:rFonts w:ascii="Times New Roman" w:hAnsi="Times New Roman"/>
                <w:b/>
              </w:rPr>
              <w:t>(2025</w:t>
            </w:r>
            <w:r w:rsidR="00D92F6C" w:rsidRPr="0028116E">
              <w:rPr>
                <w:rFonts w:ascii="Times New Roman" w:hAnsi="Times New Roman"/>
                <w:b/>
              </w:rPr>
              <w:t>)</w:t>
            </w:r>
          </w:p>
        </w:tc>
        <w:tc>
          <w:tcPr>
            <w:tcW w:w="1557" w:type="dxa"/>
            <w:shd w:val="clear" w:color="auto" w:fill="FFFFFF"/>
            <w:vAlign w:val="center"/>
          </w:tcPr>
          <w:p w:rsidR="00D92F6C" w:rsidRPr="0028116E" w:rsidRDefault="00D92F6C" w:rsidP="008B302D">
            <w:pPr>
              <w:shd w:val="clear" w:color="auto" w:fill="FFFFFF"/>
              <w:spacing w:after="0"/>
              <w:jc w:val="center"/>
              <w:rPr>
                <w:rFonts w:ascii="Times New Roman" w:hAnsi="Times New Roman"/>
              </w:rPr>
            </w:pPr>
            <w:r w:rsidRPr="0028116E">
              <w:rPr>
                <w:rFonts w:ascii="Times New Roman" w:hAnsi="Times New Roman"/>
                <w:b/>
              </w:rPr>
              <w:t>SOURCES &amp; MEANS OF VERIFICATION</w:t>
            </w:r>
          </w:p>
        </w:tc>
        <w:tc>
          <w:tcPr>
            <w:tcW w:w="2126" w:type="dxa"/>
            <w:vMerge w:val="restart"/>
            <w:tcBorders>
              <w:top w:val="nil"/>
              <w:right w:val="nil"/>
            </w:tcBorders>
            <w:shd w:val="clear" w:color="auto" w:fill="FFFFFF"/>
          </w:tcPr>
          <w:p w:rsidR="00D92F6C" w:rsidRPr="0028116E" w:rsidRDefault="00D92F6C" w:rsidP="008B302D">
            <w:pPr>
              <w:shd w:val="clear" w:color="auto" w:fill="FFFFFF"/>
              <w:spacing w:after="0"/>
              <w:rPr>
                <w:rFonts w:ascii="Times New Roman" w:hAnsi="Times New Roman"/>
              </w:rPr>
            </w:pPr>
          </w:p>
        </w:tc>
      </w:tr>
      <w:tr w:rsidR="009352DE" w:rsidRPr="0028116E" w:rsidTr="00C6744D">
        <w:trPr>
          <w:trHeight w:val="1325"/>
        </w:trPr>
        <w:tc>
          <w:tcPr>
            <w:tcW w:w="3402"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To decrease water pollution</w:t>
            </w:r>
          </w:p>
        </w:tc>
        <w:tc>
          <w:tcPr>
            <w:tcW w:w="3895"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 of population equivalent served with wastewater treatment plants (secondary treatment)</w:t>
            </w:r>
          </w:p>
          <w:p w:rsidR="009352DE" w:rsidRPr="0028116E" w:rsidRDefault="009352DE" w:rsidP="009352DE">
            <w:pPr>
              <w:shd w:val="clear" w:color="auto" w:fill="FFFFFF"/>
              <w:spacing w:before="60" w:after="0"/>
              <w:rPr>
                <w:rFonts w:ascii="Times New Roman" w:hAnsi="Times New Roman"/>
              </w:rPr>
            </w:pPr>
          </w:p>
        </w:tc>
        <w:tc>
          <w:tcPr>
            <w:tcW w:w="1493" w:type="dxa"/>
            <w:shd w:val="clear" w:color="auto" w:fill="FFFFFF"/>
          </w:tcPr>
          <w:p w:rsidR="009352DE" w:rsidRPr="0028116E" w:rsidRDefault="00725034" w:rsidP="009352DE">
            <w:pPr>
              <w:shd w:val="clear" w:color="auto" w:fill="FFFFFF"/>
              <w:spacing w:before="60" w:after="0"/>
              <w:rPr>
                <w:rFonts w:ascii="Times New Roman" w:hAnsi="Times New Roman"/>
              </w:rPr>
            </w:pPr>
            <w:r w:rsidRPr="0028116E">
              <w:rPr>
                <w:rFonts w:ascii="Times New Roman" w:hAnsi="Times New Roman"/>
              </w:rPr>
              <w:t>26</w:t>
            </w:r>
            <w:r w:rsidR="009352DE" w:rsidRPr="0028116E">
              <w:rPr>
                <w:rFonts w:ascii="Times New Roman" w:hAnsi="Times New Roman"/>
              </w:rPr>
              <w:t>%*</w:t>
            </w:r>
          </w:p>
        </w:tc>
        <w:tc>
          <w:tcPr>
            <w:tcW w:w="1418"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n/a</w:t>
            </w:r>
          </w:p>
        </w:tc>
        <w:tc>
          <w:tcPr>
            <w:tcW w:w="1418" w:type="dxa"/>
            <w:shd w:val="clear" w:color="auto" w:fill="FFFFFF" w:themeFill="background1"/>
          </w:tcPr>
          <w:p w:rsidR="009352DE" w:rsidRPr="0028116E" w:rsidRDefault="004111DB" w:rsidP="009352DE">
            <w:pPr>
              <w:shd w:val="clear" w:color="auto" w:fill="FFFFFF"/>
              <w:spacing w:before="60" w:after="0"/>
              <w:rPr>
                <w:rFonts w:ascii="Times New Roman" w:hAnsi="Times New Roman"/>
              </w:rPr>
            </w:pPr>
            <w:r w:rsidRPr="0028116E">
              <w:rPr>
                <w:rFonts w:ascii="Times New Roman" w:hAnsi="Times New Roman"/>
              </w:rPr>
              <w:t>46</w:t>
            </w:r>
            <w:r w:rsidR="009352DE" w:rsidRPr="0028116E">
              <w:rPr>
                <w:rFonts w:ascii="Times New Roman" w:hAnsi="Times New Roman"/>
              </w:rPr>
              <w:t>%**</w:t>
            </w:r>
          </w:p>
        </w:tc>
        <w:tc>
          <w:tcPr>
            <w:tcW w:w="1557" w:type="dxa"/>
            <w:shd w:val="clear" w:color="auto" w:fill="FFFFFF"/>
          </w:tcPr>
          <w:p w:rsidR="009352DE" w:rsidRPr="0028116E" w:rsidRDefault="00C6744D" w:rsidP="003C525D">
            <w:pPr>
              <w:shd w:val="clear" w:color="auto" w:fill="FFFFFF"/>
              <w:spacing w:before="60" w:after="0"/>
              <w:rPr>
                <w:rFonts w:ascii="Times New Roman" w:hAnsi="Times New Roman"/>
              </w:rPr>
            </w:pPr>
            <w:r w:rsidRPr="0028116E">
              <w:rPr>
                <w:rFonts w:ascii="Times New Roman" w:hAnsi="Times New Roman"/>
              </w:rPr>
              <w:t xml:space="preserve">Data from </w:t>
            </w:r>
            <w:proofErr w:type="spellStart"/>
            <w:r w:rsidRPr="0028116E">
              <w:rPr>
                <w:rFonts w:ascii="Times New Roman" w:hAnsi="Times New Roman"/>
              </w:rPr>
              <w:t>MoEPP</w:t>
            </w:r>
            <w:proofErr w:type="spellEnd"/>
            <w:r w:rsidRPr="0028116E">
              <w:rPr>
                <w:rFonts w:ascii="Times New Roman" w:hAnsi="Times New Roman"/>
              </w:rPr>
              <w:t xml:space="preserve"> </w:t>
            </w:r>
            <w:r w:rsidR="009352DE" w:rsidRPr="0028116E">
              <w:rPr>
                <w:rFonts w:ascii="Times New Roman" w:hAnsi="Times New Roman"/>
              </w:rPr>
              <w:t>*National Water Study</w:t>
            </w:r>
            <w:r w:rsidR="003C525D">
              <w:rPr>
                <w:rStyle w:val="FootnoteReference"/>
                <w:rFonts w:ascii="Times New Roman" w:hAnsi="Times New Roman"/>
              </w:rPr>
              <w:footnoteReference w:id="1"/>
            </w:r>
            <w:r w:rsidR="009352DE" w:rsidRPr="0028116E">
              <w:rPr>
                <w:rFonts w:ascii="Times New Roman" w:hAnsi="Times New Roman"/>
              </w:rPr>
              <w:t xml:space="preserve"> </w:t>
            </w:r>
          </w:p>
        </w:tc>
        <w:tc>
          <w:tcPr>
            <w:tcW w:w="2126" w:type="dxa"/>
            <w:vMerge/>
            <w:tcBorders>
              <w:right w:val="nil"/>
            </w:tcBorders>
            <w:shd w:val="clear" w:color="auto" w:fill="FFFFFF"/>
          </w:tcPr>
          <w:p w:rsidR="009352DE" w:rsidRPr="0028116E" w:rsidRDefault="009352DE" w:rsidP="009352DE">
            <w:pPr>
              <w:shd w:val="clear" w:color="auto" w:fill="FFFFFF"/>
              <w:spacing w:before="60" w:after="0"/>
              <w:rPr>
                <w:rFonts w:ascii="Times New Roman" w:hAnsi="Times New Roman"/>
              </w:rPr>
            </w:pPr>
          </w:p>
        </w:tc>
      </w:tr>
      <w:tr w:rsidR="009352DE" w:rsidRPr="0028116E" w:rsidTr="00C6744D">
        <w:trPr>
          <w:trHeight w:val="189"/>
        </w:trPr>
        <w:tc>
          <w:tcPr>
            <w:tcW w:w="3402" w:type="dxa"/>
            <w:shd w:val="clear" w:color="auto" w:fill="FFFFFF"/>
          </w:tcPr>
          <w:p w:rsidR="009352DE" w:rsidRPr="0028116E" w:rsidRDefault="009352DE" w:rsidP="009352DE">
            <w:pPr>
              <w:numPr>
                <w:ilvl w:val="12"/>
                <w:numId w:val="0"/>
              </w:numPr>
              <w:shd w:val="clear" w:color="auto" w:fill="FFFFFF"/>
              <w:spacing w:before="100" w:beforeAutospacing="1" w:after="100" w:afterAutospacing="1"/>
              <w:jc w:val="center"/>
              <w:rPr>
                <w:rFonts w:ascii="Times New Roman" w:hAnsi="Times New Roman"/>
              </w:rPr>
            </w:pPr>
            <w:r w:rsidRPr="0028116E">
              <w:rPr>
                <w:rFonts w:ascii="Times New Roman" w:hAnsi="Times New Roman"/>
                <w:b/>
              </w:rPr>
              <w:t>SPECIFIC OBJECTIVE(S) / OUTCOME(S)</w:t>
            </w:r>
          </w:p>
        </w:tc>
        <w:tc>
          <w:tcPr>
            <w:tcW w:w="3895" w:type="dxa"/>
            <w:shd w:val="clear" w:color="auto" w:fill="FFFFFF"/>
          </w:tcPr>
          <w:p w:rsidR="009352DE" w:rsidRPr="0028116E" w:rsidRDefault="009352DE" w:rsidP="009352DE">
            <w:pPr>
              <w:shd w:val="clear" w:color="auto" w:fill="FFFFFF"/>
              <w:spacing w:after="0"/>
              <w:jc w:val="center"/>
              <w:rPr>
                <w:rFonts w:ascii="Times New Roman" w:hAnsi="Times New Roman"/>
              </w:rPr>
            </w:pPr>
            <w:r w:rsidRPr="0028116E">
              <w:rPr>
                <w:rFonts w:ascii="Times New Roman" w:hAnsi="Times New Roman"/>
                <w:b/>
              </w:rPr>
              <w:t>OBJECTIVELY VERIFIABLE INDICATORS (*)</w:t>
            </w:r>
          </w:p>
        </w:tc>
        <w:tc>
          <w:tcPr>
            <w:tcW w:w="1493" w:type="dxa"/>
            <w:shd w:val="clear" w:color="auto" w:fill="FFFFFF"/>
          </w:tcPr>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BASELINES</w:t>
            </w:r>
          </w:p>
          <w:p w:rsidR="009352DE" w:rsidRPr="0028116E" w:rsidRDefault="009352DE" w:rsidP="009352DE">
            <w:pPr>
              <w:shd w:val="clear" w:color="auto" w:fill="FFFFFF"/>
              <w:spacing w:after="0"/>
              <w:ind w:left="-352"/>
              <w:jc w:val="center"/>
              <w:rPr>
                <w:rFonts w:ascii="Times New Roman" w:hAnsi="Times New Roman"/>
                <w:b/>
              </w:rPr>
            </w:pPr>
            <w:r w:rsidRPr="0028116E">
              <w:rPr>
                <w:rFonts w:ascii="Times New Roman" w:hAnsi="Times New Roman"/>
                <w:b/>
              </w:rPr>
              <w:t>(2020)</w:t>
            </w:r>
          </w:p>
        </w:tc>
        <w:tc>
          <w:tcPr>
            <w:tcW w:w="1418" w:type="dxa"/>
            <w:shd w:val="clear" w:color="auto" w:fill="FFFFFF"/>
          </w:tcPr>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MILESTONES</w:t>
            </w:r>
          </w:p>
          <w:p w:rsidR="009352DE" w:rsidRPr="0028116E" w:rsidRDefault="009352DE" w:rsidP="009352DE">
            <w:pPr>
              <w:shd w:val="clear" w:color="auto" w:fill="FFFFFF"/>
              <w:spacing w:after="0"/>
              <w:jc w:val="center"/>
              <w:rPr>
                <w:rFonts w:ascii="Times New Roman" w:hAnsi="Times New Roman"/>
                <w:b/>
              </w:rPr>
            </w:pPr>
          </w:p>
        </w:tc>
        <w:tc>
          <w:tcPr>
            <w:tcW w:w="1418" w:type="dxa"/>
            <w:shd w:val="clear" w:color="auto" w:fill="FFFFFF"/>
          </w:tcPr>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 xml:space="preserve">TARGETS </w:t>
            </w:r>
          </w:p>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(2025)</w:t>
            </w:r>
          </w:p>
          <w:p w:rsidR="009352DE" w:rsidRPr="0028116E" w:rsidRDefault="009352DE" w:rsidP="009352DE">
            <w:pPr>
              <w:shd w:val="clear" w:color="auto" w:fill="FFFFFF"/>
              <w:spacing w:after="0"/>
              <w:jc w:val="center"/>
              <w:rPr>
                <w:rFonts w:ascii="Times New Roman" w:hAnsi="Times New Roman"/>
                <w:b/>
              </w:rPr>
            </w:pPr>
          </w:p>
        </w:tc>
        <w:tc>
          <w:tcPr>
            <w:tcW w:w="1557" w:type="dxa"/>
            <w:shd w:val="clear" w:color="auto" w:fill="FFFFFF"/>
          </w:tcPr>
          <w:p w:rsidR="009352DE" w:rsidRPr="0028116E" w:rsidRDefault="009352DE" w:rsidP="009352DE">
            <w:pPr>
              <w:shd w:val="clear" w:color="auto" w:fill="FFFFFF"/>
              <w:spacing w:after="0"/>
              <w:jc w:val="center"/>
              <w:rPr>
                <w:rFonts w:ascii="Times New Roman" w:hAnsi="Times New Roman"/>
              </w:rPr>
            </w:pPr>
            <w:r w:rsidRPr="0028116E">
              <w:rPr>
                <w:rFonts w:ascii="Times New Roman" w:hAnsi="Times New Roman"/>
                <w:b/>
              </w:rPr>
              <w:t>SOURCES OF VERIFICATION</w:t>
            </w:r>
          </w:p>
        </w:tc>
        <w:tc>
          <w:tcPr>
            <w:tcW w:w="2126" w:type="dxa"/>
            <w:shd w:val="clear" w:color="auto" w:fill="FFFFFF"/>
          </w:tcPr>
          <w:p w:rsidR="009352DE" w:rsidRPr="0028116E" w:rsidRDefault="009352DE" w:rsidP="009352DE">
            <w:pPr>
              <w:numPr>
                <w:ilvl w:val="12"/>
                <w:numId w:val="0"/>
              </w:numPr>
              <w:shd w:val="clear" w:color="auto" w:fill="FFFFFF"/>
              <w:spacing w:after="0"/>
              <w:jc w:val="center"/>
              <w:rPr>
                <w:rFonts w:ascii="Times New Roman" w:hAnsi="Times New Roman"/>
                <w:b/>
              </w:rPr>
            </w:pPr>
            <w:r w:rsidRPr="0028116E">
              <w:rPr>
                <w:rFonts w:ascii="Times New Roman" w:hAnsi="Times New Roman"/>
                <w:b/>
              </w:rPr>
              <w:t>ASSUMPTIONS</w:t>
            </w:r>
          </w:p>
        </w:tc>
      </w:tr>
      <w:tr w:rsidR="009352DE" w:rsidRPr="0028116E" w:rsidTr="00C6744D">
        <w:trPr>
          <w:trHeight w:val="889"/>
        </w:trPr>
        <w:tc>
          <w:tcPr>
            <w:tcW w:w="3402" w:type="dxa"/>
            <w:shd w:val="clear" w:color="auto" w:fill="FFFFFF"/>
          </w:tcPr>
          <w:p w:rsidR="009352DE" w:rsidRPr="0028116E" w:rsidRDefault="009352DE" w:rsidP="009352DE">
            <w:pPr>
              <w:jc w:val="both"/>
              <w:rPr>
                <w:rFonts w:ascii="Times New Roman" w:hAnsi="Times New Roman"/>
              </w:rPr>
            </w:pPr>
            <w:r w:rsidRPr="0028116E">
              <w:rPr>
                <w:rFonts w:ascii="Times New Roman" w:hAnsi="Times New Roman"/>
              </w:rPr>
              <w:t xml:space="preserve">To improve wastewater collection and treatment infrastructure in compliance with the Directive 91/271/EEC in the Municipalities of </w:t>
            </w:r>
            <w:proofErr w:type="spellStart"/>
            <w:r w:rsidRPr="0028116E">
              <w:rPr>
                <w:rFonts w:ascii="Times New Roman" w:hAnsi="Times New Roman"/>
              </w:rPr>
              <w:t>Shtip</w:t>
            </w:r>
            <w:proofErr w:type="spellEnd"/>
            <w:r w:rsidRPr="0028116E">
              <w:rPr>
                <w:rFonts w:ascii="Times New Roman" w:hAnsi="Times New Roman"/>
              </w:rPr>
              <w:t xml:space="preserve">, Veles and </w:t>
            </w:r>
            <w:proofErr w:type="spellStart"/>
            <w:r w:rsidRPr="0028116E">
              <w:rPr>
                <w:rFonts w:ascii="Times New Roman" w:hAnsi="Times New Roman"/>
              </w:rPr>
              <w:t>Vinica</w:t>
            </w:r>
            <w:proofErr w:type="spellEnd"/>
            <w:r w:rsidRPr="0028116E">
              <w:rPr>
                <w:rFonts w:ascii="Times New Roman" w:hAnsi="Times New Roman"/>
              </w:rPr>
              <w:t>.</w:t>
            </w:r>
          </w:p>
          <w:p w:rsidR="009352DE" w:rsidRPr="0028116E" w:rsidRDefault="009352DE" w:rsidP="009352DE">
            <w:pPr>
              <w:jc w:val="both"/>
              <w:rPr>
                <w:rFonts w:ascii="Times New Roman" w:hAnsi="Times New Roman"/>
              </w:rPr>
            </w:pPr>
          </w:p>
          <w:p w:rsidR="009352DE" w:rsidRPr="0028116E" w:rsidRDefault="009352DE" w:rsidP="009352DE">
            <w:pPr>
              <w:shd w:val="clear" w:color="auto" w:fill="FFFFFF"/>
              <w:spacing w:before="60" w:after="0"/>
              <w:rPr>
                <w:rFonts w:ascii="Times New Roman" w:hAnsi="Times New Roman"/>
              </w:rPr>
            </w:pPr>
          </w:p>
        </w:tc>
        <w:tc>
          <w:tcPr>
            <w:tcW w:w="3895"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Measured concentration value of BOD, COD and TSS at the outlet from the waste water treatment facilities in accordance with EU directives and standards</w:t>
            </w:r>
          </w:p>
        </w:tc>
        <w:tc>
          <w:tcPr>
            <w:tcW w:w="1493"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BOD</w:t>
            </w:r>
            <w:r w:rsidR="003C525D">
              <w:rPr>
                <w:rStyle w:val="FootnoteReference"/>
                <w:rFonts w:ascii="Times New Roman" w:hAnsi="Times New Roman"/>
              </w:rPr>
              <w:footnoteReference w:id="2"/>
            </w:r>
            <w:r w:rsidRPr="0028116E">
              <w:rPr>
                <w:rFonts w:ascii="Times New Roman" w:hAnsi="Times New Roman"/>
                <w:vertAlign w:val="subscript"/>
              </w:rPr>
              <w:t>5</w:t>
            </w:r>
            <w:r w:rsidR="003C525D">
              <w:rPr>
                <w:rFonts w:ascii="Times New Roman" w:hAnsi="Times New Roman"/>
              </w:rPr>
              <w:t>:</w:t>
            </w:r>
            <w:r w:rsidRPr="0028116E">
              <w:rPr>
                <w:rFonts w:ascii="Times New Roman" w:hAnsi="Times New Roman"/>
              </w:rPr>
              <w:t xml:space="preserve"> 285 mg/l</w:t>
            </w:r>
          </w:p>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COD</w:t>
            </w:r>
            <w:r w:rsidR="003C525D">
              <w:rPr>
                <w:rStyle w:val="FootnoteReference"/>
                <w:rFonts w:ascii="Times New Roman" w:hAnsi="Times New Roman"/>
              </w:rPr>
              <w:footnoteReference w:id="3"/>
            </w:r>
            <w:r w:rsidR="003C525D">
              <w:rPr>
                <w:rFonts w:ascii="Times New Roman" w:hAnsi="Times New Roman"/>
              </w:rPr>
              <w:t>:</w:t>
            </w:r>
            <w:r w:rsidRPr="0028116E">
              <w:rPr>
                <w:rFonts w:ascii="Times New Roman" w:hAnsi="Times New Roman"/>
              </w:rPr>
              <w:t xml:space="preserve"> 569 mg/l</w:t>
            </w:r>
          </w:p>
          <w:p w:rsidR="009352DE" w:rsidRPr="0028116E" w:rsidRDefault="003C525D" w:rsidP="003C525D">
            <w:pPr>
              <w:shd w:val="clear" w:color="auto" w:fill="FFFFFF"/>
              <w:spacing w:before="60" w:after="0"/>
              <w:rPr>
                <w:rFonts w:ascii="Times New Roman" w:hAnsi="Times New Roman"/>
              </w:rPr>
            </w:pPr>
            <w:r>
              <w:rPr>
                <w:rFonts w:ascii="Times New Roman" w:hAnsi="Times New Roman"/>
              </w:rPr>
              <w:t>TSS</w:t>
            </w:r>
            <w:r>
              <w:rPr>
                <w:rStyle w:val="FootnoteReference"/>
                <w:rFonts w:ascii="Times New Roman" w:hAnsi="Times New Roman"/>
              </w:rPr>
              <w:footnoteReference w:id="4"/>
            </w:r>
            <w:r>
              <w:rPr>
                <w:rFonts w:ascii="Times New Roman" w:hAnsi="Times New Roman"/>
              </w:rPr>
              <w:t>:</w:t>
            </w:r>
            <w:r w:rsidR="009352DE" w:rsidRPr="0028116E">
              <w:rPr>
                <w:rFonts w:ascii="Times New Roman" w:hAnsi="Times New Roman"/>
              </w:rPr>
              <w:t>332 mg/l</w:t>
            </w:r>
          </w:p>
        </w:tc>
        <w:tc>
          <w:tcPr>
            <w:tcW w:w="1418" w:type="dxa"/>
            <w:shd w:val="clear" w:color="auto" w:fill="FFFFFF"/>
          </w:tcPr>
          <w:p w:rsidR="009352DE" w:rsidRPr="0028116E" w:rsidRDefault="009352DE" w:rsidP="009352DE">
            <w:pPr>
              <w:shd w:val="clear" w:color="auto" w:fill="FFFFFF"/>
              <w:spacing w:before="60" w:after="0"/>
              <w:rPr>
                <w:rFonts w:ascii="Times New Roman" w:hAnsi="Times New Roman"/>
              </w:rPr>
            </w:pPr>
          </w:p>
        </w:tc>
        <w:tc>
          <w:tcPr>
            <w:tcW w:w="1418" w:type="dxa"/>
            <w:shd w:val="clear" w:color="auto" w:fill="FFFFFF"/>
          </w:tcPr>
          <w:p w:rsidR="009352DE" w:rsidRDefault="009352DE" w:rsidP="009352DE">
            <w:pPr>
              <w:shd w:val="clear" w:color="auto" w:fill="FFFFFF"/>
              <w:spacing w:before="60" w:after="0"/>
              <w:rPr>
                <w:rFonts w:ascii="Times New Roman" w:hAnsi="Times New Roman"/>
              </w:rPr>
            </w:pPr>
            <w:r w:rsidRPr="0028116E">
              <w:rPr>
                <w:rFonts w:ascii="Times New Roman" w:hAnsi="Times New Roman"/>
              </w:rPr>
              <w:t>≤ 25 mg/l</w:t>
            </w:r>
          </w:p>
          <w:p w:rsidR="003C525D" w:rsidRPr="0028116E" w:rsidRDefault="003C525D" w:rsidP="009352DE">
            <w:pPr>
              <w:shd w:val="clear" w:color="auto" w:fill="FFFFFF"/>
              <w:spacing w:before="60" w:after="0"/>
              <w:rPr>
                <w:rFonts w:ascii="Times New Roman" w:hAnsi="Times New Roman"/>
              </w:rPr>
            </w:pPr>
          </w:p>
          <w:p w:rsidR="009352DE" w:rsidRDefault="009352DE" w:rsidP="009352DE">
            <w:pPr>
              <w:shd w:val="clear" w:color="auto" w:fill="FFFFFF"/>
              <w:spacing w:before="60" w:after="0"/>
              <w:rPr>
                <w:rFonts w:ascii="Times New Roman" w:hAnsi="Times New Roman"/>
              </w:rPr>
            </w:pPr>
            <w:r w:rsidRPr="0028116E">
              <w:rPr>
                <w:rFonts w:ascii="Times New Roman" w:hAnsi="Times New Roman"/>
              </w:rPr>
              <w:t>≤ 125 mg/l</w:t>
            </w:r>
          </w:p>
          <w:p w:rsidR="003C525D" w:rsidRPr="0028116E" w:rsidRDefault="003C525D" w:rsidP="009352DE">
            <w:pPr>
              <w:shd w:val="clear" w:color="auto" w:fill="FFFFFF"/>
              <w:spacing w:before="60" w:after="0"/>
              <w:rPr>
                <w:rFonts w:ascii="Times New Roman" w:hAnsi="Times New Roman"/>
              </w:rPr>
            </w:pPr>
          </w:p>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  35 mg/l</w:t>
            </w:r>
          </w:p>
        </w:tc>
        <w:tc>
          <w:tcPr>
            <w:tcW w:w="1557" w:type="dxa"/>
            <w:shd w:val="clear" w:color="auto" w:fill="FFFFFF"/>
          </w:tcPr>
          <w:p w:rsidR="009352DE" w:rsidRPr="0028116E" w:rsidRDefault="009352DE" w:rsidP="009352DE">
            <w:pPr>
              <w:numPr>
                <w:ilvl w:val="12"/>
                <w:numId w:val="0"/>
              </w:numPr>
              <w:shd w:val="clear" w:color="auto" w:fill="FFFFFF"/>
              <w:spacing w:before="60" w:after="0"/>
              <w:rPr>
                <w:rFonts w:ascii="Times New Roman" w:hAnsi="Times New Roman"/>
              </w:rPr>
            </w:pPr>
            <w:r w:rsidRPr="0028116E">
              <w:rPr>
                <w:rFonts w:ascii="Times New Roman" w:hAnsi="Times New Roman"/>
              </w:rPr>
              <w:t>Baseline – Feasibility Studies</w:t>
            </w:r>
          </w:p>
          <w:p w:rsidR="009352DE" w:rsidRPr="0028116E" w:rsidRDefault="009352DE" w:rsidP="009352DE">
            <w:pPr>
              <w:numPr>
                <w:ilvl w:val="12"/>
                <w:numId w:val="0"/>
              </w:numPr>
              <w:shd w:val="clear" w:color="auto" w:fill="FFFFFF"/>
              <w:spacing w:before="60" w:after="0"/>
              <w:rPr>
                <w:rFonts w:ascii="Times New Roman" w:hAnsi="Times New Roman"/>
              </w:rPr>
            </w:pPr>
            <w:r w:rsidRPr="0028116E">
              <w:rPr>
                <w:rFonts w:ascii="Times New Roman" w:hAnsi="Times New Roman"/>
              </w:rPr>
              <w:t>Target: Data from Public Utility companies</w:t>
            </w:r>
          </w:p>
        </w:tc>
        <w:tc>
          <w:tcPr>
            <w:tcW w:w="2126" w:type="dxa"/>
            <w:shd w:val="clear" w:color="auto" w:fill="FFFFFF"/>
          </w:tcPr>
          <w:p w:rsidR="009352DE" w:rsidRDefault="009352DE" w:rsidP="009352DE">
            <w:pPr>
              <w:numPr>
                <w:ilvl w:val="12"/>
                <w:numId w:val="0"/>
              </w:numPr>
              <w:shd w:val="clear" w:color="auto" w:fill="FFFFFF"/>
              <w:spacing w:before="60" w:after="0"/>
              <w:rPr>
                <w:rFonts w:ascii="Times New Roman" w:hAnsi="Times New Roman"/>
              </w:rPr>
            </w:pPr>
            <w:r w:rsidRPr="0028116E">
              <w:rPr>
                <w:rFonts w:ascii="Times New Roman" w:hAnsi="Times New Roman"/>
              </w:rPr>
              <w:t xml:space="preserve">Continued political support for harmonisation with the EU environmental acquis and for implementation of environmental legislation at all levels. </w:t>
            </w:r>
          </w:p>
          <w:p w:rsidR="003C525D" w:rsidRDefault="003C525D" w:rsidP="009352DE">
            <w:pPr>
              <w:numPr>
                <w:ilvl w:val="12"/>
                <w:numId w:val="0"/>
              </w:numPr>
              <w:shd w:val="clear" w:color="auto" w:fill="FFFFFF"/>
              <w:spacing w:before="60" w:after="0"/>
              <w:rPr>
                <w:rFonts w:ascii="Times New Roman" w:hAnsi="Times New Roman"/>
              </w:rPr>
            </w:pPr>
            <w:r>
              <w:rPr>
                <w:rFonts w:ascii="Times New Roman" w:hAnsi="Times New Roman"/>
              </w:rPr>
              <w:t>Societal support for the implementation of the environment legislation in practice</w:t>
            </w:r>
          </w:p>
          <w:p w:rsidR="003C525D" w:rsidRPr="0028116E" w:rsidRDefault="003C525D" w:rsidP="009352DE">
            <w:pPr>
              <w:numPr>
                <w:ilvl w:val="12"/>
                <w:numId w:val="0"/>
              </w:numPr>
              <w:shd w:val="clear" w:color="auto" w:fill="FFFFFF"/>
              <w:spacing w:before="60" w:after="0"/>
              <w:rPr>
                <w:rFonts w:ascii="Times New Roman" w:hAnsi="Times New Roman"/>
              </w:rPr>
            </w:pPr>
          </w:p>
          <w:p w:rsidR="009352DE" w:rsidRPr="0028116E" w:rsidRDefault="009352DE" w:rsidP="009352DE">
            <w:pPr>
              <w:numPr>
                <w:ilvl w:val="12"/>
                <w:numId w:val="0"/>
              </w:numPr>
              <w:shd w:val="clear" w:color="auto" w:fill="FFFFFF"/>
              <w:spacing w:before="60" w:after="0"/>
              <w:rPr>
                <w:rFonts w:ascii="Times New Roman" w:hAnsi="Times New Roman"/>
              </w:rPr>
            </w:pPr>
          </w:p>
        </w:tc>
      </w:tr>
      <w:tr w:rsidR="009352DE" w:rsidRPr="0028116E" w:rsidTr="00C6744D">
        <w:trPr>
          <w:trHeight w:val="358"/>
        </w:trPr>
        <w:tc>
          <w:tcPr>
            <w:tcW w:w="3402" w:type="dxa"/>
            <w:shd w:val="clear" w:color="auto" w:fill="FFFFFF"/>
          </w:tcPr>
          <w:p w:rsidR="009352DE" w:rsidRPr="0028116E" w:rsidRDefault="009352DE" w:rsidP="009352DE">
            <w:pPr>
              <w:numPr>
                <w:ilvl w:val="12"/>
                <w:numId w:val="0"/>
              </w:numPr>
              <w:shd w:val="clear" w:color="auto" w:fill="FFFFFF"/>
              <w:spacing w:before="100" w:beforeAutospacing="1" w:after="100" w:afterAutospacing="1"/>
              <w:jc w:val="center"/>
              <w:rPr>
                <w:rFonts w:ascii="Times New Roman" w:hAnsi="Times New Roman"/>
                <w:b/>
              </w:rPr>
            </w:pPr>
            <w:r w:rsidRPr="0028116E">
              <w:rPr>
                <w:rFonts w:ascii="Times New Roman" w:hAnsi="Times New Roman"/>
                <w:b/>
              </w:rPr>
              <w:lastRenderedPageBreak/>
              <w:t>OUTPUTS</w:t>
            </w:r>
          </w:p>
        </w:tc>
        <w:tc>
          <w:tcPr>
            <w:tcW w:w="3895" w:type="dxa"/>
            <w:shd w:val="clear" w:color="auto" w:fill="FFFFFF"/>
          </w:tcPr>
          <w:p w:rsidR="009352DE" w:rsidRPr="0028116E" w:rsidRDefault="009352DE" w:rsidP="009352DE">
            <w:pPr>
              <w:shd w:val="clear" w:color="auto" w:fill="FFFFFF"/>
              <w:spacing w:after="0"/>
              <w:jc w:val="center"/>
              <w:rPr>
                <w:rFonts w:ascii="Times New Roman" w:hAnsi="Times New Roman"/>
              </w:rPr>
            </w:pPr>
            <w:r w:rsidRPr="0028116E">
              <w:rPr>
                <w:rFonts w:ascii="Times New Roman" w:hAnsi="Times New Roman"/>
                <w:b/>
              </w:rPr>
              <w:t>OBJECTIVELY VERIFIABLE INDICATORS (*)</w:t>
            </w:r>
          </w:p>
        </w:tc>
        <w:tc>
          <w:tcPr>
            <w:tcW w:w="1493" w:type="dxa"/>
            <w:shd w:val="clear" w:color="auto" w:fill="FFFFFF"/>
          </w:tcPr>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BASELINES</w:t>
            </w:r>
          </w:p>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(2020)</w:t>
            </w:r>
          </w:p>
          <w:p w:rsidR="009352DE" w:rsidRPr="0028116E" w:rsidRDefault="009352DE" w:rsidP="009352DE">
            <w:pPr>
              <w:shd w:val="clear" w:color="auto" w:fill="FFFFFF"/>
              <w:spacing w:after="0"/>
              <w:ind w:left="-352"/>
              <w:jc w:val="center"/>
              <w:rPr>
                <w:rFonts w:ascii="Times New Roman" w:hAnsi="Times New Roman"/>
                <w:b/>
              </w:rPr>
            </w:pPr>
          </w:p>
        </w:tc>
        <w:tc>
          <w:tcPr>
            <w:tcW w:w="1418" w:type="dxa"/>
            <w:shd w:val="clear" w:color="auto" w:fill="FFFFFF"/>
          </w:tcPr>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MILESTONES</w:t>
            </w:r>
          </w:p>
          <w:p w:rsidR="009352DE" w:rsidRPr="0028116E" w:rsidRDefault="009352DE" w:rsidP="003C525D">
            <w:pPr>
              <w:shd w:val="clear" w:color="auto" w:fill="FFFFFF"/>
              <w:spacing w:after="0"/>
              <w:jc w:val="center"/>
              <w:rPr>
                <w:rFonts w:ascii="Times New Roman" w:hAnsi="Times New Roman"/>
                <w:b/>
              </w:rPr>
            </w:pPr>
            <w:r w:rsidRPr="0028116E">
              <w:rPr>
                <w:rFonts w:ascii="Times New Roman" w:hAnsi="Times New Roman"/>
                <w:b/>
              </w:rPr>
              <w:t>(2024)</w:t>
            </w:r>
          </w:p>
        </w:tc>
        <w:tc>
          <w:tcPr>
            <w:tcW w:w="1418" w:type="dxa"/>
            <w:shd w:val="clear" w:color="auto" w:fill="FFFFFF"/>
          </w:tcPr>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TARGETS</w:t>
            </w:r>
          </w:p>
          <w:p w:rsidR="009352DE" w:rsidRPr="0028116E" w:rsidRDefault="009352DE" w:rsidP="009352DE">
            <w:pPr>
              <w:shd w:val="clear" w:color="auto" w:fill="FFFFFF"/>
              <w:spacing w:after="0"/>
              <w:jc w:val="center"/>
              <w:rPr>
                <w:rFonts w:ascii="Times New Roman" w:hAnsi="Times New Roman"/>
                <w:b/>
              </w:rPr>
            </w:pPr>
            <w:r w:rsidRPr="0028116E">
              <w:rPr>
                <w:rFonts w:ascii="Times New Roman" w:hAnsi="Times New Roman"/>
                <w:b/>
              </w:rPr>
              <w:t>(2025)</w:t>
            </w:r>
          </w:p>
          <w:p w:rsidR="009352DE" w:rsidRPr="0028116E" w:rsidRDefault="009352DE" w:rsidP="009352DE">
            <w:pPr>
              <w:shd w:val="clear" w:color="auto" w:fill="FFFFFF"/>
              <w:spacing w:after="0"/>
              <w:jc w:val="center"/>
              <w:rPr>
                <w:rFonts w:ascii="Times New Roman" w:hAnsi="Times New Roman"/>
                <w:b/>
              </w:rPr>
            </w:pPr>
          </w:p>
        </w:tc>
        <w:tc>
          <w:tcPr>
            <w:tcW w:w="1557" w:type="dxa"/>
            <w:shd w:val="clear" w:color="auto" w:fill="FFFFFF"/>
          </w:tcPr>
          <w:p w:rsidR="009352DE" w:rsidRPr="0028116E" w:rsidRDefault="009352DE" w:rsidP="009352DE">
            <w:pPr>
              <w:shd w:val="clear" w:color="auto" w:fill="FFFFFF"/>
              <w:spacing w:after="0"/>
              <w:jc w:val="center"/>
              <w:rPr>
                <w:rFonts w:ascii="Times New Roman" w:hAnsi="Times New Roman"/>
              </w:rPr>
            </w:pPr>
            <w:r w:rsidRPr="0028116E">
              <w:rPr>
                <w:rFonts w:ascii="Times New Roman" w:hAnsi="Times New Roman"/>
                <w:b/>
              </w:rPr>
              <w:t>SOURCES OF VERIFICATION</w:t>
            </w:r>
          </w:p>
        </w:tc>
        <w:tc>
          <w:tcPr>
            <w:tcW w:w="2126" w:type="dxa"/>
            <w:shd w:val="clear" w:color="auto" w:fill="FFFFFF"/>
          </w:tcPr>
          <w:p w:rsidR="009352DE" w:rsidRPr="0028116E" w:rsidRDefault="009352DE" w:rsidP="009352DE">
            <w:pPr>
              <w:numPr>
                <w:ilvl w:val="12"/>
                <w:numId w:val="0"/>
              </w:numPr>
              <w:shd w:val="clear" w:color="auto" w:fill="FFFFFF"/>
              <w:spacing w:after="0"/>
              <w:jc w:val="center"/>
              <w:rPr>
                <w:rFonts w:ascii="Times New Roman" w:hAnsi="Times New Roman"/>
                <w:b/>
              </w:rPr>
            </w:pPr>
            <w:r w:rsidRPr="0028116E">
              <w:rPr>
                <w:rFonts w:ascii="Times New Roman" w:hAnsi="Times New Roman"/>
                <w:b/>
              </w:rPr>
              <w:t>ASSUMPTIONS</w:t>
            </w:r>
          </w:p>
        </w:tc>
      </w:tr>
      <w:tr w:rsidR="009352DE" w:rsidRPr="0028116E" w:rsidTr="00C6744D">
        <w:trPr>
          <w:trHeight w:val="1541"/>
        </w:trPr>
        <w:tc>
          <w:tcPr>
            <w:tcW w:w="3402" w:type="dxa"/>
            <w:shd w:val="clear" w:color="auto" w:fill="FFFFFF"/>
          </w:tcPr>
          <w:p w:rsidR="009352DE" w:rsidRPr="0028116E" w:rsidRDefault="009352DE" w:rsidP="009352DE">
            <w:pPr>
              <w:shd w:val="clear" w:color="auto" w:fill="FFFFFF"/>
              <w:autoSpaceDE w:val="0"/>
              <w:autoSpaceDN w:val="0"/>
              <w:adjustRightInd w:val="0"/>
              <w:rPr>
                <w:rFonts w:ascii="Times New Roman" w:hAnsi="Times New Roman"/>
              </w:rPr>
            </w:pPr>
            <w:r w:rsidRPr="0028116E">
              <w:rPr>
                <w:rFonts w:ascii="Times New Roman" w:hAnsi="Times New Roman"/>
                <w:b/>
              </w:rPr>
              <w:t xml:space="preserve">Output </w:t>
            </w:r>
            <w:r w:rsidR="003C525D">
              <w:rPr>
                <w:rFonts w:ascii="Times New Roman" w:hAnsi="Times New Roman"/>
                <w:b/>
              </w:rPr>
              <w:t>1</w:t>
            </w:r>
            <w:r w:rsidR="003C525D">
              <w:rPr>
                <w:rFonts w:ascii="Times New Roman" w:hAnsi="Times New Roman"/>
              </w:rPr>
              <w:t>: T</w:t>
            </w:r>
            <w:r w:rsidRPr="0028116E">
              <w:rPr>
                <w:rFonts w:ascii="Times New Roman" w:hAnsi="Times New Roman"/>
              </w:rPr>
              <w:t xml:space="preserve">o </w:t>
            </w:r>
            <w:r w:rsidRPr="0028116E">
              <w:rPr>
                <w:rFonts w:ascii="Times New Roman" w:hAnsi="Times New Roman"/>
                <w:bCs/>
                <w:lang w:eastAsia="hr-HR"/>
              </w:rPr>
              <w:t xml:space="preserve">rehabilitate/construct the sewerage systems in the municipalities of </w:t>
            </w:r>
            <w:proofErr w:type="spellStart"/>
            <w:r w:rsidRPr="0028116E">
              <w:rPr>
                <w:rFonts w:ascii="Times New Roman" w:hAnsi="Times New Roman"/>
                <w:bCs/>
                <w:lang w:eastAsia="hr-HR"/>
              </w:rPr>
              <w:t>Shtip</w:t>
            </w:r>
            <w:proofErr w:type="spellEnd"/>
            <w:r w:rsidRPr="0028116E">
              <w:rPr>
                <w:rFonts w:ascii="Times New Roman" w:hAnsi="Times New Roman"/>
                <w:bCs/>
                <w:lang w:eastAsia="hr-HR"/>
              </w:rPr>
              <w:t xml:space="preserve">, Veles and </w:t>
            </w:r>
            <w:proofErr w:type="spellStart"/>
            <w:r w:rsidRPr="0028116E">
              <w:rPr>
                <w:rFonts w:ascii="Times New Roman" w:hAnsi="Times New Roman"/>
                <w:bCs/>
                <w:lang w:eastAsia="hr-HR"/>
              </w:rPr>
              <w:t>Vinica</w:t>
            </w:r>
            <w:proofErr w:type="spellEnd"/>
            <w:r w:rsidRPr="0028116E">
              <w:rPr>
                <w:rFonts w:ascii="Times New Roman" w:hAnsi="Times New Roman"/>
                <w:bCs/>
                <w:lang w:eastAsia="hr-HR"/>
              </w:rPr>
              <w:t xml:space="preserve"> in order to collect wastewater and to transfer it to the wastewater treatment plants for treatment. </w:t>
            </w:r>
          </w:p>
          <w:p w:rsidR="009352DE" w:rsidRPr="0028116E" w:rsidRDefault="003C525D" w:rsidP="009352DE">
            <w:pPr>
              <w:shd w:val="clear" w:color="auto" w:fill="FFFFFF"/>
              <w:spacing w:before="60" w:after="0"/>
              <w:rPr>
                <w:rFonts w:ascii="Times New Roman" w:hAnsi="Times New Roman"/>
                <w:bCs/>
                <w:lang w:eastAsia="hr-HR"/>
              </w:rPr>
            </w:pPr>
            <w:r>
              <w:rPr>
                <w:rFonts w:ascii="Times New Roman" w:hAnsi="Times New Roman"/>
                <w:b/>
              </w:rPr>
              <w:t xml:space="preserve">Output </w:t>
            </w:r>
            <w:proofErr w:type="gramStart"/>
            <w:r>
              <w:rPr>
                <w:rFonts w:ascii="Times New Roman" w:hAnsi="Times New Roman"/>
                <w:b/>
              </w:rPr>
              <w:t xml:space="preserve">2 </w:t>
            </w:r>
            <w:r>
              <w:rPr>
                <w:rFonts w:ascii="Times New Roman" w:hAnsi="Times New Roman"/>
              </w:rPr>
              <w:t>:</w:t>
            </w:r>
            <w:proofErr w:type="gramEnd"/>
            <w:r>
              <w:rPr>
                <w:rFonts w:ascii="Times New Roman" w:hAnsi="Times New Roman"/>
              </w:rPr>
              <w:t xml:space="preserve"> T</w:t>
            </w:r>
            <w:r w:rsidR="009352DE" w:rsidRPr="0028116E">
              <w:rPr>
                <w:rFonts w:ascii="Times New Roman" w:hAnsi="Times New Roman"/>
              </w:rPr>
              <w:t xml:space="preserve">o construct two </w:t>
            </w:r>
            <w:r w:rsidR="009352DE" w:rsidRPr="0028116E">
              <w:rPr>
                <w:rFonts w:ascii="Times New Roman" w:hAnsi="Times New Roman"/>
                <w:bCs/>
                <w:lang w:eastAsia="hr-HR"/>
              </w:rPr>
              <w:t>wastewater treatment plants with secondary treatment,</w:t>
            </w:r>
            <w:r w:rsidR="009352DE" w:rsidRPr="0028116E">
              <w:rPr>
                <w:rFonts w:ascii="Times New Roman" w:hAnsi="Times New Roman"/>
                <w:lang w:eastAsia="sr-Latn-CS"/>
              </w:rPr>
              <w:t xml:space="preserve"> </w:t>
            </w:r>
            <w:r w:rsidR="009352DE" w:rsidRPr="0028116E">
              <w:rPr>
                <w:rFonts w:ascii="Times New Roman" w:hAnsi="Times New Roman"/>
                <w:bCs/>
                <w:lang w:eastAsia="hr-HR"/>
              </w:rPr>
              <w:t>Planned capacities of the wastewater treatment plants are 53,700 P.E. (</w:t>
            </w:r>
            <w:proofErr w:type="spellStart"/>
            <w:r w:rsidR="009352DE" w:rsidRPr="0028116E">
              <w:rPr>
                <w:rFonts w:ascii="Times New Roman" w:hAnsi="Times New Roman"/>
                <w:bCs/>
                <w:lang w:eastAsia="hr-HR"/>
              </w:rPr>
              <w:t>Shtip</w:t>
            </w:r>
            <w:proofErr w:type="spellEnd"/>
            <w:r w:rsidR="009352DE" w:rsidRPr="0028116E">
              <w:rPr>
                <w:rFonts w:ascii="Times New Roman" w:hAnsi="Times New Roman"/>
                <w:bCs/>
                <w:lang w:eastAsia="hr-HR"/>
              </w:rPr>
              <w:t>) and 53,100 P.E (Veles).</w:t>
            </w:r>
          </w:p>
          <w:p w:rsidR="009352DE" w:rsidRPr="0028116E" w:rsidRDefault="009352DE" w:rsidP="003C525D">
            <w:pPr>
              <w:shd w:val="clear" w:color="auto" w:fill="FFFFFF"/>
              <w:spacing w:before="60" w:after="0"/>
              <w:rPr>
                <w:rFonts w:ascii="Times New Roman" w:hAnsi="Times New Roman"/>
              </w:rPr>
            </w:pPr>
          </w:p>
        </w:tc>
        <w:tc>
          <w:tcPr>
            <w:tcW w:w="3895"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Km of sewerage rehabilitated</w:t>
            </w:r>
          </w:p>
          <w:p w:rsidR="00B43A97" w:rsidRPr="0028116E" w:rsidRDefault="00B43A97" w:rsidP="009352DE">
            <w:pPr>
              <w:shd w:val="clear" w:color="auto" w:fill="FFFFFF"/>
              <w:spacing w:before="60" w:after="0"/>
              <w:rPr>
                <w:rFonts w:ascii="Times New Roman" w:hAnsi="Times New Roman"/>
              </w:rPr>
            </w:pPr>
          </w:p>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Km of sewerage newly constructed</w:t>
            </w:r>
          </w:p>
          <w:p w:rsidR="00B43A97" w:rsidRPr="0028116E" w:rsidRDefault="00B43A97" w:rsidP="009352DE">
            <w:pPr>
              <w:shd w:val="clear" w:color="auto" w:fill="FFFFFF"/>
              <w:spacing w:before="60" w:after="0"/>
              <w:rPr>
                <w:rFonts w:ascii="Times New Roman" w:hAnsi="Times New Roman"/>
              </w:rPr>
            </w:pPr>
          </w:p>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Volume of sewerage treated by the wastewater treatment plants (in people equivalents P.E.)</w:t>
            </w:r>
          </w:p>
          <w:p w:rsidR="009352DE" w:rsidRPr="0028116E" w:rsidRDefault="009352DE" w:rsidP="009352DE">
            <w:pPr>
              <w:shd w:val="clear" w:color="auto" w:fill="FFFFFF"/>
              <w:spacing w:before="60" w:after="0"/>
              <w:rPr>
                <w:rFonts w:ascii="Times New Roman" w:hAnsi="Times New Roman"/>
              </w:rPr>
            </w:pPr>
          </w:p>
          <w:p w:rsidR="009352DE" w:rsidRPr="0028116E" w:rsidRDefault="009352DE" w:rsidP="009352DE">
            <w:pPr>
              <w:shd w:val="clear" w:color="auto" w:fill="FFFFFF"/>
              <w:spacing w:before="60" w:after="0"/>
              <w:rPr>
                <w:rFonts w:ascii="Times New Roman" w:hAnsi="Times New Roman"/>
              </w:rPr>
            </w:pPr>
          </w:p>
        </w:tc>
        <w:tc>
          <w:tcPr>
            <w:tcW w:w="1493"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0</w:t>
            </w:r>
          </w:p>
          <w:p w:rsidR="00B43A97" w:rsidRPr="0028116E" w:rsidRDefault="00B43A97" w:rsidP="009352DE">
            <w:pPr>
              <w:shd w:val="clear" w:color="auto" w:fill="FFFFFF"/>
              <w:spacing w:before="60" w:after="0"/>
              <w:rPr>
                <w:rFonts w:ascii="Times New Roman" w:hAnsi="Times New Roman"/>
              </w:rPr>
            </w:pPr>
          </w:p>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0</w:t>
            </w:r>
          </w:p>
          <w:p w:rsidR="00B43A97" w:rsidRPr="0028116E" w:rsidRDefault="00B43A97" w:rsidP="009352DE">
            <w:pPr>
              <w:shd w:val="clear" w:color="auto" w:fill="FFFFFF"/>
              <w:spacing w:before="60" w:after="0"/>
              <w:rPr>
                <w:rFonts w:ascii="Times New Roman" w:hAnsi="Times New Roman"/>
              </w:rPr>
            </w:pPr>
          </w:p>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0</w:t>
            </w:r>
          </w:p>
        </w:tc>
        <w:tc>
          <w:tcPr>
            <w:tcW w:w="1418" w:type="dxa"/>
            <w:shd w:val="clear" w:color="auto" w:fill="FFFFFF"/>
          </w:tcPr>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Taking Over Certificates and Performance Certificates issued by the supervising engineers</w:t>
            </w:r>
          </w:p>
        </w:tc>
        <w:tc>
          <w:tcPr>
            <w:tcW w:w="1418" w:type="dxa"/>
            <w:shd w:val="clear" w:color="auto" w:fill="FFFFFF"/>
          </w:tcPr>
          <w:p w:rsidR="009352DE" w:rsidRPr="0028116E" w:rsidRDefault="009352DE" w:rsidP="009352DE">
            <w:pPr>
              <w:shd w:val="clear" w:color="auto" w:fill="FFFFFF"/>
              <w:spacing w:before="60" w:after="0"/>
              <w:rPr>
                <w:rFonts w:ascii="Times New Roman" w:hAnsi="Times New Roman"/>
                <w:lang w:val="de-DE"/>
              </w:rPr>
            </w:pPr>
            <w:r w:rsidRPr="0028116E">
              <w:rPr>
                <w:rFonts w:ascii="Times New Roman" w:hAnsi="Times New Roman"/>
                <w:lang w:val="de-DE"/>
              </w:rPr>
              <w:t xml:space="preserve">28 Km + 11.2 Km + </w:t>
            </w:r>
            <w:r w:rsidR="004428EA" w:rsidRPr="0028116E">
              <w:rPr>
                <w:rFonts w:ascii="Times New Roman" w:hAnsi="Times New Roman"/>
                <w:lang w:val="de-DE"/>
              </w:rPr>
              <w:t>5,6km.</w:t>
            </w:r>
          </w:p>
          <w:p w:rsidR="009352DE" w:rsidRPr="0028116E" w:rsidRDefault="009352DE" w:rsidP="009352DE">
            <w:pPr>
              <w:shd w:val="clear" w:color="auto" w:fill="FFFFFF"/>
              <w:spacing w:before="60" w:after="0"/>
              <w:rPr>
                <w:rFonts w:ascii="Times New Roman" w:hAnsi="Times New Roman"/>
                <w:lang w:val="de-DE"/>
              </w:rPr>
            </w:pPr>
            <w:r w:rsidRPr="0028116E">
              <w:rPr>
                <w:rFonts w:ascii="Times New Roman" w:hAnsi="Times New Roman"/>
                <w:lang w:val="de-DE"/>
              </w:rPr>
              <w:t>8.2 Km + 37.6 Km +</w:t>
            </w:r>
            <w:r w:rsidR="004428EA" w:rsidRPr="0028116E">
              <w:rPr>
                <w:rFonts w:ascii="Times New Roman" w:hAnsi="Times New Roman"/>
                <w:lang w:val="de-DE"/>
              </w:rPr>
              <w:t>17,6km</w:t>
            </w:r>
          </w:p>
          <w:p w:rsidR="00B43A97" w:rsidRPr="0028116E" w:rsidRDefault="00B43A97" w:rsidP="009352DE">
            <w:pPr>
              <w:shd w:val="clear" w:color="auto" w:fill="FFFFFF"/>
              <w:spacing w:before="60" w:after="0"/>
              <w:rPr>
                <w:rFonts w:ascii="Times New Roman" w:hAnsi="Times New Roman"/>
                <w:lang w:val="de-DE"/>
              </w:rPr>
            </w:pPr>
          </w:p>
          <w:p w:rsidR="009352DE" w:rsidRPr="0028116E" w:rsidRDefault="009352DE" w:rsidP="009352DE">
            <w:pPr>
              <w:shd w:val="clear" w:color="auto" w:fill="FFFFFF"/>
              <w:spacing w:before="60" w:after="0"/>
              <w:rPr>
                <w:rFonts w:ascii="Times New Roman" w:hAnsi="Times New Roman"/>
              </w:rPr>
            </w:pPr>
            <w:r w:rsidRPr="0028116E">
              <w:rPr>
                <w:rFonts w:ascii="Times New Roman" w:hAnsi="Times New Roman"/>
              </w:rPr>
              <w:t>53,700 P.E. and 53,100 P.E.</w:t>
            </w:r>
            <w:r w:rsidR="004B1381" w:rsidRPr="0028116E">
              <w:rPr>
                <w:rFonts w:ascii="Times New Roman" w:hAnsi="Times New Roman"/>
              </w:rPr>
              <w:t xml:space="preserve"> and 19.500</w:t>
            </w:r>
            <w:r w:rsidR="002A074C" w:rsidRPr="0028116E">
              <w:rPr>
                <w:rFonts w:ascii="Times New Roman" w:hAnsi="Times New Roman"/>
              </w:rPr>
              <w:t xml:space="preserve"> P.E.</w:t>
            </w:r>
          </w:p>
          <w:p w:rsidR="009352DE" w:rsidRPr="0028116E" w:rsidRDefault="009352DE" w:rsidP="009352DE">
            <w:pPr>
              <w:shd w:val="clear" w:color="auto" w:fill="FFFFFF"/>
              <w:spacing w:before="60" w:after="0"/>
              <w:rPr>
                <w:rFonts w:ascii="Times New Roman" w:hAnsi="Times New Roman"/>
              </w:rPr>
            </w:pPr>
          </w:p>
        </w:tc>
        <w:tc>
          <w:tcPr>
            <w:tcW w:w="1557" w:type="dxa"/>
            <w:shd w:val="clear" w:color="auto" w:fill="FFFFFF"/>
          </w:tcPr>
          <w:p w:rsidR="009352DE" w:rsidRPr="0028116E" w:rsidRDefault="009352DE" w:rsidP="009352DE">
            <w:pPr>
              <w:numPr>
                <w:ilvl w:val="12"/>
                <w:numId w:val="0"/>
              </w:numPr>
              <w:shd w:val="clear" w:color="auto" w:fill="FFFFFF"/>
              <w:spacing w:before="60" w:after="0"/>
              <w:rPr>
                <w:rFonts w:ascii="Times New Roman" w:hAnsi="Times New Roman"/>
              </w:rPr>
            </w:pPr>
            <w:r w:rsidRPr="0028116E">
              <w:rPr>
                <w:rFonts w:ascii="Times New Roman" w:hAnsi="Times New Roman"/>
              </w:rPr>
              <w:t>Data from Public Utility Company</w:t>
            </w:r>
          </w:p>
        </w:tc>
        <w:tc>
          <w:tcPr>
            <w:tcW w:w="2126" w:type="dxa"/>
            <w:shd w:val="clear" w:color="auto" w:fill="FFFFFF"/>
          </w:tcPr>
          <w:p w:rsidR="009352DE" w:rsidRPr="0028116E" w:rsidRDefault="003C525D" w:rsidP="003C525D">
            <w:pPr>
              <w:shd w:val="clear" w:color="auto" w:fill="FFFFFF"/>
              <w:spacing w:before="60" w:after="0"/>
              <w:rPr>
                <w:rFonts w:ascii="Times New Roman" w:hAnsi="Times New Roman"/>
              </w:rPr>
            </w:pPr>
            <w:r>
              <w:rPr>
                <w:rFonts w:ascii="Times New Roman" w:hAnsi="Times New Roman"/>
              </w:rPr>
              <w:t xml:space="preserve">The funding of municipalities revised to allow the </w:t>
            </w:r>
            <w:r w:rsidRPr="0028116E">
              <w:rPr>
                <w:rFonts w:ascii="Times New Roman" w:hAnsi="Times New Roman"/>
              </w:rPr>
              <w:t xml:space="preserve"> appropriate levels of huma</w:t>
            </w:r>
            <w:r>
              <w:rPr>
                <w:rFonts w:ascii="Times New Roman" w:hAnsi="Times New Roman"/>
              </w:rPr>
              <w:t xml:space="preserve">n and financial resources back-up the municipal decision-making </w:t>
            </w:r>
            <w:r w:rsidR="00E17FAA">
              <w:rPr>
                <w:rFonts w:ascii="Times New Roman" w:hAnsi="Times New Roman"/>
              </w:rPr>
              <w:t>and</w:t>
            </w:r>
            <w:r>
              <w:rPr>
                <w:rFonts w:ascii="Times New Roman" w:hAnsi="Times New Roman"/>
              </w:rPr>
              <w:t xml:space="preserve"> management </w:t>
            </w:r>
            <w:r w:rsidR="00E17FAA">
              <w:rPr>
                <w:rFonts w:ascii="Times New Roman" w:hAnsi="Times New Roman"/>
              </w:rPr>
              <w:t>practice</w:t>
            </w:r>
          </w:p>
        </w:tc>
      </w:tr>
      <w:tr w:rsidR="009352DE" w:rsidRPr="0028116E" w:rsidTr="00275CA9">
        <w:trPr>
          <w:trHeight w:val="332"/>
        </w:trPr>
        <w:tc>
          <w:tcPr>
            <w:tcW w:w="3402" w:type="dxa"/>
            <w:shd w:val="clear" w:color="auto" w:fill="FFFFFF"/>
          </w:tcPr>
          <w:p w:rsidR="009352DE" w:rsidRPr="0028116E" w:rsidRDefault="009352DE" w:rsidP="009352DE">
            <w:pPr>
              <w:shd w:val="clear" w:color="auto" w:fill="FFFFFF"/>
              <w:autoSpaceDE w:val="0"/>
              <w:autoSpaceDN w:val="0"/>
              <w:adjustRightInd w:val="0"/>
              <w:jc w:val="center"/>
              <w:rPr>
                <w:rFonts w:ascii="Times New Roman" w:hAnsi="Times New Roman"/>
              </w:rPr>
            </w:pPr>
            <w:r w:rsidRPr="0028116E">
              <w:rPr>
                <w:rFonts w:ascii="Times New Roman" w:hAnsi="Times New Roman"/>
                <w:b/>
              </w:rPr>
              <w:t>BROAD ARRANGEMENTS FOR IMPLEMENTATION (IF AVAILABLE)</w:t>
            </w:r>
          </w:p>
        </w:tc>
        <w:tc>
          <w:tcPr>
            <w:tcW w:w="11907" w:type="dxa"/>
            <w:gridSpan w:val="6"/>
            <w:shd w:val="clear" w:color="auto" w:fill="FFFFFF"/>
          </w:tcPr>
          <w:p w:rsidR="009352DE" w:rsidRPr="0028116E" w:rsidRDefault="009352DE" w:rsidP="009352DE">
            <w:pPr>
              <w:spacing w:after="120"/>
              <w:rPr>
                <w:rFonts w:ascii="Times New Roman" w:hAnsi="Times New Roman"/>
              </w:rPr>
            </w:pPr>
            <w:r w:rsidRPr="0028116E">
              <w:rPr>
                <w:rFonts w:ascii="Times New Roman" w:hAnsi="Times New Roman"/>
              </w:rPr>
              <w:t>This action will be implemented through indirect management with beneficiary country</w:t>
            </w:r>
            <w:r w:rsidR="00E17FAA">
              <w:rPr>
                <w:rFonts w:ascii="Times New Roman" w:hAnsi="Times New Roman"/>
              </w:rPr>
              <w:t xml:space="preserve"> (or alternatively with an international organisation)</w:t>
            </w:r>
            <w:r w:rsidRPr="0028116E">
              <w:rPr>
                <w:rFonts w:ascii="Times New Roman" w:hAnsi="Times New Roman"/>
              </w:rPr>
              <w:t xml:space="preserve">. </w:t>
            </w:r>
          </w:p>
          <w:p w:rsidR="009352DE" w:rsidRPr="0028116E" w:rsidRDefault="009352DE" w:rsidP="009352DE">
            <w:pPr>
              <w:spacing w:after="120"/>
              <w:rPr>
                <w:rFonts w:ascii="Times New Roman" w:hAnsi="Times New Roman"/>
              </w:rPr>
            </w:pPr>
            <w:r w:rsidRPr="0028116E">
              <w:rPr>
                <w:rFonts w:ascii="Times New Roman" w:hAnsi="Times New Roman"/>
              </w:rPr>
              <w:t>Blending of the IPA funds with financial resources and grants from other IFIs and /or international organizations is preferred.</w:t>
            </w:r>
          </w:p>
          <w:p w:rsidR="009352DE" w:rsidRPr="007A258F" w:rsidRDefault="009352DE" w:rsidP="007A258F">
            <w:pPr>
              <w:shd w:val="clear" w:color="auto" w:fill="FFFFFF"/>
              <w:spacing w:before="60" w:after="0"/>
              <w:rPr>
                <w:rFonts w:ascii="Times New Roman" w:hAnsi="Times New Roman"/>
                <w:bCs/>
                <w:lang w:eastAsia="hr-HR"/>
              </w:rPr>
            </w:pPr>
            <w:r w:rsidRPr="0028116E">
              <w:rPr>
                <w:rFonts w:ascii="Times New Roman" w:hAnsi="Times New Roman"/>
              </w:rPr>
              <w:t xml:space="preserve">The implementation </w:t>
            </w:r>
            <w:r w:rsidR="007A258F">
              <w:rPr>
                <w:rFonts w:ascii="Times New Roman" w:hAnsi="Times New Roman"/>
              </w:rPr>
              <w:t>will</w:t>
            </w:r>
            <w:r w:rsidRPr="0028116E">
              <w:rPr>
                <w:rFonts w:ascii="Times New Roman" w:hAnsi="Times New Roman"/>
              </w:rPr>
              <w:t xml:space="preserve"> involves service, supply and works contracts. </w:t>
            </w:r>
            <w:r w:rsidR="003C525D" w:rsidRPr="0028116E">
              <w:rPr>
                <w:rFonts w:ascii="Times New Roman" w:hAnsi="Times New Roman"/>
                <w:bCs/>
                <w:lang w:eastAsia="hr-HR"/>
              </w:rPr>
              <w:t xml:space="preserve">Technical assistance for the supervision of the works </w:t>
            </w:r>
            <w:proofErr w:type="gramStart"/>
            <w:r w:rsidR="003C525D" w:rsidRPr="0028116E">
              <w:rPr>
                <w:rFonts w:ascii="Times New Roman" w:hAnsi="Times New Roman"/>
                <w:bCs/>
                <w:lang w:eastAsia="hr-HR"/>
              </w:rPr>
              <w:t>is envisaged</w:t>
            </w:r>
            <w:proofErr w:type="gramEnd"/>
            <w:r w:rsidR="003C525D" w:rsidRPr="0028116E">
              <w:rPr>
                <w:rFonts w:ascii="Times New Roman" w:hAnsi="Times New Roman"/>
                <w:bCs/>
                <w:lang w:eastAsia="hr-HR"/>
              </w:rPr>
              <w:t xml:space="preserve"> within this action in order to achieve the outputs.</w:t>
            </w:r>
            <w:bookmarkStart w:id="2" w:name="_GoBack"/>
            <w:bookmarkEnd w:id="2"/>
          </w:p>
        </w:tc>
      </w:tr>
    </w:tbl>
    <w:p w:rsidR="00275CA9" w:rsidRPr="0028116E" w:rsidRDefault="00275CA9" w:rsidP="00D92F6C">
      <w:pPr>
        <w:rPr>
          <w:rFonts w:ascii="Times New Roman" w:hAnsi="Times New Roman"/>
          <w:b/>
          <w:bCs/>
          <w:smallCaps/>
          <w:sz w:val="24"/>
          <w:szCs w:val="24"/>
        </w:rPr>
        <w:sectPr w:rsidR="00275CA9" w:rsidRPr="0028116E" w:rsidSect="00275CA9">
          <w:pgSz w:w="16838" w:h="11906" w:orient="landscape"/>
          <w:pgMar w:top="567" w:right="1440" w:bottom="426" w:left="1440" w:header="708" w:footer="201" w:gutter="0"/>
          <w:cols w:space="708"/>
          <w:docGrid w:linePitch="360"/>
        </w:sectPr>
      </w:pPr>
    </w:p>
    <w:p w:rsidR="00E607F2" w:rsidRPr="0028116E" w:rsidRDefault="00E607F2" w:rsidP="00550947">
      <w:pPr>
        <w:rPr>
          <w:rFonts w:ascii="Times New Roman" w:hAnsi="Times New Roman"/>
          <w:sz w:val="24"/>
          <w:szCs w:val="24"/>
        </w:rPr>
      </w:pPr>
    </w:p>
    <w:sectPr w:rsidR="00E607F2" w:rsidRPr="0028116E" w:rsidSect="00275CA9">
      <w:pgSz w:w="16838" w:h="11906" w:orient="landscape"/>
      <w:pgMar w:top="567" w:right="1440" w:bottom="426" w:left="1440" w:header="708"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BB5" w:rsidRDefault="002B2BB5" w:rsidP="00D92F6C">
      <w:pPr>
        <w:spacing w:after="0" w:line="240" w:lineRule="auto"/>
      </w:pPr>
      <w:r>
        <w:separator/>
      </w:r>
    </w:p>
  </w:endnote>
  <w:endnote w:type="continuationSeparator" w:id="0">
    <w:p w:rsidR="002B2BB5" w:rsidRDefault="002B2BB5"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altName w:val="Courier New"/>
    <w:panose1 w:val="00000400000000000000"/>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BB5" w:rsidRDefault="002B2BB5" w:rsidP="00D92F6C">
      <w:pPr>
        <w:spacing w:after="0" w:line="240" w:lineRule="auto"/>
      </w:pPr>
      <w:r>
        <w:separator/>
      </w:r>
    </w:p>
  </w:footnote>
  <w:footnote w:type="continuationSeparator" w:id="0">
    <w:p w:rsidR="002B2BB5" w:rsidRDefault="002B2BB5" w:rsidP="00D92F6C">
      <w:pPr>
        <w:spacing w:after="0" w:line="240" w:lineRule="auto"/>
      </w:pPr>
      <w:r>
        <w:continuationSeparator/>
      </w:r>
    </w:p>
  </w:footnote>
  <w:footnote w:id="1">
    <w:p w:rsidR="003C525D" w:rsidRPr="0028116E" w:rsidRDefault="003C525D" w:rsidP="003C525D">
      <w:pPr>
        <w:shd w:val="clear" w:color="auto" w:fill="FFFFFF"/>
        <w:spacing w:before="60" w:after="0"/>
        <w:rPr>
          <w:rFonts w:ascii="Times New Roman" w:hAnsi="Times New Roman"/>
        </w:rPr>
      </w:pPr>
      <w:r>
        <w:rPr>
          <w:rStyle w:val="FootnoteReference"/>
        </w:rPr>
        <w:footnoteRef/>
      </w:r>
      <w:r>
        <w:t xml:space="preserve"> </w:t>
      </w:r>
      <w:r w:rsidRPr="0028116E">
        <w:rPr>
          <w:rFonts w:ascii="Times New Roman" w:hAnsi="Times New Roman"/>
        </w:rPr>
        <w:t>task 6 – estimation</w:t>
      </w:r>
      <w:r>
        <w:rPr>
          <w:rFonts w:ascii="Times New Roman" w:hAnsi="Times New Roman"/>
        </w:rPr>
        <w:t xml:space="preserve"> total national P.E. 2.328.316</w:t>
      </w:r>
    </w:p>
    <w:p w:rsidR="003C525D" w:rsidRDefault="003C525D" w:rsidP="003C525D">
      <w:pPr>
        <w:pStyle w:val="FootnoteText"/>
      </w:pPr>
      <w:r w:rsidRPr="0028116E">
        <w:rPr>
          <w:rFonts w:ascii="Times New Roman" w:hAnsi="Times New Roman"/>
          <w:sz w:val="22"/>
          <w:szCs w:val="22"/>
        </w:rPr>
        <w:t xml:space="preserve">** This includes WWTPs in Bitola, Tetovo, </w:t>
      </w:r>
      <w:proofErr w:type="spellStart"/>
      <w:r w:rsidRPr="0028116E">
        <w:rPr>
          <w:rFonts w:ascii="Times New Roman" w:hAnsi="Times New Roman"/>
          <w:sz w:val="22"/>
          <w:szCs w:val="22"/>
        </w:rPr>
        <w:t>Kochani</w:t>
      </w:r>
      <w:proofErr w:type="spellEnd"/>
      <w:r w:rsidRPr="0028116E">
        <w:rPr>
          <w:rFonts w:ascii="Times New Roman" w:hAnsi="Times New Roman"/>
          <w:sz w:val="22"/>
          <w:szCs w:val="22"/>
        </w:rPr>
        <w:t xml:space="preserve">, Veles and </w:t>
      </w:r>
      <w:proofErr w:type="spellStart"/>
      <w:r w:rsidRPr="0028116E">
        <w:rPr>
          <w:rFonts w:ascii="Times New Roman" w:hAnsi="Times New Roman"/>
          <w:sz w:val="22"/>
          <w:szCs w:val="22"/>
        </w:rPr>
        <w:t>Shtip</w:t>
      </w:r>
      <w:proofErr w:type="spellEnd"/>
    </w:p>
  </w:footnote>
  <w:footnote w:id="2">
    <w:p w:rsidR="003C525D" w:rsidRDefault="003C525D">
      <w:pPr>
        <w:pStyle w:val="FootnoteText"/>
      </w:pPr>
      <w:r>
        <w:rPr>
          <w:rStyle w:val="FootnoteReference"/>
        </w:rPr>
        <w:footnoteRef/>
      </w:r>
      <w:r>
        <w:t xml:space="preserve"> </w:t>
      </w:r>
      <w:r w:rsidRPr="0028116E">
        <w:rPr>
          <w:rFonts w:ascii="Times New Roman" w:hAnsi="Times New Roman"/>
          <w:sz w:val="22"/>
          <w:szCs w:val="22"/>
        </w:rPr>
        <w:t>biological oxygen demand</w:t>
      </w:r>
    </w:p>
  </w:footnote>
  <w:footnote w:id="3">
    <w:p w:rsidR="003C525D" w:rsidRDefault="003C525D">
      <w:pPr>
        <w:pStyle w:val="FootnoteText"/>
      </w:pPr>
      <w:r>
        <w:rPr>
          <w:rStyle w:val="FootnoteReference"/>
        </w:rPr>
        <w:footnoteRef/>
      </w:r>
      <w:r>
        <w:t xml:space="preserve"> </w:t>
      </w:r>
      <w:r w:rsidRPr="0028116E">
        <w:rPr>
          <w:rFonts w:ascii="Times New Roman" w:hAnsi="Times New Roman"/>
          <w:sz w:val="22"/>
          <w:szCs w:val="22"/>
        </w:rPr>
        <w:t>chemical oxygen demand</w:t>
      </w:r>
    </w:p>
  </w:footnote>
  <w:footnote w:id="4">
    <w:p w:rsidR="003C525D" w:rsidRDefault="003C525D">
      <w:pPr>
        <w:pStyle w:val="FootnoteText"/>
      </w:pPr>
      <w:r>
        <w:rPr>
          <w:rStyle w:val="FootnoteReference"/>
        </w:rPr>
        <w:footnoteRef/>
      </w:r>
      <w:r>
        <w:t xml:space="preserve"> </w:t>
      </w:r>
      <w:r w:rsidRPr="0028116E">
        <w:rPr>
          <w:rFonts w:ascii="Times New Roman" w:hAnsi="Times New Roman"/>
          <w:sz w:val="22"/>
          <w:szCs w:val="22"/>
        </w:rPr>
        <w:t>total suspended solids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76C43"/>
    <w:multiLevelType w:val="hybridMultilevel"/>
    <w:tmpl w:val="2FD694A6"/>
    <w:lvl w:ilvl="0" w:tplc="080C0001">
      <w:start w:val="1"/>
      <w:numFmt w:val="bullet"/>
      <w:lvlText w:val=""/>
      <w:lvlJc w:val="left"/>
      <w:pPr>
        <w:ind w:left="1070" w:hanging="710"/>
      </w:pPr>
      <w:rPr>
        <w:rFonts w:ascii="Symbol" w:hAnsi="Symbol" w:hint="default"/>
        <w:b w:val="0"/>
        <w:strike w:val="0"/>
        <w:dstrike w:val="0"/>
        <w:sz w:val="24"/>
        <w:u w:val="none"/>
        <w:effect w:val="none"/>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09DB575D"/>
    <w:multiLevelType w:val="hybridMultilevel"/>
    <w:tmpl w:val="99A4B4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2F6C"/>
    <w:rsid w:val="0006235F"/>
    <w:rsid w:val="001505CF"/>
    <w:rsid w:val="001B3624"/>
    <w:rsid w:val="002076E5"/>
    <w:rsid w:val="00275CA9"/>
    <w:rsid w:val="0028116E"/>
    <w:rsid w:val="002A074C"/>
    <w:rsid w:val="002B151B"/>
    <w:rsid w:val="002B2BB5"/>
    <w:rsid w:val="003C525D"/>
    <w:rsid w:val="004111DB"/>
    <w:rsid w:val="004428EA"/>
    <w:rsid w:val="00442A1A"/>
    <w:rsid w:val="004A6099"/>
    <w:rsid w:val="004B1381"/>
    <w:rsid w:val="004F6D9B"/>
    <w:rsid w:val="00550947"/>
    <w:rsid w:val="0063001C"/>
    <w:rsid w:val="00682E88"/>
    <w:rsid w:val="00725034"/>
    <w:rsid w:val="00765A23"/>
    <w:rsid w:val="007A258F"/>
    <w:rsid w:val="007F6C1A"/>
    <w:rsid w:val="009352DE"/>
    <w:rsid w:val="00983DD5"/>
    <w:rsid w:val="00985322"/>
    <w:rsid w:val="009E39AE"/>
    <w:rsid w:val="00A37EC8"/>
    <w:rsid w:val="00B10991"/>
    <w:rsid w:val="00B14F57"/>
    <w:rsid w:val="00B43A97"/>
    <w:rsid w:val="00B7453D"/>
    <w:rsid w:val="00C6744D"/>
    <w:rsid w:val="00D51CB3"/>
    <w:rsid w:val="00D92F6C"/>
    <w:rsid w:val="00E15219"/>
    <w:rsid w:val="00E17FAA"/>
    <w:rsid w:val="00E607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DD8CB0"/>
  <w15:docId w15:val="{61661E1B-E9EC-42A7-A39E-52EE144B7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lang w:val="x-none" w:eastAsia="x-none"/>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val="x-none"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val="x-none"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946468">
      <w:bodyDiv w:val="1"/>
      <w:marLeft w:val="0"/>
      <w:marRight w:val="0"/>
      <w:marTop w:val="0"/>
      <w:marBottom w:val="0"/>
      <w:divBdr>
        <w:top w:val="none" w:sz="0" w:space="0" w:color="auto"/>
        <w:left w:val="none" w:sz="0" w:space="0" w:color="auto"/>
        <w:bottom w:val="none" w:sz="0" w:space="0" w:color="auto"/>
        <w:right w:val="none" w:sz="0" w:space="0" w:color="auto"/>
      </w:divBdr>
    </w:div>
    <w:div w:id="708722023">
      <w:bodyDiv w:val="1"/>
      <w:marLeft w:val="0"/>
      <w:marRight w:val="0"/>
      <w:marTop w:val="0"/>
      <w:marBottom w:val="0"/>
      <w:divBdr>
        <w:top w:val="none" w:sz="0" w:space="0" w:color="auto"/>
        <w:left w:val="none" w:sz="0" w:space="0" w:color="auto"/>
        <w:bottom w:val="none" w:sz="0" w:space="0" w:color="auto"/>
        <w:right w:val="none" w:sz="0" w:space="0" w:color="auto"/>
      </w:divBdr>
    </w:div>
    <w:div w:id="208282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BD3BF-CF1E-40BF-9738-6FE2B5113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1235</Words>
  <Characters>7389</Characters>
  <Application>Microsoft Office Word</Application>
  <DocSecurity>0</DocSecurity>
  <Lines>335</Lines>
  <Paragraphs>119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SAVIOLO Andrea (NEAR)</dc:creator>
  <cp:keywords/>
  <dc:description/>
  <cp:lastModifiedBy>PRODANOVA Donka (EEAS-SKOPJE)</cp:lastModifiedBy>
  <cp:revision>10</cp:revision>
  <dcterms:created xsi:type="dcterms:W3CDTF">2020-06-15T14:56:00Z</dcterms:created>
  <dcterms:modified xsi:type="dcterms:W3CDTF">2020-07-07T10:32:00Z</dcterms:modified>
</cp:coreProperties>
</file>