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6C" w:rsidRPr="002857E6" w:rsidRDefault="00B10991" w:rsidP="00D92F6C">
      <w:pPr>
        <w:pStyle w:val="Heading2"/>
        <w:rPr>
          <w:rFonts w:ascii="Times New Roman" w:hAnsi="Times New Roman"/>
          <w:b w:val="0"/>
          <w:bCs w:val="0"/>
          <w:smallCaps/>
          <w:sz w:val="28"/>
          <w:szCs w:val="28"/>
          <w:lang w:val="it-IT"/>
        </w:rPr>
      </w:pPr>
      <w:bookmarkStart w:id="0" w:name="_Toc33714665"/>
      <w:r w:rsidRPr="002857E6">
        <w:rPr>
          <w:rFonts w:ascii="Times New Roman" w:hAnsi="Times New Roman"/>
          <w:smallCaps/>
          <w:color w:val="auto"/>
          <w:sz w:val="28"/>
          <w:szCs w:val="28"/>
          <w:lang w:val="it-IT"/>
        </w:rPr>
        <w:t xml:space="preserve">ANNEX I –IPA III </w:t>
      </w:r>
      <w:r w:rsidR="00D92F6C" w:rsidRPr="002857E6">
        <w:rPr>
          <w:rFonts w:ascii="Times New Roman" w:hAnsi="Times New Roman"/>
          <w:smallCaps/>
          <w:color w:val="auto"/>
          <w:sz w:val="28"/>
          <w:szCs w:val="28"/>
          <w:lang w:val="it-IT"/>
        </w:rPr>
        <w:t>A</w:t>
      </w:r>
      <w:r w:rsidRPr="002857E6">
        <w:rPr>
          <w:rFonts w:ascii="Times New Roman" w:hAnsi="Times New Roman"/>
          <w:smallCaps/>
          <w:color w:val="auto"/>
          <w:sz w:val="28"/>
          <w:szCs w:val="28"/>
          <w:lang w:val="it-IT"/>
        </w:rPr>
        <w:t xml:space="preserve">ction Fiche </w:t>
      </w:r>
      <w:bookmarkEnd w:id="0"/>
    </w:p>
    <w:p w:rsidR="00D92F6C" w:rsidRPr="002857E6" w:rsidRDefault="00D92F6C" w:rsidP="00D92F6C">
      <w:pPr>
        <w:keepNext/>
        <w:keepLines/>
        <w:spacing w:before="200" w:after="0"/>
        <w:outlineLvl w:val="1"/>
        <w:rPr>
          <w:rFonts w:ascii="Times New Roman" w:hAnsi="Times New Roman"/>
          <w:b/>
          <w:bCs/>
          <w:smallCaps/>
          <w:sz w:val="24"/>
          <w:szCs w:val="24"/>
          <w:lang w:val="it-IT"/>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2857E6" w:rsidTr="008B302D">
        <w:trPr>
          <w:jc w:val="center"/>
        </w:trPr>
        <w:tc>
          <w:tcPr>
            <w:tcW w:w="534" w:type="dxa"/>
            <w:tcBorders>
              <w:top w:val="single" w:sz="4" w:space="0" w:color="auto"/>
              <w:left w:val="single" w:sz="4" w:space="0" w:color="auto"/>
              <w:bottom w:val="single" w:sz="4" w:space="0" w:color="auto"/>
              <w:right w:val="single" w:sz="4" w:space="0" w:color="auto"/>
            </w:tcBorders>
          </w:tcPr>
          <w:p w:rsidR="00D92F6C" w:rsidRPr="002857E6" w:rsidRDefault="00D92F6C" w:rsidP="008B302D">
            <w:pPr>
              <w:spacing w:after="0" w:line="240" w:lineRule="auto"/>
              <w:rPr>
                <w:rFonts w:ascii="Times New Roman" w:hAnsi="Times New Roman"/>
                <w:b/>
                <w:sz w:val="24"/>
                <w:szCs w:val="24"/>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D92F6C" w:rsidP="008B302D">
            <w:pPr>
              <w:spacing w:after="0" w:line="240" w:lineRule="auto"/>
              <w:rPr>
                <w:rFonts w:ascii="Times New Roman" w:hAnsi="Times New Roman"/>
                <w:sz w:val="24"/>
                <w:szCs w:val="24"/>
              </w:rPr>
            </w:pPr>
            <w:r w:rsidRPr="002857E6">
              <w:rPr>
                <w:rFonts w:ascii="Times New Roman" w:hAnsi="Times New Roman"/>
                <w:sz w:val="24"/>
                <w:szCs w:val="24"/>
              </w:rPr>
              <w:t>Indicative title of the Action</w:t>
            </w:r>
          </w:p>
          <w:p w:rsidR="00D92F6C" w:rsidRPr="002857E6" w:rsidRDefault="00D92F6C" w:rsidP="008B302D">
            <w:pPr>
              <w:spacing w:after="0" w:line="240" w:lineRule="auto"/>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3454A8" w:rsidP="00B73262">
            <w:pPr>
              <w:spacing w:after="0" w:line="240" w:lineRule="auto"/>
              <w:rPr>
                <w:rFonts w:ascii="Times New Roman" w:hAnsi="Times New Roman"/>
                <w:b/>
                <w:bCs/>
                <w:sz w:val="24"/>
                <w:szCs w:val="24"/>
              </w:rPr>
            </w:pPr>
            <w:r w:rsidRPr="002857E6">
              <w:rPr>
                <w:rFonts w:ascii="Times New Roman" w:hAnsi="Times New Roman"/>
                <w:b/>
                <w:bCs/>
                <w:sz w:val="24"/>
                <w:szCs w:val="24"/>
              </w:rPr>
              <w:t xml:space="preserve">EU </w:t>
            </w:r>
            <w:r w:rsidR="00B73262" w:rsidRPr="002857E6">
              <w:rPr>
                <w:rFonts w:ascii="Times New Roman" w:hAnsi="Times New Roman"/>
                <w:b/>
                <w:bCs/>
                <w:sz w:val="24"/>
                <w:szCs w:val="24"/>
              </w:rPr>
              <w:t>for</w:t>
            </w:r>
            <w:r w:rsidRPr="002857E6">
              <w:rPr>
                <w:rFonts w:ascii="Times New Roman" w:hAnsi="Times New Roman"/>
                <w:b/>
                <w:bCs/>
                <w:sz w:val="24"/>
                <w:szCs w:val="24"/>
              </w:rPr>
              <w:t xml:space="preserve"> </w:t>
            </w:r>
            <w:r w:rsidR="00B73262" w:rsidRPr="002857E6">
              <w:rPr>
                <w:rFonts w:ascii="Times New Roman" w:hAnsi="Times New Roman"/>
                <w:b/>
                <w:bCs/>
                <w:sz w:val="24"/>
                <w:szCs w:val="24"/>
              </w:rPr>
              <w:t>Trade Facilitation</w:t>
            </w:r>
          </w:p>
        </w:tc>
      </w:tr>
      <w:tr w:rsidR="00D92F6C" w:rsidRPr="002857E6" w:rsidTr="008B302D">
        <w:trPr>
          <w:jc w:val="center"/>
        </w:trPr>
        <w:tc>
          <w:tcPr>
            <w:tcW w:w="534" w:type="dxa"/>
            <w:vMerge w:val="restart"/>
            <w:tcBorders>
              <w:top w:val="single" w:sz="4" w:space="0" w:color="auto"/>
              <w:left w:val="single" w:sz="4" w:space="0" w:color="auto"/>
              <w:right w:val="single" w:sz="4" w:space="0" w:color="auto"/>
            </w:tcBorders>
            <w:textDirection w:val="btLr"/>
          </w:tcPr>
          <w:p w:rsidR="00D92F6C" w:rsidRPr="002857E6" w:rsidRDefault="00D92F6C" w:rsidP="008B302D">
            <w:pPr>
              <w:spacing w:after="0" w:line="240" w:lineRule="auto"/>
              <w:ind w:left="113" w:right="113"/>
              <w:rPr>
                <w:rFonts w:ascii="Times New Roman" w:hAnsi="Times New Roman"/>
                <w:sz w:val="24"/>
                <w:szCs w:val="24"/>
              </w:rPr>
            </w:pPr>
            <w:r w:rsidRPr="002857E6">
              <w:rPr>
                <w:rFonts w:ascii="Times New Roman" w:hAnsi="Times New Roman"/>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D92F6C" w:rsidP="008B302D">
            <w:pPr>
              <w:spacing w:after="0" w:line="240" w:lineRule="auto"/>
              <w:rPr>
                <w:rFonts w:ascii="Times New Roman" w:hAnsi="Times New Roman"/>
                <w:sz w:val="24"/>
                <w:szCs w:val="24"/>
              </w:rPr>
            </w:pPr>
            <w:r w:rsidRPr="002857E6">
              <w:rPr>
                <w:rFonts w:ascii="Times New Roman" w:hAnsi="Times New Roman"/>
                <w:sz w:val="24"/>
                <w:szCs w:val="24"/>
              </w:rPr>
              <w:t>Key thematic priority</w:t>
            </w:r>
          </w:p>
          <w:p w:rsidR="00D92F6C" w:rsidRPr="002857E6" w:rsidRDefault="00D92F6C" w:rsidP="008B302D">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267F6" w:rsidRPr="002857E6" w:rsidRDefault="00A1226A" w:rsidP="00E523C4">
            <w:pPr>
              <w:spacing w:after="120" w:line="240" w:lineRule="auto"/>
              <w:jc w:val="both"/>
              <w:rPr>
                <w:rFonts w:ascii="Times New Roman" w:eastAsia="Arial Unicode MS" w:hAnsi="Times New Roman"/>
                <w:b/>
                <w:sz w:val="24"/>
                <w:szCs w:val="24"/>
                <w:lang w:eastAsia="de-DE"/>
              </w:rPr>
            </w:pPr>
            <w:r w:rsidRPr="002857E6">
              <w:rPr>
                <w:rFonts w:ascii="Times New Roman" w:eastAsia="Arial Unicode MS" w:hAnsi="Times New Roman"/>
                <w:b/>
                <w:sz w:val="24"/>
                <w:szCs w:val="24"/>
                <w:lang w:eastAsia="de-DE"/>
              </w:rPr>
              <w:t>Window 4: Competitiveness and inclusive growth</w:t>
            </w:r>
          </w:p>
          <w:p w:rsidR="003454A8" w:rsidRPr="002857E6" w:rsidRDefault="00E523C4" w:rsidP="00505755">
            <w:pPr>
              <w:spacing w:after="0"/>
              <w:rPr>
                <w:rFonts w:ascii="Times New Roman" w:hAnsi="Times New Roman"/>
                <w:i/>
                <w:iCs/>
                <w:sz w:val="24"/>
                <w:szCs w:val="24"/>
              </w:rPr>
            </w:pPr>
            <w:r w:rsidRPr="002857E6">
              <w:rPr>
                <w:rFonts w:ascii="Times New Roman" w:hAnsi="Times New Roman"/>
                <w:i/>
                <w:iCs/>
                <w:sz w:val="24"/>
                <w:szCs w:val="24"/>
              </w:rPr>
              <w:t>Thematic Priority 2: Private sector development, trade, research and innovation</w:t>
            </w:r>
          </w:p>
        </w:tc>
      </w:tr>
      <w:tr w:rsidR="00D92F6C" w:rsidRPr="002857E6" w:rsidTr="008B302D">
        <w:trPr>
          <w:jc w:val="center"/>
        </w:trPr>
        <w:tc>
          <w:tcPr>
            <w:tcW w:w="534" w:type="dxa"/>
            <w:vMerge/>
            <w:tcBorders>
              <w:left w:val="single" w:sz="4" w:space="0" w:color="auto"/>
              <w:right w:val="single" w:sz="4" w:space="0" w:color="auto"/>
            </w:tcBorders>
          </w:tcPr>
          <w:p w:rsidR="00D92F6C" w:rsidRPr="002857E6"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D92F6C" w:rsidP="008B302D">
            <w:pPr>
              <w:spacing w:after="0"/>
              <w:rPr>
                <w:rFonts w:ascii="Times New Roman" w:hAnsi="Times New Roman"/>
                <w:sz w:val="24"/>
                <w:szCs w:val="24"/>
              </w:rPr>
            </w:pPr>
            <w:r w:rsidRPr="002857E6">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87C85" w:rsidRPr="002857E6" w:rsidRDefault="008B6830" w:rsidP="00187C85">
            <w:pPr>
              <w:spacing w:after="120" w:line="240" w:lineRule="auto"/>
              <w:jc w:val="both"/>
              <w:rPr>
                <w:rFonts w:ascii="Times New Roman" w:hAnsi="Times New Roman"/>
                <w:sz w:val="24"/>
                <w:szCs w:val="24"/>
              </w:rPr>
            </w:pPr>
            <w:r w:rsidRPr="002857E6">
              <w:rPr>
                <w:rFonts w:ascii="Times New Roman" w:hAnsi="Times New Roman"/>
                <w:sz w:val="24"/>
                <w:szCs w:val="24"/>
              </w:rPr>
              <w:t xml:space="preserve">The proposed Action will contribute to the implementation of the EU acquis under </w:t>
            </w:r>
            <w:r w:rsidRPr="002857E6">
              <w:rPr>
                <w:rFonts w:ascii="Times New Roman" w:hAnsi="Times New Roman"/>
                <w:b/>
                <w:sz w:val="24"/>
                <w:szCs w:val="24"/>
              </w:rPr>
              <w:t>Chapter 29</w:t>
            </w:r>
            <w:r w:rsidR="00741787" w:rsidRPr="002857E6">
              <w:rPr>
                <w:rFonts w:ascii="Times New Roman" w:hAnsi="Times New Roman"/>
                <w:b/>
                <w:sz w:val="24"/>
                <w:szCs w:val="24"/>
              </w:rPr>
              <w:t xml:space="preserve">: Customs Union, </w:t>
            </w:r>
            <w:r w:rsidR="00741787" w:rsidRPr="002857E6">
              <w:rPr>
                <w:rFonts w:ascii="Times New Roman" w:hAnsi="Times New Roman"/>
                <w:sz w:val="24"/>
                <w:szCs w:val="24"/>
              </w:rPr>
              <w:t>where</w:t>
            </w:r>
            <w:r w:rsidR="00C110BB" w:rsidRPr="002857E6">
              <w:rPr>
                <w:rFonts w:ascii="Times New Roman" w:hAnsi="Times New Roman"/>
                <w:sz w:val="24"/>
                <w:szCs w:val="24"/>
              </w:rPr>
              <w:t xml:space="preserve"> </w:t>
            </w:r>
            <w:r w:rsidR="00741787" w:rsidRPr="002857E6">
              <w:rPr>
                <w:rFonts w:ascii="Times New Roman" w:hAnsi="Times New Roman"/>
                <w:sz w:val="24"/>
                <w:szCs w:val="24"/>
              </w:rPr>
              <w:t>as in the</w:t>
            </w:r>
            <w:r w:rsidR="00C110BB" w:rsidRPr="002857E6">
              <w:rPr>
                <w:rFonts w:ascii="Times New Roman" w:hAnsi="Times New Roman"/>
                <w:sz w:val="24"/>
                <w:szCs w:val="24"/>
              </w:rPr>
              <w:t xml:space="preserve"> </w:t>
            </w:r>
            <w:r w:rsidR="00741787" w:rsidRPr="002857E6">
              <w:rPr>
                <w:rFonts w:ascii="Times New Roman" w:eastAsia="Arial Unicode MS" w:hAnsi="Times New Roman"/>
                <w:b/>
                <w:sz w:val="24"/>
                <w:szCs w:val="24"/>
                <w:lang w:eastAsia="de-DE"/>
              </w:rPr>
              <w:t>2019</w:t>
            </w:r>
            <w:r w:rsidR="00C110BB" w:rsidRPr="002857E6">
              <w:rPr>
                <w:rFonts w:ascii="Times New Roman" w:eastAsia="Arial Unicode MS" w:hAnsi="Times New Roman"/>
                <w:b/>
                <w:sz w:val="24"/>
                <w:szCs w:val="24"/>
                <w:lang w:eastAsia="de-DE"/>
              </w:rPr>
              <w:t xml:space="preserve"> </w:t>
            </w:r>
            <w:r w:rsidR="00741787" w:rsidRPr="002857E6">
              <w:rPr>
                <w:rFonts w:ascii="Times New Roman" w:eastAsia="Arial Unicode MS" w:hAnsi="Times New Roman"/>
                <w:b/>
                <w:sz w:val="24"/>
                <w:szCs w:val="24"/>
                <w:lang w:eastAsia="de-DE"/>
              </w:rPr>
              <w:t>Commission</w:t>
            </w:r>
            <w:r w:rsidR="00C110BB" w:rsidRPr="002857E6">
              <w:rPr>
                <w:rFonts w:ascii="Times New Roman" w:eastAsia="Arial Unicode MS" w:hAnsi="Times New Roman"/>
                <w:b/>
                <w:sz w:val="24"/>
                <w:szCs w:val="24"/>
                <w:lang w:eastAsia="de-DE"/>
              </w:rPr>
              <w:t xml:space="preserve"> </w:t>
            </w:r>
            <w:r w:rsidR="00741787" w:rsidRPr="002857E6">
              <w:rPr>
                <w:rFonts w:ascii="Times New Roman" w:eastAsia="Arial Unicode MS" w:hAnsi="Times New Roman"/>
                <w:b/>
                <w:sz w:val="24"/>
                <w:szCs w:val="24"/>
                <w:lang w:eastAsia="de-DE"/>
              </w:rPr>
              <w:t>Report on North Macedonia (</w:t>
            </w:r>
            <w:r w:rsidR="00296FEE" w:rsidRPr="002857E6">
              <w:rPr>
                <w:rFonts w:ascii="Times New Roman" w:eastAsia="Arial Unicode MS" w:hAnsi="Times New Roman"/>
                <w:b/>
                <w:sz w:val="24"/>
                <w:szCs w:val="24"/>
                <w:lang w:eastAsia="de-DE"/>
              </w:rPr>
              <w:t>COM (</w:t>
            </w:r>
            <w:r w:rsidR="00741787" w:rsidRPr="002857E6">
              <w:rPr>
                <w:rFonts w:ascii="Times New Roman" w:eastAsia="Arial Unicode MS" w:hAnsi="Times New Roman"/>
                <w:b/>
                <w:sz w:val="24"/>
                <w:szCs w:val="24"/>
                <w:lang w:eastAsia="de-DE"/>
              </w:rPr>
              <w:t>2019)260</w:t>
            </w:r>
            <w:r w:rsidR="00741787" w:rsidRPr="002857E6">
              <w:rPr>
                <w:rFonts w:ascii="Times New Roman" w:eastAsia="Arial Unicode MS" w:hAnsi="Times New Roman"/>
                <w:sz w:val="24"/>
                <w:szCs w:val="24"/>
                <w:lang w:eastAsia="de-DE"/>
              </w:rPr>
              <w:t>) it state</w:t>
            </w:r>
            <w:r w:rsidR="005F1841" w:rsidRPr="002857E6">
              <w:rPr>
                <w:rFonts w:ascii="Times New Roman" w:eastAsia="Arial Unicode MS" w:hAnsi="Times New Roman"/>
                <w:sz w:val="24"/>
                <w:szCs w:val="24"/>
                <w:lang w:eastAsia="de-DE"/>
              </w:rPr>
              <w:t>s</w:t>
            </w:r>
            <w:r w:rsidR="00741787" w:rsidRPr="002857E6">
              <w:rPr>
                <w:rFonts w:ascii="Times New Roman" w:eastAsia="Arial Unicode MS" w:hAnsi="Times New Roman"/>
                <w:sz w:val="24"/>
                <w:szCs w:val="24"/>
                <w:lang w:eastAsia="de-DE"/>
              </w:rPr>
              <w:t xml:space="preserve"> that </w:t>
            </w:r>
            <w:r w:rsidR="00741787" w:rsidRPr="002857E6">
              <w:rPr>
                <w:rFonts w:ascii="Times New Roman" w:hAnsi="Times New Roman"/>
                <w:sz w:val="24"/>
                <w:szCs w:val="24"/>
              </w:rPr>
              <w:t>the country has maintained a good level of preparation on the customs union</w:t>
            </w:r>
            <w:r w:rsidR="005F1841" w:rsidRPr="002857E6">
              <w:rPr>
                <w:rFonts w:ascii="Times New Roman" w:hAnsi="Times New Roman"/>
                <w:sz w:val="24"/>
                <w:szCs w:val="24"/>
              </w:rPr>
              <w:t>.</w:t>
            </w:r>
            <w:r w:rsidR="00741787" w:rsidRPr="002857E6">
              <w:rPr>
                <w:rFonts w:ascii="Times New Roman" w:hAnsi="Times New Roman"/>
                <w:sz w:val="24"/>
                <w:szCs w:val="24"/>
              </w:rPr>
              <w:t xml:space="preserve"> All Member States are part of the EU customs union and follow the same customs rules and procedures. This requires legislative alignment as well as adequate implementing and enforcement capacity and access to the common computerised customs systems.</w:t>
            </w:r>
            <w:r w:rsidR="00187C85" w:rsidRPr="002857E6">
              <w:rPr>
                <w:rFonts w:ascii="Times New Roman" w:hAnsi="Times New Roman"/>
                <w:sz w:val="24"/>
                <w:szCs w:val="24"/>
              </w:rPr>
              <w:t xml:space="preserve"> A new electronic system for processing customs declarations and excise documents was finalised and newly built customs terminals became operational. The country </w:t>
            </w:r>
            <w:r w:rsidR="00547CBD" w:rsidRPr="002857E6">
              <w:rPr>
                <w:rFonts w:ascii="Times New Roman" w:hAnsi="Times New Roman"/>
                <w:sz w:val="24"/>
                <w:szCs w:val="24"/>
              </w:rPr>
              <w:t xml:space="preserve">will </w:t>
            </w:r>
            <w:r w:rsidR="00187C85" w:rsidRPr="002857E6">
              <w:rPr>
                <w:rFonts w:ascii="Times New Roman" w:hAnsi="Times New Roman"/>
                <w:sz w:val="24"/>
                <w:szCs w:val="24"/>
              </w:rPr>
              <w:t>continue to complete and apply its IT systems and, ensure their continuous upgrading and maintenance, and ensure business continuity.</w:t>
            </w:r>
          </w:p>
          <w:p w:rsidR="00F22A75" w:rsidRPr="002857E6" w:rsidRDefault="00F22A75" w:rsidP="00187C85">
            <w:pPr>
              <w:spacing w:after="120" w:line="240" w:lineRule="auto"/>
              <w:jc w:val="both"/>
              <w:rPr>
                <w:rFonts w:ascii="Times New Roman" w:hAnsi="Times New Roman"/>
                <w:sz w:val="24"/>
                <w:szCs w:val="24"/>
              </w:rPr>
            </w:pPr>
            <w:r w:rsidRPr="002857E6">
              <w:rPr>
                <w:rFonts w:ascii="Times New Roman" w:hAnsi="Times New Roman"/>
                <w:sz w:val="24"/>
                <w:szCs w:val="24"/>
              </w:rPr>
              <w:t>In P</w:t>
            </w:r>
            <w:r w:rsidR="00C20BAA" w:rsidRPr="002857E6">
              <w:rPr>
                <w:rFonts w:ascii="Times New Roman" w:hAnsi="Times New Roman"/>
                <w:sz w:val="24"/>
                <w:szCs w:val="24"/>
              </w:rPr>
              <w:t xml:space="preserve">art 3.2. </w:t>
            </w:r>
            <w:r w:rsidR="00C20BAA" w:rsidRPr="002857E6">
              <w:rPr>
                <w:rFonts w:ascii="Times New Roman" w:hAnsi="Times New Roman"/>
                <w:i/>
                <w:sz w:val="24"/>
                <w:szCs w:val="24"/>
              </w:rPr>
              <w:t>The capacity to cope with competitive pressure and market forces within the Union</w:t>
            </w:r>
            <w:r w:rsidR="00C20BAA" w:rsidRPr="002857E6">
              <w:rPr>
                <w:rFonts w:ascii="Times New Roman" w:hAnsi="Times New Roman"/>
                <w:sz w:val="24"/>
                <w:szCs w:val="24"/>
              </w:rPr>
              <w:t xml:space="preserve"> of the </w:t>
            </w:r>
            <w:r w:rsidR="00C20BAA" w:rsidRPr="002857E6">
              <w:rPr>
                <w:rFonts w:ascii="Times New Roman" w:eastAsia="Arial Unicode MS" w:hAnsi="Times New Roman"/>
                <w:b/>
                <w:sz w:val="24"/>
                <w:szCs w:val="24"/>
                <w:lang w:eastAsia="de-DE"/>
              </w:rPr>
              <w:t>Commission</w:t>
            </w:r>
            <w:r w:rsidR="00C110BB" w:rsidRPr="002857E6">
              <w:rPr>
                <w:rFonts w:ascii="Times New Roman" w:eastAsia="Arial Unicode MS" w:hAnsi="Times New Roman"/>
                <w:b/>
                <w:sz w:val="24"/>
                <w:szCs w:val="24"/>
                <w:lang w:eastAsia="de-DE"/>
              </w:rPr>
              <w:t xml:space="preserve"> </w:t>
            </w:r>
            <w:r w:rsidR="00C20BAA" w:rsidRPr="002857E6">
              <w:rPr>
                <w:rFonts w:ascii="Times New Roman" w:eastAsia="Arial Unicode MS" w:hAnsi="Times New Roman"/>
                <w:b/>
                <w:sz w:val="24"/>
                <w:szCs w:val="24"/>
                <w:lang w:eastAsia="de-DE"/>
              </w:rPr>
              <w:t>Report on North Macedonia (COM (2019)260</w:t>
            </w:r>
            <w:r w:rsidR="00C20BAA" w:rsidRPr="002857E6">
              <w:rPr>
                <w:rFonts w:ascii="Times New Roman" w:eastAsia="Arial Unicode MS" w:hAnsi="Times New Roman"/>
                <w:sz w:val="24"/>
                <w:szCs w:val="24"/>
                <w:lang w:eastAsia="de-DE"/>
              </w:rPr>
              <w:t>)</w:t>
            </w:r>
            <w:r w:rsidRPr="002857E6">
              <w:rPr>
                <w:rFonts w:ascii="Times New Roman" w:eastAsia="Arial Unicode MS" w:hAnsi="Times New Roman"/>
                <w:sz w:val="24"/>
                <w:szCs w:val="24"/>
                <w:lang w:eastAsia="de-DE"/>
              </w:rPr>
              <w:t xml:space="preserve"> it is stated that </w:t>
            </w:r>
            <w:r w:rsidRPr="002857E6">
              <w:rPr>
                <w:rFonts w:ascii="Times New Roman" w:hAnsi="Times New Roman"/>
                <w:sz w:val="24"/>
                <w:szCs w:val="24"/>
              </w:rPr>
              <w:t>North Macedonia has made some progress and is moderately prepared to cope with competitive pressures and market forces within the EU. Integration with the EU in trade and investment should be deepened further while exports and manufacturing output should be further diversified towards higher-value products. Skills shortages, and a lack of skills alignment with those required by companies, reflecting shortcomings in education curricula</w:t>
            </w:r>
            <w:r w:rsidR="005F1841" w:rsidRPr="002857E6">
              <w:rPr>
                <w:rFonts w:ascii="Times New Roman" w:hAnsi="Times New Roman"/>
                <w:sz w:val="24"/>
                <w:szCs w:val="24"/>
              </w:rPr>
              <w:t xml:space="preserve">. Moreover, </w:t>
            </w:r>
            <w:r w:rsidRPr="002857E6">
              <w:rPr>
                <w:rFonts w:ascii="Times New Roman" w:hAnsi="Times New Roman"/>
                <w:sz w:val="24"/>
                <w:szCs w:val="24"/>
              </w:rPr>
              <w:t xml:space="preserve">infrastructure investment gaps impair labour productivity and the competitiveness of the economy. </w:t>
            </w:r>
          </w:p>
          <w:p w:rsidR="00C20BAA" w:rsidRPr="002857E6" w:rsidRDefault="00F22A75" w:rsidP="00187C85">
            <w:pPr>
              <w:spacing w:after="120" w:line="240" w:lineRule="auto"/>
              <w:jc w:val="both"/>
              <w:rPr>
                <w:rFonts w:ascii="Times New Roman" w:hAnsi="Times New Roman"/>
                <w:sz w:val="24"/>
                <w:szCs w:val="24"/>
              </w:rPr>
            </w:pPr>
            <w:r w:rsidRPr="002857E6">
              <w:rPr>
                <w:rFonts w:ascii="Times New Roman" w:hAnsi="Times New Roman"/>
                <w:sz w:val="24"/>
                <w:szCs w:val="24"/>
              </w:rPr>
              <w:t>In order to improve competitiveness and long-term growth, North Macedonia should, among other, complete investment in road and rail transport.</w:t>
            </w:r>
          </w:p>
          <w:p w:rsidR="00D92F6C" w:rsidRPr="002857E6" w:rsidRDefault="005F1841" w:rsidP="00187C85">
            <w:pPr>
              <w:spacing w:after="0" w:line="240" w:lineRule="auto"/>
              <w:contextualSpacing/>
              <w:jc w:val="both"/>
              <w:rPr>
                <w:rFonts w:ascii="Times New Roman" w:eastAsiaTheme="minorEastAsia" w:hAnsi="Times New Roman"/>
                <w:sz w:val="24"/>
                <w:szCs w:val="24"/>
              </w:rPr>
            </w:pPr>
            <w:r w:rsidRPr="002857E6">
              <w:rPr>
                <w:rFonts w:ascii="Times New Roman" w:hAnsi="Times New Roman"/>
                <w:sz w:val="24"/>
                <w:szCs w:val="24"/>
              </w:rPr>
              <w:t>The</w:t>
            </w:r>
            <w:r w:rsidR="004A2A7E" w:rsidRPr="002857E6">
              <w:rPr>
                <w:rFonts w:ascii="Times New Roman" w:hAnsi="Times New Roman"/>
                <w:sz w:val="24"/>
                <w:szCs w:val="24"/>
              </w:rPr>
              <w:t xml:space="preserve"> </w:t>
            </w:r>
            <w:r w:rsidRPr="002857E6">
              <w:rPr>
                <w:rFonts w:ascii="Times New Roman" w:hAnsi="Times New Roman"/>
                <w:b/>
                <w:sz w:val="24"/>
                <w:szCs w:val="24"/>
                <w:lang w:val="en-US"/>
              </w:rPr>
              <w:t>Conclusions of</w:t>
            </w:r>
            <w:r w:rsidR="004A2A7E" w:rsidRPr="002857E6">
              <w:rPr>
                <w:rFonts w:ascii="Times New Roman" w:hAnsi="Times New Roman"/>
                <w:b/>
                <w:sz w:val="24"/>
                <w:szCs w:val="24"/>
                <w:lang w:val="en-US"/>
              </w:rPr>
              <w:t xml:space="preserve"> </w:t>
            </w:r>
            <w:r w:rsidRPr="002857E6">
              <w:rPr>
                <w:rFonts w:ascii="Times New Roman" w:hAnsi="Times New Roman"/>
                <w:b/>
                <w:sz w:val="24"/>
                <w:szCs w:val="24"/>
                <w:lang w:val="en-IE"/>
              </w:rPr>
              <w:t>16</w:t>
            </w:r>
            <w:r w:rsidRPr="002857E6">
              <w:rPr>
                <w:rFonts w:ascii="Times New Roman" w:hAnsi="Times New Roman"/>
                <w:b/>
                <w:sz w:val="24"/>
                <w:szCs w:val="24"/>
                <w:vertAlign w:val="superscript"/>
                <w:lang w:val="en-IE"/>
              </w:rPr>
              <w:t>th</w:t>
            </w:r>
            <w:r w:rsidR="00187C85" w:rsidRPr="002857E6">
              <w:rPr>
                <w:rFonts w:ascii="Times New Roman" w:hAnsi="Times New Roman"/>
                <w:b/>
                <w:sz w:val="24"/>
                <w:szCs w:val="24"/>
                <w:lang w:val="en-IE"/>
              </w:rPr>
              <w:t xml:space="preserve">Subcommittee </w:t>
            </w:r>
            <w:r w:rsidRPr="002857E6">
              <w:rPr>
                <w:rFonts w:ascii="Times New Roman" w:hAnsi="Times New Roman"/>
                <w:b/>
                <w:sz w:val="24"/>
                <w:szCs w:val="24"/>
                <w:lang w:val="en-IE"/>
              </w:rPr>
              <w:t xml:space="preserve">Meeting </w:t>
            </w:r>
            <w:r w:rsidR="00187C85" w:rsidRPr="002857E6">
              <w:rPr>
                <w:rFonts w:ascii="Times New Roman" w:hAnsi="Times New Roman"/>
                <w:b/>
                <w:sz w:val="24"/>
                <w:szCs w:val="24"/>
                <w:lang w:val="en-IE"/>
              </w:rPr>
              <w:t>on Trade, Industry, Customs and Taxation</w:t>
            </w:r>
            <w:r w:rsidRPr="002857E6">
              <w:rPr>
                <w:rFonts w:ascii="Times New Roman" w:hAnsi="Times New Roman"/>
                <w:b/>
                <w:sz w:val="24"/>
                <w:szCs w:val="24"/>
                <w:lang w:val="en-IE"/>
              </w:rPr>
              <w:t xml:space="preserve">, </w:t>
            </w:r>
            <w:r w:rsidRPr="002857E6">
              <w:rPr>
                <w:rFonts w:ascii="Times New Roman" w:hAnsi="Times New Roman"/>
                <w:sz w:val="24"/>
                <w:szCs w:val="24"/>
                <w:lang w:val="en-IE"/>
              </w:rPr>
              <w:t>held in November 2019,</w:t>
            </w:r>
            <w:r w:rsidR="004A2A7E" w:rsidRPr="002857E6">
              <w:rPr>
                <w:rFonts w:ascii="Times New Roman" w:hAnsi="Times New Roman"/>
                <w:sz w:val="24"/>
                <w:szCs w:val="24"/>
                <w:lang w:val="en-IE"/>
              </w:rPr>
              <w:t xml:space="preserve"> </w:t>
            </w:r>
            <w:r w:rsidRPr="002857E6">
              <w:rPr>
                <w:rFonts w:ascii="Times New Roman" w:hAnsi="Times New Roman"/>
                <w:sz w:val="24"/>
                <w:szCs w:val="24"/>
                <w:lang w:val="en-IE"/>
              </w:rPr>
              <w:t>note</w:t>
            </w:r>
            <w:r w:rsidR="0004402B" w:rsidRPr="002857E6">
              <w:rPr>
                <w:rFonts w:ascii="Times New Roman" w:hAnsi="Times New Roman"/>
                <w:sz w:val="24"/>
                <w:szCs w:val="24"/>
                <w:lang w:val="en-IE"/>
              </w:rPr>
              <w:t xml:space="preserve"> that the </w:t>
            </w:r>
            <w:r w:rsidR="00187C85" w:rsidRPr="002857E6">
              <w:rPr>
                <w:rFonts w:ascii="Times New Roman" w:hAnsi="Times New Roman"/>
                <w:sz w:val="24"/>
                <w:szCs w:val="24"/>
                <w:lang w:val="en-IE"/>
              </w:rPr>
              <w:t xml:space="preserve">Customs Administration needs to </w:t>
            </w:r>
            <w:r w:rsidR="00187C85" w:rsidRPr="002857E6">
              <w:rPr>
                <w:rFonts w:ascii="Times New Roman" w:eastAsiaTheme="minorEastAsia" w:hAnsi="Times New Roman"/>
                <w:sz w:val="24"/>
                <w:szCs w:val="24"/>
              </w:rPr>
              <w:t>ensure maintenance and business continuity of the Customs Declaration and Excise Documents Processing System (CDEPS) and all other Customs IT systems.</w:t>
            </w:r>
          </w:p>
          <w:p w:rsidR="00111109" w:rsidRPr="002857E6" w:rsidRDefault="00111109" w:rsidP="00187C85">
            <w:pPr>
              <w:spacing w:after="0" w:line="240" w:lineRule="auto"/>
              <w:contextualSpacing/>
              <w:jc w:val="both"/>
              <w:rPr>
                <w:rFonts w:ascii="Times New Roman" w:eastAsiaTheme="minorEastAsia" w:hAnsi="Times New Roman"/>
                <w:sz w:val="24"/>
                <w:szCs w:val="24"/>
              </w:rPr>
            </w:pPr>
          </w:p>
          <w:p w:rsidR="00187C85" w:rsidRPr="002857E6" w:rsidRDefault="00B24F10" w:rsidP="00580322">
            <w:pPr>
              <w:pStyle w:val="Default"/>
              <w:jc w:val="both"/>
              <w:rPr>
                <w:rFonts w:eastAsiaTheme="minorEastAsia"/>
                <w:i/>
              </w:rPr>
            </w:pPr>
            <w:r w:rsidRPr="002857E6">
              <w:rPr>
                <w:lang w:val="en-US"/>
              </w:rPr>
              <w:t>On 25</w:t>
            </w:r>
            <w:r w:rsidRPr="002857E6">
              <w:rPr>
                <w:vertAlign w:val="superscript"/>
                <w:lang w:val="en-US"/>
              </w:rPr>
              <w:t>th</w:t>
            </w:r>
            <w:r w:rsidRPr="002857E6">
              <w:rPr>
                <w:lang w:val="en-US"/>
              </w:rPr>
              <w:t xml:space="preserve"> of March 2020 the General Affairs C</w:t>
            </w:r>
            <w:r w:rsidRPr="002857E6">
              <w:t>ouncil</w:t>
            </w:r>
            <w:r w:rsidRPr="002857E6">
              <w:rPr>
                <w:lang w:val="en-US"/>
              </w:rPr>
              <w:t xml:space="preserve"> in </w:t>
            </w:r>
            <w:r w:rsidRPr="002857E6">
              <w:rPr>
                <w:b/>
                <w:lang w:val="en-US"/>
              </w:rPr>
              <w:t>C</w:t>
            </w:r>
            <w:r w:rsidRPr="002857E6">
              <w:rPr>
                <w:b/>
              </w:rPr>
              <w:t>ouncil</w:t>
            </w:r>
            <w:r w:rsidR="00B619BC" w:rsidRPr="002857E6">
              <w:rPr>
                <w:b/>
                <w:lang w:val="hu-HU"/>
              </w:rPr>
              <w:t xml:space="preserve"> </w:t>
            </w:r>
            <w:r w:rsidRPr="002857E6">
              <w:rPr>
                <w:b/>
              </w:rPr>
              <w:t>conclusions on enlargement and stabilisation and association process</w:t>
            </w:r>
            <w:r w:rsidRPr="002857E6">
              <w:rPr>
                <w:b/>
                <w:lang w:val="en-US"/>
              </w:rPr>
              <w:t>,</w:t>
            </w:r>
            <w:r w:rsidRPr="002857E6">
              <w:rPr>
                <w:b/>
              </w:rPr>
              <w:t xml:space="preserve"> decides to open accession negotiations with the Republic of </w:t>
            </w:r>
            <w:r w:rsidRPr="002857E6">
              <w:rPr>
                <w:b/>
                <w:lang w:val="en-US"/>
              </w:rPr>
              <w:t>North Macedonia</w:t>
            </w:r>
            <w:r w:rsidRPr="002857E6">
              <w:rPr>
                <w:b/>
              </w:rPr>
              <w:t xml:space="preserve"> and the </w:t>
            </w:r>
            <w:r w:rsidRPr="002857E6">
              <w:rPr>
                <w:b/>
                <w:lang w:val="en-US"/>
              </w:rPr>
              <w:t>R</w:t>
            </w:r>
            <w:r w:rsidRPr="002857E6">
              <w:rPr>
                <w:b/>
              </w:rPr>
              <w:t xml:space="preserve">epublic of </w:t>
            </w:r>
            <w:r w:rsidRPr="002857E6">
              <w:rPr>
                <w:b/>
                <w:lang w:val="en-US"/>
              </w:rPr>
              <w:t>A</w:t>
            </w:r>
            <w:r w:rsidRPr="002857E6">
              <w:rPr>
                <w:b/>
              </w:rPr>
              <w:t>lbania</w:t>
            </w:r>
            <w:r w:rsidRPr="002857E6">
              <w:rPr>
                <w:b/>
                <w:lang w:val="en-US"/>
              </w:rPr>
              <w:t>.</w:t>
            </w:r>
            <w:r w:rsidR="00B619BC" w:rsidRPr="002857E6">
              <w:rPr>
                <w:b/>
                <w:lang w:val="en-US"/>
              </w:rPr>
              <w:t xml:space="preserve"> </w:t>
            </w:r>
            <w:r w:rsidRPr="002857E6">
              <w:rPr>
                <w:lang w:val="en-US"/>
              </w:rPr>
              <w:t xml:space="preserve">Good </w:t>
            </w:r>
            <w:r w:rsidR="005F1841" w:rsidRPr="002857E6">
              <w:rPr>
                <w:lang w:val="en-US"/>
              </w:rPr>
              <w:t>neighborly</w:t>
            </w:r>
            <w:r w:rsidRPr="002857E6">
              <w:rPr>
                <w:lang w:val="en-US"/>
              </w:rPr>
              <w:t xml:space="preserve"> relations and regional cooperation remain essential elements of the </w:t>
            </w:r>
            <w:r w:rsidRPr="002857E6">
              <w:rPr>
                <w:lang w:val="en-US"/>
              </w:rPr>
              <w:lastRenderedPageBreak/>
              <w:t xml:space="preserve">enlargement process, </w:t>
            </w:r>
            <w:r w:rsidR="00580322" w:rsidRPr="002857E6">
              <w:rPr>
                <w:lang w:val="en-US"/>
              </w:rPr>
              <w:t xml:space="preserve">including the </w:t>
            </w:r>
            <w:r w:rsidRPr="002857E6">
              <w:rPr>
                <w:lang w:val="en-GB"/>
              </w:rPr>
              <w:t>Stabilisation</w:t>
            </w:r>
            <w:r w:rsidRPr="002857E6">
              <w:rPr>
                <w:lang w:val="en-US"/>
              </w:rPr>
              <w:t xml:space="preserve"> and Association Process.</w:t>
            </w:r>
          </w:p>
        </w:tc>
      </w:tr>
      <w:tr w:rsidR="00D92F6C" w:rsidRPr="002857E6" w:rsidTr="008B302D">
        <w:trPr>
          <w:jc w:val="center"/>
        </w:trPr>
        <w:tc>
          <w:tcPr>
            <w:tcW w:w="534" w:type="dxa"/>
            <w:vMerge/>
            <w:tcBorders>
              <w:left w:val="single" w:sz="4" w:space="0" w:color="auto"/>
              <w:right w:val="single" w:sz="4" w:space="0" w:color="auto"/>
            </w:tcBorders>
          </w:tcPr>
          <w:p w:rsidR="00D92F6C" w:rsidRPr="002857E6"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D92F6C" w:rsidP="008B302D">
            <w:pPr>
              <w:spacing w:after="0"/>
              <w:rPr>
                <w:rFonts w:ascii="Times New Roman" w:hAnsi="Times New Roman"/>
                <w:sz w:val="24"/>
                <w:szCs w:val="24"/>
              </w:rPr>
            </w:pPr>
            <w:r w:rsidRPr="002857E6">
              <w:rPr>
                <w:rFonts w:ascii="Times New Roman" w:hAnsi="Times New Roman"/>
                <w:sz w:val="24"/>
                <w:szCs w:val="24"/>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93149" w:rsidRPr="002857E6" w:rsidRDefault="00035874" w:rsidP="008B302D">
            <w:pPr>
              <w:spacing w:after="120" w:line="240" w:lineRule="auto"/>
              <w:jc w:val="both"/>
              <w:rPr>
                <w:rFonts w:ascii="Times New Roman" w:eastAsia="Arial Unicode MS" w:hAnsi="Times New Roman"/>
                <w:sz w:val="24"/>
                <w:szCs w:val="24"/>
                <w:lang w:eastAsia="de-DE"/>
              </w:rPr>
            </w:pPr>
            <w:r w:rsidRPr="002857E6">
              <w:rPr>
                <w:rFonts w:ascii="Times New Roman" w:eastAsia="Arial Unicode MS" w:hAnsi="Times New Roman"/>
                <w:sz w:val="24"/>
                <w:szCs w:val="24"/>
                <w:lang w:eastAsia="de-DE"/>
              </w:rPr>
              <w:t xml:space="preserve">The proposed Action is in line with </w:t>
            </w:r>
            <w:r w:rsidR="00793149" w:rsidRPr="002857E6">
              <w:rPr>
                <w:rFonts w:ascii="Times New Roman" w:eastAsia="Arial Unicode MS" w:hAnsi="Times New Roman"/>
                <w:sz w:val="24"/>
                <w:szCs w:val="24"/>
                <w:lang w:eastAsia="de-DE"/>
              </w:rPr>
              <w:t xml:space="preserve">national, regional and global strategies in the field of </w:t>
            </w:r>
            <w:r w:rsidR="0004402B" w:rsidRPr="002857E6">
              <w:rPr>
                <w:rFonts w:ascii="Times New Roman" w:eastAsia="Arial Unicode MS" w:hAnsi="Times New Roman"/>
                <w:sz w:val="24"/>
                <w:szCs w:val="24"/>
                <w:lang w:eastAsia="de-DE"/>
              </w:rPr>
              <w:t xml:space="preserve">trade facilitation and </w:t>
            </w:r>
            <w:r w:rsidR="00793149" w:rsidRPr="002857E6">
              <w:rPr>
                <w:rFonts w:ascii="Times New Roman" w:eastAsia="Arial Unicode MS" w:hAnsi="Times New Roman"/>
                <w:sz w:val="24"/>
                <w:szCs w:val="24"/>
                <w:lang w:eastAsia="de-DE"/>
              </w:rPr>
              <w:t>customs operations.</w:t>
            </w:r>
          </w:p>
          <w:p w:rsidR="00BB1F1D" w:rsidRPr="002857E6" w:rsidRDefault="00D65293" w:rsidP="008B302D">
            <w:pPr>
              <w:spacing w:after="120" w:line="240" w:lineRule="auto"/>
              <w:jc w:val="both"/>
              <w:rPr>
                <w:rFonts w:ascii="Times New Roman" w:eastAsia="Arial Unicode MS" w:hAnsi="Times New Roman"/>
                <w:sz w:val="24"/>
                <w:szCs w:val="24"/>
                <w:lang w:eastAsia="de-DE"/>
              </w:rPr>
            </w:pPr>
            <w:r w:rsidRPr="002857E6">
              <w:rPr>
                <w:rFonts w:ascii="Times New Roman" w:eastAsia="Arial Unicode MS" w:hAnsi="Times New Roman"/>
                <w:sz w:val="24"/>
                <w:szCs w:val="24"/>
                <w:lang w:eastAsia="de-DE"/>
              </w:rPr>
              <w:t xml:space="preserve">Regarding </w:t>
            </w:r>
            <w:r w:rsidR="00074669" w:rsidRPr="002857E6">
              <w:rPr>
                <w:rFonts w:ascii="Times New Roman" w:eastAsia="Arial Unicode MS" w:hAnsi="Times New Roman"/>
                <w:sz w:val="24"/>
                <w:szCs w:val="24"/>
                <w:lang w:eastAsia="de-DE"/>
              </w:rPr>
              <w:t>the</w:t>
            </w:r>
            <w:r w:rsidR="00035874" w:rsidRPr="002857E6">
              <w:rPr>
                <w:rFonts w:ascii="Times New Roman" w:eastAsia="Arial Unicode MS" w:hAnsi="Times New Roman"/>
                <w:sz w:val="24"/>
                <w:szCs w:val="24"/>
                <w:lang w:eastAsia="de-DE"/>
              </w:rPr>
              <w:t xml:space="preserve"> Commission </w:t>
            </w:r>
            <w:r w:rsidR="00296FEE" w:rsidRPr="002857E6">
              <w:rPr>
                <w:rFonts w:ascii="Times New Roman" w:eastAsia="Arial Unicode MS" w:hAnsi="Times New Roman"/>
                <w:b/>
                <w:sz w:val="24"/>
                <w:szCs w:val="24"/>
                <w:lang w:eastAsia="de-DE"/>
              </w:rPr>
              <w:t>S</w:t>
            </w:r>
            <w:r w:rsidR="00035874" w:rsidRPr="002857E6">
              <w:rPr>
                <w:rFonts w:ascii="Times New Roman" w:eastAsia="Arial Unicode MS" w:hAnsi="Times New Roman"/>
                <w:b/>
                <w:sz w:val="24"/>
                <w:szCs w:val="24"/>
                <w:lang w:eastAsia="de-DE"/>
              </w:rPr>
              <w:t>trategy for "A credible enlargement perspective for and enhanced EU engagement with the Western Balkans" (COM(2018)65),</w:t>
            </w:r>
            <w:r w:rsidR="00035874" w:rsidRPr="002857E6">
              <w:rPr>
                <w:rFonts w:ascii="Times New Roman" w:eastAsia="Arial Unicode MS" w:hAnsi="Times New Roman"/>
                <w:sz w:val="24"/>
                <w:szCs w:val="24"/>
                <w:lang w:eastAsia="de-DE"/>
              </w:rPr>
              <w:t xml:space="preserve"> this Action supports its strategic purpose related t</w:t>
            </w:r>
            <w:r w:rsidR="008341DC" w:rsidRPr="002857E6">
              <w:rPr>
                <w:rFonts w:ascii="Times New Roman" w:eastAsia="Arial Unicode MS" w:hAnsi="Times New Roman"/>
                <w:sz w:val="24"/>
                <w:szCs w:val="24"/>
                <w:lang w:eastAsia="de-DE"/>
              </w:rPr>
              <w:t>o</w:t>
            </w:r>
            <w:r w:rsidR="00BB1F1D" w:rsidRPr="002857E6">
              <w:rPr>
                <w:rFonts w:ascii="Times New Roman" w:eastAsia="Arial Unicode MS" w:hAnsi="Times New Roman"/>
                <w:sz w:val="24"/>
                <w:szCs w:val="24"/>
                <w:lang w:eastAsia="de-DE"/>
              </w:rPr>
              <w:t>:</w:t>
            </w:r>
          </w:p>
          <w:p w:rsidR="00035874" w:rsidRPr="002857E6" w:rsidRDefault="00BB1F1D" w:rsidP="008B302D">
            <w:pPr>
              <w:spacing w:after="120" w:line="240" w:lineRule="auto"/>
              <w:jc w:val="both"/>
              <w:rPr>
                <w:rFonts w:ascii="Times New Roman" w:hAnsi="Times New Roman"/>
                <w:sz w:val="24"/>
                <w:szCs w:val="24"/>
              </w:rPr>
            </w:pPr>
            <w:r w:rsidRPr="002857E6">
              <w:rPr>
                <w:rFonts w:ascii="Times New Roman" w:eastAsia="Arial Unicode MS" w:hAnsi="Times New Roman"/>
                <w:sz w:val="24"/>
                <w:szCs w:val="24"/>
                <w:lang w:eastAsia="de-DE"/>
              </w:rPr>
              <w:t>-</w:t>
            </w:r>
            <w:r w:rsidR="008341DC" w:rsidRPr="002857E6">
              <w:rPr>
                <w:rFonts w:ascii="Times New Roman" w:eastAsia="Arial Unicode MS" w:hAnsi="Times New Roman"/>
                <w:sz w:val="24"/>
                <w:szCs w:val="24"/>
                <w:lang w:eastAsia="de-DE"/>
              </w:rPr>
              <w:t>increasing connectivity</w:t>
            </w:r>
            <w:r w:rsidR="00176D2A" w:rsidRPr="002857E6">
              <w:rPr>
                <w:rFonts w:ascii="Times New Roman" w:eastAsia="Arial Unicode MS" w:hAnsi="Times New Roman"/>
                <w:sz w:val="24"/>
                <w:szCs w:val="24"/>
                <w:lang w:eastAsia="de-DE"/>
              </w:rPr>
              <w:t>-</w:t>
            </w:r>
            <w:r w:rsidR="00176D2A" w:rsidRPr="002857E6">
              <w:rPr>
                <w:rFonts w:ascii="Times New Roman" w:hAnsi="Times New Roman"/>
                <w:sz w:val="24"/>
                <w:szCs w:val="24"/>
              </w:rPr>
              <w:t>political priority to connect infrastructure between the EU and the Western Balkans and to accelerate the development of interconnected trans-European networks in the fields of transport, energy and digital services. Investment in infrastructure networks brings tangible benefits clearly recognised by citizens and business in the EU and Western Balkans alike.</w:t>
            </w:r>
          </w:p>
          <w:p w:rsidR="00CE2CB3" w:rsidRPr="002857E6" w:rsidRDefault="00BB1F1D" w:rsidP="008B302D">
            <w:pPr>
              <w:spacing w:after="120" w:line="240" w:lineRule="auto"/>
              <w:jc w:val="both"/>
              <w:rPr>
                <w:rFonts w:ascii="Times New Roman" w:hAnsi="Times New Roman"/>
                <w:sz w:val="24"/>
                <w:szCs w:val="24"/>
              </w:rPr>
            </w:pPr>
            <w:r w:rsidRPr="002857E6">
              <w:rPr>
                <w:rFonts w:ascii="Times New Roman" w:hAnsi="Times New Roman"/>
                <w:sz w:val="24"/>
                <w:szCs w:val="24"/>
              </w:rPr>
              <w:t xml:space="preserve">- </w:t>
            </w:r>
            <w:r w:rsidR="00D65293" w:rsidRPr="002857E6">
              <w:rPr>
                <w:rFonts w:ascii="Times New Roman" w:hAnsi="Times New Roman"/>
                <w:sz w:val="24"/>
                <w:szCs w:val="24"/>
              </w:rPr>
              <w:t>l</w:t>
            </w:r>
            <w:r w:rsidRPr="002857E6">
              <w:rPr>
                <w:rFonts w:ascii="Times New Roman" w:hAnsi="Times New Roman"/>
                <w:sz w:val="24"/>
                <w:szCs w:val="24"/>
              </w:rPr>
              <w:t xml:space="preserve">aunching a Digital Agenda for the Western Balkans - </w:t>
            </w:r>
            <w:r w:rsidR="00CE2CB3" w:rsidRPr="002857E6">
              <w:rPr>
                <w:rFonts w:ascii="Times New Roman" w:hAnsi="Times New Roman"/>
                <w:sz w:val="24"/>
                <w:szCs w:val="24"/>
              </w:rPr>
              <w:t>It is essential that the Western Balkans are included in the EU's efforts to embrace technological change for them to be able to benefit from digital tools, ensuring a prosperous and sustainable future for their citizens.</w:t>
            </w:r>
          </w:p>
          <w:p w:rsidR="002412C8" w:rsidRPr="002857E6" w:rsidRDefault="0089752E" w:rsidP="008B302D">
            <w:pPr>
              <w:spacing w:after="120" w:line="240" w:lineRule="auto"/>
              <w:jc w:val="both"/>
              <w:rPr>
                <w:rFonts w:ascii="Times New Roman" w:hAnsi="Times New Roman"/>
                <w:sz w:val="24"/>
                <w:szCs w:val="24"/>
              </w:rPr>
            </w:pPr>
            <w:r w:rsidRPr="002857E6">
              <w:rPr>
                <w:rFonts w:ascii="Times New Roman" w:hAnsi="Times New Roman"/>
                <w:sz w:val="24"/>
                <w:szCs w:val="24"/>
              </w:rPr>
              <w:t xml:space="preserve">- </w:t>
            </w:r>
            <w:r w:rsidR="00D65293" w:rsidRPr="002857E6">
              <w:rPr>
                <w:rFonts w:ascii="Times New Roman" w:hAnsi="Times New Roman"/>
                <w:sz w:val="24"/>
                <w:szCs w:val="24"/>
              </w:rPr>
              <w:t>s</w:t>
            </w:r>
            <w:r w:rsidRPr="002857E6">
              <w:rPr>
                <w:rFonts w:ascii="Times New Roman" w:hAnsi="Times New Roman"/>
                <w:sz w:val="24"/>
                <w:szCs w:val="24"/>
              </w:rPr>
              <w:t>upporting reconciliation and good neighbourly relations-The Commission stands ready to continue to support this cooperation, whether on the connectivity agenda, through the WB6 format and initiatives which bring together heads of state and government from the region or other initiatives which strengthen their ownership of regional co-operation.</w:t>
            </w:r>
          </w:p>
          <w:p w:rsidR="00CE6353" w:rsidRPr="002857E6" w:rsidRDefault="002412C8" w:rsidP="00035874">
            <w:pPr>
              <w:spacing w:before="120" w:after="120" w:line="240" w:lineRule="auto"/>
              <w:jc w:val="both"/>
              <w:rPr>
                <w:rFonts w:ascii="Times New Roman" w:eastAsia="Arial Unicode MS" w:hAnsi="Times New Roman"/>
                <w:b/>
                <w:sz w:val="24"/>
                <w:szCs w:val="24"/>
                <w:lang w:eastAsia="de-DE"/>
              </w:rPr>
            </w:pPr>
            <w:r w:rsidRPr="002857E6">
              <w:rPr>
                <w:rFonts w:ascii="Times New Roman" w:hAnsi="Times New Roman"/>
                <w:sz w:val="24"/>
                <w:szCs w:val="24"/>
              </w:rPr>
              <w:t>T</w:t>
            </w:r>
            <w:r w:rsidR="00035874" w:rsidRPr="002857E6">
              <w:rPr>
                <w:rFonts w:ascii="Times New Roman" w:eastAsia="Arial Unicode MS" w:hAnsi="Times New Roman"/>
                <w:sz w:val="24"/>
                <w:szCs w:val="24"/>
                <w:lang w:eastAsia="de-DE"/>
              </w:rPr>
              <w:t>he Action</w:t>
            </w:r>
            <w:r w:rsidRPr="002857E6">
              <w:rPr>
                <w:rFonts w:ascii="Times New Roman" w:eastAsia="Arial Unicode MS" w:hAnsi="Times New Roman"/>
                <w:sz w:val="24"/>
                <w:szCs w:val="24"/>
                <w:lang w:eastAsia="de-DE"/>
              </w:rPr>
              <w:t>s</w:t>
            </w:r>
            <w:r w:rsidR="00035874" w:rsidRPr="002857E6">
              <w:rPr>
                <w:rFonts w:ascii="Times New Roman" w:eastAsia="Arial Unicode MS" w:hAnsi="Times New Roman"/>
                <w:sz w:val="24"/>
                <w:szCs w:val="24"/>
                <w:lang w:eastAsia="de-DE"/>
              </w:rPr>
              <w:t xml:space="preserve"> will </w:t>
            </w:r>
            <w:r w:rsidR="00296FEE" w:rsidRPr="002857E6">
              <w:rPr>
                <w:rFonts w:ascii="Times New Roman" w:eastAsia="Arial Unicode MS" w:hAnsi="Times New Roman"/>
                <w:sz w:val="24"/>
                <w:szCs w:val="24"/>
                <w:lang w:eastAsia="de-DE"/>
              </w:rPr>
              <w:t>contribute</w:t>
            </w:r>
            <w:r w:rsidR="00035874" w:rsidRPr="002857E6">
              <w:rPr>
                <w:rFonts w:ascii="Times New Roman" w:eastAsia="Arial Unicode MS" w:hAnsi="Times New Roman"/>
                <w:sz w:val="24"/>
                <w:szCs w:val="24"/>
                <w:lang w:eastAsia="de-DE"/>
              </w:rPr>
              <w:t xml:space="preserve"> to the regional </w:t>
            </w:r>
            <w:r w:rsidR="00035874" w:rsidRPr="002857E6">
              <w:rPr>
                <w:rFonts w:ascii="Times New Roman" w:eastAsia="Arial Unicode MS" w:hAnsi="Times New Roman"/>
                <w:b/>
                <w:sz w:val="24"/>
                <w:szCs w:val="24"/>
                <w:lang w:eastAsia="de-DE"/>
              </w:rPr>
              <w:t xml:space="preserve">South East Europe 2020 Strategy </w:t>
            </w:r>
            <w:r w:rsidR="00CE6353" w:rsidRPr="002857E6">
              <w:rPr>
                <w:rFonts w:ascii="Times New Roman" w:eastAsia="Arial Unicode MS" w:hAnsi="Times New Roman"/>
                <w:b/>
                <w:sz w:val="24"/>
                <w:szCs w:val="24"/>
                <w:lang w:eastAsia="de-DE"/>
              </w:rPr>
              <w:t>through pillars:</w:t>
            </w:r>
          </w:p>
          <w:p w:rsidR="000C601A" w:rsidRPr="002857E6" w:rsidRDefault="000C601A" w:rsidP="00035874">
            <w:p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- 3.2. Smart Growth - driven by knowledge and innovation and based on its human capital; </w:t>
            </w:r>
          </w:p>
          <w:p w:rsidR="000C601A" w:rsidRPr="002857E6" w:rsidRDefault="000C601A" w:rsidP="00035874">
            <w:p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Key Strategy actions in </w:t>
            </w:r>
            <w:r w:rsidR="00051C9A" w:rsidRPr="002857E6">
              <w:rPr>
                <w:rFonts w:ascii="Times New Roman" w:hAnsi="Times New Roman"/>
                <w:sz w:val="24"/>
                <w:szCs w:val="24"/>
              </w:rPr>
              <w:t>D</w:t>
            </w:r>
            <w:r w:rsidRPr="002857E6">
              <w:rPr>
                <w:rFonts w:ascii="Times New Roman" w:hAnsi="Times New Roman"/>
                <w:sz w:val="24"/>
                <w:szCs w:val="24"/>
              </w:rPr>
              <w:t xml:space="preserve">imension ‘Digital Society’ </w:t>
            </w:r>
            <w:r w:rsidR="00647406" w:rsidRPr="002857E6">
              <w:rPr>
                <w:rFonts w:ascii="Times New Roman" w:hAnsi="Times New Roman"/>
                <w:sz w:val="24"/>
                <w:szCs w:val="24"/>
              </w:rPr>
              <w:t>- The overall objective of the dimension ‘Digital Society’ is to further enhance the cooperation on economic and social development in South East Europe and reap the full potential of the Information and Communications Technologies to spur innovation, economic growth, regional competitiveness and improved quality of life.</w:t>
            </w:r>
          </w:p>
          <w:p w:rsidR="0044051C" w:rsidRPr="002857E6" w:rsidRDefault="000C601A" w:rsidP="00035874">
            <w:p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 </w:t>
            </w:r>
            <w:r w:rsidR="0044051C" w:rsidRPr="002857E6">
              <w:rPr>
                <w:rFonts w:ascii="Times New Roman" w:hAnsi="Times New Roman"/>
                <w:sz w:val="24"/>
                <w:szCs w:val="24"/>
              </w:rPr>
              <w:t>3.3. Sustainable Growth</w:t>
            </w:r>
            <w:r w:rsidR="0004402B" w:rsidRPr="002857E6">
              <w:rPr>
                <w:rFonts w:ascii="Times New Roman" w:hAnsi="Times New Roman"/>
                <w:sz w:val="24"/>
                <w:szCs w:val="24"/>
              </w:rPr>
              <w:t xml:space="preserve"> - </w:t>
            </w:r>
            <w:r w:rsidR="0058681F" w:rsidRPr="002857E6">
              <w:rPr>
                <w:rFonts w:ascii="Times New Roman" w:eastAsia="Arial Unicode MS" w:hAnsi="Times New Roman"/>
                <w:sz w:val="24"/>
                <w:szCs w:val="24"/>
                <w:lang w:eastAsia="de-DE"/>
              </w:rPr>
              <w:t>requirement for</w:t>
            </w:r>
            <w:r w:rsidR="0044051C" w:rsidRPr="002857E6">
              <w:rPr>
                <w:rFonts w:ascii="Times New Roman" w:hAnsi="Times New Roman"/>
                <w:sz w:val="24"/>
                <w:szCs w:val="24"/>
              </w:rPr>
              <w:t xml:space="preserve"> sustainable and accessible transport and energy infrastructure, a competitive economic base and a resource efficient economy. Sustainable and accessible infrastructure as well as transparent and coordinated legal and institutional frameworks can further improve the business environment for economic actors.</w:t>
            </w:r>
          </w:p>
          <w:p w:rsidR="00396C0B" w:rsidRPr="002857E6" w:rsidRDefault="00CE6353" w:rsidP="00035874">
            <w:pPr>
              <w:spacing w:before="120" w:after="120" w:line="240" w:lineRule="auto"/>
              <w:jc w:val="both"/>
              <w:rPr>
                <w:rFonts w:ascii="Times New Roman" w:hAnsi="Times New Roman"/>
                <w:color w:val="000000"/>
                <w:sz w:val="24"/>
                <w:szCs w:val="24"/>
              </w:rPr>
            </w:pPr>
            <w:r w:rsidRPr="002857E6">
              <w:rPr>
                <w:rFonts w:ascii="Times New Roman" w:hAnsi="Times New Roman"/>
                <w:sz w:val="24"/>
                <w:szCs w:val="24"/>
              </w:rPr>
              <w:t>Key Strategy actions in Dimension I ‘Transport</w:t>
            </w:r>
            <w:r w:rsidR="0004402B" w:rsidRPr="002857E6">
              <w:rPr>
                <w:rFonts w:ascii="Times New Roman" w:hAnsi="Times New Roman"/>
                <w:sz w:val="24"/>
                <w:szCs w:val="24"/>
              </w:rPr>
              <w:t xml:space="preserve"> - </w:t>
            </w:r>
            <w:r w:rsidR="00396C0B" w:rsidRPr="002857E6">
              <w:rPr>
                <w:rFonts w:ascii="Times New Roman" w:hAnsi="Times New Roman"/>
                <w:color w:val="000000"/>
                <w:sz w:val="24"/>
                <w:szCs w:val="24"/>
              </w:rPr>
              <w:t xml:space="preserve">The </w:t>
            </w:r>
            <w:r w:rsidR="00D65293" w:rsidRPr="002857E6">
              <w:rPr>
                <w:rFonts w:ascii="Times New Roman" w:hAnsi="Times New Roman"/>
                <w:color w:val="000000"/>
                <w:sz w:val="24"/>
                <w:szCs w:val="24"/>
              </w:rPr>
              <w:t>A</w:t>
            </w:r>
            <w:r w:rsidR="00396C0B" w:rsidRPr="002857E6">
              <w:rPr>
                <w:rFonts w:ascii="Times New Roman" w:hAnsi="Times New Roman"/>
                <w:color w:val="000000"/>
                <w:sz w:val="24"/>
                <w:szCs w:val="24"/>
              </w:rPr>
              <w:t>ction is in line with </w:t>
            </w:r>
            <w:r w:rsidR="00396C0B" w:rsidRPr="002857E6">
              <w:rPr>
                <w:rFonts w:ascii="Times New Roman" w:hAnsi="Times New Roman"/>
                <w:b/>
                <w:bCs/>
                <w:color w:val="000000"/>
                <w:sz w:val="24"/>
                <w:szCs w:val="24"/>
              </w:rPr>
              <w:t>the European integrated border management (IBM)</w:t>
            </w:r>
            <w:r w:rsidR="00396C0B" w:rsidRPr="002857E6">
              <w:rPr>
                <w:rFonts w:ascii="Times New Roman" w:hAnsi="Times New Roman"/>
                <w:color w:val="000000"/>
                <w:sz w:val="24"/>
                <w:szCs w:val="24"/>
              </w:rPr>
              <w:t xml:space="preserve"> that aims at managing the crossing of the external borders efficiently and addressing migratory challenges and potential future threats at those borders, thereby contributing to addressing all cross-border matters and ensuring a higher level of internal security within the EU, while at the same time acting in full respect for fundamental rights and in a manner that </w:t>
            </w:r>
            <w:r w:rsidR="00396C0B" w:rsidRPr="002857E6">
              <w:rPr>
                <w:rFonts w:ascii="Times New Roman" w:hAnsi="Times New Roman"/>
                <w:color w:val="000000"/>
                <w:sz w:val="24"/>
                <w:szCs w:val="24"/>
              </w:rPr>
              <w:lastRenderedPageBreak/>
              <w:t>safeguards the movements within the EU and trade facilitation.</w:t>
            </w:r>
          </w:p>
          <w:p w:rsidR="00BE7159" w:rsidRPr="002857E6" w:rsidRDefault="00035874" w:rsidP="00035874">
            <w:pPr>
              <w:spacing w:before="120" w:after="120" w:line="240" w:lineRule="auto"/>
              <w:jc w:val="both"/>
              <w:rPr>
                <w:rFonts w:ascii="Times New Roman" w:eastAsia="Arial Unicode MS" w:hAnsi="Times New Roman"/>
                <w:sz w:val="24"/>
                <w:szCs w:val="24"/>
                <w:lang w:eastAsia="de-DE"/>
              </w:rPr>
            </w:pPr>
            <w:r w:rsidRPr="002857E6">
              <w:rPr>
                <w:rFonts w:ascii="Times New Roman" w:eastAsia="Arial Unicode MS" w:hAnsi="Times New Roman"/>
                <w:sz w:val="24"/>
                <w:szCs w:val="24"/>
                <w:lang w:eastAsia="de-DE"/>
              </w:rPr>
              <w:t>T</w:t>
            </w:r>
            <w:r w:rsidR="00D65293" w:rsidRPr="002857E6">
              <w:rPr>
                <w:rFonts w:ascii="Times New Roman" w:eastAsia="Arial Unicode MS" w:hAnsi="Times New Roman"/>
                <w:sz w:val="24"/>
                <w:szCs w:val="24"/>
                <w:lang w:eastAsia="de-DE"/>
              </w:rPr>
              <w:t>his</w:t>
            </w:r>
            <w:r w:rsidR="00237F90" w:rsidRPr="002857E6">
              <w:rPr>
                <w:rFonts w:ascii="Times New Roman" w:eastAsia="Arial Unicode MS" w:hAnsi="Times New Roman"/>
                <w:sz w:val="24"/>
                <w:szCs w:val="24"/>
                <w:lang w:eastAsia="de-DE"/>
              </w:rPr>
              <w:t xml:space="preserve"> </w:t>
            </w:r>
            <w:r w:rsidR="00D65293" w:rsidRPr="002857E6">
              <w:rPr>
                <w:rFonts w:ascii="Times New Roman" w:eastAsia="Arial Unicode MS" w:hAnsi="Times New Roman"/>
                <w:sz w:val="24"/>
                <w:szCs w:val="24"/>
                <w:lang w:eastAsia="de-DE"/>
              </w:rPr>
              <w:t>Action</w:t>
            </w:r>
            <w:r w:rsidRPr="002857E6">
              <w:rPr>
                <w:rFonts w:ascii="Times New Roman" w:eastAsia="Arial Unicode MS" w:hAnsi="Times New Roman"/>
                <w:sz w:val="24"/>
                <w:szCs w:val="24"/>
                <w:lang w:eastAsia="de-DE"/>
              </w:rPr>
              <w:t xml:space="preserve"> will contribute towards the implementation of the </w:t>
            </w:r>
            <w:r w:rsidRPr="002857E6">
              <w:rPr>
                <w:rFonts w:ascii="Times New Roman" w:eastAsia="Arial Unicode MS" w:hAnsi="Times New Roman"/>
                <w:b/>
                <w:sz w:val="24"/>
                <w:szCs w:val="24"/>
                <w:lang w:eastAsia="de-DE"/>
              </w:rPr>
              <w:t>Stabilisation and Association Agreement (SSA)</w:t>
            </w:r>
            <w:r w:rsidR="00D65293" w:rsidRPr="002857E6">
              <w:rPr>
                <w:rFonts w:ascii="Times New Roman" w:eastAsia="Arial Unicode MS" w:hAnsi="Times New Roman"/>
                <w:b/>
                <w:sz w:val="24"/>
                <w:szCs w:val="24"/>
                <w:lang w:eastAsia="de-DE"/>
              </w:rPr>
              <w:t xml:space="preserve"> regarding the statements stipulated in the following articles:</w:t>
            </w:r>
          </w:p>
          <w:p w:rsidR="00A91EEA" w:rsidRPr="002857E6" w:rsidRDefault="008E63D4" w:rsidP="00BE7159">
            <w:pPr>
              <w:pStyle w:val="ListParagraph"/>
              <w:numPr>
                <w:ilvl w:val="0"/>
                <w:numId w:val="9"/>
              </w:num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article </w:t>
            </w:r>
            <w:r w:rsidR="001E116D" w:rsidRPr="002857E6">
              <w:rPr>
                <w:rFonts w:ascii="Times New Roman" w:hAnsi="Times New Roman"/>
                <w:sz w:val="24"/>
                <w:szCs w:val="24"/>
              </w:rPr>
              <w:t xml:space="preserve">35 </w:t>
            </w:r>
            <w:r w:rsidR="00A91EEA" w:rsidRPr="002857E6">
              <w:rPr>
                <w:rFonts w:ascii="Times New Roman" w:hAnsi="Times New Roman"/>
                <w:sz w:val="24"/>
                <w:szCs w:val="24"/>
              </w:rPr>
              <w:t xml:space="preserve">regulates </w:t>
            </w:r>
            <w:r w:rsidR="001E116D" w:rsidRPr="002857E6">
              <w:rPr>
                <w:rFonts w:ascii="Times New Roman" w:hAnsi="Times New Roman"/>
                <w:sz w:val="24"/>
                <w:szCs w:val="24"/>
              </w:rPr>
              <w:t>Customs unions, free trade areas, cross-border arrangements</w:t>
            </w:r>
            <w:r w:rsidR="00A91EEA" w:rsidRPr="002857E6">
              <w:rPr>
                <w:rFonts w:ascii="Times New Roman" w:hAnsi="Times New Roman"/>
                <w:sz w:val="24"/>
                <w:szCs w:val="24"/>
              </w:rPr>
              <w:t xml:space="preserve"> (concluded between one or more Member States and the Republic of North Macedonia in order to ensure the mutual interests of the Community and North Macedonia;</w:t>
            </w:r>
          </w:p>
          <w:p w:rsidR="008E63D4" w:rsidRPr="002857E6" w:rsidRDefault="008E63D4" w:rsidP="004D411D">
            <w:pPr>
              <w:pStyle w:val="ListParagraph"/>
              <w:numPr>
                <w:ilvl w:val="0"/>
                <w:numId w:val="9"/>
              </w:num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article </w:t>
            </w:r>
            <w:r w:rsidR="003C64A0" w:rsidRPr="002857E6">
              <w:rPr>
                <w:rFonts w:ascii="Times New Roman" w:hAnsi="Times New Roman"/>
                <w:sz w:val="24"/>
                <w:szCs w:val="24"/>
              </w:rPr>
              <w:t>88 – Customs</w:t>
            </w:r>
            <w:r w:rsidRPr="002857E6">
              <w:rPr>
                <w:rFonts w:ascii="Times New Roman" w:hAnsi="Times New Roman"/>
                <w:sz w:val="24"/>
                <w:szCs w:val="24"/>
              </w:rPr>
              <w:t>– in this article it is stipulated that c</w:t>
            </w:r>
            <w:r w:rsidR="00895557" w:rsidRPr="002857E6">
              <w:rPr>
                <w:rFonts w:ascii="Times New Roman" w:hAnsi="Times New Roman"/>
                <w:sz w:val="24"/>
                <w:szCs w:val="24"/>
              </w:rPr>
              <w:t xml:space="preserve">ooperation </w:t>
            </w:r>
            <w:r w:rsidRPr="002857E6">
              <w:rPr>
                <w:rFonts w:ascii="Times New Roman" w:hAnsi="Times New Roman"/>
                <w:sz w:val="24"/>
                <w:szCs w:val="24"/>
              </w:rPr>
              <w:t xml:space="preserve">between Community and North Macedonia </w:t>
            </w:r>
            <w:r w:rsidR="00895557" w:rsidRPr="002857E6">
              <w:rPr>
                <w:rFonts w:ascii="Times New Roman" w:hAnsi="Times New Roman"/>
                <w:sz w:val="24"/>
                <w:szCs w:val="24"/>
              </w:rPr>
              <w:t xml:space="preserve">shall include the following </w:t>
            </w:r>
            <w:r w:rsidRPr="002857E6">
              <w:rPr>
                <w:rFonts w:ascii="Times New Roman" w:hAnsi="Times New Roman"/>
                <w:sz w:val="24"/>
                <w:szCs w:val="24"/>
              </w:rPr>
              <w:t>(among other):</w:t>
            </w:r>
            <w:r w:rsidR="00895557" w:rsidRPr="002857E6">
              <w:rPr>
                <w:rFonts w:ascii="Times New Roman" w:hAnsi="Times New Roman"/>
                <w:sz w:val="24"/>
                <w:szCs w:val="24"/>
              </w:rPr>
              <w:t xml:space="preserve"> the exchange of information including on the methods of investigation; the development of cross-border infrastructure between the Parties; the possibility of interconnection between the transit systems of the Community and the Republic of </w:t>
            </w:r>
            <w:r w:rsidRPr="002857E6">
              <w:rPr>
                <w:rFonts w:ascii="Times New Roman" w:hAnsi="Times New Roman"/>
                <w:sz w:val="24"/>
                <w:szCs w:val="24"/>
              </w:rPr>
              <w:t xml:space="preserve">North </w:t>
            </w:r>
            <w:r w:rsidR="00895557" w:rsidRPr="002857E6">
              <w:rPr>
                <w:rFonts w:ascii="Times New Roman" w:hAnsi="Times New Roman"/>
                <w:sz w:val="24"/>
                <w:szCs w:val="24"/>
              </w:rPr>
              <w:t>Macedonia, as well as the adoption and use of the Single Administrative Document (SAD); the simplification of inspections and formalities in respect of the carriage of goods; support for introduction of modern customs information systems</w:t>
            </w:r>
            <w:r w:rsidR="004D411D" w:rsidRPr="002857E6">
              <w:rPr>
                <w:rFonts w:ascii="Times New Roman" w:hAnsi="Times New Roman"/>
                <w:sz w:val="24"/>
                <w:szCs w:val="24"/>
              </w:rPr>
              <w:t xml:space="preserve">; The mutual assistance between administrative authorities in customs matters of the Parties shall take place in accordance with the provisions of </w:t>
            </w:r>
            <w:r w:rsidR="004D411D" w:rsidRPr="002857E6">
              <w:rPr>
                <w:rFonts w:ascii="Times New Roman" w:hAnsi="Times New Roman"/>
                <w:b/>
                <w:sz w:val="24"/>
                <w:szCs w:val="24"/>
              </w:rPr>
              <w:t>Protocol 5</w:t>
            </w:r>
            <w:r w:rsidR="00967245" w:rsidRPr="002857E6">
              <w:rPr>
                <w:rFonts w:ascii="Times New Roman" w:hAnsi="Times New Roman"/>
                <w:b/>
                <w:sz w:val="24"/>
                <w:szCs w:val="24"/>
              </w:rPr>
              <w:t xml:space="preserve"> on mutual administrative assistance in customs matters</w:t>
            </w:r>
            <w:r w:rsidR="004D411D" w:rsidRPr="002857E6">
              <w:rPr>
                <w:rFonts w:ascii="Times New Roman" w:hAnsi="Times New Roman"/>
                <w:b/>
                <w:sz w:val="24"/>
                <w:szCs w:val="24"/>
              </w:rPr>
              <w:t>;</w:t>
            </w:r>
          </w:p>
          <w:p w:rsidR="00404826" w:rsidRPr="002857E6" w:rsidRDefault="00F73AB3" w:rsidP="00F73AB3">
            <w:pPr>
              <w:pStyle w:val="ListParagraph"/>
              <w:numPr>
                <w:ilvl w:val="0"/>
                <w:numId w:val="9"/>
              </w:num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article </w:t>
            </w:r>
            <w:r w:rsidR="003C64A0" w:rsidRPr="002857E6">
              <w:rPr>
                <w:rFonts w:ascii="Times New Roman" w:hAnsi="Times New Roman"/>
                <w:sz w:val="24"/>
                <w:szCs w:val="24"/>
              </w:rPr>
              <w:t>98 – Transport</w:t>
            </w:r>
            <w:r w:rsidR="00404826" w:rsidRPr="002857E6">
              <w:rPr>
                <w:rFonts w:ascii="Times New Roman" w:hAnsi="Times New Roman"/>
                <w:sz w:val="24"/>
                <w:szCs w:val="24"/>
              </w:rPr>
              <w:t xml:space="preserve"> (</w:t>
            </w:r>
            <w:r w:rsidR="000E058D" w:rsidRPr="002857E6">
              <w:rPr>
                <w:rFonts w:ascii="Times New Roman" w:hAnsi="Times New Roman"/>
                <w:sz w:val="24"/>
                <w:szCs w:val="24"/>
              </w:rPr>
              <w:t>which regulates the development and step up in the cooperation between the parties in the fie</w:t>
            </w:r>
            <w:r w:rsidR="00B619BC" w:rsidRPr="002857E6">
              <w:rPr>
                <w:rFonts w:ascii="Times New Roman" w:hAnsi="Times New Roman"/>
                <w:sz w:val="24"/>
                <w:szCs w:val="24"/>
              </w:rPr>
              <w:t>l</w:t>
            </w:r>
            <w:r w:rsidR="000E058D" w:rsidRPr="002857E6">
              <w:rPr>
                <w:rFonts w:ascii="Times New Roman" w:hAnsi="Times New Roman"/>
                <w:sz w:val="24"/>
                <w:szCs w:val="24"/>
              </w:rPr>
              <w:t xml:space="preserve">d of transport in order to enable the Republic of North Macedonia to: restructure and modernise transport and related infrastructure; movement of passengers and goods and access to the transport market, by the removing of administrative, technical and other barriers; achieve operating standards comparable to those in the Community; develop a transport system compatible with and aligned on the Community </w:t>
            </w:r>
            <w:r w:rsidR="00B64614" w:rsidRPr="002857E6">
              <w:rPr>
                <w:rFonts w:ascii="Times New Roman" w:hAnsi="Times New Roman"/>
                <w:sz w:val="24"/>
                <w:szCs w:val="24"/>
              </w:rPr>
              <w:t>system</w:t>
            </w:r>
            <w:r w:rsidR="00A61CCD" w:rsidRPr="002857E6">
              <w:rPr>
                <w:rFonts w:ascii="Times New Roman" w:hAnsi="Times New Roman"/>
                <w:sz w:val="24"/>
                <w:szCs w:val="24"/>
              </w:rPr>
              <w:t>.</w:t>
            </w:r>
            <w:r w:rsidR="00B64614" w:rsidRPr="002857E6">
              <w:rPr>
                <w:rFonts w:ascii="Times New Roman" w:hAnsi="Times New Roman"/>
                <w:sz w:val="24"/>
                <w:szCs w:val="24"/>
              </w:rPr>
              <w:t xml:space="preserve"> The priority is in the following areas: </w:t>
            </w:r>
            <w:r w:rsidR="00263A0F" w:rsidRPr="002857E6">
              <w:rPr>
                <w:rFonts w:ascii="Times New Roman" w:hAnsi="Times New Roman"/>
                <w:sz w:val="24"/>
                <w:szCs w:val="24"/>
              </w:rPr>
              <w:t>the development of road, rail, airport and port infrastructure and other major routes of common interest and Trans-European and Pan-European links; the management of railways and airports, including appropriate cooperation between the relevant national authorities;  road transport, including taxation and social and environmental aspects; combined rail and road transport; the harmonisation of international transport statistics; the modernisation of technical transport equipment in line with Community standards, and assistance in acquiring financing to that end, particularly as regards road-rail transport, multi-modal transport and transhipment;</w:t>
            </w:r>
          </w:p>
          <w:p w:rsidR="00404826" w:rsidRPr="002857E6" w:rsidRDefault="00404826" w:rsidP="00F73AB3">
            <w:pPr>
              <w:pStyle w:val="ListParagraph"/>
              <w:numPr>
                <w:ilvl w:val="0"/>
                <w:numId w:val="9"/>
              </w:numPr>
              <w:spacing w:before="120" w:after="120" w:line="240" w:lineRule="auto"/>
              <w:jc w:val="both"/>
              <w:rPr>
                <w:rFonts w:ascii="Times New Roman" w:hAnsi="Times New Roman"/>
                <w:sz w:val="24"/>
                <w:szCs w:val="24"/>
              </w:rPr>
            </w:pPr>
            <w:r w:rsidRPr="002857E6">
              <w:rPr>
                <w:rFonts w:ascii="Times New Roman" w:hAnsi="Times New Roman"/>
                <w:sz w:val="24"/>
                <w:szCs w:val="24"/>
              </w:rPr>
              <w:t xml:space="preserve">article </w:t>
            </w:r>
            <w:r w:rsidR="003C64A0" w:rsidRPr="002857E6">
              <w:rPr>
                <w:rFonts w:ascii="Times New Roman" w:hAnsi="Times New Roman"/>
                <w:sz w:val="24"/>
                <w:szCs w:val="24"/>
              </w:rPr>
              <w:t>101- Regional and local development</w:t>
            </w:r>
            <w:r w:rsidR="00847041" w:rsidRPr="002857E6">
              <w:rPr>
                <w:rFonts w:ascii="Times New Roman" w:hAnsi="Times New Roman"/>
                <w:sz w:val="24"/>
                <w:szCs w:val="24"/>
              </w:rPr>
              <w:t xml:space="preserve"> (where it is stated that The Parties will strengthen regional development cooperation, with the objective of contributing to economic development and reducing regional imbalances. Specific attention will be given to cross-border, trans-national and interregional cooperation. </w:t>
            </w:r>
          </w:p>
          <w:p w:rsidR="003C64A0" w:rsidRPr="002857E6" w:rsidRDefault="00404826" w:rsidP="00F73AB3">
            <w:pPr>
              <w:pStyle w:val="ListParagraph"/>
              <w:numPr>
                <w:ilvl w:val="0"/>
                <w:numId w:val="9"/>
              </w:numPr>
              <w:spacing w:before="120" w:after="120" w:line="240" w:lineRule="auto"/>
              <w:jc w:val="both"/>
              <w:rPr>
                <w:rFonts w:ascii="Times New Roman" w:hAnsi="Times New Roman"/>
                <w:sz w:val="24"/>
                <w:szCs w:val="24"/>
              </w:rPr>
            </w:pPr>
            <w:r w:rsidRPr="002857E6">
              <w:rPr>
                <w:rFonts w:ascii="Times New Roman" w:hAnsi="Times New Roman"/>
                <w:sz w:val="24"/>
                <w:szCs w:val="24"/>
              </w:rPr>
              <w:lastRenderedPageBreak/>
              <w:t xml:space="preserve">article </w:t>
            </w:r>
            <w:r w:rsidR="003C64A0" w:rsidRPr="002857E6">
              <w:rPr>
                <w:rFonts w:ascii="Times New Roman" w:hAnsi="Times New Roman"/>
                <w:sz w:val="24"/>
                <w:szCs w:val="24"/>
              </w:rPr>
              <w:t>102</w:t>
            </w:r>
            <w:r w:rsidR="00A61CCD" w:rsidRPr="002857E6">
              <w:rPr>
                <w:rFonts w:ascii="Times New Roman" w:hAnsi="Times New Roman"/>
                <w:sz w:val="24"/>
                <w:szCs w:val="24"/>
              </w:rPr>
              <w:t>-</w:t>
            </w:r>
            <w:r w:rsidR="003C64A0" w:rsidRPr="002857E6">
              <w:rPr>
                <w:rFonts w:ascii="Times New Roman" w:hAnsi="Times New Roman"/>
                <w:sz w:val="24"/>
                <w:szCs w:val="24"/>
              </w:rPr>
              <w:t xml:space="preserve"> Cooperation in research and technological development</w:t>
            </w:r>
            <w:r w:rsidR="00350AFB" w:rsidRPr="002857E6">
              <w:rPr>
                <w:rFonts w:ascii="Times New Roman" w:hAnsi="Times New Roman"/>
                <w:sz w:val="24"/>
                <w:szCs w:val="24"/>
              </w:rPr>
              <w:t xml:space="preserve"> - where the parties on the bases of mutual benefits will exchange scientific and technical information regarding all aspects of RTD.</w:t>
            </w:r>
          </w:p>
          <w:p w:rsidR="00290399" w:rsidRPr="002857E6" w:rsidRDefault="00E93532" w:rsidP="003D1B1E">
            <w:pPr>
              <w:pStyle w:val="Default"/>
              <w:jc w:val="both"/>
              <w:rPr>
                <w:lang w:val="en-US"/>
              </w:rPr>
            </w:pPr>
            <w:r w:rsidRPr="002857E6">
              <w:rPr>
                <w:lang w:val="en-US"/>
              </w:rPr>
              <w:t>C</w:t>
            </w:r>
            <w:r w:rsidRPr="002857E6">
              <w:t xml:space="preserve">ouncil </w:t>
            </w:r>
            <w:r w:rsidRPr="002857E6">
              <w:rPr>
                <w:lang w:val="en-US"/>
              </w:rPr>
              <w:t>D</w:t>
            </w:r>
            <w:r w:rsidRPr="002857E6">
              <w:t xml:space="preserve">ecision (EU) 2015/836 of 11 May 2015 on the position to be taken on behalf of the European Union concerning the adoption of a </w:t>
            </w:r>
            <w:r w:rsidRPr="002857E6">
              <w:rPr>
                <w:b/>
              </w:rPr>
              <w:t>Decision by the EU-EFTA Joint Committee on common transit and a Decision by the EU-EFTA Joint Committee on simplification of formalities in trade in goods</w:t>
            </w:r>
            <w:r w:rsidRPr="002857E6">
              <w:t xml:space="preserve"> as regards invitations to the Republic of </w:t>
            </w:r>
            <w:r w:rsidRPr="002857E6">
              <w:rPr>
                <w:lang w:val="en-US"/>
              </w:rPr>
              <w:t xml:space="preserve">  North </w:t>
            </w:r>
            <w:r w:rsidRPr="002857E6">
              <w:t>Macedonia to accede to the Convention on a common transit procedure and the Convention on simplification of formalities in trade in goo</w:t>
            </w:r>
            <w:r w:rsidR="0016591C" w:rsidRPr="002857E6">
              <w:rPr>
                <w:lang w:val="en-US"/>
              </w:rPr>
              <w:t>d</w:t>
            </w:r>
            <w:r w:rsidR="00B619BC" w:rsidRPr="002857E6">
              <w:rPr>
                <w:lang w:val="en-US"/>
              </w:rPr>
              <w:t xml:space="preserve"> </w:t>
            </w:r>
            <w:r w:rsidR="0016591C" w:rsidRPr="002857E6">
              <w:rPr>
                <w:lang w:val="en-US"/>
              </w:rPr>
              <w:t>- where as technical conditions for NCTS should be fulfilled</w:t>
            </w:r>
            <w:r w:rsidR="00EF41CC" w:rsidRPr="002857E6">
              <w:t>;</w:t>
            </w:r>
            <w:r w:rsidR="0004402B" w:rsidRPr="002857E6">
              <w:rPr>
                <w:lang w:val="en-US"/>
              </w:rPr>
              <w:t xml:space="preserve"> Republic of North Macedonia has fulfilled all requirements (including introduction of a special transit system for digital exchange of data between EU Member states and EFTA countries (NCTS)) is a member and applies the Common transit conventions </w:t>
            </w:r>
            <w:r w:rsidR="009065CB" w:rsidRPr="002857E6">
              <w:rPr>
                <w:lang w:val="en-US"/>
              </w:rPr>
              <w:t>as of</w:t>
            </w:r>
            <w:r w:rsidR="0004402B" w:rsidRPr="002857E6">
              <w:rPr>
                <w:lang w:val="en-US"/>
              </w:rPr>
              <w:t xml:space="preserve"> 1 June 2015</w:t>
            </w:r>
            <w:r w:rsidR="009065CB" w:rsidRPr="002857E6">
              <w:rPr>
                <w:lang w:val="en-US"/>
              </w:rPr>
              <w:t>.</w:t>
            </w:r>
          </w:p>
          <w:p w:rsidR="00D352E2" w:rsidRPr="002857E6" w:rsidRDefault="00D352E2" w:rsidP="003D1B1E">
            <w:pPr>
              <w:pStyle w:val="Default"/>
              <w:jc w:val="both"/>
              <w:rPr>
                <w:lang w:val="en-US"/>
              </w:rPr>
            </w:pPr>
          </w:p>
          <w:p w:rsidR="00035874" w:rsidRPr="002857E6" w:rsidRDefault="008F6288" w:rsidP="003D1B1E">
            <w:pPr>
              <w:pStyle w:val="Default"/>
              <w:jc w:val="both"/>
            </w:pPr>
            <w:r w:rsidRPr="002857E6">
              <w:rPr>
                <w:lang w:val="en-US"/>
              </w:rPr>
              <w:t xml:space="preserve">The </w:t>
            </w:r>
            <w:r w:rsidR="0004402B" w:rsidRPr="002857E6">
              <w:rPr>
                <w:lang w:val="en-US"/>
              </w:rPr>
              <w:t xml:space="preserve">Action contributes to the </w:t>
            </w:r>
            <w:r w:rsidRPr="002857E6">
              <w:rPr>
                <w:lang w:val="en-US"/>
              </w:rPr>
              <w:t>digital agenda and upgrade of the IT systems is in line with the</w:t>
            </w:r>
            <w:r w:rsidR="001E4D0E" w:rsidRPr="002857E6">
              <w:rPr>
                <w:lang w:val="en-US"/>
              </w:rPr>
              <w:t xml:space="preserve"> </w:t>
            </w:r>
            <w:r w:rsidR="003D1B1E" w:rsidRPr="002857E6">
              <w:rPr>
                <w:b/>
                <w:lang w:val="en-US"/>
              </w:rPr>
              <w:t>Electronic Customs Multi-Annual Strategic Plan for Customs</w:t>
            </w:r>
            <w:r w:rsidR="003D1B1E" w:rsidRPr="002857E6">
              <w:rPr>
                <w:lang w:val="en-US"/>
              </w:rPr>
              <w:t xml:space="preserve"> (MASP-C) - 2019 Revision - MASP-C Rev. 2019 Version 1.1 (DG TAXUD document Ref. Ares(2019)7610324 - 11/12/2019 ANNEX 2   MASP-C Rev. 2019 v1.1 Consolidated Project Fiches)</w:t>
            </w:r>
            <w:r w:rsidR="00CC0A7E" w:rsidRPr="002857E6">
              <w:t xml:space="preserve"> - EU-wide electronic customs systems developments are set out in the EU’s “Multi-Annual Strategic Plan for electronic Customs” for the creation of a European electronic customs environment. These plans are consistent with the operational and legislative projects and developments already scheduled or underway in the areas of customs.</w:t>
            </w:r>
          </w:p>
          <w:p w:rsidR="00EE6866" w:rsidRPr="002857E6" w:rsidRDefault="00EE6866" w:rsidP="003D1B1E">
            <w:pPr>
              <w:pStyle w:val="Default"/>
              <w:jc w:val="both"/>
            </w:pPr>
          </w:p>
          <w:p w:rsidR="00326F34" w:rsidRPr="002857E6" w:rsidRDefault="007D7993" w:rsidP="007D7993">
            <w:pPr>
              <w:pStyle w:val="Default"/>
              <w:jc w:val="both"/>
              <w:rPr>
                <w:lang w:val="en-US"/>
              </w:rPr>
            </w:pPr>
            <w:r w:rsidRPr="002857E6">
              <w:rPr>
                <w:lang w:val="en-US"/>
              </w:rPr>
              <w:t>The Council further invites the Commission to continue to monitor the progress and continued compliance in all areas, and in this line, it is understandable that the projects and other activities for achieving compliance will be necessary to happen more urgent and with faster pace in the upcoming period.</w:t>
            </w:r>
            <w:r w:rsidR="00D352E2" w:rsidRPr="002857E6">
              <w:rPr>
                <w:lang w:val="en-US"/>
              </w:rPr>
              <w:t xml:space="preserve"> This includes timely implementation of the NCTS Phase 5, due to be in place by </w:t>
            </w:r>
            <w:r w:rsidR="00B85ECA" w:rsidRPr="002857E6">
              <w:rPr>
                <w:lang w:val="en-US"/>
              </w:rPr>
              <w:t xml:space="preserve">all members of the Convention on Common Transit </w:t>
            </w:r>
            <w:r w:rsidR="00D352E2" w:rsidRPr="002857E6">
              <w:rPr>
                <w:lang w:val="en-US"/>
              </w:rPr>
              <w:t>2023.</w:t>
            </w:r>
          </w:p>
          <w:p w:rsidR="00242DA8" w:rsidRPr="002857E6" w:rsidRDefault="00242DA8" w:rsidP="00242DA8">
            <w:pPr>
              <w:spacing w:before="120" w:after="120" w:line="240" w:lineRule="auto"/>
              <w:jc w:val="both"/>
              <w:rPr>
                <w:rFonts w:ascii="Times New Roman" w:eastAsia="Arial Unicode MS" w:hAnsi="Times New Roman"/>
                <w:b/>
                <w:sz w:val="24"/>
                <w:szCs w:val="24"/>
                <w:lang w:eastAsia="de-DE"/>
              </w:rPr>
            </w:pPr>
            <w:r w:rsidRPr="002857E6">
              <w:rPr>
                <w:rFonts w:ascii="Times New Roman" w:eastAsia="Arial Unicode MS" w:hAnsi="Times New Roman"/>
                <w:sz w:val="24"/>
                <w:szCs w:val="24"/>
                <w:lang w:eastAsia="de-DE"/>
              </w:rPr>
              <w:t>This Action</w:t>
            </w:r>
            <w:r w:rsidR="005C4FAD" w:rsidRPr="002857E6">
              <w:rPr>
                <w:rFonts w:ascii="Times New Roman" w:eastAsia="Arial Unicode MS" w:hAnsi="Times New Roman"/>
                <w:sz w:val="24"/>
                <w:szCs w:val="24"/>
                <w:lang w:eastAsia="de-DE"/>
              </w:rPr>
              <w:t>s</w:t>
            </w:r>
            <w:r w:rsidR="00237F90" w:rsidRPr="002857E6">
              <w:rPr>
                <w:rFonts w:ascii="Times New Roman" w:eastAsia="Arial Unicode MS" w:hAnsi="Times New Roman"/>
                <w:sz w:val="24"/>
                <w:szCs w:val="24"/>
                <w:lang w:eastAsia="de-DE"/>
              </w:rPr>
              <w:t xml:space="preserve"> </w:t>
            </w:r>
            <w:r w:rsidR="003F7587" w:rsidRPr="002857E6">
              <w:rPr>
                <w:rFonts w:ascii="Times New Roman" w:eastAsia="Arial Unicode MS" w:hAnsi="Times New Roman"/>
                <w:sz w:val="24"/>
                <w:szCs w:val="24"/>
                <w:lang w:eastAsia="de-DE"/>
              </w:rPr>
              <w:t>are</w:t>
            </w:r>
            <w:r w:rsidRPr="002857E6">
              <w:rPr>
                <w:rFonts w:ascii="Times New Roman" w:eastAsia="Arial Unicode MS" w:hAnsi="Times New Roman"/>
                <w:sz w:val="24"/>
                <w:szCs w:val="24"/>
                <w:lang w:eastAsia="de-DE"/>
              </w:rPr>
              <w:t xml:space="preserve"> also closely linked to the implementation of the following </w:t>
            </w:r>
            <w:r w:rsidRPr="002857E6">
              <w:rPr>
                <w:rFonts w:ascii="Times New Roman" w:eastAsia="Arial Unicode MS" w:hAnsi="Times New Roman"/>
                <w:b/>
                <w:sz w:val="24"/>
                <w:szCs w:val="24"/>
                <w:lang w:eastAsia="de-DE"/>
              </w:rPr>
              <w:t>national strategies:</w:t>
            </w:r>
          </w:p>
          <w:p w:rsidR="00E4208A" w:rsidRPr="002857E6" w:rsidRDefault="00ED15D6" w:rsidP="00510AE0">
            <w:pPr>
              <w:pStyle w:val="ListParagraph"/>
              <w:numPr>
                <w:ilvl w:val="0"/>
                <w:numId w:val="3"/>
              </w:numPr>
              <w:spacing w:before="120" w:after="120" w:line="240" w:lineRule="auto"/>
              <w:jc w:val="both"/>
              <w:rPr>
                <w:rFonts w:ascii="Times New Roman" w:eastAsia="Arial Unicode MS" w:hAnsi="Times New Roman"/>
                <w:sz w:val="24"/>
                <w:szCs w:val="24"/>
                <w:lang w:eastAsia="de-DE"/>
              </w:rPr>
            </w:pPr>
            <w:r w:rsidRPr="002857E6">
              <w:rPr>
                <w:rFonts w:ascii="Times New Roman" w:hAnsi="Times New Roman"/>
                <w:b/>
                <w:sz w:val="24"/>
                <w:szCs w:val="24"/>
              </w:rPr>
              <w:t>Economic reform programme 2020-2022</w:t>
            </w:r>
          </w:p>
          <w:p w:rsidR="007E4FE3" w:rsidRPr="002857E6" w:rsidRDefault="00E4208A" w:rsidP="00510AE0">
            <w:pPr>
              <w:pStyle w:val="ListParagraph"/>
              <w:numPr>
                <w:ilvl w:val="0"/>
                <w:numId w:val="3"/>
              </w:numPr>
              <w:spacing w:before="120" w:after="120" w:line="240" w:lineRule="auto"/>
              <w:jc w:val="both"/>
              <w:rPr>
                <w:rFonts w:ascii="Times New Roman" w:eastAsia="Arial Unicode MS" w:hAnsi="Times New Roman"/>
                <w:sz w:val="24"/>
                <w:szCs w:val="24"/>
                <w:lang w:eastAsia="de-DE"/>
              </w:rPr>
            </w:pPr>
            <w:r w:rsidRPr="002857E6">
              <w:rPr>
                <w:rFonts w:ascii="Times New Roman" w:hAnsi="Times New Roman"/>
                <w:sz w:val="24"/>
                <w:szCs w:val="24"/>
              </w:rPr>
              <w:t xml:space="preserve">The </w:t>
            </w:r>
            <w:r w:rsidR="007E4FE3" w:rsidRPr="002857E6">
              <w:rPr>
                <w:rFonts w:ascii="Times New Roman" w:hAnsi="Times New Roman"/>
                <w:sz w:val="24"/>
                <w:szCs w:val="24"/>
              </w:rPr>
              <w:t>Customs Administration acts in line with the</w:t>
            </w:r>
            <w:r w:rsidR="007E4FE3" w:rsidRPr="002857E6">
              <w:rPr>
                <w:rFonts w:ascii="Times New Roman" w:hAnsi="Times New Roman"/>
                <w:b/>
                <w:sz w:val="24"/>
                <w:szCs w:val="24"/>
              </w:rPr>
              <w:t xml:space="preserve"> Strategic priorities of the Government of the Republic of North Macedonia </w:t>
            </w:r>
            <w:r w:rsidR="007E4FE3" w:rsidRPr="002857E6">
              <w:rPr>
                <w:rFonts w:ascii="Times New Roman" w:hAnsi="Times New Roman"/>
                <w:sz w:val="24"/>
                <w:szCs w:val="24"/>
              </w:rPr>
              <w:t>which include economic development, efficiency of the institutions, enchainment of the life standards of the citizens;</w:t>
            </w:r>
          </w:p>
          <w:p w:rsidR="00ED15D6" w:rsidRPr="002857E6" w:rsidRDefault="00ED15D6" w:rsidP="00510AE0">
            <w:pPr>
              <w:pStyle w:val="ListParagraph"/>
              <w:numPr>
                <w:ilvl w:val="0"/>
                <w:numId w:val="3"/>
              </w:numPr>
              <w:spacing w:before="120" w:after="120" w:line="240" w:lineRule="auto"/>
              <w:jc w:val="both"/>
              <w:rPr>
                <w:rFonts w:ascii="Times New Roman" w:eastAsia="Arial Unicode MS" w:hAnsi="Times New Roman"/>
                <w:sz w:val="24"/>
                <w:szCs w:val="24"/>
                <w:lang w:eastAsia="de-DE"/>
              </w:rPr>
            </w:pPr>
            <w:r w:rsidRPr="002857E6">
              <w:rPr>
                <w:rFonts w:ascii="Times New Roman" w:hAnsi="Times New Roman"/>
                <w:b/>
                <w:sz w:val="24"/>
                <w:szCs w:val="24"/>
              </w:rPr>
              <w:t>Strategic Plan of Customs Administration of the Republic of North Macedonia 2020-2022</w:t>
            </w:r>
            <w:r w:rsidR="001E4D0E" w:rsidRPr="002857E6">
              <w:rPr>
                <w:rFonts w:ascii="Times New Roman" w:hAnsi="Times New Roman"/>
                <w:b/>
                <w:sz w:val="24"/>
                <w:szCs w:val="24"/>
              </w:rPr>
              <w:t xml:space="preserve"> </w:t>
            </w:r>
            <w:r w:rsidRPr="002857E6">
              <w:rPr>
                <w:rFonts w:ascii="Times New Roman" w:hAnsi="Times New Roman"/>
                <w:sz w:val="24"/>
                <w:szCs w:val="24"/>
              </w:rPr>
              <w:t>–</w:t>
            </w:r>
            <w:r w:rsidR="001E4D0E" w:rsidRPr="002857E6">
              <w:rPr>
                <w:rFonts w:ascii="Times New Roman" w:hAnsi="Times New Roman"/>
                <w:sz w:val="24"/>
                <w:szCs w:val="24"/>
              </w:rPr>
              <w:t xml:space="preserve"> </w:t>
            </w:r>
            <w:r w:rsidRPr="002857E6">
              <w:rPr>
                <w:rFonts w:ascii="Times New Roman" w:hAnsi="Times New Roman"/>
                <w:sz w:val="24"/>
                <w:szCs w:val="24"/>
              </w:rPr>
              <w:t>strategic priorities are the following:</w:t>
            </w:r>
            <w:r w:rsidR="00237F90" w:rsidRPr="002857E6">
              <w:rPr>
                <w:rFonts w:ascii="Times New Roman" w:hAnsi="Times New Roman"/>
                <w:sz w:val="24"/>
                <w:szCs w:val="24"/>
              </w:rPr>
              <w:t xml:space="preserve"> </w:t>
            </w:r>
            <w:r w:rsidR="00DF0BB4" w:rsidRPr="002857E6">
              <w:rPr>
                <w:rFonts w:ascii="Times New Roman" w:hAnsi="Times New Roman"/>
                <w:sz w:val="24"/>
                <w:szCs w:val="24"/>
              </w:rPr>
              <w:t>Trade facilitation, Protection of the society, Revenue collection and protection of the financial interest</w:t>
            </w:r>
            <w:r w:rsidR="006D1308" w:rsidRPr="002857E6">
              <w:rPr>
                <w:rFonts w:ascii="Times New Roman" w:hAnsi="Times New Roman"/>
                <w:sz w:val="24"/>
                <w:szCs w:val="24"/>
              </w:rPr>
              <w:t xml:space="preserve"> and </w:t>
            </w:r>
            <w:r w:rsidR="00DF0BB4" w:rsidRPr="002857E6">
              <w:rPr>
                <w:rFonts w:ascii="Times New Roman" w:hAnsi="Times New Roman"/>
                <w:sz w:val="24"/>
                <w:szCs w:val="24"/>
              </w:rPr>
              <w:t>Modernization</w:t>
            </w:r>
            <w:r w:rsidRPr="002857E6">
              <w:rPr>
                <w:rFonts w:ascii="Times New Roman" w:hAnsi="Times New Roman"/>
                <w:sz w:val="24"/>
                <w:szCs w:val="24"/>
              </w:rPr>
              <w:t>;</w:t>
            </w:r>
          </w:p>
          <w:p w:rsidR="008B6830" w:rsidRPr="002857E6" w:rsidRDefault="00CC0A7E" w:rsidP="00510AE0">
            <w:pPr>
              <w:pStyle w:val="ListParagraph"/>
              <w:numPr>
                <w:ilvl w:val="0"/>
                <w:numId w:val="3"/>
              </w:numPr>
              <w:spacing w:line="264" w:lineRule="atLeast"/>
              <w:jc w:val="both"/>
              <w:rPr>
                <w:rFonts w:ascii="Times New Roman" w:hAnsi="Times New Roman"/>
                <w:b/>
                <w:color w:val="000000"/>
                <w:sz w:val="24"/>
                <w:szCs w:val="24"/>
                <w:lang w:val="mk-MK" w:eastAsia="mk-MK"/>
              </w:rPr>
            </w:pPr>
            <w:r w:rsidRPr="002857E6">
              <w:rPr>
                <w:rFonts w:ascii="Times New Roman" w:hAnsi="Times New Roman"/>
                <w:b/>
                <w:sz w:val="24"/>
                <w:szCs w:val="24"/>
              </w:rPr>
              <w:t xml:space="preserve">Strategy on ICT development of the </w:t>
            </w:r>
            <w:r w:rsidR="00ED15D6" w:rsidRPr="002857E6">
              <w:rPr>
                <w:rFonts w:ascii="Times New Roman" w:hAnsi="Times New Roman"/>
                <w:b/>
                <w:sz w:val="24"/>
                <w:szCs w:val="24"/>
              </w:rPr>
              <w:t>C</w:t>
            </w:r>
            <w:r w:rsidRPr="002857E6">
              <w:rPr>
                <w:rFonts w:ascii="Times New Roman" w:hAnsi="Times New Roman"/>
                <w:b/>
                <w:sz w:val="24"/>
                <w:szCs w:val="24"/>
              </w:rPr>
              <w:t>ustoms</w:t>
            </w:r>
            <w:r w:rsidR="00A61CCD" w:rsidRPr="002857E6">
              <w:rPr>
                <w:rFonts w:ascii="Times New Roman" w:hAnsi="Times New Roman"/>
                <w:b/>
                <w:sz w:val="24"/>
                <w:szCs w:val="24"/>
              </w:rPr>
              <w:t xml:space="preserve"> </w:t>
            </w:r>
            <w:r w:rsidR="00E4208A" w:rsidRPr="002857E6">
              <w:rPr>
                <w:rFonts w:ascii="Times New Roman" w:hAnsi="Times New Roman"/>
                <w:b/>
                <w:sz w:val="24"/>
                <w:szCs w:val="24"/>
              </w:rPr>
              <w:t xml:space="preserve">Administration </w:t>
            </w:r>
            <w:r w:rsidR="00035874" w:rsidRPr="002857E6">
              <w:rPr>
                <w:rFonts w:ascii="Times New Roman" w:hAnsi="Times New Roman"/>
                <w:b/>
                <w:sz w:val="24"/>
                <w:szCs w:val="24"/>
              </w:rPr>
              <w:t>2019–2023</w:t>
            </w:r>
            <w:r w:rsidR="00035874" w:rsidRPr="002857E6">
              <w:rPr>
                <w:rFonts w:ascii="Times New Roman" w:hAnsi="Times New Roman"/>
                <w:sz w:val="24"/>
                <w:szCs w:val="24"/>
              </w:rPr>
              <w:t>;</w:t>
            </w:r>
            <w:r w:rsidRPr="002857E6">
              <w:rPr>
                <w:rFonts w:ascii="Times New Roman" w:hAnsi="Times New Roman"/>
                <w:bCs/>
                <w:color w:val="000000"/>
                <w:kern w:val="36"/>
                <w:sz w:val="24"/>
                <w:szCs w:val="24"/>
                <w:lang w:val="mk-MK" w:eastAsia="mk-MK"/>
              </w:rPr>
              <w:t xml:space="preserve"> It </w:t>
            </w:r>
            <w:r w:rsidRPr="002857E6">
              <w:rPr>
                <w:rFonts w:ascii="Times New Roman" w:hAnsi="Times New Roman"/>
                <w:bCs/>
                <w:color w:val="000000"/>
                <w:kern w:val="36"/>
                <w:sz w:val="24"/>
                <w:szCs w:val="24"/>
                <w:lang w:eastAsia="mk-MK"/>
              </w:rPr>
              <w:t>encompasses</w:t>
            </w:r>
            <w:r w:rsidRPr="002857E6">
              <w:rPr>
                <w:rFonts w:ascii="Times New Roman" w:hAnsi="Times New Roman"/>
                <w:bCs/>
                <w:color w:val="000000"/>
                <w:kern w:val="36"/>
                <w:sz w:val="24"/>
                <w:szCs w:val="24"/>
                <w:lang w:val="mk-MK" w:eastAsia="mk-MK"/>
              </w:rPr>
              <w:t xml:space="preserve"> the mission, vision and </w:t>
            </w:r>
            <w:r w:rsidRPr="002857E6">
              <w:rPr>
                <w:rFonts w:ascii="Times New Roman" w:hAnsi="Times New Roman"/>
                <w:bCs/>
                <w:color w:val="000000"/>
                <w:kern w:val="36"/>
                <w:sz w:val="24"/>
                <w:szCs w:val="24"/>
                <w:lang w:eastAsia="mk-MK"/>
              </w:rPr>
              <w:t xml:space="preserve">the </w:t>
            </w:r>
            <w:r w:rsidRPr="002857E6">
              <w:rPr>
                <w:rFonts w:ascii="Times New Roman" w:hAnsi="Times New Roman"/>
                <w:bCs/>
                <w:color w:val="000000"/>
                <w:kern w:val="36"/>
                <w:sz w:val="24"/>
                <w:szCs w:val="24"/>
                <w:lang w:val="mk-MK" w:eastAsia="mk-MK"/>
              </w:rPr>
              <w:t xml:space="preserve">strategic </w:t>
            </w:r>
            <w:r w:rsidRPr="002857E6">
              <w:rPr>
                <w:rFonts w:ascii="Times New Roman" w:hAnsi="Times New Roman"/>
                <w:bCs/>
                <w:color w:val="000000"/>
                <w:kern w:val="36"/>
                <w:sz w:val="24"/>
                <w:szCs w:val="24"/>
                <w:lang w:val="mk-MK" w:eastAsia="mk-MK"/>
              </w:rPr>
              <w:lastRenderedPageBreak/>
              <w:t>priorities and goals of the</w:t>
            </w:r>
            <w:r w:rsidR="00E4208A" w:rsidRPr="002857E6">
              <w:rPr>
                <w:rFonts w:ascii="Times New Roman" w:hAnsi="Times New Roman"/>
                <w:bCs/>
                <w:color w:val="000000"/>
                <w:kern w:val="36"/>
                <w:sz w:val="24"/>
                <w:szCs w:val="24"/>
                <w:lang w:eastAsia="mk-MK"/>
              </w:rPr>
              <w:t>Customs Administration</w:t>
            </w:r>
            <w:r w:rsidRPr="002857E6">
              <w:rPr>
                <w:rFonts w:ascii="Times New Roman" w:hAnsi="Times New Roman"/>
                <w:bCs/>
                <w:color w:val="000000"/>
                <w:kern w:val="36"/>
                <w:sz w:val="24"/>
                <w:szCs w:val="24"/>
                <w:lang w:val="mk-MK" w:eastAsia="mk-MK"/>
              </w:rPr>
              <w:t xml:space="preserve"> in </w:t>
            </w:r>
            <w:r w:rsidRPr="002857E6">
              <w:rPr>
                <w:rFonts w:ascii="Times New Roman" w:hAnsi="Times New Roman"/>
                <w:bCs/>
                <w:color w:val="000000"/>
                <w:kern w:val="36"/>
                <w:sz w:val="24"/>
                <w:szCs w:val="24"/>
                <w:lang w:eastAsia="mk-MK"/>
              </w:rPr>
              <w:t>ICT</w:t>
            </w:r>
            <w:r w:rsidRPr="002857E6">
              <w:rPr>
                <w:rFonts w:ascii="Times New Roman" w:hAnsi="Times New Roman"/>
                <w:bCs/>
                <w:color w:val="000000"/>
                <w:kern w:val="36"/>
                <w:sz w:val="24"/>
                <w:szCs w:val="24"/>
                <w:lang w:val="mk-MK" w:eastAsia="mk-MK"/>
              </w:rPr>
              <w:t xml:space="preserve"> development, as well as the activities and the necessary resources for their realization.</w:t>
            </w:r>
            <w:r w:rsidRPr="002857E6">
              <w:rPr>
                <w:rFonts w:ascii="Times New Roman" w:hAnsi="Times New Roman"/>
                <w:b/>
                <w:color w:val="000000"/>
                <w:sz w:val="24"/>
                <w:szCs w:val="24"/>
                <w:lang w:eastAsia="mk-MK"/>
              </w:rPr>
              <w:t xml:space="preserve"> Specific activities</w:t>
            </w:r>
            <w:r w:rsidRPr="002857E6">
              <w:rPr>
                <w:rFonts w:ascii="Times New Roman" w:hAnsi="Times New Roman"/>
                <w:b/>
                <w:bCs/>
                <w:color w:val="000000"/>
                <w:sz w:val="24"/>
                <w:szCs w:val="24"/>
                <w:lang w:val="mk-MK" w:eastAsia="mk-MK"/>
              </w:rPr>
              <w:t>:</w:t>
            </w:r>
            <w:r w:rsidR="00237F90" w:rsidRPr="002857E6">
              <w:rPr>
                <w:rFonts w:ascii="Times New Roman" w:hAnsi="Times New Roman"/>
                <w:b/>
                <w:bCs/>
                <w:color w:val="000000"/>
                <w:sz w:val="24"/>
                <w:szCs w:val="24"/>
                <w:lang w:val="en-US" w:eastAsia="mk-MK"/>
              </w:rPr>
              <w:t xml:space="preserve"> </w:t>
            </w:r>
            <w:r w:rsidRPr="002857E6">
              <w:rPr>
                <w:rFonts w:ascii="Times New Roman" w:hAnsi="Times New Roman"/>
                <w:color w:val="000000"/>
                <w:sz w:val="24"/>
                <w:szCs w:val="24"/>
                <w:lang w:val="mk-MK" w:eastAsia="mk-MK"/>
              </w:rPr>
              <w:t xml:space="preserve">Preparation for interconnection and interoperability with </w:t>
            </w:r>
            <w:r w:rsidRPr="002857E6">
              <w:rPr>
                <w:rFonts w:ascii="Times New Roman" w:hAnsi="Times New Roman"/>
                <w:color w:val="000000"/>
                <w:sz w:val="24"/>
                <w:szCs w:val="24"/>
                <w:lang w:eastAsia="mk-MK"/>
              </w:rPr>
              <w:t xml:space="preserve">the </w:t>
            </w:r>
            <w:r w:rsidRPr="002857E6">
              <w:rPr>
                <w:rFonts w:ascii="Times New Roman" w:hAnsi="Times New Roman"/>
                <w:color w:val="000000"/>
                <w:sz w:val="24"/>
                <w:szCs w:val="24"/>
                <w:lang w:val="mk-MK" w:eastAsia="mk-MK"/>
              </w:rPr>
              <w:t>EU systems</w:t>
            </w:r>
            <w:r w:rsidR="007D08A8" w:rsidRPr="002857E6">
              <w:rPr>
                <w:rFonts w:ascii="Times New Roman" w:hAnsi="Times New Roman"/>
                <w:color w:val="000000"/>
                <w:sz w:val="24"/>
                <w:szCs w:val="24"/>
                <w:lang w:val="en-US" w:eastAsia="mk-MK"/>
              </w:rPr>
              <w:t xml:space="preserve">; </w:t>
            </w:r>
            <w:r w:rsidRPr="002857E6">
              <w:rPr>
                <w:rFonts w:ascii="Times New Roman" w:hAnsi="Times New Roman"/>
                <w:color w:val="000000"/>
                <w:sz w:val="24"/>
                <w:szCs w:val="24"/>
                <w:lang w:val="mk-MK" w:eastAsia="mk-MK"/>
              </w:rPr>
              <w:t>Implementation of systems harmonized with EU systems that can be established prior to EU accession (EORI2, NCTS 5 &amp; 6, AES and other)</w:t>
            </w:r>
            <w:r w:rsidR="007D08A8" w:rsidRPr="002857E6">
              <w:rPr>
                <w:rFonts w:ascii="Times New Roman" w:hAnsi="Times New Roman"/>
                <w:color w:val="000000"/>
                <w:sz w:val="24"/>
                <w:szCs w:val="24"/>
                <w:lang w:val="en-US" w:eastAsia="mk-MK"/>
              </w:rPr>
              <w:t>;</w:t>
            </w:r>
          </w:p>
          <w:p w:rsidR="00DB473F" w:rsidRPr="002857E6" w:rsidRDefault="00C311D0" w:rsidP="00DB473F">
            <w:pPr>
              <w:pStyle w:val="ListParagraph"/>
              <w:numPr>
                <w:ilvl w:val="0"/>
                <w:numId w:val="3"/>
              </w:numPr>
              <w:spacing w:after="120" w:line="240" w:lineRule="auto"/>
              <w:jc w:val="both"/>
              <w:rPr>
                <w:rFonts w:ascii="Times New Roman" w:hAnsi="Times New Roman"/>
                <w:b/>
                <w:sz w:val="24"/>
                <w:szCs w:val="24"/>
              </w:rPr>
            </w:pPr>
            <w:r w:rsidRPr="002857E6">
              <w:rPr>
                <w:rFonts w:ascii="Times New Roman" w:hAnsi="Times New Roman"/>
                <w:b/>
                <w:sz w:val="24"/>
                <w:szCs w:val="24"/>
              </w:rPr>
              <w:t>Development of National Strategy for the Transport Sector</w:t>
            </w:r>
            <w:r w:rsidR="00C110BB" w:rsidRPr="002857E6">
              <w:rPr>
                <w:rFonts w:ascii="Times New Roman" w:hAnsi="Times New Roman"/>
                <w:b/>
                <w:sz w:val="24"/>
                <w:szCs w:val="24"/>
              </w:rPr>
              <w:t xml:space="preserve"> </w:t>
            </w:r>
            <w:r w:rsidR="001F1325" w:rsidRPr="002857E6">
              <w:rPr>
                <w:rFonts w:ascii="Times New Roman" w:hAnsi="Times New Roman"/>
                <w:sz w:val="24"/>
                <w:szCs w:val="24"/>
              </w:rPr>
              <w:t>(IPAOPRD2007-2013-4.2-LOT2-22)</w:t>
            </w:r>
            <w:r w:rsidR="00DB473F" w:rsidRPr="002857E6">
              <w:rPr>
                <w:rFonts w:ascii="Times New Roman" w:hAnsi="Times New Roman"/>
                <w:sz w:val="24"/>
                <w:szCs w:val="24"/>
              </w:rPr>
              <w:t>–on</w:t>
            </w:r>
            <w:r w:rsidR="001E4D0E" w:rsidRPr="002857E6">
              <w:rPr>
                <w:rFonts w:ascii="Times New Roman" w:hAnsi="Times New Roman"/>
                <w:sz w:val="24"/>
                <w:szCs w:val="24"/>
              </w:rPr>
              <w:t xml:space="preserve"> </w:t>
            </w:r>
            <w:r w:rsidR="00DB473F" w:rsidRPr="002857E6">
              <w:rPr>
                <w:rFonts w:ascii="Times New Roman" w:hAnsi="Times New Roman"/>
                <w:sz w:val="24"/>
                <w:szCs w:val="24"/>
              </w:rPr>
              <w:t>improvement of</w:t>
            </w:r>
            <w:r w:rsidR="00BB36A8" w:rsidRPr="002857E6">
              <w:rPr>
                <w:rFonts w:ascii="Times New Roman" w:hAnsi="Times New Roman"/>
                <w:sz w:val="24"/>
                <w:szCs w:val="24"/>
              </w:rPr>
              <w:t xml:space="preserve"> the economic efficiency, safety and accessibility of transportation whilst managing the environmental impact of existing and future transport activity and ensuring integration with other sector </w:t>
            </w:r>
            <w:r w:rsidR="00DB473F" w:rsidRPr="002857E6">
              <w:rPr>
                <w:rFonts w:ascii="Times New Roman" w:hAnsi="Times New Roman"/>
                <w:sz w:val="24"/>
                <w:szCs w:val="24"/>
              </w:rPr>
              <w:t>policies. It is planned t</w:t>
            </w:r>
            <w:r w:rsidR="00BB36A8" w:rsidRPr="002857E6">
              <w:rPr>
                <w:rFonts w:ascii="Times New Roman" w:hAnsi="Times New Roman"/>
                <w:sz w:val="24"/>
                <w:szCs w:val="24"/>
              </w:rPr>
              <w:t xml:space="preserve">o develop actions that address weaknesses in the transport sector at </w:t>
            </w:r>
            <w:r w:rsidR="00E4208A" w:rsidRPr="002857E6">
              <w:rPr>
                <w:rFonts w:ascii="Times New Roman" w:hAnsi="Times New Roman"/>
                <w:sz w:val="24"/>
                <w:szCs w:val="24"/>
              </w:rPr>
              <w:t>r</w:t>
            </w:r>
            <w:r w:rsidR="00BB36A8" w:rsidRPr="002857E6">
              <w:rPr>
                <w:rFonts w:ascii="Times New Roman" w:hAnsi="Times New Roman"/>
                <w:sz w:val="24"/>
                <w:szCs w:val="24"/>
              </w:rPr>
              <w:t xml:space="preserve">egional and </w:t>
            </w:r>
            <w:r w:rsidR="00E4208A" w:rsidRPr="002857E6">
              <w:rPr>
                <w:rFonts w:ascii="Times New Roman" w:hAnsi="Times New Roman"/>
                <w:sz w:val="24"/>
                <w:szCs w:val="24"/>
              </w:rPr>
              <w:t>n</w:t>
            </w:r>
            <w:r w:rsidR="00BB36A8" w:rsidRPr="002857E6">
              <w:rPr>
                <w:rFonts w:ascii="Times New Roman" w:hAnsi="Times New Roman"/>
                <w:sz w:val="24"/>
                <w:szCs w:val="24"/>
              </w:rPr>
              <w:t xml:space="preserve">ational </w:t>
            </w:r>
            <w:r w:rsidR="00E4208A" w:rsidRPr="002857E6">
              <w:rPr>
                <w:rFonts w:ascii="Times New Roman" w:hAnsi="Times New Roman"/>
                <w:sz w:val="24"/>
                <w:szCs w:val="24"/>
              </w:rPr>
              <w:t>l</w:t>
            </w:r>
            <w:r w:rsidR="00BB36A8" w:rsidRPr="002857E6">
              <w:rPr>
                <w:rFonts w:ascii="Times New Roman" w:hAnsi="Times New Roman"/>
                <w:sz w:val="24"/>
                <w:szCs w:val="24"/>
              </w:rPr>
              <w:t>evel. The actions shall cover the period from 2018 until 2030,</w:t>
            </w:r>
            <w:r w:rsidR="00237F90" w:rsidRPr="002857E6">
              <w:rPr>
                <w:rFonts w:ascii="Times New Roman" w:hAnsi="Times New Roman"/>
                <w:sz w:val="24"/>
                <w:szCs w:val="24"/>
              </w:rPr>
              <w:t xml:space="preserve"> </w:t>
            </w:r>
            <w:r w:rsidR="00BB36A8" w:rsidRPr="002857E6">
              <w:rPr>
                <w:rFonts w:ascii="Times New Roman" w:hAnsi="Times New Roman"/>
                <w:sz w:val="24"/>
                <w:szCs w:val="24"/>
              </w:rPr>
              <w:t>and shall acknowledge the pipeline of projects and policies that have already been agreed and which it is intended will be delivered during the period of the Strategy.</w:t>
            </w:r>
          </w:p>
          <w:p w:rsidR="00074669" w:rsidRPr="002857E6" w:rsidRDefault="007E4FE3" w:rsidP="00AF3EFC">
            <w:pPr>
              <w:pStyle w:val="ListParagraph"/>
              <w:numPr>
                <w:ilvl w:val="0"/>
                <w:numId w:val="3"/>
              </w:numPr>
              <w:spacing w:after="120" w:line="240" w:lineRule="auto"/>
              <w:jc w:val="both"/>
              <w:rPr>
                <w:rFonts w:ascii="Times New Roman" w:hAnsi="Times New Roman"/>
                <w:b/>
                <w:sz w:val="24"/>
                <w:szCs w:val="24"/>
              </w:rPr>
            </w:pPr>
            <w:r w:rsidRPr="002857E6">
              <w:rPr>
                <w:rFonts w:ascii="Times New Roman" w:eastAsia="Arial Unicode MS" w:hAnsi="Times New Roman"/>
                <w:b/>
                <w:sz w:val="24"/>
                <w:szCs w:val="24"/>
                <w:lang w:eastAsia="de-DE"/>
              </w:rPr>
              <w:t>National Integrated Border Management Development Strategy (2015-2019)</w:t>
            </w:r>
            <w:r w:rsidR="00AF3EFC" w:rsidRPr="002857E6">
              <w:rPr>
                <w:rStyle w:val="FootnoteReference"/>
                <w:rFonts w:ascii="Times New Roman" w:eastAsia="Arial Unicode MS" w:hAnsi="Times New Roman"/>
                <w:b/>
                <w:sz w:val="24"/>
                <w:szCs w:val="24"/>
                <w:lang w:eastAsia="de-DE"/>
              </w:rPr>
              <w:footnoteReference w:id="1"/>
            </w:r>
            <w:r w:rsidR="00AF3EFC" w:rsidRPr="002857E6">
              <w:rPr>
                <w:rFonts w:ascii="Times New Roman" w:eastAsia="Arial Unicode MS" w:hAnsi="Times New Roman"/>
                <w:b/>
                <w:sz w:val="24"/>
                <w:szCs w:val="24"/>
                <w:lang w:eastAsia="de-DE"/>
              </w:rPr>
              <w:t xml:space="preserve"> </w:t>
            </w:r>
            <w:r w:rsidRPr="002857E6">
              <w:rPr>
                <w:rFonts w:ascii="Times New Roman" w:eastAsia="Arial Unicode MS" w:hAnsi="Times New Roman"/>
                <w:sz w:val="24"/>
                <w:szCs w:val="24"/>
                <w:lang w:eastAsia="de-DE"/>
              </w:rPr>
              <w:t xml:space="preserve">and the related Action Plan, which has established a national IBM coordinator with numerous key functions. One of the main priorities is to improve the border security system through increasing the international cooperation, the cross-border police cooperation and joint patrols along the border, electronic border surveillance and realisation of training programmes. </w:t>
            </w:r>
          </w:p>
        </w:tc>
      </w:tr>
      <w:tr w:rsidR="00D92F6C" w:rsidRPr="002857E6" w:rsidTr="008B302D">
        <w:trPr>
          <w:jc w:val="center"/>
        </w:trPr>
        <w:tc>
          <w:tcPr>
            <w:tcW w:w="534" w:type="dxa"/>
            <w:vMerge/>
            <w:tcBorders>
              <w:left w:val="single" w:sz="4" w:space="0" w:color="auto"/>
              <w:right w:val="single" w:sz="4" w:space="0" w:color="auto"/>
            </w:tcBorders>
          </w:tcPr>
          <w:p w:rsidR="00D92F6C" w:rsidRPr="002857E6" w:rsidRDefault="00D92F6C" w:rsidP="008B302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D92F6C" w:rsidP="008B302D">
            <w:pPr>
              <w:rPr>
                <w:rFonts w:ascii="Times New Roman" w:hAnsi="Times New Roman"/>
                <w:sz w:val="24"/>
                <w:szCs w:val="24"/>
              </w:rPr>
            </w:pPr>
            <w:r w:rsidRPr="002857E6">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171A3A" w:rsidP="006B790E">
            <w:pPr>
              <w:spacing w:after="120" w:line="240" w:lineRule="auto"/>
              <w:jc w:val="both"/>
              <w:rPr>
                <w:rFonts w:ascii="Times New Roman" w:hAnsi="Times New Roman"/>
                <w:sz w:val="24"/>
                <w:szCs w:val="24"/>
              </w:rPr>
            </w:pPr>
            <w:r w:rsidRPr="002857E6">
              <w:rPr>
                <w:rFonts w:ascii="Times New Roman" w:hAnsi="Times New Roman"/>
                <w:sz w:val="24"/>
                <w:szCs w:val="24"/>
              </w:rPr>
              <w:t>Taking into consideration the aspects of trade facilitation, modernization and upgrade of the IT systems, this Acti</w:t>
            </w:r>
            <w:r w:rsidR="00627C1E" w:rsidRPr="002857E6">
              <w:rPr>
                <w:rFonts w:ascii="Times New Roman" w:hAnsi="Times New Roman"/>
                <w:sz w:val="24"/>
                <w:szCs w:val="24"/>
              </w:rPr>
              <w:t xml:space="preserve">on fiche </w:t>
            </w:r>
            <w:r w:rsidRPr="002857E6">
              <w:rPr>
                <w:rFonts w:ascii="Times New Roman" w:hAnsi="Times New Roman"/>
                <w:sz w:val="24"/>
                <w:szCs w:val="24"/>
              </w:rPr>
              <w:t>is</w:t>
            </w:r>
            <w:r w:rsidR="00A61CCD" w:rsidRPr="002857E6">
              <w:rPr>
                <w:rFonts w:ascii="Times New Roman" w:hAnsi="Times New Roman"/>
                <w:sz w:val="24"/>
                <w:szCs w:val="24"/>
              </w:rPr>
              <w:t xml:space="preserve"> </w:t>
            </w:r>
            <w:r w:rsidRPr="002857E6">
              <w:rPr>
                <w:rFonts w:ascii="Times New Roman" w:hAnsi="Times New Roman"/>
                <w:sz w:val="24"/>
                <w:szCs w:val="24"/>
              </w:rPr>
              <w:t xml:space="preserve">placed under the Sector Working Group on competitiveness and </w:t>
            </w:r>
            <w:r w:rsidR="00686C2E" w:rsidRPr="002857E6">
              <w:rPr>
                <w:rFonts w:ascii="Times New Roman" w:hAnsi="Times New Roman"/>
                <w:sz w:val="24"/>
                <w:szCs w:val="24"/>
              </w:rPr>
              <w:t xml:space="preserve">innovation. Customs Administration is the key institution for supporting and in service to the business for facilitation and trade, cross-border management, maintenance of the </w:t>
            </w:r>
            <w:r w:rsidR="00627C1E" w:rsidRPr="002857E6">
              <w:rPr>
                <w:rFonts w:ascii="Times New Roman" w:hAnsi="Times New Roman"/>
                <w:sz w:val="24"/>
                <w:szCs w:val="24"/>
              </w:rPr>
              <w:t>border crossing points (</w:t>
            </w:r>
            <w:r w:rsidR="00686C2E" w:rsidRPr="002857E6">
              <w:rPr>
                <w:rFonts w:ascii="Times New Roman" w:hAnsi="Times New Roman"/>
                <w:sz w:val="24"/>
                <w:szCs w:val="24"/>
              </w:rPr>
              <w:t>BCP</w:t>
            </w:r>
            <w:r w:rsidR="00627C1E" w:rsidRPr="002857E6">
              <w:rPr>
                <w:rFonts w:ascii="Times New Roman" w:hAnsi="Times New Roman"/>
                <w:sz w:val="24"/>
                <w:szCs w:val="24"/>
              </w:rPr>
              <w:t xml:space="preserve">), ensuring </w:t>
            </w:r>
            <w:r w:rsidR="00686C2E" w:rsidRPr="002857E6">
              <w:rPr>
                <w:rFonts w:ascii="Times New Roman" w:hAnsi="Times New Roman"/>
                <w:sz w:val="24"/>
                <w:szCs w:val="24"/>
              </w:rPr>
              <w:t xml:space="preserve">electronic support for submission of the declarations, protection of the society </w:t>
            </w:r>
            <w:r w:rsidR="00627C1E" w:rsidRPr="002857E6">
              <w:rPr>
                <w:rFonts w:ascii="Times New Roman" w:hAnsi="Times New Roman"/>
                <w:sz w:val="24"/>
                <w:szCs w:val="24"/>
              </w:rPr>
              <w:t xml:space="preserve">at the </w:t>
            </w:r>
            <w:r w:rsidR="00686C2E" w:rsidRPr="002857E6">
              <w:rPr>
                <w:rFonts w:ascii="Times New Roman" w:hAnsi="Times New Roman"/>
                <w:sz w:val="24"/>
                <w:szCs w:val="24"/>
              </w:rPr>
              <w:t>border</w:t>
            </w:r>
            <w:r w:rsidR="00511EB3" w:rsidRPr="002857E6">
              <w:rPr>
                <w:rFonts w:ascii="Times New Roman" w:hAnsi="Times New Roman"/>
                <w:sz w:val="24"/>
                <w:szCs w:val="24"/>
              </w:rPr>
              <w:t>line. At</w:t>
            </w:r>
            <w:r w:rsidR="00686C2E" w:rsidRPr="002857E6">
              <w:rPr>
                <w:rFonts w:ascii="Times New Roman" w:hAnsi="Times New Roman"/>
                <w:sz w:val="24"/>
                <w:szCs w:val="24"/>
              </w:rPr>
              <w:t xml:space="preserve"> the same time, as government</w:t>
            </w:r>
            <w:r w:rsidR="00511EB3" w:rsidRPr="002857E6">
              <w:rPr>
                <w:rFonts w:ascii="Times New Roman" w:hAnsi="Times New Roman"/>
                <w:sz w:val="24"/>
                <w:szCs w:val="24"/>
              </w:rPr>
              <w:t>al</w:t>
            </w:r>
            <w:r w:rsidR="00686C2E" w:rsidRPr="002857E6">
              <w:rPr>
                <w:rFonts w:ascii="Times New Roman" w:hAnsi="Times New Roman"/>
                <w:sz w:val="24"/>
                <w:szCs w:val="24"/>
              </w:rPr>
              <w:t xml:space="preserve"> institution </w:t>
            </w:r>
            <w:r w:rsidR="00627C1E" w:rsidRPr="002857E6">
              <w:rPr>
                <w:rFonts w:ascii="Times New Roman" w:hAnsi="Times New Roman"/>
                <w:sz w:val="24"/>
                <w:szCs w:val="24"/>
              </w:rPr>
              <w:t xml:space="preserve">it </w:t>
            </w:r>
            <w:r w:rsidR="00686C2E" w:rsidRPr="002857E6">
              <w:rPr>
                <w:rFonts w:ascii="Times New Roman" w:hAnsi="Times New Roman"/>
                <w:sz w:val="24"/>
                <w:szCs w:val="24"/>
              </w:rPr>
              <w:t xml:space="preserve">is directly obliged to take actions for fulfilling the national goals in line of the priorities of the Government among which the priority with the highest </w:t>
            </w:r>
            <w:r w:rsidR="00511EB3" w:rsidRPr="002857E6">
              <w:rPr>
                <w:rFonts w:ascii="Times New Roman" w:hAnsi="Times New Roman"/>
                <w:sz w:val="24"/>
                <w:szCs w:val="24"/>
              </w:rPr>
              <w:t>importance</w:t>
            </w:r>
            <w:r w:rsidR="00686C2E" w:rsidRPr="002857E6">
              <w:rPr>
                <w:rFonts w:ascii="Times New Roman" w:hAnsi="Times New Roman"/>
                <w:sz w:val="24"/>
                <w:szCs w:val="24"/>
              </w:rPr>
              <w:t xml:space="preserve"> is accession to E</w:t>
            </w:r>
            <w:r w:rsidR="00511EB3" w:rsidRPr="002857E6">
              <w:rPr>
                <w:rFonts w:ascii="Times New Roman" w:hAnsi="Times New Roman"/>
                <w:sz w:val="24"/>
                <w:szCs w:val="24"/>
              </w:rPr>
              <w:t>uropean Union.</w:t>
            </w:r>
          </w:p>
          <w:p w:rsidR="00413F12" w:rsidRPr="002857E6" w:rsidRDefault="00413F12" w:rsidP="006B790E">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eastAsia="en-US"/>
              </w:rPr>
              <w:t>Being a member of the </w:t>
            </w:r>
            <w:r w:rsidRPr="002857E6">
              <w:rPr>
                <w:rFonts w:ascii="Times New Roman" w:hAnsi="Times New Roman"/>
                <w:b/>
                <w:bCs/>
                <w:color w:val="000000"/>
                <w:sz w:val="24"/>
                <w:szCs w:val="24"/>
                <w:lang w:eastAsia="en-US"/>
              </w:rPr>
              <w:t>World Trade Organization (WTO) </w:t>
            </w:r>
            <w:r w:rsidRPr="002857E6">
              <w:rPr>
                <w:rFonts w:ascii="Times New Roman" w:hAnsi="Times New Roman"/>
                <w:color w:val="000000"/>
                <w:sz w:val="24"/>
                <w:szCs w:val="24"/>
                <w:lang w:eastAsia="en-US"/>
              </w:rPr>
              <w:t>North Macedonia has implemented most of the provisions of the WTO Trade Facilitation Agreement. The country actively participates in the Central and Eastern Europe Free Trade Agreement</w:t>
            </w:r>
            <w:r w:rsidRPr="002857E6">
              <w:rPr>
                <w:rFonts w:ascii="Times New Roman" w:hAnsi="Times New Roman"/>
                <w:b/>
                <w:bCs/>
                <w:color w:val="000000"/>
                <w:sz w:val="24"/>
                <w:szCs w:val="24"/>
                <w:lang w:eastAsia="en-US"/>
              </w:rPr>
              <w:t> (CEFTA) </w:t>
            </w:r>
            <w:r w:rsidRPr="002857E6">
              <w:rPr>
                <w:rFonts w:ascii="Times New Roman" w:hAnsi="Times New Roman"/>
                <w:color w:val="000000"/>
                <w:sz w:val="24"/>
                <w:szCs w:val="24"/>
                <w:lang w:eastAsia="en-US"/>
              </w:rPr>
              <w:t>and implements the multi-annual action plan for the development of a </w:t>
            </w:r>
            <w:r w:rsidRPr="002857E6">
              <w:rPr>
                <w:rFonts w:ascii="Times New Roman" w:hAnsi="Times New Roman"/>
                <w:b/>
                <w:bCs/>
                <w:color w:val="000000"/>
                <w:sz w:val="24"/>
                <w:szCs w:val="24"/>
                <w:lang w:eastAsia="en-US"/>
              </w:rPr>
              <w:t>Regional Economic Area</w:t>
            </w:r>
            <w:r w:rsidR="00BC4A10" w:rsidRPr="002857E6">
              <w:rPr>
                <w:rFonts w:ascii="Times New Roman" w:hAnsi="Times New Roman"/>
                <w:b/>
                <w:bCs/>
                <w:color w:val="000000"/>
                <w:sz w:val="24"/>
                <w:szCs w:val="24"/>
                <w:lang w:eastAsia="en-US"/>
              </w:rPr>
              <w:t xml:space="preserve"> thru including full implementation of CEFTA Additional Protocol 5 on Trade Facilitation</w:t>
            </w:r>
            <w:r w:rsidRPr="002857E6">
              <w:rPr>
                <w:rFonts w:ascii="Times New Roman" w:hAnsi="Times New Roman"/>
                <w:b/>
                <w:bCs/>
                <w:color w:val="000000"/>
                <w:sz w:val="24"/>
                <w:szCs w:val="24"/>
                <w:lang w:eastAsia="en-US"/>
              </w:rPr>
              <w:t>. </w:t>
            </w:r>
            <w:r w:rsidRPr="002857E6">
              <w:rPr>
                <w:rFonts w:ascii="Times New Roman" w:hAnsi="Times New Roman"/>
                <w:color w:val="000000"/>
                <w:sz w:val="24"/>
                <w:szCs w:val="24"/>
                <w:lang w:val="en-US" w:eastAsia="en-US"/>
              </w:rPr>
              <w:t>The text of Protocol 6 on trade in services was adopted by the Government and t</w:t>
            </w:r>
            <w:r w:rsidRPr="002857E6">
              <w:rPr>
                <w:rFonts w:ascii="Times New Roman" w:hAnsi="Times New Roman"/>
                <w:color w:val="000000"/>
                <w:sz w:val="24"/>
                <w:szCs w:val="24"/>
                <w:lang w:eastAsia="en-US"/>
              </w:rPr>
              <w:t xml:space="preserve">he investment </w:t>
            </w:r>
            <w:r w:rsidRPr="002857E6">
              <w:rPr>
                <w:rFonts w:ascii="Times New Roman" w:hAnsi="Times New Roman"/>
                <w:color w:val="000000"/>
                <w:sz w:val="24"/>
                <w:szCs w:val="24"/>
                <w:lang w:eastAsia="en-US"/>
              </w:rPr>
              <w:lastRenderedPageBreak/>
              <w:t>reform action plan is already being implemented. </w:t>
            </w:r>
            <w:r w:rsidRPr="002857E6">
              <w:rPr>
                <w:rFonts w:ascii="Times New Roman" w:hAnsi="Times New Roman"/>
                <w:color w:val="000000"/>
                <w:sz w:val="24"/>
                <w:szCs w:val="24"/>
                <w:lang w:val="en-IE" w:eastAsia="en-US"/>
              </w:rPr>
              <w:t>North Macedonia</w:t>
            </w:r>
            <w:r w:rsidRPr="002857E6">
              <w:rPr>
                <w:rFonts w:ascii="Times New Roman" w:hAnsi="Times New Roman"/>
                <w:color w:val="000000"/>
                <w:sz w:val="24"/>
                <w:szCs w:val="24"/>
                <w:lang w:eastAsia="en-US"/>
              </w:rPr>
              <w:t> is a member of the Common Transit Convention since 2015, applying the </w:t>
            </w:r>
            <w:r w:rsidRPr="002857E6">
              <w:rPr>
                <w:rFonts w:ascii="Times New Roman" w:hAnsi="Times New Roman"/>
                <w:b/>
                <w:bCs/>
                <w:color w:val="000000"/>
                <w:sz w:val="24"/>
                <w:szCs w:val="24"/>
                <w:lang w:eastAsia="en-US"/>
              </w:rPr>
              <w:t>EU rules on transit movements</w:t>
            </w:r>
            <w:r w:rsidRPr="002857E6">
              <w:rPr>
                <w:rFonts w:ascii="Times New Roman" w:hAnsi="Times New Roman"/>
                <w:color w:val="000000"/>
                <w:sz w:val="24"/>
                <w:szCs w:val="24"/>
                <w:lang w:eastAsia="en-US"/>
              </w:rPr>
              <w:t> and has chaired the annual joint committee meeting in 2019.</w:t>
            </w:r>
          </w:p>
          <w:p w:rsidR="00413F12" w:rsidRPr="002857E6" w:rsidRDefault="00413F12" w:rsidP="006B790E">
            <w:pPr>
              <w:spacing w:after="0" w:line="240" w:lineRule="auto"/>
              <w:jc w:val="both"/>
              <w:rPr>
                <w:rFonts w:ascii="Times New Roman" w:hAnsi="Times New Roman"/>
                <w:color w:val="000000"/>
                <w:sz w:val="24"/>
                <w:szCs w:val="24"/>
                <w:lang w:val="en-IE" w:eastAsia="en-US"/>
              </w:rPr>
            </w:pPr>
            <w:r w:rsidRPr="002857E6">
              <w:rPr>
                <w:rFonts w:ascii="Times New Roman" w:hAnsi="Times New Roman"/>
                <w:color w:val="000000"/>
                <w:sz w:val="24"/>
                <w:szCs w:val="24"/>
                <w:lang w:eastAsia="en-US"/>
              </w:rPr>
              <w:t>The concept of </w:t>
            </w:r>
            <w:r w:rsidRPr="002857E6">
              <w:rPr>
                <w:rFonts w:ascii="Times New Roman" w:hAnsi="Times New Roman"/>
                <w:b/>
                <w:bCs/>
                <w:color w:val="000000"/>
                <w:sz w:val="24"/>
                <w:szCs w:val="24"/>
                <w:lang w:eastAsia="en-US"/>
              </w:rPr>
              <w:t>authorised economic operators (AEO) </w:t>
            </w:r>
            <w:r w:rsidRPr="002857E6">
              <w:rPr>
                <w:rFonts w:ascii="Times New Roman" w:hAnsi="Times New Roman"/>
                <w:color w:val="000000"/>
                <w:sz w:val="24"/>
                <w:szCs w:val="24"/>
                <w:lang w:eastAsia="en-US"/>
              </w:rPr>
              <w:t xml:space="preserve">was intensively promoted by the Customs Administration, and this resulted with fifteen companies being AEO-certified, and thus more than 40% of the declarations in 2019 </w:t>
            </w:r>
            <w:r w:rsidR="002878D2" w:rsidRPr="002857E6">
              <w:rPr>
                <w:rFonts w:ascii="Times New Roman" w:hAnsi="Times New Roman"/>
                <w:color w:val="000000"/>
                <w:sz w:val="24"/>
                <w:szCs w:val="24"/>
                <w:lang w:eastAsia="en-US"/>
              </w:rPr>
              <w:t>were</w:t>
            </w:r>
            <w:r w:rsidRPr="002857E6">
              <w:rPr>
                <w:rFonts w:ascii="Times New Roman" w:hAnsi="Times New Roman"/>
                <w:color w:val="000000"/>
                <w:sz w:val="24"/>
                <w:szCs w:val="24"/>
                <w:lang w:eastAsia="en-US"/>
              </w:rPr>
              <w:t xml:space="preserve"> submitted under simplified procedures. The country submitted a proposal to CEFTA for validation of its authorised economic operator programme, which should lead to </w:t>
            </w:r>
            <w:r w:rsidRPr="002857E6">
              <w:rPr>
                <w:rFonts w:ascii="Times New Roman" w:hAnsi="Times New Roman"/>
                <w:color w:val="000000"/>
                <w:sz w:val="24"/>
                <w:szCs w:val="24"/>
                <w:lang w:val="en-IE" w:eastAsia="en-US"/>
              </w:rPr>
              <w:t>mutual recognition of AEO certificates among the CEFTA countries.</w:t>
            </w:r>
          </w:p>
          <w:p w:rsidR="00627C1E" w:rsidRPr="002857E6" w:rsidRDefault="00627C1E" w:rsidP="006B790E">
            <w:pPr>
              <w:spacing w:after="0" w:line="240" w:lineRule="auto"/>
              <w:jc w:val="both"/>
              <w:rPr>
                <w:rFonts w:ascii="Times New Roman" w:hAnsi="Times New Roman"/>
                <w:color w:val="000000"/>
                <w:sz w:val="24"/>
                <w:szCs w:val="24"/>
                <w:lang w:val="en-US" w:eastAsia="en-US"/>
              </w:rPr>
            </w:pPr>
          </w:p>
          <w:p w:rsidR="002878D2" w:rsidRPr="002857E6" w:rsidRDefault="00413F12" w:rsidP="006B790E">
            <w:pPr>
              <w:spacing w:line="240" w:lineRule="auto"/>
              <w:jc w:val="both"/>
              <w:rPr>
                <w:rFonts w:ascii="Times New Roman" w:hAnsi="Times New Roman"/>
                <w:color w:val="000000"/>
                <w:sz w:val="24"/>
                <w:szCs w:val="24"/>
                <w:lang w:eastAsia="en-US"/>
              </w:rPr>
            </w:pPr>
            <w:r w:rsidRPr="002857E6">
              <w:rPr>
                <w:rFonts w:ascii="Times New Roman" w:hAnsi="Times New Roman"/>
                <w:color w:val="000000"/>
                <w:sz w:val="24"/>
                <w:szCs w:val="24"/>
                <w:lang w:eastAsia="en-US"/>
              </w:rPr>
              <w:t>The </w:t>
            </w:r>
            <w:r w:rsidRPr="002857E6">
              <w:rPr>
                <w:rFonts w:ascii="Times New Roman" w:hAnsi="Times New Roman"/>
                <w:b/>
                <w:bCs/>
                <w:color w:val="000000"/>
                <w:sz w:val="24"/>
                <w:szCs w:val="24"/>
                <w:lang w:eastAsia="en-US"/>
              </w:rPr>
              <w:t>New Computerised Transit System (NCTS) </w:t>
            </w:r>
            <w:r w:rsidRPr="002857E6">
              <w:rPr>
                <w:rFonts w:ascii="Times New Roman" w:hAnsi="Times New Roman"/>
                <w:color w:val="000000"/>
                <w:sz w:val="24"/>
                <w:szCs w:val="24"/>
                <w:lang w:eastAsia="en-US"/>
              </w:rPr>
              <w:t xml:space="preserve">allows for paperless submission of transit declarations and decreases the costs for the traders for the movement of goods crossing the borders. </w:t>
            </w:r>
            <w:r w:rsidR="00471051" w:rsidRPr="002857E6">
              <w:rPr>
                <w:rFonts w:ascii="Times New Roman" w:hAnsi="Times New Roman"/>
                <w:color w:val="000000"/>
                <w:sz w:val="24"/>
                <w:szCs w:val="24"/>
                <w:lang w:eastAsia="en-US"/>
              </w:rPr>
              <w:t>The current</w:t>
            </w:r>
            <w:r w:rsidR="00CB77D7" w:rsidRPr="002857E6">
              <w:rPr>
                <w:rFonts w:ascii="Times New Roman" w:hAnsi="Times New Roman"/>
                <w:color w:val="000000"/>
                <w:sz w:val="24"/>
                <w:szCs w:val="24"/>
                <w:lang w:eastAsia="en-US"/>
              </w:rPr>
              <w:t xml:space="preserve"> system </w:t>
            </w:r>
            <w:r w:rsidR="00471051" w:rsidRPr="002857E6">
              <w:rPr>
                <w:rFonts w:ascii="Times New Roman" w:hAnsi="Times New Roman"/>
                <w:color w:val="000000"/>
                <w:sz w:val="24"/>
                <w:szCs w:val="24"/>
                <w:lang w:eastAsia="en-US"/>
              </w:rPr>
              <w:t xml:space="preserve">at the Customs Administration </w:t>
            </w:r>
            <w:r w:rsidR="00CB77D7" w:rsidRPr="002857E6">
              <w:rPr>
                <w:rFonts w:ascii="Times New Roman" w:hAnsi="Times New Roman"/>
                <w:color w:val="000000"/>
                <w:sz w:val="24"/>
                <w:szCs w:val="24"/>
                <w:lang w:eastAsia="en-US"/>
              </w:rPr>
              <w:t xml:space="preserve">was put into function in </w:t>
            </w:r>
            <w:r w:rsidR="00C110BB" w:rsidRPr="002857E6">
              <w:rPr>
                <w:rFonts w:ascii="Times New Roman" w:hAnsi="Times New Roman"/>
                <w:color w:val="000000"/>
                <w:sz w:val="24"/>
                <w:szCs w:val="24"/>
                <w:lang w:eastAsia="en-US"/>
              </w:rPr>
              <w:t>2014 and</w:t>
            </w:r>
            <w:r w:rsidR="00CB77D7" w:rsidRPr="002857E6">
              <w:rPr>
                <w:rFonts w:ascii="Times New Roman" w:hAnsi="Times New Roman"/>
                <w:color w:val="000000"/>
                <w:sz w:val="24"/>
                <w:szCs w:val="24"/>
                <w:lang w:eastAsia="en-US"/>
              </w:rPr>
              <w:t xml:space="preserve"> cannot be considered contemporary </w:t>
            </w:r>
            <w:r w:rsidR="00471051" w:rsidRPr="002857E6">
              <w:rPr>
                <w:rFonts w:ascii="Times New Roman" w:hAnsi="Times New Roman"/>
                <w:color w:val="000000"/>
                <w:sz w:val="24"/>
                <w:szCs w:val="24"/>
                <w:lang w:eastAsia="en-US"/>
              </w:rPr>
              <w:t xml:space="preserve">and </w:t>
            </w:r>
            <w:r w:rsidR="00CB77D7" w:rsidRPr="002857E6">
              <w:rPr>
                <w:rFonts w:ascii="Times New Roman" w:hAnsi="Times New Roman"/>
                <w:color w:val="000000"/>
                <w:sz w:val="24"/>
                <w:szCs w:val="24"/>
                <w:lang w:eastAsia="en-US"/>
              </w:rPr>
              <w:t>compliant with the latest EU requirements</w:t>
            </w:r>
            <w:r w:rsidR="002878D2" w:rsidRPr="002857E6">
              <w:rPr>
                <w:rFonts w:ascii="Times New Roman" w:hAnsi="Times New Roman"/>
                <w:color w:val="000000"/>
                <w:sz w:val="24"/>
                <w:szCs w:val="24"/>
                <w:lang w:eastAsia="en-US"/>
              </w:rPr>
              <w:t>, which call</w:t>
            </w:r>
            <w:r w:rsidR="00471051" w:rsidRPr="002857E6">
              <w:rPr>
                <w:rFonts w:ascii="Times New Roman" w:hAnsi="Times New Roman"/>
                <w:color w:val="000000"/>
                <w:sz w:val="24"/>
                <w:szCs w:val="24"/>
                <w:lang w:eastAsia="en-US"/>
              </w:rPr>
              <w:t>s</w:t>
            </w:r>
            <w:r w:rsidR="002878D2" w:rsidRPr="002857E6">
              <w:rPr>
                <w:rFonts w:ascii="Times New Roman" w:hAnsi="Times New Roman"/>
                <w:color w:val="000000"/>
                <w:sz w:val="24"/>
                <w:szCs w:val="24"/>
                <w:lang w:eastAsia="en-US"/>
              </w:rPr>
              <w:t xml:space="preserve"> for implementation of NCTS Phase 5. This is </w:t>
            </w:r>
            <w:r w:rsidR="00471051" w:rsidRPr="002857E6">
              <w:rPr>
                <w:rFonts w:ascii="Times New Roman" w:hAnsi="Times New Roman"/>
                <w:color w:val="000000"/>
                <w:sz w:val="24"/>
                <w:szCs w:val="24"/>
                <w:lang w:eastAsia="en-US"/>
              </w:rPr>
              <w:t xml:space="preserve">currently high </w:t>
            </w:r>
            <w:r w:rsidR="002878D2" w:rsidRPr="002857E6">
              <w:rPr>
                <w:rFonts w:ascii="Times New Roman" w:hAnsi="Times New Roman"/>
                <w:color w:val="000000"/>
                <w:sz w:val="24"/>
                <w:szCs w:val="24"/>
                <w:lang w:eastAsia="en-US"/>
              </w:rPr>
              <w:t xml:space="preserve">priority for the </w:t>
            </w:r>
            <w:r w:rsidR="00CB77D7" w:rsidRPr="002857E6">
              <w:rPr>
                <w:rFonts w:ascii="Times New Roman" w:hAnsi="Times New Roman"/>
                <w:color w:val="000000"/>
                <w:sz w:val="24"/>
                <w:szCs w:val="24"/>
                <w:lang w:eastAsia="en-US"/>
              </w:rPr>
              <w:t>Customs Administration</w:t>
            </w:r>
            <w:r w:rsidR="002878D2" w:rsidRPr="002857E6">
              <w:rPr>
                <w:rFonts w:ascii="Times New Roman" w:hAnsi="Times New Roman"/>
                <w:color w:val="000000"/>
                <w:sz w:val="24"/>
                <w:szCs w:val="24"/>
                <w:lang w:eastAsia="en-US"/>
              </w:rPr>
              <w:t>.</w:t>
            </w:r>
          </w:p>
          <w:p w:rsidR="00413F12" w:rsidRPr="002857E6" w:rsidRDefault="00413F12" w:rsidP="006B790E">
            <w:pPr>
              <w:spacing w:line="240" w:lineRule="auto"/>
              <w:jc w:val="both"/>
              <w:rPr>
                <w:rFonts w:ascii="Times New Roman" w:hAnsi="Times New Roman"/>
                <w:color w:val="000000"/>
                <w:sz w:val="24"/>
                <w:szCs w:val="24"/>
                <w:lang w:eastAsia="en-US"/>
              </w:rPr>
            </w:pPr>
            <w:r w:rsidRPr="002857E6">
              <w:rPr>
                <w:rFonts w:ascii="Times New Roman" w:hAnsi="Times New Roman"/>
                <w:color w:val="000000"/>
                <w:sz w:val="24"/>
                <w:szCs w:val="24"/>
                <w:lang w:eastAsia="en-US"/>
              </w:rPr>
              <w:t>The new </w:t>
            </w:r>
            <w:r w:rsidRPr="002857E6">
              <w:rPr>
                <w:rFonts w:ascii="Times New Roman" w:hAnsi="Times New Roman"/>
                <w:b/>
                <w:bCs/>
                <w:color w:val="000000"/>
                <w:sz w:val="24"/>
                <w:szCs w:val="24"/>
                <w:lang w:eastAsia="en-US"/>
              </w:rPr>
              <w:t>Customs Declarations and Excise Documents Processing System</w:t>
            </w:r>
            <w:r w:rsidRPr="002857E6">
              <w:rPr>
                <w:rFonts w:ascii="Times New Roman" w:hAnsi="Times New Roman"/>
                <w:color w:val="000000"/>
                <w:sz w:val="24"/>
                <w:szCs w:val="24"/>
                <w:lang w:eastAsia="en-US"/>
              </w:rPr>
              <w:t xml:space="preserve"> was finalised and put into use on 1 June 2019, thus creating a paperless environment. </w:t>
            </w:r>
            <w:r w:rsidR="00C110BB" w:rsidRPr="002857E6">
              <w:rPr>
                <w:rFonts w:ascii="Times New Roman" w:hAnsi="Times New Roman"/>
                <w:color w:val="000000"/>
                <w:sz w:val="24"/>
                <w:szCs w:val="24"/>
                <w:lang w:eastAsia="en-US"/>
              </w:rPr>
              <w:t>This core system,</w:t>
            </w:r>
            <w:r w:rsidRPr="002857E6">
              <w:rPr>
                <w:rFonts w:ascii="Times New Roman" w:hAnsi="Times New Roman"/>
                <w:color w:val="000000"/>
                <w:sz w:val="24"/>
                <w:szCs w:val="24"/>
                <w:lang w:eastAsia="en-US"/>
              </w:rPr>
              <w:t xml:space="preserve"> integrated with the other functional IT systems</w:t>
            </w:r>
            <w:r w:rsidR="00C110BB" w:rsidRPr="002857E6">
              <w:rPr>
                <w:rFonts w:ascii="Times New Roman" w:hAnsi="Times New Roman"/>
                <w:color w:val="000000"/>
                <w:sz w:val="24"/>
                <w:szCs w:val="24"/>
                <w:lang w:eastAsia="en-US"/>
              </w:rPr>
              <w:t>,</w:t>
            </w:r>
            <w:r w:rsidRPr="002857E6">
              <w:rPr>
                <w:rFonts w:ascii="Times New Roman" w:hAnsi="Times New Roman"/>
                <w:color w:val="000000"/>
                <w:sz w:val="24"/>
                <w:szCs w:val="24"/>
                <w:lang w:eastAsia="en-US"/>
              </w:rPr>
              <w:t xml:space="preserve"> provide</w:t>
            </w:r>
            <w:r w:rsidR="002878D2" w:rsidRPr="002857E6">
              <w:rPr>
                <w:rFonts w:ascii="Times New Roman" w:hAnsi="Times New Roman"/>
                <w:color w:val="000000"/>
                <w:sz w:val="24"/>
                <w:szCs w:val="24"/>
                <w:lang w:eastAsia="en-US"/>
              </w:rPr>
              <w:t>s</w:t>
            </w:r>
            <w:r w:rsidRPr="002857E6">
              <w:rPr>
                <w:rFonts w:ascii="Times New Roman" w:hAnsi="Times New Roman"/>
                <w:color w:val="000000"/>
                <w:sz w:val="24"/>
                <w:szCs w:val="24"/>
                <w:lang w:eastAsia="en-US"/>
              </w:rPr>
              <w:t xml:space="preserve"> for more efficient process of movement </w:t>
            </w:r>
            <w:r w:rsidR="00471051" w:rsidRPr="002857E6">
              <w:rPr>
                <w:rFonts w:ascii="Times New Roman" w:hAnsi="Times New Roman"/>
                <w:color w:val="000000"/>
                <w:sz w:val="24"/>
                <w:szCs w:val="24"/>
                <w:lang w:eastAsia="en-US"/>
              </w:rPr>
              <w:t xml:space="preserve">and clearance of goods. In order to fulfil the EU requirements in the area of Customs union and EU Aquis (in particular UCC), there is a need for further development of new and upgrade of the existing IT systems, interconnected and interoperable with </w:t>
            </w:r>
            <w:r w:rsidR="00F452B6" w:rsidRPr="002857E6">
              <w:rPr>
                <w:rFonts w:ascii="Times New Roman" w:hAnsi="Times New Roman"/>
                <w:color w:val="000000"/>
                <w:sz w:val="24"/>
                <w:szCs w:val="24"/>
                <w:lang w:eastAsia="en-US"/>
              </w:rPr>
              <w:t>the</w:t>
            </w:r>
            <w:r w:rsidR="00471051" w:rsidRPr="002857E6">
              <w:rPr>
                <w:rFonts w:ascii="Times New Roman" w:hAnsi="Times New Roman"/>
                <w:color w:val="000000"/>
                <w:sz w:val="24"/>
                <w:szCs w:val="24"/>
                <w:lang w:eastAsia="en-US"/>
              </w:rPr>
              <w:t xml:space="preserve"> EU systems</w:t>
            </w:r>
            <w:r w:rsidR="00F452B6" w:rsidRPr="002857E6">
              <w:rPr>
                <w:rFonts w:ascii="Times New Roman" w:hAnsi="Times New Roman"/>
                <w:color w:val="000000"/>
                <w:sz w:val="24"/>
                <w:szCs w:val="24"/>
                <w:lang w:eastAsia="en-US"/>
              </w:rPr>
              <w:t>.</w:t>
            </w:r>
          </w:p>
          <w:p w:rsidR="00A86DE4" w:rsidRPr="002857E6" w:rsidRDefault="00471051" w:rsidP="00A86DE4">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w:t>
            </w:r>
            <w:r w:rsidR="00A86DE4" w:rsidRPr="002857E6">
              <w:rPr>
                <w:rFonts w:ascii="Times New Roman" w:hAnsi="Times New Roman"/>
                <w:color w:val="000000"/>
                <w:sz w:val="24"/>
                <w:szCs w:val="24"/>
                <w:lang w:val="en-US" w:eastAsia="en-US"/>
              </w:rPr>
              <w:t>One stop shop</w:t>
            </w:r>
            <w:r w:rsidRPr="002857E6">
              <w:rPr>
                <w:rFonts w:ascii="Times New Roman" w:hAnsi="Times New Roman"/>
                <w:color w:val="000000"/>
                <w:sz w:val="24"/>
                <w:szCs w:val="24"/>
                <w:lang w:val="en-US" w:eastAsia="en-US"/>
              </w:rPr>
              <w:t>”</w:t>
            </w:r>
            <w:r w:rsidR="00A86DE4" w:rsidRPr="002857E6">
              <w:rPr>
                <w:rFonts w:ascii="Times New Roman" w:hAnsi="Times New Roman"/>
                <w:color w:val="000000"/>
                <w:sz w:val="24"/>
                <w:szCs w:val="24"/>
                <w:lang w:val="en-US" w:eastAsia="en-US"/>
              </w:rPr>
              <w:t xml:space="preserve"> concept was established at the road border crossing point Tabanovce - Presevo with Serbia in August 2019, as a step towards implementing joint border controls. The further improvement is planned in this area and the goal is to fulfil conditions which will enable infrastructural possibility and standards for joint border controls and faster movements on </w:t>
            </w:r>
            <w:r w:rsidR="00C110BB" w:rsidRPr="002857E6">
              <w:rPr>
                <w:rFonts w:ascii="Times New Roman" w:hAnsi="Times New Roman"/>
                <w:color w:val="000000"/>
                <w:sz w:val="24"/>
                <w:szCs w:val="24"/>
                <w:lang w:val="en-US" w:eastAsia="en-US"/>
              </w:rPr>
              <w:t>most</w:t>
            </w:r>
            <w:r w:rsidR="00A86DE4" w:rsidRPr="002857E6">
              <w:rPr>
                <w:rFonts w:ascii="Times New Roman" w:hAnsi="Times New Roman"/>
                <w:color w:val="000000"/>
                <w:sz w:val="24"/>
                <w:szCs w:val="24"/>
                <w:lang w:val="en-US" w:eastAsia="en-US"/>
              </w:rPr>
              <w:t xml:space="preserve"> of the border crossing point. This refers to the BCPs with EU member states as well (with Bulgaria</w:t>
            </w:r>
            <w:r w:rsidR="00CB77D7" w:rsidRPr="002857E6">
              <w:rPr>
                <w:rFonts w:ascii="Times New Roman" w:hAnsi="Times New Roman"/>
                <w:color w:val="000000"/>
                <w:sz w:val="24"/>
                <w:szCs w:val="24"/>
                <w:lang w:val="en-US" w:eastAsia="en-US"/>
              </w:rPr>
              <w:t xml:space="preserve"> and Greece</w:t>
            </w:r>
            <w:r w:rsidR="00A86DE4" w:rsidRPr="002857E6">
              <w:rPr>
                <w:rFonts w:ascii="Times New Roman" w:hAnsi="Times New Roman"/>
                <w:color w:val="000000"/>
                <w:sz w:val="24"/>
                <w:szCs w:val="24"/>
                <w:lang w:val="en-US" w:eastAsia="en-US"/>
              </w:rPr>
              <w:t>).</w:t>
            </w:r>
          </w:p>
          <w:p w:rsidR="00A86DE4" w:rsidRPr="002857E6" w:rsidRDefault="00A86DE4" w:rsidP="00A86DE4">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The newly-built customs terminal at the main border crossing with Albania Kjafasan – Qafe Thane was put into operation at the beginning of 2019. Preparations and negotiations have started to establish one stop with Albania, receiving the official endorsement of both governments.</w:t>
            </w:r>
          </w:p>
          <w:p w:rsidR="00C92993" w:rsidRPr="002857E6" w:rsidRDefault="00B4246A" w:rsidP="00A86DE4">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The upgraded BCPs Tabanovce - Presevo with Serbia and Kjafasan – Qafe</w:t>
            </w:r>
            <w:r w:rsidR="005F5A43" w:rsidRPr="002857E6">
              <w:rPr>
                <w:rFonts w:ascii="Times New Roman" w:hAnsi="Times New Roman"/>
                <w:color w:val="000000"/>
                <w:sz w:val="24"/>
                <w:szCs w:val="24"/>
                <w:lang w:val="en-US" w:eastAsia="en-US"/>
              </w:rPr>
              <w:t>t</w:t>
            </w:r>
            <w:r w:rsidRPr="002857E6">
              <w:rPr>
                <w:rFonts w:ascii="Times New Roman" w:hAnsi="Times New Roman"/>
                <w:color w:val="000000"/>
                <w:sz w:val="24"/>
                <w:szCs w:val="24"/>
                <w:lang w:val="en-US" w:eastAsia="en-US"/>
              </w:rPr>
              <w:t xml:space="preserve">hane with Albania already in function are proving the commitment and capacity of the Customs Administration to move forward in </w:t>
            </w:r>
            <w:r w:rsidR="003C1BD6" w:rsidRPr="002857E6">
              <w:rPr>
                <w:rFonts w:ascii="Times New Roman" w:hAnsi="Times New Roman"/>
                <w:color w:val="000000"/>
                <w:sz w:val="24"/>
                <w:szCs w:val="24"/>
                <w:lang w:val="en-US" w:eastAsia="en-US"/>
              </w:rPr>
              <w:t>modernization of the infrastructure in accordance to the best practices.</w:t>
            </w:r>
          </w:p>
          <w:p w:rsidR="00B4246A" w:rsidRPr="002857E6" w:rsidRDefault="003C1BD6" w:rsidP="00A86DE4">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 xml:space="preserve">The Customs Administration tends to use the positive experience to expand the concept and upgrade the BCPs to fulfill the conditions for one-stop-shop, joint border controls and possibility for priority lanes and other infrastructural improvements on the BCPs with the rest of the </w:t>
            </w:r>
            <w:r w:rsidRPr="002857E6">
              <w:rPr>
                <w:rFonts w:ascii="Times New Roman" w:hAnsi="Times New Roman"/>
                <w:color w:val="000000"/>
                <w:sz w:val="24"/>
                <w:szCs w:val="24"/>
                <w:lang w:val="en-US" w:eastAsia="en-US"/>
              </w:rPr>
              <w:lastRenderedPageBreak/>
              <w:t xml:space="preserve">neighbouring countries, among which </w:t>
            </w:r>
            <w:r w:rsidR="00BD1EB4" w:rsidRPr="002857E6">
              <w:rPr>
                <w:rFonts w:ascii="Times New Roman" w:hAnsi="Times New Roman"/>
                <w:color w:val="000000"/>
                <w:sz w:val="24"/>
                <w:szCs w:val="24"/>
                <w:lang w:val="en-US" w:eastAsia="en-US"/>
              </w:rPr>
              <w:t>two are</w:t>
            </w:r>
            <w:r w:rsidRPr="002857E6">
              <w:rPr>
                <w:rFonts w:ascii="Times New Roman" w:hAnsi="Times New Roman"/>
                <w:color w:val="000000"/>
                <w:sz w:val="24"/>
                <w:szCs w:val="24"/>
                <w:lang w:val="en-US" w:eastAsia="en-US"/>
              </w:rPr>
              <w:t xml:space="preserve"> EU member state.</w:t>
            </w:r>
          </w:p>
          <w:p w:rsidR="00C92993" w:rsidRPr="002857E6" w:rsidRDefault="00C92993" w:rsidP="00A86DE4">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 xml:space="preserve">Considering that </w:t>
            </w:r>
            <w:r w:rsidR="00471051" w:rsidRPr="002857E6">
              <w:rPr>
                <w:rFonts w:ascii="Times New Roman" w:hAnsi="Times New Roman"/>
                <w:color w:val="000000"/>
                <w:sz w:val="24"/>
                <w:szCs w:val="24"/>
                <w:lang w:val="en-US" w:eastAsia="en-US"/>
              </w:rPr>
              <w:t xml:space="preserve">the existing facilities and infrastructure at </w:t>
            </w:r>
            <w:r w:rsidRPr="002857E6">
              <w:rPr>
                <w:rFonts w:ascii="Times New Roman" w:hAnsi="Times New Roman"/>
                <w:color w:val="000000"/>
                <w:sz w:val="24"/>
                <w:szCs w:val="24"/>
                <w:lang w:val="en-US" w:eastAsia="en-US"/>
              </w:rPr>
              <w:t>BCPs Delcevo and</w:t>
            </w:r>
            <w:r w:rsidR="005C5C1B" w:rsidRPr="002857E6">
              <w:rPr>
                <w:rFonts w:ascii="Times New Roman" w:hAnsi="Times New Roman"/>
                <w:color w:val="000000"/>
                <w:sz w:val="24"/>
                <w:szCs w:val="24"/>
                <w:lang w:val="en-US" w:eastAsia="en-US"/>
              </w:rPr>
              <w:t xml:space="preserve"> </w:t>
            </w:r>
            <w:r w:rsidR="001E4D0E" w:rsidRPr="002857E6">
              <w:rPr>
                <w:rFonts w:ascii="Times New Roman" w:hAnsi="Times New Roman"/>
                <w:color w:val="000000"/>
                <w:sz w:val="24"/>
                <w:szCs w:val="24"/>
                <w:lang w:val="en-US" w:eastAsia="en-US"/>
              </w:rPr>
              <w:t>Deve Bair (the later subject of minor reconstruction in the past)</w:t>
            </w:r>
            <w:r w:rsidRPr="002857E6">
              <w:rPr>
                <w:rFonts w:ascii="Times New Roman" w:hAnsi="Times New Roman"/>
                <w:color w:val="000000"/>
                <w:sz w:val="24"/>
                <w:szCs w:val="24"/>
                <w:lang w:val="en-US" w:eastAsia="en-US"/>
              </w:rPr>
              <w:t xml:space="preserve"> are built many decades ago and inherited from the previous social system of the country, the same can be considered obsolete and inadequate to support contemporary needs for trade facilitation, while also enabling conditions for suitable controls. The </w:t>
            </w:r>
            <w:r w:rsidR="005C5C1B" w:rsidRPr="002857E6">
              <w:rPr>
                <w:rFonts w:ascii="Times New Roman" w:hAnsi="Times New Roman"/>
                <w:color w:val="000000"/>
                <w:sz w:val="24"/>
                <w:szCs w:val="24"/>
                <w:lang w:val="en-US" w:eastAsia="en-US"/>
              </w:rPr>
              <w:t>intervention</w:t>
            </w:r>
            <w:r w:rsidRPr="002857E6">
              <w:rPr>
                <w:rFonts w:ascii="Times New Roman" w:hAnsi="Times New Roman"/>
                <w:color w:val="000000"/>
                <w:sz w:val="24"/>
                <w:szCs w:val="24"/>
                <w:lang w:val="en-US" w:eastAsia="en-US"/>
              </w:rPr>
              <w:t xml:space="preserve"> </w:t>
            </w:r>
            <w:r w:rsidR="005C5C1B" w:rsidRPr="002857E6">
              <w:rPr>
                <w:rFonts w:ascii="Times New Roman" w:hAnsi="Times New Roman"/>
                <w:color w:val="000000"/>
                <w:sz w:val="24"/>
                <w:szCs w:val="24"/>
                <w:lang w:val="en-US" w:eastAsia="en-US"/>
              </w:rPr>
              <w:t xml:space="preserve">planned by this Action </w:t>
            </w:r>
            <w:r w:rsidRPr="002857E6">
              <w:rPr>
                <w:rFonts w:ascii="Times New Roman" w:hAnsi="Times New Roman"/>
                <w:color w:val="000000"/>
                <w:sz w:val="24"/>
                <w:szCs w:val="24"/>
                <w:lang w:val="en-US" w:eastAsia="en-US"/>
              </w:rPr>
              <w:t xml:space="preserve">will </w:t>
            </w:r>
            <w:r w:rsidR="00471051" w:rsidRPr="002857E6">
              <w:rPr>
                <w:rFonts w:ascii="Times New Roman" w:hAnsi="Times New Roman"/>
                <w:color w:val="000000"/>
                <w:sz w:val="24"/>
                <w:szCs w:val="24"/>
                <w:lang w:val="en-US" w:eastAsia="en-US"/>
              </w:rPr>
              <w:t>also improve the quality of the passenger</w:t>
            </w:r>
            <w:r w:rsidRPr="002857E6">
              <w:rPr>
                <w:rFonts w:ascii="Times New Roman" w:hAnsi="Times New Roman"/>
                <w:color w:val="000000"/>
                <w:sz w:val="24"/>
                <w:szCs w:val="24"/>
                <w:lang w:val="en-US" w:eastAsia="en-US"/>
              </w:rPr>
              <w:t xml:space="preserve"> </w:t>
            </w:r>
            <w:r w:rsidR="00471051" w:rsidRPr="002857E6">
              <w:rPr>
                <w:rFonts w:ascii="Times New Roman" w:hAnsi="Times New Roman"/>
                <w:color w:val="000000"/>
                <w:sz w:val="24"/>
                <w:szCs w:val="24"/>
                <w:lang w:val="en-US" w:eastAsia="en-US"/>
              </w:rPr>
              <w:t>traffic.</w:t>
            </w:r>
          </w:p>
          <w:p w:rsidR="001E4D0E" w:rsidRPr="002857E6" w:rsidRDefault="001E4D0E" w:rsidP="00A86DE4">
            <w:pPr>
              <w:spacing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 xml:space="preserve">Under the objective of improvement of the BCPs, Customs </w:t>
            </w:r>
            <w:r w:rsidR="002702F6" w:rsidRPr="002857E6">
              <w:rPr>
                <w:rFonts w:ascii="Times New Roman" w:hAnsi="Times New Roman"/>
                <w:color w:val="000000"/>
                <w:sz w:val="24"/>
                <w:szCs w:val="24"/>
                <w:lang w:val="en-US" w:eastAsia="en-US"/>
              </w:rPr>
              <w:t>Administration</w:t>
            </w:r>
            <w:r w:rsidRPr="002857E6">
              <w:rPr>
                <w:rFonts w:ascii="Times New Roman" w:hAnsi="Times New Roman"/>
                <w:color w:val="000000"/>
                <w:sz w:val="24"/>
                <w:szCs w:val="24"/>
                <w:lang w:val="en-US" w:eastAsia="en-US"/>
              </w:rPr>
              <w:t xml:space="preserve"> is undertaking the finances for the project for renovation and upgrade of the BCP Deve Bair. Customs Administration has signed a Loan Contract with World bank in 2019, under the component Trade and transport facilitation in South East Europe 3. Among other projects within this loan, 2.</w:t>
            </w:r>
            <w:r w:rsidR="002702F6" w:rsidRPr="002857E6">
              <w:rPr>
                <w:rFonts w:ascii="Times New Roman" w:hAnsi="Times New Roman"/>
                <w:color w:val="000000"/>
                <w:sz w:val="24"/>
                <w:szCs w:val="24"/>
                <w:lang w:val="en-US" w:eastAsia="en-US"/>
              </w:rPr>
              <w:t>3</w:t>
            </w:r>
            <w:r w:rsidRPr="002857E6">
              <w:rPr>
                <w:rFonts w:ascii="Times New Roman" w:hAnsi="Times New Roman"/>
                <w:color w:val="000000"/>
                <w:sz w:val="24"/>
                <w:szCs w:val="24"/>
                <w:lang w:val="en-US" w:eastAsia="en-US"/>
              </w:rPr>
              <w:t xml:space="preserve"> million EUR for reconstruction/upgrade of the BCP Deve Bair with Bulgaria, in direction of the same overall </w:t>
            </w:r>
            <w:r w:rsidR="002702F6" w:rsidRPr="002857E6">
              <w:rPr>
                <w:rFonts w:ascii="Times New Roman" w:hAnsi="Times New Roman"/>
                <w:color w:val="000000"/>
                <w:sz w:val="24"/>
                <w:szCs w:val="24"/>
                <w:lang w:val="en-US" w:eastAsia="en-US"/>
              </w:rPr>
              <w:t>objective</w:t>
            </w:r>
            <w:r w:rsidRPr="002857E6">
              <w:rPr>
                <w:rFonts w:ascii="Times New Roman" w:hAnsi="Times New Roman"/>
                <w:color w:val="000000"/>
                <w:sz w:val="24"/>
                <w:szCs w:val="24"/>
                <w:lang w:val="en-US" w:eastAsia="en-US"/>
              </w:rPr>
              <w:t xml:space="preserve">: </w:t>
            </w:r>
            <w:r w:rsidR="002702F6" w:rsidRPr="002857E6">
              <w:rPr>
                <w:rFonts w:ascii="Times New Roman" w:hAnsi="Times New Roman"/>
                <w:color w:val="000000"/>
                <w:sz w:val="24"/>
                <w:szCs w:val="24"/>
                <w:lang w:val="en-US" w:eastAsia="en-US"/>
              </w:rPr>
              <w:t>to facilitate the trade and to enable</w:t>
            </w:r>
            <w:r w:rsidRPr="002857E6">
              <w:rPr>
                <w:rFonts w:ascii="Times New Roman" w:hAnsi="Times New Roman"/>
                <w:color w:val="000000"/>
                <w:sz w:val="24"/>
                <w:szCs w:val="24"/>
                <w:lang w:val="en-US" w:eastAsia="en-US"/>
              </w:rPr>
              <w:t xml:space="preserve"> uninterrupted movement of goods. The implementation of this project will start in 2021.</w:t>
            </w:r>
          </w:p>
          <w:p w:rsidR="008E1388" w:rsidRPr="002857E6" w:rsidRDefault="00775409" w:rsidP="00505755">
            <w:pPr>
              <w:spacing w:line="240" w:lineRule="auto"/>
              <w:jc w:val="both"/>
              <w:rPr>
                <w:rFonts w:ascii="Times New Roman" w:hAnsi="Times New Roman"/>
                <w:sz w:val="24"/>
                <w:szCs w:val="24"/>
              </w:rPr>
            </w:pPr>
            <w:r w:rsidRPr="002857E6">
              <w:rPr>
                <w:rFonts w:ascii="Times New Roman" w:hAnsi="Times New Roman"/>
                <w:color w:val="000000"/>
                <w:sz w:val="24"/>
                <w:szCs w:val="24"/>
              </w:rPr>
              <w:t>By identifying the needs covered by the Overall Objective, and fulfilling the Specific Objectives of this Action, the Customs Administration will contribute to the priorities of the relevant sector of this thematic priority in line with trade facilitation and innovation/ modernisation, at the same time proving the commitment for sustainable growth of the Country and fulfilling the preconditions for EU accession.</w:t>
            </w:r>
          </w:p>
        </w:tc>
      </w:tr>
      <w:tr w:rsidR="00D92F6C" w:rsidRPr="002857E6" w:rsidTr="008B302D">
        <w:trPr>
          <w:jc w:val="center"/>
        </w:trPr>
        <w:tc>
          <w:tcPr>
            <w:tcW w:w="534" w:type="dxa"/>
            <w:vMerge/>
            <w:tcBorders>
              <w:left w:val="single" w:sz="4" w:space="0" w:color="auto"/>
              <w:bottom w:val="single" w:sz="4" w:space="0" w:color="auto"/>
              <w:right w:val="single" w:sz="4" w:space="0" w:color="auto"/>
            </w:tcBorders>
          </w:tcPr>
          <w:p w:rsidR="00D92F6C" w:rsidRPr="002857E6" w:rsidRDefault="00D92F6C" w:rsidP="008B302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D92F6C" w:rsidP="008B302D">
            <w:pPr>
              <w:rPr>
                <w:rFonts w:ascii="Times New Roman" w:hAnsi="Times New Roman"/>
                <w:sz w:val="24"/>
                <w:szCs w:val="24"/>
              </w:rPr>
            </w:pPr>
            <w:r w:rsidRPr="002857E6">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074669" w:rsidRPr="002857E6" w:rsidRDefault="00F8033D" w:rsidP="000078B0">
            <w:pPr>
              <w:spacing w:before="120" w:after="0" w:line="240" w:lineRule="auto"/>
              <w:jc w:val="both"/>
              <w:rPr>
                <w:rFonts w:ascii="Times New Roman" w:hAnsi="Times New Roman"/>
                <w:color w:val="000000"/>
                <w:sz w:val="24"/>
                <w:szCs w:val="24"/>
                <w:lang w:val="en-US" w:eastAsia="en-US"/>
              </w:rPr>
            </w:pPr>
            <w:r w:rsidRPr="002857E6">
              <w:rPr>
                <w:rFonts w:ascii="Times New Roman" w:hAnsi="Times New Roman"/>
                <w:color w:val="000000"/>
                <w:sz w:val="24"/>
                <w:szCs w:val="24"/>
                <w:lang w:val="en-US" w:eastAsia="en-US"/>
              </w:rPr>
              <w:t>The Action will cover interc</w:t>
            </w:r>
            <w:r w:rsidR="00570467" w:rsidRPr="002857E6">
              <w:rPr>
                <w:rFonts w:ascii="Times New Roman" w:hAnsi="Times New Roman"/>
                <w:color w:val="000000"/>
                <w:sz w:val="24"/>
                <w:szCs w:val="24"/>
                <w:lang w:val="en-US" w:eastAsia="en-US"/>
              </w:rPr>
              <w:t xml:space="preserve">onnectivity with EU IT systems </w:t>
            </w:r>
            <w:r w:rsidRPr="002857E6">
              <w:rPr>
                <w:rFonts w:ascii="Times New Roman" w:hAnsi="Times New Roman"/>
                <w:color w:val="000000"/>
                <w:sz w:val="24"/>
                <w:szCs w:val="24"/>
                <w:lang w:val="en-US" w:eastAsia="en-US"/>
              </w:rPr>
              <w:t xml:space="preserve">and ensure modernization and digitalization in line with EU </w:t>
            </w:r>
            <w:r w:rsidR="00505755" w:rsidRPr="002857E6">
              <w:rPr>
                <w:rFonts w:ascii="Times New Roman" w:hAnsi="Times New Roman"/>
                <w:color w:val="000000"/>
                <w:sz w:val="24"/>
                <w:szCs w:val="24"/>
                <w:lang w:val="en-US" w:eastAsia="en-US"/>
              </w:rPr>
              <w:t xml:space="preserve">directives and best practices. </w:t>
            </w:r>
          </w:p>
          <w:p w:rsidR="00570467" w:rsidRPr="002857E6" w:rsidRDefault="00570467" w:rsidP="000078B0">
            <w:pPr>
              <w:spacing w:before="120" w:after="0" w:line="240" w:lineRule="auto"/>
              <w:jc w:val="both"/>
              <w:rPr>
                <w:rFonts w:ascii="Times New Roman" w:hAnsi="Times New Roman"/>
                <w:sz w:val="24"/>
                <w:szCs w:val="24"/>
                <w:lang w:val="en-US" w:eastAsia="en-US"/>
              </w:rPr>
            </w:pPr>
            <w:r w:rsidRPr="002857E6">
              <w:rPr>
                <w:rFonts w:ascii="Times New Roman" w:hAnsi="Times New Roman"/>
                <w:sz w:val="24"/>
                <w:szCs w:val="24"/>
                <w:lang w:eastAsia="en-US"/>
              </w:rPr>
              <w:t>The investments in trade facilitation and improving the customs procedures and control capacities including putting in place s</w:t>
            </w:r>
            <w:r w:rsidRPr="002857E6">
              <w:rPr>
                <w:rStyle w:val="st"/>
                <w:rFonts w:ascii="Times New Roman" w:eastAsia="Arial Unicode MS" w:hAnsi="Times New Roman"/>
                <w:sz w:val="24"/>
                <w:szCs w:val="24"/>
              </w:rPr>
              <w:t xml:space="preserve">tandard transit procedure </w:t>
            </w:r>
            <w:r w:rsidRPr="002857E6">
              <w:rPr>
                <w:rStyle w:val="Emphasis"/>
                <w:rFonts w:ascii="Times New Roman" w:hAnsi="Times New Roman"/>
                <w:i w:val="0"/>
                <w:iCs w:val="0"/>
                <w:sz w:val="24"/>
                <w:szCs w:val="24"/>
              </w:rPr>
              <w:t xml:space="preserve">NCTS and modern IT capabilities benefit largely the countries in the region and the European economy as whole allowing moving of goods and people across the EU. </w:t>
            </w:r>
            <w:r w:rsidR="000078B0" w:rsidRPr="002857E6">
              <w:rPr>
                <w:rStyle w:val="Emphasis"/>
                <w:rFonts w:ascii="Times New Roman" w:hAnsi="Times New Roman"/>
                <w:i w:val="0"/>
                <w:iCs w:val="0"/>
                <w:sz w:val="24"/>
                <w:szCs w:val="24"/>
              </w:rPr>
              <w:t>T</w:t>
            </w:r>
            <w:r w:rsidRPr="002857E6">
              <w:rPr>
                <w:rFonts w:ascii="Times New Roman" w:hAnsi="Times New Roman"/>
                <w:sz w:val="24"/>
                <w:szCs w:val="24"/>
                <w:lang w:val="en-US"/>
              </w:rPr>
              <w:t>he New Computerised Transi</w:t>
            </w:r>
            <w:r w:rsidR="000078B0" w:rsidRPr="002857E6">
              <w:rPr>
                <w:rFonts w:ascii="Times New Roman" w:hAnsi="Times New Roman"/>
                <w:sz w:val="24"/>
                <w:szCs w:val="24"/>
                <w:lang w:val="en-US"/>
              </w:rPr>
              <w:t xml:space="preserve">t System (NCTS) and procedures </w:t>
            </w:r>
            <w:r w:rsidRPr="002857E6">
              <w:rPr>
                <w:rFonts w:ascii="Times New Roman" w:hAnsi="Times New Roman"/>
                <w:sz w:val="24"/>
                <w:szCs w:val="24"/>
                <w:lang w:val="en-US"/>
              </w:rPr>
              <w:t>will ensure fully electronic environment and paperless customs procedure</w:t>
            </w:r>
            <w:r w:rsidR="000078B0" w:rsidRPr="002857E6">
              <w:rPr>
                <w:rFonts w:ascii="Times New Roman" w:hAnsi="Times New Roman"/>
                <w:sz w:val="24"/>
                <w:szCs w:val="24"/>
                <w:lang w:val="en-US"/>
              </w:rPr>
              <w:t>, which is</w:t>
            </w:r>
            <w:r w:rsidRPr="002857E6">
              <w:rPr>
                <w:rFonts w:ascii="Times New Roman" w:hAnsi="Times New Roman"/>
                <w:sz w:val="24"/>
                <w:szCs w:val="24"/>
                <w:lang w:val="en-US"/>
              </w:rPr>
              <w:t xml:space="preserve"> swifter and more transparent. The use of NCTS significantly shortens the time for completion of transit operations and enables faster and cheaper movement of goods across borders. </w:t>
            </w:r>
            <w:r w:rsidR="00FE563B" w:rsidRPr="002857E6">
              <w:rPr>
                <w:rFonts w:ascii="Times New Roman" w:hAnsi="Times New Roman"/>
                <w:sz w:val="24"/>
                <w:szCs w:val="24"/>
                <w:lang w:val="en-US"/>
              </w:rPr>
              <w:t xml:space="preserve">The </w:t>
            </w:r>
            <w:r w:rsidR="00FE563B" w:rsidRPr="002857E6">
              <w:rPr>
                <w:rFonts w:ascii="Times New Roman" w:hAnsi="Times New Roman"/>
                <w:color w:val="000000"/>
                <w:sz w:val="24"/>
                <w:szCs w:val="24"/>
                <w:lang w:val="en-US" w:eastAsia="en-US"/>
              </w:rPr>
              <w:t>upgrade of two key border crossing points with the EU and putting in place of one-stop-shop procedures will further support the mobility of goods and people across Europe and the region.</w:t>
            </w:r>
          </w:p>
        </w:tc>
      </w:tr>
      <w:tr w:rsidR="00D92F6C" w:rsidRPr="002857E6"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2857E6" w:rsidRDefault="00D92F6C" w:rsidP="008B302D">
            <w:pPr>
              <w:rPr>
                <w:rFonts w:ascii="Times New Roman" w:hAnsi="Times New Roman"/>
                <w:sz w:val="24"/>
                <w:szCs w:val="24"/>
              </w:rPr>
            </w:pPr>
            <w:r w:rsidRPr="002857E6">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B6E58" w:rsidRPr="002857E6" w:rsidRDefault="00C6650E" w:rsidP="009B6E58">
            <w:pPr>
              <w:spacing w:after="120" w:line="240" w:lineRule="auto"/>
              <w:jc w:val="both"/>
              <w:rPr>
                <w:rFonts w:ascii="Times New Roman" w:hAnsi="Times New Roman"/>
                <w:iCs/>
                <w:sz w:val="24"/>
                <w:szCs w:val="24"/>
              </w:rPr>
            </w:pPr>
            <w:r w:rsidRPr="002857E6">
              <w:rPr>
                <w:rFonts w:ascii="Times New Roman" w:hAnsi="Times New Roman"/>
                <w:iCs/>
                <w:sz w:val="24"/>
                <w:szCs w:val="24"/>
              </w:rPr>
              <w:t>Total</w:t>
            </w:r>
            <w:r w:rsidR="000E5170" w:rsidRPr="002857E6">
              <w:rPr>
                <w:rFonts w:ascii="Times New Roman" w:hAnsi="Times New Roman"/>
                <w:iCs/>
                <w:sz w:val="24"/>
                <w:szCs w:val="24"/>
              </w:rPr>
              <w:t xml:space="preserve"> budget</w:t>
            </w:r>
            <w:r w:rsidR="001E4D0E" w:rsidRPr="002857E6">
              <w:rPr>
                <w:rFonts w:ascii="Times New Roman" w:hAnsi="Times New Roman"/>
                <w:iCs/>
                <w:sz w:val="24"/>
                <w:szCs w:val="24"/>
              </w:rPr>
              <w:t>:</w:t>
            </w:r>
            <w:r w:rsidRPr="002857E6">
              <w:rPr>
                <w:rFonts w:ascii="Times New Roman" w:hAnsi="Times New Roman"/>
                <w:iCs/>
                <w:sz w:val="24"/>
                <w:szCs w:val="24"/>
              </w:rPr>
              <w:t xml:space="preserve"> </w:t>
            </w:r>
            <w:r w:rsidR="000E5170" w:rsidRPr="002857E6">
              <w:rPr>
                <w:rFonts w:ascii="Times New Roman" w:hAnsi="Times New Roman"/>
                <w:bCs/>
                <w:iCs/>
                <w:sz w:val="24"/>
                <w:szCs w:val="24"/>
              </w:rPr>
              <w:t>EUR</w:t>
            </w:r>
            <w:r w:rsidR="000E5170" w:rsidRPr="002857E6">
              <w:rPr>
                <w:rFonts w:ascii="Times New Roman" w:hAnsi="Times New Roman"/>
                <w:iCs/>
                <w:sz w:val="24"/>
                <w:szCs w:val="24"/>
              </w:rPr>
              <w:t xml:space="preserve"> </w:t>
            </w:r>
            <w:r w:rsidR="00B73262" w:rsidRPr="002857E6">
              <w:rPr>
                <w:rFonts w:ascii="Times New Roman" w:hAnsi="Times New Roman"/>
                <w:bCs/>
                <w:iCs/>
                <w:sz w:val="24"/>
                <w:szCs w:val="24"/>
              </w:rPr>
              <w:t>8,100</w:t>
            </w:r>
            <w:r w:rsidR="000E5170" w:rsidRPr="002857E6">
              <w:rPr>
                <w:rFonts w:ascii="Times New Roman" w:hAnsi="Times New Roman"/>
                <w:bCs/>
                <w:iCs/>
                <w:sz w:val="24"/>
                <w:szCs w:val="24"/>
              </w:rPr>
              <w:t>,000</w:t>
            </w:r>
            <w:r w:rsidR="001E4D0E" w:rsidRPr="002857E6">
              <w:rPr>
                <w:rFonts w:ascii="Times New Roman" w:hAnsi="Times New Roman"/>
                <w:bCs/>
                <w:iCs/>
                <w:sz w:val="24"/>
                <w:szCs w:val="24"/>
              </w:rPr>
              <w:t xml:space="preserve"> </w:t>
            </w:r>
          </w:p>
          <w:p w:rsidR="00D92F6C" w:rsidRPr="002857E6" w:rsidRDefault="00C6650E" w:rsidP="008717B8">
            <w:pPr>
              <w:spacing w:after="120" w:line="240" w:lineRule="auto"/>
              <w:jc w:val="both"/>
              <w:rPr>
                <w:rFonts w:ascii="Times New Roman" w:hAnsi="Times New Roman"/>
                <w:iCs/>
                <w:sz w:val="24"/>
                <w:szCs w:val="24"/>
              </w:rPr>
            </w:pPr>
            <w:r w:rsidRPr="002857E6">
              <w:rPr>
                <w:rFonts w:ascii="Times New Roman" w:hAnsi="Times New Roman"/>
                <w:iCs/>
                <w:sz w:val="24"/>
                <w:szCs w:val="24"/>
              </w:rPr>
              <w:t>EU funding</w:t>
            </w:r>
            <w:r w:rsidR="001E4D0E" w:rsidRPr="002857E6">
              <w:rPr>
                <w:rFonts w:ascii="Times New Roman" w:hAnsi="Times New Roman"/>
                <w:iCs/>
                <w:sz w:val="24"/>
                <w:szCs w:val="24"/>
              </w:rPr>
              <w:t>:</w:t>
            </w:r>
            <w:r w:rsidRPr="002857E6">
              <w:rPr>
                <w:rFonts w:ascii="Times New Roman" w:hAnsi="Times New Roman"/>
                <w:iCs/>
                <w:sz w:val="24"/>
                <w:szCs w:val="24"/>
              </w:rPr>
              <w:t xml:space="preserve"> </w:t>
            </w:r>
            <w:r w:rsidR="000E5170" w:rsidRPr="002857E6">
              <w:rPr>
                <w:rFonts w:ascii="Times New Roman" w:hAnsi="Times New Roman"/>
                <w:iCs/>
                <w:sz w:val="24"/>
                <w:szCs w:val="24"/>
              </w:rPr>
              <w:t xml:space="preserve">EUR </w:t>
            </w:r>
            <w:r w:rsidR="001E4D0E" w:rsidRPr="002857E6">
              <w:rPr>
                <w:rFonts w:ascii="Times New Roman" w:hAnsi="Times New Roman"/>
                <w:iCs/>
                <w:sz w:val="24"/>
                <w:szCs w:val="24"/>
              </w:rPr>
              <w:t>5</w:t>
            </w:r>
            <w:r w:rsidR="000E5170" w:rsidRPr="002857E6">
              <w:rPr>
                <w:rFonts w:ascii="Times New Roman" w:hAnsi="Times New Roman"/>
                <w:iCs/>
                <w:sz w:val="24"/>
                <w:szCs w:val="24"/>
              </w:rPr>
              <w:t>,</w:t>
            </w:r>
            <w:r w:rsidR="00B73262" w:rsidRPr="002857E6">
              <w:rPr>
                <w:rFonts w:ascii="Times New Roman" w:hAnsi="Times New Roman"/>
                <w:iCs/>
                <w:sz w:val="24"/>
                <w:szCs w:val="24"/>
              </w:rPr>
              <w:t>8</w:t>
            </w:r>
            <w:r w:rsidR="000E5170" w:rsidRPr="002857E6">
              <w:rPr>
                <w:rFonts w:ascii="Times New Roman" w:hAnsi="Times New Roman"/>
                <w:iCs/>
                <w:sz w:val="24"/>
                <w:szCs w:val="24"/>
              </w:rPr>
              <w:t>00,000</w:t>
            </w:r>
            <w:r w:rsidR="005F5A43" w:rsidRPr="002857E6">
              <w:rPr>
                <w:rFonts w:ascii="Times New Roman" w:hAnsi="Times New Roman"/>
                <w:iCs/>
                <w:sz w:val="24"/>
                <w:szCs w:val="24"/>
              </w:rPr>
              <w:t xml:space="preserve"> </w:t>
            </w:r>
          </w:p>
          <w:p w:rsidR="00237F90" w:rsidRPr="002857E6" w:rsidRDefault="00237F90" w:rsidP="000E5170">
            <w:pPr>
              <w:spacing w:after="120" w:line="240" w:lineRule="auto"/>
              <w:jc w:val="both"/>
              <w:rPr>
                <w:rFonts w:ascii="Times New Roman" w:hAnsi="Times New Roman"/>
                <w:bCs/>
                <w:sz w:val="24"/>
                <w:szCs w:val="24"/>
              </w:rPr>
            </w:pPr>
            <w:r w:rsidRPr="002857E6">
              <w:rPr>
                <w:rFonts w:ascii="Times New Roman" w:hAnsi="Times New Roman"/>
                <w:bCs/>
                <w:sz w:val="24"/>
                <w:szCs w:val="24"/>
              </w:rPr>
              <w:t xml:space="preserve">National Funding: </w:t>
            </w:r>
            <w:r w:rsidR="000E5170" w:rsidRPr="002857E6">
              <w:rPr>
                <w:rFonts w:ascii="Times New Roman" w:hAnsi="Times New Roman"/>
                <w:bCs/>
                <w:sz w:val="24"/>
                <w:szCs w:val="24"/>
              </w:rPr>
              <w:t xml:space="preserve">EUR </w:t>
            </w:r>
            <w:r w:rsidR="000E5170" w:rsidRPr="002857E6">
              <w:rPr>
                <w:rFonts w:ascii="Times New Roman" w:hAnsi="Times New Roman"/>
                <w:sz w:val="24"/>
                <w:szCs w:val="24"/>
              </w:rPr>
              <w:t>2,</w:t>
            </w:r>
            <w:r w:rsidRPr="002857E6">
              <w:rPr>
                <w:rFonts w:ascii="Times New Roman" w:hAnsi="Times New Roman"/>
                <w:sz w:val="24"/>
                <w:szCs w:val="24"/>
              </w:rPr>
              <w:t>3</w:t>
            </w:r>
            <w:r w:rsidR="000E5170" w:rsidRPr="002857E6">
              <w:rPr>
                <w:rFonts w:ascii="Times New Roman" w:hAnsi="Times New Roman"/>
                <w:sz w:val="24"/>
                <w:szCs w:val="24"/>
              </w:rPr>
              <w:t xml:space="preserve">00,000 </w:t>
            </w:r>
            <w:r w:rsidRPr="002857E6">
              <w:rPr>
                <w:rFonts w:ascii="Times New Roman" w:hAnsi="Times New Roman"/>
                <w:sz w:val="24"/>
                <w:szCs w:val="24"/>
              </w:rPr>
              <w:t xml:space="preserve"> </w:t>
            </w:r>
          </w:p>
        </w:tc>
      </w:tr>
      <w:tr w:rsidR="00D92F6C" w:rsidRPr="002857E6"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2857E6" w:rsidRDefault="00D92F6C" w:rsidP="008B302D">
            <w:pPr>
              <w:rPr>
                <w:rFonts w:ascii="Times New Roman" w:hAnsi="Times New Roman"/>
                <w:sz w:val="24"/>
                <w:szCs w:val="24"/>
              </w:rPr>
            </w:pPr>
            <w:r w:rsidRPr="002857E6">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B02B9" w:rsidRPr="002857E6" w:rsidRDefault="00C6650E" w:rsidP="0028288B">
            <w:pPr>
              <w:spacing w:after="120" w:line="240" w:lineRule="auto"/>
              <w:jc w:val="both"/>
              <w:rPr>
                <w:rFonts w:ascii="Times New Roman" w:hAnsi="Times New Roman"/>
                <w:i/>
                <w:sz w:val="24"/>
                <w:szCs w:val="24"/>
              </w:rPr>
            </w:pPr>
            <w:r w:rsidRPr="002857E6">
              <w:rPr>
                <w:rFonts w:ascii="Times New Roman" w:hAnsi="Times New Roman"/>
                <w:iCs/>
                <w:sz w:val="24"/>
                <w:szCs w:val="24"/>
              </w:rPr>
              <w:t xml:space="preserve">The Action is implemented under </w:t>
            </w:r>
            <w:r w:rsidRPr="002857E6">
              <w:rPr>
                <w:rFonts w:ascii="Times New Roman" w:hAnsi="Times New Roman"/>
                <w:bCs/>
                <w:iCs/>
                <w:sz w:val="24"/>
                <w:szCs w:val="24"/>
              </w:rPr>
              <w:t>Direct Management</w:t>
            </w:r>
            <w:r w:rsidRPr="002857E6">
              <w:rPr>
                <w:rFonts w:ascii="Times New Roman" w:hAnsi="Times New Roman"/>
                <w:iCs/>
                <w:sz w:val="24"/>
                <w:szCs w:val="24"/>
              </w:rPr>
              <w:t xml:space="preserve">, </w:t>
            </w:r>
            <w:r w:rsidR="007A700C" w:rsidRPr="002857E6">
              <w:rPr>
                <w:rFonts w:ascii="Times New Roman" w:hAnsi="Times New Roman"/>
                <w:iCs/>
                <w:sz w:val="24"/>
                <w:szCs w:val="24"/>
              </w:rPr>
              <w:t xml:space="preserve">and </w:t>
            </w:r>
            <w:r w:rsidRPr="002857E6">
              <w:rPr>
                <w:rFonts w:ascii="Times New Roman" w:hAnsi="Times New Roman"/>
                <w:iCs/>
                <w:sz w:val="24"/>
                <w:szCs w:val="24"/>
              </w:rPr>
              <w:t xml:space="preserve">entails procurement </w:t>
            </w:r>
            <w:r w:rsidR="007A700C" w:rsidRPr="002857E6">
              <w:rPr>
                <w:rFonts w:ascii="Times New Roman" w:hAnsi="Times New Roman"/>
                <w:iCs/>
                <w:sz w:val="24"/>
                <w:szCs w:val="24"/>
              </w:rPr>
              <w:t xml:space="preserve">of </w:t>
            </w:r>
            <w:r w:rsidRPr="002857E6">
              <w:rPr>
                <w:rFonts w:ascii="Times New Roman" w:hAnsi="Times New Roman"/>
                <w:iCs/>
                <w:sz w:val="24"/>
                <w:szCs w:val="24"/>
              </w:rPr>
              <w:t>service, supply and works contracts.</w:t>
            </w:r>
          </w:p>
        </w:tc>
      </w:tr>
      <w:tr w:rsidR="00D92F6C" w:rsidRPr="002857E6" w:rsidTr="00505755">
        <w:trPr>
          <w:trHeight w:val="744"/>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2857E6" w:rsidRDefault="00D92F6C" w:rsidP="000E5170">
            <w:pPr>
              <w:rPr>
                <w:rFonts w:ascii="Times New Roman" w:hAnsi="Times New Roman"/>
                <w:sz w:val="24"/>
                <w:szCs w:val="24"/>
              </w:rPr>
            </w:pPr>
            <w:r w:rsidRPr="002857E6">
              <w:rPr>
                <w:rFonts w:ascii="Times New Roman" w:hAnsi="Times New Roman"/>
                <w:sz w:val="24"/>
                <w:szCs w:val="24"/>
              </w:rPr>
              <w:lastRenderedPageBreak/>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2857E6" w:rsidRDefault="00AD107F" w:rsidP="008B302D">
            <w:pPr>
              <w:spacing w:after="120" w:line="240" w:lineRule="auto"/>
              <w:jc w:val="both"/>
              <w:rPr>
                <w:rFonts w:ascii="Times New Roman" w:hAnsi="Times New Roman"/>
                <w:i/>
                <w:sz w:val="24"/>
                <w:szCs w:val="24"/>
              </w:rPr>
            </w:pPr>
            <w:r w:rsidRPr="002857E6">
              <w:rPr>
                <w:rFonts w:ascii="Times New Roman" w:hAnsi="Times New Roman"/>
                <w:iCs/>
                <w:sz w:val="24"/>
                <w:szCs w:val="24"/>
              </w:rPr>
              <w:t>Not applicable</w:t>
            </w:r>
          </w:p>
        </w:tc>
      </w:tr>
    </w:tbl>
    <w:p w:rsidR="00D92F6C" w:rsidRPr="002857E6" w:rsidRDefault="00D92F6C" w:rsidP="00D92F6C">
      <w:pPr>
        <w:spacing w:after="0" w:line="240" w:lineRule="auto"/>
        <w:jc w:val="both"/>
        <w:rPr>
          <w:rFonts w:ascii="Times New Roman" w:hAnsi="Times New Roman"/>
          <w:i/>
          <w:sz w:val="24"/>
          <w:szCs w:val="24"/>
        </w:rPr>
        <w:sectPr w:rsidR="00D92F6C" w:rsidRPr="002857E6">
          <w:pgSz w:w="11906" w:h="16838"/>
          <w:pgMar w:top="1440" w:right="1440" w:bottom="1440" w:left="1440" w:header="708" w:footer="708" w:gutter="0"/>
          <w:cols w:space="708"/>
          <w:docGrid w:linePitch="360"/>
        </w:sectPr>
      </w:pPr>
    </w:p>
    <w:p w:rsidR="002857E6" w:rsidRPr="002857E6" w:rsidRDefault="002857E6" w:rsidP="002857E6">
      <w:pPr>
        <w:rPr>
          <w:rFonts w:ascii="Times New Roman" w:hAnsi="Times New Roman"/>
        </w:rPr>
      </w:pPr>
      <w:r w:rsidRPr="002857E6">
        <w:rPr>
          <w:rFonts w:ascii="Times New Roman" w:hAnsi="Times New Roman"/>
          <w:b/>
          <w:bCs/>
          <w:smallCaps/>
          <w:sz w:val="24"/>
          <w:szCs w:val="20"/>
          <w:lang w:val="fr-FR"/>
        </w:rPr>
        <w:lastRenderedPageBreak/>
        <w:t xml:space="preserve">LOGICAL FRAMEWORK MATRIX </w:t>
      </w:r>
    </w:p>
    <w:tbl>
      <w:tblPr>
        <w:tblW w:w="15863"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2521"/>
        <w:gridCol w:w="3327"/>
        <w:gridCol w:w="2091"/>
        <w:gridCol w:w="1335"/>
        <w:gridCol w:w="2416"/>
        <w:gridCol w:w="2084"/>
        <w:gridCol w:w="2062"/>
        <w:gridCol w:w="27"/>
      </w:tblGrid>
      <w:tr w:rsidR="002857E6" w:rsidRPr="002857E6" w:rsidTr="002857E6">
        <w:trPr>
          <w:gridAfter w:val="1"/>
          <w:wAfter w:w="27" w:type="dxa"/>
          <w:trHeight w:val="1145"/>
        </w:trPr>
        <w:tc>
          <w:tcPr>
            <w:tcW w:w="2521" w:type="dxa"/>
            <w:shd w:val="clear" w:color="auto" w:fill="FFFFFF"/>
            <w:vAlign w:val="center"/>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OVERALL OBJECTIVE(S) / (IMPACT(S))</w:t>
            </w:r>
          </w:p>
        </w:tc>
        <w:tc>
          <w:tcPr>
            <w:tcW w:w="3327" w:type="dxa"/>
            <w:shd w:val="clear" w:color="auto" w:fill="FFFFFF"/>
            <w:vAlign w:val="center"/>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OBJECTIVELY VERIFIABLE INDICATORS</w:t>
            </w:r>
          </w:p>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rPr>
              <w:t>Quantitative and/or qualitative variables providing a simple and reliable mean to measure the achievement of the corresponding expected result (i.e. outputs, outcomes, impacts). Indicators should have a clear measurement unit and be formulated in a neutral way.</w:t>
            </w:r>
          </w:p>
        </w:tc>
        <w:tc>
          <w:tcPr>
            <w:tcW w:w="2091" w:type="dxa"/>
            <w:shd w:val="clear" w:color="auto" w:fill="FFFFFF"/>
            <w:vAlign w:val="center"/>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BASELINES </w:t>
            </w:r>
          </w:p>
          <w:p w:rsidR="002857E6" w:rsidRPr="002857E6" w:rsidRDefault="002857E6" w:rsidP="00D47F36">
            <w:pPr>
              <w:shd w:val="clear" w:color="auto" w:fill="FFFFFF"/>
              <w:spacing w:after="0" w:line="240" w:lineRule="auto"/>
              <w:jc w:val="both"/>
              <w:rPr>
                <w:rFonts w:ascii="Times New Roman" w:hAnsi="Times New Roman"/>
                <w:b/>
              </w:rPr>
            </w:pPr>
            <w:r w:rsidRPr="002857E6">
              <w:rPr>
                <w:rFonts w:ascii="Times New Roman" w:hAnsi="Times New Roman"/>
                <w:b/>
              </w:rPr>
              <w:t>(INCL. VALUE &amp; REFERENCE YEAR</w:t>
            </w:r>
            <w:r w:rsidRPr="002857E6">
              <w:rPr>
                <w:rStyle w:val="FootnoteReference"/>
                <w:rFonts w:ascii="Times New Roman" w:hAnsi="Times New Roman"/>
              </w:rPr>
              <w:footnoteRef/>
            </w:r>
            <w:r w:rsidRPr="002857E6">
              <w:rPr>
                <w:rFonts w:ascii="Times New Roman" w:hAnsi="Times New Roman"/>
                <w:b/>
              </w:rPr>
              <w:t>)</w:t>
            </w:r>
          </w:p>
        </w:tc>
        <w:tc>
          <w:tcPr>
            <w:tcW w:w="1335"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p>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MILESTONES </w:t>
            </w:r>
          </w:p>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[OPTIONAL]</w:t>
            </w:r>
          </w:p>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(INCL. VALUE &amp; REFERENCE YEAR )</w:t>
            </w:r>
          </w:p>
        </w:tc>
        <w:tc>
          <w:tcPr>
            <w:tcW w:w="2416" w:type="dxa"/>
            <w:shd w:val="clear" w:color="auto" w:fill="FFFFFF"/>
            <w:vAlign w:val="center"/>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TARGETS </w:t>
            </w:r>
          </w:p>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(INCL. VALUE &amp; REFERENCE YEAR)</w:t>
            </w:r>
          </w:p>
        </w:tc>
        <w:tc>
          <w:tcPr>
            <w:tcW w:w="2084" w:type="dxa"/>
            <w:shd w:val="clear" w:color="auto" w:fill="FFFFFF"/>
            <w:vAlign w:val="center"/>
          </w:tcPr>
          <w:p w:rsidR="002857E6" w:rsidRPr="002857E6" w:rsidRDefault="002857E6" w:rsidP="00D47F36">
            <w:pPr>
              <w:shd w:val="clear" w:color="auto" w:fill="FFFFFF"/>
              <w:spacing w:after="0" w:line="240" w:lineRule="auto"/>
              <w:jc w:val="center"/>
              <w:rPr>
                <w:rFonts w:ascii="Times New Roman" w:hAnsi="Times New Roman"/>
              </w:rPr>
            </w:pPr>
            <w:r w:rsidRPr="002857E6">
              <w:rPr>
                <w:rFonts w:ascii="Times New Roman" w:hAnsi="Times New Roman"/>
                <w:b/>
              </w:rPr>
              <w:t>SOURCES &amp; MEANS OF VERIFICATION</w:t>
            </w:r>
          </w:p>
        </w:tc>
        <w:tc>
          <w:tcPr>
            <w:tcW w:w="2062" w:type="dxa"/>
            <w:vMerge w:val="restart"/>
            <w:tcBorders>
              <w:top w:val="nil"/>
              <w:right w:val="nil"/>
            </w:tcBorders>
            <w:shd w:val="clear" w:color="auto" w:fill="FFFFFF"/>
          </w:tcPr>
          <w:p w:rsidR="002857E6" w:rsidRPr="002857E6" w:rsidRDefault="002857E6" w:rsidP="00D47F36">
            <w:pPr>
              <w:shd w:val="clear" w:color="auto" w:fill="FFFFFF"/>
              <w:spacing w:after="0" w:line="240" w:lineRule="auto"/>
              <w:rPr>
                <w:rFonts w:ascii="Times New Roman" w:hAnsi="Times New Roman"/>
              </w:rPr>
            </w:pPr>
          </w:p>
        </w:tc>
      </w:tr>
      <w:tr w:rsidR="002857E6" w:rsidRPr="002857E6" w:rsidTr="002857E6">
        <w:trPr>
          <w:gridAfter w:val="1"/>
          <w:wAfter w:w="27" w:type="dxa"/>
          <w:trHeight w:val="908"/>
        </w:trPr>
        <w:tc>
          <w:tcPr>
            <w:tcW w:w="2521" w:type="dxa"/>
            <w:shd w:val="clear" w:color="auto" w:fill="FFFFFF"/>
          </w:tcPr>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b/>
              </w:rPr>
              <w:t>OVERALL OBJECTIVE:</w:t>
            </w: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To facilitate, modernise and strengthen international trade through North Macedonia and bring the country closer to the EU customs union.</w:t>
            </w:r>
          </w:p>
        </w:tc>
        <w:tc>
          <w:tcPr>
            <w:tcW w:w="3327" w:type="dxa"/>
            <w:shd w:val="clear" w:color="auto" w:fill="FFFFFF"/>
          </w:tcPr>
          <w:p w:rsidR="002857E6" w:rsidRPr="002857E6" w:rsidRDefault="002857E6" w:rsidP="00D47F36">
            <w:pPr>
              <w:shd w:val="clear" w:color="auto" w:fill="FFFFFF"/>
              <w:spacing w:after="0" w:line="240" w:lineRule="auto"/>
              <w:rPr>
                <w:rFonts w:ascii="Times New Roman" w:hAnsi="Times New Roman"/>
                <w:highlight w:val="red"/>
              </w:rPr>
            </w:pPr>
          </w:p>
          <w:p w:rsidR="002857E6" w:rsidRPr="002857E6" w:rsidRDefault="002857E6" w:rsidP="00D47F36">
            <w:pPr>
              <w:spacing w:after="0" w:line="240" w:lineRule="auto"/>
              <w:rPr>
                <w:rFonts w:ascii="Times New Roman" w:hAnsi="Times New Roman"/>
              </w:rPr>
            </w:pPr>
            <w:r w:rsidRPr="002857E6">
              <w:rPr>
                <w:rFonts w:ascii="Times New Roman" w:hAnsi="Times New Roman"/>
              </w:rPr>
              <w:t>LPI - Customs</w:t>
            </w:r>
          </w:p>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r w:rsidRPr="002857E6">
              <w:rPr>
                <w:rFonts w:ascii="Times New Roman" w:hAnsi="Times New Roman"/>
              </w:rPr>
              <w:t>Alignment to the EU Transit Connectivity system</w:t>
            </w:r>
          </w:p>
          <w:p w:rsidR="002857E6" w:rsidRPr="002857E6" w:rsidRDefault="002857E6" w:rsidP="00D47F36">
            <w:pPr>
              <w:shd w:val="clear" w:color="auto" w:fill="FFFFFF"/>
              <w:spacing w:after="0" w:line="240" w:lineRule="auto"/>
              <w:rPr>
                <w:rFonts w:ascii="Times New Roman" w:hAnsi="Times New Roman"/>
                <w:highlight w:val="red"/>
              </w:rPr>
            </w:pPr>
          </w:p>
        </w:tc>
        <w:tc>
          <w:tcPr>
            <w:tcW w:w="2091"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2.45 (2018)</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NCTS 4 (2020)</w:t>
            </w:r>
          </w:p>
          <w:p w:rsidR="002857E6" w:rsidRPr="002857E6" w:rsidRDefault="002857E6" w:rsidP="00D47F36">
            <w:pPr>
              <w:shd w:val="clear" w:color="auto" w:fill="FFFFFF"/>
              <w:spacing w:after="0" w:line="240" w:lineRule="auto"/>
              <w:rPr>
                <w:rFonts w:ascii="Times New Roman" w:hAnsi="Times New Roman"/>
                <w:highlight w:val="red"/>
              </w:rPr>
            </w:pPr>
          </w:p>
        </w:tc>
        <w:tc>
          <w:tcPr>
            <w:tcW w:w="1335" w:type="dxa"/>
            <w:shd w:val="clear" w:color="auto" w:fill="FFFFFF"/>
          </w:tcPr>
          <w:p w:rsidR="002857E6" w:rsidRPr="002857E6" w:rsidRDefault="002857E6" w:rsidP="00D47F36">
            <w:pPr>
              <w:shd w:val="clear" w:color="auto" w:fill="FFFFFF"/>
              <w:spacing w:after="0" w:line="240" w:lineRule="auto"/>
              <w:rPr>
                <w:rFonts w:ascii="Times New Roman" w:hAnsi="Times New Roman"/>
                <w:highlight w:val="red"/>
              </w:rPr>
            </w:pPr>
          </w:p>
        </w:tc>
        <w:tc>
          <w:tcPr>
            <w:tcW w:w="2416" w:type="dxa"/>
            <w:shd w:val="clear" w:color="auto" w:fill="FFFFFF"/>
          </w:tcPr>
          <w:p w:rsidR="002857E6" w:rsidRPr="002857E6" w:rsidRDefault="002857E6" w:rsidP="00D47F36">
            <w:pPr>
              <w:shd w:val="clear" w:color="auto" w:fill="FFFFFF"/>
              <w:spacing w:after="0" w:line="240" w:lineRule="auto"/>
              <w:rPr>
                <w:rFonts w:ascii="Times New Roman" w:hAnsi="Times New Roman"/>
                <w:highlight w:val="red"/>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3.5 (2026)</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NCTS 5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highlight w:val="red"/>
              </w:rPr>
            </w:pPr>
          </w:p>
        </w:tc>
        <w:tc>
          <w:tcPr>
            <w:tcW w:w="2084" w:type="dxa"/>
            <w:shd w:val="clear" w:color="auto" w:fill="FFFFFF"/>
          </w:tcPr>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LPI Website</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Annual Customs report</w:t>
            </w:r>
          </w:p>
          <w:p w:rsidR="002857E6" w:rsidRPr="002857E6" w:rsidRDefault="002857E6" w:rsidP="00D47F36">
            <w:pPr>
              <w:spacing w:after="0" w:line="240" w:lineRule="auto"/>
              <w:rPr>
                <w:rFonts w:ascii="Times New Roman" w:hAnsi="Times New Roman"/>
              </w:rPr>
            </w:pPr>
          </w:p>
        </w:tc>
        <w:tc>
          <w:tcPr>
            <w:tcW w:w="2062" w:type="dxa"/>
            <w:vMerge/>
            <w:tcBorders>
              <w:right w:val="nil"/>
            </w:tcBorders>
            <w:shd w:val="clear" w:color="auto" w:fill="FFFFFF"/>
          </w:tcPr>
          <w:p w:rsidR="002857E6" w:rsidRPr="002857E6" w:rsidRDefault="002857E6" w:rsidP="00D47F36">
            <w:pPr>
              <w:shd w:val="clear" w:color="auto" w:fill="FFFFFF"/>
              <w:spacing w:after="0" w:line="240" w:lineRule="auto"/>
              <w:rPr>
                <w:rFonts w:ascii="Times New Roman" w:hAnsi="Times New Roman"/>
              </w:rPr>
            </w:pPr>
          </w:p>
        </w:tc>
      </w:tr>
      <w:tr w:rsidR="002857E6" w:rsidRPr="002857E6" w:rsidTr="002857E6">
        <w:trPr>
          <w:gridAfter w:val="1"/>
          <w:wAfter w:w="27" w:type="dxa"/>
          <w:trHeight w:val="189"/>
        </w:trPr>
        <w:tc>
          <w:tcPr>
            <w:tcW w:w="2521" w:type="dxa"/>
            <w:shd w:val="clear" w:color="auto" w:fill="FFFFFF"/>
          </w:tcPr>
          <w:p w:rsidR="002857E6" w:rsidRPr="002857E6" w:rsidRDefault="002857E6" w:rsidP="00D47F36">
            <w:pPr>
              <w:numPr>
                <w:ilvl w:val="12"/>
                <w:numId w:val="0"/>
              </w:numPr>
              <w:shd w:val="clear" w:color="auto" w:fill="FFFFFF"/>
              <w:spacing w:after="0" w:line="240" w:lineRule="auto"/>
              <w:jc w:val="center"/>
              <w:rPr>
                <w:rFonts w:ascii="Times New Roman" w:hAnsi="Times New Roman"/>
              </w:rPr>
            </w:pPr>
            <w:r w:rsidRPr="002857E6">
              <w:rPr>
                <w:rFonts w:ascii="Times New Roman" w:hAnsi="Times New Roman"/>
                <w:b/>
              </w:rPr>
              <w:t>SPECIFIC OBJECTIVE(S) / OUTCOME(S)</w:t>
            </w:r>
          </w:p>
        </w:tc>
        <w:tc>
          <w:tcPr>
            <w:tcW w:w="3327"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rPr>
            </w:pPr>
            <w:r w:rsidRPr="002857E6">
              <w:rPr>
                <w:rFonts w:ascii="Times New Roman" w:hAnsi="Times New Roman"/>
                <w:b/>
              </w:rPr>
              <w:t>OBJECTIVELY VERIFIABLE INDICATORS (*)</w:t>
            </w:r>
          </w:p>
        </w:tc>
        <w:tc>
          <w:tcPr>
            <w:tcW w:w="2091"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BASELINES </w:t>
            </w:r>
          </w:p>
        </w:tc>
        <w:tc>
          <w:tcPr>
            <w:tcW w:w="1335"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MILESTONES </w:t>
            </w:r>
          </w:p>
          <w:p w:rsidR="002857E6" w:rsidRPr="002857E6" w:rsidRDefault="002857E6" w:rsidP="00D47F36">
            <w:pPr>
              <w:shd w:val="clear" w:color="auto" w:fill="FFFFFF"/>
              <w:spacing w:after="0" w:line="240" w:lineRule="auto"/>
              <w:jc w:val="center"/>
              <w:rPr>
                <w:rFonts w:ascii="Times New Roman" w:hAnsi="Times New Roman"/>
                <w:b/>
              </w:rPr>
            </w:pPr>
          </w:p>
        </w:tc>
        <w:tc>
          <w:tcPr>
            <w:tcW w:w="2416"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TARGETS </w:t>
            </w:r>
          </w:p>
          <w:p w:rsidR="002857E6" w:rsidRPr="002857E6" w:rsidRDefault="002857E6" w:rsidP="00D47F36">
            <w:pPr>
              <w:shd w:val="clear" w:color="auto" w:fill="FFFFFF"/>
              <w:spacing w:after="0" w:line="240" w:lineRule="auto"/>
              <w:jc w:val="center"/>
              <w:rPr>
                <w:rFonts w:ascii="Times New Roman" w:hAnsi="Times New Roman"/>
                <w:b/>
              </w:rPr>
            </w:pPr>
          </w:p>
        </w:tc>
        <w:tc>
          <w:tcPr>
            <w:tcW w:w="2084"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rPr>
            </w:pPr>
            <w:r w:rsidRPr="002857E6">
              <w:rPr>
                <w:rFonts w:ascii="Times New Roman" w:hAnsi="Times New Roman"/>
                <w:b/>
              </w:rPr>
              <w:t>SOURCES OF VERIFICATION</w:t>
            </w:r>
          </w:p>
        </w:tc>
        <w:tc>
          <w:tcPr>
            <w:tcW w:w="2062" w:type="dxa"/>
            <w:shd w:val="clear" w:color="auto" w:fill="FFFFFF"/>
          </w:tcPr>
          <w:p w:rsidR="002857E6" w:rsidRPr="002857E6" w:rsidRDefault="002857E6" w:rsidP="00D47F36">
            <w:pPr>
              <w:numPr>
                <w:ilvl w:val="12"/>
                <w:numId w:val="0"/>
              </w:numPr>
              <w:shd w:val="clear" w:color="auto" w:fill="FFFFFF"/>
              <w:spacing w:after="0" w:line="240" w:lineRule="auto"/>
              <w:jc w:val="center"/>
              <w:rPr>
                <w:rFonts w:ascii="Times New Roman" w:hAnsi="Times New Roman"/>
                <w:b/>
              </w:rPr>
            </w:pPr>
            <w:r w:rsidRPr="002857E6">
              <w:rPr>
                <w:rFonts w:ascii="Times New Roman" w:hAnsi="Times New Roman"/>
                <w:b/>
              </w:rPr>
              <w:t>ASSUMPTIONS</w:t>
            </w:r>
          </w:p>
        </w:tc>
      </w:tr>
      <w:tr w:rsidR="002857E6" w:rsidRPr="002857E6" w:rsidTr="002857E6">
        <w:trPr>
          <w:gridAfter w:val="1"/>
          <w:wAfter w:w="27" w:type="dxa"/>
          <w:trHeight w:val="1178"/>
        </w:trPr>
        <w:tc>
          <w:tcPr>
            <w:tcW w:w="2521" w:type="dxa"/>
            <w:shd w:val="clear" w:color="auto" w:fill="FFFFFF"/>
          </w:tcPr>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b/>
              </w:rPr>
              <w:t>Specific Objective 1:</w:t>
            </w: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To improve the quality of the services provided at the BCP Delcevo and BCP Deve Bair</w:t>
            </w:r>
          </w:p>
        </w:tc>
        <w:tc>
          <w:tcPr>
            <w:tcW w:w="3327" w:type="dxa"/>
            <w:shd w:val="clear" w:color="auto" w:fill="auto"/>
          </w:tcPr>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r w:rsidRPr="002857E6">
              <w:rPr>
                <w:rFonts w:ascii="Times New Roman" w:hAnsi="Times New Roman"/>
              </w:rPr>
              <w:t>Average time for customs border formalities at the road border crossing points Delcevo and Deve Bair</w:t>
            </w:r>
          </w:p>
        </w:tc>
        <w:tc>
          <w:tcPr>
            <w:tcW w:w="2091" w:type="dxa"/>
            <w:shd w:val="clear" w:color="auto" w:fill="auto"/>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90 minutes (2019)</w:t>
            </w:r>
          </w:p>
        </w:tc>
        <w:tc>
          <w:tcPr>
            <w:tcW w:w="1335" w:type="dxa"/>
            <w:shd w:val="clear" w:color="auto" w:fill="auto"/>
          </w:tcPr>
          <w:p w:rsidR="002857E6" w:rsidRPr="002857E6" w:rsidRDefault="002857E6" w:rsidP="00D47F36">
            <w:pPr>
              <w:shd w:val="clear" w:color="auto" w:fill="FFFFFF"/>
              <w:spacing w:after="0" w:line="240" w:lineRule="auto"/>
              <w:rPr>
                <w:rFonts w:ascii="Times New Roman" w:hAnsi="Times New Roman"/>
              </w:rPr>
            </w:pPr>
          </w:p>
        </w:tc>
        <w:tc>
          <w:tcPr>
            <w:tcW w:w="2416" w:type="dxa"/>
            <w:shd w:val="clear" w:color="auto" w:fill="auto"/>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60 minutes (2027)</w:t>
            </w:r>
          </w:p>
        </w:tc>
        <w:tc>
          <w:tcPr>
            <w:tcW w:w="2084" w:type="dxa"/>
            <w:shd w:val="clear" w:color="auto" w:fill="auto"/>
          </w:tcPr>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Boarding posts customer reports</w:t>
            </w:r>
          </w:p>
        </w:tc>
        <w:tc>
          <w:tcPr>
            <w:tcW w:w="2062" w:type="dxa"/>
            <w:vMerge w:val="restart"/>
            <w:shd w:val="clear" w:color="auto" w:fill="FFFFFF"/>
          </w:tcPr>
          <w:p w:rsidR="002857E6" w:rsidRPr="002857E6" w:rsidRDefault="002857E6" w:rsidP="00D47F36">
            <w:pPr>
              <w:spacing w:after="0" w:line="240" w:lineRule="auto"/>
              <w:rPr>
                <w:rFonts w:ascii="Times New Roman" w:hAnsi="Times New Roman"/>
              </w:rPr>
            </w:pPr>
            <w:r w:rsidRPr="002857E6">
              <w:rPr>
                <w:rFonts w:ascii="Times New Roman" w:hAnsi="Times New Roman"/>
              </w:rPr>
              <w:t>Government maintains consistent policy and commitment to the EU accession</w:t>
            </w:r>
          </w:p>
          <w:p w:rsidR="002857E6" w:rsidRDefault="002857E6" w:rsidP="002857E6">
            <w:pPr>
              <w:spacing w:after="0" w:line="240" w:lineRule="auto"/>
              <w:rPr>
                <w:rFonts w:ascii="Times New Roman" w:hAnsi="Times New Roman"/>
              </w:rPr>
            </w:pPr>
          </w:p>
          <w:p w:rsidR="002857E6" w:rsidRDefault="002857E6" w:rsidP="002857E6">
            <w:pPr>
              <w:spacing w:after="0" w:line="240" w:lineRule="auto"/>
              <w:rPr>
                <w:rFonts w:ascii="Times New Roman" w:hAnsi="Times New Roman"/>
              </w:rPr>
            </w:pPr>
            <w:r w:rsidRPr="002857E6">
              <w:rPr>
                <w:rFonts w:ascii="Times New Roman" w:hAnsi="Times New Roman"/>
              </w:rPr>
              <w:t xml:space="preserve">Interconnectivity systems </w:t>
            </w:r>
            <w:r>
              <w:rPr>
                <w:rFonts w:ascii="Times New Roman" w:hAnsi="Times New Roman"/>
              </w:rPr>
              <w:t>ensured with the EU systems</w:t>
            </w:r>
          </w:p>
          <w:p w:rsidR="002857E6" w:rsidRDefault="002857E6" w:rsidP="002857E6">
            <w:pPr>
              <w:spacing w:after="0" w:line="240" w:lineRule="auto"/>
              <w:rPr>
                <w:rFonts w:ascii="Times New Roman" w:hAnsi="Times New Roman"/>
              </w:rPr>
            </w:pPr>
          </w:p>
          <w:p w:rsidR="002857E6" w:rsidRPr="002857E6" w:rsidRDefault="002857E6" w:rsidP="002857E6">
            <w:pPr>
              <w:spacing w:after="0" w:line="240" w:lineRule="auto"/>
              <w:rPr>
                <w:rFonts w:ascii="Times New Roman" w:hAnsi="Times New Roman"/>
              </w:rPr>
            </w:pPr>
            <w:r>
              <w:rPr>
                <w:rFonts w:ascii="Times New Roman" w:hAnsi="Times New Roman"/>
              </w:rPr>
              <w:t xml:space="preserve">Economic development </w:t>
            </w:r>
            <w:r w:rsidRPr="002857E6">
              <w:rPr>
                <w:rFonts w:ascii="Times New Roman" w:hAnsi="Times New Roman"/>
              </w:rPr>
              <w:t xml:space="preserve"> </w:t>
            </w:r>
            <w:r>
              <w:rPr>
                <w:rFonts w:ascii="Times New Roman" w:hAnsi="Times New Roman"/>
              </w:rPr>
              <w:t xml:space="preserve">is on the rise </w:t>
            </w:r>
          </w:p>
          <w:p w:rsidR="002857E6" w:rsidRPr="002857E6" w:rsidRDefault="002857E6" w:rsidP="00D47F36">
            <w:pPr>
              <w:numPr>
                <w:ilvl w:val="12"/>
                <w:numId w:val="0"/>
              </w:numPr>
              <w:shd w:val="clear" w:color="auto" w:fill="FFFFFF"/>
              <w:spacing w:after="0" w:line="240" w:lineRule="auto"/>
              <w:rPr>
                <w:rFonts w:ascii="Times New Roman" w:hAnsi="Times New Roman"/>
              </w:rPr>
            </w:pPr>
          </w:p>
        </w:tc>
      </w:tr>
      <w:tr w:rsidR="002857E6" w:rsidRPr="002857E6" w:rsidTr="002857E6">
        <w:trPr>
          <w:gridAfter w:val="1"/>
          <w:wAfter w:w="27" w:type="dxa"/>
          <w:trHeight w:val="1565"/>
        </w:trPr>
        <w:tc>
          <w:tcPr>
            <w:tcW w:w="2521" w:type="dxa"/>
            <w:shd w:val="clear" w:color="auto" w:fill="FFFFFF"/>
          </w:tcPr>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b/>
              </w:rPr>
              <w:t xml:space="preserve">Specific Objective 2: </w:t>
            </w: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To improve the quality of the Customs Administration IT systems in line with EU requirements</w:t>
            </w:r>
          </w:p>
        </w:tc>
        <w:tc>
          <w:tcPr>
            <w:tcW w:w="3327" w:type="dxa"/>
            <w:shd w:val="clear" w:color="auto" w:fill="FFFFFF"/>
          </w:tcPr>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 xml:space="preserve">Number of EO utilising the benefits of Common Transit Convention </w:t>
            </w: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Macedonian Economic Operators with a unique EORI number</w:t>
            </w: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p>
          <w:p w:rsidR="002857E6" w:rsidRPr="002857E6" w:rsidRDefault="002857E6" w:rsidP="002857E6">
            <w:pPr>
              <w:spacing w:after="0" w:line="240" w:lineRule="auto"/>
              <w:jc w:val="both"/>
              <w:rPr>
                <w:rFonts w:ascii="Times New Roman" w:hAnsi="Times New Roman"/>
              </w:rPr>
            </w:pPr>
            <w:r w:rsidRPr="002857E6">
              <w:rPr>
                <w:rFonts w:ascii="Times New Roman" w:hAnsi="Times New Roman"/>
              </w:rPr>
              <w:t>Number of requests for authentication services processed</w:t>
            </w:r>
          </w:p>
        </w:tc>
        <w:tc>
          <w:tcPr>
            <w:tcW w:w="2091" w:type="dxa"/>
            <w:shd w:val="clear" w:color="auto" w:fill="auto"/>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All EO under NCTS 4 - approximately 9000 EO (2019)</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(2019)</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(2019)</w:t>
            </w:r>
          </w:p>
        </w:tc>
        <w:tc>
          <w:tcPr>
            <w:tcW w:w="1335" w:type="dxa"/>
            <w:shd w:val="clear" w:color="auto" w:fill="auto"/>
          </w:tcPr>
          <w:p w:rsidR="002857E6" w:rsidRPr="002857E6" w:rsidRDefault="002857E6" w:rsidP="00D47F36">
            <w:pPr>
              <w:shd w:val="clear" w:color="auto" w:fill="FFFFFF"/>
              <w:spacing w:after="0" w:line="240" w:lineRule="auto"/>
              <w:rPr>
                <w:rFonts w:ascii="Times New Roman" w:hAnsi="Times New Roman"/>
              </w:rPr>
            </w:pPr>
          </w:p>
        </w:tc>
        <w:tc>
          <w:tcPr>
            <w:tcW w:w="2416" w:type="dxa"/>
            <w:shd w:val="clear" w:color="auto" w:fill="auto"/>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All EO under NCTS 5 – at least 9000 EO (2027)</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All EO upon request – at least 9000 EO (2027)</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All upon request - for at least 9000 EO (2027)</w:t>
            </w:r>
          </w:p>
        </w:tc>
        <w:tc>
          <w:tcPr>
            <w:tcW w:w="2084" w:type="dxa"/>
            <w:shd w:val="clear" w:color="auto" w:fill="FFFFFF"/>
          </w:tcPr>
          <w:p w:rsidR="002857E6" w:rsidRPr="002857E6" w:rsidRDefault="002857E6" w:rsidP="00D47F36">
            <w:pPr>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Annual Customs Report</w:t>
            </w:r>
          </w:p>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r w:rsidRPr="002857E6">
              <w:rPr>
                <w:rFonts w:ascii="Times New Roman" w:hAnsi="Times New Roman"/>
              </w:rPr>
              <w:t>Reports from EORI system</w:t>
            </w:r>
          </w:p>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r w:rsidRPr="002857E6">
              <w:rPr>
                <w:rFonts w:ascii="Times New Roman" w:hAnsi="Times New Roman"/>
              </w:rPr>
              <w:t>Reports from Authentication system</w:t>
            </w:r>
          </w:p>
        </w:tc>
        <w:tc>
          <w:tcPr>
            <w:tcW w:w="2062" w:type="dxa"/>
            <w:vMerge/>
            <w:shd w:val="clear" w:color="auto" w:fill="FFFFFF"/>
          </w:tcPr>
          <w:p w:rsidR="002857E6" w:rsidRPr="002857E6" w:rsidRDefault="002857E6" w:rsidP="00D47F36">
            <w:pPr>
              <w:numPr>
                <w:ilvl w:val="12"/>
                <w:numId w:val="0"/>
              </w:numPr>
              <w:shd w:val="clear" w:color="auto" w:fill="FFFFFF"/>
              <w:spacing w:after="0" w:line="240" w:lineRule="auto"/>
              <w:rPr>
                <w:rFonts w:ascii="Times New Roman" w:hAnsi="Times New Roman"/>
              </w:rPr>
            </w:pPr>
          </w:p>
        </w:tc>
      </w:tr>
      <w:tr w:rsidR="002857E6" w:rsidRPr="002857E6" w:rsidTr="002857E6">
        <w:trPr>
          <w:gridAfter w:val="1"/>
          <w:wAfter w:w="27" w:type="dxa"/>
          <w:trHeight w:val="358"/>
        </w:trPr>
        <w:tc>
          <w:tcPr>
            <w:tcW w:w="2521" w:type="dxa"/>
            <w:shd w:val="clear" w:color="auto" w:fill="FFFFFF"/>
          </w:tcPr>
          <w:p w:rsidR="002857E6" w:rsidRPr="002857E6" w:rsidRDefault="002857E6" w:rsidP="00D47F36">
            <w:pPr>
              <w:numPr>
                <w:ilvl w:val="12"/>
                <w:numId w:val="0"/>
              </w:numPr>
              <w:shd w:val="clear" w:color="auto" w:fill="FFFFFF"/>
              <w:spacing w:after="0" w:line="240" w:lineRule="auto"/>
              <w:jc w:val="center"/>
              <w:rPr>
                <w:rFonts w:ascii="Times New Roman" w:hAnsi="Times New Roman"/>
                <w:b/>
              </w:rPr>
            </w:pPr>
            <w:r w:rsidRPr="002857E6">
              <w:rPr>
                <w:rFonts w:ascii="Times New Roman" w:hAnsi="Times New Roman"/>
                <w:b/>
              </w:rPr>
              <w:lastRenderedPageBreak/>
              <w:t>OUTPUTS</w:t>
            </w:r>
          </w:p>
        </w:tc>
        <w:tc>
          <w:tcPr>
            <w:tcW w:w="3327" w:type="dxa"/>
            <w:shd w:val="clear" w:color="auto" w:fill="FFFFFF"/>
          </w:tcPr>
          <w:p w:rsidR="002857E6" w:rsidRPr="002857E6" w:rsidRDefault="002857E6" w:rsidP="00D47F36">
            <w:pPr>
              <w:shd w:val="clear" w:color="auto" w:fill="FFFFFF"/>
              <w:spacing w:after="0" w:line="240" w:lineRule="auto"/>
              <w:jc w:val="both"/>
              <w:rPr>
                <w:rFonts w:ascii="Times New Roman" w:hAnsi="Times New Roman"/>
              </w:rPr>
            </w:pPr>
            <w:r w:rsidRPr="002857E6">
              <w:rPr>
                <w:rFonts w:ascii="Times New Roman" w:hAnsi="Times New Roman"/>
                <w:b/>
              </w:rPr>
              <w:t>OBJECTIVELY VERIFIABLE INDICATORS (*)</w:t>
            </w:r>
          </w:p>
        </w:tc>
        <w:tc>
          <w:tcPr>
            <w:tcW w:w="2091"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BASELINES </w:t>
            </w:r>
          </w:p>
          <w:p w:rsidR="002857E6" w:rsidRPr="002857E6" w:rsidRDefault="002857E6" w:rsidP="00D47F36">
            <w:pPr>
              <w:shd w:val="clear" w:color="auto" w:fill="FFFFFF"/>
              <w:spacing w:after="0" w:line="240" w:lineRule="auto"/>
              <w:ind w:left="-352"/>
              <w:jc w:val="center"/>
              <w:rPr>
                <w:rFonts w:ascii="Times New Roman" w:hAnsi="Times New Roman"/>
                <w:b/>
              </w:rPr>
            </w:pPr>
          </w:p>
        </w:tc>
        <w:tc>
          <w:tcPr>
            <w:tcW w:w="1335"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MILESTONES </w:t>
            </w:r>
          </w:p>
          <w:p w:rsidR="002857E6" w:rsidRPr="002857E6" w:rsidRDefault="002857E6" w:rsidP="00D47F36">
            <w:pPr>
              <w:shd w:val="clear" w:color="auto" w:fill="FFFFFF"/>
              <w:spacing w:after="0" w:line="240" w:lineRule="auto"/>
              <w:jc w:val="center"/>
              <w:rPr>
                <w:rFonts w:ascii="Times New Roman" w:hAnsi="Times New Roman"/>
                <w:b/>
              </w:rPr>
            </w:pPr>
          </w:p>
        </w:tc>
        <w:tc>
          <w:tcPr>
            <w:tcW w:w="2416"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b/>
              </w:rPr>
            </w:pPr>
            <w:r w:rsidRPr="002857E6">
              <w:rPr>
                <w:rFonts w:ascii="Times New Roman" w:hAnsi="Times New Roman"/>
                <w:b/>
              </w:rPr>
              <w:t xml:space="preserve">TARGETS </w:t>
            </w:r>
          </w:p>
        </w:tc>
        <w:tc>
          <w:tcPr>
            <w:tcW w:w="2084" w:type="dxa"/>
            <w:shd w:val="clear" w:color="auto" w:fill="FFFFFF"/>
          </w:tcPr>
          <w:p w:rsidR="002857E6" w:rsidRPr="002857E6" w:rsidRDefault="002857E6" w:rsidP="00D47F36">
            <w:pPr>
              <w:shd w:val="clear" w:color="auto" w:fill="FFFFFF"/>
              <w:spacing w:after="0" w:line="240" w:lineRule="auto"/>
              <w:jc w:val="center"/>
              <w:rPr>
                <w:rFonts w:ascii="Times New Roman" w:hAnsi="Times New Roman"/>
              </w:rPr>
            </w:pPr>
            <w:r w:rsidRPr="002857E6">
              <w:rPr>
                <w:rFonts w:ascii="Times New Roman" w:hAnsi="Times New Roman"/>
                <w:b/>
              </w:rPr>
              <w:t>SOURCES OF VERIFICATION</w:t>
            </w:r>
          </w:p>
        </w:tc>
        <w:tc>
          <w:tcPr>
            <w:tcW w:w="2062" w:type="dxa"/>
            <w:shd w:val="clear" w:color="auto" w:fill="FFFFFF"/>
          </w:tcPr>
          <w:p w:rsidR="002857E6" w:rsidRPr="002857E6" w:rsidRDefault="002857E6" w:rsidP="00D47F36">
            <w:pPr>
              <w:numPr>
                <w:ilvl w:val="12"/>
                <w:numId w:val="0"/>
              </w:numPr>
              <w:shd w:val="clear" w:color="auto" w:fill="FFFFFF"/>
              <w:spacing w:after="0" w:line="240" w:lineRule="auto"/>
              <w:jc w:val="center"/>
              <w:rPr>
                <w:rFonts w:ascii="Times New Roman" w:hAnsi="Times New Roman"/>
                <w:b/>
              </w:rPr>
            </w:pPr>
            <w:r w:rsidRPr="002857E6">
              <w:rPr>
                <w:rFonts w:ascii="Times New Roman" w:hAnsi="Times New Roman"/>
                <w:b/>
              </w:rPr>
              <w:t>ASSUMPTIONS</w:t>
            </w:r>
          </w:p>
        </w:tc>
      </w:tr>
      <w:tr w:rsidR="002857E6" w:rsidRPr="002857E6" w:rsidTr="002857E6">
        <w:trPr>
          <w:gridAfter w:val="1"/>
          <w:wAfter w:w="27" w:type="dxa"/>
          <w:trHeight w:val="1543"/>
        </w:trPr>
        <w:tc>
          <w:tcPr>
            <w:tcW w:w="2521" w:type="dxa"/>
            <w:vMerge w:val="restart"/>
            <w:shd w:val="clear" w:color="auto" w:fill="FFFFFF"/>
          </w:tcPr>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b/>
              </w:rPr>
              <w:t>Output 1.1</w:t>
            </w: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 xml:space="preserve">Renovated and upgraded </w:t>
            </w:r>
            <w:r>
              <w:rPr>
                <w:rFonts w:ascii="Times New Roman" w:hAnsi="Times New Roman"/>
              </w:rPr>
              <w:t xml:space="preserve">Border crossing points </w:t>
            </w:r>
            <w:r w:rsidRPr="002857E6">
              <w:rPr>
                <w:rFonts w:ascii="Times New Roman" w:hAnsi="Times New Roman"/>
              </w:rPr>
              <w:t xml:space="preserve">with Bulgaria including supporting infrastructure in order to meet the EU standards </w:t>
            </w:r>
          </w:p>
          <w:p w:rsidR="002857E6" w:rsidRPr="002857E6" w:rsidRDefault="002857E6" w:rsidP="00D47F36">
            <w:pPr>
              <w:shd w:val="clear" w:color="auto" w:fill="FFFFFF"/>
              <w:spacing w:after="0" w:line="240" w:lineRule="auto"/>
              <w:rPr>
                <w:rFonts w:ascii="Times New Roman" w:hAnsi="Times New Roman"/>
                <w:highlight w:val="yellow"/>
              </w:rPr>
            </w:pPr>
          </w:p>
          <w:p w:rsidR="002857E6" w:rsidRPr="002857E6" w:rsidRDefault="002857E6" w:rsidP="00D47F36">
            <w:pPr>
              <w:shd w:val="clear" w:color="auto" w:fill="FFFFFF"/>
              <w:spacing w:after="0" w:line="240" w:lineRule="auto"/>
              <w:rPr>
                <w:rFonts w:ascii="Times New Roman" w:hAnsi="Times New Roman"/>
                <w:highlight w:val="yellow"/>
              </w:rPr>
            </w:pPr>
          </w:p>
          <w:p w:rsidR="002857E6" w:rsidRPr="002857E6" w:rsidRDefault="002857E6" w:rsidP="00D47F36">
            <w:pPr>
              <w:shd w:val="clear" w:color="auto" w:fill="FFFFFF"/>
              <w:spacing w:after="0" w:line="240" w:lineRule="auto"/>
              <w:rPr>
                <w:rFonts w:ascii="Times New Roman" w:hAnsi="Times New Roman"/>
                <w:highlight w:val="yellow"/>
              </w:rPr>
            </w:pPr>
          </w:p>
        </w:tc>
        <w:tc>
          <w:tcPr>
            <w:tcW w:w="3327" w:type="dxa"/>
            <w:shd w:val="clear" w:color="auto" w:fill="FFFFFF"/>
          </w:tcPr>
          <w:p w:rsidR="002857E6" w:rsidRPr="002857E6" w:rsidRDefault="002857E6" w:rsidP="00D47F36">
            <w:pPr>
              <w:spacing w:after="0" w:line="240" w:lineRule="auto"/>
              <w:jc w:val="both"/>
              <w:rPr>
                <w:rFonts w:ascii="Times New Roman" w:hAnsi="Times New Roman"/>
                <w:u w:val="single"/>
              </w:rPr>
            </w:pPr>
            <w:r w:rsidRPr="002857E6">
              <w:rPr>
                <w:rFonts w:ascii="Times New Roman" w:hAnsi="Times New Roman"/>
                <w:u w:val="single"/>
              </w:rPr>
              <w:t>BCP Delcevo</w:t>
            </w: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square meters of renovated facilities provisionally accepted</w:t>
            </w: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square meters of new facilities built(waste water station, etc)</w:t>
            </w: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square meters of rehabilitated (asphalted) roads and terminals (parking areas) provisionally accepted</w:t>
            </w:r>
          </w:p>
          <w:p w:rsidR="002857E6" w:rsidRPr="002857E6" w:rsidRDefault="002857E6" w:rsidP="00D47F36">
            <w:pPr>
              <w:spacing w:after="0" w:line="240" w:lineRule="auto"/>
              <w:jc w:val="both"/>
              <w:rPr>
                <w:rFonts w:ascii="Times New Roman" w:hAnsi="Times New Roman"/>
              </w:rPr>
            </w:pPr>
          </w:p>
        </w:tc>
        <w:tc>
          <w:tcPr>
            <w:tcW w:w="2091"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tc>
        <w:tc>
          <w:tcPr>
            <w:tcW w:w="1335"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tc>
        <w:tc>
          <w:tcPr>
            <w:tcW w:w="2416"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1100 m2 (2023)</w:t>
            </w:r>
          </w:p>
          <w:p w:rsidR="002857E6" w:rsidRPr="002857E6" w:rsidRDefault="002857E6" w:rsidP="00D47F36">
            <w:pPr>
              <w:shd w:val="clear" w:color="auto" w:fill="FFFFFF"/>
              <w:spacing w:after="0" w:line="240" w:lineRule="auto"/>
              <w:rPr>
                <w:rFonts w:ascii="Times New Roman" w:hAnsi="Times New Roman"/>
              </w:rPr>
            </w:pPr>
          </w:p>
          <w:p w:rsid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1150 m2 (2023)</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5500 m2 (2023)</w:t>
            </w:r>
          </w:p>
        </w:tc>
        <w:tc>
          <w:tcPr>
            <w:tcW w:w="2084" w:type="dxa"/>
            <w:shd w:val="clear" w:color="auto" w:fill="FFFFFF"/>
          </w:tcPr>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Pr>
                <w:rFonts w:ascii="Times New Roman" w:hAnsi="Times New Roman"/>
              </w:rPr>
              <w:t>Project reports</w:t>
            </w:r>
          </w:p>
          <w:p w:rsidR="002857E6" w:rsidRPr="002857E6" w:rsidRDefault="002857E6" w:rsidP="00D47F36">
            <w:pPr>
              <w:spacing w:after="0" w:line="240" w:lineRule="auto"/>
              <w:rPr>
                <w:rFonts w:ascii="Times New Roman" w:hAnsi="Times New Roman"/>
              </w:rPr>
            </w:pPr>
          </w:p>
        </w:tc>
        <w:tc>
          <w:tcPr>
            <w:tcW w:w="2062" w:type="dxa"/>
            <w:shd w:val="clear" w:color="auto" w:fill="FFFFFF"/>
          </w:tcPr>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p>
          <w:p w:rsidR="002857E6" w:rsidRPr="002857E6" w:rsidRDefault="002857E6" w:rsidP="00D47F36">
            <w:pPr>
              <w:spacing w:after="0" w:line="240" w:lineRule="auto"/>
              <w:rPr>
                <w:rFonts w:ascii="Times New Roman" w:hAnsi="Times New Roman"/>
              </w:rPr>
            </w:pPr>
          </w:p>
        </w:tc>
      </w:tr>
      <w:tr w:rsidR="002857E6" w:rsidRPr="002857E6" w:rsidTr="002857E6">
        <w:trPr>
          <w:gridAfter w:val="1"/>
          <w:wAfter w:w="27" w:type="dxa"/>
          <w:trHeight w:val="1643"/>
        </w:trPr>
        <w:tc>
          <w:tcPr>
            <w:tcW w:w="2521" w:type="dxa"/>
            <w:vMerge/>
            <w:shd w:val="clear" w:color="auto" w:fill="FFFFFF"/>
          </w:tcPr>
          <w:p w:rsidR="002857E6" w:rsidRPr="002857E6" w:rsidRDefault="002857E6" w:rsidP="00D47F36">
            <w:pPr>
              <w:shd w:val="clear" w:color="auto" w:fill="FFFFFF"/>
              <w:spacing w:after="0" w:line="240" w:lineRule="auto"/>
              <w:rPr>
                <w:rFonts w:ascii="Times New Roman" w:hAnsi="Times New Roman"/>
                <w:b/>
                <w:highlight w:val="yellow"/>
              </w:rPr>
            </w:pPr>
          </w:p>
        </w:tc>
        <w:tc>
          <w:tcPr>
            <w:tcW w:w="3327" w:type="dxa"/>
            <w:shd w:val="clear" w:color="auto" w:fill="FFFFFF"/>
          </w:tcPr>
          <w:p w:rsidR="002857E6" w:rsidRPr="002857E6" w:rsidRDefault="002857E6" w:rsidP="00D47F36">
            <w:pPr>
              <w:spacing w:after="0" w:line="240" w:lineRule="auto"/>
              <w:jc w:val="both"/>
              <w:rPr>
                <w:rFonts w:ascii="Times New Roman" w:hAnsi="Times New Roman"/>
                <w:u w:val="single"/>
              </w:rPr>
            </w:pPr>
            <w:r w:rsidRPr="002857E6">
              <w:rPr>
                <w:rFonts w:ascii="Times New Roman" w:hAnsi="Times New Roman"/>
                <w:u w:val="single"/>
              </w:rPr>
              <w:t>BCP Deve Bair</w:t>
            </w: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square meters of renovated facilities provisionally accepted</w:t>
            </w: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square meters of new facilities built (waste water station, etc)</w:t>
            </w: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p>
          <w:p w:rsidR="002857E6" w:rsidRPr="002857E6" w:rsidRDefault="002857E6" w:rsidP="00D47F36">
            <w:pPr>
              <w:spacing w:after="0" w:line="240" w:lineRule="auto"/>
              <w:jc w:val="both"/>
              <w:rPr>
                <w:rFonts w:ascii="Times New Roman" w:hAnsi="Times New Roman"/>
              </w:rPr>
            </w:pPr>
            <w:r w:rsidRPr="002857E6">
              <w:rPr>
                <w:rFonts w:ascii="Times New Roman" w:hAnsi="Times New Roman"/>
              </w:rPr>
              <w:t>Number of square meters of rehabilitated (asphalted) roads and terminals (parking areas) provisionally accepted</w:t>
            </w:r>
          </w:p>
          <w:p w:rsidR="002857E6" w:rsidRPr="002857E6" w:rsidRDefault="002857E6" w:rsidP="00D47F36">
            <w:pPr>
              <w:spacing w:after="0" w:line="240" w:lineRule="auto"/>
              <w:jc w:val="both"/>
              <w:rPr>
                <w:rFonts w:ascii="Times New Roman" w:hAnsi="Times New Roman"/>
              </w:rPr>
            </w:pPr>
          </w:p>
        </w:tc>
        <w:tc>
          <w:tcPr>
            <w:tcW w:w="2091"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tc>
        <w:tc>
          <w:tcPr>
            <w:tcW w:w="1335"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tc>
        <w:tc>
          <w:tcPr>
            <w:tcW w:w="2416"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600 m2 (2023)</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1200 m2 (2023)</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6500 m2 (2023)</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tc>
        <w:tc>
          <w:tcPr>
            <w:tcW w:w="2084" w:type="dxa"/>
            <w:shd w:val="clear" w:color="auto" w:fill="FFFFFF"/>
          </w:tcPr>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Reports of the onsite supervisor</w:t>
            </w:r>
          </w:p>
          <w:p w:rsidR="002857E6" w:rsidRPr="002857E6" w:rsidRDefault="002857E6" w:rsidP="00D47F36">
            <w:pPr>
              <w:spacing w:after="0"/>
              <w:rPr>
                <w:rFonts w:ascii="Times New Roman" w:hAnsi="Times New Roman"/>
              </w:rPr>
            </w:pPr>
          </w:p>
        </w:tc>
        <w:tc>
          <w:tcPr>
            <w:tcW w:w="2062" w:type="dxa"/>
            <w:shd w:val="clear" w:color="auto" w:fill="FFFFFF"/>
          </w:tcPr>
          <w:p w:rsidR="002857E6" w:rsidRPr="002857E6" w:rsidRDefault="002857E6" w:rsidP="00D47F36">
            <w:pPr>
              <w:spacing w:after="0" w:line="240" w:lineRule="auto"/>
              <w:rPr>
                <w:rFonts w:ascii="Times New Roman" w:hAnsi="Times New Roman"/>
                <w:b/>
                <w:highlight w:val="yellow"/>
              </w:rPr>
            </w:pPr>
          </w:p>
        </w:tc>
      </w:tr>
      <w:tr w:rsidR="002857E6" w:rsidRPr="002857E6" w:rsidTr="002857E6">
        <w:trPr>
          <w:gridAfter w:val="1"/>
          <w:wAfter w:w="27" w:type="dxa"/>
          <w:trHeight w:val="1670"/>
        </w:trPr>
        <w:tc>
          <w:tcPr>
            <w:tcW w:w="2521" w:type="dxa"/>
            <w:shd w:val="clear" w:color="auto" w:fill="FFFFFF"/>
          </w:tcPr>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b/>
              </w:rPr>
              <w:t xml:space="preserve">Output 2.1 </w:t>
            </w: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Implemented New Computerised Transit System (NCTS) Phase 5, in line with the latest EU requirements</w:t>
            </w:r>
          </w:p>
          <w:p w:rsidR="002857E6" w:rsidRPr="002857E6" w:rsidRDefault="002857E6" w:rsidP="00D47F36">
            <w:pPr>
              <w:shd w:val="clear" w:color="auto" w:fill="FFFFFF"/>
              <w:spacing w:after="0" w:line="240" w:lineRule="auto"/>
              <w:rPr>
                <w:rFonts w:ascii="Times New Roman" w:hAnsi="Times New Roman"/>
                <w:b/>
              </w:rPr>
            </w:pPr>
          </w:p>
        </w:tc>
        <w:tc>
          <w:tcPr>
            <w:tcW w:w="3327" w:type="dxa"/>
            <w:shd w:val="clear" w:color="auto" w:fill="FFFFFF"/>
          </w:tcPr>
          <w:p w:rsidR="002857E6" w:rsidRPr="002857E6" w:rsidRDefault="002857E6" w:rsidP="00D47F36">
            <w:pPr>
              <w:shd w:val="clear" w:color="auto" w:fill="FFFFFF"/>
              <w:spacing w:after="0" w:line="240" w:lineRule="auto"/>
              <w:jc w:val="both"/>
              <w:rPr>
                <w:rFonts w:ascii="Times New Roman" w:hAnsi="Times New Roman"/>
              </w:rPr>
            </w:pPr>
          </w:p>
          <w:p w:rsidR="002857E6" w:rsidRPr="002857E6" w:rsidRDefault="002857E6" w:rsidP="00D47F36">
            <w:pPr>
              <w:shd w:val="clear" w:color="auto" w:fill="FFFFFF"/>
              <w:spacing w:after="0" w:line="240" w:lineRule="auto"/>
              <w:jc w:val="both"/>
              <w:rPr>
                <w:rFonts w:ascii="Times New Roman" w:hAnsi="Times New Roman"/>
              </w:rPr>
            </w:pPr>
            <w:r w:rsidRPr="002857E6">
              <w:rPr>
                <w:rFonts w:ascii="Times New Roman" w:hAnsi="Times New Roman"/>
              </w:rPr>
              <w:t>New Computerised Transit System (NCTS) Phase 5 in operation and interconnected and functional with Common Domain (prior Provisional Acceptance</w:t>
            </w:r>
          </w:p>
          <w:p w:rsidR="002857E6" w:rsidRPr="002857E6" w:rsidRDefault="002857E6" w:rsidP="00D47F36">
            <w:pPr>
              <w:shd w:val="clear" w:color="auto" w:fill="FFFFFF"/>
              <w:spacing w:after="0" w:line="240" w:lineRule="auto"/>
              <w:jc w:val="both"/>
              <w:rPr>
                <w:rFonts w:ascii="Times New Roman" w:hAnsi="Times New Roman"/>
              </w:rPr>
            </w:pPr>
          </w:p>
          <w:p w:rsidR="002857E6" w:rsidRPr="002857E6" w:rsidRDefault="002857E6" w:rsidP="00D47F36">
            <w:pPr>
              <w:shd w:val="clear" w:color="auto" w:fill="FFFFFF"/>
              <w:spacing w:after="0" w:line="240" w:lineRule="auto"/>
              <w:jc w:val="both"/>
              <w:rPr>
                <w:rFonts w:ascii="Times New Roman" w:hAnsi="Times New Roman"/>
              </w:rPr>
            </w:pPr>
            <w:r w:rsidRPr="002857E6">
              <w:rPr>
                <w:rFonts w:ascii="Times New Roman" w:hAnsi="Times New Roman"/>
              </w:rPr>
              <w:t xml:space="preserve">Number of days with the NCTS Phase 5 not working in the 365 days following the putting system </w:t>
            </w:r>
            <w:r w:rsidRPr="002857E6">
              <w:rPr>
                <w:rFonts w:ascii="Times New Roman" w:hAnsi="Times New Roman"/>
              </w:rPr>
              <w:lastRenderedPageBreak/>
              <w:t xml:space="preserve">into function </w:t>
            </w:r>
          </w:p>
          <w:p w:rsidR="002857E6" w:rsidRPr="002857E6" w:rsidRDefault="002857E6" w:rsidP="00D47F36">
            <w:pPr>
              <w:shd w:val="clear" w:color="auto" w:fill="FFFFFF"/>
              <w:spacing w:after="0" w:line="240" w:lineRule="auto"/>
              <w:jc w:val="both"/>
              <w:rPr>
                <w:rFonts w:ascii="Times New Roman" w:hAnsi="Times New Roman"/>
              </w:rPr>
            </w:pPr>
          </w:p>
          <w:p w:rsidR="002857E6" w:rsidRPr="002857E6" w:rsidRDefault="002857E6" w:rsidP="00D47F36">
            <w:pPr>
              <w:shd w:val="clear" w:color="auto" w:fill="FFFFFF"/>
              <w:spacing w:after="0" w:line="240" w:lineRule="auto"/>
              <w:jc w:val="both"/>
              <w:rPr>
                <w:rFonts w:ascii="Times New Roman" w:hAnsi="Times New Roman"/>
              </w:rPr>
            </w:pPr>
            <w:r w:rsidRPr="002857E6">
              <w:rPr>
                <w:rFonts w:ascii="Times New Roman" w:hAnsi="Times New Roman"/>
              </w:rPr>
              <w:t>Number of Customs officers trained in the specific NCTS 5 methodology, procedures and the operation of the Customs Transit System;</w:t>
            </w:r>
          </w:p>
          <w:p w:rsidR="002857E6" w:rsidRPr="002857E6" w:rsidRDefault="002857E6" w:rsidP="00D47F36">
            <w:pPr>
              <w:shd w:val="clear" w:color="auto" w:fill="FFFFFF"/>
              <w:spacing w:after="0" w:line="240" w:lineRule="auto"/>
              <w:jc w:val="both"/>
              <w:rPr>
                <w:rFonts w:ascii="Times New Roman" w:hAnsi="Times New Roman"/>
              </w:rPr>
            </w:pPr>
          </w:p>
          <w:p w:rsidR="002857E6" w:rsidRPr="002857E6" w:rsidRDefault="002857E6" w:rsidP="00D47F36">
            <w:pPr>
              <w:shd w:val="clear" w:color="auto" w:fill="FFFFFF"/>
              <w:spacing w:after="0" w:line="240" w:lineRule="auto"/>
              <w:jc w:val="both"/>
              <w:rPr>
                <w:rFonts w:ascii="Times New Roman" w:hAnsi="Times New Roman"/>
              </w:rPr>
            </w:pPr>
            <w:r w:rsidRPr="002857E6">
              <w:rPr>
                <w:rFonts w:ascii="Times New Roman" w:hAnsi="Times New Roman"/>
              </w:rPr>
              <w:t>Number of Manuals and other functional and technical documentation related to NCTS 5 for the customs officers and economic operators produced and disseminated;</w:t>
            </w:r>
          </w:p>
          <w:p w:rsidR="002857E6" w:rsidRPr="002857E6" w:rsidRDefault="002857E6" w:rsidP="00D47F36">
            <w:pPr>
              <w:shd w:val="clear" w:color="auto" w:fill="FFFFFF"/>
              <w:spacing w:after="0" w:line="240" w:lineRule="auto"/>
              <w:jc w:val="both"/>
              <w:rPr>
                <w:rFonts w:ascii="Times New Roman" w:hAnsi="Times New Roman"/>
              </w:rPr>
            </w:pPr>
          </w:p>
          <w:p w:rsidR="002857E6" w:rsidRPr="002857E6" w:rsidRDefault="002857E6" w:rsidP="00D47F36">
            <w:pPr>
              <w:shd w:val="clear" w:color="auto" w:fill="FFFFFF"/>
              <w:spacing w:after="0" w:line="240" w:lineRule="auto"/>
              <w:jc w:val="both"/>
              <w:rPr>
                <w:rFonts w:ascii="Times New Roman" w:hAnsi="Times New Roman"/>
                <w:highlight w:val="yellow"/>
              </w:rPr>
            </w:pPr>
            <w:r w:rsidRPr="002857E6">
              <w:rPr>
                <w:rFonts w:ascii="Times New Roman" w:hAnsi="Times New Roman"/>
              </w:rPr>
              <w:t>Number of representatives of Economic Operators involved in transit operations trained and prepared to use the new NCTS 5 procedures.</w:t>
            </w:r>
          </w:p>
        </w:tc>
        <w:tc>
          <w:tcPr>
            <w:tcW w:w="2091"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Not Applicable</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Default="002857E6" w:rsidP="00D47F36">
            <w:pPr>
              <w:shd w:val="clear" w:color="auto" w:fill="FFFFFF"/>
              <w:spacing w:after="0" w:line="240" w:lineRule="auto"/>
              <w:rPr>
                <w:rFonts w:ascii="Times New Roman" w:hAnsi="Times New Roman"/>
              </w:rPr>
            </w:pPr>
          </w:p>
          <w:p w:rsid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0 (2019)</w:t>
            </w:r>
          </w:p>
          <w:p w:rsidR="002857E6" w:rsidRPr="002857E6" w:rsidRDefault="002857E6" w:rsidP="00D47F36">
            <w:pPr>
              <w:shd w:val="clear" w:color="auto" w:fill="FFFFFF"/>
              <w:spacing w:after="0" w:line="240" w:lineRule="auto"/>
              <w:rPr>
                <w:rFonts w:ascii="Times New Roman" w:hAnsi="Times New Roman"/>
              </w:rPr>
            </w:pPr>
          </w:p>
        </w:tc>
        <w:tc>
          <w:tcPr>
            <w:tcW w:w="1335"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tc>
        <w:tc>
          <w:tcPr>
            <w:tcW w:w="2416" w:type="dxa"/>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1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&lt; 5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100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Default="002857E6" w:rsidP="00D47F36">
            <w:pPr>
              <w:shd w:val="clear" w:color="auto" w:fill="FFFFFF"/>
              <w:spacing w:after="0" w:line="240" w:lineRule="auto"/>
              <w:rPr>
                <w:rFonts w:ascii="Times New Roman" w:hAnsi="Times New Roman"/>
              </w:rPr>
            </w:pPr>
          </w:p>
          <w:p w:rsid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3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 xml:space="preserve"> 100 (2024)</w:t>
            </w:r>
          </w:p>
          <w:p w:rsidR="002857E6" w:rsidRPr="002857E6" w:rsidRDefault="002857E6" w:rsidP="00D47F36">
            <w:pPr>
              <w:shd w:val="clear" w:color="auto" w:fill="FFFFFF"/>
              <w:spacing w:after="0" w:line="240" w:lineRule="auto"/>
              <w:rPr>
                <w:rFonts w:ascii="Times New Roman" w:hAnsi="Times New Roman"/>
              </w:rPr>
            </w:pPr>
          </w:p>
        </w:tc>
        <w:tc>
          <w:tcPr>
            <w:tcW w:w="2084" w:type="dxa"/>
            <w:shd w:val="clear" w:color="auto" w:fill="FFFFFF"/>
          </w:tcPr>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 xml:space="preserve">Provisional Acceptance Certificate </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Customs report</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Customs report</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Default="002857E6" w:rsidP="00D47F36">
            <w:pPr>
              <w:numPr>
                <w:ilvl w:val="12"/>
                <w:numId w:val="0"/>
              </w:numPr>
              <w:shd w:val="clear" w:color="auto" w:fill="FFFFFF"/>
              <w:spacing w:after="0" w:line="240" w:lineRule="auto"/>
              <w:rPr>
                <w:rFonts w:ascii="Times New Roman" w:hAnsi="Times New Roman"/>
              </w:rPr>
            </w:pPr>
          </w:p>
          <w:p w:rsid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Customs report</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Customs report</w:t>
            </w:r>
          </w:p>
          <w:p w:rsidR="002857E6" w:rsidRPr="002857E6" w:rsidRDefault="002857E6" w:rsidP="00D47F36">
            <w:pPr>
              <w:numPr>
                <w:ilvl w:val="12"/>
                <w:numId w:val="0"/>
              </w:numPr>
              <w:shd w:val="clear" w:color="auto" w:fill="FFFFFF"/>
              <w:spacing w:after="0" w:line="240" w:lineRule="auto"/>
              <w:rPr>
                <w:rFonts w:ascii="Times New Roman" w:hAnsi="Times New Roman"/>
              </w:rPr>
            </w:pPr>
          </w:p>
        </w:tc>
        <w:tc>
          <w:tcPr>
            <w:tcW w:w="2062" w:type="dxa"/>
            <w:vMerge w:val="restart"/>
            <w:shd w:val="clear" w:color="auto" w:fill="FFFFFF"/>
          </w:tcPr>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tc>
      </w:tr>
      <w:tr w:rsidR="002857E6" w:rsidRPr="002857E6" w:rsidTr="001D7706">
        <w:trPr>
          <w:gridAfter w:val="1"/>
          <w:wAfter w:w="27" w:type="dxa"/>
          <w:trHeight w:val="699"/>
        </w:trPr>
        <w:tc>
          <w:tcPr>
            <w:tcW w:w="2521" w:type="dxa"/>
            <w:shd w:val="clear" w:color="auto" w:fill="FFFFFF"/>
          </w:tcPr>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b/>
              </w:rPr>
              <w:t>Output 2.2</w:t>
            </w:r>
          </w:p>
          <w:p w:rsidR="002857E6" w:rsidRPr="002857E6" w:rsidRDefault="002857E6" w:rsidP="00D47F36">
            <w:pPr>
              <w:shd w:val="clear" w:color="auto" w:fill="FFFFFF"/>
              <w:spacing w:after="0" w:line="240" w:lineRule="auto"/>
              <w:rPr>
                <w:rFonts w:ascii="Times New Roman" w:hAnsi="Times New Roman"/>
                <w:b/>
              </w:rPr>
            </w:pPr>
            <w:r w:rsidRPr="002857E6">
              <w:rPr>
                <w:rFonts w:ascii="Times New Roman" w:hAnsi="Times New Roman"/>
              </w:rPr>
              <w:t>Implemented System for Identity and Access Management (IAM) and Registration of Economic Operators (EORI2), in line with the latest EU requirements</w:t>
            </w:r>
          </w:p>
          <w:p w:rsidR="002857E6" w:rsidRPr="002857E6" w:rsidRDefault="002857E6" w:rsidP="00D47F36">
            <w:pPr>
              <w:shd w:val="clear" w:color="auto" w:fill="FFFFFF"/>
              <w:spacing w:after="120" w:line="240" w:lineRule="auto"/>
              <w:rPr>
                <w:rFonts w:ascii="Times New Roman" w:hAnsi="Times New Roman"/>
                <w:b/>
              </w:rPr>
            </w:pPr>
          </w:p>
        </w:tc>
        <w:tc>
          <w:tcPr>
            <w:tcW w:w="3327" w:type="dxa"/>
            <w:shd w:val="clear" w:color="auto" w:fill="FFFFFF"/>
          </w:tcPr>
          <w:p w:rsidR="002857E6" w:rsidRPr="002857E6" w:rsidRDefault="002857E6" w:rsidP="00D47F36">
            <w:pPr>
              <w:shd w:val="clear" w:color="auto" w:fill="FFFFFF"/>
              <w:spacing w:after="120" w:line="240" w:lineRule="auto"/>
              <w:jc w:val="both"/>
              <w:rPr>
                <w:rFonts w:ascii="Times New Roman" w:hAnsi="Times New Roman"/>
              </w:rPr>
            </w:pPr>
            <w:r w:rsidRPr="002857E6">
              <w:rPr>
                <w:rFonts w:ascii="Times New Roman" w:hAnsi="Times New Roman"/>
              </w:rPr>
              <w:t>Number of System for Identity and Access Management (IAM) and Registration of Economic Operators (EORI2) in operation</w:t>
            </w:r>
          </w:p>
          <w:p w:rsidR="002857E6" w:rsidRPr="002857E6" w:rsidRDefault="002857E6" w:rsidP="00D47F36">
            <w:pPr>
              <w:shd w:val="clear" w:color="auto" w:fill="FFFFFF"/>
              <w:spacing w:after="120" w:line="240" w:lineRule="auto"/>
              <w:jc w:val="both"/>
              <w:rPr>
                <w:rFonts w:ascii="Times New Roman" w:hAnsi="Times New Roman"/>
              </w:rPr>
            </w:pPr>
            <w:r w:rsidRPr="002857E6">
              <w:rPr>
                <w:rFonts w:ascii="Times New Roman" w:hAnsi="Times New Roman"/>
              </w:rPr>
              <w:t xml:space="preserve">Number of days with the System for Identity and Access Management (IAM) and Registration of Economic Operators (EORI2) not working in the 365 days following the end of the commissioning of the system </w:t>
            </w:r>
          </w:p>
          <w:p w:rsidR="002857E6" w:rsidRPr="002857E6" w:rsidRDefault="002857E6" w:rsidP="00D47F36">
            <w:pPr>
              <w:shd w:val="clear" w:color="auto" w:fill="FFFFFF"/>
              <w:spacing w:after="120" w:line="240" w:lineRule="auto"/>
              <w:jc w:val="both"/>
              <w:rPr>
                <w:rFonts w:ascii="Times New Roman" w:hAnsi="Times New Roman"/>
              </w:rPr>
            </w:pPr>
            <w:r w:rsidRPr="002857E6">
              <w:rPr>
                <w:rFonts w:ascii="Times New Roman" w:hAnsi="Times New Roman"/>
              </w:rPr>
              <w:t>Number of Customs officers trained in the specific System for Identity and Access Management (IAM) and Registration of Economic Operators (EORI2) methodology, procedures and the operation of the Customs Transit System;</w:t>
            </w:r>
          </w:p>
          <w:p w:rsidR="002857E6" w:rsidRPr="002857E6" w:rsidRDefault="002857E6" w:rsidP="00D47F36">
            <w:pPr>
              <w:shd w:val="clear" w:color="auto" w:fill="FFFFFF"/>
              <w:spacing w:after="120" w:line="240" w:lineRule="auto"/>
              <w:jc w:val="both"/>
              <w:rPr>
                <w:rFonts w:ascii="Times New Roman" w:hAnsi="Times New Roman"/>
              </w:rPr>
            </w:pPr>
            <w:r w:rsidRPr="002857E6">
              <w:rPr>
                <w:rFonts w:ascii="Times New Roman" w:hAnsi="Times New Roman"/>
              </w:rPr>
              <w:t xml:space="preserve">Number of Manuals and other functional and technical documentation for the customs </w:t>
            </w:r>
            <w:r w:rsidRPr="002857E6">
              <w:rPr>
                <w:rFonts w:ascii="Times New Roman" w:hAnsi="Times New Roman"/>
              </w:rPr>
              <w:lastRenderedPageBreak/>
              <w:t>officers and economic operators produced and diss</w:t>
            </w:r>
            <w:bookmarkStart w:id="1" w:name="_GoBack"/>
            <w:bookmarkEnd w:id="1"/>
            <w:r w:rsidRPr="002857E6">
              <w:rPr>
                <w:rFonts w:ascii="Times New Roman" w:hAnsi="Times New Roman"/>
              </w:rPr>
              <w:t>eminated;</w:t>
            </w:r>
          </w:p>
        </w:tc>
        <w:tc>
          <w:tcPr>
            <w:tcW w:w="2091" w:type="dxa"/>
            <w:shd w:val="clear" w:color="auto" w:fill="FFFFFF"/>
          </w:tcPr>
          <w:p w:rsidR="002857E6" w:rsidRPr="002857E6" w:rsidRDefault="002857E6" w:rsidP="00D47F36">
            <w:pPr>
              <w:shd w:val="clear" w:color="auto" w:fill="FFFFFF"/>
              <w:spacing w:after="120" w:line="240" w:lineRule="auto"/>
              <w:rPr>
                <w:rFonts w:ascii="Times New Roman" w:hAnsi="Times New Roman"/>
              </w:rPr>
            </w:pPr>
            <w:r w:rsidRPr="002857E6">
              <w:rPr>
                <w:rFonts w:ascii="Times New Roman" w:hAnsi="Times New Roman"/>
              </w:rPr>
              <w:lastRenderedPageBreak/>
              <w:t>0 (2020)</w:t>
            </w: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r w:rsidRPr="002857E6">
              <w:rPr>
                <w:rFonts w:ascii="Times New Roman" w:hAnsi="Times New Roman"/>
              </w:rPr>
              <w:t>Not Applicable</w:t>
            </w:r>
          </w:p>
          <w:p w:rsidR="002857E6" w:rsidRPr="002857E6" w:rsidRDefault="002857E6" w:rsidP="00D47F36">
            <w:pPr>
              <w:shd w:val="clear" w:color="auto" w:fill="FFFFFF"/>
              <w:spacing w:after="120" w:line="240" w:lineRule="auto"/>
              <w:rPr>
                <w:rFonts w:ascii="Times New Roman" w:hAnsi="Times New Roman"/>
              </w:rPr>
            </w:pPr>
          </w:p>
          <w:p w:rsidR="002857E6" w:rsidRDefault="002857E6" w:rsidP="00D47F36">
            <w:pPr>
              <w:shd w:val="clear" w:color="auto" w:fill="FFFFFF"/>
              <w:spacing w:after="120" w:line="240" w:lineRule="auto"/>
              <w:rPr>
                <w:rFonts w:ascii="Times New Roman" w:hAnsi="Times New Roman"/>
              </w:rPr>
            </w:pPr>
          </w:p>
          <w:p w:rsid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r w:rsidRPr="002857E6">
              <w:rPr>
                <w:rFonts w:ascii="Times New Roman" w:hAnsi="Times New Roman"/>
              </w:rPr>
              <w:t>0 (2020)</w:t>
            </w: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p>
          <w:p w:rsidR="002857E6" w:rsidRPr="002857E6" w:rsidRDefault="002857E6" w:rsidP="00D47F36">
            <w:pPr>
              <w:shd w:val="clear" w:color="auto" w:fill="FFFFFF"/>
              <w:spacing w:after="120" w:line="240" w:lineRule="auto"/>
              <w:rPr>
                <w:rFonts w:ascii="Times New Roman" w:hAnsi="Times New Roman"/>
              </w:rPr>
            </w:pPr>
            <w:r w:rsidRPr="002857E6">
              <w:rPr>
                <w:rFonts w:ascii="Times New Roman" w:hAnsi="Times New Roman"/>
              </w:rPr>
              <w:t>0 (2020)</w:t>
            </w:r>
          </w:p>
        </w:tc>
        <w:tc>
          <w:tcPr>
            <w:tcW w:w="1335" w:type="dxa"/>
            <w:shd w:val="clear" w:color="auto" w:fill="FFFFFF"/>
          </w:tcPr>
          <w:p w:rsidR="002857E6" w:rsidRPr="002857E6" w:rsidRDefault="002857E6" w:rsidP="00D47F36">
            <w:pPr>
              <w:shd w:val="clear" w:color="auto" w:fill="FFFFFF"/>
              <w:spacing w:after="120" w:line="240" w:lineRule="auto"/>
              <w:rPr>
                <w:rFonts w:ascii="Times New Roman" w:hAnsi="Times New Roman"/>
              </w:rPr>
            </w:pPr>
          </w:p>
        </w:tc>
        <w:tc>
          <w:tcPr>
            <w:tcW w:w="2416" w:type="dxa"/>
            <w:shd w:val="clear" w:color="auto" w:fill="FFFFFF"/>
          </w:tcPr>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2 (2025)</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&lt; 5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&gt;10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r w:rsidRPr="002857E6">
              <w:rPr>
                <w:rFonts w:ascii="Times New Roman" w:hAnsi="Times New Roman"/>
              </w:rPr>
              <w:t>2 (2024)</w:t>
            </w:r>
          </w:p>
          <w:p w:rsidR="002857E6" w:rsidRPr="002857E6" w:rsidRDefault="002857E6" w:rsidP="00D47F36">
            <w:pPr>
              <w:shd w:val="clear" w:color="auto" w:fill="FFFFFF"/>
              <w:spacing w:after="0" w:line="240" w:lineRule="auto"/>
              <w:rPr>
                <w:rFonts w:ascii="Times New Roman" w:hAnsi="Times New Roman"/>
              </w:rPr>
            </w:pPr>
          </w:p>
          <w:p w:rsidR="002857E6" w:rsidRPr="002857E6" w:rsidRDefault="002857E6" w:rsidP="00D47F36">
            <w:pPr>
              <w:shd w:val="clear" w:color="auto" w:fill="FFFFFF"/>
              <w:spacing w:after="0" w:line="240" w:lineRule="auto"/>
              <w:rPr>
                <w:rFonts w:ascii="Times New Roman" w:hAnsi="Times New Roman"/>
              </w:rPr>
            </w:pPr>
          </w:p>
        </w:tc>
        <w:tc>
          <w:tcPr>
            <w:tcW w:w="2084" w:type="dxa"/>
            <w:shd w:val="clear" w:color="auto" w:fill="FFFFFF"/>
          </w:tcPr>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 xml:space="preserve">Provisional Acceptance Certificate </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Customs report</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 xml:space="preserve">Customs report </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r w:rsidRPr="002857E6">
              <w:rPr>
                <w:rFonts w:ascii="Times New Roman" w:hAnsi="Times New Roman"/>
              </w:rPr>
              <w:t>Customs report</w:t>
            </w:r>
          </w:p>
          <w:p w:rsidR="002857E6" w:rsidRPr="002857E6" w:rsidRDefault="002857E6" w:rsidP="00D47F36">
            <w:pPr>
              <w:numPr>
                <w:ilvl w:val="12"/>
                <w:numId w:val="0"/>
              </w:numPr>
              <w:shd w:val="clear" w:color="auto" w:fill="FFFFFF"/>
              <w:spacing w:after="0" w:line="240" w:lineRule="auto"/>
              <w:rPr>
                <w:rFonts w:ascii="Times New Roman" w:hAnsi="Times New Roman"/>
              </w:rPr>
            </w:pPr>
          </w:p>
          <w:p w:rsidR="002857E6" w:rsidRPr="002857E6" w:rsidRDefault="002857E6" w:rsidP="00D47F36">
            <w:pPr>
              <w:numPr>
                <w:ilvl w:val="12"/>
                <w:numId w:val="0"/>
              </w:numPr>
              <w:shd w:val="clear" w:color="auto" w:fill="FFFFFF"/>
              <w:spacing w:after="0" w:line="240" w:lineRule="auto"/>
              <w:rPr>
                <w:rFonts w:ascii="Times New Roman" w:hAnsi="Times New Roman"/>
              </w:rPr>
            </w:pPr>
          </w:p>
        </w:tc>
        <w:tc>
          <w:tcPr>
            <w:tcW w:w="2062" w:type="dxa"/>
            <w:vMerge/>
            <w:shd w:val="clear" w:color="auto" w:fill="FFFFFF"/>
          </w:tcPr>
          <w:p w:rsidR="002857E6" w:rsidRPr="002857E6" w:rsidRDefault="002857E6" w:rsidP="00D47F36">
            <w:pPr>
              <w:shd w:val="clear" w:color="auto" w:fill="FFFFFF"/>
              <w:spacing w:after="120" w:line="240" w:lineRule="auto"/>
              <w:rPr>
                <w:rFonts w:ascii="Times New Roman" w:hAnsi="Times New Roman"/>
              </w:rPr>
            </w:pPr>
          </w:p>
        </w:tc>
      </w:tr>
      <w:tr w:rsidR="002857E6" w:rsidRPr="002857E6" w:rsidTr="002857E6">
        <w:trPr>
          <w:trHeight w:val="332"/>
        </w:trPr>
        <w:tc>
          <w:tcPr>
            <w:tcW w:w="2521" w:type="dxa"/>
            <w:shd w:val="clear" w:color="auto" w:fill="FFFFFF"/>
          </w:tcPr>
          <w:p w:rsidR="002857E6" w:rsidRPr="002857E6" w:rsidRDefault="002857E6" w:rsidP="00D47F36">
            <w:pPr>
              <w:shd w:val="clear" w:color="auto" w:fill="FFFFFF"/>
              <w:autoSpaceDE w:val="0"/>
              <w:autoSpaceDN w:val="0"/>
              <w:adjustRightInd w:val="0"/>
              <w:spacing w:after="120" w:line="240" w:lineRule="auto"/>
              <w:jc w:val="center"/>
              <w:rPr>
                <w:rFonts w:ascii="Times New Roman" w:hAnsi="Times New Roman"/>
              </w:rPr>
            </w:pPr>
            <w:r w:rsidRPr="002857E6">
              <w:rPr>
                <w:rFonts w:ascii="Times New Roman" w:hAnsi="Times New Roman"/>
                <w:b/>
              </w:rPr>
              <w:t>BROAD ARRANGEMENTS FOR IMPLEMENTATION (IF AVAILABLE)</w:t>
            </w:r>
          </w:p>
        </w:tc>
        <w:tc>
          <w:tcPr>
            <w:tcW w:w="13342" w:type="dxa"/>
            <w:gridSpan w:val="7"/>
            <w:shd w:val="clear" w:color="auto" w:fill="FFFFFF"/>
          </w:tcPr>
          <w:p w:rsidR="002857E6" w:rsidRPr="002857E6" w:rsidRDefault="002857E6" w:rsidP="00D47F36">
            <w:pPr>
              <w:shd w:val="clear" w:color="auto" w:fill="FFFFFF"/>
              <w:spacing w:after="120" w:line="240" w:lineRule="auto"/>
              <w:rPr>
                <w:rFonts w:ascii="Times New Roman" w:hAnsi="Times New Roman"/>
              </w:rPr>
            </w:pPr>
            <w:r w:rsidRPr="002857E6">
              <w:rPr>
                <w:rFonts w:ascii="Times New Roman" w:hAnsi="Times New Roman"/>
                <w:b/>
              </w:rPr>
              <w:t>Direct management of supply, service and works contracts.</w:t>
            </w:r>
          </w:p>
        </w:tc>
      </w:tr>
    </w:tbl>
    <w:p w:rsidR="00E607F2" w:rsidRPr="002857E6" w:rsidRDefault="00E607F2" w:rsidP="0057259A">
      <w:pPr>
        <w:rPr>
          <w:rFonts w:ascii="Times New Roman" w:hAnsi="Times New Roman"/>
          <w:sz w:val="24"/>
          <w:szCs w:val="24"/>
        </w:rPr>
      </w:pPr>
    </w:p>
    <w:sectPr w:rsidR="00E607F2" w:rsidRPr="002857E6" w:rsidSect="00275CA9">
      <w:pgSz w:w="16838" w:h="11906" w:orient="landscape"/>
      <w:pgMar w:top="567" w:right="1440" w:bottom="426" w:left="1440" w:header="708"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C66" w:rsidRDefault="00DF6C66" w:rsidP="00D92F6C">
      <w:pPr>
        <w:spacing w:after="0" w:line="240" w:lineRule="auto"/>
      </w:pPr>
      <w:r>
        <w:separator/>
      </w:r>
    </w:p>
  </w:endnote>
  <w:endnote w:type="continuationSeparator" w:id="0">
    <w:p w:rsidR="00DF6C66" w:rsidRDefault="00DF6C66"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C66" w:rsidRDefault="00DF6C66" w:rsidP="00D92F6C">
      <w:pPr>
        <w:spacing w:after="0" w:line="240" w:lineRule="auto"/>
      </w:pPr>
      <w:r>
        <w:separator/>
      </w:r>
    </w:p>
  </w:footnote>
  <w:footnote w:type="continuationSeparator" w:id="0">
    <w:p w:rsidR="00DF6C66" w:rsidRDefault="00DF6C66" w:rsidP="00D92F6C">
      <w:pPr>
        <w:spacing w:after="0" w:line="240" w:lineRule="auto"/>
      </w:pPr>
      <w:r>
        <w:continuationSeparator/>
      </w:r>
    </w:p>
  </w:footnote>
  <w:footnote w:id="1">
    <w:p w:rsidR="00AF3EFC" w:rsidRPr="00AF3EFC" w:rsidRDefault="00AF3EFC" w:rsidP="00AF3EFC">
      <w:pPr>
        <w:pStyle w:val="FootnoteText"/>
        <w:ind w:left="0" w:firstLine="0"/>
      </w:pPr>
      <w:r w:rsidRPr="00AF3EFC">
        <w:rPr>
          <w:rStyle w:val="FootnoteReference"/>
        </w:rPr>
        <w:footnoteRef/>
      </w:r>
      <w:r w:rsidRPr="00AF3EFC">
        <w:t xml:space="preserve"> </w:t>
      </w:r>
      <w:r w:rsidRPr="00AF3EFC">
        <w:rPr>
          <w:rFonts w:ascii="Times New Roman" w:hAnsi="Times New Roman"/>
        </w:rPr>
        <w:t>New Integrated border Management strategy is under preparation by the twinning project</w:t>
      </w:r>
      <w:r w:rsidRPr="00AF3EFC">
        <w:rPr>
          <w:rFonts w:ascii="Times New Roman" w:eastAsiaTheme="minorHAnsi" w:hAnsi="Times New Roman"/>
          <w:lang w:val="sk-SK" w:eastAsia="en-US"/>
        </w:rPr>
        <w:t>‚‘‘</w:t>
      </w:r>
      <w:r w:rsidRPr="00AF3EFC">
        <w:rPr>
          <w:rFonts w:ascii="Times New Roman" w:hAnsi="Times New Roman"/>
          <w:lang w:val="sk-SK"/>
        </w:rPr>
        <w:t>Aligning the national systems with the EU and the Schengen requirements for border management“, ref. Nr. MK 16 IPA JH 01 18</w:t>
      </w:r>
      <w:r w:rsidRPr="00AF3EFC">
        <w:rPr>
          <w:rFonts w:ascii="Times New Roman" w:hAnsi="Times New Roman"/>
        </w:rPr>
        <w:t>, this strategy should be ready in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08F"/>
    <w:multiLevelType w:val="hybridMultilevel"/>
    <w:tmpl w:val="188E6FC2"/>
    <w:lvl w:ilvl="0" w:tplc="8898C7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B575D"/>
    <w:multiLevelType w:val="hybridMultilevel"/>
    <w:tmpl w:val="99A4B4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93465F"/>
    <w:multiLevelType w:val="hybridMultilevel"/>
    <w:tmpl w:val="C854C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F8E6677"/>
    <w:multiLevelType w:val="hybridMultilevel"/>
    <w:tmpl w:val="1EBEEAC4"/>
    <w:lvl w:ilvl="0" w:tplc="62D05E8C">
      <w:start w:val="2019"/>
      <w:numFmt w:val="bullet"/>
      <w:lvlText w:val="-"/>
      <w:lvlJc w:val="left"/>
      <w:pPr>
        <w:ind w:left="720" w:hanging="360"/>
      </w:pPr>
      <w:rPr>
        <w:rFonts w:ascii="Arial" w:eastAsia="Times New Roman" w:hAnsi="Arial" w:cs="Arial" w:hint="default"/>
        <w:b w:val="0"/>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F1334"/>
    <w:multiLevelType w:val="hybridMultilevel"/>
    <w:tmpl w:val="90741FF6"/>
    <w:lvl w:ilvl="0" w:tplc="08D4EB9E">
      <w:start w:val="3"/>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92106F1"/>
    <w:multiLevelType w:val="hybridMultilevel"/>
    <w:tmpl w:val="1C2C31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E0D6461"/>
    <w:multiLevelType w:val="hybridMultilevel"/>
    <w:tmpl w:val="85E2CF5C"/>
    <w:lvl w:ilvl="0" w:tplc="6CF8D45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C7740F"/>
    <w:multiLevelType w:val="hybridMultilevel"/>
    <w:tmpl w:val="696CF310"/>
    <w:lvl w:ilvl="0" w:tplc="11508BE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C85F23"/>
    <w:multiLevelType w:val="hybridMultilevel"/>
    <w:tmpl w:val="B666D75A"/>
    <w:lvl w:ilvl="0" w:tplc="D40451B4">
      <w:start w:val="9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4F0E68"/>
    <w:multiLevelType w:val="hybridMultilevel"/>
    <w:tmpl w:val="B7E43B90"/>
    <w:lvl w:ilvl="0" w:tplc="5D4202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C71B8B"/>
    <w:multiLevelType w:val="hybridMultilevel"/>
    <w:tmpl w:val="CD2A8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BA4644F"/>
    <w:multiLevelType w:val="hybridMultilevel"/>
    <w:tmpl w:val="F2FEAB6E"/>
    <w:lvl w:ilvl="0" w:tplc="040E0001">
      <w:start w:val="1"/>
      <w:numFmt w:val="bullet"/>
      <w:lvlText w:val=""/>
      <w:lvlJc w:val="left"/>
      <w:pPr>
        <w:ind w:left="720" w:hanging="360"/>
      </w:pPr>
      <w:rPr>
        <w:rFonts w:ascii="Symbol" w:hAnsi="Symbol" w:cs="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C11613"/>
    <w:multiLevelType w:val="hybridMultilevel"/>
    <w:tmpl w:val="36D620E0"/>
    <w:lvl w:ilvl="0" w:tplc="F440F7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0E29C4"/>
    <w:multiLevelType w:val="hybridMultilevel"/>
    <w:tmpl w:val="64428E24"/>
    <w:lvl w:ilvl="0" w:tplc="E75C63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2"/>
  </w:num>
  <w:num w:numId="5">
    <w:abstractNumId w:val="12"/>
  </w:num>
  <w:num w:numId="6">
    <w:abstractNumId w:val="3"/>
  </w:num>
  <w:num w:numId="7">
    <w:abstractNumId w:val="6"/>
  </w:num>
  <w:num w:numId="8">
    <w:abstractNumId w:val="14"/>
  </w:num>
  <w:num w:numId="9">
    <w:abstractNumId w:val="4"/>
  </w:num>
  <w:num w:numId="10">
    <w:abstractNumId w:val="13"/>
  </w:num>
  <w:num w:numId="11">
    <w:abstractNumId w:val="15"/>
  </w:num>
  <w:num w:numId="12">
    <w:abstractNumId w:val="10"/>
  </w:num>
  <w:num w:numId="13">
    <w:abstractNumId w:val="9"/>
  </w:num>
  <w:num w:numId="14">
    <w:abstractNumId w:val="7"/>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FR"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D92F6C"/>
    <w:rsid w:val="000078B0"/>
    <w:rsid w:val="00021B0D"/>
    <w:rsid w:val="0003291A"/>
    <w:rsid w:val="00035874"/>
    <w:rsid w:val="0004402B"/>
    <w:rsid w:val="00047FEC"/>
    <w:rsid w:val="00051C9A"/>
    <w:rsid w:val="0006006D"/>
    <w:rsid w:val="00063490"/>
    <w:rsid w:val="00066FA2"/>
    <w:rsid w:val="00074669"/>
    <w:rsid w:val="000A75B1"/>
    <w:rsid w:val="000C25DE"/>
    <w:rsid w:val="000C601A"/>
    <w:rsid w:val="000E058D"/>
    <w:rsid w:val="000E1413"/>
    <w:rsid w:val="000E5170"/>
    <w:rsid w:val="000F2BD8"/>
    <w:rsid w:val="000F40B9"/>
    <w:rsid w:val="000F6CBF"/>
    <w:rsid w:val="001037BF"/>
    <w:rsid w:val="001071FD"/>
    <w:rsid w:val="00111109"/>
    <w:rsid w:val="0016591C"/>
    <w:rsid w:val="00171A3A"/>
    <w:rsid w:val="00176D2A"/>
    <w:rsid w:val="00176FA7"/>
    <w:rsid w:val="00187C85"/>
    <w:rsid w:val="001963DD"/>
    <w:rsid w:val="001A63E1"/>
    <w:rsid w:val="001B02B9"/>
    <w:rsid w:val="001B3624"/>
    <w:rsid w:val="001C25DF"/>
    <w:rsid w:val="001C31CA"/>
    <w:rsid w:val="001C55D6"/>
    <w:rsid w:val="001D3980"/>
    <w:rsid w:val="001D7706"/>
    <w:rsid w:val="001E116D"/>
    <w:rsid w:val="001E4289"/>
    <w:rsid w:val="001E4D0E"/>
    <w:rsid w:val="001F1325"/>
    <w:rsid w:val="00200390"/>
    <w:rsid w:val="002075B8"/>
    <w:rsid w:val="00223C4C"/>
    <w:rsid w:val="002264DA"/>
    <w:rsid w:val="00237F90"/>
    <w:rsid w:val="002412C8"/>
    <w:rsid w:val="00242DA8"/>
    <w:rsid w:val="00245D59"/>
    <w:rsid w:val="00245F5D"/>
    <w:rsid w:val="00250F56"/>
    <w:rsid w:val="00260EE2"/>
    <w:rsid w:val="002618C0"/>
    <w:rsid w:val="00262710"/>
    <w:rsid w:val="00263A0F"/>
    <w:rsid w:val="00264597"/>
    <w:rsid w:val="00267B07"/>
    <w:rsid w:val="002702F6"/>
    <w:rsid w:val="00275CA9"/>
    <w:rsid w:val="0028288B"/>
    <w:rsid w:val="002837AE"/>
    <w:rsid w:val="002857E6"/>
    <w:rsid w:val="002878D2"/>
    <w:rsid w:val="00290399"/>
    <w:rsid w:val="00296FEE"/>
    <w:rsid w:val="002B2F2A"/>
    <w:rsid w:val="002C6CC3"/>
    <w:rsid w:val="002D36E6"/>
    <w:rsid w:val="002E5124"/>
    <w:rsid w:val="002F15CB"/>
    <w:rsid w:val="00301C64"/>
    <w:rsid w:val="00311A7B"/>
    <w:rsid w:val="00326F34"/>
    <w:rsid w:val="00335A9F"/>
    <w:rsid w:val="003376A0"/>
    <w:rsid w:val="00343DB4"/>
    <w:rsid w:val="003454A8"/>
    <w:rsid w:val="0034726F"/>
    <w:rsid w:val="00350AFB"/>
    <w:rsid w:val="003925CE"/>
    <w:rsid w:val="00396C0B"/>
    <w:rsid w:val="003C1BD6"/>
    <w:rsid w:val="003C64A0"/>
    <w:rsid w:val="003D1B1E"/>
    <w:rsid w:val="003D6CBA"/>
    <w:rsid w:val="003E6F2A"/>
    <w:rsid w:val="003F7587"/>
    <w:rsid w:val="003F7755"/>
    <w:rsid w:val="00404826"/>
    <w:rsid w:val="004064E5"/>
    <w:rsid w:val="00413F12"/>
    <w:rsid w:val="004232C7"/>
    <w:rsid w:val="00430CA0"/>
    <w:rsid w:val="0044051C"/>
    <w:rsid w:val="00471051"/>
    <w:rsid w:val="004A2A7E"/>
    <w:rsid w:val="004A3531"/>
    <w:rsid w:val="004B373B"/>
    <w:rsid w:val="004D411D"/>
    <w:rsid w:val="004E448D"/>
    <w:rsid w:val="004F6D9B"/>
    <w:rsid w:val="00505755"/>
    <w:rsid w:val="005061D9"/>
    <w:rsid w:val="00510AE0"/>
    <w:rsid w:val="00511EB3"/>
    <w:rsid w:val="00513464"/>
    <w:rsid w:val="00513C7E"/>
    <w:rsid w:val="0051651E"/>
    <w:rsid w:val="00533498"/>
    <w:rsid w:val="00547913"/>
    <w:rsid w:val="00547CBD"/>
    <w:rsid w:val="00570467"/>
    <w:rsid w:val="0057259A"/>
    <w:rsid w:val="00580322"/>
    <w:rsid w:val="0058190E"/>
    <w:rsid w:val="0058681F"/>
    <w:rsid w:val="0058713B"/>
    <w:rsid w:val="00595099"/>
    <w:rsid w:val="005A1414"/>
    <w:rsid w:val="005C1CF2"/>
    <w:rsid w:val="005C255A"/>
    <w:rsid w:val="005C4FAD"/>
    <w:rsid w:val="005C5C1B"/>
    <w:rsid w:val="005D296D"/>
    <w:rsid w:val="005D4B7A"/>
    <w:rsid w:val="005E5609"/>
    <w:rsid w:val="005F1841"/>
    <w:rsid w:val="005F5A43"/>
    <w:rsid w:val="006131D0"/>
    <w:rsid w:val="006151F9"/>
    <w:rsid w:val="0061711F"/>
    <w:rsid w:val="00623B87"/>
    <w:rsid w:val="006267F6"/>
    <w:rsid w:val="00627C1E"/>
    <w:rsid w:val="00635993"/>
    <w:rsid w:val="00635DF6"/>
    <w:rsid w:val="00647406"/>
    <w:rsid w:val="00661468"/>
    <w:rsid w:val="0066795B"/>
    <w:rsid w:val="006813CA"/>
    <w:rsid w:val="00686C2E"/>
    <w:rsid w:val="006B790E"/>
    <w:rsid w:val="006D046E"/>
    <w:rsid w:val="006D1308"/>
    <w:rsid w:val="006E2B85"/>
    <w:rsid w:val="006F1DC8"/>
    <w:rsid w:val="006F4218"/>
    <w:rsid w:val="006F507F"/>
    <w:rsid w:val="006F5366"/>
    <w:rsid w:val="00700B70"/>
    <w:rsid w:val="00712DD0"/>
    <w:rsid w:val="00721782"/>
    <w:rsid w:val="00726A64"/>
    <w:rsid w:val="007363D9"/>
    <w:rsid w:val="00741787"/>
    <w:rsid w:val="00775409"/>
    <w:rsid w:val="00783230"/>
    <w:rsid w:val="00784084"/>
    <w:rsid w:val="00793149"/>
    <w:rsid w:val="007946B4"/>
    <w:rsid w:val="007A05CB"/>
    <w:rsid w:val="007A60C7"/>
    <w:rsid w:val="007A700C"/>
    <w:rsid w:val="007B482E"/>
    <w:rsid w:val="007B7391"/>
    <w:rsid w:val="007C74E4"/>
    <w:rsid w:val="007C7937"/>
    <w:rsid w:val="007C7948"/>
    <w:rsid w:val="007D08A8"/>
    <w:rsid w:val="007D7993"/>
    <w:rsid w:val="007D7E4E"/>
    <w:rsid w:val="007E4FE3"/>
    <w:rsid w:val="0080109B"/>
    <w:rsid w:val="008143F9"/>
    <w:rsid w:val="008341DC"/>
    <w:rsid w:val="00847041"/>
    <w:rsid w:val="00856FC1"/>
    <w:rsid w:val="008717B8"/>
    <w:rsid w:val="00872747"/>
    <w:rsid w:val="00873EBC"/>
    <w:rsid w:val="00874861"/>
    <w:rsid w:val="00895557"/>
    <w:rsid w:val="0089752E"/>
    <w:rsid w:val="008A0DBE"/>
    <w:rsid w:val="008B6830"/>
    <w:rsid w:val="008C634B"/>
    <w:rsid w:val="008D3CC1"/>
    <w:rsid w:val="008E1388"/>
    <w:rsid w:val="008E294C"/>
    <w:rsid w:val="008E43F4"/>
    <w:rsid w:val="008E63D4"/>
    <w:rsid w:val="008E750C"/>
    <w:rsid w:val="008F6288"/>
    <w:rsid w:val="009065CB"/>
    <w:rsid w:val="0091452A"/>
    <w:rsid w:val="0094480D"/>
    <w:rsid w:val="00952C06"/>
    <w:rsid w:val="009541CE"/>
    <w:rsid w:val="00967245"/>
    <w:rsid w:val="00983741"/>
    <w:rsid w:val="00983CC7"/>
    <w:rsid w:val="00996995"/>
    <w:rsid w:val="009B6E58"/>
    <w:rsid w:val="009C35B3"/>
    <w:rsid w:val="009E385E"/>
    <w:rsid w:val="009E39AE"/>
    <w:rsid w:val="00A1226A"/>
    <w:rsid w:val="00A35528"/>
    <w:rsid w:val="00A4744A"/>
    <w:rsid w:val="00A61CCD"/>
    <w:rsid w:val="00A71069"/>
    <w:rsid w:val="00A82F3B"/>
    <w:rsid w:val="00A86C7A"/>
    <w:rsid w:val="00A86DE4"/>
    <w:rsid w:val="00A919E7"/>
    <w:rsid w:val="00A91EEA"/>
    <w:rsid w:val="00A9219C"/>
    <w:rsid w:val="00A92EE5"/>
    <w:rsid w:val="00A94060"/>
    <w:rsid w:val="00AC218B"/>
    <w:rsid w:val="00AD107F"/>
    <w:rsid w:val="00AD1E49"/>
    <w:rsid w:val="00AE359F"/>
    <w:rsid w:val="00AF3EFC"/>
    <w:rsid w:val="00AF6420"/>
    <w:rsid w:val="00B03D94"/>
    <w:rsid w:val="00B10991"/>
    <w:rsid w:val="00B1277E"/>
    <w:rsid w:val="00B12C9E"/>
    <w:rsid w:val="00B23443"/>
    <w:rsid w:val="00B24F10"/>
    <w:rsid w:val="00B4246A"/>
    <w:rsid w:val="00B619BC"/>
    <w:rsid w:val="00B64614"/>
    <w:rsid w:val="00B71D9A"/>
    <w:rsid w:val="00B73262"/>
    <w:rsid w:val="00B770F1"/>
    <w:rsid w:val="00B85ECA"/>
    <w:rsid w:val="00B9362F"/>
    <w:rsid w:val="00BA03D6"/>
    <w:rsid w:val="00BA2012"/>
    <w:rsid w:val="00BB1F1D"/>
    <w:rsid w:val="00BB36A8"/>
    <w:rsid w:val="00BC0B39"/>
    <w:rsid w:val="00BC4A10"/>
    <w:rsid w:val="00BD1EB4"/>
    <w:rsid w:val="00BD7109"/>
    <w:rsid w:val="00BE645C"/>
    <w:rsid w:val="00BE7159"/>
    <w:rsid w:val="00C110BB"/>
    <w:rsid w:val="00C11AD7"/>
    <w:rsid w:val="00C11F3B"/>
    <w:rsid w:val="00C13698"/>
    <w:rsid w:val="00C20BAA"/>
    <w:rsid w:val="00C20F05"/>
    <w:rsid w:val="00C311D0"/>
    <w:rsid w:val="00C44C91"/>
    <w:rsid w:val="00C461DB"/>
    <w:rsid w:val="00C6030C"/>
    <w:rsid w:val="00C6650E"/>
    <w:rsid w:val="00C74A8F"/>
    <w:rsid w:val="00C91C5D"/>
    <w:rsid w:val="00C92993"/>
    <w:rsid w:val="00CB77D7"/>
    <w:rsid w:val="00CC072D"/>
    <w:rsid w:val="00CC0A7E"/>
    <w:rsid w:val="00CE2CB3"/>
    <w:rsid w:val="00CE6353"/>
    <w:rsid w:val="00CF65E1"/>
    <w:rsid w:val="00D06678"/>
    <w:rsid w:val="00D20CEE"/>
    <w:rsid w:val="00D24E3D"/>
    <w:rsid w:val="00D352E2"/>
    <w:rsid w:val="00D65293"/>
    <w:rsid w:val="00D6658B"/>
    <w:rsid w:val="00D71FE2"/>
    <w:rsid w:val="00D92F6C"/>
    <w:rsid w:val="00DA1E7F"/>
    <w:rsid w:val="00DB473F"/>
    <w:rsid w:val="00DC205E"/>
    <w:rsid w:val="00DC3861"/>
    <w:rsid w:val="00DC48DE"/>
    <w:rsid w:val="00DC632C"/>
    <w:rsid w:val="00DD32D9"/>
    <w:rsid w:val="00DD5608"/>
    <w:rsid w:val="00DF0BB4"/>
    <w:rsid w:val="00DF6C66"/>
    <w:rsid w:val="00E34BE2"/>
    <w:rsid w:val="00E4208A"/>
    <w:rsid w:val="00E523C4"/>
    <w:rsid w:val="00E60390"/>
    <w:rsid w:val="00E607F2"/>
    <w:rsid w:val="00E93532"/>
    <w:rsid w:val="00E93B92"/>
    <w:rsid w:val="00E970BC"/>
    <w:rsid w:val="00EC3EDA"/>
    <w:rsid w:val="00ED15D6"/>
    <w:rsid w:val="00ED6728"/>
    <w:rsid w:val="00EE6866"/>
    <w:rsid w:val="00EF41CC"/>
    <w:rsid w:val="00F043BE"/>
    <w:rsid w:val="00F22A75"/>
    <w:rsid w:val="00F23D1F"/>
    <w:rsid w:val="00F452B6"/>
    <w:rsid w:val="00F46D18"/>
    <w:rsid w:val="00F73AB3"/>
    <w:rsid w:val="00F77A7E"/>
    <w:rsid w:val="00F8033D"/>
    <w:rsid w:val="00F85199"/>
    <w:rsid w:val="00FA29A4"/>
    <w:rsid w:val="00FA404E"/>
    <w:rsid w:val="00FA5AD8"/>
    <w:rsid w:val="00FB47E0"/>
    <w:rsid w:val="00FC7128"/>
    <w:rsid w:val="00FD4812"/>
    <w:rsid w:val="00FE084F"/>
    <w:rsid w:val="00FE15EB"/>
    <w:rsid w:val="00FE5157"/>
    <w:rsid w:val="00FE563B"/>
    <w:rsid w:val="00FE746F"/>
    <w:rsid w:val="00FF15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08068B"/>
  <w15:docId w15:val="{C57A6757-A916-4312-A4D3-052942BA5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paragraph" w:customStyle="1" w:styleId="Default">
    <w:name w:val="Default"/>
    <w:rsid w:val="003D1B1E"/>
    <w:pPr>
      <w:autoSpaceDE w:val="0"/>
      <w:autoSpaceDN w:val="0"/>
      <w:adjustRightInd w:val="0"/>
      <w:spacing w:after="0" w:line="240" w:lineRule="auto"/>
    </w:pPr>
    <w:rPr>
      <w:rFonts w:ascii="Times New Roman" w:eastAsia="Calibri" w:hAnsi="Times New Roman" w:cs="Times New Roman"/>
      <w:color w:val="000000"/>
      <w:sz w:val="24"/>
      <w:szCs w:val="24"/>
      <w:lang w:val="mk-MK" w:eastAsia="mk-MK"/>
    </w:rPr>
  </w:style>
  <w:style w:type="paragraph" w:styleId="EndnoteText">
    <w:name w:val="endnote text"/>
    <w:basedOn w:val="Normal"/>
    <w:link w:val="EndnoteTextChar"/>
    <w:uiPriority w:val="99"/>
    <w:unhideWhenUsed/>
    <w:rsid w:val="007E4FE3"/>
    <w:pPr>
      <w:spacing w:after="0" w:line="240" w:lineRule="auto"/>
    </w:pPr>
    <w:rPr>
      <w:sz w:val="20"/>
      <w:szCs w:val="20"/>
    </w:rPr>
  </w:style>
  <w:style w:type="character" w:customStyle="1" w:styleId="EndnoteTextChar">
    <w:name w:val="Endnote Text Char"/>
    <w:basedOn w:val="DefaultParagraphFont"/>
    <w:link w:val="EndnoteText"/>
    <w:uiPriority w:val="99"/>
    <w:rsid w:val="007E4FE3"/>
    <w:rPr>
      <w:rFonts w:ascii="Calibri" w:eastAsia="Times New Roman" w:hAnsi="Calibri" w:cs="Times New Roman"/>
      <w:sz w:val="20"/>
      <w:szCs w:val="20"/>
      <w:lang w:val="en-GB" w:eastAsia="en-GB"/>
    </w:rPr>
  </w:style>
  <w:style w:type="character" w:styleId="EndnoteReference">
    <w:name w:val="endnote reference"/>
    <w:basedOn w:val="DefaultParagraphFont"/>
    <w:uiPriority w:val="99"/>
    <w:semiHidden/>
    <w:unhideWhenUsed/>
    <w:rsid w:val="007E4FE3"/>
    <w:rPr>
      <w:vertAlign w:val="superscript"/>
    </w:rPr>
  </w:style>
  <w:style w:type="paragraph" w:customStyle="1" w:styleId="Titreobjet">
    <w:name w:val="Titre objet"/>
    <w:basedOn w:val="Normal"/>
    <w:next w:val="Normal"/>
    <w:rsid w:val="00F46D18"/>
    <w:pPr>
      <w:spacing w:before="180" w:after="180" w:line="240" w:lineRule="auto"/>
      <w:jc w:val="center"/>
    </w:pPr>
    <w:rPr>
      <w:rFonts w:ascii="Times New Roman" w:eastAsia="Calibri" w:hAnsi="Times New Roman"/>
      <w:b/>
      <w:sz w:val="24"/>
    </w:rPr>
  </w:style>
  <w:style w:type="paragraph" w:customStyle="1" w:styleId="Typeacteprincipal">
    <w:name w:val="Type acte principal"/>
    <w:basedOn w:val="Normal"/>
    <w:next w:val="Objetacteprincipal"/>
    <w:rsid w:val="00F46D18"/>
    <w:pPr>
      <w:spacing w:after="240" w:line="240" w:lineRule="auto"/>
      <w:jc w:val="center"/>
    </w:pPr>
    <w:rPr>
      <w:rFonts w:ascii="Times New Roman" w:eastAsia="Calibri" w:hAnsi="Times New Roman"/>
      <w:b/>
      <w:sz w:val="24"/>
    </w:rPr>
  </w:style>
  <w:style w:type="paragraph" w:customStyle="1" w:styleId="Accompagnant">
    <w:name w:val="Accompagnant"/>
    <w:basedOn w:val="Normal"/>
    <w:next w:val="Typeacteprincipal"/>
    <w:rsid w:val="00F46D18"/>
    <w:pPr>
      <w:spacing w:before="180" w:after="240" w:line="240" w:lineRule="auto"/>
      <w:jc w:val="center"/>
    </w:pPr>
    <w:rPr>
      <w:rFonts w:ascii="Times New Roman" w:eastAsia="Calibri" w:hAnsi="Times New Roman"/>
      <w:b/>
      <w:sz w:val="24"/>
    </w:rPr>
  </w:style>
  <w:style w:type="paragraph" w:customStyle="1" w:styleId="Objetacteprincipal">
    <w:name w:val="Objet acte principal"/>
    <w:basedOn w:val="Normal"/>
    <w:next w:val="Normal"/>
    <w:rsid w:val="00F46D18"/>
    <w:pPr>
      <w:spacing w:after="360" w:line="240" w:lineRule="auto"/>
      <w:jc w:val="center"/>
    </w:pPr>
    <w:rPr>
      <w:rFonts w:ascii="Times New Roman" w:eastAsia="Calibri" w:hAnsi="Times New Roman"/>
      <w:b/>
      <w:sz w:val="24"/>
    </w:rPr>
  </w:style>
  <w:style w:type="paragraph" w:styleId="BalloonText">
    <w:name w:val="Balloon Text"/>
    <w:basedOn w:val="Normal"/>
    <w:link w:val="BalloonTextChar"/>
    <w:uiPriority w:val="99"/>
    <w:semiHidden/>
    <w:unhideWhenUsed/>
    <w:rsid w:val="00BA2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012"/>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04402B"/>
    <w:rPr>
      <w:sz w:val="16"/>
      <w:szCs w:val="16"/>
    </w:rPr>
  </w:style>
  <w:style w:type="paragraph" w:styleId="CommentText">
    <w:name w:val="annotation text"/>
    <w:basedOn w:val="Normal"/>
    <w:link w:val="CommentTextChar"/>
    <w:uiPriority w:val="99"/>
    <w:semiHidden/>
    <w:unhideWhenUsed/>
    <w:rsid w:val="0004402B"/>
    <w:pPr>
      <w:spacing w:line="240" w:lineRule="auto"/>
    </w:pPr>
    <w:rPr>
      <w:sz w:val="20"/>
      <w:szCs w:val="20"/>
    </w:rPr>
  </w:style>
  <w:style w:type="character" w:customStyle="1" w:styleId="CommentTextChar">
    <w:name w:val="Comment Text Char"/>
    <w:basedOn w:val="DefaultParagraphFont"/>
    <w:link w:val="CommentText"/>
    <w:uiPriority w:val="99"/>
    <w:semiHidden/>
    <w:rsid w:val="0004402B"/>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04402B"/>
    <w:rPr>
      <w:b/>
      <w:bCs/>
    </w:rPr>
  </w:style>
  <w:style w:type="character" w:customStyle="1" w:styleId="CommentSubjectChar">
    <w:name w:val="Comment Subject Char"/>
    <w:basedOn w:val="CommentTextChar"/>
    <w:link w:val="CommentSubject"/>
    <w:uiPriority w:val="99"/>
    <w:semiHidden/>
    <w:rsid w:val="0004402B"/>
    <w:rPr>
      <w:rFonts w:ascii="Calibri" w:eastAsia="Times New Roman" w:hAnsi="Calibri" w:cs="Times New Roman"/>
      <w:b/>
      <w:bCs/>
      <w:sz w:val="20"/>
      <w:szCs w:val="20"/>
      <w:lang w:val="en-GB" w:eastAsia="en-GB"/>
    </w:rPr>
  </w:style>
  <w:style w:type="paragraph" w:customStyle="1" w:styleId="Char2CharCharCharCharCharCharCharCharChar">
    <w:name w:val="Char2 Char Char Char Char Char Char Char Char Char"/>
    <w:basedOn w:val="Normal"/>
    <w:rsid w:val="00784084"/>
    <w:pPr>
      <w:spacing w:after="160" w:line="240" w:lineRule="exact"/>
    </w:pPr>
    <w:rPr>
      <w:rFonts w:ascii="Tahoma" w:hAnsi="Tahoma"/>
      <w:sz w:val="20"/>
      <w:szCs w:val="20"/>
      <w:lang w:val="en-US" w:eastAsia="en-US"/>
    </w:rPr>
  </w:style>
  <w:style w:type="character" w:customStyle="1" w:styleId="st">
    <w:name w:val="st"/>
    <w:basedOn w:val="DefaultParagraphFont"/>
    <w:rsid w:val="00570467"/>
  </w:style>
  <w:style w:type="character" w:styleId="Emphasis">
    <w:name w:val="Emphasis"/>
    <w:basedOn w:val="DefaultParagraphFont"/>
    <w:uiPriority w:val="20"/>
    <w:qFormat/>
    <w:rsid w:val="005704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4481">
      <w:bodyDiv w:val="1"/>
      <w:marLeft w:val="0"/>
      <w:marRight w:val="0"/>
      <w:marTop w:val="0"/>
      <w:marBottom w:val="0"/>
      <w:divBdr>
        <w:top w:val="none" w:sz="0" w:space="0" w:color="auto"/>
        <w:left w:val="none" w:sz="0" w:space="0" w:color="auto"/>
        <w:bottom w:val="none" w:sz="0" w:space="0" w:color="auto"/>
        <w:right w:val="none" w:sz="0" w:space="0" w:color="auto"/>
      </w:divBdr>
      <w:divsChild>
        <w:div w:id="1219973113">
          <w:marLeft w:val="0"/>
          <w:marRight w:val="0"/>
          <w:marTop w:val="0"/>
          <w:marBottom w:val="120"/>
          <w:divBdr>
            <w:top w:val="none" w:sz="0" w:space="0" w:color="auto"/>
            <w:left w:val="none" w:sz="0" w:space="0" w:color="auto"/>
            <w:bottom w:val="none" w:sz="0" w:space="0" w:color="auto"/>
            <w:right w:val="none" w:sz="0" w:space="0" w:color="auto"/>
          </w:divBdr>
        </w:div>
        <w:div w:id="649863894">
          <w:marLeft w:val="0"/>
          <w:marRight w:val="0"/>
          <w:marTop w:val="0"/>
          <w:marBottom w:val="0"/>
          <w:divBdr>
            <w:top w:val="none" w:sz="0" w:space="0" w:color="auto"/>
            <w:left w:val="none" w:sz="0" w:space="0" w:color="auto"/>
            <w:bottom w:val="none" w:sz="0" w:space="0" w:color="auto"/>
            <w:right w:val="none" w:sz="0" w:space="0" w:color="auto"/>
          </w:divBdr>
        </w:div>
      </w:divsChild>
    </w:div>
    <w:div w:id="234053863">
      <w:bodyDiv w:val="1"/>
      <w:marLeft w:val="0"/>
      <w:marRight w:val="0"/>
      <w:marTop w:val="0"/>
      <w:marBottom w:val="0"/>
      <w:divBdr>
        <w:top w:val="none" w:sz="0" w:space="0" w:color="auto"/>
        <w:left w:val="none" w:sz="0" w:space="0" w:color="auto"/>
        <w:bottom w:val="none" w:sz="0" w:space="0" w:color="auto"/>
        <w:right w:val="none" w:sz="0" w:space="0" w:color="auto"/>
      </w:divBdr>
    </w:div>
    <w:div w:id="532965825">
      <w:bodyDiv w:val="1"/>
      <w:marLeft w:val="0"/>
      <w:marRight w:val="0"/>
      <w:marTop w:val="0"/>
      <w:marBottom w:val="0"/>
      <w:divBdr>
        <w:top w:val="none" w:sz="0" w:space="0" w:color="auto"/>
        <w:left w:val="none" w:sz="0" w:space="0" w:color="auto"/>
        <w:bottom w:val="none" w:sz="0" w:space="0" w:color="auto"/>
        <w:right w:val="none" w:sz="0" w:space="0" w:color="auto"/>
      </w:divBdr>
    </w:div>
    <w:div w:id="612785356">
      <w:bodyDiv w:val="1"/>
      <w:marLeft w:val="0"/>
      <w:marRight w:val="0"/>
      <w:marTop w:val="0"/>
      <w:marBottom w:val="0"/>
      <w:divBdr>
        <w:top w:val="none" w:sz="0" w:space="0" w:color="auto"/>
        <w:left w:val="none" w:sz="0" w:space="0" w:color="auto"/>
        <w:bottom w:val="none" w:sz="0" w:space="0" w:color="auto"/>
        <w:right w:val="none" w:sz="0" w:space="0" w:color="auto"/>
      </w:divBdr>
      <w:divsChild>
        <w:div w:id="257715901">
          <w:marLeft w:val="0"/>
          <w:marRight w:val="0"/>
          <w:marTop w:val="240"/>
          <w:marBottom w:val="280"/>
          <w:divBdr>
            <w:top w:val="none" w:sz="0" w:space="0" w:color="auto"/>
            <w:left w:val="none" w:sz="0" w:space="0" w:color="auto"/>
            <w:bottom w:val="none" w:sz="0" w:space="0" w:color="auto"/>
            <w:right w:val="none" w:sz="0" w:space="0" w:color="auto"/>
          </w:divBdr>
        </w:div>
        <w:div w:id="21975978">
          <w:marLeft w:val="0"/>
          <w:marRight w:val="0"/>
          <w:marTop w:val="280"/>
          <w:marBottom w:val="0"/>
          <w:divBdr>
            <w:top w:val="none" w:sz="0" w:space="0" w:color="auto"/>
            <w:left w:val="none" w:sz="0" w:space="0" w:color="auto"/>
            <w:bottom w:val="none" w:sz="0" w:space="0" w:color="auto"/>
            <w:right w:val="none" w:sz="0" w:space="0" w:color="auto"/>
          </w:divBdr>
        </w:div>
        <w:div w:id="1341617268">
          <w:marLeft w:val="0"/>
          <w:marRight w:val="0"/>
          <w:marTop w:val="240"/>
          <w:marBottom w:val="280"/>
          <w:divBdr>
            <w:top w:val="none" w:sz="0" w:space="0" w:color="auto"/>
            <w:left w:val="none" w:sz="0" w:space="0" w:color="auto"/>
            <w:bottom w:val="none" w:sz="0" w:space="0" w:color="auto"/>
            <w:right w:val="none" w:sz="0" w:space="0" w:color="auto"/>
          </w:divBdr>
        </w:div>
      </w:divsChild>
    </w:div>
    <w:div w:id="628440992">
      <w:bodyDiv w:val="1"/>
      <w:marLeft w:val="0"/>
      <w:marRight w:val="0"/>
      <w:marTop w:val="0"/>
      <w:marBottom w:val="0"/>
      <w:divBdr>
        <w:top w:val="none" w:sz="0" w:space="0" w:color="auto"/>
        <w:left w:val="none" w:sz="0" w:space="0" w:color="auto"/>
        <w:bottom w:val="none" w:sz="0" w:space="0" w:color="auto"/>
        <w:right w:val="none" w:sz="0" w:space="0" w:color="auto"/>
      </w:divBdr>
    </w:div>
    <w:div w:id="764763402">
      <w:bodyDiv w:val="1"/>
      <w:marLeft w:val="0"/>
      <w:marRight w:val="0"/>
      <w:marTop w:val="0"/>
      <w:marBottom w:val="0"/>
      <w:divBdr>
        <w:top w:val="none" w:sz="0" w:space="0" w:color="auto"/>
        <w:left w:val="none" w:sz="0" w:space="0" w:color="auto"/>
        <w:bottom w:val="none" w:sz="0" w:space="0" w:color="auto"/>
        <w:right w:val="none" w:sz="0" w:space="0" w:color="auto"/>
      </w:divBdr>
    </w:div>
    <w:div w:id="841092185">
      <w:bodyDiv w:val="1"/>
      <w:marLeft w:val="0"/>
      <w:marRight w:val="0"/>
      <w:marTop w:val="0"/>
      <w:marBottom w:val="0"/>
      <w:divBdr>
        <w:top w:val="none" w:sz="0" w:space="0" w:color="auto"/>
        <w:left w:val="none" w:sz="0" w:space="0" w:color="auto"/>
        <w:bottom w:val="none" w:sz="0" w:space="0" w:color="auto"/>
        <w:right w:val="none" w:sz="0" w:space="0" w:color="auto"/>
      </w:divBdr>
    </w:div>
    <w:div w:id="958338994">
      <w:bodyDiv w:val="1"/>
      <w:marLeft w:val="0"/>
      <w:marRight w:val="0"/>
      <w:marTop w:val="0"/>
      <w:marBottom w:val="0"/>
      <w:divBdr>
        <w:top w:val="none" w:sz="0" w:space="0" w:color="auto"/>
        <w:left w:val="none" w:sz="0" w:space="0" w:color="auto"/>
        <w:bottom w:val="none" w:sz="0" w:space="0" w:color="auto"/>
        <w:right w:val="none" w:sz="0" w:space="0" w:color="auto"/>
      </w:divBdr>
    </w:div>
    <w:div w:id="1005785443">
      <w:bodyDiv w:val="1"/>
      <w:marLeft w:val="0"/>
      <w:marRight w:val="0"/>
      <w:marTop w:val="0"/>
      <w:marBottom w:val="0"/>
      <w:divBdr>
        <w:top w:val="none" w:sz="0" w:space="0" w:color="auto"/>
        <w:left w:val="none" w:sz="0" w:space="0" w:color="auto"/>
        <w:bottom w:val="none" w:sz="0" w:space="0" w:color="auto"/>
        <w:right w:val="none" w:sz="0" w:space="0" w:color="auto"/>
      </w:divBdr>
      <w:divsChild>
        <w:div w:id="1403795406">
          <w:marLeft w:val="0"/>
          <w:marRight w:val="0"/>
          <w:marTop w:val="280"/>
          <w:marBottom w:val="0"/>
          <w:divBdr>
            <w:top w:val="none" w:sz="0" w:space="0" w:color="auto"/>
            <w:left w:val="none" w:sz="0" w:space="0" w:color="auto"/>
            <w:bottom w:val="none" w:sz="0" w:space="0" w:color="auto"/>
            <w:right w:val="none" w:sz="0" w:space="0" w:color="auto"/>
          </w:divBdr>
        </w:div>
        <w:div w:id="1669358117">
          <w:marLeft w:val="0"/>
          <w:marRight w:val="0"/>
          <w:marTop w:val="280"/>
          <w:marBottom w:val="0"/>
          <w:divBdr>
            <w:top w:val="none" w:sz="0" w:space="0" w:color="auto"/>
            <w:left w:val="none" w:sz="0" w:space="0" w:color="auto"/>
            <w:bottom w:val="none" w:sz="0" w:space="0" w:color="auto"/>
            <w:right w:val="none" w:sz="0" w:space="0" w:color="auto"/>
          </w:divBdr>
        </w:div>
      </w:divsChild>
    </w:div>
    <w:div w:id="1283685133">
      <w:bodyDiv w:val="1"/>
      <w:marLeft w:val="0"/>
      <w:marRight w:val="0"/>
      <w:marTop w:val="0"/>
      <w:marBottom w:val="0"/>
      <w:divBdr>
        <w:top w:val="none" w:sz="0" w:space="0" w:color="auto"/>
        <w:left w:val="none" w:sz="0" w:space="0" w:color="auto"/>
        <w:bottom w:val="none" w:sz="0" w:space="0" w:color="auto"/>
        <w:right w:val="none" w:sz="0" w:space="0" w:color="auto"/>
      </w:divBdr>
    </w:div>
    <w:div w:id="1381592108">
      <w:bodyDiv w:val="1"/>
      <w:marLeft w:val="0"/>
      <w:marRight w:val="0"/>
      <w:marTop w:val="0"/>
      <w:marBottom w:val="0"/>
      <w:divBdr>
        <w:top w:val="none" w:sz="0" w:space="0" w:color="auto"/>
        <w:left w:val="none" w:sz="0" w:space="0" w:color="auto"/>
        <w:bottom w:val="none" w:sz="0" w:space="0" w:color="auto"/>
        <w:right w:val="none" w:sz="0" w:space="0" w:color="auto"/>
      </w:divBdr>
    </w:div>
    <w:div w:id="1607349915">
      <w:bodyDiv w:val="1"/>
      <w:marLeft w:val="0"/>
      <w:marRight w:val="0"/>
      <w:marTop w:val="0"/>
      <w:marBottom w:val="0"/>
      <w:divBdr>
        <w:top w:val="none" w:sz="0" w:space="0" w:color="auto"/>
        <w:left w:val="none" w:sz="0" w:space="0" w:color="auto"/>
        <w:bottom w:val="none" w:sz="0" w:space="0" w:color="auto"/>
        <w:right w:val="none" w:sz="0" w:space="0" w:color="auto"/>
      </w:divBdr>
    </w:div>
    <w:div w:id="1825124623">
      <w:bodyDiv w:val="1"/>
      <w:marLeft w:val="0"/>
      <w:marRight w:val="0"/>
      <w:marTop w:val="0"/>
      <w:marBottom w:val="0"/>
      <w:divBdr>
        <w:top w:val="none" w:sz="0" w:space="0" w:color="auto"/>
        <w:left w:val="none" w:sz="0" w:space="0" w:color="auto"/>
        <w:bottom w:val="none" w:sz="0" w:space="0" w:color="auto"/>
        <w:right w:val="none" w:sz="0" w:space="0" w:color="auto"/>
      </w:divBdr>
    </w:div>
    <w:div w:id="1900096077">
      <w:bodyDiv w:val="1"/>
      <w:marLeft w:val="0"/>
      <w:marRight w:val="0"/>
      <w:marTop w:val="0"/>
      <w:marBottom w:val="0"/>
      <w:divBdr>
        <w:top w:val="none" w:sz="0" w:space="0" w:color="auto"/>
        <w:left w:val="none" w:sz="0" w:space="0" w:color="auto"/>
        <w:bottom w:val="none" w:sz="0" w:space="0" w:color="auto"/>
        <w:right w:val="none" w:sz="0" w:space="0" w:color="auto"/>
      </w:divBdr>
    </w:div>
    <w:div w:id="1953323910">
      <w:bodyDiv w:val="1"/>
      <w:marLeft w:val="0"/>
      <w:marRight w:val="0"/>
      <w:marTop w:val="0"/>
      <w:marBottom w:val="0"/>
      <w:divBdr>
        <w:top w:val="none" w:sz="0" w:space="0" w:color="auto"/>
        <w:left w:val="none" w:sz="0" w:space="0" w:color="auto"/>
        <w:bottom w:val="none" w:sz="0" w:space="0" w:color="auto"/>
        <w:right w:val="none" w:sz="0" w:space="0" w:color="auto"/>
      </w:divBdr>
      <w:divsChild>
        <w:div w:id="1454709080">
          <w:marLeft w:val="0"/>
          <w:marRight w:val="0"/>
          <w:marTop w:val="280"/>
          <w:marBottom w:val="280"/>
          <w:divBdr>
            <w:top w:val="none" w:sz="0" w:space="0" w:color="auto"/>
            <w:left w:val="none" w:sz="0" w:space="0" w:color="auto"/>
            <w:bottom w:val="none" w:sz="0" w:space="0" w:color="auto"/>
            <w:right w:val="none" w:sz="0" w:space="0" w:color="auto"/>
          </w:divBdr>
        </w:div>
        <w:div w:id="1454446737">
          <w:marLeft w:val="0"/>
          <w:marRight w:val="0"/>
          <w:marTop w:val="280"/>
          <w:marBottom w:val="280"/>
          <w:divBdr>
            <w:top w:val="none" w:sz="0" w:space="0" w:color="auto"/>
            <w:left w:val="none" w:sz="0" w:space="0" w:color="auto"/>
            <w:bottom w:val="none" w:sz="0" w:space="0" w:color="auto"/>
            <w:right w:val="none" w:sz="0" w:space="0" w:color="auto"/>
          </w:divBdr>
        </w:div>
      </w:divsChild>
    </w:div>
    <w:div w:id="209338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C2B23-3D49-4B45-A49B-4AE7B273C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3766</Words>
  <Characters>21467</Characters>
  <Application>Microsoft Office Word</Application>
  <DocSecurity>0</DocSecurity>
  <Lines>178</Lines>
  <Paragraphs>50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European Commission</Company>
  <LinksUpToDate>false</LinksUpToDate>
  <CharactersWithSpaces>25183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PRODANOVA Donka (EEAS-SKOPJE)</cp:lastModifiedBy>
  <cp:revision>10</cp:revision>
  <dcterms:created xsi:type="dcterms:W3CDTF">2020-07-07T13:09:00Z</dcterms:created>
  <dcterms:modified xsi:type="dcterms:W3CDTF">2020-07-07T13:54:00Z</dcterms:modified>
</cp:coreProperties>
</file>