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FC3DD" w14:textId="77777777" w:rsidR="00D92F6C" w:rsidRPr="00ED7BD1" w:rsidRDefault="00B10991" w:rsidP="00E53810">
      <w:pPr>
        <w:pStyle w:val="Heading2"/>
        <w:tabs>
          <w:tab w:val="left" w:pos="810"/>
        </w:tabs>
        <w:rPr>
          <w:rFonts w:ascii="Times New Roman" w:hAnsi="Times New Roman"/>
          <w:b w:val="0"/>
          <w:bCs w:val="0"/>
          <w:smallCaps/>
          <w:color w:val="auto"/>
          <w:sz w:val="28"/>
          <w:szCs w:val="28"/>
          <w:lang w:val="it-IT"/>
        </w:rPr>
      </w:pPr>
      <w:bookmarkStart w:id="0" w:name="_Toc33714665"/>
      <w:r w:rsidRPr="00ED7BD1">
        <w:rPr>
          <w:rFonts w:ascii="Times New Roman" w:hAnsi="Times New Roman"/>
          <w:smallCaps/>
          <w:color w:val="auto"/>
          <w:sz w:val="28"/>
          <w:szCs w:val="28"/>
          <w:lang w:val="it-IT"/>
        </w:rPr>
        <w:t xml:space="preserve">ANNEX I –IPA III </w:t>
      </w:r>
      <w:r w:rsidR="00D92F6C" w:rsidRPr="00ED7BD1">
        <w:rPr>
          <w:rFonts w:ascii="Times New Roman" w:hAnsi="Times New Roman"/>
          <w:smallCaps/>
          <w:color w:val="auto"/>
          <w:sz w:val="28"/>
          <w:szCs w:val="28"/>
          <w:lang w:val="it-IT"/>
        </w:rPr>
        <w:t>A</w:t>
      </w:r>
      <w:r w:rsidRPr="00ED7BD1">
        <w:rPr>
          <w:rFonts w:ascii="Times New Roman" w:hAnsi="Times New Roman"/>
          <w:smallCaps/>
          <w:color w:val="auto"/>
          <w:sz w:val="28"/>
          <w:szCs w:val="28"/>
          <w:lang w:val="it-IT"/>
        </w:rPr>
        <w:t xml:space="preserve">ction Fiche </w:t>
      </w:r>
      <w:bookmarkEnd w:id="0"/>
    </w:p>
    <w:p w14:paraId="4929DF75" w14:textId="77777777" w:rsidR="00D92F6C" w:rsidRPr="00ED7BD1" w:rsidRDefault="00D92F6C" w:rsidP="00D92F6C">
      <w:pPr>
        <w:keepNext/>
        <w:keepLines/>
        <w:spacing w:before="200" w:after="0"/>
        <w:outlineLvl w:val="1"/>
        <w:rPr>
          <w:rFonts w:ascii="Times New Roman" w:hAnsi="Times New Roman"/>
          <w:b/>
          <w:bCs/>
          <w:smallCaps/>
          <w:sz w:val="24"/>
          <w:szCs w:val="24"/>
          <w:lang w:val="it-IT"/>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7229"/>
      </w:tblGrid>
      <w:tr w:rsidR="00ED7BD1" w:rsidRPr="00ED7BD1" w14:paraId="46C3AE44" w14:textId="77777777" w:rsidTr="001556BC">
        <w:trPr>
          <w:jc w:val="center"/>
        </w:trPr>
        <w:tc>
          <w:tcPr>
            <w:tcW w:w="534" w:type="dxa"/>
            <w:tcBorders>
              <w:top w:val="single" w:sz="4" w:space="0" w:color="auto"/>
              <w:left w:val="single" w:sz="4" w:space="0" w:color="auto"/>
              <w:bottom w:val="single" w:sz="4" w:space="0" w:color="auto"/>
              <w:right w:val="single" w:sz="4" w:space="0" w:color="auto"/>
            </w:tcBorders>
          </w:tcPr>
          <w:p w14:paraId="666E741A" w14:textId="77777777" w:rsidR="00D92F6C" w:rsidRPr="00ED7BD1" w:rsidRDefault="00D92F6C" w:rsidP="001556BC">
            <w:pPr>
              <w:spacing w:after="0" w:line="240" w:lineRule="auto"/>
              <w:rPr>
                <w:rFonts w:ascii="Times New Roman" w:hAnsi="Times New Roman"/>
                <w:b/>
                <w:sz w:val="24"/>
                <w:szCs w:val="24"/>
                <w:lang w:val="it-IT"/>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668F92A" w14:textId="77777777" w:rsidR="00D92F6C" w:rsidRPr="00ED7BD1" w:rsidRDefault="00D92F6C" w:rsidP="006B2A97">
            <w:pPr>
              <w:spacing w:after="0" w:line="240" w:lineRule="auto"/>
              <w:jc w:val="center"/>
              <w:rPr>
                <w:rFonts w:ascii="Times New Roman" w:hAnsi="Times New Roman"/>
                <w:sz w:val="24"/>
                <w:szCs w:val="24"/>
              </w:rPr>
            </w:pPr>
            <w:r w:rsidRPr="00ED7BD1">
              <w:rPr>
                <w:rFonts w:ascii="Times New Roman" w:hAnsi="Times New Roman"/>
                <w:sz w:val="24"/>
                <w:szCs w:val="24"/>
              </w:rPr>
              <w:t>Indicative title of the Action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42B936D" w14:textId="0D1899E2" w:rsidR="00D92F6C" w:rsidRPr="00ED7BD1" w:rsidRDefault="006B2A97" w:rsidP="00ED7BD1">
            <w:pPr>
              <w:spacing w:before="120" w:after="0" w:line="240" w:lineRule="auto"/>
              <w:rPr>
                <w:rFonts w:ascii="Times New Roman" w:hAnsi="Times New Roman"/>
                <w:b/>
                <w:sz w:val="24"/>
                <w:szCs w:val="24"/>
              </w:rPr>
            </w:pPr>
            <w:r w:rsidRPr="00ED7BD1">
              <w:rPr>
                <w:rFonts w:ascii="Times New Roman" w:hAnsi="Times New Roman"/>
                <w:b/>
                <w:sz w:val="24"/>
                <w:szCs w:val="24"/>
              </w:rPr>
              <w:t xml:space="preserve">EU </w:t>
            </w:r>
            <w:r w:rsidR="00ED7BD1">
              <w:rPr>
                <w:rFonts w:ascii="Times New Roman" w:hAnsi="Times New Roman"/>
                <w:b/>
                <w:sz w:val="24"/>
                <w:szCs w:val="24"/>
              </w:rPr>
              <w:t>for improved Borders Management, Migration and Asylum Policy</w:t>
            </w:r>
          </w:p>
        </w:tc>
      </w:tr>
      <w:tr w:rsidR="00ED7BD1" w:rsidRPr="00ED7BD1" w14:paraId="1384AD36" w14:textId="77777777" w:rsidTr="001556BC">
        <w:trPr>
          <w:jc w:val="center"/>
        </w:trPr>
        <w:tc>
          <w:tcPr>
            <w:tcW w:w="534" w:type="dxa"/>
            <w:vMerge w:val="restart"/>
            <w:tcBorders>
              <w:top w:val="single" w:sz="4" w:space="0" w:color="auto"/>
              <w:left w:val="single" w:sz="4" w:space="0" w:color="auto"/>
              <w:right w:val="single" w:sz="4" w:space="0" w:color="auto"/>
            </w:tcBorders>
            <w:textDirection w:val="btLr"/>
          </w:tcPr>
          <w:p w14:paraId="5C012F4F" w14:textId="77777777" w:rsidR="00D92F6C" w:rsidRPr="00ED7BD1" w:rsidRDefault="00D92F6C" w:rsidP="001556BC">
            <w:pPr>
              <w:spacing w:after="0" w:line="240" w:lineRule="auto"/>
              <w:ind w:left="113" w:right="113"/>
              <w:rPr>
                <w:rFonts w:ascii="Times New Roman" w:hAnsi="Times New Roman"/>
                <w:sz w:val="24"/>
                <w:szCs w:val="24"/>
              </w:rPr>
            </w:pPr>
            <w:r w:rsidRPr="00ED7BD1">
              <w:rPr>
                <w:rFonts w:ascii="Times New Roman" w:hAnsi="Times New Roman"/>
                <w:b/>
                <w:sz w:val="24"/>
                <w:szCs w:val="24"/>
              </w:rPr>
              <w:t>CRITERIA FOR RELEVANCE ASSESSMENT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480C3EA" w14:textId="77777777" w:rsidR="00D92F6C" w:rsidRPr="00ED7BD1" w:rsidRDefault="00D92F6C" w:rsidP="001556BC">
            <w:pPr>
              <w:spacing w:after="0" w:line="240" w:lineRule="auto"/>
              <w:rPr>
                <w:rFonts w:ascii="Times New Roman" w:hAnsi="Times New Roman"/>
                <w:sz w:val="24"/>
                <w:szCs w:val="24"/>
              </w:rPr>
            </w:pPr>
            <w:r w:rsidRPr="00ED7BD1">
              <w:rPr>
                <w:rFonts w:ascii="Times New Roman" w:hAnsi="Times New Roman"/>
                <w:sz w:val="24"/>
                <w:szCs w:val="24"/>
              </w:rPr>
              <w:t>Key thematic priority</w:t>
            </w:r>
          </w:p>
          <w:p w14:paraId="4AE8B628" w14:textId="77777777" w:rsidR="00D92F6C" w:rsidRPr="00ED7BD1" w:rsidRDefault="00D92F6C" w:rsidP="001556BC">
            <w:pPr>
              <w:spacing w:after="0" w:line="240" w:lineRule="auto"/>
              <w:rPr>
                <w:rFonts w:ascii="Times New Roman" w:hAnsi="Times New Roman"/>
                <w:i/>
                <w:sz w:val="24"/>
                <w:szCs w:val="24"/>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CA107AD" w14:textId="77777777" w:rsidR="009139D8" w:rsidRPr="00ED7BD1" w:rsidRDefault="008D3DC2" w:rsidP="00ED7BD1">
            <w:pPr>
              <w:spacing w:before="120" w:after="0" w:line="240" w:lineRule="auto"/>
              <w:rPr>
                <w:rFonts w:ascii="Times New Roman" w:eastAsia="Arial Unicode MS" w:hAnsi="Times New Roman"/>
                <w:b/>
                <w:bCs/>
                <w:iCs/>
                <w:sz w:val="24"/>
                <w:szCs w:val="24"/>
              </w:rPr>
            </w:pPr>
            <w:r w:rsidRPr="00ED7BD1">
              <w:rPr>
                <w:rFonts w:ascii="Times New Roman" w:eastAsia="Arial Unicode MS" w:hAnsi="Times New Roman"/>
                <w:b/>
                <w:bCs/>
                <w:iCs/>
                <w:sz w:val="24"/>
                <w:szCs w:val="24"/>
              </w:rPr>
              <w:t>WINDOW</w:t>
            </w:r>
            <w:r w:rsidR="007A19D4" w:rsidRPr="00ED7BD1">
              <w:rPr>
                <w:rFonts w:ascii="Times New Roman" w:eastAsia="Arial Unicode MS" w:hAnsi="Times New Roman"/>
                <w:b/>
                <w:bCs/>
                <w:iCs/>
                <w:sz w:val="24"/>
                <w:szCs w:val="24"/>
              </w:rPr>
              <w:t xml:space="preserve"> 1</w:t>
            </w:r>
            <w:r w:rsidRPr="00ED7BD1">
              <w:rPr>
                <w:rFonts w:ascii="Times New Roman" w:eastAsia="Arial Unicode MS" w:hAnsi="Times New Roman"/>
                <w:b/>
                <w:bCs/>
                <w:iCs/>
                <w:sz w:val="24"/>
                <w:szCs w:val="24"/>
              </w:rPr>
              <w:t xml:space="preserve">: </w:t>
            </w:r>
            <w:r w:rsidR="009139D8" w:rsidRPr="00ED7BD1">
              <w:rPr>
                <w:rFonts w:ascii="Times New Roman" w:eastAsia="Arial Unicode MS" w:hAnsi="Times New Roman"/>
                <w:b/>
                <w:bCs/>
                <w:iCs/>
                <w:sz w:val="24"/>
                <w:szCs w:val="24"/>
              </w:rPr>
              <w:t>RULE OF LAW, FUNDAMENTAL RIGHTS AND DEMOCRACY</w:t>
            </w:r>
          </w:p>
          <w:p w14:paraId="28B06E50" w14:textId="77777777" w:rsidR="00D92F6C" w:rsidRPr="00ED7BD1" w:rsidRDefault="009139D8" w:rsidP="00ED7BD1">
            <w:pPr>
              <w:spacing w:before="120" w:after="0" w:line="240" w:lineRule="auto"/>
              <w:rPr>
                <w:rFonts w:ascii="Times New Roman" w:eastAsia="Arial Unicode MS" w:hAnsi="Times New Roman"/>
                <w:b/>
                <w:bCs/>
                <w:i/>
                <w:iCs/>
                <w:sz w:val="24"/>
                <w:szCs w:val="24"/>
              </w:rPr>
            </w:pPr>
            <w:r w:rsidRPr="00ED7BD1">
              <w:rPr>
                <w:rFonts w:ascii="Times New Roman" w:eastAsia="Arial Unicode MS" w:hAnsi="Times New Roman"/>
                <w:b/>
                <w:bCs/>
                <w:i/>
                <w:iCs/>
                <w:sz w:val="24"/>
                <w:szCs w:val="24"/>
              </w:rPr>
              <w:t>Thematic Priority 4: Migration and border management</w:t>
            </w:r>
          </w:p>
        </w:tc>
      </w:tr>
      <w:tr w:rsidR="00ED7BD1" w:rsidRPr="00ED7BD1" w14:paraId="09061DF6" w14:textId="77777777" w:rsidTr="009979CD">
        <w:trPr>
          <w:trHeight w:val="1970"/>
          <w:jc w:val="center"/>
        </w:trPr>
        <w:tc>
          <w:tcPr>
            <w:tcW w:w="534" w:type="dxa"/>
            <w:vMerge/>
            <w:tcBorders>
              <w:left w:val="single" w:sz="4" w:space="0" w:color="auto"/>
              <w:right w:val="single" w:sz="4" w:space="0" w:color="auto"/>
            </w:tcBorders>
          </w:tcPr>
          <w:p w14:paraId="63F5A24B" w14:textId="77777777" w:rsidR="00D92F6C" w:rsidRPr="00ED7BD1" w:rsidRDefault="00D92F6C" w:rsidP="001556BC">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160017E" w14:textId="77777777" w:rsidR="00D92F6C" w:rsidRPr="00ED7BD1" w:rsidRDefault="00D92F6C" w:rsidP="001556BC">
            <w:pPr>
              <w:spacing w:after="0"/>
              <w:rPr>
                <w:rFonts w:ascii="Times New Roman" w:hAnsi="Times New Roman"/>
                <w:sz w:val="24"/>
                <w:szCs w:val="24"/>
              </w:rPr>
            </w:pPr>
            <w:r w:rsidRPr="00ED7BD1">
              <w:rPr>
                <w:rFonts w:ascii="Times New Roman" w:hAnsi="Times New Roman"/>
                <w:sz w:val="24"/>
                <w:szCs w:val="24"/>
              </w:rPr>
              <w:t>Links with specific policy instruments of the enlargement process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B262E58" w14:textId="77777777" w:rsidR="00F371CD" w:rsidRPr="00ED7BD1" w:rsidRDefault="00F371CD" w:rsidP="00841F3C">
            <w:pPr>
              <w:pStyle w:val="ManualConsidrant"/>
              <w:spacing w:before="0"/>
              <w:ind w:left="58" w:firstLine="0"/>
              <w:rPr>
                <w:szCs w:val="24"/>
              </w:rPr>
            </w:pPr>
            <w:r w:rsidRPr="00ED7BD1">
              <w:rPr>
                <w:szCs w:val="24"/>
              </w:rPr>
              <w:t>The Action is designed to contribute to effective management of the national borders by strengthening the material and human capacities to detect and prevent irregular migration, as well as provide adequate assistance to asylum seekers and victims of trafficking in human beings and victims of smuggling; to improve surveillance and detection capacity of the border police in relation to all forms of cross-border crime as well as implementation of the Integrated Border Management Strategy; to improve the capacities of the asylum unit and the reception and accommodation facilities and to ensure the implementation of visa, migration and asylum policies, in line with the EU acquis and standards of ensuring fundamental rights. The action will further strengthen the mechanisms of early identification, registration and proper referral of irregular migrants and asylum-seekers, including identification and screening procedures such as identification of nationalities, detection of falsified documents and identification of persons with special needs including development of effective identification and registration process in line with EU standards and best practices.</w:t>
            </w:r>
          </w:p>
          <w:p w14:paraId="0ED60BF9" w14:textId="32580734" w:rsidR="000B10FE" w:rsidRPr="00ED7BD1" w:rsidRDefault="008D3DC2" w:rsidP="0089691B">
            <w:pPr>
              <w:pStyle w:val="ManualConsidrant"/>
              <w:spacing w:before="0"/>
              <w:ind w:left="58" w:firstLine="0"/>
              <w:rPr>
                <w:szCs w:val="24"/>
              </w:rPr>
            </w:pPr>
            <w:r w:rsidRPr="00ED7BD1">
              <w:rPr>
                <w:szCs w:val="24"/>
              </w:rPr>
              <w:t xml:space="preserve">The Action will </w:t>
            </w:r>
            <w:r w:rsidR="00E73236" w:rsidRPr="00ED7BD1">
              <w:rPr>
                <w:b/>
                <w:szCs w:val="24"/>
              </w:rPr>
              <w:t>enhance the operational capacity of the border police and improve the border and migration management capacities with a special attention to vulnerable asylum seekers.</w:t>
            </w:r>
            <w:r w:rsidR="000B10FE" w:rsidRPr="00ED7BD1">
              <w:rPr>
                <w:b/>
                <w:szCs w:val="24"/>
              </w:rPr>
              <w:t xml:space="preserve"> </w:t>
            </w:r>
            <w:r w:rsidR="000B10FE" w:rsidRPr="00ED7BD1">
              <w:rPr>
                <w:szCs w:val="24"/>
              </w:rPr>
              <w:t xml:space="preserve">This objective will be achieved through support to improve the exchange of information and cooperation in identification and registration of migrants, through assessment of the existing exchange systems and procedures. It will also target </w:t>
            </w:r>
            <w:r w:rsidR="00A40243" w:rsidRPr="00ED7BD1">
              <w:rPr>
                <w:szCs w:val="24"/>
              </w:rPr>
              <w:t xml:space="preserve">the </w:t>
            </w:r>
            <w:r w:rsidR="000B10FE" w:rsidRPr="00ED7BD1">
              <w:rPr>
                <w:szCs w:val="24"/>
              </w:rPr>
              <w:t xml:space="preserve">assessment and eventually procurement of technical equipment dealing with registration and surveillance systems. </w:t>
            </w:r>
            <w:r w:rsidR="00E73236" w:rsidRPr="00ED7BD1">
              <w:rPr>
                <w:szCs w:val="24"/>
              </w:rPr>
              <w:t xml:space="preserve">In parallel support will be ensured to enhance the capacity of the North Macedonian Authorities to deal with unaccompanied and vulnerable categories of migrants as well as to improve the inter-agency </w:t>
            </w:r>
            <w:r w:rsidR="00A40243" w:rsidRPr="00ED7BD1">
              <w:rPr>
                <w:szCs w:val="24"/>
              </w:rPr>
              <w:t xml:space="preserve">cooperation and </w:t>
            </w:r>
            <w:r w:rsidR="00E73236" w:rsidRPr="00ED7BD1">
              <w:rPr>
                <w:szCs w:val="24"/>
              </w:rPr>
              <w:t>the outreach and communication</w:t>
            </w:r>
            <w:r w:rsidR="00A40243" w:rsidRPr="00ED7BD1">
              <w:rPr>
                <w:szCs w:val="24"/>
              </w:rPr>
              <w:t xml:space="preserve"> </w:t>
            </w:r>
            <w:r w:rsidR="00E73236" w:rsidRPr="00ED7BD1">
              <w:rPr>
                <w:szCs w:val="24"/>
              </w:rPr>
              <w:t>capa</w:t>
            </w:r>
            <w:r w:rsidR="00A40243" w:rsidRPr="00ED7BD1">
              <w:rPr>
                <w:szCs w:val="24"/>
              </w:rPr>
              <w:t>cities</w:t>
            </w:r>
            <w:r w:rsidR="00E73236" w:rsidRPr="00ED7BD1">
              <w:rPr>
                <w:szCs w:val="24"/>
              </w:rPr>
              <w:t xml:space="preserve"> of the targeted institutions</w:t>
            </w:r>
            <w:r w:rsidR="00A40243" w:rsidRPr="00ED7BD1">
              <w:rPr>
                <w:szCs w:val="24"/>
              </w:rPr>
              <w:t>. It is expected that the action will improve the efficiency and effectiveness of the border control and management of migration flow on the Balkan route in accordance with the EU standards.</w:t>
            </w:r>
          </w:p>
          <w:p w14:paraId="3541D539" w14:textId="77777777" w:rsidR="00F816AF" w:rsidRPr="00ED7BD1" w:rsidRDefault="0018223D" w:rsidP="00F816AF">
            <w:pPr>
              <w:pStyle w:val="ManualNumPar1"/>
              <w:spacing w:before="0"/>
              <w:ind w:left="58" w:firstLine="0"/>
              <w:rPr>
                <w:szCs w:val="24"/>
              </w:rPr>
            </w:pPr>
            <w:r w:rsidRPr="00ED7BD1">
              <w:rPr>
                <w:szCs w:val="24"/>
              </w:rPr>
              <w:t>The Action is designed to contribute to the achievement of the specific objective of the</w:t>
            </w:r>
            <w:r w:rsidR="00072E2C" w:rsidRPr="00ED7BD1">
              <w:rPr>
                <w:szCs w:val="24"/>
              </w:rPr>
              <w:t xml:space="preserve"> </w:t>
            </w:r>
            <w:r w:rsidR="003D4BCA" w:rsidRPr="00ED7BD1">
              <w:rPr>
                <w:b/>
                <w:szCs w:val="24"/>
              </w:rPr>
              <w:t>IPA III</w:t>
            </w:r>
            <w:r w:rsidR="00072E2C" w:rsidRPr="00ED7BD1">
              <w:rPr>
                <w:b/>
                <w:szCs w:val="24"/>
              </w:rPr>
              <w:t xml:space="preserve"> </w:t>
            </w:r>
            <w:r w:rsidR="00A732F6" w:rsidRPr="00ED7BD1">
              <w:rPr>
                <w:b/>
                <w:szCs w:val="24"/>
              </w:rPr>
              <w:t>thematic priority Migration and border management</w:t>
            </w:r>
            <w:r w:rsidR="00A732F6" w:rsidRPr="00ED7BD1">
              <w:rPr>
                <w:szCs w:val="24"/>
              </w:rPr>
              <w:t xml:space="preserve"> within the </w:t>
            </w:r>
            <w:r w:rsidR="00A732F6" w:rsidRPr="00ED7BD1">
              <w:rPr>
                <w:b/>
                <w:szCs w:val="24"/>
              </w:rPr>
              <w:t>Window 1: Rule of Law, Fundamental Rights and Democracy</w:t>
            </w:r>
            <w:r w:rsidR="00A732F6" w:rsidRPr="00ED7BD1">
              <w:rPr>
                <w:szCs w:val="24"/>
              </w:rPr>
              <w:t xml:space="preserve">, which is to further step up strategic and operational cooperation on migration, along different pillars: irregular migration, border management, international </w:t>
            </w:r>
            <w:r w:rsidR="00F816AF" w:rsidRPr="00ED7BD1">
              <w:rPr>
                <w:szCs w:val="24"/>
              </w:rPr>
              <w:t xml:space="preserve">protection and legal </w:t>
            </w:r>
            <w:r w:rsidR="00F816AF" w:rsidRPr="00ED7BD1">
              <w:rPr>
                <w:szCs w:val="24"/>
              </w:rPr>
              <w:lastRenderedPageBreak/>
              <w:t>migration.</w:t>
            </w:r>
          </w:p>
          <w:p w14:paraId="399DAC5F" w14:textId="7CDB0E67" w:rsidR="00F816AF" w:rsidRPr="00ED7BD1" w:rsidRDefault="0018223D" w:rsidP="00F816AF">
            <w:pPr>
              <w:pStyle w:val="ListBullet2"/>
              <w:numPr>
                <w:ilvl w:val="0"/>
                <w:numId w:val="0"/>
              </w:numPr>
              <w:tabs>
                <w:tab w:val="left" w:pos="0"/>
              </w:tabs>
              <w:spacing w:after="120"/>
              <w:ind w:left="58"/>
              <w:rPr>
                <w:sz w:val="24"/>
                <w:szCs w:val="24"/>
                <w:lang w:val="en-GB"/>
              </w:rPr>
            </w:pPr>
            <w:r w:rsidRPr="00ED7BD1">
              <w:rPr>
                <w:sz w:val="24"/>
                <w:szCs w:val="24"/>
                <w:lang w:val="en-GB"/>
              </w:rPr>
              <w:t>More generally, t</w:t>
            </w:r>
            <w:r w:rsidR="007D7C99" w:rsidRPr="00ED7BD1">
              <w:rPr>
                <w:sz w:val="24"/>
                <w:szCs w:val="24"/>
                <w:lang w:val="en-GB"/>
              </w:rPr>
              <w:t xml:space="preserve">he proposed Action will contribute to the implementation of the </w:t>
            </w:r>
            <w:r w:rsidR="007D7C99" w:rsidRPr="00ED7BD1">
              <w:rPr>
                <w:b/>
                <w:sz w:val="24"/>
                <w:szCs w:val="24"/>
                <w:lang w:val="en-GB"/>
              </w:rPr>
              <w:t xml:space="preserve">EU acquis </w:t>
            </w:r>
            <w:r w:rsidR="007D7C99" w:rsidRPr="00ED7BD1">
              <w:rPr>
                <w:sz w:val="24"/>
                <w:szCs w:val="24"/>
                <w:lang w:val="en-GB"/>
              </w:rPr>
              <w:t xml:space="preserve">under </w:t>
            </w:r>
            <w:r w:rsidR="009E284D" w:rsidRPr="00ED7BD1">
              <w:rPr>
                <w:iCs/>
                <w:sz w:val="24"/>
                <w:szCs w:val="24"/>
                <w:lang w:val="en-GB" w:eastAsia="en-GB"/>
              </w:rPr>
              <w:t>chapter 24: Justice, freedom and security,</w:t>
            </w:r>
            <w:r w:rsidR="00D466A3" w:rsidRPr="00ED7BD1">
              <w:rPr>
                <w:iCs/>
                <w:sz w:val="24"/>
                <w:szCs w:val="24"/>
                <w:lang w:val="en-GB" w:eastAsia="en-GB"/>
              </w:rPr>
              <w:t xml:space="preserve"> </w:t>
            </w:r>
            <w:r w:rsidR="003800F6" w:rsidRPr="00ED7BD1">
              <w:rPr>
                <w:iCs/>
                <w:sz w:val="24"/>
                <w:szCs w:val="24"/>
                <w:lang w:val="en-GB" w:eastAsia="en-GB"/>
              </w:rPr>
              <w:t>with a focus on free movement of persons, asylum and immigration</w:t>
            </w:r>
            <w:r w:rsidRPr="00ED7BD1">
              <w:rPr>
                <w:iCs/>
                <w:sz w:val="24"/>
                <w:szCs w:val="24"/>
                <w:lang w:val="en-GB" w:eastAsia="en-GB"/>
              </w:rPr>
              <w:t>, in the wider enlargement context</w:t>
            </w:r>
            <w:r w:rsidR="003800F6" w:rsidRPr="00ED7BD1">
              <w:rPr>
                <w:iCs/>
                <w:sz w:val="24"/>
                <w:szCs w:val="24"/>
                <w:lang w:val="en-GB" w:eastAsia="en-GB"/>
              </w:rPr>
              <w:t xml:space="preserve">. </w:t>
            </w:r>
            <w:r w:rsidR="00F816AF" w:rsidRPr="00ED7BD1">
              <w:rPr>
                <w:sz w:val="24"/>
                <w:szCs w:val="24"/>
                <w:lang w:val="en-GB"/>
              </w:rPr>
              <w:t>In particular, it will support the harmonisation to national legislation with the international and EU policies on asylum: the 1951 Geneva Convention relating to the status of refugees (as amended by the 1967 New York Protocol which laid down a common approach towards refugees, the Asylum Procedures Directive 2013/32/EU on common procedures for granting and withdrawing international protection, the Reception Conditions Directive 2013/33/EU laying down standards for the reception of applicants for international protection and the Dublin Regulation (EU) No 604/2013 establishing the criteria and mechanisms for determining the Member State responsible for examining an application for international protection lodged in one of the Member States by a third-country national or stateless person; implementation of</w:t>
            </w:r>
            <w:r w:rsidR="00D466A3" w:rsidRPr="00ED7BD1">
              <w:rPr>
                <w:sz w:val="24"/>
                <w:szCs w:val="24"/>
                <w:lang w:val="en-GB"/>
              </w:rPr>
              <w:t xml:space="preserve"> </w:t>
            </w:r>
            <w:r w:rsidR="00F816AF" w:rsidRPr="00ED7BD1">
              <w:rPr>
                <w:sz w:val="24"/>
                <w:szCs w:val="24"/>
                <w:lang w:val="en-GB"/>
              </w:rPr>
              <w:t>the Regulation  No 562/2006 establishing a Community Code on the rules governing the movement of persons across borders (Schengen Borders Code); EU Integrated Border Management, Regulation  2016/1624/EU on the European Border and Coast Guard and amending Regulation   2016/399  and repealing Regulation   No 863/2007,  Directive (EU) 2016/681 on the use of passenger name record (PNR) data for the prevention, detection, investigation and prosecution of terrorist offences and serious crime; Regulation (EU) No 603/2013 on the establishment of '</w:t>
            </w:r>
            <w:proofErr w:type="spellStart"/>
            <w:r w:rsidR="00F816AF" w:rsidRPr="00ED7BD1">
              <w:rPr>
                <w:sz w:val="24"/>
                <w:szCs w:val="24"/>
                <w:lang w:val="en-GB"/>
              </w:rPr>
              <w:t>Eurodac</w:t>
            </w:r>
            <w:proofErr w:type="spellEnd"/>
            <w:r w:rsidR="00F816AF" w:rsidRPr="00ED7BD1">
              <w:rPr>
                <w:sz w:val="24"/>
                <w:szCs w:val="24"/>
                <w:lang w:val="en-GB"/>
              </w:rPr>
              <w:t>', Directive2011/95/EU</w:t>
            </w:r>
            <w:r w:rsidR="00072E2C" w:rsidRPr="00ED7BD1">
              <w:rPr>
                <w:sz w:val="24"/>
                <w:szCs w:val="24"/>
                <w:lang w:val="en-GB"/>
              </w:rPr>
              <w:t xml:space="preserve"> </w:t>
            </w:r>
            <w:r w:rsidR="00F816AF" w:rsidRPr="00ED7BD1">
              <w:rPr>
                <w:sz w:val="24"/>
                <w:szCs w:val="24"/>
                <w:lang w:val="en-GB"/>
              </w:rPr>
              <w:t>on international protection and other relevant legislation.</w:t>
            </w:r>
          </w:p>
          <w:p w14:paraId="70EA88FB" w14:textId="72E601AC" w:rsidR="00F816AF" w:rsidRPr="00ED7BD1" w:rsidRDefault="00F816AF" w:rsidP="00F816AF">
            <w:pPr>
              <w:spacing w:after="120" w:line="240" w:lineRule="auto"/>
              <w:ind w:left="58"/>
              <w:jc w:val="both"/>
              <w:rPr>
                <w:rFonts w:ascii="Times New Roman" w:hAnsi="Times New Roman"/>
                <w:sz w:val="24"/>
                <w:szCs w:val="24"/>
              </w:rPr>
            </w:pPr>
            <w:r w:rsidRPr="00ED7BD1">
              <w:rPr>
                <w:rFonts w:ascii="Times New Roman" w:hAnsi="Times New Roman"/>
                <w:sz w:val="24"/>
                <w:szCs w:val="24"/>
              </w:rPr>
              <w:t xml:space="preserve">Further on, the Action addresses the findings of the </w:t>
            </w:r>
            <w:r w:rsidRPr="00ED7BD1">
              <w:rPr>
                <w:rFonts w:ascii="Times New Roman" w:hAnsi="Times New Roman"/>
                <w:b/>
                <w:sz w:val="24"/>
                <w:szCs w:val="24"/>
              </w:rPr>
              <w:t>EC Country Report 2019</w:t>
            </w:r>
            <w:r w:rsidRPr="00ED7BD1">
              <w:rPr>
                <w:rFonts w:ascii="Times New Roman" w:hAnsi="Times New Roman"/>
                <w:sz w:val="24"/>
                <w:szCs w:val="24"/>
              </w:rPr>
              <w:t xml:space="preserve"> (Chapter 24: Justice, Freedom and Security – on legal and irregular migration and on asylum) and, in particular, the recommendation to systematically implement the Standard Operating Procedures (SOPs) on unaccompanied children and on vulnerable categories of foreigners; to improve the quality of decision making on asylum procedures, including at the appeal level; to improve procedures and accessibility in providing translation during interviews with asylum-seekers and free legal ai</w:t>
            </w:r>
            <w:r w:rsidR="00F371CD" w:rsidRPr="00ED7BD1">
              <w:rPr>
                <w:rFonts w:ascii="Times New Roman" w:hAnsi="Times New Roman"/>
                <w:sz w:val="24"/>
                <w:szCs w:val="24"/>
              </w:rPr>
              <w:t>d.</w:t>
            </w:r>
            <w:r w:rsidR="00D466A3" w:rsidRPr="00ED7BD1">
              <w:rPr>
                <w:rFonts w:ascii="Times New Roman" w:hAnsi="Times New Roman"/>
                <w:sz w:val="24"/>
                <w:szCs w:val="24"/>
              </w:rPr>
              <w:t xml:space="preserve"> </w:t>
            </w:r>
            <w:r w:rsidRPr="00ED7BD1">
              <w:rPr>
                <w:rFonts w:ascii="Times New Roman" w:hAnsi="Times New Roman"/>
                <w:sz w:val="24"/>
                <w:szCs w:val="24"/>
              </w:rPr>
              <w:t xml:space="preserve">Asylum visa and migration policies are in </w:t>
            </w:r>
            <w:r w:rsidR="00F371CD" w:rsidRPr="00ED7BD1">
              <w:rPr>
                <w:rFonts w:ascii="Times New Roman" w:hAnsi="Times New Roman"/>
                <w:sz w:val="24"/>
                <w:szCs w:val="24"/>
              </w:rPr>
              <w:t>place,</w:t>
            </w:r>
            <w:r w:rsidRPr="00ED7BD1">
              <w:rPr>
                <w:rFonts w:ascii="Times New Roman" w:hAnsi="Times New Roman"/>
                <w:sz w:val="24"/>
                <w:szCs w:val="24"/>
              </w:rPr>
              <w:t xml:space="preserve"> but human and material capacity need to be strengthened, in particular to deal with increasing pressure from the influx and transit of irregular migrants, as well as increasing demands on the asylum system. Support should be targeted towards the capacity to detect irregular migration; voluntary and non-voluntary return; identifying victims of trafficking; improving reception and accommodation capacities and the provision of assistance to asylum seekers, vulnerable irregular migrants and victims of human trafficking and the capacity of the administrative justice system to deal with asylum cases. The inconsistent registration of migrants apprehended in irregular movements prevents regular and adequate protection-sensitive profiling and the referral to national protection mechanisms. The problem of regular smuggling activities at the northern border needs to be further </w:t>
            </w:r>
            <w:r w:rsidRPr="00ED7BD1">
              <w:rPr>
                <w:rFonts w:ascii="Times New Roman" w:hAnsi="Times New Roman"/>
                <w:sz w:val="24"/>
                <w:szCs w:val="24"/>
              </w:rPr>
              <w:lastRenderedPageBreak/>
              <w:t>addressed. Combating smuggling networks needs to be a priority. The legislative framework for the management of external borders is largely aligned with EU standards. The 2015–19 Integrated Border Management Strategy is aligned with the 2006 EU concept on Integrated Border Management and a new strategy should continue this trend. The implementation of the Integrated Border Management Strategy and related action plan need to continue. Although the National Coordination Centre for Integrated Border Management prepares regular reports on risk analysis, its institutional and operational capacity still needs to be strengthened. IT and technical expertise must be stepped up, as a matter of priority.</w:t>
            </w:r>
          </w:p>
          <w:p w14:paraId="70960888" w14:textId="7AC48D69" w:rsidR="00AE604F" w:rsidRPr="00ED7BD1" w:rsidRDefault="0018223D" w:rsidP="00113BDB">
            <w:pPr>
              <w:pStyle w:val="ListBullet2"/>
              <w:numPr>
                <w:ilvl w:val="0"/>
                <w:numId w:val="0"/>
              </w:numPr>
              <w:tabs>
                <w:tab w:val="left" w:pos="0"/>
              </w:tabs>
              <w:spacing w:before="120"/>
              <w:rPr>
                <w:sz w:val="24"/>
                <w:szCs w:val="24"/>
                <w:lang w:val="en-GB"/>
              </w:rPr>
            </w:pPr>
            <w:r w:rsidRPr="00ED7BD1">
              <w:rPr>
                <w:iCs/>
                <w:sz w:val="24"/>
                <w:szCs w:val="24"/>
                <w:lang w:val="en-GB" w:eastAsia="en-GB"/>
              </w:rPr>
              <w:t xml:space="preserve">The </w:t>
            </w:r>
            <w:r w:rsidR="00113BDB" w:rsidRPr="00ED7BD1">
              <w:rPr>
                <w:iCs/>
                <w:sz w:val="24"/>
                <w:szCs w:val="24"/>
                <w:lang w:val="en-GB" w:eastAsia="en-GB"/>
              </w:rPr>
              <w:t>A</w:t>
            </w:r>
            <w:r w:rsidRPr="00ED7BD1">
              <w:rPr>
                <w:iCs/>
                <w:sz w:val="24"/>
                <w:szCs w:val="24"/>
                <w:lang w:val="en-GB" w:eastAsia="en-GB"/>
              </w:rPr>
              <w:t xml:space="preserve">ction is </w:t>
            </w:r>
            <w:r w:rsidR="003D4BCA" w:rsidRPr="00ED7BD1">
              <w:rPr>
                <w:iCs/>
                <w:sz w:val="24"/>
                <w:szCs w:val="24"/>
                <w:lang w:val="en-GB" w:eastAsia="en-GB"/>
              </w:rPr>
              <w:t xml:space="preserve">also </w:t>
            </w:r>
            <w:r w:rsidRPr="00ED7BD1">
              <w:rPr>
                <w:iCs/>
                <w:sz w:val="24"/>
                <w:szCs w:val="24"/>
                <w:lang w:val="en-GB" w:eastAsia="en-GB"/>
              </w:rPr>
              <w:t xml:space="preserve">in line with </w:t>
            </w:r>
            <w:r w:rsidRPr="00ED7BD1">
              <w:rPr>
                <w:b/>
                <w:iCs/>
                <w:sz w:val="24"/>
                <w:szCs w:val="24"/>
                <w:lang w:val="en-GB" w:eastAsia="en-GB"/>
              </w:rPr>
              <w:t>EU Strategy for Western Balkans</w:t>
            </w:r>
            <w:r w:rsidRPr="00ED7BD1">
              <w:rPr>
                <w:iCs/>
                <w:sz w:val="24"/>
                <w:szCs w:val="24"/>
                <w:lang w:val="en-GB" w:eastAsia="en-GB"/>
              </w:rPr>
              <w:t xml:space="preserve">, with main aim being to </w:t>
            </w:r>
            <w:r w:rsidRPr="00ED7BD1">
              <w:rPr>
                <w:sz w:val="24"/>
                <w:szCs w:val="24"/>
                <w:lang w:val="en-GB"/>
              </w:rPr>
              <w:t>support the country in adopting and implementing the institutional, legal, administrative reforms required to comply with Union values and to progressively align to Union rules, standards, policies and practices with a view to Union membership, thereby contributing to country’s stability, security and prosperity.</w:t>
            </w:r>
            <w:r w:rsidR="00D466A3" w:rsidRPr="00ED7BD1">
              <w:rPr>
                <w:sz w:val="24"/>
                <w:szCs w:val="24"/>
                <w:lang w:val="en-GB"/>
              </w:rPr>
              <w:t xml:space="preserve"> </w:t>
            </w:r>
            <w:r w:rsidR="00391640" w:rsidRPr="00ED7BD1">
              <w:rPr>
                <w:sz w:val="24"/>
                <w:szCs w:val="24"/>
                <w:lang w:val="en-GB"/>
              </w:rPr>
              <w:t>In addition the Action aims at supporting institutional capacity building in dealing with asylum seekers and adequately informing the population.</w:t>
            </w:r>
          </w:p>
          <w:p w14:paraId="46D23348" w14:textId="6171E90F" w:rsidR="007051B8" w:rsidRPr="00ED7BD1" w:rsidRDefault="00113BDB" w:rsidP="00113BDB">
            <w:pPr>
              <w:pStyle w:val="ListBullet2"/>
              <w:numPr>
                <w:ilvl w:val="0"/>
                <w:numId w:val="0"/>
              </w:numPr>
              <w:tabs>
                <w:tab w:val="left" w:pos="0"/>
              </w:tabs>
              <w:spacing w:before="120"/>
              <w:rPr>
                <w:rFonts w:eastAsia="Arial Unicode MS"/>
                <w:sz w:val="24"/>
                <w:szCs w:val="24"/>
                <w:lang w:val="en-GB"/>
              </w:rPr>
            </w:pPr>
            <w:r w:rsidRPr="00ED7BD1">
              <w:rPr>
                <w:rFonts w:eastAsia="Arial Unicode MS"/>
                <w:sz w:val="24"/>
                <w:szCs w:val="24"/>
                <w:lang w:val="en-GB" w:eastAsia="de-DE"/>
              </w:rPr>
              <w:t xml:space="preserve">Additionally, the </w:t>
            </w:r>
            <w:r w:rsidRPr="00ED7BD1">
              <w:rPr>
                <w:sz w:val="24"/>
                <w:szCs w:val="24"/>
                <w:lang w:val="en-GB"/>
              </w:rPr>
              <w:t xml:space="preserve">action is also in line with the objectives of the </w:t>
            </w:r>
            <w:r w:rsidRPr="00ED7BD1">
              <w:rPr>
                <w:b/>
                <w:sz w:val="24"/>
                <w:szCs w:val="24"/>
                <w:lang w:val="en-GB"/>
              </w:rPr>
              <w:t>Stabilisation and Association Agreement</w:t>
            </w:r>
            <w:r w:rsidRPr="00ED7BD1">
              <w:rPr>
                <w:sz w:val="24"/>
                <w:szCs w:val="24"/>
                <w:lang w:val="en-GB"/>
              </w:rPr>
              <w:t xml:space="preserve"> (articles 75 and 76) related to visa, border control, asylum and</w:t>
            </w:r>
            <w:r w:rsidR="00D466A3" w:rsidRPr="00ED7BD1">
              <w:rPr>
                <w:sz w:val="24"/>
                <w:szCs w:val="24"/>
                <w:lang w:val="en-GB"/>
              </w:rPr>
              <w:t xml:space="preserve"> </w:t>
            </w:r>
            <w:r w:rsidRPr="00ED7BD1">
              <w:rPr>
                <w:sz w:val="24"/>
                <w:szCs w:val="24"/>
                <w:lang w:val="en-GB"/>
              </w:rPr>
              <w:t xml:space="preserve">migration; and the prevention and control of illegal immigration, as well as with the recommendations of the Conclusions of the </w:t>
            </w:r>
            <w:r w:rsidRPr="00ED7BD1">
              <w:rPr>
                <w:b/>
                <w:sz w:val="24"/>
                <w:szCs w:val="24"/>
                <w:lang w:val="en-GB"/>
              </w:rPr>
              <w:t>14</w:t>
            </w:r>
            <w:r w:rsidRPr="00ED7BD1">
              <w:rPr>
                <w:b/>
                <w:sz w:val="24"/>
                <w:szCs w:val="24"/>
                <w:vertAlign w:val="superscript"/>
                <w:lang w:val="en-GB"/>
              </w:rPr>
              <w:t>th</w:t>
            </w:r>
            <w:r w:rsidRPr="00ED7BD1">
              <w:rPr>
                <w:b/>
                <w:sz w:val="24"/>
                <w:szCs w:val="24"/>
                <w:lang w:val="en-GB"/>
              </w:rPr>
              <w:t xml:space="preserve"> meeting of the Subcommittee on Justice and Home Affairs</w:t>
            </w:r>
            <w:r w:rsidRPr="00ED7BD1">
              <w:rPr>
                <w:sz w:val="24"/>
                <w:szCs w:val="24"/>
                <w:lang w:val="en-GB"/>
              </w:rPr>
              <w:t xml:space="preserve"> of the </w:t>
            </w:r>
            <w:r w:rsidRPr="00ED7BD1">
              <w:rPr>
                <w:b/>
                <w:sz w:val="24"/>
                <w:szCs w:val="24"/>
                <w:lang w:val="en-GB"/>
              </w:rPr>
              <w:t>Stabilisation and Association Agreement (SAA),</w:t>
            </w:r>
            <w:r w:rsidRPr="00ED7BD1">
              <w:rPr>
                <w:sz w:val="24"/>
                <w:szCs w:val="24"/>
                <w:lang w:val="en-GB"/>
              </w:rPr>
              <w:t xml:space="preserve"> held in November 2019, on the implementation of the necessary measures to ensure effective integrated border management</w:t>
            </w:r>
            <w:r w:rsidR="00972C3D" w:rsidRPr="00ED7BD1">
              <w:rPr>
                <w:sz w:val="24"/>
                <w:szCs w:val="24"/>
                <w:lang w:val="en-GB"/>
              </w:rPr>
              <w:t xml:space="preserve"> and the development of an Integrated Border Management Strategy.</w:t>
            </w:r>
          </w:p>
        </w:tc>
      </w:tr>
      <w:tr w:rsidR="00ED7BD1" w:rsidRPr="00ED7BD1" w14:paraId="79507974" w14:textId="77777777" w:rsidTr="001556BC">
        <w:trPr>
          <w:jc w:val="center"/>
        </w:trPr>
        <w:tc>
          <w:tcPr>
            <w:tcW w:w="534" w:type="dxa"/>
            <w:vMerge/>
            <w:tcBorders>
              <w:left w:val="single" w:sz="4" w:space="0" w:color="auto"/>
              <w:right w:val="single" w:sz="4" w:space="0" w:color="auto"/>
            </w:tcBorders>
          </w:tcPr>
          <w:p w14:paraId="4AB820D0" w14:textId="77777777" w:rsidR="00D92F6C" w:rsidRPr="00ED7BD1" w:rsidRDefault="00D92F6C" w:rsidP="001556BC">
            <w:pPr>
              <w:spacing w:after="0"/>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4CF991E" w14:textId="77777777" w:rsidR="00D92F6C" w:rsidRPr="00ED7BD1" w:rsidRDefault="00D92F6C" w:rsidP="001556BC">
            <w:pPr>
              <w:spacing w:after="0"/>
              <w:rPr>
                <w:rFonts w:ascii="Times New Roman" w:hAnsi="Times New Roman"/>
                <w:sz w:val="24"/>
                <w:szCs w:val="24"/>
              </w:rPr>
            </w:pPr>
            <w:r w:rsidRPr="00ED7BD1">
              <w:rPr>
                <w:rFonts w:ascii="Times New Roman" w:hAnsi="Times New Roman"/>
                <w:sz w:val="24"/>
                <w:szCs w:val="24"/>
              </w:rPr>
              <w:t>Links with national, regional and global strategies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B31C74C" w14:textId="77777777" w:rsidR="000236AE" w:rsidRPr="00ED7BD1" w:rsidRDefault="009C3817" w:rsidP="00FB2F1C">
            <w:pPr>
              <w:spacing w:after="120" w:line="240" w:lineRule="auto"/>
              <w:jc w:val="both"/>
              <w:rPr>
                <w:rFonts w:ascii="Times New Roman" w:hAnsi="Times New Roman"/>
                <w:iCs/>
                <w:sz w:val="24"/>
                <w:szCs w:val="24"/>
              </w:rPr>
            </w:pPr>
            <w:r w:rsidRPr="00ED7BD1">
              <w:rPr>
                <w:rFonts w:ascii="Times New Roman" w:hAnsi="Times New Roman"/>
                <w:sz w:val="24"/>
                <w:szCs w:val="24"/>
              </w:rPr>
              <w:t xml:space="preserve">The </w:t>
            </w:r>
            <w:r w:rsidR="00D36D78" w:rsidRPr="00ED7BD1">
              <w:rPr>
                <w:rFonts w:ascii="Times New Roman" w:hAnsi="Times New Roman"/>
                <w:sz w:val="24"/>
                <w:szCs w:val="24"/>
              </w:rPr>
              <w:t xml:space="preserve">Action </w:t>
            </w:r>
            <w:r w:rsidRPr="00ED7BD1">
              <w:rPr>
                <w:rFonts w:ascii="Times New Roman" w:hAnsi="Times New Roman"/>
                <w:sz w:val="24"/>
                <w:szCs w:val="24"/>
              </w:rPr>
              <w:t xml:space="preserve">is contributing to the objectives of </w:t>
            </w:r>
            <w:r w:rsidRPr="00ED7BD1">
              <w:rPr>
                <w:rFonts w:ascii="Times New Roman" w:hAnsi="Times New Roman"/>
                <w:b/>
                <w:bCs/>
                <w:sz w:val="24"/>
                <w:szCs w:val="24"/>
              </w:rPr>
              <w:t>United Nation’s 2030</w:t>
            </w:r>
            <w:r w:rsidRPr="00ED7BD1">
              <w:rPr>
                <w:rFonts w:ascii="Times New Roman" w:hAnsi="Times New Roman"/>
                <w:b/>
                <w:sz w:val="24"/>
                <w:szCs w:val="24"/>
              </w:rPr>
              <w:t xml:space="preserve"> Agenda for Sustainable </w:t>
            </w:r>
            <w:r w:rsidR="00D36D78" w:rsidRPr="00ED7BD1">
              <w:rPr>
                <w:rFonts w:ascii="Times New Roman" w:hAnsi="Times New Roman"/>
                <w:b/>
                <w:sz w:val="24"/>
                <w:szCs w:val="24"/>
              </w:rPr>
              <w:t>Development</w:t>
            </w:r>
            <w:r w:rsidR="00D36D78" w:rsidRPr="00ED7BD1">
              <w:rPr>
                <w:rFonts w:ascii="Times New Roman" w:hAnsi="Times New Roman"/>
                <w:sz w:val="24"/>
                <w:szCs w:val="24"/>
              </w:rPr>
              <w:t>;</w:t>
            </w:r>
            <w:r w:rsidRPr="00ED7BD1">
              <w:rPr>
                <w:rFonts w:ascii="Times New Roman" w:hAnsi="Times New Roman"/>
                <w:sz w:val="24"/>
                <w:szCs w:val="24"/>
              </w:rPr>
              <w:t xml:space="preserve"> more specifically</w:t>
            </w:r>
            <w:r w:rsidR="00003244" w:rsidRPr="00ED7BD1">
              <w:rPr>
                <w:rFonts w:ascii="Times New Roman" w:hAnsi="Times New Roman"/>
                <w:sz w:val="24"/>
                <w:szCs w:val="24"/>
              </w:rPr>
              <w:t>,</w:t>
            </w:r>
            <w:r w:rsidRPr="00ED7BD1">
              <w:rPr>
                <w:rFonts w:ascii="Times New Roman" w:hAnsi="Times New Roman"/>
                <w:sz w:val="24"/>
                <w:szCs w:val="24"/>
              </w:rPr>
              <w:t xml:space="preserve"> the action contributes to </w:t>
            </w:r>
            <w:r w:rsidR="00856683" w:rsidRPr="00ED7BD1">
              <w:rPr>
                <w:rFonts w:ascii="Times New Roman" w:hAnsi="Times New Roman"/>
                <w:sz w:val="24"/>
                <w:szCs w:val="24"/>
              </w:rPr>
              <w:t>SDG 16 Peace, Justice and Strong Institutions, but also would eventually contribute to SDG 1 No poverty, SDG 8 Decent Work and Economic Growth</w:t>
            </w:r>
            <w:r w:rsidRPr="00ED7BD1">
              <w:rPr>
                <w:rFonts w:ascii="Times New Roman" w:hAnsi="Times New Roman"/>
                <w:iCs/>
                <w:sz w:val="24"/>
                <w:szCs w:val="24"/>
              </w:rPr>
              <w:t xml:space="preserve"> and</w:t>
            </w:r>
            <w:r w:rsidR="00856683" w:rsidRPr="00ED7BD1">
              <w:rPr>
                <w:rFonts w:ascii="Times New Roman" w:hAnsi="Times New Roman"/>
                <w:iCs/>
                <w:sz w:val="24"/>
                <w:szCs w:val="24"/>
              </w:rPr>
              <w:t xml:space="preserve"> SDG</w:t>
            </w:r>
            <w:r w:rsidR="00836C05" w:rsidRPr="00ED7BD1">
              <w:rPr>
                <w:rFonts w:ascii="Times New Roman" w:hAnsi="Times New Roman"/>
                <w:iCs/>
                <w:sz w:val="24"/>
                <w:szCs w:val="24"/>
              </w:rPr>
              <w:t>11</w:t>
            </w:r>
            <w:r w:rsidRPr="00ED7BD1">
              <w:rPr>
                <w:rFonts w:ascii="Times New Roman" w:hAnsi="Times New Roman"/>
                <w:iCs/>
                <w:sz w:val="24"/>
                <w:szCs w:val="24"/>
              </w:rPr>
              <w:t xml:space="preserve"> Sustainable cities and communities (in common with other thematic priorities)</w:t>
            </w:r>
            <w:r w:rsidR="00856683" w:rsidRPr="00ED7BD1">
              <w:rPr>
                <w:rFonts w:ascii="Times New Roman" w:hAnsi="Times New Roman"/>
                <w:iCs/>
                <w:sz w:val="24"/>
                <w:szCs w:val="24"/>
              </w:rPr>
              <w:t>, following effective integration of asylum seekers</w:t>
            </w:r>
            <w:r w:rsidRPr="00ED7BD1">
              <w:rPr>
                <w:rFonts w:ascii="Times New Roman" w:hAnsi="Times New Roman"/>
                <w:iCs/>
                <w:sz w:val="24"/>
                <w:szCs w:val="24"/>
              </w:rPr>
              <w:t>.</w:t>
            </w:r>
          </w:p>
          <w:p w14:paraId="3FB79FAD" w14:textId="77777777" w:rsidR="00856683" w:rsidRPr="00ED7BD1" w:rsidRDefault="00597C36" w:rsidP="00FB2F1C">
            <w:pPr>
              <w:spacing w:after="120" w:line="240" w:lineRule="auto"/>
              <w:jc w:val="both"/>
              <w:rPr>
                <w:rFonts w:ascii="Times New Roman" w:hAnsi="Times New Roman"/>
                <w:sz w:val="24"/>
                <w:szCs w:val="24"/>
              </w:rPr>
            </w:pPr>
            <w:r w:rsidRPr="00ED7BD1">
              <w:rPr>
                <w:rFonts w:ascii="Times New Roman" w:hAnsi="Times New Roman"/>
                <w:sz w:val="24"/>
                <w:szCs w:val="24"/>
              </w:rPr>
              <w:t xml:space="preserve">The Action is in line with the </w:t>
            </w:r>
            <w:r w:rsidR="00856683" w:rsidRPr="00ED7BD1">
              <w:rPr>
                <w:rFonts w:ascii="Times New Roman" w:hAnsi="Times New Roman"/>
                <w:sz w:val="24"/>
                <w:szCs w:val="24"/>
              </w:rPr>
              <w:t>UN New York Declaration for Refugees and Migrants (</w:t>
            </w:r>
            <w:hyperlink r:id="rId8" w:history="1">
              <w:r w:rsidR="00856683" w:rsidRPr="00ED7BD1">
                <w:rPr>
                  <w:rStyle w:val="Hyperlink"/>
                  <w:rFonts w:ascii="Times New Roman" w:hAnsi="Times New Roman"/>
                  <w:color w:val="auto"/>
                  <w:sz w:val="24"/>
                  <w:szCs w:val="24"/>
                </w:rPr>
                <w:t>A/RES/71/1</w:t>
              </w:r>
            </w:hyperlink>
            <w:r w:rsidR="00856683" w:rsidRPr="00ED7BD1">
              <w:rPr>
                <w:rFonts w:ascii="Times New Roman" w:hAnsi="Times New Roman"/>
                <w:sz w:val="24"/>
                <w:szCs w:val="24"/>
              </w:rPr>
              <w:t>), in which is recognized the need for a comprehensive approach to migration. The New York Declaration acknowledges the positive contribution of migrants to sustainable and inclusive development, and commits to protecting the safety, dignity and human rights and fundamental freedoms of all migrants, regardless of their migratory status</w:t>
            </w:r>
            <w:r w:rsidR="0078509A" w:rsidRPr="00ED7BD1">
              <w:rPr>
                <w:rFonts w:ascii="Times New Roman" w:hAnsi="Times New Roman"/>
                <w:sz w:val="24"/>
                <w:szCs w:val="24"/>
              </w:rPr>
              <w:t xml:space="preserve">. </w:t>
            </w:r>
          </w:p>
          <w:p w14:paraId="02758D70" w14:textId="77777777" w:rsidR="00841F3C" w:rsidRPr="00ED7BD1" w:rsidRDefault="00841F3C" w:rsidP="00FB2F1C">
            <w:pPr>
              <w:spacing w:after="120" w:line="240" w:lineRule="auto"/>
              <w:jc w:val="both"/>
              <w:rPr>
                <w:rFonts w:ascii="Times New Roman" w:eastAsia="Arial Unicode MS" w:hAnsi="Times New Roman"/>
                <w:sz w:val="24"/>
                <w:szCs w:val="24"/>
                <w:lang w:eastAsia="de-DE"/>
              </w:rPr>
            </w:pPr>
            <w:r w:rsidRPr="00ED7BD1">
              <w:rPr>
                <w:rFonts w:ascii="Times New Roman" w:eastAsia="Arial Unicode MS" w:hAnsi="Times New Roman"/>
                <w:sz w:val="24"/>
                <w:szCs w:val="24"/>
                <w:lang w:eastAsia="de-DE"/>
              </w:rPr>
              <w:t xml:space="preserve">More broadly, the Action will contribute to the regional </w:t>
            </w:r>
            <w:r w:rsidRPr="00ED7BD1">
              <w:rPr>
                <w:rFonts w:ascii="Times New Roman" w:eastAsia="Arial Unicode MS" w:hAnsi="Times New Roman"/>
                <w:b/>
                <w:sz w:val="24"/>
                <w:szCs w:val="24"/>
                <w:lang w:eastAsia="de-DE"/>
              </w:rPr>
              <w:t xml:space="preserve">South East Europe 2020 Strategy </w:t>
            </w:r>
            <w:r w:rsidRPr="00ED7BD1">
              <w:rPr>
                <w:rFonts w:ascii="Times New Roman" w:eastAsia="Arial Unicode MS" w:hAnsi="Times New Roman"/>
                <w:sz w:val="24"/>
                <w:szCs w:val="24"/>
                <w:lang w:eastAsia="de-DE"/>
              </w:rPr>
              <w:t>strategies Inclusive Growth pillar</w:t>
            </w:r>
            <w:r w:rsidR="00972C3D" w:rsidRPr="00ED7BD1">
              <w:rPr>
                <w:rFonts w:ascii="Times New Roman" w:eastAsia="Arial Unicode MS" w:hAnsi="Times New Roman"/>
                <w:sz w:val="24"/>
                <w:szCs w:val="24"/>
                <w:lang w:eastAsia="de-DE"/>
              </w:rPr>
              <w:t>,</w:t>
            </w:r>
            <w:r w:rsidRPr="00ED7BD1">
              <w:rPr>
                <w:rFonts w:ascii="Times New Roman" w:eastAsia="Arial Unicode MS" w:hAnsi="Times New Roman"/>
                <w:sz w:val="24"/>
                <w:szCs w:val="24"/>
                <w:lang w:eastAsia="de-DE"/>
              </w:rPr>
              <w:t xml:space="preserve"> which has as a key strategy action</w:t>
            </w:r>
            <w:r w:rsidR="00972C3D" w:rsidRPr="00ED7BD1">
              <w:rPr>
                <w:rFonts w:ascii="Times New Roman" w:eastAsia="Arial Unicode MS" w:hAnsi="Times New Roman"/>
                <w:sz w:val="24"/>
                <w:szCs w:val="24"/>
                <w:lang w:eastAsia="de-DE"/>
              </w:rPr>
              <w:t>,</w:t>
            </w:r>
            <w:r w:rsidRPr="00ED7BD1">
              <w:rPr>
                <w:rFonts w:ascii="Times New Roman" w:eastAsia="Arial Unicode MS" w:hAnsi="Times New Roman"/>
                <w:sz w:val="24"/>
                <w:szCs w:val="24"/>
                <w:lang w:eastAsia="de-DE"/>
              </w:rPr>
              <w:t xml:space="preserve"> to build regional capacity for harmonised monitoring of migration and mobility with a view to a gradual lifting of labour market restrictions in the region.</w:t>
            </w:r>
          </w:p>
          <w:p w14:paraId="72BFB024" w14:textId="77777777" w:rsidR="00FB2F1C" w:rsidRPr="00ED7BD1" w:rsidRDefault="00FB2F1C" w:rsidP="00FB2F1C">
            <w:pPr>
              <w:spacing w:after="120" w:line="240" w:lineRule="auto"/>
              <w:jc w:val="both"/>
              <w:rPr>
                <w:rFonts w:ascii="Times New Roman" w:hAnsi="Times New Roman"/>
                <w:sz w:val="24"/>
                <w:szCs w:val="24"/>
              </w:rPr>
            </w:pPr>
            <w:r w:rsidRPr="00ED7BD1">
              <w:rPr>
                <w:rFonts w:ascii="Times New Roman" w:hAnsi="Times New Roman"/>
                <w:sz w:val="24"/>
                <w:szCs w:val="24"/>
              </w:rPr>
              <w:t xml:space="preserve">The Action is also in line with the comprehensive </w:t>
            </w:r>
            <w:r w:rsidRPr="00ED7BD1">
              <w:rPr>
                <w:rFonts w:ascii="Times New Roman" w:hAnsi="Times New Roman"/>
                <w:b/>
                <w:sz w:val="24"/>
                <w:szCs w:val="24"/>
              </w:rPr>
              <w:t xml:space="preserve">European Agenda on </w:t>
            </w:r>
            <w:r w:rsidRPr="00ED7BD1">
              <w:rPr>
                <w:rFonts w:ascii="Times New Roman" w:hAnsi="Times New Roman"/>
                <w:b/>
                <w:sz w:val="24"/>
                <w:szCs w:val="24"/>
              </w:rPr>
              <w:lastRenderedPageBreak/>
              <w:t>Migration,</w:t>
            </w:r>
            <w:r w:rsidRPr="00ED7BD1">
              <w:rPr>
                <w:rFonts w:ascii="Times New Roman" w:hAnsi="Times New Roman"/>
                <w:sz w:val="24"/>
                <w:szCs w:val="24"/>
              </w:rPr>
              <w:t xml:space="preserve"> which is addressing immediate challenges and equip the EU with the tools to better manage migration in the medium and long term in the areas of irregular migration, borders, asylum and legal migration.</w:t>
            </w:r>
          </w:p>
          <w:p w14:paraId="3ED54699" w14:textId="77777777" w:rsidR="00FB2F1C" w:rsidRPr="00ED7BD1" w:rsidRDefault="00FB2F1C" w:rsidP="00FB2F1C">
            <w:pPr>
              <w:spacing w:after="120" w:line="240" w:lineRule="auto"/>
              <w:jc w:val="both"/>
              <w:rPr>
                <w:rFonts w:ascii="Times New Roman" w:eastAsia="Arial Unicode MS" w:hAnsi="Times New Roman"/>
                <w:sz w:val="24"/>
                <w:szCs w:val="24"/>
                <w:lang w:eastAsia="de-DE"/>
              </w:rPr>
            </w:pPr>
            <w:r w:rsidRPr="00ED7BD1">
              <w:rPr>
                <w:rFonts w:ascii="Times New Roman" w:eastAsia="Arial Unicode MS" w:hAnsi="Times New Roman"/>
                <w:sz w:val="24"/>
                <w:szCs w:val="24"/>
                <w:lang w:eastAsia="de-DE"/>
              </w:rPr>
              <w:t xml:space="preserve">The action is in line with </w:t>
            </w:r>
            <w:r w:rsidRPr="00ED7BD1">
              <w:rPr>
                <w:rFonts w:ascii="Times New Roman" w:eastAsia="Arial Unicode MS" w:hAnsi="Times New Roman"/>
                <w:b/>
                <w:sz w:val="24"/>
                <w:szCs w:val="24"/>
                <w:lang w:eastAsia="de-DE"/>
              </w:rPr>
              <w:t>Common Asylum System</w:t>
            </w:r>
            <w:r w:rsidRPr="00ED7BD1">
              <w:rPr>
                <w:rFonts w:ascii="Times New Roman" w:eastAsia="Arial Unicode MS" w:hAnsi="Times New Roman"/>
                <w:sz w:val="24"/>
                <w:szCs w:val="24"/>
                <w:lang w:eastAsia="de-DE"/>
              </w:rPr>
              <w:t xml:space="preserve"> that setting out common high standards and stronger co-operation to ensure that asylum seekers are treated equally in an open and fair system.</w:t>
            </w:r>
          </w:p>
          <w:p w14:paraId="17022D2F" w14:textId="77777777" w:rsidR="009C77ED" w:rsidRPr="00ED7BD1" w:rsidRDefault="009C77ED" w:rsidP="00FB2F1C">
            <w:pPr>
              <w:spacing w:after="120" w:line="240" w:lineRule="auto"/>
              <w:jc w:val="both"/>
              <w:rPr>
                <w:rFonts w:ascii="Times New Roman" w:hAnsi="Times New Roman"/>
                <w:sz w:val="24"/>
                <w:szCs w:val="24"/>
              </w:rPr>
            </w:pPr>
            <w:r w:rsidRPr="00ED7BD1">
              <w:rPr>
                <w:rFonts w:ascii="Times New Roman" w:hAnsi="Times New Roman"/>
                <w:sz w:val="24"/>
                <w:szCs w:val="24"/>
              </w:rPr>
              <w:t xml:space="preserve">The Action supports the implementation of key </w:t>
            </w:r>
            <w:r w:rsidRPr="00ED7BD1">
              <w:rPr>
                <w:rFonts w:ascii="Times New Roman" w:hAnsi="Times New Roman"/>
                <w:b/>
                <w:bCs/>
                <w:sz w:val="24"/>
                <w:szCs w:val="24"/>
              </w:rPr>
              <w:t>national priorities</w:t>
            </w:r>
            <w:r w:rsidRPr="00ED7BD1">
              <w:rPr>
                <w:rFonts w:ascii="Times New Roman" w:hAnsi="Times New Roman"/>
                <w:sz w:val="24"/>
                <w:szCs w:val="24"/>
              </w:rPr>
              <w:t xml:space="preserve">, defined in a number of strategic documents focused on addressing the challenges </w:t>
            </w:r>
            <w:r w:rsidR="00856683" w:rsidRPr="00ED7BD1">
              <w:rPr>
                <w:rFonts w:ascii="Times New Roman" w:hAnsi="Times New Roman"/>
                <w:sz w:val="24"/>
                <w:szCs w:val="24"/>
              </w:rPr>
              <w:t>in the justice and home affairs, more specifically migration and asylum</w:t>
            </w:r>
            <w:r w:rsidR="00A85508" w:rsidRPr="00ED7BD1">
              <w:rPr>
                <w:rFonts w:ascii="Times New Roman" w:hAnsi="Times New Roman"/>
                <w:sz w:val="24"/>
                <w:szCs w:val="24"/>
              </w:rPr>
              <w:t xml:space="preserve"> sector </w:t>
            </w:r>
            <w:r w:rsidRPr="00ED7BD1">
              <w:rPr>
                <w:rFonts w:ascii="Times New Roman" w:hAnsi="Times New Roman"/>
                <w:sz w:val="24"/>
                <w:szCs w:val="24"/>
              </w:rPr>
              <w:t>in North Macedonia:</w:t>
            </w:r>
          </w:p>
          <w:p w14:paraId="12915F56" w14:textId="77777777" w:rsidR="0089691B" w:rsidRPr="0089691B" w:rsidRDefault="00FB2F1C" w:rsidP="0089691B">
            <w:pPr>
              <w:pStyle w:val="ListParagraph"/>
              <w:numPr>
                <w:ilvl w:val="0"/>
                <w:numId w:val="3"/>
              </w:numPr>
              <w:spacing w:after="0" w:line="240" w:lineRule="auto"/>
              <w:contextualSpacing w:val="0"/>
              <w:jc w:val="both"/>
              <w:rPr>
                <w:rFonts w:ascii="Times New Roman" w:hAnsi="Times New Roman"/>
                <w:sz w:val="24"/>
                <w:szCs w:val="24"/>
              </w:rPr>
            </w:pPr>
            <w:r w:rsidRPr="00ED7BD1">
              <w:rPr>
                <w:rFonts w:ascii="Times New Roman" w:eastAsia="Arial Unicode MS" w:hAnsi="Times New Roman"/>
                <w:b/>
                <w:sz w:val="24"/>
                <w:szCs w:val="24"/>
                <w:lang w:eastAsia="de-DE"/>
              </w:rPr>
              <w:t xml:space="preserve">The National Programme for the Adoption of the </w:t>
            </w:r>
            <w:r w:rsidRPr="00ED7BD1">
              <w:rPr>
                <w:rFonts w:ascii="Times New Roman" w:eastAsia="Arial Unicode MS" w:hAnsi="Times New Roman"/>
                <w:b/>
                <w:i/>
                <w:sz w:val="24"/>
                <w:szCs w:val="24"/>
                <w:lang w:eastAsia="de-DE"/>
              </w:rPr>
              <w:t xml:space="preserve">Acquis </w:t>
            </w:r>
            <w:proofErr w:type="spellStart"/>
            <w:r w:rsidRPr="00ED7BD1">
              <w:rPr>
                <w:rFonts w:ascii="Times New Roman" w:eastAsia="Arial Unicode MS" w:hAnsi="Times New Roman"/>
                <w:b/>
                <w:i/>
                <w:sz w:val="24"/>
                <w:szCs w:val="24"/>
                <w:lang w:eastAsia="de-DE"/>
              </w:rPr>
              <w:t>Communautaire</w:t>
            </w:r>
            <w:proofErr w:type="spellEnd"/>
            <w:r w:rsidR="00D509B5" w:rsidRPr="00ED7BD1">
              <w:rPr>
                <w:rFonts w:ascii="Times New Roman" w:eastAsia="Arial Unicode MS" w:hAnsi="Times New Roman"/>
                <w:b/>
                <w:i/>
                <w:sz w:val="24"/>
                <w:szCs w:val="24"/>
                <w:lang w:eastAsia="de-DE"/>
              </w:rPr>
              <w:t xml:space="preserve"> </w:t>
            </w:r>
            <w:r w:rsidRPr="00ED7BD1">
              <w:rPr>
                <w:rFonts w:ascii="Times New Roman" w:eastAsia="Arial Unicode MS" w:hAnsi="Times New Roman"/>
                <w:sz w:val="24"/>
                <w:szCs w:val="24"/>
                <w:lang w:eastAsia="de-DE"/>
              </w:rPr>
              <w:t>outlines few priorities in the Home Affairs sector: 1) Strengthening the strategic capacities for management of migration; 2) Full implementation of the National Plan for Combating Trafficking in Human Beings and Illegal Migration, and ensuring victims’ access to assistance, protection and reintegration; 3) Establishment of minimum/maximum standards of technical equipment of the police stations for border checks and border surveillance; 4) Continuous cooperation with neighbouring countries, by realisation of mixed patrols and cooperation through the joint contact centres; 5) Trainings of the members of the Mobile Units; and 6) Exchange of IBM data nationally, regionally and at the EU level.</w:t>
            </w:r>
          </w:p>
          <w:p w14:paraId="1D53BAB3" w14:textId="1CC6D2CA" w:rsidR="00FB2F1C" w:rsidRPr="0089691B" w:rsidRDefault="00FB2F1C" w:rsidP="0089691B">
            <w:pPr>
              <w:pStyle w:val="ListParagraph"/>
              <w:numPr>
                <w:ilvl w:val="0"/>
                <w:numId w:val="3"/>
              </w:numPr>
              <w:spacing w:after="0" w:line="240" w:lineRule="auto"/>
              <w:contextualSpacing w:val="0"/>
              <w:jc w:val="both"/>
              <w:rPr>
                <w:rFonts w:ascii="Times New Roman" w:hAnsi="Times New Roman"/>
                <w:sz w:val="24"/>
                <w:szCs w:val="24"/>
              </w:rPr>
            </w:pPr>
            <w:r w:rsidRPr="0089691B">
              <w:rPr>
                <w:rFonts w:ascii="Times New Roman" w:eastAsia="Arial Unicode MS" w:hAnsi="Times New Roman"/>
                <w:b/>
                <w:sz w:val="24"/>
                <w:szCs w:val="24"/>
                <w:lang w:eastAsia="de-DE"/>
              </w:rPr>
              <w:t>National Integrated Border Management Development Strategy (2015-2019</w:t>
            </w:r>
            <w:proofErr w:type="gramStart"/>
            <w:r w:rsidRPr="0089691B">
              <w:rPr>
                <w:rFonts w:ascii="Times New Roman" w:eastAsia="Arial Unicode MS" w:hAnsi="Times New Roman"/>
                <w:b/>
                <w:sz w:val="24"/>
                <w:szCs w:val="24"/>
                <w:lang w:eastAsia="de-DE"/>
              </w:rPr>
              <w:t>)</w:t>
            </w:r>
            <w:proofErr w:type="gramEnd"/>
            <w:r w:rsidRPr="00ED7BD1">
              <w:rPr>
                <w:rStyle w:val="FootnoteReference"/>
                <w:rFonts w:ascii="Times New Roman" w:eastAsia="Arial Unicode MS" w:hAnsi="Times New Roman"/>
                <w:b/>
                <w:sz w:val="24"/>
                <w:szCs w:val="24"/>
                <w:lang w:eastAsia="de-DE"/>
              </w:rPr>
              <w:footnoteReference w:id="1"/>
            </w:r>
            <w:r w:rsidRPr="0089691B">
              <w:rPr>
                <w:rFonts w:ascii="Times New Roman" w:eastAsia="Arial Unicode MS" w:hAnsi="Times New Roman"/>
                <w:sz w:val="24"/>
                <w:szCs w:val="24"/>
                <w:lang w:eastAsia="de-DE"/>
              </w:rPr>
              <w:t>and the related Action Plan, which has established a national IBM coordinator with numerous key functions. One of the main priorities is to improve the border security system through increasing the international cooperation, the cross-border police cooperation and joint patrols along the</w:t>
            </w:r>
            <w:r w:rsidR="00D509B5" w:rsidRPr="0089691B">
              <w:rPr>
                <w:rFonts w:ascii="Times New Roman" w:eastAsia="Arial Unicode MS" w:hAnsi="Times New Roman"/>
                <w:sz w:val="24"/>
                <w:szCs w:val="24"/>
                <w:lang w:eastAsia="de-DE"/>
              </w:rPr>
              <w:t xml:space="preserve"> </w:t>
            </w:r>
            <w:r w:rsidRPr="0089691B">
              <w:rPr>
                <w:rFonts w:ascii="Times New Roman" w:eastAsia="Arial Unicode MS" w:hAnsi="Times New Roman"/>
                <w:sz w:val="24"/>
                <w:szCs w:val="24"/>
                <w:lang w:eastAsia="de-DE"/>
              </w:rPr>
              <w:t>border, electronic border surveillance and realisation of training programmes on, among other topics, ethic an anti-corruption codes.</w:t>
            </w:r>
          </w:p>
          <w:p w14:paraId="302E3068" w14:textId="77777777" w:rsidR="006239D4" w:rsidRPr="00ED7BD1" w:rsidRDefault="00FB2F1C" w:rsidP="00FB2F1C">
            <w:pPr>
              <w:pStyle w:val="ListParagraph"/>
              <w:numPr>
                <w:ilvl w:val="0"/>
                <w:numId w:val="3"/>
              </w:numPr>
              <w:spacing w:after="0" w:line="240" w:lineRule="auto"/>
              <w:contextualSpacing w:val="0"/>
              <w:jc w:val="both"/>
              <w:rPr>
                <w:rFonts w:ascii="Times New Roman" w:hAnsi="Times New Roman"/>
                <w:sz w:val="24"/>
                <w:szCs w:val="24"/>
              </w:rPr>
            </w:pPr>
            <w:r w:rsidRPr="00ED7BD1">
              <w:rPr>
                <w:rFonts w:ascii="Times New Roman" w:eastAsia="Arial Unicode MS" w:hAnsi="Times New Roman"/>
                <w:b/>
                <w:sz w:val="24"/>
                <w:szCs w:val="24"/>
                <w:lang w:eastAsia="de-DE"/>
              </w:rPr>
              <w:t xml:space="preserve">National Strategy for Combating Trafficking of Human Beings and Illegal Migration (2017-2020), </w:t>
            </w:r>
            <w:r w:rsidRPr="00ED7BD1">
              <w:rPr>
                <w:rFonts w:ascii="Times New Roman" w:eastAsia="Arial Unicode MS" w:hAnsi="Times New Roman"/>
                <w:sz w:val="24"/>
                <w:szCs w:val="24"/>
                <w:lang w:eastAsia="de-DE"/>
              </w:rPr>
              <w:t>which objective is to detect and prosecute the perpetrators and enhance the status of victims of trafficking in human beings</w:t>
            </w:r>
            <w:r w:rsidR="006239D4" w:rsidRPr="00ED7BD1">
              <w:rPr>
                <w:rStyle w:val="FootnoteReference"/>
                <w:rFonts w:ascii="Times New Roman" w:hAnsi="Times New Roman"/>
                <w:sz w:val="24"/>
                <w:szCs w:val="24"/>
                <w:lang w:eastAsia="en-US"/>
              </w:rPr>
              <w:footnoteReference w:id="2"/>
            </w:r>
          </w:p>
          <w:p w14:paraId="7703D547" w14:textId="77777777" w:rsidR="009D4021" w:rsidRPr="00ED7BD1" w:rsidRDefault="009D4021" w:rsidP="00FB2F1C">
            <w:pPr>
              <w:pStyle w:val="ListParagraph"/>
              <w:numPr>
                <w:ilvl w:val="0"/>
                <w:numId w:val="3"/>
              </w:numPr>
              <w:spacing w:after="0" w:line="240" w:lineRule="auto"/>
              <w:contextualSpacing w:val="0"/>
              <w:jc w:val="both"/>
              <w:rPr>
                <w:rFonts w:ascii="Times New Roman" w:hAnsi="Times New Roman"/>
                <w:sz w:val="24"/>
                <w:szCs w:val="24"/>
              </w:rPr>
            </w:pPr>
            <w:r w:rsidRPr="00ED7BD1">
              <w:rPr>
                <w:rFonts w:ascii="Times New Roman" w:hAnsi="Times New Roman"/>
                <w:b/>
                <w:bCs/>
                <w:sz w:val="24"/>
                <w:szCs w:val="24"/>
              </w:rPr>
              <w:t>National Strategy for the Reduction of Poverty and Social exclusion in the Republic of Macedonia 2010-2020</w:t>
            </w:r>
            <w:r w:rsidRPr="00ED7BD1">
              <w:rPr>
                <w:rFonts w:ascii="Times New Roman" w:hAnsi="Times New Roman"/>
                <w:sz w:val="24"/>
                <w:szCs w:val="24"/>
              </w:rPr>
              <w:t xml:space="preserve"> which unites a wide range of strategic documents integrating numerous inclusion policies, as well as introducing additional measures and activities for reducing or overcoming the social exclusion among the Macedonian citizens in a wider context. The strategy is coordinated with the EU’s Strategy for the Growth and Development by 2020</w:t>
            </w:r>
          </w:p>
          <w:p w14:paraId="6919FA47" w14:textId="77777777" w:rsidR="006239D4" w:rsidRPr="00ED7BD1" w:rsidRDefault="006239D4" w:rsidP="00FB2F1C">
            <w:pPr>
              <w:pStyle w:val="ListParagraph"/>
              <w:numPr>
                <w:ilvl w:val="0"/>
                <w:numId w:val="3"/>
              </w:numPr>
              <w:spacing w:after="0" w:line="240" w:lineRule="auto"/>
              <w:contextualSpacing w:val="0"/>
              <w:jc w:val="both"/>
              <w:rPr>
                <w:rFonts w:ascii="Times New Roman" w:hAnsi="Times New Roman"/>
                <w:sz w:val="24"/>
                <w:szCs w:val="24"/>
              </w:rPr>
            </w:pPr>
            <w:r w:rsidRPr="00ED7BD1">
              <w:rPr>
                <w:rFonts w:ascii="Times New Roman" w:hAnsi="Times New Roman"/>
                <w:sz w:val="24"/>
                <w:szCs w:val="24"/>
              </w:rPr>
              <w:lastRenderedPageBreak/>
              <w:t xml:space="preserve">The Action also corresponds to the </w:t>
            </w:r>
            <w:r w:rsidRPr="00ED7BD1">
              <w:rPr>
                <w:rFonts w:ascii="Times New Roman" w:hAnsi="Times New Roman"/>
                <w:b/>
                <w:sz w:val="24"/>
                <w:szCs w:val="24"/>
              </w:rPr>
              <w:t xml:space="preserve">National Strategy for Sustainable Development of North Macedonia 2010-2030, </w:t>
            </w:r>
            <w:r w:rsidRPr="00ED7BD1">
              <w:rPr>
                <w:rFonts w:ascii="Times New Roman" w:hAnsi="Times New Roman"/>
                <w:sz w:val="24"/>
                <w:szCs w:val="24"/>
              </w:rPr>
              <w:t>which focuses the national efforts in three interlinked dimensions: economic dimension, environmental protection; and social dimension (social resources, solidarity, and combating poverty), measuring as indicator the inwards migration as well.</w:t>
            </w:r>
          </w:p>
          <w:p w14:paraId="24A36ECE" w14:textId="77777777" w:rsidR="009D4021" w:rsidRPr="00ED7BD1" w:rsidRDefault="006239D4" w:rsidP="00FB2F1C">
            <w:pPr>
              <w:pStyle w:val="ListParagraph"/>
              <w:numPr>
                <w:ilvl w:val="0"/>
                <w:numId w:val="3"/>
              </w:numPr>
              <w:spacing w:after="0" w:line="240" w:lineRule="auto"/>
              <w:contextualSpacing w:val="0"/>
              <w:jc w:val="both"/>
              <w:rPr>
                <w:rFonts w:ascii="Times New Roman" w:hAnsi="Times New Roman"/>
                <w:sz w:val="24"/>
                <w:szCs w:val="24"/>
              </w:rPr>
            </w:pPr>
            <w:r w:rsidRPr="00ED7BD1">
              <w:rPr>
                <w:rFonts w:ascii="Times New Roman" w:hAnsi="Times New Roman"/>
                <w:b/>
                <w:bCs/>
                <w:sz w:val="24"/>
                <w:szCs w:val="24"/>
              </w:rPr>
              <w:t>The Law on International and Temporary Protection</w:t>
            </w:r>
            <w:r w:rsidRPr="00ED7BD1">
              <w:rPr>
                <w:rFonts w:ascii="Times New Roman" w:hAnsi="Times New Roman"/>
                <w:sz w:val="24"/>
                <w:szCs w:val="24"/>
              </w:rPr>
              <w:t>, improving the concept of safe third country and family reunification. A list of safe countries of origin is also in place.</w:t>
            </w:r>
          </w:p>
          <w:p w14:paraId="2CDE95BA" w14:textId="4106092C" w:rsidR="009D4021" w:rsidRPr="00ED7BD1" w:rsidRDefault="009D4021" w:rsidP="00FB2F1C">
            <w:pPr>
              <w:pStyle w:val="ListParagraph"/>
              <w:numPr>
                <w:ilvl w:val="0"/>
                <w:numId w:val="3"/>
              </w:numPr>
              <w:spacing w:after="0" w:line="240" w:lineRule="auto"/>
              <w:contextualSpacing w:val="0"/>
              <w:jc w:val="both"/>
              <w:rPr>
                <w:rFonts w:ascii="Times New Roman" w:hAnsi="Times New Roman"/>
                <w:sz w:val="24"/>
                <w:szCs w:val="24"/>
              </w:rPr>
            </w:pPr>
            <w:r w:rsidRPr="00ED7BD1">
              <w:rPr>
                <w:rFonts w:ascii="Times New Roman" w:hAnsi="Times New Roman"/>
                <w:b/>
                <w:bCs/>
                <w:sz w:val="24"/>
                <w:szCs w:val="24"/>
              </w:rPr>
              <w:t>Strategy for Integration of Refugees and Foreigners</w:t>
            </w:r>
            <w:r w:rsidR="007E1657" w:rsidRPr="00ED7BD1">
              <w:rPr>
                <w:rFonts w:ascii="Times New Roman" w:hAnsi="Times New Roman"/>
                <w:b/>
                <w:bCs/>
                <w:sz w:val="24"/>
                <w:szCs w:val="24"/>
              </w:rPr>
              <w:t xml:space="preserve"> </w:t>
            </w:r>
            <w:r w:rsidRPr="00ED7BD1">
              <w:rPr>
                <w:rFonts w:ascii="Times New Roman" w:hAnsi="Times New Roman"/>
                <w:sz w:val="24"/>
                <w:szCs w:val="24"/>
              </w:rPr>
              <w:t xml:space="preserve">and the corresponding National Action Plan for period 2017-2027 </w:t>
            </w:r>
          </w:p>
          <w:p w14:paraId="7222BF95" w14:textId="77777777" w:rsidR="009D4021" w:rsidRPr="00ED7BD1" w:rsidRDefault="009D4021" w:rsidP="00FB2F1C">
            <w:pPr>
              <w:pStyle w:val="ListParagraph"/>
              <w:numPr>
                <w:ilvl w:val="0"/>
                <w:numId w:val="3"/>
              </w:numPr>
              <w:spacing w:after="0" w:line="240" w:lineRule="auto"/>
              <w:contextualSpacing w:val="0"/>
              <w:jc w:val="both"/>
              <w:rPr>
                <w:rFonts w:ascii="Times New Roman" w:hAnsi="Times New Roman"/>
                <w:sz w:val="24"/>
                <w:szCs w:val="24"/>
              </w:rPr>
            </w:pPr>
            <w:r w:rsidRPr="00ED7BD1">
              <w:rPr>
                <w:rFonts w:ascii="Times New Roman" w:hAnsi="Times New Roman"/>
                <w:b/>
                <w:bCs/>
                <w:sz w:val="24"/>
                <w:szCs w:val="24"/>
              </w:rPr>
              <w:t>Migration Policy Resolution</w:t>
            </w:r>
            <w:r w:rsidRPr="00ED7BD1">
              <w:rPr>
                <w:rFonts w:ascii="Times New Roman" w:hAnsi="Times New Roman"/>
                <w:sz w:val="24"/>
                <w:szCs w:val="24"/>
              </w:rPr>
              <w:t xml:space="preserve"> as adopted by the Macedonian Parliament in 2014, for measures proposed for period of implementation from 2015-2020. The Resolution emphasizes improvements in the field of circular migration and investments in brain-gain initiatives; integration of migrants in development processes via transfer fee reductions on international payments, its profitable usages and participation at brain-gain projects. </w:t>
            </w:r>
          </w:p>
          <w:p w14:paraId="3A1CAE1E" w14:textId="77777777" w:rsidR="00A5534D" w:rsidRPr="00ED7BD1" w:rsidRDefault="00FB2F1C" w:rsidP="00FB2F1C">
            <w:pPr>
              <w:pStyle w:val="ListParagraph"/>
              <w:numPr>
                <w:ilvl w:val="0"/>
                <w:numId w:val="3"/>
              </w:numPr>
              <w:spacing w:after="0" w:line="240" w:lineRule="auto"/>
              <w:contextualSpacing w:val="0"/>
              <w:jc w:val="both"/>
              <w:rPr>
                <w:rFonts w:ascii="Times New Roman" w:hAnsi="Times New Roman"/>
                <w:sz w:val="24"/>
                <w:szCs w:val="24"/>
              </w:rPr>
            </w:pPr>
            <w:r w:rsidRPr="00ED7BD1">
              <w:rPr>
                <w:rFonts w:ascii="Times New Roman" w:eastAsia="Arial Unicode MS" w:hAnsi="Times New Roman"/>
                <w:b/>
                <w:sz w:val="24"/>
                <w:szCs w:val="24"/>
                <w:lang w:eastAsia="de-DE"/>
              </w:rPr>
              <w:t xml:space="preserve">Police Development Strategy (2016-2020), </w:t>
            </w:r>
            <w:r w:rsidRPr="00ED7BD1">
              <w:rPr>
                <w:rFonts w:ascii="Times New Roman" w:eastAsia="Arial Unicode MS" w:hAnsi="Times New Roman"/>
                <w:sz w:val="24"/>
                <w:szCs w:val="24"/>
                <w:lang w:eastAsia="de-DE"/>
              </w:rPr>
              <w:t>particularly with regard to reviewing responsibilities related to receiving and accommodating migrants pursuant to the standards and requirements of the EU an strengthening the border affairs and migration department and the regional centres for border affairs operative capacities, including fighting the cross-border crime and illegal migration.</w:t>
            </w:r>
          </w:p>
        </w:tc>
      </w:tr>
      <w:tr w:rsidR="00ED7BD1" w:rsidRPr="00ED7BD1" w14:paraId="06C74F75" w14:textId="77777777" w:rsidTr="001556BC">
        <w:trPr>
          <w:jc w:val="center"/>
        </w:trPr>
        <w:tc>
          <w:tcPr>
            <w:tcW w:w="534" w:type="dxa"/>
            <w:vMerge/>
            <w:tcBorders>
              <w:left w:val="single" w:sz="4" w:space="0" w:color="auto"/>
              <w:right w:val="single" w:sz="4" w:space="0" w:color="auto"/>
            </w:tcBorders>
          </w:tcPr>
          <w:p w14:paraId="1F505F10" w14:textId="77777777" w:rsidR="007D7C99" w:rsidRPr="00ED7BD1" w:rsidRDefault="007D7C99" w:rsidP="001556B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5BAF78" w14:textId="77777777" w:rsidR="007D7C99" w:rsidRPr="00ED7BD1" w:rsidRDefault="007D7C99" w:rsidP="001556BC">
            <w:pPr>
              <w:rPr>
                <w:rFonts w:ascii="Times New Roman" w:hAnsi="Times New Roman"/>
                <w:sz w:val="24"/>
                <w:szCs w:val="24"/>
              </w:rPr>
            </w:pPr>
            <w:r w:rsidRPr="00ED7BD1">
              <w:rPr>
                <w:rFonts w:ascii="Times New Roman" w:hAnsi="Times New Roman"/>
                <w:sz w:val="24"/>
                <w:szCs w:val="24"/>
              </w:rPr>
              <w:t>Coherence with the Sector Approach</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D677372" w14:textId="77777777" w:rsidR="005354CE" w:rsidRPr="00ED7BD1" w:rsidRDefault="005354CE" w:rsidP="005354CE">
            <w:pPr>
              <w:tabs>
                <w:tab w:val="left" w:pos="1418"/>
                <w:tab w:val="left" w:pos="8931"/>
              </w:tabs>
              <w:autoSpaceDE w:val="0"/>
              <w:autoSpaceDN w:val="0"/>
              <w:adjustRightInd w:val="0"/>
              <w:spacing w:before="120" w:after="120" w:line="240" w:lineRule="auto"/>
              <w:ind w:right="-2"/>
              <w:jc w:val="both"/>
              <w:rPr>
                <w:rFonts w:ascii="Times New Roman" w:hAnsi="Times New Roman"/>
                <w:sz w:val="24"/>
                <w:szCs w:val="24"/>
                <w:lang w:bidi="mn-Mong-CN"/>
              </w:rPr>
            </w:pPr>
            <w:r w:rsidRPr="00ED7BD1">
              <w:rPr>
                <w:rFonts w:ascii="Times New Roman" w:hAnsi="Times New Roman"/>
                <w:sz w:val="24"/>
                <w:szCs w:val="24"/>
                <w:lang w:bidi="mn-Mong-CN"/>
              </w:rPr>
              <w:t xml:space="preserve">North Macedonia has made significant progress in introducing the Sector Approach (SA) and in implementing the Roadmap of the SA since 2017. </w:t>
            </w:r>
            <w:r w:rsidR="006F2898" w:rsidRPr="00ED7BD1">
              <w:rPr>
                <w:rFonts w:ascii="Times New Roman" w:hAnsi="Times New Roman"/>
                <w:sz w:val="24"/>
                <w:szCs w:val="24"/>
                <w:lang w:bidi="mn-Mong-CN"/>
              </w:rPr>
              <w:t xml:space="preserve">One of the main elements of the SA is the </w:t>
            </w:r>
            <w:r w:rsidR="006F2898" w:rsidRPr="00ED7BD1">
              <w:rPr>
                <w:rFonts w:ascii="Times New Roman" w:hAnsi="Times New Roman"/>
                <w:b/>
                <w:sz w:val="24"/>
                <w:szCs w:val="24"/>
                <w:lang w:bidi="mn-Mong-CN"/>
              </w:rPr>
              <w:t xml:space="preserve">Sector Working Group (SWG) Home Affairs </w:t>
            </w:r>
            <w:r w:rsidR="006F2898" w:rsidRPr="00ED7BD1">
              <w:rPr>
                <w:rFonts w:ascii="Times New Roman" w:hAnsi="Times New Roman"/>
                <w:sz w:val="24"/>
                <w:szCs w:val="24"/>
                <w:lang w:bidi="mn-Mong-CN"/>
              </w:rPr>
              <w:t xml:space="preserve">which is the inter-institutional cooperation sector dialogue platform channelling the discussions on the national sector priorities and their implementation in an inclusive and participatory manner. </w:t>
            </w:r>
            <w:r w:rsidR="006F2898" w:rsidRPr="00ED7BD1">
              <w:rPr>
                <w:rFonts w:ascii="Times New Roman" w:hAnsi="Times New Roman"/>
                <w:sz w:val="24"/>
                <w:szCs w:val="24"/>
              </w:rPr>
              <w:t>The SWG embeds the IPA programming but go far beyond the discussions on EU funds: this is the platform to voice also the opinion of the various donors, relevant state institutions and civil society on how the private sector develops, how effective are the current policies and how the various donors contribute to the national sector priorities.</w:t>
            </w:r>
          </w:p>
          <w:p w14:paraId="04C4C8FD" w14:textId="77777777" w:rsidR="00972C3D" w:rsidRPr="00ED7BD1" w:rsidRDefault="005354CE" w:rsidP="00972C3D">
            <w:pPr>
              <w:tabs>
                <w:tab w:val="left" w:pos="1418"/>
                <w:tab w:val="left" w:pos="8931"/>
              </w:tabs>
              <w:autoSpaceDE w:val="0"/>
              <w:spacing w:before="120" w:after="120" w:line="240" w:lineRule="auto"/>
              <w:ind w:right="-2"/>
              <w:jc w:val="both"/>
              <w:rPr>
                <w:rFonts w:ascii="Times New Roman" w:hAnsi="Times New Roman"/>
                <w:sz w:val="24"/>
                <w:szCs w:val="24"/>
              </w:rPr>
            </w:pPr>
            <w:r w:rsidRPr="00ED7BD1">
              <w:rPr>
                <w:rFonts w:ascii="Times New Roman" w:hAnsi="Times New Roman"/>
                <w:sz w:val="24"/>
                <w:szCs w:val="24"/>
                <w:lang w:bidi="mn-Mong-CN"/>
              </w:rPr>
              <w:t xml:space="preserve">The </w:t>
            </w:r>
            <w:r w:rsidRPr="00ED7BD1">
              <w:rPr>
                <w:rFonts w:ascii="Times New Roman" w:hAnsi="Times New Roman"/>
                <w:b/>
                <w:sz w:val="24"/>
                <w:szCs w:val="24"/>
                <w:lang w:bidi="mn-Mong-CN"/>
              </w:rPr>
              <w:t>strategic framework</w:t>
            </w:r>
            <w:r w:rsidRPr="00ED7BD1">
              <w:rPr>
                <w:rFonts w:ascii="Times New Roman" w:hAnsi="Times New Roman"/>
                <w:sz w:val="24"/>
                <w:szCs w:val="24"/>
                <w:lang w:bidi="mn-Mong-CN"/>
              </w:rPr>
              <w:t xml:space="preserve"> in the thematic priority </w:t>
            </w:r>
            <w:r w:rsidR="00972C3D" w:rsidRPr="00ED7BD1">
              <w:rPr>
                <w:rFonts w:ascii="Times New Roman" w:hAnsi="Times New Roman"/>
                <w:sz w:val="24"/>
                <w:szCs w:val="24"/>
                <w:lang w:bidi="mn-Mong-CN"/>
              </w:rPr>
              <w:t xml:space="preserve">migration and border management consists of few strategies that address specific issues and some of them will expire in 2020. The absence of an overall strategy in this thematic priority as well as the close deadline of few of them will be addressed, as soon as possible, in order to increase the coherence, synergy, monitoring and evaluation of the sector. </w:t>
            </w:r>
          </w:p>
          <w:p w14:paraId="0C5F4D08" w14:textId="77777777" w:rsidR="005354CE" w:rsidRPr="00ED7BD1" w:rsidRDefault="005354CE" w:rsidP="005354CE">
            <w:pPr>
              <w:spacing w:before="120" w:after="60" w:line="240" w:lineRule="auto"/>
              <w:jc w:val="both"/>
              <w:rPr>
                <w:rFonts w:ascii="Times New Roman" w:hAnsi="Times New Roman"/>
                <w:sz w:val="24"/>
                <w:szCs w:val="24"/>
                <w:lang w:bidi="mn-Mong-CN"/>
              </w:rPr>
            </w:pPr>
            <w:r w:rsidRPr="00ED7BD1">
              <w:rPr>
                <w:rFonts w:ascii="Times New Roman" w:hAnsi="Times New Roman"/>
                <w:sz w:val="24"/>
                <w:szCs w:val="24"/>
                <w:lang w:bidi="mn-Mong-CN"/>
              </w:rPr>
              <w:t xml:space="preserve">In terms of </w:t>
            </w:r>
            <w:r w:rsidRPr="00ED7BD1">
              <w:rPr>
                <w:rFonts w:ascii="Times New Roman" w:hAnsi="Times New Roman"/>
                <w:b/>
                <w:sz w:val="24"/>
                <w:szCs w:val="24"/>
                <w:lang w:bidi="mn-Mong-CN"/>
              </w:rPr>
              <w:t>settings and institutional capacity</w:t>
            </w:r>
            <w:r w:rsidRPr="00ED7BD1">
              <w:rPr>
                <w:rFonts w:ascii="Times New Roman" w:hAnsi="Times New Roman"/>
                <w:sz w:val="24"/>
                <w:szCs w:val="24"/>
                <w:lang w:bidi="mn-Mong-CN"/>
              </w:rPr>
              <w:t>, many</w:t>
            </w:r>
            <w:r w:rsidRPr="00ED7BD1">
              <w:rPr>
                <w:rFonts w:ascii="Times New Roman" w:hAnsi="Times New Roman"/>
                <w:sz w:val="24"/>
                <w:szCs w:val="24"/>
              </w:rPr>
              <w:t xml:space="preserve"> institutions are involved in the sector, although there are insufficient staffs in most of them. The status of the steps and targets of the Sector Approach Roadmap clearly shows that most of them has been implemented or reached, creating a critical situation that must be analysed and addressed </w:t>
            </w:r>
            <w:r w:rsidRPr="00ED7BD1">
              <w:rPr>
                <w:rFonts w:ascii="Times New Roman" w:hAnsi="Times New Roman"/>
                <w:sz w:val="24"/>
                <w:szCs w:val="24"/>
              </w:rPr>
              <w:lastRenderedPageBreak/>
              <w:t>urgently. There is specific progress in putting relevant monitoring mechanisms into place for strategies part of the Home Affairs sector, in particular with the Police Reform Strategy</w:t>
            </w:r>
            <w:r w:rsidR="00FB2F1C" w:rsidRPr="00ED7BD1">
              <w:rPr>
                <w:rFonts w:ascii="Times New Roman" w:hAnsi="Times New Roman"/>
                <w:sz w:val="24"/>
                <w:szCs w:val="24"/>
              </w:rPr>
              <w:t>, IBM Strategy</w:t>
            </w:r>
            <w:r w:rsidRPr="00ED7BD1">
              <w:rPr>
                <w:rFonts w:ascii="Times New Roman" w:hAnsi="Times New Roman"/>
                <w:sz w:val="24"/>
                <w:szCs w:val="24"/>
              </w:rPr>
              <w:t xml:space="preserve"> and t</w:t>
            </w:r>
            <w:r w:rsidR="00FB2F1C" w:rsidRPr="00ED7BD1">
              <w:rPr>
                <w:rFonts w:ascii="Times New Roman" w:hAnsi="Times New Roman"/>
                <w:sz w:val="24"/>
                <w:szCs w:val="24"/>
              </w:rPr>
              <w:t>he National Strategy for Combat</w:t>
            </w:r>
            <w:r w:rsidRPr="00ED7BD1">
              <w:rPr>
                <w:rFonts w:ascii="Times New Roman" w:hAnsi="Times New Roman"/>
                <w:sz w:val="24"/>
                <w:szCs w:val="24"/>
              </w:rPr>
              <w:t xml:space="preserve">ing Trafficking in Human Beings and Illegal Migration. </w:t>
            </w:r>
          </w:p>
          <w:p w14:paraId="3F1AEB72" w14:textId="77777777" w:rsidR="007D7C99" w:rsidRPr="00ED7BD1" w:rsidRDefault="006F2898" w:rsidP="001556BC">
            <w:pPr>
              <w:spacing w:after="120" w:line="240" w:lineRule="auto"/>
              <w:jc w:val="both"/>
              <w:rPr>
                <w:rFonts w:ascii="Times New Roman" w:hAnsi="Times New Roman"/>
                <w:iCs/>
                <w:sz w:val="24"/>
                <w:szCs w:val="24"/>
              </w:rPr>
            </w:pPr>
            <w:r w:rsidRPr="00ED7BD1">
              <w:rPr>
                <w:rFonts w:ascii="Times New Roman" w:hAnsi="Times New Roman"/>
                <w:sz w:val="24"/>
                <w:szCs w:val="24"/>
                <w:lang w:bidi="mn-Mong-CN"/>
              </w:rPr>
              <w:t xml:space="preserve">The national authorities, with the EU support, during 2020 developed a sector </w:t>
            </w:r>
            <w:r w:rsidRPr="00ED7BD1">
              <w:rPr>
                <w:rFonts w:ascii="Times New Roman" w:hAnsi="Times New Roman"/>
                <w:b/>
                <w:sz w:val="24"/>
                <w:szCs w:val="24"/>
                <w:lang w:bidi="mn-Mong-CN"/>
              </w:rPr>
              <w:t>Performance Assessment Framework (PAF)</w:t>
            </w:r>
            <w:r w:rsidRPr="00ED7BD1">
              <w:rPr>
                <w:rFonts w:ascii="Times New Roman" w:hAnsi="Times New Roman"/>
                <w:sz w:val="24"/>
                <w:szCs w:val="24"/>
                <w:lang w:bidi="mn-Mong-CN"/>
              </w:rPr>
              <w:t>, based on a set of impact and outcome indicators, targets and baseline data. At the level of the Ministry of Interior, there is a unit in charge of strategic development responsible for monitoring the implementation of the strategies that would complement the PAF. However, there is not a unified monitoring mechanism to monitor the implementation and evaluate the impact of the implemented strategic activities.</w:t>
            </w:r>
          </w:p>
        </w:tc>
      </w:tr>
      <w:tr w:rsidR="00ED7BD1" w:rsidRPr="00ED7BD1" w14:paraId="4434CEAB" w14:textId="77777777" w:rsidTr="001556BC">
        <w:trPr>
          <w:jc w:val="center"/>
        </w:trPr>
        <w:tc>
          <w:tcPr>
            <w:tcW w:w="534" w:type="dxa"/>
            <w:vMerge/>
            <w:tcBorders>
              <w:left w:val="single" w:sz="4" w:space="0" w:color="auto"/>
              <w:bottom w:val="single" w:sz="4" w:space="0" w:color="auto"/>
              <w:right w:val="single" w:sz="4" w:space="0" w:color="auto"/>
            </w:tcBorders>
          </w:tcPr>
          <w:p w14:paraId="273FE338" w14:textId="77777777" w:rsidR="007D7C99" w:rsidRPr="00ED7BD1" w:rsidRDefault="007D7C99" w:rsidP="001556B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8FC9929" w14:textId="77777777" w:rsidR="007D7C99" w:rsidRPr="00ED7BD1" w:rsidRDefault="007D7C99" w:rsidP="001556BC">
            <w:pPr>
              <w:rPr>
                <w:rFonts w:ascii="Times New Roman" w:hAnsi="Times New Roman"/>
                <w:sz w:val="24"/>
                <w:szCs w:val="24"/>
              </w:rPr>
            </w:pPr>
            <w:r w:rsidRPr="00ED7BD1">
              <w:rPr>
                <w:rFonts w:ascii="Times New Roman" w:hAnsi="Times New Roman"/>
                <w:sz w:val="24"/>
                <w:szCs w:val="24"/>
              </w:rPr>
              <w:t>Regional dimension</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D8C8E1D" w14:textId="77777777" w:rsidR="007D7C99" w:rsidRPr="00ED7BD1" w:rsidRDefault="007D7C99" w:rsidP="001556BC">
            <w:pPr>
              <w:spacing w:after="120" w:line="240" w:lineRule="auto"/>
              <w:jc w:val="both"/>
              <w:rPr>
                <w:rFonts w:ascii="Times New Roman" w:hAnsi="Times New Roman"/>
                <w:iCs/>
                <w:sz w:val="24"/>
                <w:szCs w:val="24"/>
              </w:rPr>
            </w:pPr>
            <w:r w:rsidRPr="00ED7BD1">
              <w:rPr>
                <w:rFonts w:ascii="Times New Roman" w:hAnsi="Times New Roman"/>
                <w:iCs/>
                <w:sz w:val="24"/>
                <w:szCs w:val="24"/>
              </w:rPr>
              <w:t>Not applicable</w:t>
            </w:r>
          </w:p>
        </w:tc>
      </w:tr>
      <w:tr w:rsidR="00ED7BD1" w:rsidRPr="00ED7BD1" w14:paraId="1ECEC164" w14:textId="77777777" w:rsidTr="001556BC">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38E951C2" w14:textId="77777777" w:rsidR="007D7C99" w:rsidRPr="00ED7BD1" w:rsidRDefault="007D7C99" w:rsidP="001556BC">
            <w:pPr>
              <w:rPr>
                <w:rFonts w:ascii="Times New Roman" w:hAnsi="Times New Roman"/>
                <w:sz w:val="24"/>
                <w:szCs w:val="24"/>
              </w:rPr>
            </w:pPr>
            <w:r w:rsidRPr="00ED7BD1">
              <w:rPr>
                <w:rFonts w:ascii="Times New Roman" w:hAnsi="Times New Roman"/>
                <w:sz w:val="24"/>
                <w:szCs w:val="24"/>
              </w:rPr>
              <w:t>Indicative budget</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580479F" w14:textId="173E6560" w:rsidR="0089691B" w:rsidRPr="0089691B" w:rsidRDefault="000B10FE" w:rsidP="000B10FE">
            <w:pPr>
              <w:rPr>
                <w:rFonts w:ascii="Times New Roman" w:hAnsi="Times New Roman"/>
                <w:iCs/>
                <w:sz w:val="24"/>
                <w:szCs w:val="24"/>
              </w:rPr>
            </w:pPr>
            <w:r w:rsidRPr="0089691B">
              <w:rPr>
                <w:rFonts w:ascii="Times New Roman" w:hAnsi="Times New Roman"/>
                <w:iCs/>
                <w:sz w:val="24"/>
                <w:szCs w:val="24"/>
              </w:rPr>
              <w:t>Total</w:t>
            </w:r>
            <w:r w:rsidR="0089691B" w:rsidRPr="0089691B">
              <w:rPr>
                <w:rFonts w:ascii="Times New Roman" w:hAnsi="Times New Roman"/>
                <w:iCs/>
                <w:sz w:val="24"/>
                <w:szCs w:val="24"/>
              </w:rPr>
              <w:t xml:space="preserve"> funding</w:t>
            </w:r>
            <w:r w:rsidRPr="0089691B">
              <w:rPr>
                <w:rFonts w:ascii="Times New Roman" w:hAnsi="Times New Roman"/>
                <w:iCs/>
                <w:sz w:val="24"/>
                <w:szCs w:val="24"/>
              </w:rPr>
              <w:t>:</w:t>
            </w:r>
            <w:r w:rsidR="0089691B" w:rsidRPr="0089691B">
              <w:rPr>
                <w:rFonts w:ascii="Times New Roman" w:hAnsi="Times New Roman"/>
                <w:iCs/>
                <w:sz w:val="24"/>
                <w:szCs w:val="24"/>
              </w:rPr>
              <w:t xml:space="preserve"> EUR</w:t>
            </w:r>
            <w:r w:rsidRPr="0089691B">
              <w:rPr>
                <w:rFonts w:ascii="Times New Roman" w:hAnsi="Times New Roman"/>
                <w:iCs/>
                <w:sz w:val="24"/>
                <w:szCs w:val="24"/>
              </w:rPr>
              <w:t xml:space="preserve"> </w:t>
            </w:r>
            <w:r w:rsidR="00FD52C1">
              <w:rPr>
                <w:rFonts w:ascii="Times New Roman" w:hAnsi="Times New Roman"/>
                <w:iCs/>
                <w:sz w:val="24"/>
                <w:szCs w:val="24"/>
              </w:rPr>
              <w:t>7</w:t>
            </w:r>
            <w:bookmarkStart w:id="1" w:name="_GoBack"/>
            <w:bookmarkEnd w:id="1"/>
            <w:r w:rsidR="0089691B" w:rsidRPr="0089691B">
              <w:rPr>
                <w:rFonts w:ascii="Times New Roman" w:hAnsi="Times New Roman"/>
                <w:iCs/>
                <w:sz w:val="24"/>
                <w:szCs w:val="24"/>
              </w:rPr>
              <w:t>,800,000</w:t>
            </w:r>
          </w:p>
          <w:p w14:paraId="61D18C1C" w14:textId="42FE9BA6" w:rsidR="000B10FE" w:rsidRPr="0089691B" w:rsidRDefault="000B10FE" w:rsidP="000B10FE">
            <w:pPr>
              <w:rPr>
                <w:rFonts w:ascii="Times New Roman" w:hAnsi="Times New Roman"/>
                <w:iCs/>
                <w:sz w:val="24"/>
                <w:szCs w:val="24"/>
              </w:rPr>
            </w:pPr>
            <w:r w:rsidRPr="0089691B">
              <w:rPr>
                <w:rFonts w:ascii="Times New Roman" w:hAnsi="Times New Roman"/>
                <w:iCs/>
                <w:sz w:val="24"/>
                <w:szCs w:val="24"/>
              </w:rPr>
              <w:t xml:space="preserve">EU financing: </w:t>
            </w:r>
            <w:r w:rsidR="0089691B" w:rsidRPr="0089691B">
              <w:rPr>
                <w:rFonts w:ascii="Times New Roman" w:hAnsi="Times New Roman"/>
                <w:iCs/>
                <w:sz w:val="24"/>
                <w:szCs w:val="24"/>
              </w:rPr>
              <w:t xml:space="preserve">EUR </w:t>
            </w:r>
            <w:r w:rsidRPr="0089691B">
              <w:rPr>
                <w:rFonts w:ascii="Times New Roman" w:hAnsi="Times New Roman"/>
                <w:iCs/>
                <w:sz w:val="24"/>
                <w:szCs w:val="24"/>
              </w:rPr>
              <w:t>7</w:t>
            </w:r>
            <w:r w:rsidR="0089691B" w:rsidRPr="0089691B">
              <w:rPr>
                <w:rFonts w:ascii="Times New Roman" w:hAnsi="Times New Roman"/>
                <w:iCs/>
                <w:sz w:val="24"/>
                <w:szCs w:val="24"/>
              </w:rPr>
              <w:t>,000,000</w:t>
            </w:r>
          </w:p>
          <w:p w14:paraId="781D8045" w14:textId="067C48C8" w:rsidR="00C07094" w:rsidRPr="00ED7BD1" w:rsidRDefault="000B10FE" w:rsidP="0089691B">
            <w:pPr>
              <w:spacing w:after="120" w:line="240" w:lineRule="auto"/>
              <w:jc w:val="both"/>
              <w:rPr>
                <w:rFonts w:ascii="Times New Roman" w:hAnsi="Times New Roman"/>
                <w:iCs/>
                <w:sz w:val="24"/>
                <w:szCs w:val="24"/>
              </w:rPr>
            </w:pPr>
            <w:r w:rsidRPr="00ED7BD1">
              <w:rPr>
                <w:rFonts w:ascii="Times New Roman" w:hAnsi="Times New Roman"/>
                <w:iCs/>
                <w:sz w:val="24"/>
                <w:szCs w:val="24"/>
              </w:rPr>
              <w:t xml:space="preserve">National co-financing: </w:t>
            </w:r>
            <w:r w:rsidR="0089691B">
              <w:rPr>
                <w:rFonts w:ascii="Times New Roman" w:hAnsi="Times New Roman"/>
                <w:iCs/>
                <w:sz w:val="24"/>
                <w:szCs w:val="24"/>
              </w:rPr>
              <w:t xml:space="preserve">EUR </w:t>
            </w:r>
            <w:r w:rsidR="00D466A3" w:rsidRPr="00ED7BD1">
              <w:rPr>
                <w:rFonts w:ascii="Times New Roman" w:hAnsi="Times New Roman"/>
                <w:iCs/>
                <w:sz w:val="24"/>
                <w:szCs w:val="24"/>
              </w:rPr>
              <w:t>8</w:t>
            </w:r>
            <w:r w:rsidR="0089691B">
              <w:rPr>
                <w:rFonts w:ascii="Times New Roman" w:hAnsi="Times New Roman"/>
                <w:iCs/>
                <w:sz w:val="24"/>
                <w:szCs w:val="24"/>
              </w:rPr>
              <w:t>00,000</w:t>
            </w:r>
            <w:r w:rsidRPr="00ED7BD1" w:rsidDel="000B10FE">
              <w:rPr>
                <w:rFonts w:ascii="Times New Roman" w:hAnsi="Times New Roman"/>
                <w:iCs/>
                <w:sz w:val="24"/>
                <w:szCs w:val="24"/>
              </w:rPr>
              <w:t xml:space="preserve"> </w:t>
            </w:r>
          </w:p>
        </w:tc>
      </w:tr>
      <w:tr w:rsidR="00ED7BD1" w:rsidRPr="00ED7BD1" w14:paraId="7B1AD444" w14:textId="77777777" w:rsidTr="001556BC">
        <w:trPr>
          <w:jc w:val="center"/>
        </w:trPr>
        <w:tc>
          <w:tcPr>
            <w:tcW w:w="2802" w:type="dxa"/>
            <w:gridSpan w:val="2"/>
            <w:tcBorders>
              <w:top w:val="single" w:sz="4" w:space="0" w:color="auto"/>
              <w:left w:val="single" w:sz="4" w:space="0" w:color="auto"/>
              <w:bottom w:val="single" w:sz="4" w:space="0" w:color="auto"/>
              <w:right w:val="single" w:sz="4" w:space="0" w:color="auto"/>
            </w:tcBorders>
          </w:tcPr>
          <w:p w14:paraId="7CDDE993" w14:textId="77777777" w:rsidR="007D7C99" w:rsidRPr="00ED7BD1" w:rsidRDefault="007D7C99" w:rsidP="001556BC">
            <w:pPr>
              <w:rPr>
                <w:rFonts w:ascii="Times New Roman" w:hAnsi="Times New Roman"/>
                <w:sz w:val="24"/>
                <w:szCs w:val="24"/>
              </w:rPr>
            </w:pPr>
            <w:r w:rsidRPr="00ED7BD1">
              <w:rPr>
                <w:rFonts w:ascii="Times New Roman" w:hAnsi="Times New Roman"/>
                <w:sz w:val="24"/>
                <w:szCs w:val="24"/>
              </w:rPr>
              <w:t>Implementation Modality</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F36B96F" w14:textId="77777777" w:rsidR="000B10FE" w:rsidRPr="00ED7BD1" w:rsidRDefault="000B10FE" w:rsidP="000B10FE">
            <w:pPr>
              <w:rPr>
                <w:rFonts w:ascii="Times New Roman" w:hAnsi="Times New Roman"/>
                <w:b/>
                <w:bCs/>
                <w:sz w:val="24"/>
                <w:szCs w:val="24"/>
              </w:rPr>
            </w:pPr>
            <w:r w:rsidRPr="00ED7BD1">
              <w:rPr>
                <w:rFonts w:ascii="Times New Roman" w:hAnsi="Times New Roman"/>
                <w:sz w:val="24"/>
                <w:szCs w:val="24"/>
              </w:rPr>
              <w:t xml:space="preserve">The Action is to be implemented under </w:t>
            </w:r>
            <w:r w:rsidRPr="00ED7BD1">
              <w:rPr>
                <w:rFonts w:ascii="Times New Roman" w:hAnsi="Times New Roman"/>
                <w:b/>
                <w:bCs/>
                <w:sz w:val="24"/>
                <w:szCs w:val="24"/>
              </w:rPr>
              <w:t>direct management and Indirect management with International Organisation</w:t>
            </w:r>
          </w:p>
          <w:p w14:paraId="6D5F465A" w14:textId="4B359D89" w:rsidR="00161A67" w:rsidRPr="0089691B" w:rsidRDefault="000B10FE" w:rsidP="0089691B">
            <w:pPr>
              <w:rPr>
                <w:rFonts w:ascii="Times New Roman" w:hAnsi="Times New Roman"/>
                <w:sz w:val="24"/>
                <w:szCs w:val="24"/>
              </w:rPr>
            </w:pPr>
            <w:r w:rsidRPr="0089691B">
              <w:rPr>
                <w:rFonts w:ascii="Times New Roman" w:hAnsi="Times New Roman"/>
                <w:sz w:val="24"/>
                <w:szCs w:val="24"/>
              </w:rPr>
              <w:t xml:space="preserve">The implementation under Direct Management involves </w:t>
            </w:r>
            <w:r w:rsidR="0089691B" w:rsidRPr="0089691B">
              <w:rPr>
                <w:rFonts w:ascii="Times New Roman" w:hAnsi="Times New Roman"/>
                <w:sz w:val="24"/>
                <w:szCs w:val="24"/>
              </w:rPr>
              <w:t>procurement (s</w:t>
            </w:r>
            <w:r w:rsidRPr="0089691B">
              <w:rPr>
                <w:rFonts w:ascii="Times New Roman" w:hAnsi="Times New Roman"/>
                <w:sz w:val="24"/>
                <w:szCs w:val="24"/>
              </w:rPr>
              <w:t xml:space="preserve">ervices </w:t>
            </w:r>
            <w:r w:rsidR="00A40243" w:rsidRPr="0089691B">
              <w:rPr>
                <w:rFonts w:ascii="Times New Roman" w:hAnsi="Times New Roman"/>
                <w:sz w:val="24"/>
                <w:szCs w:val="24"/>
              </w:rPr>
              <w:t>and</w:t>
            </w:r>
            <w:r w:rsidR="0089691B" w:rsidRPr="0089691B">
              <w:rPr>
                <w:rFonts w:ascii="Times New Roman" w:hAnsi="Times New Roman"/>
                <w:sz w:val="24"/>
                <w:szCs w:val="24"/>
              </w:rPr>
              <w:t xml:space="preserve"> supplies) and grants (Twinning)</w:t>
            </w:r>
          </w:p>
        </w:tc>
      </w:tr>
    </w:tbl>
    <w:p w14:paraId="4F4E325B" w14:textId="24132D5A" w:rsidR="00D92F6C" w:rsidRPr="00ED7BD1" w:rsidRDefault="00D92F6C" w:rsidP="00D92F6C">
      <w:pPr>
        <w:spacing w:after="0" w:line="240" w:lineRule="auto"/>
        <w:jc w:val="both"/>
        <w:rPr>
          <w:rFonts w:ascii="Times New Roman" w:hAnsi="Times New Roman"/>
          <w:i/>
          <w:sz w:val="24"/>
          <w:szCs w:val="24"/>
        </w:rPr>
        <w:sectPr w:rsidR="00D92F6C" w:rsidRPr="00ED7BD1">
          <w:pgSz w:w="11906" w:h="16838"/>
          <w:pgMar w:top="1440" w:right="1440" w:bottom="1440" w:left="1440" w:header="708" w:footer="708" w:gutter="0"/>
          <w:cols w:space="708"/>
          <w:docGrid w:linePitch="360"/>
        </w:sectPr>
      </w:pPr>
    </w:p>
    <w:p w14:paraId="05EEBE6E" w14:textId="2685EF5F" w:rsidR="00D92F6C" w:rsidRPr="00ED7BD1" w:rsidRDefault="00D92F6C" w:rsidP="00D92F6C">
      <w:pPr>
        <w:rPr>
          <w:rFonts w:ascii="Times New Roman" w:hAnsi="Times New Roman"/>
          <w:bCs/>
          <w:smallCaps/>
          <w:sz w:val="24"/>
          <w:szCs w:val="24"/>
        </w:rPr>
      </w:pPr>
      <w:bookmarkStart w:id="2" w:name="_Toc33698402"/>
      <w:r w:rsidRPr="00ED7BD1">
        <w:rPr>
          <w:rFonts w:ascii="Times New Roman" w:hAnsi="Times New Roman"/>
          <w:b/>
          <w:bCs/>
          <w:smallCaps/>
          <w:sz w:val="24"/>
          <w:szCs w:val="24"/>
        </w:rPr>
        <w:lastRenderedPageBreak/>
        <w:t xml:space="preserve">LOGICAL FRAMEWORK MATRIX </w:t>
      </w:r>
      <w:bookmarkEnd w:id="2"/>
    </w:p>
    <w:tbl>
      <w:tblPr>
        <w:tblW w:w="15802"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3401"/>
        <w:gridCol w:w="3968"/>
        <w:gridCol w:w="1440"/>
        <w:gridCol w:w="1440"/>
        <w:gridCol w:w="1350"/>
        <w:gridCol w:w="1620"/>
        <w:gridCol w:w="2583"/>
      </w:tblGrid>
      <w:tr w:rsidR="00ED7BD1" w:rsidRPr="00ED7BD1" w14:paraId="370E4A77" w14:textId="77777777" w:rsidTr="00F371CD">
        <w:trPr>
          <w:trHeight w:val="1214"/>
        </w:trPr>
        <w:tc>
          <w:tcPr>
            <w:tcW w:w="3401" w:type="dxa"/>
            <w:shd w:val="clear" w:color="auto" w:fill="FFFFFF"/>
            <w:vAlign w:val="center"/>
          </w:tcPr>
          <w:p w14:paraId="330C2E9F" w14:textId="77777777" w:rsidR="00970E98" w:rsidRPr="00ED7BD1" w:rsidRDefault="00970E98" w:rsidP="001556BC">
            <w:pPr>
              <w:shd w:val="clear" w:color="auto" w:fill="FFFFFF"/>
              <w:spacing w:before="100" w:beforeAutospacing="1" w:after="100" w:afterAutospacing="1"/>
              <w:jc w:val="center"/>
              <w:rPr>
                <w:rFonts w:ascii="Times New Roman" w:hAnsi="Times New Roman"/>
                <w:b/>
                <w:sz w:val="24"/>
                <w:szCs w:val="24"/>
              </w:rPr>
            </w:pPr>
            <w:r w:rsidRPr="00ED7BD1">
              <w:rPr>
                <w:rFonts w:ascii="Times New Roman" w:hAnsi="Times New Roman"/>
                <w:b/>
                <w:sz w:val="24"/>
                <w:szCs w:val="24"/>
              </w:rPr>
              <w:t>OVERALL OBJECTIVE(S) / (IMPACT(S))</w:t>
            </w:r>
          </w:p>
        </w:tc>
        <w:tc>
          <w:tcPr>
            <w:tcW w:w="3968" w:type="dxa"/>
            <w:shd w:val="clear" w:color="auto" w:fill="FFFFFF"/>
            <w:vAlign w:val="center"/>
          </w:tcPr>
          <w:p w14:paraId="75654720"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OBJECTIVELY VERIFIABLE INDICATORS</w:t>
            </w:r>
          </w:p>
          <w:p w14:paraId="49668DC3" w14:textId="77777777" w:rsidR="00970E98" w:rsidRPr="00ED7BD1" w:rsidRDefault="00970E98" w:rsidP="001556BC">
            <w:pPr>
              <w:shd w:val="clear" w:color="auto" w:fill="FFFFFF"/>
              <w:spacing w:after="0"/>
              <w:jc w:val="center"/>
              <w:rPr>
                <w:rFonts w:ascii="Times New Roman" w:hAnsi="Times New Roman"/>
                <w:b/>
                <w:sz w:val="24"/>
                <w:szCs w:val="24"/>
              </w:rPr>
            </w:pPr>
          </w:p>
        </w:tc>
        <w:tc>
          <w:tcPr>
            <w:tcW w:w="1440" w:type="dxa"/>
            <w:shd w:val="clear" w:color="auto" w:fill="FFFFFF"/>
            <w:vAlign w:val="center"/>
          </w:tcPr>
          <w:p w14:paraId="7E59447B" w14:textId="77777777" w:rsidR="00970E98" w:rsidRPr="00ED7BD1" w:rsidRDefault="00970E98" w:rsidP="001556BC">
            <w:pPr>
              <w:shd w:val="clear" w:color="auto" w:fill="FFFFFF"/>
              <w:jc w:val="center"/>
              <w:rPr>
                <w:rFonts w:ascii="Times New Roman" w:hAnsi="Times New Roman"/>
                <w:b/>
                <w:sz w:val="24"/>
                <w:szCs w:val="24"/>
              </w:rPr>
            </w:pPr>
            <w:r w:rsidRPr="00ED7BD1">
              <w:rPr>
                <w:rFonts w:ascii="Times New Roman" w:hAnsi="Times New Roman"/>
                <w:b/>
                <w:sz w:val="24"/>
                <w:szCs w:val="24"/>
              </w:rPr>
              <w:t>BASELINES</w:t>
            </w:r>
          </w:p>
          <w:p w14:paraId="41A5304C" w14:textId="77777777" w:rsidR="00970E98" w:rsidRPr="00ED7BD1" w:rsidRDefault="00970E98" w:rsidP="001556BC">
            <w:pPr>
              <w:shd w:val="clear" w:color="auto" w:fill="FFFFFF"/>
              <w:spacing w:after="0"/>
              <w:jc w:val="both"/>
              <w:rPr>
                <w:rFonts w:ascii="Times New Roman" w:hAnsi="Times New Roman"/>
                <w:b/>
                <w:sz w:val="24"/>
                <w:szCs w:val="24"/>
              </w:rPr>
            </w:pPr>
            <w:r w:rsidRPr="00ED7BD1">
              <w:rPr>
                <w:rFonts w:ascii="Times New Roman" w:hAnsi="Times New Roman"/>
                <w:b/>
                <w:sz w:val="24"/>
                <w:szCs w:val="24"/>
              </w:rPr>
              <w:t>(INCL. VALUE &amp; REFERENCE YEAR</w:t>
            </w:r>
            <w:r w:rsidRPr="00ED7BD1">
              <w:rPr>
                <w:rStyle w:val="FootnoteReference"/>
                <w:rFonts w:ascii="Times New Roman" w:hAnsi="Times New Roman"/>
                <w:b/>
                <w:sz w:val="24"/>
                <w:szCs w:val="24"/>
              </w:rPr>
              <w:footnoteReference w:id="3"/>
            </w:r>
            <w:r w:rsidRPr="00ED7BD1">
              <w:rPr>
                <w:rFonts w:ascii="Times New Roman" w:hAnsi="Times New Roman"/>
                <w:b/>
                <w:sz w:val="24"/>
                <w:szCs w:val="24"/>
              </w:rPr>
              <w:t>)</w:t>
            </w:r>
          </w:p>
        </w:tc>
        <w:tc>
          <w:tcPr>
            <w:tcW w:w="1440" w:type="dxa"/>
            <w:shd w:val="clear" w:color="auto" w:fill="FFFFFF"/>
          </w:tcPr>
          <w:p w14:paraId="793AB922" w14:textId="77777777" w:rsidR="00970E98" w:rsidRPr="00ED7BD1" w:rsidRDefault="00970E98" w:rsidP="001556BC">
            <w:pPr>
              <w:shd w:val="clear" w:color="auto" w:fill="FFFFFF"/>
              <w:spacing w:after="0"/>
              <w:jc w:val="center"/>
              <w:rPr>
                <w:rFonts w:ascii="Times New Roman" w:hAnsi="Times New Roman"/>
                <w:b/>
                <w:sz w:val="24"/>
                <w:szCs w:val="24"/>
              </w:rPr>
            </w:pPr>
          </w:p>
          <w:p w14:paraId="5CDD5246"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MILESTONES</w:t>
            </w:r>
          </w:p>
          <w:p w14:paraId="31AA2A43" w14:textId="77777777" w:rsidR="00970E98" w:rsidRPr="00ED7BD1" w:rsidRDefault="00970E98" w:rsidP="001556BC">
            <w:pPr>
              <w:shd w:val="clear" w:color="auto" w:fill="FFFFFF"/>
              <w:jc w:val="center"/>
              <w:rPr>
                <w:rFonts w:ascii="Times New Roman" w:hAnsi="Times New Roman"/>
                <w:b/>
                <w:sz w:val="24"/>
                <w:szCs w:val="24"/>
              </w:rPr>
            </w:pPr>
            <w:r w:rsidRPr="00ED7BD1">
              <w:rPr>
                <w:rFonts w:ascii="Times New Roman" w:hAnsi="Times New Roman"/>
                <w:b/>
                <w:sz w:val="24"/>
                <w:szCs w:val="24"/>
              </w:rPr>
              <w:t>[OPTIONAL]</w:t>
            </w:r>
          </w:p>
          <w:p w14:paraId="68241638"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(INCL. VALUE &amp; REFERENCE YEAR)</w:t>
            </w:r>
          </w:p>
        </w:tc>
        <w:tc>
          <w:tcPr>
            <w:tcW w:w="1350" w:type="dxa"/>
            <w:shd w:val="clear" w:color="auto" w:fill="FFFFFF"/>
            <w:vAlign w:val="center"/>
          </w:tcPr>
          <w:p w14:paraId="4B753FEE" w14:textId="77777777" w:rsidR="00970E98" w:rsidRPr="00ED7BD1" w:rsidRDefault="00970E98" w:rsidP="001556BC">
            <w:pPr>
              <w:shd w:val="clear" w:color="auto" w:fill="FFFFFF"/>
              <w:jc w:val="center"/>
              <w:rPr>
                <w:rFonts w:ascii="Times New Roman" w:hAnsi="Times New Roman"/>
                <w:b/>
                <w:sz w:val="24"/>
                <w:szCs w:val="24"/>
              </w:rPr>
            </w:pPr>
            <w:r w:rsidRPr="00ED7BD1">
              <w:rPr>
                <w:rFonts w:ascii="Times New Roman" w:hAnsi="Times New Roman"/>
                <w:b/>
                <w:sz w:val="24"/>
                <w:szCs w:val="24"/>
              </w:rPr>
              <w:t>TARGETS</w:t>
            </w:r>
          </w:p>
          <w:p w14:paraId="6C226247" w14:textId="77777777" w:rsidR="00970E98" w:rsidRPr="00ED7BD1" w:rsidRDefault="00970E98" w:rsidP="001556BC">
            <w:pPr>
              <w:shd w:val="clear" w:color="auto" w:fill="FFFFFF"/>
              <w:jc w:val="center"/>
              <w:rPr>
                <w:rFonts w:ascii="Times New Roman" w:hAnsi="Times New Roman"/>
                <w:b/>
                <w:sz w:val="24"/>
                <w:szCs w:val="24"/>
              </w:rPr>
            </w:pPr>
            <w:r w:rsidRPr="00ED7BD1">
              <w:rPr>
                <w:rFonts w:ascii="Times New Roman" w:hAnsi="Times New Roman"/>
                <w:b/>
                <w:sz w:val="24"/>
                <w:szCs w:val="24"/>
              </w:rPr>
              <w:t>(INCL. VALUE &amp; REFERENCE YEAR)</w:t>
            </w:r>
          </w:p>
        </w:tc>
        <w:tc>
          <w:tcPr>
            <w:tcW w:w="1620" w:type="dxa"/>
            <w:shd w:val="clear" w:color="auto" w:fill="FFFFFF"/>
            <w:vAlign w:val="center"/>
          </w:tcPr>
          <w:p w14:paraId="7E212F4E" w14:textId="77777777" w:rsidR="00970E98" w:rsidRPr="00ED7BD1" w:rsidRDefault="00970E98" w:rsidP="001556BC">
            <w:pPr>
              <w:shd w:val="clear" w:color="auto" w:fill="FFFFFF"/>
              <w:spacing w:after="0"/>
              <w:jc w:val="center"/>
              <w:rPr>
                <w:rFonts w:ascii="Times New Roman" w:hAnsi="Times New Roman"/>
                <w:sz w:val="24"/>
                <w:szCs w:val="24"/>
              </w:rPr>
            </w:pPr>
            <w:r w:rsidRPr="00ED7BD1">
              <w:rPr>
                <w:rFonts w:ascii="Times New Roman" w:hAnsi="Times New Roman"/>
                <w:b/>
                <w:sz w:val="24"/>
                <w:szCs w:val="24"/>
              </w:rPr>
              <w:t>SOURCES &amp; MEANS OF VERIFICATION</w:t>
            </w:r>
          </w:p>
        </w:tc>
        <w:tc>
          <w:tcPr>
            <w:tcW w:w="2583" w:type="dxa"/>
            <w:vMerge w:val="restart"/>
            <w:tcBorders>
              <w:top w:val="nil"/>
              <w:right w:val="nil"/>
            </w:tcBorders>
            <w:shd w:val="clear" w:color="auto" w:fill="FFFFFF"/>
          </w:tcPr>
          <w:p w14:paraId="5A20CABB" w14:textId="77777777" w:rsidR="00970E98" w:rsidRPr="00ED7BD1" w:rsidRDefault="00970E98" w:rsidP="001556BC">
            <w:pPr>
              <w:shd w:val="clear" w:color="auto" w:fill="FFFFFF"/>
              <w:spacing w:after="0"/>
              <w:rPr>
                <w:rFonts w:ascii="Times New Roman" w:hAnsi="Times New Roman"/>
                <w:sz w:val="24"/>
                <w:szCs w:val="24"/>
              </w:rPr>
            </w:pPr>
          </w:p>
        </w:tc>
      </w:tr>
      <w:tr w:rsidR="00ED7BD1" w:rsidRPr="00ED7BD1" w14:paraId="53FC2647" w14:textId="77777777" w:rsidTr="00F371CD">
        <w:trPr>
          <w:trHeight w:val="1565"/>
        </w:trPr>
        <w:tc>
          <w:tcPr>
            <w:tcW w:w="3401" w:type="dxa"/>
            <w:shd w:val="clear" w:color="auto" w:fill="FFFFFF"/>
          </w:tcPr>
          <w:p w14:paraId="3A4B8B9A" w14:textId="77777777" w:rsidR="00A667EC" w:rsidRPr="00ED7BD1" w:rsidRDefault="00A667EC" w:rsidP="001B448C">
            <w:pPr>
              <w:shd w:val="clear" w:color="auto" w:fill="FFFFFF"/>
              <w:spacing w:before="60" w:after="0"/>
              <w:rPr>
                <w:rFonts w:ascii="Times New Roman" w:hAnsi="Times New Roman"/>
                <w:sz w:val="24"/>
                <w:szCs w:val="24"/>
              </w:rPr>
            </w:pPr>
            <w:r w:rsidRPr="00ED7BD1">
              <w:rPr>
                <w:rFonts w:ascii="Times New Roman" w:hAnsi="Times New Roman"/>
                <w:sz w:val="24"/>
                <w:szCs w:val="24"/>
              </w:rPr>
              <w:t xml:space="preserve">Increase border and migration management capabilities </w:t>
            </w:r>
            <w:r w:rsidR="001B448C" w:rsidRPr="00ED7BD1">
              <w:rPr>
                <w:rFonts w:ascii="Times New Roman" w:hAnsi="Times New Roman"/>
                <w:sz w:val="24"/>
                <w:szCs w:val="24"/>
              </w:rPr>
              <w:t xml:space="preserve">to further step up strategic and operational cooperation on migration, along different pillars: irregular migration, border management, international protection and legal migration </w:t>
            </w:r>
          </w:p>
        </w:tc>
        <w:tc>
          <w:tcPr>
            <w:tcW w:w="3968" w:type="dxa"/>
            <w:shd w:val="clear" w:color="auto" w:fill="FFFFFF"/>
          </w:tcPr>
          <w:p w14:paraId="7F375AA6" w14:textId="77777777" w:rsidR="00A667EC" w:rsidRPr="00ED7BD1" w:rsidRDefault="00315D84"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Level of preparation to implement the Acquis on irregular migration, border management, international protection and legal migration</w:t>
            </w:r>
            <w:r w:rsidRPr="00ED7BD1">
              <w:rPr>
                <w:rStyle w:val="FootnoteReference"/>
                <w:rFonts w:ascii="Times New Roman" w:hAnsi="Times New Roman"/>
                <w:sz w:val="24"/>
                <w:szCs w:val="24"/>
              </w:rPr>
              <w:footnoteReference w:id="4"/>
            </w:r>
          </w:p>
        </w:tc>
        <w:tc>
          <w:tcPr>
            <w:tcW w:w="1440" w:type="dxa"/>
            <w:shd w:val="clear" w:color="auto" w:fill="FFFFFF"/>
          </w:tcPr>
          <w:p w14:paraId="099D8BFE" w14:textId="77777777" w:rsidR="00A667EC" w:rsidRPr="00ED7BD1" w:rsidRDefault="00315D84"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Moderately prepared (2019)</w:t>
            </w:r>
          </w:p>
        </w:tc>
        <w:tc>
          <w:tcPr>
            <w:tcW w:w="1440" w:type="dxa"/>
            <w:shd w:val="clear" w:color="auto" w:fill="FFFFFF"/>
          </w:tcPr>
          <w:p w14:paraId="7C104225" w14:textId="77777777" w:rsidR="00A667EC" w:rsidRPr="00ED7BD1" w:rsidRDefault="00A667EC" w:rsidP="001556BC">
            <w:pPr>
              <w:shd w:val="clear" w:color="auto" w:fill="FFFFFF"/>
              <w:spacing w:before="60" w:after="0"/>
              <w:rPr>
                <w:rFonts w:ascii="Times New Roman" w:hAnsi="Times New Roman"/>
                <w:sz w:val="24"/>
                <w:szCs w:val="24"/>
              </w:rPr>
            </w:pPr>
          </w:p>
        </w:tc>
        <w:tc>
          <w:tcPr>
            <w:tcW w:w="1350" w:type="dxa"/>
            <w:shd w:val="clear" w:color="auto" w:fill="FFFFFF"/>
          </w:tcPr>
          <w:p w14:paraId="16C69276" w14:textId="77777777" w:rsidR="00A667EC" w:rsidRPr="00ED7BD1" w:rsidRDefault="00315D84"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Fully prepared  (2027)</w:t>
            </w:r>
          </w:p>
        </w:tc>
        <w:tc>
          <w:tcPr>
            <w:tcW w:w="1620" w:type="dxa"/>
            <w:shd w:val="clear" w:color="auto" w:fill="FFFFFF"/>
          </w:tcPr>
          <w:p w14:paraId="5AED66A6" w14:textId="77777777" w:rsidR="00A667EC" w:rsidRPr="00ED7BD1" w:rsidRDefault="00315D84" w:rsidP="001556BC">
            <w:pPr>
              <w:numPr>
                <w:ilvl w:val="12"/>
                <w:numId w:val="0"/>
              </w:numPr>
              <w:shd w:val="clear" w:color="auto" w:fill="FFFFFF"/>
              <w:spacing w:before="60" w:after="0"/>
              <w:rPr>
                <w:rFonts w:ascii="Times New Roman" w:hAnsi="Times New Roman"/>
                <w:sz w:val="24"/>
                <w:szCs w:val="24"/>
              </w:rPr>
            </w:pPr>
            <w:r w:rsidRPr="00ED7BD1">
              <w:rPr>
                <w:rFonts w:ascii="Times New Roman" w:hAnsi="Times New Roman"/>
                <w:sz w:val="24"/>
                <w:szCs w:val="24"/>
              </w:rPr>
              <w:t>Commission annual report</w:t>
            </w:r>
          </w:p>
        </w:tc>
        <w:tc>
          <w:tcPr>
            <w:tcW w:w="2583" w:type="dxa"/>
            <w:vMerge/>
            <w:tcBorders>
              <w:right w:val="nil"/>
            </w:tcBorders>
            <w:shd w:val="clear" w:color="auto" w:fill="FFFFFF"/>
          </w:tcPr>
          <w:p w14:paraId="6087C778" w14:textId="77777777" w:rsidR="00A667EC" w:rsidRPr="00ED7BD1" w:rsidRDefault="00A667EC" w:rsidP="001556BC">
            <w:pPr>
              <w:shd w:val="clear" w:color="auto" w:fill="FFFFFF"/>
              <w:spacing w:before="60" w:after="0"/>
              <w:rPr>
                <w:rFonts w:ascii="Times New Roman" w:hAnsi="Times New Roman"/>
                <w:sz w:val="24"/>
                <w:szCs w:val="24"/>
              </w:rPr>
            </w:pPr>
          </w:p>
        </w:tc>
      </w:tr>
      <w:tr w:rsidR="00ED7BD1" w:rsidRPr="00ED7BD1" w14:paraId="29FD1724" w14:textId="77777777" w:rsidTr="00F371CD">
        <w:trPr>
          <w:trHeight w:val="189"/>
        </w:trPr>
        <w:tc>
          <w:tcPr>
            <w:tcW w:w="3401" w:type="dxa"/>
            <w:shd w:val="clear" w:color="auto" w:fill="FFFFFF"/>
          </w:tcPr>
          <w:p w14:paraId="0B5549EA" w14:textId="77777777" w:rsidR="00970E98" w:rsidRPr="00ED7BD1" w:rsidRDefault="00970E98" w:rsidP="001556BC">
            <w:pPr>
              <w:numPr>
                <w:ilvl w:val="12"/>
                <w:numId w:val="0"/>
              </w:numPr>
              <w:shd w:val="clear" w:color="auto" w:fill="FFFFFF"/>
              <w:spacing w:before="100" w:beforeAutospacing="1" w:after="100" w:afterAutospacing="1"/>
              <w:jc w:val="center"/>
              <w:rPr>
                <w:rFonts w:ascii="Times New Roman" w:hAnsi="Times New Roman"/>
                <w:sz w:val="24"/>
                <w:szCs w:val="24"/>
              </w:rPr>
            </w:pPr>
            <w:r w:rsidRPr="00ED7BD1">
              <w:rPr>
                <w:rFonts w:ascii="Times New Roman" w:hAnsi="Times New Roman"/>
                <w:b/>
                <w:sz w:val="24"/>
                <w:szCs w:val="24"/>
              </w:rPr>
              <w:t>SPECIFIC OBJECTIVE(S) / OUTCOME(S)</w:t>
            </w:r>
          </w:p>
        </w:tc>
        <w:tc>
          <w:tcPr>
            <w:tcW w:w="3968" w:type="dxa"/>
            <w:shd w:val="clear" w:color="auto" w:fill="FFFFFF"/>
          </w:tcPr>
          <w:p w14:paraId="62013A7F" w14:textId="77777777" w:rsidR="00970E98" w:rsidRPr="00ED7BD1" w:rsidRDefault="00970E98" w:rsidP="001556BC">
            <w:pPr>
              <w:shd w:val="clear" w:color="auto" w:fill="FFFFFF"/>
              <w:spacing w:after="0"/>
              <w:jc w:val="center"/>
              <w:rPr>
                <w:rFonts w:ascii="Times New Roman" w:hAnsi="Times New Roman"/>
                <w:sz w:val="24"/>
                <w:szCs w:val="24"/>
              </w:rPr>
            </w:pPr>
            <w:r w:rsidRPr="00ED7BD1">
              <w:rPr>
                <w:rFonts w:ascii="Times New Roman" w:hAnsi="Times New Roman"/>
                <w:b/>
                <w:sz w:val="24"/>
                <w:szCs w:val="24"/>
              </w:rPr>
              <w:t>OBJECTIVELY VERIFIABLE INDICATORS (*)</w:t>
            </w:r>
          </w:p>
        </w:tc>
        <w:tc>
          <w:tcPr>
            <w:tcW w:w="1440" w:type="dxa"/>
            <w:shd w:val="clear" w:color="auto" w:fill="FFFFFF"/>
          </w:tcPr>
          <w:p w14:paraId="642E0595"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BASELINES</w:t>
            </w:r>
          </w:p>
          <w:p w14:paraId="5499111A" w14:textId="77777777" w:rsidR="00970E98" w:rsidRPr="00ED7BD1" w:rsidRDefault="00970E98" w:rsidP="001556BC">
            <w:pPr>
              <w:shd w:val="clear" w:color="auto" w:fill="FFFFFF"/>
              <w:spacing w:after="0"/>
              <w:ind w:left="-352"/>
              <w:jc w:val="center"/>
              <w:rPr>
                <w:rFonts w:ascii="Times New Roman" w:hAnsi="Times New Roman"/>
                <w:b/>
                <w:sz w:val="24"/>
                <w:szCs w:val="24"/>
              </w:rPr>
            </w:pPr>
          </w:p>
        </w:tc>
        <w:tc>
          <w:tcPr>
            <w:tcW w:w="1440" w:type="dxa"/>
            <w:shd w:val="clear" w:color="auto" w:fill="FFFFFF"/>
          </w:tcPr>
          <w:p w14:paraId="0F31E279"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MILESTONES</w:t>
            </w:r>
          </w:p>
          <w:p w14:paraId="07C9EF23" w14:textId="77777777" w:rsidR="00970E98" w:rsidRPr="00ED7BD1" w:rsidRDefault="00970E98" w:rsidP="001556BC">
            <w:pPr>
              <w:shd w:val="clear" w:color="auto" w:fill="FFFFFF"/>
              <w:spacing w:after="0"/>
              <w:jc w:val="center"/>
              <w:rPr>
                <w:rFonts w:ascii="Times New Roman" w:hAnsi="Times New Roman"/>
                <w:b/>
                <w:sz w:val="24"/>
                <w:szCs w:val="24"/>
              </w:rPr>
            </w:pPr>
          </w:p>
        </w:tc>
        <w:tc>
          <w:tcPr>
            <w:tcW w:w="1350" w:type="dxa"/>
            <w:shd w:val="clear" w:color="auto" w:fill="FFFFFF"/>
          </w:tcPr>
          <w:p w14:paraId="68E7C783"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TARGETS</w:t>
            </w:r>
          </w:p>
          <w:p w14:paraId="1EDDD677" w14:textId="77777777" w:rsidR="00970E98" w:rsidRPr="00ED7BD1" w:rsidRDefault="00970E98" w:rsidP="001556BC">
            <w:pPr>
              <w:shd w:val="clear" w:color="auto" w:fill="FFFFFF"/>
              <w:spacing w:after="0"/>
              <w:jc w:val="center"/>
              <w:rPr>
                <w:rFonts w:ascii="Times New Roman" w:hAnsi="Times New Roman"/>
                <w:b/>
                <w:sz w:val="24"/>
                <w:szCs w:val="24"/>
              </w:rPr>
            </w:pPr>
          </w:p>
        </w:tc>
        <w:tc>
          <w:tcPr>
            <w:tcW w:w="1620" w:type="dxa"/>
            <w:shd w:val="clear" w:color="auto" w:fill="FFFFFF"/>
          </w:tcPr>
          <w:p w14:paraId="3F795FF5" w14:textId="77777777" w:rsidR="00970E98" w:rsidRPr="00ED7BD1" w:rsidRDefault="00970E98" w:rsidP="001556BC">
            <w:pPr>
              <w:shd w:val="clear" w:color="auto" w:fill="FFFFFF"/>
              <w:spacing w:after="0"/>
              <w:jc w:val="center"/>
              <w:rPr>
                <w:rFonts w:ascii="Times New Roman" w:hAnsi="Times New Roman"/>
                <w:sz w:val="24"/>
                <w:szCs w:val="24"/>
              </w:rPr>
            </w:pPr>
            <w:r w:rsidRPr="00ED7BD1">
              <w:rPr>
                <w:rFonts w:ascii="Times New Roman" w:hAnsi="Times New Roman"/>
                <w:b/>
                <w:sz w:val="24"/>
                <w:szCs w:val="24"/>
              </w:rPr>
              <w:t>SOURCES OF VERIFICATION</w:t>
            </w:r>
          </w:p>
        </w:tc>
        <w:tc>
          <w:tcPr>
            <w:tcW w:w="2583" w:type="dxa"/>
            <w:shd w:val="clear" w:color="auto" w:fill="FFFFFF"/>
          </w:tcPr>
          <w:p w14:paraId="2E6313D8" w14:textId="77777777" w:rsidR="00970E98" w:rsidRPr="00ED7BD1" w:rsidRDefault="00970E98" w:rsidP="001556BC">
            <w:pPr>
              <w:numPr>
                <w:ilvl w:val="12"/>
                <w:numId w:val="0"/>
              </w:numPr>
              <w:shd w:val="clear" w:color="auto" w:fill="FFFFFF"/>
              <w:spacing w:after="0"/>
              <w:jc w:val="center"/>
              <w:rPr>
                <w:rFonts w:ascii="Times New Roman" w:hAnsi="Times New Roman"/>
                <w:b/>
                <w:sz w:val="24"/>
                <w:szCs w:val="24"/>
              </w:rPr>
            </w:pPr>
            <w:r w:rsidRPr="00ED7BD1">
              <w:rPr>
                <w:rFonts w:ascii="Times New Roman" w:hAnsi="Times New Roman"/>
                <w:b/>
                <w:sz w:val="24"/>
                <w:szCs w:val="24"/>
              </w:rPr>
              <w:t>ASSUMPTIONS</w:t>
            </w:r>
          </w:p>
        </w:tc>
      </w:tr>
      <w:tr w:rsidR="00ED7BD1" w:rsidRPr="00ED7BD1" w14:paraId="3B004194" w14:textId="77777777" w:rsidTr="00F371CD">
        <w:trPr>
          <w:trHeight w:val="970"/>
        </w:trPr>
        <w:tc>
          <w:tcPr>
            <w:tcW w:w="3401" w:type="dxa"/>
            <w:vMerge w:val="restart"/>
            <w:shd w:val="clear" w:color="auto" w:fill="FFFFFF"/>
          </w:tcPr>
          <w:p w14:paraId="4EC0C89F" w14:textId="54E6EE76" w:rsidR="00A01161" w:rsidRPr="00ED7BD1" w:rsidRDefault="00A01161" w:rsidP="008902A8">
            <w:pPr>
              <w:shd w:val="clear" w:color="auto" w:fill="FFFFFF"/>
              <w:spacing w:before="60" w:after="0"/>
              <w:rPr>
                <w:rFonts w:ascii="Times New Roman" w:hAnsi="Times New Roman"/>
                <w:sz w:val="24"/>
                <w:szCs w:val="24"/>
              </w:rPr>
            </w:pPr>
            <w:r w:rsidRPr="00ED7BD1">
              <w:rPr>
                <w:rFonts w:ascii="Times New Roman" w:hAnsi="Times New Roman"/>
                <w:sz w:val="24"/>
                <w:szCs w:val="24"/>
              </w:rPr>
              <w:t>To enhance the operational capacity of the border police and improve the border and migration management capacities</w:t>
            </w:r>
            <w:r w:rsidR="00E73236" w:rsidRPr="00ED7BD1">
              <w:rPr>
                <w:rFonts w:ascii="Times New Roman" w:hAnsi="Times New Roman"/>
                <w:sz w:val="24"/>
                <w:szCs w:val="24"/>
              </w:rPr>
              <w:t xml:space="preserve"> with a special attention to vulnerable asylum seekers</w:t>
            </w:r>
          </w:p>
          <w:p w14:paraId="6D6D9977" w14:textId="38E74962" w:rsidR="00A01161" w:rsidRPr="00ED7BD1" w:rsidRDefault="00A01161" w:rsidP="008902A8">
            <w:pPr>
              <w:shd w:val="clear" w:color="auto" w:fill="FFFFFF"/>
              <w:spacing w:before="60" w:after="0"/>
              <w:rPr>
                <w:rFonts w:ascii="Times New Roman" w:hAnsi="Times New Roman"/>
                <w:strike/>
                <w:sz w:val="24"/>
                <w:szCs w:val="24"/>
              </w:rPr>
            </w:pPr>
          </w:p>
        </w:tc>
        <w:tc>
          <w:tcPr>
            <w:tcW w:w="3968" w:type="dxa"/>
            <w:shd w:val="clear" w:color="auto" w:fill="FFFFFF"/>
          </w:tcPr>
          <w:p w14:paraId="20A55ED2" w14:textId="77777777" w:rsidR="00A01161" w:rsidRPr="00ED7BD1" w:rsidRDefault="00A01161"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lastRenderedPageBreak/>
              <w:t>Ratio of people irregularly crossing the border and detected by the patrol border police in the green border over the people crossing the border and either found inside the country or in the area patrolled by the border police</w:t>
            </w:r>
          </w:p>
        </w:tc>
        <w:tc>
          <w:tcPr>
            <w:tcW w:w="1440" w:type="dxa"/>
            <w:shd w:val="clear" w:color="auto" w:fill="FFFFFF"/>
          </w:tcPr>
          <w:p w14:paraId="03336A0C" w14:textId="77777777" w:rsidR="00A01161" w:rsidRPr="00ED7BD1" w:rsidRDefault="00A01161" w:rsidP="001556BC">
            <w:pPr>
              <w:shd w:val="clear" w:color="auto" w:fill="FFFFFF"/>
              <w:spacing w:before="60" w:after="0"/>
              <w:rPr>
                <w:rFonts w:ascii="Times New Roman" w:hAnsi="Times New Roman"/>
                <w:strike/>
                <w:sz w:val="24"/>
                <w:szCs w:val="24"/>
              </w:rPr>
            </w:pPr>
            <w:r w:rsidRPr="00ED7BD1">
              <w:rPr>
                <w:rFonts w:ascii="Times New Roman" w:hAnsi="Times New Roman"/>
                <w:sz w:val="24"/>
                <w:szCs w:val="24"/>
              </w:rPr>
              <w:t>22% (2017)</w:t>
            </w:r>
          </w:p>
        </w:tc>
        <w:tc>
          <w:tcPr>
            <w:tcW w:w="1440" w:type="dxa"/>
            <w:shd w:val="clear" w:color="auto" w:fill="FFFFFF"/>
          </w:tcPr>
          <w:p w14:paraId="6677F3F9" w14:textId="77777777" w:rsidR="00A01161" w:rsidRPr="00ED7BD1" w:rsidRDefault="00A01161" w:rsidP="007F342B">
            <w:pPr>
              <w:shd w:val="clear" w:color="auto" w:fill="FFFFFF"/>
              <w:spacing w:before="60" w:after="0"/>
              <w:rPr>
                <w:rFonts w:ascii="Times New Roman" w:hAnsi="Times New Roman"/>
                <w:strike/>
                <w:sz w:val="24"/>
                <w:szCs w:val="24"/>
              </w:rPr>
            </w:pPr>
            <w:r w:rsidRPr="00ED7BD1">
              <w:rPr>
                <w:rFonts w:ascii="Times New Roman" w:hAnsi="Times New Roman"/>
                <w:sz w:val="24"/>
                <w:szCs w:val="24"/>
              </w:rPr>
              <w:t>&lt;15% (2021)</w:t>
            </w:r>
          </w:p>
        </w:tc>
        <w:tc>
          <w:tcPr>
            <w:tcW w:w="1350" w:type="dxa"/>
            <w:shd w:val="clear" w:color="auto" w:fill="FFFFFF"/>
          </w:tcPr>
          <w:p w14:paraId="22D77858" w14:textId="77777777" w:rsidR="00A01161" w:rsidRPr="00ED7BD1" w:rsidRDefault="00A01161" w:rsidP="001556BC">
            <w:pPr>
              <w:shd w:val="clear" w:color="auto" w:fill="FFFFFF"/>
              <w:spacing w:before="60" w:after="0"/>
              <w:rPr>
                <w:rFonts w:ascii="Times New Roman" w:hAnsi="Times New Roman"/>
                <w:strike/>
                <w:sz w:val="24"/>
                <w:szCs w:val="24"/>
              </w:rPr>
            </w:pPr>
            <w:r w:rsidRPr="00ED7BD1">
              <w:rPr>
                <w:rFonts w:ascii="Times New Roman" w:hAnsi="Times New Roman"/>
                <w:sz w:val="24"/>
                <w:szCs w:val="24"/>
              </w:rPr>
              <w:t>&lt;5% (2025)</w:t>
            </w:r>
          </w:p>
        </w:tc>
        <w:tc>
          <w:tcPr>
            <w:tcW w:w="1620" w:type="dxa"/>
            <w:shd w:val="clear" w:color="auto" w:fill="FFFFFF"/>
          </w:tcPr>
          <w:p w14:paraId="3F308D21" w14:textId="77777777" w:rsidR="00A01161" w:rsidRPr="00ED7BD1" w:rsidRDefault="00A01161" w:rsidP="007F342B">
            <w:pPr>
              <w:numPr>
                <w:ilvl w:val="12"/>
                <w:numId w:val="0"/>
              </w:numPr>
              <w:shd w:val="clear" w:color="auto" w:fill="FFFFFF"/>
              <w:spacing w:before="60" w:after="0"/>
              <w:rPr>
                <w:rFonts w:ascii="Times New Roman" w:hAnsi="Times New Roman"/>
                <w:sz w:val="24"/>
                <w:szCs w:val="24"/>
              </w:rPr>
            </w:pPr>
            <w:r w:rsidRPr="00ED7BD1">
              <w:rPr>
                <w:rFonts w:ascii="Times New Roman" w:hAnsi="Times New Roman"/>
                <w:sz w:val="24"/>
                <w:szCs w:val="24"/>
              </w:rPr>
              <w:t>Border police database extract</w:t>
            </w:r>
          </w:p>
        </w:tc>
        <w:tc>
          <w:tcPr>
            <w:tcW w:w="2583" w:type="dxa"/>
            <w:vMerge w:val="restart"/>
            <w:shd w:val="clear" w:color="auto" w:fill="FFFFFF"/>
          </w:tcPr>
          <w:p w14:paraId="44A2F791" w14:textId="77777777" w:rsidR="00A01161" w:rsidRPr="00ED7BD1" w:rsidRDefault="00A01161" w:rsidP="00836C05">
            <w:pPr>
              <w:numPr>
                <w:ilvl w:val="12"/>
                <w:numId w:val="0"/>
              </w:numPr>
              <w:shd w:val="clear" w:color="auto" w:fill="FFFFFF"/>
              <w:spacing w:before="60" w:after="0"/>
              <w:rPr>
                <w:rFonts w:ascii="Times New Roman" w:hAnsi="Times New Roman"/>
                <w:strike/>
                <w:sz w:val="24"/>
                <w:szCs w:val="24"/>
              </w:rPr>
            </w:pPr>
            <w:r w:rsidRPr="00ED7BD1">
              <w:rPr>
                <w:rFonts w:ascii="Times New Roman" w:hAnsi="Times New Roman"/>
                <w:sz w:val="24"/>
                <w:szCs w:val="24"/>
              </w:rPr>
              <w:t xml:space="preserve">Government of North Macedonia is improving its approach towards integration of asylum seekers, border management and </w:t>
            </w:r>
            <w:r w:rsidRPr="00ED7BD1">
              <w:rPr>
                <w:rFonts w:ascii="Times New Roman" w:hAnsi="Times New Roman"/>
                <w:sz w:val="24"/>
                <w:szCs w:val="24"/>
              </w:rPr>
              <w:lastRenderedPageBreak/>
              <w:t>migration policy</w:t>
            </w:r>
          </w:p>
        </w:tc>
      </w:tr>
      <w:tr w:rsidR="00ED7BD1" w:rsidRPr="00ED7BD1" w14:paraId="07AF1661" w14:textId="77777777" w:rsidTr="00F371CD">
        <w:trPr>
          <w:trHeight w:val="970"/>
        </w:trPr>
        <w:tc>
          <w:tcPr>
            <w:tcW w:w="3401" w:type="dxa"/>
            <w:vMerge/>
            <w:shd w:val="clear" w:color="auto" w:fill="FFFFFF"/>
          </w:tcPr>
          <w:p w14:paraId="058C5125" w14:textId="4679EE89" w:rsidR="00A01161" w:rsidRPr="00ED7BD1" w:rsidRDefault="00A01161" w:rsidP="008902A8">
            <w:pPr>
              <w:shd w:val="clear" w:color="auto" w:fill="FFFFFF"/>
              <w:spacing w:before="60" w:after="0"/>
              <w:rPr>
                <w:rFonts w:ascii="Times New Roman" w:hAnsi="Times New Roman"/>
                <w:sz w:val="24"/>
                <w:szCs w:val="24"/>
              </w:rPr>
            </w:pPr>
          </w:p>
        </w:tc>
        <w:tc>
          <w:tcPr>
            <w:tcW w:w="3968" w:type="dxa"/>
            <w:shd w:val="clear" w:color="auto" w:fill="FFFFFF"/>
          </w:tcPr>
          <w:p w14:paraId="7311A505" w14:textId="326C8F32" w:rsidR="00A01161" w:rsidRPr="00ED7BD1" w:rsidRDefault="00A01161"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Number of migrants victims of smugglers</w:t>
            </w:r>
          </w:p>
        </w:tc>
        <w:tc>
          <w:tcPr>
            <w:tcW w:w="1440" w:type="dxa"/>
            <w:shd w:val="clear" w:color="auto" w:fill="FFFFFF"/>
          </w:tcPr>
          <w:p w14:paraId="06F4B3F2" w14:textId="7B758D1E" w:rsidR="00A01161" w:rsidRPr="00ED7BD1" w:rsidRDefault="00A01161"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722 (2019)</w:t>
            </w:r>
          </w:p>
        </w:tc>
        <w:tc>
          <w:tcPr>
            <w:tcW w:w="1440" w:type="dxa"/>
            <w:shd w:val="clear" w:color="auto" w:fill="FFFFFF"/>
          </w:tcPr>
          <w:p w14:paraId="74A7F997" w14:textId="77777777" w:rsidR="00A01161" w:rsidRPr="00ED7BD1" w:rsidRDefault="00A01161" w:rsidP="007F342B">
            <w:pPr>
              <w:shd w:val="clear" w:color="auto" w:fill="FFFFFF"/>
              <w:spacing w:before="60" w:after="0"/>
              <w:rPr>
                <w:rFonts w:ascii="Times New Roman" w:hAnsi="Times New Roman"/>
                <w:sz w:val="24"/>
                <w:szCs w:val="24"/>
              </w:rPr>
            </w:pPr>
          </w:p>
        </w:tc>
        <w:tc>
          <w:tcPr>
            <w:tcW w:w="1350" w:type="dxa"/>
            <w:shd w:val="clear" w:color="auto" w:fill="FFFFFF"/>
          </w:tcPr>
          <w:p w14:paraId="6B1F1C46" w14:textId="1051C763" w:rsidR="00A01161" w:rsidRPr="00ED7BD1" w:rsidRDefault="00A01161"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 xml:space="preserve">&lt; </w:t>
            </w:r>
            <w:r w:rsidR="00E73236" w:rsidRPr="00ED7BD1">
              <w:rPr>
                <w:rFonts w:ascii="Times New Roman" w:hAnsi="Times New Roman"/>
                <w:sz w:val="24"/>
                <w:szCs w:val="24"/>
              </w:rPr>
              <w:t>2</w:t>
            </w:r>
            <w:r w:rsidRPr="00ED7BD1">
              <w:rPr>
                <w:rFonts w:ascii="Times New Roman" w:hAnsi="Times New Roman"/>
                <w:sz w:val="24"/>
                <w:szCs w:val="24"/>
              </w:rPr>
              <w:t>00 (2025)</w:t>
            </w:r>
          </w:p>
        </w:tc>
        <w:tc>
          <w:tcPr>
            <w:tcW w:w="1620" w:type="dxa"/>
            <w:shd w:val="clear" w:color="auto" w:fill="FFFFFF"/>
          </w:tcPr>
          <w:p w14:paraId="238CA48A" w14:textId="6C4F8750" w:rsidR="00A01161" w:rsidRPr="00ED7BD1" w:rsidRDefault="00A01161" w:rsidP="007F342B">
            <w:pPr>
              <w:numPr>
                <w:ilvl w:val="12"/>
                <w:numId w:val="0"/>
              </w:numPr>
              <w:shd w:val="clear" w:color="auto" w:fill="FFFFFF"/>
              <w:spacing w:before="60" w:after="0"/>
              <w:rPr>
                <w:rFonts w:ascii="Times New Roman" w:hAnsi="Times New Roman"/>
                <w:sz w:val="24"/>
                <w:szCs w:val="24"/>
              </w:rPr>
            </w:pPr>
            <w:r w:rsidRPr="00ED7BD1">
              <w:rPr>
                <w:rFonts w:ascii="Times New Roman" w:hAnsi="Times New Roman"/>
                <w:sz w:val="24"/>
                <w:szCs w:val="24"/>
              </w:rPr>
              <w:t>IOM Database</w:t>
            </w:r>
          </w:p>
        </w:tc>
        <w:tc>
          <w:tcPr>
            <w:tcW w:w="2583" w:type="dxa"/>
            <w:vMerge/>
            <w:shd w:val="clear" w:color="auto" w:fill="FFFFFF"/>
          </w:tcPr>
          <w:p w14:paraId="65910664" w14:textId="77777777" w:rsidR="00A01161" w:rsidRPr="00ED7BD1" w:rsidRDefault="00A01161" w:rsidP="00836C05">
            <w:pPr>
              <w:numPr>
                <w:ilvl w:val="12"/>
                <w:numId w:val="0"/>
              </w:numPr>
              <w:shd w:val="clear" w:color="auto" w:fill="FFFFFF"/>
              <w:spacing w:before="60" w:after="0"/>
              <w:rPr>
                <w:rFonts w:ascii="Times New Roman" w:hAnsi="Times New Roman"/>
                <w:sz w:val="24"/>
                <w:szCs w:val="24"/>
              </w:rPr>
            </w:pPr>
          </w:p>
        </w:tc>
      </w:tr>
      <w:tr w:rsidR="00ED7BD1" w:rsidRPr="00ED7BD1" w14:paraId="5CAC2EA8" w14:textId="77777777" w:rsidTr="00F371CD">
        <w:trPr>
          <w:trHeight w:val="1064"/>
        </w:trPr>
        <w:tc>
          <w:tcPr>
            <w:tcW w:w="3401" w:type="dxa"/>
            <w:vMerge/>
            <w:shd w:val="clear" w:color="auto" w:fill="FFFFFF"/>
          </w:tcPr>
          <w:p w14:paraId="13E0A4AF" w14:textId="2452128A" w:rsidR="00A01161" w:rsidRPr="00ED7BD1" w:rsidRDefault="00A01161" w:rsidP="008902A8">
            <w:pPr>
              <w:shd w:val="clear" w:color="auto" w:fill="FFFFFF"/>
              <w:spacing w:before="60" w:after="0"/>
              <w:rPr>
                <w:rFonts w:ascii="Times New Roman" w:hAnsi="Times New Roman"/>
                <w:sz w:val="24"/>
                <w:szCs w:val="24"/>
              </w:rPr>
            </w:pPr>
          </w:p>
        </w:tc>
        <w:tc>
          <w:tcPr>
            <w:tcW w:w="3968" w:type="dxa"/>
            <w:shd w:val="clear" w:color="auto" w:fill="FFFFFF"/>
          </w:tcPr>
          <w:p w14:paraId="2C1A7FDA" w14:textId="77777777" w:rsidR="00A01161" w:rsidRPr="00ED7BD1" w:rsidRDefault="00A01161"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Number of foreigners with granted asylum status that have a regular job</w:t>
            </w:r>
          </w:p>
          <w:p w14:paraId="0FA7A378" w14:textId="6DE6AE42" w:rsidR="00A01161" w:rsidRPr="00ED7BD1" w:rsidRDefault="00A01161" w:rsidP="001556BC">
            <w:pPr>
              <w:shd w:val="clear" w:color="auto" w:fill="FFFFFF"/>
              <w:spacing w:before="60" w:after="0"/>
              <w:rPr>
                <w:rFonts w:ascii="Times New Roman" w:hAnsi="Times New Roman"/>
                <w:sz w:val="24"/>
                <w:szCs w:val="24"/>
              </w:rPr>
            </w:pPr>
          </w:p>
        </w:tc>
        <w:tc>
          <w:tcPr>
            <w:tcW w:w="1440" w:type="dxa"/>
            <w:shd w:val="clear" w:color="auto" w:fill="FFFFFF"/>
          </w:tcPr>
          <w:p w14:paraId="2D36DAD5" w14:textId="402AC6FB" w:rsidR="00A01161" w:rsidRPr="00ED7BD1" w:rsidRDefault="00A01161"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NA  (2020)</w:t>
            </w:r>
          </w:p>
          <w:p w14:paraId="2C75E59C" w14:textId="77777777" w:rsidR="00A01161" w:rsidRPr="00ED7BD1" w:rsidRDefault="00A01161" w:rsidP="001556BC">
            <w:pPr>
              <w:shd w:val="clear" w:color="auto" w:fill="FFFFFF"/>
              <w:spacing w:before="60" w:after="0"/>
              <w:rPr>
                <w:rFonts w:ascii="Times New Roman" w:hAnsi="Times New Roman"/>
                <w:sz w:val="24"/>
                <w:szCs w:val="24"/>
              </w:rPr>
            </w:pPr>
          </w:p>
          <w:p w14:paraId="41F66F68" w14:textId="442052AA" w:rsidR="00A01161" w:rsidRPr="00ED7BD1" w:rsidRDefault="00A01161" w:rsidP="001556BC">
            <w:pPr>
              <w:shd w:val="clear" w:color="auto" w:fill="FFFFFF"/>
              <w:spacing w:before="60" w:after="0"/>
              <w:rPr>
                <w:rFonts w:ascii="Times New Roman" w:hAnsi="Times New Roman"/>
                <w:sz w:val="24"/>
                <w:szCs w:val="24"/>
              </w:rPr>
            </w:pPr>
          </w:p>
        </w:tc>
        <w:tc>
          <w:tcPr>
            <w:tcW w:w="1440" w:type="dxa"/>
            <w:shd w:val="clear" w:color="auto" w:fill="FFFFFF"/>
          </w:tcPr>
          <w:p w14:paraId="261CCB8A" w14:textId="77777777" w:rsidR="00A01161" w:rsidRPr="00ED7BD1" w:rsidRDefault="00A01161" w:rsidP="007F342B">
            <w:pPr>
              <w:shd w:val="clear" w:color="auto" w:fill="FFFFFF"/>
              <w:spacing w:before="60" w:after="0"/>
              <w:rPr>
                <w:rFonts w:ascii="Times New Roman" w:hAnsi="Times New Roman"/>
                <w:sz w:val="24"/>
                <w:szCs w:val="24"/>
              </w:rPr>
            </w:pPr>
          </w:p>
          <w:p w14:paraId="39B9300B" w14:textId="77777777" w:rsidR="00A01161" w:rsidRPr="00ED7BD1" w:rsidRDefault="00A01161" w:rsidP="007F342B">
            <w:pPr>
              <w:shd w:val="clear" w:color="auto" w:fill="FFFFFF"/>
              <w:spacing w:before="60" w:after="0"/>
              <w:rPr>
                <w:rFonts w:ascii="Times New Roman" w:hAnsi="Times New Roman"/>
                <w:sz w:val="24"/>
                <w:szCs w:val="24"/>
              </w:rPr>
            </w:pPr>
          </w:p>
          <w:p w14:paraId="1074F7B5" w14:textId="77777777" w:rsidR="00A01161" w:rsidRPr="00ED7BD1" w:rsidRDefault="00A01161" w:rsidP="007F342B">
            <w:pPr>
              <w:shd w:val="clear" w:color="auto" w:fill="FFFFFF"/>
              <w:spacing w:before="60" w:after="0"/>
              <w:rPr>
                <w:rFonts w:ascii="Times New Roman" w:hAnsi="Times New Roman"/>
                <w:sz w:val="24"/>
                <w:szCs w:val="24"/>
              </w:rPr>
            </w:pPr>
          </w:p>
        </w:tc>
        <w:tc>
          <w:tcPr>
            <w:tcW w:w="1350" w:type="dxa"/>
            <w:shd w:val="clear" w:color="auto" w:fill="FFFFFF"/>
          </w:tcPr>
          <w:p w14:paraId="724F88D5" w14:textId="2710288A" w:rsidR="00A01161" w:rsidRPr="00ED7BD1" w:rsidRDefault="00A01161"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TBD (2023)</w:t>
            </w:r>
          </w:p>
          <w:p w14:paraId="7041486A" w14:textId="77777777" w:rsidR="00A01161" w:rsidRPr="00ED7BD1" w:rsidRDefault="00A01161" w:rsidP="001556BC">
            <w:pPr>
              <w:shd w:val="clear" w:color="auto" w:fill="FFFFFF"/>
              <w:spacing w:before="60" w:after="0"/>
              <w:rPr>
                <w:rFonts w:ascii="Times New Roman" w:hAnsi="Times New Roman"/>
                <w:sz w:val="24"/>
                <w:szCs w:val="24"/>
              </w:rPr>
            </w:pPr>
          </w:p>
          <w:p w14:paraId="13840039" w14:textId="31EFF560" w:rsidR="00A01161" w:rsidRPr="00ED7BD1" w:rsidRDefault="00A01161" w:rsidP="001556BC">
            <w:pPr>
              <w:shd w:val="clear" w:color="auto" w:fill="FFFFFF"/>
              <w:spacing w:before="60" w:after="0"/>
              <w:rPr>
                <w:rFonts w:ascii="Times New Roman" w:hAnsi="Times New Roman"/>
                <w:sz w:val="24"/>
                <w:szCs w:val="24"/>
              </w:rPr>
            </w:pPr>
          </w:p>
        </w:tc>
        <w:tc>
          <w:tcPr>
            <w:tcW w:w="1620" w:type="dxa"/>
            <w:shd w:val="clear" w:color="auto" w:fill="FFFFFF"/>
          </w:tcPr>
          <w:p w14:paraId="4A094BF8" w14:textId="77777777" w:rsidR="00A01161" w:rsidRPr="00ED7BD1" w:rsidRDefault="00A01161" w:rsidP="007F342B">
            <w:pPr>
              <w:numPr>
                <w:ilvl w:val="12"/>
                <w:numId w:val="0"/>
              </w:numPr>
              <w:shd w:val="clear" w:color="auto" w:fill="FFFFFF"/>
              <w:spacing w:before="60" w:after="0"/>
              <w:rPr>
                <w:rFonts w:ascii="Times New Roman" w:hAnsi="Times New Roman"/>
                <w:strike/>
                <w:sz w:val="24"/>
                <w:szCs w:val="24"/>
              </w:rPr>
            </w:pPr>
            <w:r w:rsidRPr="00ED7BD1">
              <w:rPr>
                <w:rFonts w:ascii="Times New Roman" w:hAnsi="Times New Roman"/>
                <w:sz w:val="24"/>
                <w:szCs w:val="24"/>
              </w:rPr>
              <w:t>Ministry of Labour and Social Policy databases extract</w:t>
            </w:r>
          </w:p>
        </w:tc>
        <w:tc>
          <w:tcPr>
            <w:tcW w:w="2583" w:type="dxa"/>
            <w:vMerge/>
            <w:shd w:val="clear" w:color="auto" w:fill="FFFFFF"/>
          </w:tcPr>
          <w:p w14:paraId="61B44AF3" w14:textId="77777777" w:rsidR="00A01161" w:rsidRPr="00ED7BD1" w:rsidRDefault="00A01161" w:rsidP="00836C05">
            <w:pPr>
              <w:numPr>
                <w:ilvl w:val="12"/>
                <w:numId w:val="0"/>
              </w:numPr>
              <w:shd w:val="clear" w:color="auto" w:fill="FFFFFF"/>
              <w:spacing w:before="60" w:after="0"/>
              <w:rPr>
                <w:rFonts w:ascii="Times New Roman" w:hAnsi="Times New Roman"/>
                <w:sz w:val="24"/>
                <w:szCs w:val="24"/>
              </w:rPr>
            </w:pPr>
          </w:p>
        </w:tc>
      </w:tr>
      <w:tr w:rsidR="00ED7BD1" w:rsidRPr="00ED7BD1" w14:paraId="336A2603" w14:textId="77777777" w:rsidTr="00F371CD">
        <w:trPr>
          <w:trHeight w:val="358"/>
        </w:trPr>
        <w:tc>
          <w:tcPr>
            <w:tcW w:w="3401" w:type="dxa"/>
            <w:shd w:val="clear" w:color="auto" w:fill="FFFFFF"/>
          </w:tcPr>
          <w:p w14:paraId="5486CFD4" w14:textId="77777777" w:rsidR="00970E98" w:rsidRPr="00ED7BD1" w:rsidRDefault="00970E98" w:rsidP="001556BC">
            <w:pPr>
              <w:numPr>
                <w:ilvl w:val="12"/>
                <w:numId w:val="0"/>
              </w:numPr>
              <w:shd w:val="clear" w:color="auto" w:fill="FFFFFF"/>
              <w:spacing w:before="100" w:beforeAutospacing="1" w:after="100" w:afterAutospacing="1"/>
              <w:jc w:val="center"/>
              <w:rPr>
                <w:rFonts w:ascii="Times New Roman" w:hAnsi="Times New Roman"/>
                <w:b/>
                <w:sz w:val="24"/>
                <w:szCs w:val="24"/>
              </w:rPr>
            </w:pPr>
            <w:r w:rsidRPr="00ED7BD1">
              <w:rPr>
                <w:rFonts w:ascii="Times New Roman" w:hAnsi="Times New Roman"/>
                <w:b/>
                <w:sz w:val="24"/>
                <w:szCs w:val="24"/>
              </w:rPr>
              <w:t>OUTPUTS</w:t>
            </w:r>
          </w:p>
        </w:tc>
        <w:tc>
          <w:tcPr>
            <w:tcW w:w="3968" w:type="dxa"/>
            <w:shd w:val="clear" w:color="auto" w:fill="FFFFFF"/>
          </w:tcPr>
          <w:p w14:paraId="52DFC7F7" w14:textId="77777777" w:rsidR="00970E98" w:rsidRPr="00ED7BD1" w:rsidRDefault="00970E98" w:rsidP="001556BC">
            <w:pPr>
              <w:shd w:val="clear" w:color="auto" w:fill="FFFFFF"/>
              <w:spacing w:after="0"/>
              <w:jc w:val="center"/>
              <w:rPr>
                <w:rFonts w:ascii="Times New Roman" w:hAnsi="Times New Roman"/>
                <w:sz w:val="24"/>
                <w:szCs w:val="24"/>
              </w:rPr>
            </w:pPr>
            <w:r w:rsidRPr="00ED7BD1">
              <w:rPr>
                <w:rFonts w:ascii="Times New Roman" w:hAnsi="Times New Roman"/>
                <w:b/>
                <w:sz w:val="24"/>
                <w:szCs w:val="24"/>
              </w:rPr>
              <w:t>OBJECTIVELY VERIFIABLE INDICATORS (*)</w:t>
            </w:r>
          </w:p>
        </w:tc>
        <w:tc>
          <w:tcPr>
            <w:tcW w:w="1440" w:type="dxa"/>
            <w:shd w:val="clear" w:color="auto" w:fill="FFFFFF"/>
          </w:tcPr>
          <w:p w14:paraId="6E07214D"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BASELINES</w:t>
            </w:r>
          </w:p>
          <w:p w14:paraId="22956742" w14:textId="77777777" w:rsidR="00970E98" w:rsidRPr="00ED7BD1" w:rsidRDefault="00970E98" w:rsidP="001556BC">
            <w:pPr>
              <w:shd w:val="clear" w:color="auto" w:fill="FFFFFF"/>
              <w:spacing w:after="0"/>
              <w:ind w:left="-352"/>
              <w:jc w:val="center"/>
              <w:rPr>
                <w:rFonts w:ascii="Times New Roman" w:hAnsi="Times New Roman"/>
                <w:b/>
                <w:sz w:val="24"/>
                <w:szCs w:val="24"/>
              </w:rPr>
            </w:pPr>
          </w:p>
        </w:tc>
        <w:tc>
          <w:tcPr>
            <w:tcW w:w="1440" w:type="dxa"/>
            <w:shd w:val="clear" w:color="auto" w:fill="FFFFFF"/>
          </w:tcPr>
          <w:p w14:paraId="58A71230"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MILESTONES</w:t>
            </w:r>
          </w:p>
          <w:p w14:paraId="1C7192A8" w14:textId="77777777" w:rsidR="00970E98" w:rsidRPr="00ED7BD1" w:rsidRDefault="00970E98" w:rsidP="001556BC">
            <w:pPr>
              <w:shd w:val="clear" w:color="auto" w:fill="FFFFFF"/>
              <w:spacing w:after="0"/>
              <w:jc w:val="center"/>
              <w:rPr>
                <w:rFonts w:ascii="Times New Roman" w:hAnsi="Times New Roman"/>
                <w:b/>
                <w:sz w:val="24"/>
                <w:szCs w:val="24"/>
              </w:rPr>
            </w:pPr>
          </w:p>
        </w:tc>
        <w:tc>
          <w:tcPr>
            <w:tcW w:w="1350" w:type="dxa"/>
            <w:shd w:val="clear" w:color="auto" w:fill="FFFFFF"/>
          </w:tcPr>
          <w:p w14:paraId="4C13FAFE" w14:textId="77777777" w:rsidR="00970E98" w:rsidRPr="00ED7BD1" w:rsidRDefault="00970E98" w:rsidP="001556BC">
            <w:pPr>
              <w:shd w:val="clear" w:color="auto" w:fill="FFFFFF"/>
              <w:spacing w:after="0"/>
              <w:jc w:val="center"/>
              <w:rPr>
                <w:rFonts w:ascii="Times New Roman" w:hAnsi="Times New Roman"/>
                <w:b/>
                <w:sz w:val="24"/>
                <w:szCs w:val="24"/>
              </w:rPr>
            </w:pPr>
            <w:r w:rsidRPr="00ED7BD1">
              <w:rPr>
                <w:rFonts w:ascii="Times New Roman" w:hAnsi="Times New Roman"/>
                <w:b/>
                <w:sz w:val="24"/>
                <w:szCs w:val="24"/>
              </w:rPr>
              <w:t>TARGETS</w:t>
            </w:r>
          </w:p>
          <w:p w14:paraId="3590B273" w14:textId="77777777" w:rsidR="00970E98" w:rsidRPr="00ED7BD1" w:rsidRDefault="00970E98" w:rsidP="001556BC">
            <w:pPr>
              <w:shd w:val="clear" w:color="auto" w:fill="FFFFFF"/>
              <w:spacing w:after="0"/>
              <w:jc w:val="center"/>
              <w:rPr>
                <w:rFonts w:ascii="Times New Roman" w:hAnsi="Times New Roman"/>
                <w:b/>
                <w:sz w:val="24"/>
                <w:szCs w:val="24"/>
              </w:rPr>
            </w:pPr>
          </w:p>
        </w:tc>
        <w:tc>
          <w:tcPr>
            <w:tcW w:w="1620" w:type="dxa"/>
            <w:shd w:val="clear" w:color="auto" w:fill="FFFFFF"/>
          </w:tcPr>
          <w:p w14:paraId="0B1AA6E5" w14:textId="77777777" w:rsidR="00970E98" w:rsidRPr="00ED7BD1" w:rsidRDefault="00970E98" w:rsidP="001556BC">
            <w:pPr>
              <w:shd w:val="clear" w:color="auto" w:fill="FFFFFF"/>
              <w:spacing w:after="0"/>
              <w:jc w:val="center"/>
              <w:rPr>
                <w:rFonts w:ascii="Times New Roman" w:hAnsi="Times New Roman"/>
                <w:sz w:val="24"/>
                <w:szCs w:val="24"/>
              </w:rPr>
            </w:pPr>
            <w:r w:rsidRPr="00ED7BD1">
              <w:rPr>
                <w:rFonts w:ascii="Times New Roman" w:hAnsi="Times New Roman"/>
                <w:b/>
                <w:sz w:val="24"/>
                <w:szCs w:val="24"/>
              </w:rPr>
              <w:t>SOURCES OF VERIFICATION</w:t>
            </w:r>
          </w:p>
        </w:tc>
        <w:tc>
          <w:tcPr>
            <w:tcW w:w="2583" w:type="dxa"/>
            <w:shd w:val="clear" w:color="auto" w:fill="FFFFFF"/>
          </w:tcPr>
          <w:p w14:paraId="18814CC0" w14:textId="77777777" w:rsidR="00970E98" w:rsidRPr="00ED7BD1" w:rsidRDefault="00970E98" w:rsidP="001556BC">
            <w:pPr>
              <w:numPr>
                <w:ilvl w:val="12"/>
                <w:numId w:val="0"/>
              </w:numPr>
              <w:shd w:val="clear" w:color="auto" w:fill="FFFFFF"/>
              <w:spacing w:after="0"/>
              <w:jc w:val="center"/>
              <w:rPr>
                <w:rFonts w:ascii="Times New Roman" w:hAnsi="Times New Roman"/>
                <w:b/>
                <w:sz w:val="24"/>
                <w:szCs w:val="24"/>
              </w:rPr>
            </w:pPr>
            <w:r w:rsidRPr="00ED7BD1">
              <w:rPr>
                <w:rFonts w:ascii="Times New Roman" w:hAnsi="Times New Roman"/>
                <w:b/>
                <w:sz w:val="24"/>
                <w:szCs w:val="24"/>
              </w:rPr>
              <w:t>ASSUMPTIONS</w:t>
            </w:r>
          </w:p>
        </w:tc>
      </w:tr>
      <w:tr w:rsidR="00ED7BD1" w:rsidRPr="00ED7BD1" w14:paraId="1DEF3309" w14:textId="77777777" w:rsidTr="0089691B">
        <w:trPr>
          <w:trHeight w:val="1455"/>
        </w:trPr>
        <w:tc>
          <w:tcPr>
            <w:tcW w:w="3401" w:type="dxa"/>
            <w:shd w:val="clear" w:color="auto" w:fill="FFFFFF"/>
          </w:tcPr>
          <w:p w14:paraId="0A4106C7" w14:textId="5DA5230A" w:rsidR="008C6561" w:rsidRPr="00ED7BD1" w:rsidRDefault="008C6561" w:rsidP="007D7C99">
            <w:pPr>
              <w:shd w:val="clear" w:color="auto" w:fill="FFFFFF"/>
              <w:spacing w:before="60" w:after="0"/>
              <w:rPr>
                <w:rFonts w:ascii="Times New Roman" w:hAnsi="Times New Roman"/>
                <w:sz w:val="24"/>
                <w:szCs w:val="24"/>
              </w:rPr>
            </w:pPr>
            <w:r w:rsidRPr="00ED7BD1">
              <w:rPr>
                <w:rFonts w:ascii="Times New Roman" w:hAnsi="Times New Roman"/>
                <w:sz w:val="24"/>
                <w:szCs w:val="24"/>
              </w:rPr>
              <w:t xml:space="preserve">1.1 </w:t>
            </w:r>
            <w:r w:rsidR="00A01161" w:rsidRPr="00ED7BD1">
              <w:rPr>
                <w:rFonts w:ascii="Times New Roman" w:hAnsi="Times New Roman"/>
                <w:sz w:val="24"/>
                <w:szCs w:val="24"/>
              </w:rPr>
              <w:t>Technological investments</w:t>
            </w:r>
            <w:r w:rsidR="00E42FE8" w:rsidRPr="00ED7BD1">
              <w:rPr>
                <w:rFonts w:ascii="Times New Roman" w:hAnsi="Times New Roman"/>
                <w:sz w:val="24"/>
                <w:szCs w:val="24"/>
              </w:rPr>
              <w:t xml:space="preserve"> for migration management</w:t>
            </w:r>
            <w:r w:rsidR="00A01161" w:rsidRPr="00ED7BD1">
              <w:rPr>
                <w:rFonts w:ascii="Times New Roman" w:hAnsi="Times New Roman"/>
                <w:sz w:val="24"/>
                <w:szCs w:val="24"/>
              </w:rPr>
              <w:t xml:space="preserve"> nee</w:t>
            </w:r>
            <w:r w:rsidR="00E42FE8" w:rsidRPr="00ED7BD1">
              <w:rPr>
                <w:rFonts w:ascii="Times New Roman" w:hAnsi="Times New Roman"/>
                <w:sz w:val="24"/>
                <w:szCs w:val="24"/>
              </w:rPr>
              <w:t>ds assessed</w:t>
            </w:r>
          </w:p>
        </w:tc>
        <w:tc>
          <w:tcPr>
            <w:tcW w:w="3968" w:type="dxa"/>
            <w:shd w:val="clear" w:color="auto" w:fill="FFFFFF"/>
          </w:tcPr>
          <w:p w14:paraId="7BADB0EB" w14:textId="1FBFDB7C" w:rsidR="00B25C11" w:rsidRPr="00ED7BD1" w:rsidRDefault="00B25C11" w:rsidP="00A257D7">
            <w:pPr>
              <w:shd w:val="clear" w:color="auto" w:fill="FFFFFF"/>
              <w:spacing w:before="60" w:after="0"/>
              <w:rPr>
                <w:rFonts w:ascii="Times New Roman" w:hAnsi="Times New Roman"/>
                <w:sz w:val="24"/>
                <w:szCs w:val="24"/>
              </w:rPr>
            </w:pPr>
            <w:r w:rsidRPr="00ED7BD1">
              <w:rPr>
                <w:rFonts w:ascii="Times New Roman" w:hAnsi="Times New Roman"/>
                <w:sz w:val="24"/>
                <w:szCs w:val="24"/>
              </w:rPr>
              <w:t xml:space="preserve">Number of feasibility studies to </w:t>
            </w:r>
            <w:r w:rsidR="00A01161" w:rsidRPr="00ED7BD1">
              <w:rPr>
                <w:rFonts w:ascii="Times New Roman" w:hAnsi="Times New Roman"/>
                <w:sz w:val="24"/>
                <w:szCs w:val="24"/>
              </w:rPr>
              <w:t xml:space="preserve">assess the most </w:t>
            </w:r>
            <w:r w:rsidR="00E42FE8" w:rsidRPr="00ED7BD1">
              <w:rPr>
                <w:rFonts w:ascii="Times New Roman" w:hAnsi="Times New Roman"/>
                <w:sz w:val="24"/>
                <w:szCs w:val="24"/>
              </w:rPr>
              <w:t>relevant</w:t>
            </w:r>
            <w:r w:rsidR="00A01161" w:rsidRPr="00ED7BD1">
              <w:rPr>
                <w:rFonts w:ascii="Times New Roman" w:hAnsi="Times New Roman"/>
                <w:sz w:val="24"/>
                <w:szCs w:val="24"/>
              </w:rPr>
              <w:t xml:space="preserve"> technological investments needed</w:t>
            </w:r>
          </w:p>
          <w:p w14:paraId="51692327" w14:textId="77777777" w:rsidR="008C6561" w:rsidRPr="00ED7BD1" w:rsidRDefault="008C6561" w:rsidP="00A257D7">
            <w:pPr>
              <w:shd w:val="clear" w:color="auto" w:fill="FFFFFF"/>
              <w:spacing w:before="60" w:after="0"/>
              <w:rPr>
                <w:rFonts w:ascii="Times New Roman" w:hAnsi="Times New Roman"/>
                <w:sz w:val="24"/>
                <w:szCs w:val="24"/>
              </w:rPr>
            </w:pPr>
          </w:p>
        </w:tc>
        <w:tc>
          <w:tcPr>
            <w:tcW w:w="1440" w:type="dxa"/>
            <w:shd w:val="clear" w:color="auto" w:fill="FFFFFF"/>
          </w:tcPr>
          <w:p w14:paraId="53B85D82" w14:textId="176AFF6D" w:rsidR="008C6561" w:rsidRPr="00ED7BD1" w:rsidRDefault="00B25C11" w:rsidP="001556BC">
            <w:pPr>
              <w:shd w:val="clear" w:color="auto" w:fill="FFFFFF"/>
              <w:spacing w:before="60" w:after="0"/>
              <w:rPr>
                <w:rFonts w:ascii="Times New Roman" w:hAnsi="Times New Roman"/>
                <w:sz w:val="24"/>
                <w:szCs w:val="24"/>
              </w:rPr>
            </w:pPr>
            <w:r w:rsidRPr="00ED7BD1">
              <w:rPr>
                <w:rFonts w:ascii="Times New Roman" w:hAnsi="Times New Roman"/>
                <w:sz w:val="24"/>
                <w:szCs w:val="24"/>
              </w:rPr>
              <w:t xml:space="preserve">0 </w:t>
            </w:r>
            <w:r w:rsidR="00E548A3" w:rsidRPr="00ED7BD1">
              <w:rPr>
                <w:rFonts w:ascii="Times New Roman" w:hAnsi="Times New Roman"/>
                <w:sz w:val="24"/>
                <w:szCs w:val="24"/>
              </w:rPr>
              <w:t>(220)</w:t>
            </w:r>
          </w:p>
        </w:tc>
        <w:tc>
          <w:tcPr>
            <w:tcW w:w="1440" w:type="dxa"/>
            <w:shd w:val="clear" w:color="auto" w:fill="FFFFFF"/>
          </w:tcPr>
          <w:p w14:paraId="62E81FF0" w14:textId="77777777" w:rsidR="008C6561" w:rsidRPr="00ED7BD1" w:rsidRDefault="008C6561" w:rsidP="00E548A3">
            <w:pPr>
              <w:shd w:val="clear" w:color="auto" w:fill="FFFFFF"/>
              <w:spacing w:before="60" w:after="0"/>
              <w:rPr>
                <w:rFonts w:ascii="Times New Roman" w:hAnsi="Times New Roman"/>
                <w:sz w:val="24"/>
                <w:szCs w:val="24"/>
              </w:rPr>
            </w:pPr>
          </w:p>
        </w:tc>
        <w:tc>
          <w:tcPr>
            <w:tcW w:w="1350" w:type="dxa"/>
            <w:shd w:val="clear" w:color="auto" w:fill="FFFFFF"/>
          </w:tcPr>
          <w:p w14:paraId="7E1E209C" w14:textId="77777777" w:rsidR="008C6561" w:rsidRPr="00ED7BD1" w:rsidRDefault="00B25C11" w:rsidP="00E548A3">
            <w:pPr>
              <w:shd w:val="clear" w:color="auto" w:fill="FFFFFF"/>
              <w:spacing w:before="60" w:after="0"/>
              <w:rPr>
                <w:rFonts w:ascii="Times New Roman" w:hAnsi="Times New Roman"/>
                <w:sz w:val="24"/>
                <w:szCs w:val="24"/>
              </w:rPr>
            </w:pPr>
            <w:r w:rsidRPr="00ED7BD1">
              <w:rPr>
                <w:rFonts w:ascii="Times New Roman" w:hAnsi="Times New Roman"/>
                <w:sz w:val="24"/>
                <w:szCs w:val="24"/>
              </w:rPr>
              <w:t>1</w:t>
            </w:r>
            <w:r w:rsidR="00E548A3" w:rsidRPr="00ED7BD1">
              <w:rPr>
                <w:rFonts w:ascii="Times New Roman" w:hAnsi="Times New Roman"/>
                <w:sz w:val="24"/>
                <w:szCs w:val="24"/>
              </w:rPr>
              <w:t>(2022)</w:t>
            </w:r>
          </w:p>
        </w:tc>
        <w:tc>
          <w:tcPr>
            <w:tcW w:w="1620" w:type="dxa"/>
            <w:shd w:val="clear" w:color="auto" w:fill="FFFFFF"/>
          </w:tcPr>
          <w:p w14:paraId="64D60C7C" w14:textId="77777777" w:rsidR="008C6561" w:rsidRPr="00ED7BD1" w:rsidRDefault="00543627" w:rsidP="001556BC">
            <w:pPr>
              <w:numPr>
                <w:ilvl w:val="12"/>
                <w:numId w:val="0"/>
              </w:numPr>
              <w:shd w:val="clear" w:color="auto" w:fill="FFFFFF"/>
              <w:spacing w:before="60" w:after="0"/>
              <w:rPr>
                <w:rFonts w:ascii="Times New Roman" w:hAnsi="Times New Roman"/>
                <w:sz w:val="24"/>
                <w:szCs w:val="24"/>
              </w:rPr>
            </w:pPr>
            <w:r w:rsidRPr="00ED7BD1">
              <w:rPr>
                <w:rFonts w:ascii="Times New Roman" w:hAnsi="Times New Roman"/>
                <w:sz w:val="24"/>
                <w:szCs w:val="24"/>
              </w:rPr>
              <w:t>Final report of the technical assistance approved</w:t>
            </w:r>
          </w:p>
        </w:tc>
        <w:tc>
          <w:tcPr>
            <w:tcW w:w="2583" w:type="dxa"/>
            <w:vMerge w:val="restart"/>
            <w:shd w:val="clear" w:color="auto" w:fill="FFFFFF"/>
          </w:tcPr>
          <w:p w14:paraId="02A9EF28" w14:textId="77777777" w:rsidR="008C6561" w:rsidRPr="00ED7BD1" w:rsidRDefault="008C6561" w:rsidP="000B0BB2">
            <w:pPr>
              <w:numPr>
                <w:ilvl w:val="12"/>
                <w:numId w:val="0"/>
              </w:numPr>
              <w:shd w:val="clear" w:color="auto" w:fill="FFFFFF"/>
              <w:spacing w:before="60" w:after="0"/>
              <w:rPr>
                <w:rFonts w:ascii="Times New Roman" w:hAnsi="Times New Roman"/>
                <w:sz w:val="24"/>
                <w:szCs w:val="24"/>
              </w:rPr>
            </w:pPr>
            <w:r w:rsidRPr="00ED7BD1">
              <w:rPr>
                <w:rFonts w:ascii="Times New Roman" w:hAnsi="Times New Roman"/>
                <w:sz w:val="24"/>
                <w:szCs w:val="24"/>
              </w:rPr>
              <w:t>Government is ready to co-finance the Action.</w:t>
            </w:r>
          </w:p>
          <w:p w14:paraId="4C48798B" w14:textId="77777777" w:rsidR="00E548A3" w:rsidRPr="00ED7BD1" w:rsidRDefault="00E548A3" w:rsidP="000B0BB2">
            <w:pPr>
              <w:numPr>
                <w:ilvl w:val="12"/>
                <w:numId w:val="0"/>
              </w:numPr>
              <w:shd w:val="clear" w:color="auto" w:fill="FFFFFF"/>
              <w:spacing w:before="60" w:after="0"/>
              <w:rPr>
                <w:rFonts w:ascii="Times New Roman" w:hAnsi="Times New Roman"/>
                <w:sz w:val="24"/>
                <w:szCs w:val="24"/>
              </w:rPr>
            </w:pPr>
          </w:p>
          <w:p w14:paraId="2360432D" w14:textId="2D97AC8E" w:rsidR="00E548A3" w:rsidRPr="00ED7BD1" w:rsidRDefault="008C6561" w:rsidP="000B0BB2">
            <w:pPr>
              <w:numPr>
                <w:ilvl w:val="12"/>
                <w:numId w:val="0"/>
              </w:numPr>
              <w:shd w:val="clear" w:color="auto" w:fill="FFFFFF"/>
              <w:spacing w:before="60" w:after="0"/>
              <w:rPr>
                <w:rFonts w:ascii="Times New Roman" w:hAnsi="Times New Roman"/>
                <w:sz w:val="24"/>
                <w:szCs w:val="24"/>
              </w:rPr>
            </w:pPr>
            <w:r w:rsidRPr="00ED7BD1">
              <w:rPr>
                <w:rFonts w:ascii="Times New Roman" w:hAnsi="Times New Roman"/>
                <w:sz w:val="24"/>
                <w:szCs w:val="24"/>
              </w:rPr>
              <w:t>Ministry of Interior and Ministry of Labour and Social Policy identify and provide as co-financing appropriate facility for accommodation of unaccompanied children.</w:t>
            </w:r>
          </w:p>
          <w:p w14:paraId="3EFDEDEA" w14:textId="77777777" w:rsidR="00E548A3" w:rsidRPr="00ED7BD1" w:rsidRDefault="00E548A3" w:rsidP="000B0BB2">
            <w:pPr>
              <w:numPr>
                <w:ilvl w:val="12"/>
                <w:numId w:val="0"/>
              </w:numPr>
              <w:shd w:val="clear" w:color="auto" w:fill="FFFFFF"/>
              <w:spacing w:before="60" w:after="0"/>
              <w:rPr>
                <w:rFonts w:ascii="Times New Roman" w:hAnsi="Times New Roman"/>
                <w:sz w:val="24"/>
                <w:szCs w:val="24"/>
              </w:rPr>
            </w:pPr>
          </w:p>
          <w:p w14:paraId="2E9CF84F" w14:textId="77777777" w:rsidR="008C6561" w:rsidRPr="00ED7BD1" w:rsidRDefault="008C6561" w:rsidP="000B0BB2">
            <w:pPr>
              <w:numPr>
                <w:ilvl w:val="12"/>
                <w:numId w:val="0"/>
              </w:numPr>
              <w:shd w:val="clear" w:color="auto" w:fill="FFFFFF"/>
              <w:spacing w:before="60" w:after="0"/>
              <w:rPr>
                <w:rFonts w:ascii="Times New Roman" w:hAnsi="Times New Roman"/>
                <w:sz w:val="24"/>
                <w:szCs w:val="24"/>
              </w:rPr>
            </w:pPr>
            <w:r w:rsidRPr="00ED7BD1">
              <w:rPr>
                <w:rFonts w:ascii="Times New Roman" w:hAnsi="Times New Roman"/>
                <w:sz w:val="24"/>
                <w:szCs w:val="24"/>
              </w:rPr>
              <w:t>Relevant strategies are in place and implemented.</w:t>
            </w:r>
          </w:p>
          <w:p w14:paraId="56EEC16B" w14:textId="77777777" w:rsidR="00E548A3" w:rsidRPr="00ED7BD1" w:rsidRDefault="00E548A3" w:rsidP="000B0BB2">
            <w:pPr>
              <w:numPr>
                <w:ilvl w:val="12"/>
                <w:numId w:val="0"/>
              </w:numPr>
              <w:shd w:val="clear" w:color="auto" w:fill="FFFFFF"/>
              <w:spacing w:before="60" w:after="0"/>
              <w:rPr>
                <w:rFonts w:ascii="Times New Roman" w:hAnsi="Times New Roman"/>
                <w:sz w:val="24"/>
                <w:szCs w:val="24"/>
              </w:rPr>
            </w:pPr>
          </w:p>
          <w:p w14:paraId="207F1418" w14:textId="77777777" w:rsidR="008C6561" w:rsidRPr="00ED7BD1" w:rsidRDefault="008C6561" w:rsidP="001379EE">
            <w:pPr>
              <w:numPr>
                <w:ilvl w:val="12"/>
                <w:numId w:val="0"/>
              </w:numPr>
              <w:shd w:val="clear" w:color="auto" w:fill="FFFFFF"/>
              <w:spacing w:before="60" w:after="0"/>
              <w:rPr>
                <w:rFonts w:ascii="Times New Roman" w:hAnsi="Times New Roman"/>
                <w:sz w:val="24"/>
                <w:szCs w:val="24"/>
              </w:rPr>
            </w:pPr>
          </w:p>
          <w:p w14:paraId="4632979D" w14:textId="77777777" w:rsidR="008C6561" w:rsidRPr="00ED7BD1" w:rsidRDefault="008C6561" w:rsidP="00003244">
            <w:pPr>
              <w:numPr>
                <w:ilvl w:val="12"/>
                <w:numId w:val="0"/>
              </w:numPr>
              <w:shd w:val="clear" w:color="auto" w:fill="FFFFFF"/>
              <w:spacing w:before="60" w:after="0"/>
              <w:rPr>
                <w:rFonts w:ascii="Times New Roman" w:hAnsi="Times New Roman"/>
                <w:sz w:val="24"/>
                <w:szCs w:val="24"/>
              </w:rPr>
            </w:pPr>
            <w:r w:rsidRPr="00ED7BD1">
              <w:rPr>
                <w:rFonts w:ascii="Times New Roman" w:hAnsi="Times New Roman"/>
                <w:sz w:val="24"/>
                <w:szCs w:val="24"/>
              </w:rPr>
              <w:t xml:space="preserve">Ministry of Interior and Ministry of Labour and Social Policy have enough employees to </w:t>
            </w:r>
            <w:r w:rsidRPr="00ED7BD1">
              <w:rPr>
                <w:rFonts w:ascii="Times New Roman" w:hAnsi="Times New Roman"/>
                <w:sz w:val="24"/>
                <w:szCs w:val="24"/>
              </w:rPr>
              <w:lastRenderedPageBreak/>
              <w:t>perform managing, monitoring and enforcement activities and to conduct the new assigned activities</w:t>
            </w:r>
          </w:p>
        </w:tc>
      </w:tr>
      <w:tr w:rsidR="00ED7BD1" w:rsidRPr="00ED7BD1" w14:paraId="4CBE0516" w14:textId="77777777" w:rsidTr="00F371CD">
        <w:trPr>
          <w:trHeight w:val="772"/>
        </w:trPr>
        <w:tc>
          <w:tcPr>
            <w:tcW w:w="3401" w:type="dxa"/>
            <w:shd w:val="clear" w:color="auto" w:fill="FFFFFF"/>
          </w:tcPr>
          <w:p w14:paraId="7C85A14E" w14:textId="1E53DFFE" w:rsidR="008C6561" w:rsidRPr="00ED7BD1" w:rsidRDefault="008C6561" w:rsidP="007C032D">
            <w:pPr>
              <w:shd w:val="clear" w:color="auto" w:fill="FFFFFF"/>
              <w:spacing w:before="60" w:after="0"/>
              <w:rPr>
                <w:rFonts w:ascii="Times New Roman" w:hAnsi="Times New Roman"/>
                <w:sz w:val="24"/>
                <w:szCs w:val="24"/>
              </w:rPr>
            </w:pPr>
            <w:r w:rsidRPr="00ED7BD1">
              <w:rPr>
                <w:rFonts w:ascii="Times New Roman" w:hAnsi="Times New Roman"/>
                <w:sz w:val="24"/>
                <w:szCs w:val="24"/>
              </w:rPr>
              <w:t xml:space="preserve">1.2 </w:t>
            </w:r>
            <w:r w:rsidR="00E42FE8" w:rsidRPr="00ED7BD1">
              <w:rPr>
                <w:rFonts w:ascii="Times New Roman" w:hAnsi="Times New Roman"/>
                <w:sz w:val="24"/>
                <w:szCs w:val="24"/>
              </w:rPr>
              <w:t>Most r</w:t>
            </w:r>
            <w:r w:rsidR="00A01161" w:rsidRPr="00ED7BD1">
              <w:rPr>
                <w:rFonts w:ascii="Times New Roman" w:hAnsi="Times New Roman"/>
                <w:sz w:val="24"/>
                <w:szCs w:val="24"/>
              </w:rPr>
              <w:t xml:space="preserve">elevant </w:t>
            </w:r>
            <w:r w:rsidR="00E42FE8" w:rsidRPr="00ED7BD1">
              <w:rPr>
                <w:rFonts w:ascii="Times New Roman" w:hAnsi="Times New Roman"/>
                <w:sz w:val="24"/>
                <w:szCs w:val="24"/>
              </w:rPr>
              <w:t xml:space="preserve">technological equipment procured </w:t>
            </w:r>
          </w:p>
        </w:tc>
        <w:tc>
          <w:tcPr>
            <w:tcW w:w="3968" w:type="dxa"/>
            <w:shd w:val="clear" w:color="auto" w:fill="FFFFFF"/>
          </w:tcPr>
          <w:p w14:paraId="2D8A20A7" w14:textId="4F3D3DCB" w:rsidR="008C6561" w:rsidRPr="00ED7BD1" w:rsidRDefault="00E42FE8" w:rsidP="00C86DCB">
            <w:pPr>
              <w:shd w:val="clear" w:color="auto" w:fill="FFFFFF"/>
              <w:spacing w:before="60" w:after="0"/>
              <w:rPr>
                <w:rFonts w:ascii="Times New Roman" w:hAnsi="Times New Roman"/>
                <w:sz w:val="24"/>
                <w:szCs w:val="24"/>
              </w:rPr>
            </w:pPr>
            <w:r w:rsidRPr="00ED7BD1">
              <w:rPr>
                <w:rFonts w:ascii="Times New Roman" w:hAnsi="Times New Roman"/>
                <w:sz w:val="24"/>
                <w:szCs w:val="24"/>
              </w:rPr>
              <w:t>Sets of technological equipment procured</w:t>
            </w:r>
            <w:r w:rsidR="008C6561" w:rsidRPr="00ED7BD1">
              <w:rPr>
                <w:rFonts w:ascii="Times New Roman" w:hAnsi="Times New Roman"/>
                <w:sz w:val="24"/>
                <w:szCs w:val="24"/>
              </w:rPr>
              <w:t xml:space="preserve"> </w:t>
            </w:r>
          </w:p>
        </w:tc>
        <w:tc>
          <w:tcPr>
            <w:tcW w:w="1440" w:type="dxa"/>
            <w:shd w:val="clear" w:color="auto" w:fill="FFFFFF"/>
          </w:tcPr>
          <w:p w14:paraId="27136F20" w14:textId="55E6C5C9" w:rsidR="008C6561" w:rsidRPr="00ED7BD1" w:rsidRDefault="00E42FE8" w:rsidP="00CB066E">
            <w:pPr>
              <w:shd w:val="clear" w:color="auto" w:fill="FFFFFF"/>
              <w:spacing w:before="60" w:after="0"/>
              <w:rPr>
                <w:rFonts w:ascii="Times New Roman" w:hAnsi="Times New Roman"/>
                <w:sz w:val="24"/>
                <w:szCs w:val="24"/>
              </w:rPr>
            </w:pPr>
            <w:r w:rsidRPr="00ED7BD1">
              <w:rPr>
                <w:rFonts w:ascii="Times New Roman" w:hAnsi="Times New Roman"/>
                <w:sz w:val="24"/>
                <w:szCs w:val="24"/>
              </w:rPr>
              <w:t>0 (2019)</w:t>
            </w:r>
          </w:p>
        </w:tc>
        <w:tc>
          <w:tcPr>
            <w:tcW w:w="1440" w:type="dxa"/>
            <w:shd w:val="clear" w:color="auto" w:fill="FFFFFF"/>
          </w:tcPr>
          <w:p w14:paraId="5F715939" w14:textId="70FF7FD2" w:rsidR="008C6561" w:rsidRPr="00ED7BD1" w:rsidRDefault="008C6561" w:rsidP="007C032D">
            <w:pPr>
              <w:shd w:val="clear" w:color="auto" w:fill="FFFFFF"/>
              <w:spacing w:before="60" w:after="0"/>
              <w:rPr>
                <w:rFonts w:ascii="Times New Roman" w:hAnsi="Times New Roman"/>
                <w:sz w:val="24"/>
                <w:szCs w:val="24"/>
              </w:rPr>
            </w:pPr>
          </w:p>
        </w:tc>
        <w:tc>
          <w:tcPr>
            <w:tcW w:w="1350" w:type="dxa"/>
            <w:shd w:val="clear" w:color="auto" w:fill="FFFFFF"/>
          </w:tcPr>
          <w:p w14:paraId="1A78C311" w14:textId="113E89DD" w:rsidR="008C6561" w:rsidRPr="00ED7BD1" w:rsidRDefault="00E42FE8" w:rsidP="008C6561">
            <w:pPr>
              <w:shd w:val="clear" w:color="auto" w:fill="FFFFFF"/>
              <w:spacing w:before="60" w:after="0"/>
              <w:rPr>
                <w:rFonts w:ascii="Times New Roman" w:hAnsi="Times New Roman"/>
                <w:sz w:val="24"/>
                <w:szCs w:val="24"/>
              </w:rPr>
            </w:pPr>
            <w:r w:rsidRPr="00ED7BD1">
              <w:rPr>
                <w:rFonts w:ascii="Times New Roman" w:hAnsi="Times New Roman"/>
                <w:sz w:val="24"/>
                <w:szCs w:val="24"/>
              </w:rPr>
              <w:t>&gt;  2024</w:t>
            </w:r>
          </w:p>
        </w:tc>
        <w:tc>
          <w:tcPr>
            <w:tcW w:w="1620" w:type="dxa"/>
            <w:shd w:val="clear" w:color="auto" w:fill="FFFFFF"/>
          </w:tcPr>
          <w:p w14:paraId="25E0111C" w14:textId="77777777" w:rsidR="008C6561" w:rsidRPr="00ED7BD1" w:rsidRDefault="00E35D03" w:rsidP="007C032D">
            <w:pPr>
              <w:numPr>
                <w:ilvl w:val="12"/>
                <w:numId w:val="0"/>
              </w:numPr>
              <w:shd w:val="clear" w:color="auto" w:fill="FFFFFF"/>
              <w:spacing w:before="60" w:after="0"/>
              <w:rPr>
                <w:rFonts w:ascii="Times New Roman" w:hAnsi="Times New Roman"/>
                <w:sz w:val="24"/>
                <w:szCs w:val="24"/>
                <w:highlight w:val="green"/>
              </w:rPr>
            </w:pPr>
            <w:r w:rsidRPr="00ED7BD1">
              <w:rPr>
                <w:rFonts w:ascii="Times New Roman" w:hAnsi="Times New Roman"/>
                <w:sz w:val="24"/>
                <w:szCs w:val="24"/>
              </w:rPr>
              <w:t>Annual report of the Border Police</w:t>
            </w:r>
          </w:p>
        </w:tc>
        <w:tc>
          <w:tcPr>
            <w:tcW w:w="2583" w:type="dxa"/>
            <w:vMerge/>
            <w:shd w:val="clear" w:color="auto" w:fill="FFFFFF"/>
          </w:tcPr>
          <w:p w14:paraId="1FFD1FEA" w14:textId="77777777" w:rsidR="008C6561" w:rsidRPr="00ED7BD1" w:rsidRDefault="008C6561" w:rsidP="00003244">
            <w:pPr>
              <w:numPr>
                <w:ilvl w:val="12"/>
                <w:numId w:val="0"/>
              </w:numPr>
              <w:shd w:val="clear" w:color="auto" w:fill="FFFFFF"/>
              <w:spacing w:before="60" w:after="0"/>
              <w:rPr>
                <w:rFonts w:ascii="Times New Roman" w:hAnsi="Times New Roman"/>
                <w:sz w:val="24"/>
                <w:szCs w:val="24"/>
              </w:rPr>
            </w:pPr>
          </w:p>
        </w:tc>
      </w:tr>
      <w:tr w:rsidR="00ED7BD1" w:rsidRPr="00ED7BD1" w14:paraId="709C6928" w14:textId="77777777" w:rsidTr="0089691B">
        <w:trPr>
          <w:trHeight w:val="50"/>
        </w:trPr>
        <w:tc>
          <w:tcPr>
            <w:tcW w:w="3401" w:type="dxa"/>
            <w:shd w:val="clear" w:color="auto" w:fill="FFFFFF"/>
          </w:tcPr>
          <w:p w14:paraId="30D5F5DC" w14:textId="273B8E98" w:rsidR="00161A67" w:rsidRPr="00ED7BD1" w:rsidRDefault="00E42FE8"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1.3</w:t>
            </w:r>
            <w:r w:rsidR="00161A67" w:rsidRPr="00ED7BD1">
              <w:rPr>
                <w:rFonts w:ascii="Times New Roman" w:hAnsi="Times New Roman"/>
                <w:sz w:val="24"/>
                <w:szCs w:val="24"/>
              </w:rPr>
              <w:t xml:space="preserve"> Strengthened institutional capacities in dealing with and supporting asylum seekers, with a special attention to vulnerable groups </w:t>
            </w:r>
          </w:p>
        </w:tc>
        <w:tc>
          <w:tcPr>
            <w:tcW w:w="3968" w:type="dxa"/>
            <w:shd w:val="clear" w:color="auto" w:fill="FFFFFF"/>
          </w:tcPr>
          <w:p w14:paraId="1B45BCBC" w14:textId="77777777" w:rsidR="00161A67" w:rsidRPr="00ED7BD1" w:rsidDel="007C032D"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Number of developed SOPs, guidelines and handbooks</w:t>
            </w:r>
          </w:p>
          <w:p w14:paraId="6DA906DB" w14:textId="77777777" w:rsidR="00161A67" w:rsidRPr="00ED7BD1" w:rsidRDefault="00161A67" w:rsidP="007E1657">
            <w:pPr>
              <w:shd w:val="clear" w:color="auto" w:fill="FFFFFF"/>
              <w:spacing w:after="0" w:line="240" w:lineRule="auto"/>
              <w:rPr>
                <w:rFonts w:ascii="Times New Roman" w:hAnsi="Times New Roman"/>
                <w:sz w:val="24"/>
                <w:szCs w:val="24"/>
              </w:rPr>
            </w:pPr>
          </w:p>
          <w:p w14:paraId="7C4795CB" w14:textId="52464A9B" w:rsidR="00161A67" w:rsidRPr="00ED7BD1"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Number of integration schemes, programmes and initiatives</w:t>
            </w:r>
          </w:p>
          <w:p w14:paraId="007C70F5" w14:textId="77777777" w:rsidR="00161A67" w:rsidRPr="00ED7BD1" w:rsidRDefault="00161A67" w:rsidP="007E1657">
            <w:pPr>
              <w:shd w:val="clear" w:color="auto" w:fill="FFFFFF"/>
              <w:spacing w:after="0" w:line="240" w:lineRule="auto"/>
              <w:rPr>
                <w:rFonts w:ascii="Times New Roman" w:hAnsi="Times New Roman"/>
                <w:sz w:val="24"/>
                <w:szCs w:val="24"/>
              </w:rPr>
            </w:pPr>
          </w:p>
          <w:p w14:paraId="3A6FB5CD" w14:textId="0C938FAB" w:rsidR="00161A67" w:rsidRPr="00ED7BD1"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Number of mechanisms for inter-agency cooperation and exchange of information for the integration of asylum seekers into the society</w:t>
            </w:r>
          </w:p>
          <w:p w14:paraId="20E81C68" w14:textId="77777777" w:rsidR="00161A67" w:rsidRPr="00ED7BD1" w:rsidRDefault="00161A67" w:rsidP="007E1657">
            <w:pPr>
              <w:shd w:val="clear" w:color="auto" w:fill="FFFFFF"/>
              <w:spacing w:after="0" w:line="240" w:lineRule="auto"/>
              <w:rPr>
                <w:rFonts w:ascii="Times New Roman" w:hAnsi="Times New Roman"/>
                <w:sz w:val="24"/>
                <w:szCs w:val="24"/>
              </w:rPr>
            </w:pPr>
          </w:p>
          <w:p w14:paraId="6A9E5B07" w14:textId="77777777"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Number of implemented outreach and public information campaigns</w:t>
            </w:r>
          </w:p>
          <w:p w14:paraId="5817086A" w14:textId="77777777" w:rsidR="00161A67" w:rsidRPr="00ED7BD1" w:rsidRDefault="00161A67" w:rsidP="00D509B5">
            <w:pPr>
              <w:shd w:val="clear" w:color="auto" w:fill="FFFFFF"/>
              <w:spacing w:after="0" w:line="240" w:lineRule="auto"/>
              <w:rPr>
                <w:rFonts w:ascii="Times New Roman" w:hAnsi="Times New Roman"/>
                <w:sz w:val="24"/>
                <w:szCs w:val="24"/>
              </w:rPr>
            </w:pPr>
          </w:p>
          <w:p w14:paraId="06AAA16E" w14:textId="40671E28"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Number of cubic meters of building to be used as shelter for vulnerable people</w:t>
            </w:r>
          </w:p>
          <w:p w14:paraId="376B1BB2" w14:textId="05908292"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lastRenderedPageBreak/>
              <w:t>Number of vulnerable asylum seekers safely sheltered</w:t>
            </w:r>
          </w:p>
          <w:p w14:paraId="1BD22A05" w14:textId="77777777" w:rsidR="00161A67" w:rsidRPr="00ED7BD1" w:rsidRDefault="00161A67" w:rsidP="00D509B5">
            <w:pPr>
              <w:shd w:val="clear" w:color="auto" w:fill="FFFFFF"/>
              <w:spacing w:after="0" w:line="240" w:lineRule="auto"/>
              <w:rPr>
                <w:rFonts w:ascii="Times New Roman" w:hAnsi="Times New Roman"/>
                <w:sz w:val="24"/>
                <w:szCs w:val="24"/>
              </w:rPr>
            </w:pPr>
          </w:p>
          <w:p w14:paraId="36CFF1F4" w14:textId="77777777"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Number of trainings for staff in communication with migrants, asylum seekers, unaccompanied children and vulnerable groups</w:t>
            </w:r>
          </w:p>
          <w:p w14:paraId="2C5F599F" w14:textId="77777777" w:rsidR="00F8614F" w:rsidRPr="00ED7BD1" w:rsidRDefault="00F8614F" w:rsidP="00D509B5">
            <w:pPr>
              <w:shd w:val="clear" w:color="auto" w:fill="FFFFFF"/>
              <w:spacing w:after="0" w:line="240" w:lineRule="auto"/>
              <w:rPr>
                <w:rFonts w:ascii="Times New Roman" w:hAnsi="Times New Roman"/>
                <w:sz w:val="24"/>
                <w:szCs w:val="24"/>
              </w:rPr>
            </w:pPr>
          </w:p>
          <w:p w14:paraId="41233D3D" w14:textId="77777777" w:rsidR="00F8614F" w:rsidRPr="00ED7BD1" w:rsidRDefault="00F8614F"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Number of procedures developed that are in line with the EASO recommendation on addressing vulnerable groups (unaccompanied, visually impaired, hearing impaired, victims of violence)</w:t>
            </w:r>
          </w:p>
          <w:p w14:paraId="5EDCDA6A" w14:textId="77777777" w:rsidR="00E42FE8" w:rsidRPr="00ED7BD1" w:rsidRDefault="00E42FE8" w:rsidP="00D509B5">
            <w:pPr>
              <w:shd w:val="clear" w:color="auto" w:fill="FFFFFF"/>
              <w:spacing w:after="0" w:line="240" w:lineRule="auto"/>
              <w:rPr>
                <w:rFonts w:ascii="Times New Roman" w:hAnsi="Times New Roman"/>
                <w:sz w:val="24"/>
                <w:szCs w:val="24"/>
              </w:rPr>
            </w:pPr>
          </w:p>
          <w:p w14:paraId="614A7E69" w14:textId="71D5C518" w:rsidR="00E42FE8" w:rsidRPr="00ED7BD1" w:rsidRDefault="00E42FE8"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Number of migrants receiving assistance, including education assistance (number of migrants receiving assistance multiplied by the number of days migrant receive assistance). Indicator disaggregated: gender, adult and children</w:t>
            </w:r>
          </w:p>
        </w:tc>
        <w:tc>
          <w:tcPr>
            <w:tcW w:w="1440" w:type="dxa"/>
            <w:shd w:val="clear" w:color="auto" w:fill="FFFFFF"/>
          </w:tcPr>
          <w:p w14:paraId="01E0711E" w14:textId="2EC38EF7" w:rsidR="00161A67"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lastRenderedPageBreak/>
              <w:t>0 (2019)</w:t>
            </w:r>
          </w:p>
          <w:p w14:paraId="1F50693B" w14:textId="77777777" w:rsidR="0089691B" w:rsidRPr="00ED7BD1" w:rsidRDefault="0089691B" w:rsidP="007E1657">
            <w:pPr>
              <w:shd w:val="clear" w:color="auto" w:fill="FFFFFF"/>
              <w:spacing w:after="0" w:line="240" w:lineRule="auto"/>
              <w:rPr>
                <w:rFonts w:ascii="Times New Roman" w:hAnsi="Times New Roman"/>
                <w:sz w:val="24"/>
                <w:szCs w:val="24"/>
              </w:rPr>
            </w:pPr>
          </w:p>
          <w:p w14:paraId="32FA9581" w14:textId="77777777" w:rsidR="00161A67" w:rsidRPr="00ED7BD1" w:rsidRDefault="00161A67" w:rsidP="007E1657">
            <w:pPr>
              <w:shd w:val="clear" w:color="auto" w:fill="FFFFFF"/>
              <w:spacing w:after="0" w:line="240" w:lineRule="auto"/>
              <w:rPr>
                <w:rFonts w:ascii="Times New Roman" w:hAnsi="Times New Roman"/>
                <w:sz w:val="24"/>
                <w:szCs w:val="24"/>
              </w:rPr>
            </w:pPr>
          </w:p>
          <w:p w14:paraId="797A76E6" w14:textId="51A7F1F8" w:rsidR="00161A67" w:rsidRPr="00ED7BD1"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0 (2019)</w:t>
            </w:r>
          </w:p>
          <w:p w14:paraId="6A3057B4" w14:textId="77777777" w:rsidR="00161A67" w:rsidRPr="00ED7BD1" w:rsidRDefault="00161A67" w:rsidP="007E1657">
            <w:pPr>
              <w:shd w:val="clear" w:color="auto" w:fill="FFFFFF"/>
              <w:spacing w:after="0" w:line="240" w:lineRule="auto"/>
              <w:rPr>
                <w:rFonts w:ascii="Times New Roman" w:hAnsi="Times New Roman"/>
                <w:sz w:val="24"/>
                <w:szCs w:val="24"/>
              </w:rPr>
            </w:pPr>
          </w:p>
          <w:p w14:paraId="53CD3D9E" w14:textId="77777777" w:rsidR="00161A67" w:rsidRPr="00ED7BD1" w:rsidRDefault="00161A67" w:rsidP="007E1657">
            <w:pPr>
              <w:shd w:val="clear" w:color="auto" w:fill="FFFFFF"/>
              <w:spacing w:after="0" w:line="240" w:lineRule="auto"/>
              <w:rPr>
                <w:rFonts w:ascii="Times New Roman" w:hAnsi="Times New Roman"/>
                <w:sz w:val="24"/>
                <w:szCs w:val="24"/>
              </w:rPr>
            </w:pPr>
          </w:p>
          <w:p w14:paraId="24A4B25B" w14:textId="77777777" w:rsidR="00161A67" w:rsidRPr="00ED7BD1"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0 (2019)</w:t>
            </w:r>
          </w:p>
          <w:p w14:paraId="6D657BA0" w14:textId="77777777" w:rsidR="00161A67" w:rsidRPr="00ED7BD1" w:rsidRDefault="00161A67" w:rsidP="00D509B5">
            <w:pPr>
              <w:shd w:val="clear" w:color="auto" w:fill="FFFFFF"/>
              <w:spacing w:after="0" w:line="240" w:lineRule="auto"/>
              <w:rPr>
                <w:rFonts w:ascii="Times New Roman" w:hAnsi="Times New Roman"/>
                <w:sz w:val="24"/>
                <w:szCs w:val="24"/>
              </w:rPr>
            </w:pPr>
          </w:p>
          <w:p w14:paraId="1D74435E" w14:textId="77777777" w:rsidR="00161A67" w:rsidRPr="00ED7BD1" w:rsidRDefault="00161A67" w:rsidP="00D509B5">
            <w:pPr>
              <w:shd w:val="clear" w:color="auto" w:fill="FFFFFF"/>
              <w:spacing w:after="0" w:line="240" w:lineRule="auto"/>
              <w:rPr>
                <w:rFonts w:ascii="Times New Roman" w:hAnsi="Times New Roman"/>
                <w:sz w:val="24"/>
                <w:szCs w:val="24"/>
              </w:rPr>
            </w:pPr>
          </w:p>
          <w:p w14:paraId="3E7092E6" w14:textId="761B63D7" w:rsidR="00161A67" w:rsidRDefault="00161A67" w:rsidP="00D509B5">
            <w:pPr>
              <w:shd w:val="clear" w:color="auto" w:fill="FFFFFF"/>
              <w:spacing w:after="0" w:line="240" w:lineRule="auto"/>
              <w:rPr>
                <w:rFonts w:ascii="Times New Roman" w:hAnsi="Times New Roman"/>
                <w:sz w:val="24"/>
                <w:szCs w:val="24"/>
              </w:rPr>
            </w:pPr>
          </w:p>
          <w:p w14:paraId="13D21649" w14:textId="77777777" w:rsidR="0089691B" w:rsidRPr="00ED7BD1" w:rsidRDefault="0089691B" w:rsidP="00D509B5">
            <w:pPr>
              <w:shd w:val="clear" w:color="auto" w:fill="FFFFFF"/>
              <w:spacing w:after="0" w:line="240" w:lineRule="auto"/>
              <w:rPr>
                <w:rFonts w:ascii="Times New Roman" w:hAnsi="Times New Roman"/>
                <w:sz w:val="24"/>
                <w:szCs w:val="24"/>
              </w:rPr>
            </w:pPr>
          </w:p>
          <w:p w14:paraId="5D5B216D" w14:textId="0396776F"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0 (2020)</w:t>
            </w:r>
          </w:p>
          <w:p w14:paraId="0C1E40AC" w14:textId="77777777" w:rsidR="00161A67" w:rsidRPr="00ED7BD1" w:rsidRDefault="00161A67" w:rsidP="00D509B5">
            <w:pPr>
              <w:shd w:val="clear" w:color="auto" w:fill="FFFFFF"/>
              <w:spacing w:after="0" w:line="240" w:lineRule="auto"/>
              <w:rPr>
                <w:rFonts w:ascii="Times New Roman" w:hAnsi="Times New Roman"/>
                <w:sz w:val="24"/>
                <w:szCs w:val="24"/>
              </w:rPr>
            </w:pPr>
          </w:p>
          <w:p w14:paraId="7FA3B370" w14:textId="77777777" w:rsidR="00161A67" w:rsidRPr="00ED7BD1" w:rsidRDefault="00161A67" w:rsidP="00D509B5">
            <w:pPr>
              <w:shd w:val="clear" w:color="auto" w:fill="FFFFFF"/>
              <w:spacing w:after="0" w:line="240" w:lineRule="auto"/>
              <w:rPr>
                <w:rFonts w:ascii="Times New Roman" w:hAnsi="Times New Roman"/>
                <w:sz w:val="24"/>
                <w:szCs w:val="24"/>
              </w:rPr>
            </w:pPr>
          </w:p>
          <w:p w14:paraId="4627CF4A" w14:textId="77777777"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0 (2020)</w:t>
            </w:r>
          </w:p>
          <w:p w14:paraId="0048309D" w14:textId="77777777" w:rsidR="00161A67" w:rsidRPr="00ED7BD1" w:rsidRDefault="00161A67" w:rsidP="00D509B5">
            <w:pPr>
              <w:shd w:val="clear" w:color="auto" w:fill="FFFFFF"/>
              <w:spacing w:after="0" w:line="240" w:lineRule="auto"/>
              <w:rPr>
                <w:rFonts w:ascii="Times New Roman" w:hAnsi="Times New Roman"/>
                <w:sz w:val="24"/>
                <w:szCs w:val="24"/>
              </w:rPr>
            </w:pPr>
          </w:p>
          <w:p w14:paraId="0E9E279C" w14:textId="57342B61"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lastRenderedPageBreak/>
              <w:t>0 (2020)</w:t>
            </w:r>
          </w:p>
          <w:p w14:paraId="2BBAFCD6" w14:textId="77777777" w:rsidR="00161A67" w:rsidRPr="00ED7BD1" w:rsidRDefault="00161A67" w:rsidP="00D509B5">
            <w:pPr>
              <w:shd w:val="clear" w:color="auto" w:fill="FFFFFF"/>
              <w:spacing w:after="0" w:line="240" w:lineRule="auto"/>
              <w:rPr>
                <w:rFonts w:ascii="Times New Roman" w:hAnsi="Times New Roman"/>
                <w:sz w:val="24"/>
                <w:szCs w:val="24"/>
              </w:rPr>
            </w:pPr>
          </w:p>
          <w:p w14:paraId="26D3083E" w14:textId="77777777" w:rsidR="00F8614F" w:rsidRPr="00ED7BD1" w:rsidRDefault="00F8614F" w:rsidP="00D509B5">
            <w:pPr>
              <w:shd w:val="clear" w:color="auto" w:fill="FFFFFF"/>
              <w:spacing w:after="0" w:line="240" w:lineRule="auto"/>
              <w:rPr>
                <w:rFonts w:ascii="Times New Roman" w:hAnsi="Times New Roman"/>
                <w:sz w:val="24"/>
                <w:szCs w:val="24"/>
              </w:rPr>
            </w:pPr>
          </w:p>
          <w:p w14:paraId="7970BBFA" w14:textId="77777777"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0 (2020)</w:t>
            </w:r>
          </w:p>
          <w:p w14:paraId="0ED331A4" w14:textId="77777777" w:rsidR="00F8614F" w:rsidRPr="00ED7BD1" w:rsidRDefault="00F8614F" w:rsidP="00D509B5">
            <w:pPr>
              <w:shd w:val="clear" w:color="auto" w:fill="FFFFFF"/>
              <w:spacing w:after="0" w:line="240" w:lineRule="auto"/>
              <w:rPr>
                <w:rFonts w:ascii="Times New Roman" w:hAnsi="Times New Roman"/>
                <w:sz w:val="24"/>
                <w:szCs w:val="24"/>
              </w:rPr>
            </w:pPr>
          </w:p>
          <w:p w14:paraId="20E54EF2" w14:textId="77777777" w:rsidR="00F8614F" w:rsidRPr="00ED7BD1" w:rsidRDefault="00F8614F" w:rsidP="00D509B5">
            <w:pPr>
              <w:shd w:val="clear" w:color="auto" w:fill="FFFFFF"/>
              <w:spacing w:after="0" w:line="240" w:lineRule="auto"/>
              <w:rPr>
                <w:rFonts w:ascii="Times New Roman" w:hAnsi="Times New Roman"/>
                <w:sz w:val="24"/>
                <w:szCs w:val="24"/>
              </w:rPr>
            </w:pPr>
          </w:p>
          <w:p w14:paraId="146BA1C2" w14:textId="77777777" w:rsidR="00F8614F" w:rsidRPr="00ED7BD1" w:rsidRDefault="00F8614F" w:rsidP="00D509B5">
            <w:pPr>
              <w:shd w:val="clear" w:color="auto" w:fill="FFFFFF"/>
              <w:spacing w:after="0" w:line="240" w:lineRule="auto"/>
              <w:rPr>
                <w:rFonts w:ascii="Times New Roman" w:hAnsi="Times New Roman"/>
                <w:sz w:val="24"/>
                <w:szCs w:val="24"/>
              </w:rPr>
            </w:pPr>
          </w:p>
          <w:p w14:paraId="4A4518F3" w14:textId="77777777" w:rsidR="00F8614F" w:rsidRPr="00ED7BD1" w:rsidRDefault="00F8614F" w:rsidP="00D509B5">
            <w:pPr>
              <w:shd w:val="clear" w:color="auto" w:fill="FFFFFF"/>
              <w:spacing w:after="0" w:line="240" w:lineRule="auto"/>
              <w:rPr>
                <w:rFonts w:ascii="Times New Roman" w:hAnsi="Times New Roman"/>
                <w:sz w:val="24"/>
                <w:szCs w:val="24"/>
              </w:rPr>
            </w:pPr>
          </w:p>
          <w:p w14:paraId="2D68A413" w14:textId="77777777" w:rsidR="00F8614F" w:rsidRPr="00ED7BD1" w:rsidRDefault="00F8614F"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0 (2020)</w:t>
            </w:r>
          </w:p>
          <w:p w14:paraId="08211D3A" w14:textId="77777777" w:rsidR="00E42FE8" w:rsidRPr="00ED7BD1" w:rsidRDefault="00E42FE8" w:rsidP="00D509B5">
            <w:pPr>
              <w:shd w:val="clear" w:color="auto" w:fill="FFFFFF"/>
              <w:spacing w:after="0" w:line="240" w:lineRule="auto"/>
              <w:rPr>
                <w:rFonts w:ascii="Times New Roman" w:hAnsi="Times New Roman"/>
                <w:sz w:val="24"/>
                <w:szCs w:val="24"/>
              </w:rPr>
            </w:pPr>
          </w:p>
          <w:p w14:paraId="6FCBB50C" w14:textId="04494A10" w:rsidR="00E42FE8" w:rsidRDefault="00E42FE8" w:rsidP="00D509B5">
            <w:pPr>
              <w:shd w:val="clear" w:color="auto" w:fill="FFFFFF"/>
              <w:spacing w:after="0" w:line="240" w:lineRule="auto"/>
              <w:rPr>
                <w:rFonts w:ascii="Times New Roman" w:hAnsi="Times New Roman"/>
                <w:sz w:val="24"/>
                <w:szCs w:val="24"/>
              </w:rPr>
            </w:pPr>
          </w:p>
          <w:p w14:paraId="0AAB05A2" w14:textId="5E03C5B5" w:rsidR="00EF3C4B" w:rsidRDefault="00EF3C4B" w:rsidP="00D509B5">
            <w:pPr>
              <w:shd w:val="clear" w:color="auto" w:fill="FFFFFF"/>
              <w:spacing w:after="0" w:line="240" w:lineRule="auto"/>
              <w:rPr>
                <w:rFonts w:ascii="Times New Roman" w:hAnsi="Times New Roman"/>
                <w:sz w:val="24"/>
                <w:szCs w:val="24"/>
              </w:rPr>
            </w:pPr>
          </w:p>
          <w:p w14:paraId="51C490E3" w14:textId="7CF73006" w:rsidR="00EF3C4B" w:rsidRDefault="00EF3C4B" w:rsidP="00D509B5">
            <w:pPr>
              <w:shd w:val="clear" w:color="auto" w:fill="FFFFFF"/>
              <w:spacing w:after="0" w:line="240" w:lineRule="auto"/>
              <w:rPr>
                <w:rFonts w:ascii="Times New Roman" w:hAnsi="Times New Roman"/>
                <w:sz w:val="24"/>
                <w:szCs w:val="24"/>
              </w:rPr>
            </w:pPr>
          </w:p>
          <w:p w14:paraId="31FA5509" w14:textId="77777777" w:rsidR="00EF3C4B" w:rsidRPr="00ED7BD1" w:rsidRDefault="00EF3C4B" w:rsidP="00D509B5">
            <w:pPr>
              <w:shd w:val="clear" w:color="auto" w:fill="FFFFFF"/>
              <w:spacing w:after="0" w:line="240" w:lineRule="auto"/>
              <w:rPr>
                <w:rFonts w:ascii="Times New Roman" w:hAnsi="Times New Roman"/>
                <w:sz w:val="24"/>
                <w:szCs w:val="24"/>
              </w:rPr>
            </w:pPr>
          </w:p>
          <w:p w14:paraId="54B95FE3" w14:textId="77777777" w:rsidR="00E42FE8" w:rsidRPr="00ED7BD1" w:rsidRDefault="00E42FE8" w:rsidP="00D509B5">
            <w:pPr>
              <w:shd w:val="clear" w:color="auto" w:fill="FFFFFF"/>
              <w:spacing w:after="0" w:line="240" w:lineRule="auto"/>
              <w:rPr>
                <w:rFonts w:ascii="Times New Roman" w:hAnsi="Times New Roman"/>
                <w:sz w:val="24"/>
                <w:szCs w:val="24"/>
              </w:rPr>
            </w:pPr>
          </w:p>
          <w:p w14:paraId="5DFFBD38" w14:textId="07CF40C4" w:rsidR="00E42FE8" w:rsidRPr="00ED7BD1" w:rsidRDefault="00E42FE8"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10,522 migrants x days/year (76% male; 13% female; 11% children) (2018)</w:t>
            </w:r>
          </w:p>
        </w:tc>
        <w:tc>
          <w:tcPr>
            <w:tcW w:w="1440" w:type="dxa"/>
            <w:shd w:val="clear" w:color="auto" w:fill="FFFFFF"/>
          </w:tcPr>
          <w:p w14:paraId="370B078D" w14:textId="6AE1CB8E" w:rsidR="00161A67"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lastRenderedPageBreak/>
              <w:t>&gt;3 (2022)</w:t>
            </w:r>
          </w:p>
          <w:p w14:paraId="734AFF98" w14:textId="77777777" w:rsidR="0089691B" w:rsidRPr="00ED7BD1" w:rsidRDefault="0089691B" w:rsidP="007E1657">
            <w:pPr>
              <w:shd w:val="clear" w:color="auto" w:fill="FFFFFF"/>
              <w:spacing w:after="0" w:line="240" w:lineRule="auto"/>
              <w:rPr>
                <w:rFonts w:ascii="Times New Roman" w:hAnsi="Times New Roman"/>
                <w:sz w:val="24"/>
                <w:szCs w:val="24"/>
              </w:rPr>
            </w:pPr>
          </w:p>
          <w:p w14:paraId="681D9347" w14:textId="77777777" w:rsidR="00161A67" w:rsidRPr="00ED7BD1" w:rsidRDefault="00161A67" w:rsidP="007E1657">
            <w:pPr>
              <w:shd w:val="clear" w:color="auto" w:fill="FFFFFF"/>
              <w:spacing w:after="0" w:line="240" w:lineRule="auto"/>
              <w:rPr>
                <w:rFonts w:ascii="Times New Roman" w:hAnsi="Times New Roman"/>
                <w:sz w:val="24"/>
                <w:szCs w:val="24"/>
              </w:rPr>
            </w:pPr>
          </w:p>
          <w:p w14:paraId="17F5748C" w14:textId="688C441A" w:rsidR="00161A67" w:rsidRPr="00ED7BD1"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&gt;2 (2022)</w:t>
            </w:r>
          </w:p>
          <w:p w14:paraId="3E84CF1D" w14:textId="77777777" w:rsidR="00161A67" w:rsidRPr="00ED7BD1" w:rsidRDefault="00161A67" w:rsidP="007E1657">
            <w:pPr>
              <w:shd w:val="clear" w:color="auto" w:fill="FFFFFF"/>
              <w:spacing w:after="0" w:line="240" w:lineRule="auto"/>
              <w:rPr>
                <w:rFonts w:ascii="Times New Roman" w:hAnsi="Times New Roman"/>
                <w:sz w:val="24"/>
                <w:szCs w:val="24"/>
              </w:rPr>
            </w:pPr>
          </w:p>
          <w:p w14:paraId="080A647B" w14:textId="77777777" w:rsidR="00161A67" w:rsidRPr="00ED7BD1" w:rsidRDefault="00161A67" w:rsidP="007E1657">
            <w:pPr>
              <w:shd w:val="clear" w:color="auto" w:fill="FFFFFF"/>
              <w:spacing w:after="0" w:line="240" w:lineRule="auto"/>
              <w:rPr>
                <w:rFonts w:ascii="Times New Roman" w:hAnsi="Times New Roman"/>
                <w:sz w:val="24"/>
                <w:szCs w:val="24"/>
              </w:rPr>
            </w:pPr>
          </w:p>
          <w:p w14:paraId="4A7B25C5" w14:textId="77777777" w:rsidR="00161A67" w:rsidRPr="00ED7BD1"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&gt;1 (2022)</w:t>
            </w:r>
          </w:p>
          <w:p w14:paraId="63582A8F" w14:textId="77777777" w:rsidR="00161A67" w:rsidRPr="00ED7BD1" w:rsidRDefault="00161A67" w:rsidP="00D509B5">
            <w:pPr>
              <w:shd w:val="clear" w:color="auto" w:fill="FFFFFF"/>
              <w:spacing w:after="0" w:line="240" w:lineRule="auto"/>
              <w:rPr>
                <w:rFonts w:ascii="Times New Roman" w:hAnsi="Times New Roman"/>
                <w:sz w:val="24"/>
                <w:szCs w:val="24"/>
              </w:rPr>
            </w:pPr>
          </w:p>
          <w:p w14:paraId="206DD416" w14:textId="7DADA6A3" w:rsidR="00161A67" w:rsidRDefault="00161A67" w:rsidP="00D509B5">
            <w:pPr>
              <w:shd w:val="clear" w:color="auto" w:fill="FFFFFF"/>
              <w:spacing w:after="0" w:line="240" w:lineRule="auto"/>
              <w:rPr>
                <w:rFonts w:ascii="Times New Roman" w:hAnsi="Times New Roman"/>
                <w:sz w:val="24"/>
                <w:szCs w:val="24"/>
              </w:rPr>
            </w:pPr>
          </w:p>
          <w:p w14:paraId="09DEBD4B" w14:textId="77777777" w:rsidR="0089691B" w:rsidRPr="00ED7BD1" w:rsidRDefault="0089691B" w:rsidP="00D509B5">
            <w:pPr>
              <w:shd w:val="clear" w:color="auto" w:fill="FFFFFF"/>
              <w:spacing w:after="0" w:line="240" w:lineRule="auto"/>
              <w:rPr>
                <w:rFonts w:ascii="Times New Roman" w:hAnsi="Times New Roman"/>
                <w:sz w:val="24"/>
                <w:szCs w:val="24"/>
              </w:rPr>
            </w:pPr>
          </w:p>
          <w:p w14:paraId="10C42BC6" w14:textId="77777777" w:rsidR="00161A67" w:rsidRPr="00ED7BD1" w:rsidRDefault="00161A67" w:rsidP="00D509B5">
            <w:pPr>
              <w:shd w:val="clear" w:color="auto" w:fill="FFFFFF"/>
              <w:spacing w:after="0" w:line="240" w:lineRule="auto"/>
              <w:rPr>
                <w:rFonts w:ascii="Times New Roman" w:hAnsi="Times New Roman"/>
                <w:sz w:val="24"/>
                <w:szCs w:val="24"/>
              </w:rPr>
            </w:pPr>
          </w:p>
          <w:p w14:paraId="7164C790" w14:textId="7FC05685"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 5 (2022)</w:t>
            </w:r>
          </w:p>
          <w:p w14:paraId="4248C6B7" w14:textId="77777777" w:rsidR="00161A67" w:rsidRPr="00ED7BD1" w:rsidRDefault="00161A67" w:rsidP="00D509B5">
            <w:pPr>
              <w:shd w:val="clear" w:color="auto" w:fill="FFFFFF"/>
              <w:spacing w:after="0" w:line="240" w:lineRule="auto"/>
              <w:rPr>
                <w:rFonts w:ascii="Times New Roman" w:hAnsi="Times New Roman"/>
                <w:sz w:val="24"/>
                <w:szCs w:val="24"/>
              </w:rPr>
            </w:pPr>
          </w:p>
          <w:p w14:paraId="7CFC276E" w14:textId="77777777" w:rsidR="00161A67" w:rsidRPr="00ED7BD1" w:rsidRDefault="00161A67" w:rsidP="00D509B5">
            <w:pPr>
              <w:shd w:val="clear" w:color="auto" w:fill="FFFFFF"/>
              <w:spacing w:after="0" w:line="240" w:lineRule="auto"/>
              <w:rPr>
                <w:rFonts w:ascii="Times New Roman" w:hAnsi="Times New Roman"/>
                <w:sz w:val="24"/>
                <w:szCs w:val="24"/>
              </w:rPr>
            </w:pPr>
          </w:p>
          <w:p w14:paraId="708195B4" w14:textId="77777777" w:rsidR="00161A67" w:rsidRPr="00ED7BD1" w:rsidRDefault="00161A67" w:rsidP="00D509B5">
            <w:pPr>
              <w:shd w:val="clear" w:color="auto" w:fill="FFFFFF"/>
              <w:spacing w:after="0" w:line="240" w:lineRule="auto"/>
              <w:rPr>
                <w:rFonts w:ascii="Times New Roman" w:hAnsi="Times New Roman"/>
                <w:sz w:val="24"/>
                <w:szCs w:val="24"/>
              </w:rPr>
            </w:pPr>
          </w:p>
          <w:p w14:paraId="36590637" w14:textId="3F826081" w:rsidR="00161A67" w:rsidRPr="00ED7BD1" w:rsidRDefault="00161A67" w:rsidP="00D509B5">
            <w:pPr>
              <w:shd w:val="clear" w:color="auto" w:fill="FFFFFF"/>
              <w:spacing w:after="0" w:line="240" w:lineRule="auto"/>
              <w:rPr>
                <w:rFonts w:ascii="Times New Roman" w:hAnsi="Times New Roman"/>
                <w:sz w:val="24"/>
                <w:szCs w:val="24"/>
              </w:rPr>
            </w:pPr>
          </w:p>
          <w:p w14:paraId="07BD08A3" w14:textId="7A010B89" w:rsidR="00161A67" w:rsidRPr="00ED7BD1" w:rsidRDefault="00161A67" w:rsidP="00D509B5">
            <w:pPr>
              <w:shd w:val="clear" w:color="auto" w:fill="FFFFFF"/>
              <w:spacing w:after="0" w:line="240" w:lineRule="auto"/>
              <w:rPr>
                <w:rFonts w:ascii="Times New Roman" w:hAnsi="Times New Roman"/>
                <w:sz w:val="24"/>
                <w:szCs w:val="24"/>
              </w:rPr>
            </w:pPr>
          </w:p>
          <w:p w14:paraId="15247B10" w14:textId="77777777" w:rsidR="00161A67" w:rsidRPr="00ED7BD1" w:rsidRDefault="00161A67" w:rsidP="00D509B5">
            <w:pPr>
              <w:shd w:val="clear" w:color="auto" w:fill="FFFFFF"/>
              <w:spacing w:after="0" w:line="240" w:lineRule="auto"/>
              <w:rPr>
                <w:rFonts w:ascii="Times New Roman" w:hAnsi="Times New Roman"/>
                <w:sz w:val="24"/>
                <w:szCs w:val="24"/>
              </w:rPr>
            </w:pPr>
          </w:p>
          <w:p w14:paraId="10502E25" w14:textId="77777777" w:rsidR="00161A67" w:rsidRPr="00ED7BD1" w:rsidRDefault="00161A67" w:rsidP="00D509B5">
            <w:pPr>
              <w:shd w:val="clear" w:color="auto" w:fill="FFFFFF"/>
              <w:spacing w:after="0" w:line="240" w:lineRule="auto"/>
              <w:rPr>
                <w:rFonts w:ascii="Times New Roman" w:hAnsi="Times New Roman"/>
                <w:sz w:val="24"/>
                <w:szCs w:val="24"/>
              </w:rPr>
            </w:pPr>
          </w:p>
          <w:p w14:paraId="11BD671A" w14:textId="7B2AB34E"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&gt;5 (2021)</w:t>
            </w:r>
          </w:p>
        </w:tc>
        <w:tc>
          <w:tcPr>
            <w:tcW w:w="1350" w:type="dxa"/>
            <w:shd w:val="clear" w:color="auto" w:fill="FFFFFF"/>
          </w:tcPr>
          <w:p w14:paraId="2A290E90" w14:textId="1F3C518C" w:rsidR="00161A67"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lastRenderedPageBreak/>
              <w:t>&gt;8 (2023)</w:t>
            </w:r>
          </w:p>
          <w:p w14:paraId="68112DEA" w14:textId="77777777" w:rsidR="0089691B" w:rsidRPr="00ED7BD1" w:rsidRDefault="0089691B" w:rsidP="007E1657">
            <w:pPr>
              <w:shd w:val="clear" w:color="auto" w:fill="FFFFFF"/>
              <w:spacing w:after="0" w:line="240" w:lineRule="auto"/>
              <w:rPr>
                <w:rFonts w:ascii="Times New Roman" w:hAnsi="Times New Roman"/>
                <w:sz w:val="24"/>
                <w:szCs w:val="24"/>
              </w:rPr>
            </w:pPr>
          </w:p>
          <w:p w14:paraId="675FFD7B" w14:textId="77777777" w:rsidR="00161A67" w:rsidRPr="00ED7BD1" w:rsidRDefault="00161A67" w:rsidP="007E1657">
            <w:pPr>
              <w:shd w:val="clear" w:color="auto" w:fill="FFFFFF"/>
              <w:spacing w:after="0" w:line="240" w:lineRule="auto"/>
              <w:rPr>
                <w:rFonts w:ascii="Times New Roman" w:hAnsi="Times New Roman"/>
                <w:sz w:val="24"/>
                <w:szCs w:val="24"/>
              </w:rPr>
            </w:pPr>
          </w:p>
          <w:p w14:paraId="6C1099A4" w14:textId="59F6AD37" w:rsidR="00161A67" w:rsidRPr="00ED7BD1"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&gt;5 (2024)</w:t>
            </w:r>
          </w:p>
          <w:p w14:paraId="4D1BECEB" w14:textId="77777777" w:rsidR="00161A67" w:rsidRPr="00ED7BD1" w:rsidRDefault="00161A67" w:rsidP="007E1657">
            <w:pPr>
              <w:shd w:val="clear" w:color="auto" w:fill="FFFFFF"/>
              <w:spacing w:after="0" w:line="240" w:lineRule="auto"/>
              <w:rPr>
                <w:rFonts w:ascii="Times New Roman" w:hAnsi="Times New Roman"/>
                <w:sz w:val="24"/>
                <w:szCs w:val="24"/>
              </w:rPr>
            </w:pPr>
          </w:p>
          <w:p w14:paraId="28209065" w14:textId="77777777" w:rsidR="00161A67" w:rsidRPr="00ED7BD1" w:rsidRDefault="00161A67" w:rsidP="007E1657">
            <w:pPr>
              <w:shd w:val="clear" w:color="auto" w:fill="FFFFFF"/>
              <w:spacing w:after="0" w:line="240" w:lineRule="auto"/>
              <w:rPr>
                <w:rFonts w:ascii="Times New Roman" w:hAnsi="Times New Roman"/>
                <w:sz w:val="24"/>
                <w:szCs w:val="24"/>
              </w:rPr>
            </w:pPr>
          </w:p>
          <w:p w14:paraId="4CD30240" w14:textId="77777777" w:rsidR="00161A67" w:rsidRPr="00ED7BD1" w:rsidRDefault="00161A67" w:rsidP="007E1657">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&gt;3 (2024)</w:t>
            </w:r>
          </w:p>
          <w:p w14:paraId="0BBDD3C6" w14:textId="77777777" w:rsidR="00161A67" w:rsidRPr="00ED7BD1" w:rsidRDefault="00161A67" w:rsidP="00D509B5">
            <w:pPr>
              <w:shd w:val="clear" w:color="auto" w:fill="FFFFFF"/>
              <w:spacing w:after="0" w:line="240" w:lineRule="auto"/>
              <w:rPr>
                <w:rFonts w:ascii="Times New Roman" w:hAnsi="Times New Roman"/>
                <w:sz w:val="24"/>
                <w:szCs w:val="24"/>
              </w:rPr>
            </w:pPr>
          </w:p>
          <w:p w14:paraId="5F1D4D03" w14:textId="4110A64F" w:rsidR="00161A67" w:rsidRDefault="00161A67" w:rsidP="00D509B5">
            <w:pPr>
              <w:shd w:val="clear" w:color="auto" w:fill="FFFFFF"/>
              <w:spacing w:after="0" w:line="240" w:lineRule="auto"/>
              <w:rPr>
                <w:rFonts w:ascii="Times New Roman" w:hAnsi="Times New Roman"/>
                <w:sz w:val="24"/>
                <w:szCs w:val="24"/>
              </w:rPr>
            </w:pPr>
          </w:p>
          <w:p w14:paraId="36C90A27" w14:textId="77777777" w:rsidR="0089691B" w:rsidRPr="00ED7BD1" w:rsidRDefault="0089691B" w:rsidP="00D509B5">
            <w:pPr>
              <w:shd w:val="clear" w:color="auto" w:fill="FFFFFF"/>
              <w:spacing w:after="0" w:line="240" w:lineRule="auto"/>
              <w:rPr>
                <w:rFonts w:ascii="Times New Roman" w:hAnsi="Times New Roman"/>
                <w:sz w:val="24"/>
                <w:szCs w:val="24"/>
              </w:rPr>
            </w:pPr>
          </w:p>
          <w:p w14:paraId="56376F43" w14:textId="77777777" w:rsidR="00161A67" w:rsidRPr="00ED7BD1" w:rsidRDefault="00161A67" w:rsidP="00D509B5">
            <w:pPr>
              <w:shd w:val="clear" w:color="auto" w:fill="FFFFFF"/>
              <w:spacing w:after="0" w:line="240" w:lineRule="auto"/>
              <w:rPr>
                <w:rFonts w:ascii="Times New Roman" w:hAnsi="Times New Roman"/>
                <w:sz w:val="24"/>
                <w:szCs w:val="24"/>
              </w:rPr>
            </w:pPr>
          </w:p>
          <w:p w14:paraId="560A39A0" w14:textId="50CFFD5B"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&gt;10 (2023)</w:t>
            </w:r>
          </w:p>
          <w:p w14:paraId="615189F0" w14:textId="77777777" w:rsidR="00161A67" w:rsidRPr="00ED7BD1" w:rsidRDefault="00161A67" w:rsidP="00D509B5">
            <w:pPr>
              <w:shd w:val="clear" w:color="auto" w:fill="FFFFFF"/>
              <w:spacing w:after="0" w:line="240" w:lineRule="auto"/>
              <w:rPr>
                <w:rFonts w:ascii="Times New Roman" w:hAnsi="Times New Roman"/>
                <w:sz w:val="24"/>
                <w:szCs w:val="24"/>
              </w:rPr>
            </w:pPr>
          </w:p>
          <w:p w14:paraId="10259BB9" w14:textId="77777777" w:rsidR="00161A67" w:rsidRPr="00ED7BD1" w:rsidRDefault="00161A67" w:rsidP="00D509B5">
            <w:pPr>
              <w:shd w:val="clear" w:color="auto" w:fill="FFFFFF"/>
              <w:spacing w:after="0" w:line="240" w:lineRule="auto"/>
              <w:rPr>
                <w:rFonts w:ascii="Times New Roman" w:hAnsi="Times New Roman"/>
                <w:sz w:val="24"/>
                <w:szCs w:val="24"/>
              </w:rPr>
            </w:pPr>
          </w:p>
          <w:p w14:paraId="0DD3D264" w14:textId="77777777"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1,500  m</w:t>
            </w:r>
            <w:r w:rsidRPr="00ED7BD1">
              <w:rPr>
                <w:rFonts w:ascii="Times New Roman" w:hAnsi="Times New Roman"/>
                <w:sz w:val="24"/>
                <w:szCs w:val="24"/>
                <w:vertAlign w:val="superscript"/>
              </w:rPr>
              <w:t xml:space="preserve">3 </w:t>
            </w:r>
            <w:r w:rsidRPr="00ED7BD1">
              <w:rPr>
                <w:rFonts w:ascii="Times New Roman" w:hAnsi="Times New Roman"/>
                <w:sz w:val="24"/>
                <w:szCs w:val="24"/>
              </w:rPr>
              <w:t>(2023)</w:t>
            </w:r>
          </w:p>
          <w:p w14:paraId="2B2EEB64" w14:textId="4224BA47"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lastRenderedPageBreak/>
              <w:t xml:space="preserve"> (2024)</w:t>
            </w:r>
          </w:p>
          <w:p w14:paraId="7A8B7125" w14:textId="77777777" w:rsidR="00161A67" w:rsidRPr="00ED7BD1" w:rsidRDefault="00161A67" w:rsidP="00D509B5">
            <w:pPr>
              <w:shd w:val="clear" w:color="auto" w:fill="FFFFFF"/>
              <w:spacing w:after="0" w:line="240" w:lineRule="auto"/>
              <w:rPr>
                <w:rFonts w:ascii="Times New Roman" w:hAnsi="Times New Roman"/>
                <w:sz w:val="24"/>
                <w:szCs w:val="24"/>
              </w:rPr>
            </w:pPr>
          </w:p>
          <w:p w14:paraId="310122AB" w14:textId="77777777" w:rsidR="00F8614F" w:rsidRPr="00ED7BD1" w:rsidRDefault="00F8614F" w:rsidP="00D509B5">
            <w:pPr>
              <w:shd w:val="clear" w:color="auto" w:fill="FFFFFF"/>
              <w:spacing w:after="0" w:line="240" w:lineRule="auto"/>
              <w:rPr>
                <w:rFonts w:ascii="Times New Roman" w:hAnsi="Times New Roman"/>
                <w:sz w:val="24"/>
                <w:szCs w:val="24"/>
              </w:rPr>
            </w:pPr>
          </w:p>
          <w:p w14:paraId="5B8CBCA2" w14:textId="77777777" w:rsidR="00161A67" w:rsidRPr="00ED7BD1" w:rsidRDefault="00161A67"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&gt;15 (2024)</w:t>
            </w:r>
          </w:p>
          <w:p w14:paraId="095E9511" w14:textId="77777777" w:rsidR="00F8614F" w:rsidRPr="00ED7BD1" w:rsidRDefault="00F8614F" w:rsidP="00D509B5">
            <w:pPr>
              <w:shd w:val="clear" w:color="auto" w:fill="FFFFFF"/>
              <w:spacing w:after="0" w:line="240" w:lineRule="auto"/>
              <w:rPr>
                <w:rFonts w:ascii="Times New Roman" w:hAnsi="Times New Roman"/>
                <w:sz w:val="24"/>
                <w:szCs w:val="24"/>
              </w:rPr>
            </w:pPr>
          </w:p>
          <w:p w14:paraId="0F1C8386" w14:textId="3D4BA78A" w:rsidR="00F8614F" w:rsidRDefault="00F8614F" w:rsidP="00D509B5">
            <w:pPr>
              <w:shd w:val="clear" w:color="auto" w:fill="FFFFFF"/>
              <w:spacing w:after="0" w:line="240" w:lineRule="auto"/>
              <w:rPr>
                <w:rFonts w:ascii="Times New Roman" w:hAnsi="Times New Roman"/>
                <w:sz w:val="24"/>
                <w:szCs w:val="24"/>
              </w:rPr>
            </w:pPr>
          </w:p>
          <w:p w14:paraId="1A67342C" w14:textId="77777777" w:rsidR="00EF3C4B" w:rsidRPr="00ED7BD1" w:rsidRDefault="00EF3C4B" w:rsidP="00D509B5">
            <w:pPr>
              <w:shd w:val="clear" w:color="auto" w:fill="FFFFFF"/>
              <w:spacing w:after="0" w:line="240" w:lineRule="auto"/>
              <w:rPr>
                <w:rFonts w:ascii="Times New Roman" w:hAnsi="Times New Roman"/>
                <w:sz w:val="24"/>
                <w:szCs w:val="24"/>
              </w:rPr>
            </w:pPr>
          </w:p>
          <w:p w14:paraId="79020781" w14:textId="77777777" w:rsidR="00F8614F" w:rsidRPr="00ED7BD1" w:rsidRDefault="00F8614F" w:rsidP="00D509B5">
            <w:pPr>
              <w:shd w:val="clear" w:color="auto" w:fill="FFFFFF"/>
              <w:spacing w:after="0" w:line="240" w:lineRule="auto"/>
              <w:rPr>
                <w:rFonts w:ascii="Times New Roman" w:hAnsi="Times New Roman"/>
                <w:sz w:val="24"/>
                <w:szCs w:val="24"/>
              </w:rPr>
            </w:pPr>
          </w:p>
          <w:p w14:paraId="6BCE6E4E" w14:textId="77777777" w:rsidR="00F8614F" w:rsidRPr="00ED7BD1" w:rsidRDefault="00F8614F"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&gt; 4 (2023)</w:t>
            </w:r>
          </w:p>
          <w:p w14:paraId="3A085EF4" w14:textId="77777777" w:rsidR="00E42FE8" w:rsidRPr="00ED7BD1" w:rsidRDefault="00E42FE8" w:rsidP="00D509B5">
            <w:pPr>
              <w:shd w:val="clear" w:color="auto" w:fill="FFFFFF"/>
              <w:spacing w:after="0" w:line="240" w:lineRule="auto"/>
              <w:rPr>
                <w:rFonts w:ascii="Times New Roman" w:hAnsi="Times New Roman"/>
                <w:sz w:val="24"/>
                <w:szCs w:val="24"/>
              </w:rPr>
            </w:pPr>
          </w:p>
          <w:p w14:paraId="2E095B6C" w14:textId="6B9D01AD" w:rsidR="00E42FE8" w:rsidRDefault="00E42FE8" w:rsidP="00D509B5">
            <w:pPr>
              <w:shd w:val="clear" w:color="auto" w:fill="FFFFFF"/>
              <w:spacing w:after="0" w:line="240" w:lineRule="auto"/>
              <w:rPr>
                <w:rFonts w:ascii="Times New Roman" w:hAnsi="Times New Roman"/>
                <w:sz w:val="24"/>
                <w:szCs w:val="24"/>
              </w:rPr>
            </w:pPr>
          </w:p>
          <w:p w14:paraId="015627A9" w14:textId="613C41C1" w:rsidR="00EF3C4B" w:rsidRDefault="00EF3C4B" w:rsidP="00D509B5">
            <w:pPr>
              <w:shd w:val="clear" w:color="auto" w:fill="FFFFFF"/>
              <w:spacing w:after="0" w:line="240" w:lineRule="auto"/>
              <w:rPr>
                <w:rFonts w:ascii="Times New Roman" w:hAnsi="Times New Roman"/>
                <w:sz w:val="24"/>
                <w:szCs w:val="24"/>
              </w:rPr>
            </w:pPr>
          </w:p>
          <w:p w14:paraId="5FB36E44" w14:textId="019A1441" w:rsidR="00EF3C4B" w:rsidRDefault="00EF3C4B" w:rsidP="00D509B5">
            <w:pPr>
              <w:shd w:val="clear" w:color="auto" w:fill="FFFFFF"/>
              <w:spacing w:after="0" w:line="240" w:lineRule="auto"/>
              <w:rPr>
                <w:rFonts w:ascii="Times New Roman" w:hAnsi="Times New Roman"/>
                <w:sz w:val="24"/>
                <w:szCs w:val="24"/>
              </w:rPr>
            </w:pPr>
          </w:p>
          <w:p w14:paraId="0F07A429" w14:textId="33316242" w:rsidR="00EF3C4B" w:rsidRDefault="00EF3C4B" w:rsidP="00D509B5">
            <w:pPr>
              <w:shd w:val="clear" w:color="auto" w:fill="FFFFFF"/>
              <w:spacing w:after="0" w:line="240" w:lineRule="auto"/>
              <w:rPr>
                <w:rFonts w:ascii="Times New Roman" w:hAnsi="Times New Roman"/>
                <w:sz w:val="24"/>
                <w:szCs w:val="24"/>
              </w:rPr>
            </w:pPr>
          </w:p>
          <w:p w14:paraId="08934726" w14:textId="77777777" w:rsidR="00EF3C4B" w:rsidRPr="00ED7BD1" w:rsidRDefault="00EF3C4B" w:rsidP="00D509B5">
            <w:pPr>
              <w:shd w:val="clear" w:color="auto" w:fill="FFFFFF"/>
              <w:spacing w:after="0" w:line="240" w:lineRule="auto"/>
              <w:rPr>
                <w:rFonts w:ascii="Times New Roman" w:hAnsi="Times New Roman"/>
                <w:sz w:val="24"/>
                <w:szCs w:val="24"/>
              </w:rPr>
            </w:pPr>
          </w:p>
          <w:p w14:paraId="435CC2F2" w14:textId="4A9C138A" w:rsidR="00E42FE8" w:rsidRPr="00ED7BD1" w:rsidRDefault="00E42FE8" w:rsidP="00D509B5">
            <w:pPr>
              <w:shd w:val="clear" w:color="auto" w:fill="FFFFFF"/>
              <w:spacing w:after="0" w:line="240" w:lineRule="auto"/>
              <w:rPr>
                <w:rFonts w:ascii="Times New Roman" w:hAnsi="Times New Roman"/>
                <w:sz w:val="24"/>
                <w:szCs w:val="24"/>
              </w:rPr>
            </w:pPr>
            <w:r w:rsidRPr="00ED7BD1">
              <w:rPr>
                <w:rFonts w:ascii="Times New Roman" w:hAnsi="Times New Roman"/>
                <w:sz w:val="24"/>
                <w:szCs w:val="24"/>
              </w:rPr>
              <w:t xml:space="preserve">Around 10,000 migrants x days/year if the migration flows is </w:t>
            </w:r>
            <w:r w:rsidR="00A40243" w:rsidRPr="00ED7BD1">
              <w:rPr>
                <w:rFonts w:ascii="Times New Roman" w:hAnsi="Times New Roman"/>
                <w:sz w:val="24"/>
                <w:szCs w:val="24"/>
              </w:rPr>
              <w:t>like</w:t>
            </w:r>
            <w:r w:rsidRPr="00ED7BD1">
              <w:rPr>
                <w:rFonts w:ascii="Times New Roman" w:hAnsi="Times New Roman"/>
                <w:sz w:val="24"/>
                <w:szCs w:val="24"/>
              </w:rPr>
              <w:t xml:space="preserve"> the present one.</w:t>
            </w:r>
          </w:p>
        </w:tc>
        <w:tc>
          <w:tcPr>
            <w:tcW w:w="1620" w:type="dxa"/>
            <w:shd w:val="clear" w:color="auto" w:fill="FFFFFF"/>
          </w:tcPr>
          <w:p w14:paraId="4C8F7F01" w14:textId="0EF7F6D6" w:rsidR="00161A67" w:rsidRPr="00ED7BD1" w:rsidRDefault="00161A67" w:rsidP="00D509B5">
            <w:pPr>
              <w:numPr>
                <w:ilvl w:val="12"/>
                <w:numId w:val="0"/>
              </w:numPr>
              <w:shd w:val="clear" w:color="auto" w:fill="FFFFFF"/>
              <w:spacing w:after="0" w:line="240" w:lineRule="auto"/>
              <w:rPr>
                <w:rFonts w:ascii="Times New Roman" w:hAnsi="Times New Roman"/>
                <w:sz w:val="24"/>
                <w:szCs w:val="24"/>
              </w:rPr>
            </w:pPr>
            <w:r w:rsidRPr="00ED7BD1">
              <w:rPr>
                <w:rFonts w:ascii="Times New Roman" w:hAnsi="Times New Roman"/>
                <w:sz w:val="24"/>
                <w:szCs w:val="24"/>
              </w:rPr>
              <w:lastRenderedPageBreak/>
              <w:t>Progress report of the IIOO implementing the project</w:t>
            </w:r>
          </w:p>
          <w:p w14:paraId="38082A2C" w14:textId="77777777" w:rsidR="00161A67" w:rsidRPr="00ED7BD1" w:rsidRDefault="00161A67" w:rsidP="00D509B5">
            <w:pPr>
              <w:numPr>
                <w:ilvl w:val="12"/>
                <w:numId w:val="0"/>
              </w:numPr>
              <w:shd w:val="clear" w:color="auto" w:fill="FFFFFF"/>
              <w:spacing w:after="0" w:line="240" w:lineRule="auto"/>
              <w:rPr>
                <w:rFonts w:ascii="Times New Roman" w:hAnsi="Times New Roman"/>
                <w:sz w:val="24"/>
                <w:szCs w:val="24"/>
              </w:rPr>
            </w:pPr>
          </w:p>
          <w:p w14:paraId="4A8A10CB" w14:textId="77777777" w:rsidR="00161A67" w:rsidRPr="00ED7BD1" w:rsidRDefault="00161A67" w:rsidP="00D509B5">
            <w:pPr>
              <w:numPr>
                <w:ilvl w:val="12"/>
                <w:numId w:val="0"/>
              </w:numPr>
              <w:shd w:val="clear" w:color="auto" w:fill="FFFFFF"/>
              <w:spacing w:after="0" w:line="240" w:lineRule="auto"/>
              <w:rPr>
                <w:rFonts w:ascii="Times New Roman" w:hAnsi="Times New Roman"/>
                <w:sz w:val="24"/>
                <w:szCs w:val="24"/>
              </w:rPr>
            </w:pPr>
          </w:p>
          <w:p w14:paraId="49D73298" w14:textId="77777777" w:rsidR="00161A67" w:rsidRPr="00ED7BD1" w:rsidRDefault="00161A67" w:rsidP="00D509B5">
            <w:pPr>
              <w:numPr>
                <w:ilvl w:val="12"/>
                <w:numId w:val="0"/>
              </w:numPr>
              <w:shd w:val="clear" w:color="auto" w:fill="FFFFFF"/>
              <w:spacing w:after="0" w:line="240" w:lineRule="auto"/>
              <w:rPr>
                <w:rFonts w:ascii="Times New Roman" w:hAnsi="Times New Roman"/>
                <w:sz w:val="24"/>
                <w:szCs w:val="24"/>
              </w:rPr>
            </w:pPr>
          </w:p>
          <w:p w14:paraId="6BA6AF03" w14:textId="42091745" w:rsidR="00161A67" w:rsidRPr="00ED7BD1" w:rsidRDefault="00161A67" w:rsidP="00D509B5">
            <w:pPr>
              <w:numPr>
                <w:ilvl w:val="12"/>
                <w:numId w:val="0"/>
              </w:numPr>
              <w:shd w:val="clear" w:color="auto" w:fill="FFFFFF"/>
              <w:spacing w:after="0" w:line="240" w:lineRule="auto"/>
              <w:rPr>
                <w:rFonts w:ascii="Times New Roman" w:hAnsi="Times New Roman"/>
                <w:sz w:val="24"/>
                <w:szCs w:val="24"/>
              </w:rPr>
            </w:pPr>
          </w:p>
          <w:p w14:paraId="36A030C3" w14:textId="77777777" w:rsidR="00161A67" w:rsidRPr="00ED7BD1" w:rsidRDefault="00161A67" w:rsidP="00D509B5">
            <w:pPr>
              <w:numPr>
                <w:ilvl w:val="12"/>
                <w:numId w:val="0"/>
              </w:numPr>
              <w:shd w:val="clear" w:color="auto" w:fill="FFFFFF"/>
              <w:spacing w:after="0" w:line="240" w:lineRule="auto"/>
              <w:rPr>
                <w:rFonts w:ascii="Times New Roman" w:hAnsi="Times New Roman"/>
                <w:sz w:val="24"/>
                <w:szCs w:val="24"/>
              </w:rPr>
            </w:pPr>
          </w:p>
          <w:p w14:paraId="2E68495C"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4AF35893"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4D976C8A"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3BC1F0DA"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6671A470"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1099F88A"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296C52E9"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3F3EFBAF"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32A065A5"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108E050E" w14:textId="77777777" w:rsidR="00C55026" w:rsidRPr="00ED7BD1" w:rsidRDefault="00C55026" w:rsidP="00D509B5">
            <w:pPr>
              <w:numPr>
                <w:ilvl w:val="12"/>
                <w:numId w:val="0"/>
              </w:numPr>
              <w:shd w:val="clear" w:color="auto" w:fill="FFFFFF"/>
              <w:spacing w:after="0" w:line="240" w:lineRule="auto"/>
              <w:rPr>
                <w:rFonts w:ascii="Times New Roman" w:hAnsi="Times New Roman"/>
                <w:sz w:val="24"/>
                <w:szCs w:val="24"/>
              </w:rPr>
            </w:pPr>
          </w:p>
          <w:p w14:paraId="6D921D5B" w14:textId="7C7C07FE" w:rsidR="00C55026" w:rsidRPr="00ED7BD1" w:rsidRDefault="00EF3C4B" w:rsidP="00D509B5">
            <w:pPr>
              <w:numPr>
                <w:ilvl w:val="12"/>
                <w:numId w:val="0"/>
              </w:numPr>
              <w:shd w:val="clear" w:color="auto" w:fill="FFFFFF"/>
              <w:spacing w:after="0" w:line="240" w:lineRule="auto"/>
              <w:rPr>
                <w:rFonts w:ascii="Times New Roman" w:hAnsi="Times New Roman"/>
                <w:sz w:val="24"/>
                <w:szCs w:val="24"/>
              </w:rPr>
            </w:pPr>
            <w:r>
              <w:rPr>
                <w:rFonts w:ascii="Times New Roman" w:hAnsi="Times New Roman"/>
                <w:sz w:val="24"/>
                <w:szCs w:val="24"/>
              </w:rPr>
              <w:t>Project</w:t>
            </w:r>
            <w:r w:rsidR="00C55026" w:rsidRPr="00ED7BD1">
              <w:rPr>
                <w:rFonts w:ascii="Times New Roman" w:hAnsi="Times New Roman"/>
                <w:sz w:val="24"/>
                <w:szCs w:val="24"/>
              </w:rPr>
              <w:t xml:space="preserve"> report</w:t>
            </w:r>
          </w:p>
        </w:tc>
        <w:tc>
          <w:tcPr>
            <w:tcW w:w="2583" w:type="dxa"/>
            <w:vMerge/>
            <w:shd w:val="clear" w:color="auto" w:fill="FFFFFF"/>
          </w:tcPr>
          <w:p w14:paraId="197D2260" w14:textId="77777777" w:rsidR="00161A67" w:rsidRPr="00ED7BD1" w:rsidRDefault="00161A67" w:rsidP="00003244">
            <w:pPr>
              <w:numPr>
                <w:ilvl w:val="12"/>
                <w:numId w:val="0"/>
              </w:numPr>
              <w:shd w:val="clear" w:color="auto" w:fill="FFFFFF"/>
              <w:spacing w:before="60" w:after="0"/>
              <w:rPr>
                <w:rFonts w:ascii="Times New Roman" w:hAnsi="Times New Roman"/>
                <w:sz w:val="24"/>
                <w:szCs w:val="24"/>
              </w:rPr>
            </w:pPr>
          </w:p>
        </w:tc>
      </w:tr>
      <w:tr w:rsidR="00ED7BD1" w:rsidRPr="00ED7BD1" w14:paraId="128E725D" w14:textId="77777777" w:rsidTr="008902A8">
        <w:trPr>
          <w:trHeight w:val="332"/>
        </w:trPr>
        <w:tc>
          <w:tcPr>
            <w:tcW w:w="3401" w:type="dxa"/>
            <w:shd w:val="clear" w:color="auto" w:fill="FFFFFF"/>
          </w:tcPr>
          <w:p w14:paraId="414A6083" w14:textId="77777777" w:rsidR="00DE25EA" w:rsidRPr="00ED7BD1" w:rsidRDefault="00DE25EA" w:rsidP="00003244">
            <w:pPr>
              <w:shd w:val="clear" w:color="auto" w:fill="FFFFFF"/>
              <w:autoSpaceDE w:val="0"/>
              <w:autoSpaceDN w:val="0"/>
              <w:adjustRightInd w:val="0"/>
              <w:jc w:val="center"/>
              <w:rPr>
                <w:rFonts w:ascii="Times New Roman" w:hAnsi="Times New Roman"/>
                <w:sz w:val="24"/>
                <w:szCs w:val="24"/>
              </w:rPr>
            </w:pPr>
            <w:r w:rsidRPr="00ED7BD1">
              <w:rPr>
                <w:rFonts w:ascii="Times New Roman" w:hAnsi="Times New Roman"/>
                <w:b/>
                <w:sz w:val="24"/>
                <w:szCs w:val="24"/>
              </w:rPr>
              <w:t>BROAD ARRANGEMENTS FOR IMPLEMENTATION (IF AVAILABLE)</w:t>
            </w:r>
          </w:p>
        </w:tc>
        <w:tc>
          <w:tcPr>
            <w:tcW w:w="12401" w:type="dxa"/>
            <w:gridSpan w:val="6"/>
            <w:shd w:val="clear" w:color="auto" w:fill="FFFFFF"/>
          </w:tcPr>
          <w:p w14:paraId="3923D56F" w14:textId="77777777" w:rsidR="0089691B" w:rsidRPr="0089691B" w:rsidRDefault="0089691B" w:rsidP="004C024B">
            <w:pPr>
              <w:shd w:val="clear" w:color="auto" w:fill="FFFFFF"/>
              <w:spacing w:before="60" w:after="0"/>
              <w:rPr>
                <w:rFonts w:ascii="Times New Roman" w:hAnsi="Times New Roman"/>
                <w:iCs/>
                <w:sz w:val="24"/>
                <w:szCs w:val="24"/>
              </w:rPr>
            </w:pPr>
            <w:r w:rsidRPr="0089691B">
              <w:rPr>
                <w:rFonts w:ascii="Times New Roman" w:hAnsi="Times New Roman"/>
                <w:iCs/>
                <w:sz w:val="24"/>
                <w:szCs w:val="24"/>
              </w:rPr>
              <w:t>The Action is implemented under:</w:t>
            </w:r>
          </w:p>
          <w:p w14:paraId="418E082B" w14:textId="77777777" w:rsidR="00DE25EA" w:rsidRPr="0089691B" w:rsidRDefault="00DE25EA" w:rsidP="0089691B">
            <w:pPr>
              <w:pStyle w:val="ListParagraph"/>
              <w:numPr>
                <w:ilvl w:val="0"/>
                <w:numId w:val="22"/>
              </w:numPr>
              <w:shd w:val="clear" w:color="auto" w:fill="FFFFFF"/>
              <w:spacing w:before="60" w:after="0"/>
              <w:rPr>
                <w:rFonts w:ascii="Times New Roman" w:hAnsi="Times New Roman"/>
                <w:sz w:val="24"/>
                <w:szCs w:val="24"/>
              </w:rPr>
            </w:pPr>
            <w:r w:rsidRPr="0089691B">
              <w:rPr>
                <w:rFonts w:ascii="Times New Roman" w:hAnsi="Times New Roman"/>
                <w:bCs/>
                <w:iCs/>
                <w:sz w:val="24"/>
                <w:szCs w:val="24"/>
              </w:rPr>
              <w:t>Direct Management</w:t>
            </w:r>
            <w:r w:rsidRPr="0089691B">
              <w:rPr>
                <w:rFonts w:ascii="Times New Roman" w:hAnsi="Times New Roman"/>
                <w:iCs/>
                <w:sz w:val="24"/>
                <w:szCs w:val="24"/>
              </w:rPr>
              <w:t>, this entails procurement (service, supply and works contracts) and grant.</w:t>
            </w:r>
          </w:p>
          <w:p w14:paraId="5D654ED7" w14:textId="19007218" w:rsidR="0089691B" w:rsidRPr="0089691B" w:rsidRDefault="0089691B" w:rsidP="0089691B">
            <w:pPr>
              <w:pStyle w:val="ListParagraph"/>
              <w:numPr>
                <w:ilvl w:val="0"/>
                <w:numId w:val="22"/>
              </w:numPr>
              <w:shd w:val="clear" w:color="auto" w:fill="FFFFFF"/>
              <w:spacing w:before="60" w:after="0"/>
              <w:rPr>
                <w:rFonts w:ascii="Times New Roman" w:hAnsi="Times New Roman"/>
                <w:sz w:val="24"/>
                <w:szCs w:val="24"/>
              </w:rPr>
            </w:pPr>
            <w:r w:rsidRPr="0089691B">
              <w:rPr>
                <w:rFonts w:ascii="Times New Roman" w:hAnsi="Times New Roman"/>
                <w:bCs/>
                <w:iCs/>
                <w:sz w:val="24"/>
                <w:szCs w:val="24"/>
              </w:rPr>
              <w:t>Indirect management with international organisation</w:t>
            </w:r>
          </w:p>
        </w:tc>
      </w:tr>
    </w:tbl>
    <w:p w14:paraId="35EAED1A" w14:textId="77777777" w:rsidR="00E42FE8" w:rsidRPr="00ED7BD1" w:rsidRDefault="00E42FE8" w:rsidP="00154228">
      <w:pPr>
        <w:rPr>
          <w:rFonts w:ascii="Times New Roman" w:hAnsi="Times New Roman"/>
          <w:sz w:val="24"/>
          <w:szCs w:val="24"/>
        </w:rPr>
      </w:pPr>
    </w:p>
    <w:sectPr w:rsidR="00E42FE8" w:rsidRPr="00ED7BD1" w:rsidSect="00275CA9">
      <w:pgSz w:w="16838" w:h="11906" w:orient="landscape"/>
      <w:pgMar w:top="567" w:right="1440" w:bottom="426" w:left="1440" w:header="708" w:footer="20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FE798F" w16cid:durableId="229A1723"/>
  <w16cid:commentId w16cid:paraId="078A3C0B" w16cid:durableId="229A17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FBAF8" w14:textId="77777777" w:rsidR="001C3827" w:rsidRDefault="001C3827" w:rsidP="00D92F6C">
      <w:pPr>
        <w:spacing w:after="0" w:line="240" w:lineRule="auto"/>
      </w:pPr>
      <w:r>
        <w:separator/>
      </w:r>
    </w:p>
  </w:endnote>
  <w:endnote w:type="continuationSeparator" w:id="0">
    <w:p w14:paraId="3D9EA9A8" w14:textId="77777777" w:rsidR="001C3827" w:rsidRDefault="001C3827" w:rsidP="00D9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unga">
    <w:altName w:val="Courier New"/>
    <w:panose1 w:val="00000400000000000000"/>
    <w:charset w:val="01"/>
    <w:family w:val="roman"/>
    <w:notTrueType/>
    <w:pitch w:val="variable"/>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3050B" w14:textId="77777777" w:rsidR="001C3827" w:rsidRDefault="001C3827" w:rsidP="00D92F6C">
      <w:pPr>
        <w:spacing w:after="0" w:line="240" w:lineRule="auto"/>
      </w:pPr>
      <w:r>
        <w:separator/>
      </w:r>
    </w:p>
  </w:footnote>
  <w:footnote w:type="continuationSeparator" w:id="0">
    <w:p w14:paraId="2DCF37DE" w14:textId="77777777" w:rsidR="001C3827" w:rsidRDefault="001C3827" w:rsidP="00D92F6C">
      <w:pPr>
        <w:spacing w:after="0" w:line="240" w:lineRule="auto"/>
      </w:pPr>
      <w:r>
        <w:continuationSeparator/>
      </w:r>
    </w:p>
  </w:footnote>
  <w:footnote w:id="1">
    <w:p w14:paraId="508D55E8" w14:textId="77777777" w:rsidR="00AE604F" w:rsidRPr="00FB2F1C" w:rsidRDefault="00AE604F" w:rsidP="00FB2F1C">
      <w:pPr>
        <w:pStyle w:val="FootnoteText"/>
        <w:ind w:left="90" w:hanging="90"/>
        <w:rPr>
          <w:lang w:val="en-US"/>
        </w:rPr>
      </w:pPr>
      <w:r>
        <w:rPr>
          <w:rStyle w:val="FootnoteReference"/>
        </w:rPr>
        <w:footnoteRef/>
      </w:r>
      <w:r w:rsidRPr="00FB2F1C">
        <w:rPr>
          <w:rFonts w:ascii="Times New Roman" w:hAnsi="Times New Roman"/>
          <w:sz w:val="16"/>
          <w:szCs w:val="16"/>
        </w:rPr>
        <w:t>New Integrated border Management stra</w:t>
      </w:r>
      <w:r>
        <w:rPr>
          <w:rFonts w:ascii="Times New Roman" w:hAnsi="Times New Roman"/>
          <w:sz w:val="16"/>
          <w:szCs w:val="16"/>
        </w:rPr>
        <w:t>te</w:t>
      </w:r>
      <w:r w:rsidRPr="00FB2F1C">
        <w:rPr>
          <w:rFonts w:ascii="Times New Roman" w:hAnsi="Times New Roman"/>
          <w:sz w:val="16"/>
          <w:szCs w:val="16"/>
        </w:rPr>
        <w:t>gy is under preparation by twinning project</w:t>
      </w:r>
      <w:r w:rsidRPr="00FB2F1C">
        <w:rPr>
          <w:rFonts w:ascii="Times New Roman" w:eastAsiaTheme="minorHAnsi" w:hAnsi="Times New Roman"/>
          <w:b/>
          <w:sz w:val="16"/>
          <w:szCs w:val="16"/>
          <w:lang w:val="sk-SK" w:eastAsia="en-US"/>
        </w:rPr>
        <w:t>‘‘</w:t>
      </w:r>
      <w:r w:rsidRPr="00FB2F1C">
        <w:rPr>
          <w:rFonts w:ascii="Times New Roman" w:hAnsi="Times New Roman"/>
          <w:b/>
          <w:sz w:val="16"/>
          <w:szCs w:val="16"/>
          <w:lang w:val="sk-SK"/>
        </w:rPr>
        <w:t>Aligning the national systems with the EU and the Schengen requirements for border management“, ref. Nr. MK 16 IPA JH 01 18</w:t>
      </w:r>
      <w:r w:rsidRPr="00FB2F1C">
        <w:rPr>
          <w:rFonts w:ascii="Times New Roman" w:hAnsi="Times New Roman"/>
          <w:sz w:val="16"/>
          <w:szCs w:val="16"/>
        </w:rPr>
        <w:t>, this strategy should be ready in 2021.</w:t>
      </w:r>
    </w:p>
  </w:footnote>
  <w:footnote w:id="2">
    <w:p w14:paraId="592575E7" w14:textId="77777777" w:rsidR="00AE604F" w:rsidRPr="00B60F50" w:rsidRDefault="00AE604F" w:rsidP="006239D4">
      <w:pPr>
        <w:spacing w:after="0" w:line="240" w:lineRule="auto"/>
        <w:rPr>
          <w:rFonts w:ascii="Times New Roman" w:hAnsi="Times New Roman"/>
          <w:sz w:val="16"/>
          <w:szCs w:val="16"/>
        </w:rPr>
      </w:pPr>
      <w:r w:rsidRPr="00B60F50">
        <w:rPr>
          <w:rStyle w:val="FootnoteReference"/>
          <w:rFonts w:ascii="Times New Roman" w:hAnsi="Times New Roman"/>
          <w:sz w:val="16"/>
          <w:szCs w:val="16"/>
        </w:rPr>
        <w:footnoteRef/>
      </w:r>
      <w:hyperlink r:id="rId1" w:history="1">
        <w:r w:rsidRPr="00B60F50">
          <w:rPr>
            <w:rStyle w:val="Hyperlink"/>
            <w:rFonts w:ascii="Times New Roman" w:hAnsi="Times New Roman"/>
            <w:sz w:val="16"/>
            <w:szCs w:val="16"/>
          </w:rPr>
          <w:t>http://nacionalnakomisija.gov.mk/wp-content/uploads/2016/12/Nacionalna-strategija.pdf</w:t>
        </w:r>
      </w:hyperlink>
    </w:p>
    <w:p w14:paraId="0D2909D8" w14:textId="77777777" w:rsidR="00AE604F" w:rsidRPr="005A523A" w:rsidRDefault="00AE604F" w:rsidP="006239D4">
      <w:pPr>
        <w:pStyle w:val="FootnoteText"/>
        <w:spacing w:line="240" w:lineRule="auto"/>
        <w:ind w:left="0" w:firstLine="0"/>
        <w:rPr>
          <w:rFonts w:ascii="Times New Roman" w:hAnsi="Times New Roman"/>
          <w:sz w:val="16"/>
          <w:szCs w:val="16"/>
        </w:rPr>
      </w:pPr>
    </w:p>
  </w:footnote>
  <w:footnote w:id="3">
    <w:p w14:paraId="7A6B5EA9" w14:textId="77777777" w:rsidR="00AE604F" w:rsidRPr="00042F9A" w:rsidRDefault="00AE604F" w:rsidP="00315D84">
      <w:pPr>
        <w:pStyle w:val="FootnoteText"/>
        <w:spacing w:line="240" w:lineRule="auto"/>
        <w:ind w:left="0" w:firstLine="0"/>
      </w:pPr>
      <w:r>
        <w:rPr>
          <w:rStyle w:val="FootnoteReference"/>
        </w:rPr>
        <w:footnoteRef/>
      </w:r>
      <w:r w:rsidRPr="003D09A5">
        <w:rPr>
          <w:sz w:val="16"/>
          <w:szCs w:val="16"/>
        </w:rPr>
        <w:t>The baseline value may be "0" (i.e. no reference values are available as the Action represents a novelty for the beneficiary) but cannot be left empty or include references such as "N/A" or "will be determined later".</w:t>
      </w:r>
    </w:p>
  </w:footnote>
  <w:footnote w:id="4">
    <w:p w14:paraId="041B6645" w14:textId="77777777" w:rsidR="00315D84" w:rsidRPr="00315D84" w:rsidRDefault="00315D84">
      <w:pPr>
        <w:pStyle w:val="FootnoteText"/>
        <w:rPr>
          <w:lang w:val="en-US"/>
        </w:rPr>
      </w:pPr>
      <w:r>
        <w:rPr>
          <w:rStyle w:val="FootnoteReference"/>
        </w:rPr>
        <w:footnoteRef/>
      </w:r>
      <w:r w:rsidRPr="00315D84">
        <w:rPr>
          <w:sz w:val="16"/>
          <w:szCs w:val="16"/>
        </w:rPr>
        <w:t>The judgement expressed by the EU Commission in its annual report on chapter 24 is used as a proxy for this indicator.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34251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B55688"/>
    <w:multiLevelType w:val="hybridMultilevel"/>
    <w:tmpl w:val="DF1009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5B025E"/>
    <w:multiLevelType w:val="hybridMultilevel"/>
    <w:tmpl w:val="0F36C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870BD6"/>
    <w:multiLevelType w:val="hybridMultilevel"/>
    <w:tmpl w:val="88547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D200D"/>
    <w:multiLevelType w:val="hybridMultilevel"/>
    <w:tmpl w:val="60AABB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5A325F7"/>
    <w:multiLevelType w:val="hybridMultilevel"/>
    <w:tmpl w:val="7916D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BC445F"/>
    <w:multiLevelType w:val="hybridMultilevel"/>
    <w:tmpl w:val="4690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27389"/>
    <w:multiLevelType w:val="hybridMultilevel"/>
    <w:tmpl w:val="06CC1844"/>
    <w:lvl w:ilvl="0" w:tplc="0809000B">
      <w:start w:val="2020"/>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4425DA"/>
    <w:multiLevelType w:val="hybridMultilevel"/>
    <w:tmpl w:val="C85A98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CF4437A"/>
    <w:multiLevelType w:val="hybridMultilevel"/>
    <w:tmpl w:val="9FA60B32"/>
    <w:lvl w:ilvl="0" w:tplc="C096DD8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BF0F41"/>
    <w:multiLevelType w:val="hybridMultilevel"/>
    <w:tmpl w:val="B44C7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8C015E"/>
    <w:multiLevelType w:val="multilevel"/>
    <w:tmpl w:val="027A66BA"/>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2F85E0A"/>
    <w:multiLevelType w:val="hybridMultilevel"/>
    <w:tmpl w:val="DC38E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CA4607"/>
    <w:multiLevelType w:val="multilevel"/>
    <w:tmpl w:val="8AEE64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5C1143"/>
    <w:multiLevelType w:val="hybridMultilevel"/>
    <w:tmpl w:val="A50E8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C11613"/>
    <w:multiLevelType w:val="hybridMultilevel"/>
    <w:tmpl w:val="36D620E0"/>
    <w:lvl w:ilvl="0" w:tplc="F440F7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AF70B6"/>
    <w:multiLevelType w:val="hybridMultilevel"/>
    <w:tmpl w:val="445C08D0"/>
    <w:lvl w:ilvl="0" w:tplc="0809000B">
      <w:start w:val="2020"/>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6A6919"/>
    <w:multiLevelType w:val="hybridMultilevel"/>
    <w:tmpl w:val="AE5A41BE"/>
    <w:lvl w:ilvl="0" w:tplc="F49210D8">
      <w:numFmt w:val="bullet"/>
      <w:pStyle w:val="ListBullet2"/>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7004F0"/>
    <w:multiLevelType w:val="hybridMultilevel"/>
    <w:tmpl w:val="57C210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EA8479F"/>
    <w:multiLevelType w:val="hybridMultilevel"/>
    <w:tmpl w:val="AB186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6"/>
  </w:num>
  <w:num w:numId="4">
    <w:abstractNumId w:val="14"/>
  </w:num>
  <w:num w:numId="5">
    <w:abstractNumId w:val="20"/>
  </w:num>
  <w:num w:numId="6">
    <w:abstractNumId w:val="18"/>
  </w:num>
  <w:num w:numId="7">
    <w:abstractNumId w:val="19"/>
  </w:num>
  <w:num w:numId="8">
    <w:abstractNumId w:val="1"/>
  </w:num>
  <w:num w:numId="9">
    <w:abstractNumId w:val="3"/>
  </w:num>
  <w:num w:numId="10">
    <w:abstractNumId w:val="10"/>
  </w:num>
  <w:num w:numId="11">
    <w:abstractNumId w:val="2"/>
  </w:num>
  <w:num w:numId="12">
    <w:abstractNumId w:val="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2"/>
  </w:num>
  <w:num w:numId="16">
    <w:abstractNumId w:val="16"/>
  </w:num>
  <w:num w:numId="17">
    <w:abstractNumId w:val="15"/>
  </w:num>
  <w:num w:numId="18">
    <w:abstractNumId w:val="4"/>
  </w:num>
  <w:num w:numId="19">
    <w:abstractNumId w:val="17"/>
  </w:num>
  <w:num w:numId="20">
    <w:abstractNumId w:val="8"/>
  </w:num>
  <w:num w:numId="21">
    <w:abstractNumId w:val="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92F6C"/>
    <w:rsid w:val="00003244"/>
    <w:rsid w:val="0000470F"/>
    <w:rsid w:val="0001748F"/>
    <w:rsid w:val="00021C39"/>
    <w:rsid w:val="000236AE"/>
    <w:rsid w:val="000356D9"/>
    <w:rsid w:val="000464FC"/>
    <w:rsid w:val="00071451"/>
    <w:rsid w:val="00072E2C"/>
    <w:rsid w:val="000B0BB2"/>
    <w:rsid w:val="000B10FE"/>
    <w:rsid w:val="00113BDB"/>
    <w:rsid w:val="00126C16"/>
    <w:rsid w:val="00134C4F"/>
    <w:rsid w:val="001379EE"/>
    <w:rsid w:val="001401C2"/>
    <w:rsid w:val="001460E8"/>
    <w:rsid w:val="00147D8F"/>
    <w:rsid w:val="00154228"/>
    <w:rsid w:val="001556BC"/>
    <w:rsid w:val="0016075A"/>
    <w:rsid w:val="00161A67"/>
    <w:rsid w:val="001675C1"/>
    <w:rsid w:val="001675FE"/>
    <w:rsid w:val="0018223D"/>
    <w:rsid w:val="001A3CCA"/>
    <w:rsid w:val="001B448C"/>
    <w:rsid w:val="001B6218"/>
    <w:rsid w:val="001C3827"/>
    <w:rsid w:val="001D6A43"/>
    <w:rsid w:val="001F16DA"/>
    <w:rsid w:val="001F59AF"/>
    <w:rsid w:val="0020139E"/>
    <w:rsid w:val="00210FB8"/>
    <w:rsid w:val="0021430E"/>
    <w:rsid w:val="00231151"/>
    <w:rsid w:val="002323AC"/>
    <w:rsid w:val="00247100"/>
    <w:rsid w:val="00270AAE"/>
    <w:rsid w:val="00271E55"/>
    <w:rsid w:val="00275CA9"/>
    <w:rsid w:val="0029117F"/>
    <w:rsid w:val="002932DC"/>
    <w:rsid w:val="00297116"/>
    <w:rsid w:val="002A3DF8"/>
    <w:rsid w:val="002A7D8C"/>
    <w:rsid w:val="002B3AE7"/>
    <w:rsid w:val="002D7695"/>
    <w:rsid w:val="002E50FB"/>
    <w:rsid w:val="002E646D"/>
    <w:rsid w:val="002F2521"/>
    <w:rsid w:val="00315D84"/>
    <w:rsid w:val="00327E34"/>
    <w:rsid w:val="00360DBB"/>
    <w:rsid w:val="00367C68"/>
    <w:rsid w:val="0037014C"/>
    <w:rsid w:val="00372763"/>
    <w:rsid w:val="003800F6"/>
    <w:rsid w:val="003826D0"/>
    <w:rsid w:val="003827A6"/>
    <w:rsid w:val="003848DC"/>
    <w:rsid w:val="003852B5"/>
    <w:rsid w:val="00391640"/>
    <w:rsid w:val="003B631F"/>
    <w:rsid w:val="003C6522"/>
    <w:rsid w:val="003C65DD"/>
    <w:rsid w:val="003D26F7"/>
    <w:rsid w:val="003D4BCA"/>
    <w:rsid w:val="003E1080"/>
    <w:rsid w:val="003F0C77"/>
    <w:rsid w:val="003F28E2"/>
    <w:rsid w:val="003F4785"/>
    <w:rsid w:val="00407A9C"/>
    <w:rsid w:val="00415A0B"/>
    <w:rsid w:val="0042345F"/>
    <w:rsid w:val="004246EB"/>
    <w:rsid w:val="00485117"/>
    <w:rsid w:val="00490AFD"/>
    <w:rsid w:val="0049439A"/>
    <w:rsid w:val="004B564E"/>
    <w:rsid w:val="004C024B"/>
    <w:rsid w:val="004C33AD"/>
    <w:rsid w:val="005354CE"/>
    <w:rsid w:val="00543627"/>
    <w:rsid w:val="0058479D"/>
    <w:rsid w:val="00587AF2"/>
    <w:rsid w:val="00590F57"/>
    <w:rsid w:val="005921A9"/>
    <w:rsid w:val="00597C36"/>
    <w:rsid w:val="005A444A"/>
    <w:rsid w:val="005C4738"/>
    <w:rsid w:val="005D6294"/>
    <w:rsid w:val="005F2B86"/>
    <w:rsid w:val="005F6D0F"/>
    <w:rsid w:val="006239D4"/>
    <w:rsid w:val="0063018D"/>
    <w:rsid w:val="0063140B"/>
    <w:rsid w:val="00635C68"/>
    <w:rsid w:val="00657B29"/>
    <w:rsid w:val="0066292D"/>
    <w:rsid w:val="006707FD"/>
    <w:rsid w:val="0069240E"/>
    <w:rsid w:val="006A07DB"/>
    <w:rsid w:val="006A2251"/>
    <w:rsid w:val="006A6E87"/>
    <w:rsid w:val="006B2A97"/>
    <w:rsid w:val="006B6D61"/>
    <w:rsid w:val="006D3709"/>
    <w:rsid w:val="006F2898"/>
    <w:rsid w:val="006F7A4B"/>
    <w:rsid w:val="007051B8"/>
    <w:rsid w:val="00711AB3"/>
    <w:rsid w:val="00713E18"/>
    <w:rsid w:val="00716F8E"/>
    <w:rsid w:val="00722882"/>
    <w:rsid w:val="00753D72"/>
    <w:rsid w:val="00777A67"/>
    <w:rsid w:val="0078142B"/>
    <w:rsid w:val="00782664"/>
    <w:rsid w:val="0078509A"/>
    <w:rsid w:val="007A19D4"/>
    <w:rsid w:val="007A30AD"/>
    <w:rsid w:val="007A43EC"/>
    <w:rsid w:val="007C032D"/>
    <w:rsid w:val="007C6A79"/>
    <w:rsid w:val="007D5306"/>
    <w:rsid w:val="007D7C99"/>
    <w:rsid w:val="007E1657"/>
    <w:rsid w:val="007F342B"/>
    <w:rsid w:val="0081090B"/>
    <w:rsid w:val="00836C05"/>
    <w:rsid w:val="00841F3C"/>
    <w:rsid w:val="00856683"/>
    <w:rsid w:val="00880A5C"/>
    <w:rsid w:val="00881990"/>
    <w:rsid w:val="00886465"/>
    <w:rsid w:val="008902A8"/>
    <w:rsid w:val="00894E57"/>
    <w:rsid w:val="0089691B"/>
    <w:rsid w:val="008A0699"/>
    <w:rsid w:val="008A0FAF"/>
    <w:rsid w:val="008B279A"/>
    <w:rsid w:val="008C6561"/>
    <w:rsid w:val="008D3DC2"/>
    <w:rsid w:val="008D7633"/>
    <w:rsid w:val="00912DFA"/>
    <w:rsid w:val="009139D8"/>
    <w:rsid w:val="009453CA"/>
    <w:rsid w:val="00970E98"/>
    <w:rsid w:val="00972C3D"/>
    <w:rsid w:val="009814F7"/>
    <w:rsid w:val="00981D6C"/>
    <w:rsid w:val="00987A8A"/>
    <w:rsid w:val="009979CD"/>
    <w:rsid w:val="009C3817"/>
    <w:rsid w:val="009C77ED"/>
    <w:rsid w:val="009D22DC"/>
    <w:rsid w:val="009D2AC9"/>
    <w:rsid w:val="009D4021"/>
    <w:rsid w:val="009E284D"/>
    <w:rsid w:val="009E39AE"/>
    <w:rsid w:val="009F1A66"/>
    <w:rsid w:val="00A01161"/>
    <w:rsid w:val="00A257D7"/>
    <w:rsid w:val="00A40243"/>
    <w:rsid w:val="00A4060F"/>
    <w:rsid w:val="00A5534D"/>
    <w:rsid w:val="00A660AF"/>
    <w:rsid w:val="00A667EC"/>
    <w:rsid w:val="00A71928"/>
    <w:rsid w:val="00A732F6"/>
    <w:rsid w:val="00A85508"/>
    <w:rsid w:val="00AB18AE"/>
    <w:rsid w:val="00AB1ED8"/>
    <w:rsid w:val="00AB37A9"/>
    <w:rsid w:val="00AE604F"/>
    <w:rsid w:val="00B104EE"/>
    <w:rsid w:val="00B10991"/>
    <w:rsid w:val="00B25C11"/>
    <w:rsid w:val="00B3193B"/>
    <w:rsid w:val="00B35C22"/>
    <w:rsid w:val="00B7498A"/>
    <w:rsid w:val="00B96F90"/>
    <w:rsid w:val="00BA7C0B"/>
    <w:rsid w:val="00BD6D83"/>
    <w:rsid w:val="00BE33F2"/>
    <w:rsid w:val="00C03AD8"/>
    <w:rsid w:val="00C07094"/>
    <w:rsid w:val="00C55026"/>
    <w:rsid w:val="00C717B6"/>
    <w:rsid w:val="00C86DCB"/>
    <w:rsid w:val="00CA36EB"/>
    <w:rsid w:val="00CB066E"/>
    <w:rsid w:val="00CE32F9"/>
    <w:rsid w:val="00CF4E59"/>
    <w:rsid w:val="00D016F9"/>
    <w:rsid w:val="00D01EF1"/>
    <w:rsid w:val="00D15806"/>
    <w:rsid w:val="00D36D78"/>
    <w:rsid w:val="00D417D6"/>
    <w:rsid w:val="00D41F6D"/>
    <w:rsid w:val="00D42895"/>
    <w:rsid w:val="00D4368B"/>
    <w:rsid w:val="00D466A3"/>
    <w:rsid w:val="00D509B5"/>
    <w:rsid w:val="00D51938"/>
    <w:rsid w:val="00D606DD"/>
    <w:rsid w:val="00D92F6C"/>
    <w:rsid w:val="00DA5A4C"/>
    <w:rsid w:val="00DD0C0F"/>
    <w:rsid w:val="00DD374B"/>
    <w:rsid w:val="00DE0491"/>
    <w:rsid w:val="00DE25EA"/>
    <w:rsid w:val="00E00116"/>
    <w:rsid w:val="00E1079A"/>
    <w:rsid w:val="00E22115"/>
    <w:rsid w:val="00E35D03"/>
    <w:rsid w:val="00E42FE8"/>
    <w:rsid w:val="00E45599"/>
    <w:rsid w:val="00E53810"/>
    <w:rsid w:val="00E548A3"/>
    <w:rsid w:val="00E558FF"/>
    <w:rsid w:val="00E607F2"/>
    <w:rsid w:val="00E73236"/>
    <w:rsid w:val="00EB2666"/>
    <w:rsid w:val="00EB410F"/>
    <w:rsid w:val="00EB7C94"/>
    <w:rsid w:val="00ED6F19"/>
    <w:rsid w:val="00ED7BD1"/>
    <w:rsid w:val="00EF3C4B"/>
    <w:rsid w:val="00EF4965"/>
    <w:rsid w:val="00EF77E3"/>
    <w:rsid w:val="00F0009F"/>
    <w:rsid w:val="00F0335B"/>
    <w:rsid w:val="00F10B6C"/>
    <w:rsid w:val="00F11FC7"/>
    <w:rsid w:val="00F12198"/>
    <w:rsid w:val="00F24DFA"/>
    <w:rsid w:val="00F315FF"/>
    <w:rsid w:val="00F371CD"/>
    <w:rsid w:val="00F816AF"/>
    <w:rsid w:val="00F8614F"/>
    <w:rsid w:val="00F934FD"/>
    <w:rsid w:val="00F96889"/>
    <w:rsid w:val="00FA4028"/>
    <w:rsid w:val="00FB2F1C"/>
    <w:rsid w:val="00FC5C78"/>
    <w:rsid w:val="00FD52C1"/>
    <w:rsid w:val="00FD53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22EB92A"/>
  <w15:docId w15:val="{8506C254-DF82-4709-9026-46470A6EA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C"/>
    <w:pPr>
      <w:spacing w:after="200" w:line="276" w:lineRule="auto"/>
    </w:pPr>
    <w:rPr>
      <w:rFonts w:ascii="Calibri" w:eastAsia="Times New Roman" w:hAnsi="Calibri" w:cs="Times New Roman"/>
      <w:lang w:val="en-GB" w:eastAsia="en-GB"/>
    </w:rPr>
  </w:style>
  <w:style w:type="paragraph" w:styleId="Heading2">
    <w:name w:val="heading 2"/>
    <w:basedOn w:val="Normal"/>
    <w:next w:val="Normal"/>
    <w:link w:val="Heading2Char"/>
    <w:uiPriority w:val="9"/>
    <w:unhideWhenUsed/>
    <w:qFormat/>
    <w:rsid w:val="00D92F6C"/>
    <w:pPr>
      <w:keepNext/>
      <w:keepLines/>
      <w:spacing w:before="200" w:after="0"/>
      <w:outlineLvl w:val="1"/>
    </w:pPr>
    <w:rPr>
      <w:rFonts w:ascii="Cambria" w:hAnsi="Cambria"/>
      <w:b/>
      <w:bCs/>
      <w:color w:val="2DA2BF"/>
      <w:sz w:val="26"/>
      <w:szCs w:val="26"/>
    </w:rPr>
  </w:style>
  <w:style w:type="paragraph" w:styleId="Heading3">
    <w:name w:val="heading 3"/>
    <w:basedOn w:val="Normal"/>
    <w:next w:val="Normal"/>
    <w:link w:val="Heading3Char"/>
    <w:uiPriority w:val="9"/>
    <w:unhideWhenUsed/>
    <w:qFormat/>
    <w:rsid w:val="00981D6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2F6C"/>
    <w:rPr>
      <w:rFonts w:ascii="Cambria" w:eastAsia="Times New Roman" w:hAnsi="Cambria" w:cs="Times New Roman"/>
      <w:b/>
      <w:bCs/>
      <w:color w:val="2DA2BF"/>
      <w:sz w:val="26"/>
      <w:szCs w:val="26"/>
    </w:rPr>
  </w:style>
  <w:style w:type="paragraph" w:styleId="Footer">
    <w:name w:val="footer"/>
    <w:basedOn w:val="Normal"/>
    <w:link w:val="FooterChar"/>
    <w:uiPriority w:val="99"/>
    <w:rsid w:val="00D92F6C"/>
    <w:pPr>
      <w:tabs>
        <w:tab w:val="center" w:pos="4535"/>
        <w:tab w:val="right" w:pos="9071"/>
        <w:tab w:val="right" w:pos="9921"/>
      </w:tabs>
      <w:spacing w:before="360" w:after="0"/>
      <w:ind w:left="-850" w:right="-850"/>
    </w:pPr>
    <w:rPr>
      <w:rFonts w:ascii="Tunga" w:eastAsia="Arial Unicode MS" w:hAnsi="Tunga"/>
      <w:lang w:eastAsia="de-DE"/>
    </w:rPr>
  </w:style>
  <w:style w:type="character" w:customStyle="1" w:styleId="FooterChar">
    <w:name w:val="Footer Char"/>
    <w:basedOn w:val="DefaultParagraphFont"/>
    <w:link w:val="Footer"/>
    <w:uiPriority w:val="99"/>
    <w:rsid w:val="00D92F6C"/>
    <w:rPr>
      <w:rFonts w:ascii="Tunga" w:eastAsia="Arial Unicode MS" w:hAnsi="Tunga" w:cs="Times New Roman"/>
      <w:lang w:eastAsia="de-DE"/>
    </w:rPr>
  </w:style>
  <w:style w:type="character" w:styleId="FootnoteReference">
    <w:name w:val="footnote reference"/>
    <w:aliases w:val="BVI fnr,ftref, BVI fnr,Error-Fußnotenzeichen5,Error-Fußnotenzeichen6,Error-Fußnotenzeichen3,Footnote Reference1,Error-Fu?notenzeichen5,Error-Fu?notenzeichen6,Error-Fu?notenzeichen3,referencia nota al pie,Ref,de nota al pie,16 Point,R"/>
    <w:link w:val="BVIfnrChar1CharCharChar"/>
    <w:uiPriority w:val="99"/>
    <w:qFormat/>
    <w:rsid w:val="00D92F6C"/>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 Char"/>
    <w:basedOn w:val="Normal"/>
    <w:link w:val="FootnoteTextChar1"/>
    <w:qFormat/>
    <w:rsid w:val="00D92F6C"/>
    <w:pPr>
      <w:spacing w:after="0"/>
      <w:ind w:left="720" w:hanging="720"/>
    </w:pPr>
    <w:rPr>
      <w:sz w:val="20"/>
      <w:szCs w:val="20"/>
    </w:rPr>
  </w:style>
  <w:style w:type="character" w:customStyle="1" w:styleId="FootnoteTextChar">
    <w:name w:val="Footnote Text Char"/>
    <w:basedOn w:val="DefaultParagraphFont"/>
    <w:uiPriority w:val="99"/>
    <w:semiHidden/>
    <w:rsid w:val="00D92F6C"/>
    <w:rPr>
      <w:rFonts w:ascii="Calibri" w:eastAsia="Times New Roman" w:hAnsi="Calibri" w:cs="Times New Roman"/>
      <w:sz w:val="20"/>
      <w:szCs w:val="20"/>
      <w:lang w:val="en-GB" w:eastAsia="en-GB"/>
    </w:rPr>
  </w:style>
  <w:style w:type="paragraph" w:styleId="Header">
    <w:name w:val="header"/>
    <w:basedOn w:val="Normal"/>
    <w:link w:val="HeaderChar"/>
    <w:uiPriority w:val="99"/>
    <w:rsid w:val="00D92F6C"/>
    <w:pPr>
      <w:tabs>
        <w:tab w:val="right" w:pos="9071"/>
      </w:tabs>
    </w:pPr>
  </w:style>
  <w:style w:type="character" w:customStyle="1" w:styleId="HeaderChar">
    <w:name w:val="Header Char"/>
    <w:basedOn w:val="DefaultParagraphFont"/>
    <w:link w:val="Header"/>
    <w:uiPriority w:val="99"/>
    <w:rsid w:val="00D92F6C"/>
    <w:rPr>
      <w:rFonts w:ascii="Calibri" w:eastAsia="Times New Roman" w:hAnsi="Calibri" w:cs="Times New Roman"/>
      <w:lang w:val="en-GB" w:eastAsia="en-GB"/>
    </w:rPr>
  </w:style>
  <w:style w:type="paragraph" w:styleId="ListParagraph">
    <w:name w:val="List Paragraph"/>
    <w:aliases w:val="Bullet point,Table of contents numbered,Colorful List - Accent 11,List Paragraph2,Light Grid - Accent 31,Akapit z listą BS,Bullet1,List Paragraph in table,PROVERE 1,Table/Figure Heading,Dot pt,F5 List Paragraph,List Paragraph1,No Spacing1"/>
    <w:basedOn w:val="Normal"/>
    <w:link w:val="ListParagraphChar"/>
    <w:qFormat/>
    <w:rsid w:val="00D92F6C"/>
    <w:pPr>
      <w:ind w:left="720"/>
      <w:contextualSpacing/>
    </w:pPr>
  </w:style>
  <w:style w:type="character" w:customStyle="1" w:styleId="FootnoteTextChar1">
    <w:name w:val="Footnote Text Char1"/>
    <w:aliases w:val="Footnote Text Char Char Char Char,Footnote Text Char Char Char1,Fußnote Char,Footnote Char,Footnote Text Char1 Char Char,Footnote Text Char1 Char Char Char Char,Footnote Text Char Char Char Char Char Char,Fußnotentextf Char"/>
    <w:link w:val="FootnoteText"/>
    <w:rsid w:val="00D92F6C"/>
    <w:rPr>
      <w:rFonts w:ascii="Calibri" w:eastAsia="Times New Roman" w:hAnsi="Calibri" w:cs="Times New Roman"/>
      <w:sz w:val="20"/>
      <w:szCs w:val="20"/>
      <w:lang w:val="en-GB" w:eastAsia="en-GB"/>
    </w:rPr>
  </w:style>
  <w:style w:type="paragraph" w:customStyle="1" w:styleId="BVIfnrChar1CharCharChar">
    <w:name w:val="BVI fnr Char1 Char Char Char"/>
    <w:aliases w:val="BVI fnr Car Car Char1 Char Char Char,BVI fnr Car Char1 Char Char Char,BVI fnr Car Car Car Car Char Char1 Char Char"/>
    <w:basedOn w:val="Normal"/>
    <w:link w:val="FootnoteReference"/>
    <w:rsid w:val="00D92F6C"/>
    <w:pPr>
      <w:spacing w:before="120" w:after="160" w:line="240" w:lineRule="exact"/>
      <w:jc w:val="both"/>
    </w:pPr>
    <w:rPr>
      <w:rFonts w:asciiTheme="minorHAnsi" w:eastAsiaTheme="minorHAnsi" w:hAnsiTheme="minorHAnsi" w:cstheme="minorBidi"/>
      <w:vertAlign w:val="superscript"/>
      <w:lang w:val="fr-BE" w:eastAsia="en-US"/>
    </w:rPr>
  </w:style>
  <w:style w:type="character" w:customStyle="1" w:styleId="ListParagraphChar">
    <w:name w:val="List Paragraph Char"/>
    <w:aliases w:val="Bullet point Char,Table of contents numbered Char,Colorful List - Accent 11 Char,List Paragraph2 Char,Light Grid - Accent 31 Char,Akapit z listą BS Char,Bullet1 Char,List Paragraph in table Char,PROVERE 1 Char,Dot pt Char"/>
    <w:link w:val="ListParagraph"/>
    <w:qFormat/>
    <w:locked/>
    <w:rsid w:val="00D92F6C"/>
    <w:rPr>
      <w:rFonts w:ascii="Calibri" w:eastAsia="Times New Roman" w:hAnsi="Calibri" w:cs="Times New Roman"/>
      <w:lang w:val="en-GB" w:eastAsia="en-GB"/>
    </w:rPr>
  </w:style>
  <w:style w:type="paragraph" w:styleId="BalloonText">
    <w:name w:val="Balloon Text"/>
    <w:basedOn w:val="Normal"/>
    <w:link w:val="BalloonTextChar"/>
    <w:uiPriority w:val="99"/>
    <w:semiHidden/>
    <w:unhideWhenUsed/>
    <w:rsid w:val="001F59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9AF"/>
    <w:rPr>
      <w:rFonts w:ascii="Segoe UI" w:eastAsia="Times New Roman" w:hAnsi="Segoe UI" w:cs="Segoe UI"/>
      <w:sz w:val="18"/>
      <w:szCs w:val="18"/>
      <w:lang w:val="en-GB" w:eastAsia="en-GB"/>
    </w:rPr>
  </w:style>
  <w:style w:type="character" w:customStyle="1" w:styleId="Heading3Char">
    <w:name w:val="Heading 3 Char"/>
    <w:basedOn w:val="DefaultParagraphFont"/>
    <w:link w:val="Heading3"/>
    <w:uiPriority w:val="9"/>
    <w:rsid w:val="00981D6C"/>
    <w:rPr>
      <w:rFonts w:asciiTheme="majorHAnsi" w:eastAsiaTheme="majorEastAsia" w:hAnsiTheme="majorHAnsi" w:cstheme="majorBidi"/>
      <w:color w:val="1F4D78" w:themeColor="accent1" w:themeShade="7F"/>
      <w:sz w:val="24"/>
      <w:szCs w:val="24"/>
      <w:lang w:val="en-GB" w:eastAsia="en-GB"/>
    </w:rPr>
  </w:style>
  <w:style w:type="character" w:styleId="Hyperlink">
    <w:name w:val="Hyperlink"/>
    <w:basedOn w:val="DefaultParagraphFont"/>
    <w:uiPriority w:val="99"/>
    <w:unhideWhenUsed/>
    <w:rsid w:val="00970E98"/>
    <w:rPr>
      <w:color w:val="0563C1" w:themeColor="hyperlink"/>
      <w:u w:val="single"/>
    </w:rPr>
  </w:style>
  <w:style w:type="paragraph" w:styleId="ListBullet2">
    <w:name w:val="List Bullet 2"/>
    <w:basedOn w:val="Normal"/>
    <w:rsid w:val="00F10B6C"/>
    <w:pPr>
      <w:numPr>
        <w:numId w:val="6"/>
      </w:numPr>
      <w:tabs>
        <w:tab w:val="left" w:pos="1360"/>
      </w:tabs>
      <w:suppressAutoHyphens/>
      <w:spacing w:after="0" w:line="240" w:lineRule="auto"/>
      <w:jc w:val="both"/>
    </w:pPr>
    <w:rPr>
      <w:rFonts w:ascii="Times New Roman" w:hAnsi="Times New Roman"/>
      <w:szCs w:val="20"/>
      <w:lang w:val="mk-MK" w:eastAsia="ar-SA"/>
    </w:rPr>
  </w:style>
  <w:style w:type="character" w:styleId="CommentReference">
    <w:name w:val="annotation reference"/>
    <w:basedOn w:val="DefaultParagraphFont"/>
    <w:unhideWhenUsed/>
    <w:rsid w:val="001556BC"/>
    <w:rPr>
      <w:sz w:val="18"/>
      <w:szCs w:val="18"/>
    </w:rPr>
  </w:style>
  <w:style w:type="paragraph" w:styleId="CommentText">
    <w:name w:val="annotation text"/>
    <w:basedOn w:val="Normal"/>
    <w:link w:val="CommentTextChar"/>
    <w:uiPriority w:val="99"/>
    <w:semiHidden/>
    <w:unhideWhenUsed/>
    <w:rsid w:val="001556BC"/>
    <w:pPr>
      <w:spacing w:line="240" w:lineRule="auto"/>
    </w:pPr>
    <w:rPr>
      <w:sz w:val="24"/>
      <w:szCs w:val="24"/>
    </w:rPr>
  </w:style>
  <w:style w:type="character" w:customStyle="1" w:styleId="CommentTextChar">
    <w:name w:val="Comment Text Char"/>
    <w:basedOn w:val="DefaultParagraphFont"/>
    <w:link w:val="CommentText"/>
    <w:uiPriority w:val="99"/>
    <w:semiHidden/>
    <w:rsid w:val="001556BC"/>
    <w:rPr>
      <w:rFonts w:ascii="Calibri" w:eastAsia="Times New Roman" w:hAnsi="Calibri" w:cs="Times New Roman"/>
      <w:sz w:val="24"/>
      <w:szCs w:val="24"/>
      <w:lang w:val="en-GB" w:eastAsia="en-GB"/>
    </w:rPr>
  </w:style>
  <w:style w:type="paragraph" w:styleId="CommentSubject">
    <w:name w:val="annotation subject"/>
    <w:basedOn w:val="CommentText"/>
    <w:next w:val="CommentText"/>
    <w:link w:val="CommentSubjectChar"/>
    <w:uiPriority w:val="99"/>
    <w:semiHidden/>
    <w:unhideWhenUsed/>
    <w:rsid w:val="001556BC"/>
    <w:rPr>
      <w:b/>
      <w:bCs/>
      <w:sz w:val="20"/>
      <w:szCs w:val="20"/>
    </w:rPr>
  </w:style>
  <w:style w:type="character" w:customStyle="1" w:styleId="CommentSubjectChar">
    <w:name w:val="Comment Subject Char"/>
    <w:basedOn w:val="CommentTextChar"/>
    <w:link w:val="CommentSubject"/>
    <w:uiPriority w:val="99"/>
    <w:semiHidden/>
    <w:rsid w:val="001556BC"/>
    <w:rPr>
      <w:rFonts w:ascii="Calibri" w:eastAsia="Times New Roman" w:hAnsi="Calibri" w:cs="Times New Roman"/>
      <w:b/>
      <w:bCs/>
      <w:sz w:val="20"/>
      <w:szCs w:val="20"/>
      <w:lang w:val="en-GB" w:eastAsia="en-GB"/>
    </w:rPr>
  </w:style>
  <w:style w:type="character" w:customStyle="1" w:styleId="UnresolvedMention1">
    <w:name w:val="Unresolved Mention1"/>
    <w:basedOn w:val="DefaultParagraphFont"/>
    <w:uiPriority w:val="99"/>
    <w:semiHidden/>
    <w:unhideWhenUsed/>
    <w:rsid w:val="00003244"/>
    <w:rPr>
      <w:color w:val="605E5C"/>
      <w:shd w:val="clear" w:color="auto" w:fill="E1DFDD"/>
    </w:rPr>
  </w:style>
  <w:style w:type="character" w:styleId="FollowedHyperlink">
    <w:name w:val="FollowedHyperlink"/>
    <w:basedOn w:val="DefaultParagraphFont"/>
    <w:uiPriority w:val="99"/>
    <w:semiHidden/>
    <w:unhideWhenUsed/>
    <w:rsid w:val="0058479D"/>
    <w:rPr>
      <w:color w:val="954F72" w:themeColor="followedHyperlink"/>
      <w:u w:val="single"/>
    </w:rPr>
  </w:style>
  <w:style w:type="paragraph" w:styleId="Revision">
    <w:name w:val="Revision"/>
    <w:hidden/>
    <w:uiPriority w:val="99"/>
    <w:semiHidden/>
    <w:rsid w:val="00894E57"/>
    <w:pPr>
      <w:spacing w:after="0" w:line="240" w:lineRule="auto"/>
    </w:pPr>
    <w:rPr>
      <w:rFonts w:ascii="Calibri" w:eastAsia="Times New Roman" w:hAnsi="Calibri" w:cs="Times New Roman"/>
      <w:lang w:val="en-GB" w:eastAsia="en-GB"/>
    </w:rPr>
  </w:style>
  <w:style w:type="paragraph" w:styleId="ListBullet">
    <w:name w:val="List Bullet"/>
    <w:basedOn w:val="Normal"/>
    <w:uiPriority w:val="99"/>
    <w:semiHidden/>
    <w:unhideWhenUsed/>
    <w:rsid w:val="004C024B"/>
    <w:pPr>
      <w:numPr>
        <w:numId w:val="12"/>
      </w:numPr>
      <w:contextualSpacing/>
    </w:pPr>
  </w:style>
  <w:style w:type="paragraph" w:customStyle="1" w:styleId="ManualConsidrant">
    <w:name w:val="Manual Considérant"/>
    <w:basedOn w:val="Normal"/>
    <w:rsid w:val="002A3DF8"/>
    <w:pPr>
      <w:spacing w:before="120" w:after="120" w:line="240" w:lineRule="auto"/>
      <w:ind w:left="709" w:hanging="709"/>
      <w:jc w:val="both"/>
    </w:pPr>
    <w:rPr>
      <w:rFonts w:ascii="Times New Roman" w:eastAsiaTheme="minorHAnsi" w:hAnsi="Times New Roman"/>
      <w:sz w:val="24"/>
      <w:lang w:eastAsia="en-US"/>
    </w:rPr>
  </w:style>
  <w:style w:type="paragraph" w:customStyle="1" w:styleId="ManualNumPar1">
    <w:name w:val="Manual NumPar 1"/>
    <w:basedOn w:val="Normal"/>
    <w:next w:val="Normal"/>
    <w:rsid w:val="002A3DF8"/>
    <w:pPr>
      <w:spacing w:before="120" w:after="120" w:line="240" w:lineRule="auto"/>
      <w:ind w:left="850" w:hanging="850"/>
      <w:jc w:val="both"/>
    </w:pPr>
    <w:rPr>
      <w:rFonts w:ascii="Times New Roman" w:eastAsiaTheme="minorHAnsi" w:hAnsi="Times New Roman"/>
      <w:sz w:val="24"/>
      <w:lang w:eastAsia="en-US"/>
    </w:rPr>
  </w:style>
  <w:style w:type="paragraph" w:customStyle="1" w:styleId="Point0number">
    <w:name w:val="Point 0 (number)"/>
    <w:basedOn w:val="Normal"/>
    <w:rsid w:val="002A3DF8"/>
    <w:pPr>
      <w:numPr>
        <w:numId w:val="13"/>
      </w:numPr>
      <w:spacing w:before="120" w:after="120" w:line="240" w:lineRule="auto"/>
      <w:jc w:val="both"/>
    </w:pPr>
    <w:rPr>
      <w:rFonts w:ascii="Times New Roman" w:eastAsiaTheme="minorHAnsi" w:hAnsi="Times New Roman"/>
      <w:sz w:val="24"/>
      <w:lang w:eastAsia="en-US"/>
    </w:rPr>
  </w:style>
  <w:style w:type="paragraph" w:customStyle="1" w:styleId="Point1number">
    <w:name w:val="Point 1 (number)"/>
    <w:basedOn w:val="Normal"/>
    <w:rsid w:val="002A3DF8"/>
    <w:pPr>
      <w:numPr>
        <w:ilvl w:val="2"/>
        <w:numId w:val="13"/>
      </w:numPr>
      <w:spacing w:before="120" w:after="120" w:line="240" w:lineRule="auto"/>
      <w:jc w:val="both"/>
    </w:pPr>
    <w:rPr>
      <w:rFonts w:ascii="Times New Roman" w:eastAsiaTheme="minorHAnsi" w:hAnsi="Times New Roman"/>
      <w:sz w:val="24"/>
      <w:lang w:eastAsia="en-US"/>
    </w:rPr>
  </w:style>
  <w:style w:type="paragraph" w:customStyle="1" w:styleId="Point2number">
    <w:name w:val="Point 2 (number)"/>
    <w:basedOn w:val="Normal"/>
    <w:rsid w:val="002A3DF8"/>
    <w:pPr>
      <w:numPr>
        <w:ilvl w:val="4"/>
        <w:numId w:val="13"/>
      </w:numPr>
      <w:spacing w:before="120" w:after="120" w:line="240" w:lineRule="auto"/>
      <w:jc w:val="both"/>
    </w:pPr>
    <w:rPr>
      <w:rFonts w:ascii="Times New Roman" w:eastAsiaTheme="minorHAnsi" w:hAnsi="Times New Roman"/>
      <w:sz w:val="24"/>
      <w:lang w:eastAsia="en-US"/>
    </w:rPr>
  </w:style>
  <w:style w:type="paragraph" w:customStyle="1" w:styleId="Point3number">
    <w:name w:val="Point 3 (number)"/>
    <w:basedOn w:val="Normal"/>
    <w:rsid w:val="002A3DF8"/>
    <w:pPr>
      <w:numPr>
        <w:ilvl w:val="6"/>
        <w:numId w:val="13"/>
      </w:numPr>
      <w:spacing w:before="120" w:after="120" w:line="240" w:lineRule="auto"/>
      <w:jc w:val="both"/>
    </w:pPr>
    <w:rPr>
      <w:rFonts w:ascii="Times New Roman" w:eastAsiaTheme="minorHAnsi" w:hAnsi="Times New Roman"/>
      <w:sz w:val="24"/>
      <w:lang w:eastAsia="en-US"/>
    </w:rPr>
  </w:style>
  <w:style w:type="paragraph" w:customStyle="1" w:styleId="Point0letter">
    <w:name w:val="Point 0 (letter)"/>
    <w:basedOn w:val="Normal"/>
    <w:rsid w:val="002A3DF8"/>
    <w:pPr>
      <w:numPr>
        <w:ilvl w:val="1"/>
        <w:numId w:val="13"/>
      </w:numPr>
      <w:spacing w:before="120" w:after="120" w:line="240" w:lineRule="auto"/>
      <w:jc w:val="both"/>
    </w:pPr>
    <w:rPr>
      <w:rFonts w:ascii="Times New Roman" w:eastAsiaTheme="minorHAnsi" w:hAnsi="Times New Roman"/>
      <w:sz w:val="24"/>
      <w:lang w:eastAsia="en-US"/>
    </w:rPr>
  </w:style>
  <w:style w:type="paragraph" w:customStyle="1" w:styleId="Point1letter">
    <w:name w:val="Point 1 (letter)"/>
    <w:basedOn w:val="Normal"/>
    <w:rsid w:val="002A3DF8"/>
    <w:pPr>
      <w:numPr>
        <w:ilvl w:val="3"/>
        <w:numId w:val="13"/>
      </w:numPr>
      <w:spacing w:before="120" w:after="120" w:line="240" w:lineRule="auto"/>
      <w:jc w:val="both"/>
    </w:pPr>
    <w:rPr>
      <w:rFonts w:ascii="Times New Roman" w:eastAsiaTheme="minorHAnsi" w:hAnsi="Times New Roman"/>
      <w:sz w:val="24"/>
      <w:lang w:eastAsia="en-US"/>
    </w:rPr>
  </w:style>
  <w:style w:type="paragraph" w:customStyle="1" w:styleId="Point2letter">
    <w:name w:val="Point 2 (letter)"/>
    <w:basedOn w:val="Normal"/>
    <w:rsid w:val="002A3DF8"/>
    <w:pPr>
      <w:numPr>
        <w:ilvl w:val="5"/>
        <w:numId w:val="13"/>
      </w:numPr>
      <w:spacing w:before="120" w:after="120" w:line="240" w:lineRule="auto"/>
      <w:jc w:val="both"/>
    </w:pPr>
    <w:rPr>
      <w:rFonts w:ascii="Times New Roman" w:eastAsiaTheme="minorHAnsi" w:hAnsi="Times New Roman"/>
      <w:sz w:val="24"/>
      <w:lang w:eastAsia="en-US"/>
    </w:rPr>
  </w:style>
  <w:style w:type="paragraph" w:customStyle="1" w:styleId="Point3letter">
    <w:name w:val="Point 3 (letter)"/>
    <w:basedOn w:val="Normal"/>
    <w:rsid w:val="002A3DF8"/>
    <w:pPr>
      <w:numPr>
        <w:ilvl w:val="7"/>
        <w:numId w:val="13"/>
      </w:numPr>
      <w:spacing w:before="120" w:after="120" w:line="240" w:lineRule="auto"/>
      <w:jc w:val="both"/>
    </w:pPr>
    <w:rPr>
      <w:rFonts w:ascii="Times New Roman" w:eastAsiaTheme="minorHAnsi" w:hAnsi="Times New Roman"/>
      <w:sz w:val="24"/>
      <w:lang w:eastAsia="en-US"/>
    </w:rPr>
  </w:style>
  <w:style w:type="paragraph" w:customStyle="1" w:styleId="Point4letter">
    <w:name w:val="Point 4 (letter)"/>
    <w:basedOn w:val="Normal"/>
    <w:rsid w:val="002A3DF8"/>
    <w:pPr>
      <w:numPr>
        <w:ilvl w:val="8"/>
        <w:numId w:val="13"/>
      </w:numPr>
      <w:spacing w:before="120" w:after="120" w:line="240" w:lineRule="auto"/>
      <w:jc w:val="both"/>
    </w:pPr>
    <w:rPr>
      <w:rFonts w:ascii="Times New Roman" w:eastAsiaTheme="minorHAnsi" w:hAnsi="Times New Roman"/>
      <w:sz w:val="24"/>
      <w:lang w:eastAsia="en-US"/>
    </w:rPr>
  </w:style>
  <w:style w:type="paragraph" w:styleId="ListNumber2">
    <w:name w:val="List Number 2"/>
    <w:basedOn w:val="Normal"/>
    <w:rsid w:val="006239D4"/>
    <w:pPr>
      <w:numPr>
        <w:numId w:val="15"/>
      </w:numPr>
    </w:pPr>
  </w:style>
  <w:style w:type="paragraph" w:customStyle="1" w:styleId="ListNumber2Level2">
    <w:name w:val="List Number 2 (Level 2)"/>
    <w:basedOn w:val="Normal"/>
    <w:rsid w:val="006239D4"/>
    <w:pPr>
      <w:numPr>
        <w:ilvl w:val="1"/>
        <w:numId w:val="15"/>
      </w:numPr>
    </w:pPr>
  </w:style>
  <w:style w:type="paragraph" w:customStyle="1" w:styleId="ListNumber2Level3">
    <w:name w:val="List Number 2 (Level 3)"/>
    <w:basedOn w:val="Normal"/>
    <w:rsid w:val="006239D4"/>
    <w:pPr>
      <w:numPr>
        <w:ilvl w:val="2"/>
        <w:numId w:val="15"/>
      </w:numPr>
    </w:pPr>
  </w:style>
  <w:style w:type="paragraph" w:customStyle="1" w:styleId="ListNumber2Level4">
    <w:name w:val="List Number 2 (Level 4)"/>
    <w:basedOn w:val="Normal"/>
    <w:rsid w:val="006239D4"/>
    <w:pPr>
      <w:numPr>
        <w:ilvl w:val="3"/>
        <w:numId w:val="15"/>
      </w:numPr>
    </w:pPr>
  </w:style>
  <w:style w:type="paragraph" w:styleId="EndnoteText">
    <w:name w:val="endnote text"/>
    <w:basedOn w:val="Normal"/>
    <w:link w:val="EndnoteTextChar"/>
    <w:uiPriority w:val="99"/>
    <w:semiHidden/>
    <w:unhideWhenUsed/>
    <w:rsid w:val="00FB2F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B2F1C"/>
    <w:rPr>
      <w:rFonts w:ascii="Calibri" w:eastAsia="Times New Roman" w:hAnsi="Calibri" w:cs="Times New Roman"/>
      <w:sz w:val="20"/>
      <w:szCs w:val="20"/>
      <w:lang w:val="en-GB" w:eastAsia="en-GB"/>
    </w:rPr>
  </w:style>
  <w:style w:type="character" w:styleId="EndnoteReference">
    <w:name w:val="endnote reference"/>
    <w:basedOn w:val="DefaultParagraphFont"/>
    <w:uiPriority w:val="99"/>
    <w:semiHidden/>
    <w:unhideWhenUsed/>
    <w:rsid w:val="00FB2F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ndocs.org/A/RES/71/1"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nacionalnakomisija.gov.mk/wp-content/uploads/2016/12/Nacionalna-strateg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CEC6C-DDE3-4F33-882A-6B950A19D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3021</Words>
  <Characters>17643</Characters>
  <Application>Microsoft Office Word</Application>
  <DocSecurity>0</DocSecurity>
  <Lines>518</Lines>
  <Paragraphs>213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European Commission</Company>
  <LinksUpToDate>false</LinksUpToDate>
  <CharactersWithSpaces>20451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SAVIOLO Andrea (NEAR)</dc:creator>
  <cp:lastModifiedBy>PRODANOVA Donka (EEAS-SKOPJE)</cp:lastModifiedBy>
  <cp:revision>7</cp:revision>
  <dcterms:created xsi:type="dcterms:W3CDTF">2020-07-04T15:39:00Z</dcterms:created>
  <dcterms:modified xsi:type="dcterms:W3CDTF">2020-07-07T14:50:00Z</dcterms:modified>
</cp:coreProperties>
</file>