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EB957" w14:textId="77777777" w:rsidR="00065708" w:rsidRPr="00DF7F48" w:rsidRDefault="00272335" w:rsidP="00DF7F48">
      <w:pPr>
        <w:pStyle w:val="AnnexHeading"/>
        <w:spacing w:before="120"/>
        <w:contextualSpacing/>
        <w:outlineLvl w:val="0"/>
        <w:rPr>
          <w:sz w:val="24"/>
          <w:u w:val="single"/>
        </w:rPr>
      </w:pPr>
      <w:bookmarkStart w:id="0" w:name="_Toc393273221"/>
      <w:bookmarkStart w:id="1" w:name="_Toc379806627"/>
      <w:bookmarkEnd w:id="0"/>
      <w:bookmarkEnd w:id="1"/>
      <w:r w:rsidRPr="00DF7F48">
        <w:rPr>
          <w:sz w:val="24"/>
          <w:u w:val="single"/>
        </w:rPr>
        <w:t>IPA III Operation Identification Sheet</w:t>
      </w:r>
    </w:p>
    <w:p w14:paraId="2B491812" w14:textId="77777777" w:rsidR="00065708" w:rsidRPr="00DF7F48" w:rsidRDefault="00272335">
      <w:pPr>
        <w:pStyle w:val="NumPar1"/>
        <w:tabs>
          <w:tab w:val="left" w:pos="480"/>
        </w:tabs>
        <w:spacing w:before="60" w:after="60"/>
        <w:ind w:left="0" w:firstLine="0"/>
        <w:contextualSpacing/>
        <w:outlineLvl w:val="0"/>
        <w:rPr>
          <w:sz w:val="22"/>
          <w:szCs w:val="22"/>
        </w:rPr>
      </w:pPr>
      <w:r w:rsidRPr="00DF7F48">
        <w:rPr>
          <w:b/>
          <w:bCs/>
          <w:sz w:val="22"/>
          <w:szCs w:val="22"/>
        </w:rPr>
        <w:t>Title of the Operation:</w:t>
      </w:r>
      <w:r w:rsidRPr="00DF7F48">
        <w:rPr>
          <w:sz w:val="22"/>
          <w:szCs w:val="22"/>
        </w:rPr>
        <w:t xml:space="preserve"> </w:t>
      </w:r>
    </w:p>
    <w:p w14:paraId="2E2D3FBC" w14:textId="77777777" w:rsidR="00065708" w:rsidRPr="00DF7F48" w:rsidRDefault="00272335">
      <w:pPr>
        <w:spacing w:before="60" w:after="60"/>
        <w:contextualSpacing/>
        <w:rPr>
          <w:sz w:val="22"/>
          <w:szCs w:val="22"/>
        </w:rPr>
      </w:pPr>
      <w:r w:rsidRPr="00DF7F48">
        <w:rPr>
          <w:sz w:val="22"/>
          <w:szCs w:val="22"/>
        </w:rPr>
        <w:t>“Supporting Authorities to Effectively Manage OP “Jobs and Opportunities”.</w:t>
      </w:r>
    </w:p>
    <w:p w14:paraId="372C34D0" w14:textId="77777777" w:rsidR="00065708" w:rsidRPr="00DF7F48" w:rsidRDefault="00272335">
      <w:pPr>
        <w:pStyle w:val="NumPar1"/>
        <w:tabs>
          <w:tab w:val="left" w:pos="480"/>
        </w:tabs>
        <w:spacing w:before="60" w:after="60"/>
        <w:ind w:left="0" w:firstLine="0"/>
        <w:contextualSpacing/>
        <w:outlineLvl w:val="0"/>
        <w:rPr>
          <w:b/>
          <w:bCs/>
          <w:sz w:val="22"/>
          <w:szCs w:val="22"/>
        </w:rPr>
      </w:pPr>
      <w:r w:rsidRPr="00DF7F48">
        <w:rPr>
          <w:b/>
          <w:bCs/>
          <w:sz w:val="22"/>
          <w:szCs w:val="22"/>
        </w:rPr>
        <w:t xml:space="preserve">Managing Authority: </w:t>
      </w:r>
    </w:p>
    <w:p w14:paraId="35F2ECED" w14:textId="77777777" w:rsidR="00065708" w:rsidRPr="00DF7F48" w:rsidRDefault="00272335">
      <w:pPr>
        <w:spacing w:before="60" w:after="60"/>
        <w:contextualSpacing/>
        <w:rPr>
          <w:sz w:val="22"/>
          <w:szCs w:val="22"/>
        </w:rPr>
      </w:pPr>
      <w:r w:rsidRPr="00DF7F48">
        <w:rPr>
          <w:sz w:val="22"/>
          <w:szCs w:val="22"/>
          <w:lang w:val="en-US"/>
        </w:rPr>
        <w:t>The</w:t>
      </w:r>
      <w:r w:rsidRPr="00DF7F48">
        <w:rPr>
          <w:sz w:val="22"/>
          <w:szCs w:val="22"/>
        </w:rPr>
        <w:t xml:space="preserve"> Ministry of Labour and Social Policy (MLSP)</w:t>
      </w:r>
    </w:p>
    <w:p w14:paraId="6DA54A9B" w14:textId="77777777" w:rsidR="00065708" w:rsidRPr="00DF7F48" w:rsidRDefault="00272335">
      <w:pPr>
        <w:pStyle w:val="NumPar1"/>
        <w:tabs>
          <w:tab w:val="left" w:pos="480"/>
        </w:tabs>
        <w:spacing w:before="60" w:after="60"/>
        <w:ind w:left="0" w:firstLine="0"/>
        <w:contextualSpacing/>
        <w:outlineLvl w:val="0"/>
        <w:rPr>
          <w:b/>
          <w:bCs/>
          <w:sz w:val="22"/>
          <w:szCs w:val="22"/>
        </w:rPr>
      </w:pPr>
      <w:r w:rsidRPr="00DF7F48">
        <w:rPr>
          <w:b/>
          <w:bCs/>
          <w:sz w:val="22"/>
          <w:szCs w:val="22"/>
        </w:rPr>
        <w:t>Intermediate bodies responsible for the Implementation of the Operation:</w:t>
      </w:r>
    </w:p>
    <w:p w14:paraId="792BFC24" w14:textId="77777777" w:rsidR="00065708" w:rsidRPr="00DF7F48" w:rsidRDefault="00272335">
      <w:pPr>
        <w:spacing w:before="60" w:after="60"/>
        <w:contextualSpacing/>
        <w:rPr>
          <w:sz w:val="22"/>
          <w:szCs w:val="22"/>
        </w:rPr>
      </w:pPr>
      <w:r w:rsidRPr="00DF7F48">
        <w:rPr>
          <w:sz w:val="22"/>
          <w:szCs w:val="22"/>
        </w:rPr>
        <w:t>The Ministry of Finance (MF), Central Financing and Contracting Department (CFCD) (Intermediate Body for Financial Management - IBFM)</w:t>
      </w:r>
    </w:p>
    <w:p w14:paraId="4870D5E9" w14:textId="77777777" w:rsidR="00065708" w:rsidRPr="00DF7F48" w:rsidRDefault="00272335">
      <w:pPr>
        <w:pStyle w:val="NumPar1"/>
        <w:tabs>
          <w:tab w:val="left" w:pos="480"/>
        </w:tabs>
        <w:spacing w:before="60" w:after="60"/>
        <w:ind w:left="0" w:firstLine="0"/>
        <w:contextualSpacing/>
        <w:outlineLvl w:val="0"/>
        <w:rPr>
          <w:b/>
          <w:bCs/>
          <w:sz w:val="22"/>
          <w:szCs w:val="22"/>
        </w:rPr>
      </w:pPr>
      <w:r w:rsidRPr="00DF7F48">
        <w:rPr>
          <w:b/>
          <w:bCs/>
          <w:sz w:val="22"/>
          <w:szCs w:val="22"/>
        </w:rPr>
        <w:t>Compatibility and coherence with the Operational Programme</w:t>
      </w:r>
    </w:p>
    <w:p w14:paraId="28D79556" w14:textId="77777777" w:rsidR="00065708" w:rsidRPr="00DF7F48" w:rsidRDefault="00272335" w:rsidP="00DF7F48">
      <w:pPr>
        <w:spacing w:after="120"/>
        <w:outlineLvl w:val="0"/>
        <w:rPr>
          <w:b/>
          <w:bCs/>
          <w:sz w:val="22"/>
          <w:szCs w:val="22"/>
        </w:rPr>
      </w:pPr>
      <w:r w:rsidRPr="00DF7F48">
        <w:rPr>
          <w:b/>
          <w:bCs/>
          <w:sz w:val="22"/>
          <w:szCs w:val="22"/>
        </w:rPr>
        <w:t>4.1 Title of the programme</w:t>
      </w:r>
    </w:p>
    <w:p w14:paraId="7188CE45" w14:textId="77777777" w:rsidR="00065708" w:rsidRPr="00DF7F48" w:rsidRDefault="00272335" w:rsidP="00DF7F48">
      <w:pPr>
        <w:spacing w:after="120"/>
        <w:contextualSpacing/>
        <w:rPr>
          <w:sz w:val="22"/>
          <w:szCs w:val="22"/>
        </w:rPr>
      </w:pPr>
      <w:r w:rsidRPr="00DF7F48">
        <w:rPr>
          <w:sz w:val="22"/>
          <w:szCs w:val="22"/>
        </w:rPr>
        <w:t xml:space="preserve">Operational Programme “Jobs and opportunities” Multiannual Operational Programme on sector human </w:t>
      </w:r>
      <w:proofErr w:type="gramStart"/>
      <w:r w:rsidRPr="00DF7F48">
        <w:rPr>
          <w:sz w:val="22"/>
          <w:szCs w:val="22"/>
        </w:rPr>
        <w:t>capital</w:t>
      </w:r>
      <w:proofErr w:type="gramEnd"/>
      <w:r w:rsidRPr="00DF7F48">
        <w:rPr>
          <w:sz w:val="22"/>
          <w:szCs w:val="22"/>
        </w:rPr>
        <w:t xml:space="preserve"> in favour of the Republic of North Macedonia for 2024-2027</w:t>
      </w:r>
    </w:p>
    <w:p w14:paraId="3CE22582" w14:textId="77777777" w:rsidR="00065708" w:rsidRPr="00DF7F48" w:rsidRDefault="00272335" w:rsidP="00DF7F48">
      <w:pPr>
        <w:spacing w:after="120"/>
        <w:outlineLvl w:val="0"/>
        <w:rPr>
          <w:b/>
          <w:bCs/>
          <w:sz w:val="22"/>
          <w:szCs w:val="22"/>
        </w:rPr>
      </w:pPr>
      <w:r w:rsidRPr="00DF7F48">
        <w:rPr>
          <w:b/>
          <w:bCs/>
          <w:sz w:val="22"/>
          <w:szCs w:val="22"/>
        </w:rPr>
        <w:t xml:space="preserve">4.2 Title of the relevant Area of support: </w:t>
      </w:r>
    </w:p>
    <w:p w14:paraId="4AC5BF19" w14:textId="77777777" w:rsidR="00065708" w:rsidRPr="00DF7F48" w:rsidRDefault="00272335" w:rsidP="00DF7F48">
      <w:pPr>
        <w:spacing w:after="120"/>
        <w:contextualSpacing/>
        <w:outlineLvl w:val="0"/>
        <w:rPr>
          <w:sz w:val="22"/>
          <w:szCs w:val="22"/>
        </w:rPr>
      </w:pPr>
      <w:r w:rsidRPr="00DF7F48">
        <w:rPr>
          <w:sz w:val="22"/>
          <w:szCs w:val="22"/>
        </w:rPr>
        <w:t>Area of support 3 - Other Support</w:t>
      </w:r>
    </w:p>
    <w:p w14:paraId="1A722564" w14:textId="77777777" w:rsidR="00065708" w:rsidRPr="00DF7F48" w:rsidRDefault="00272335" w:rsidP="00DF7F48">
      <w:pPr>
        <w:pStyle w:val="NumPar1"/>
        <w:tabs>
          <w:tab w:val="left" w:pos="480"/>
          <w:tab w:val="left" w:pos="1701"/>
        </w:tabs>
        <w:ind w:left="0" w:firstLine="0"/>
        <w:outlineLvl w:val="0"/>
        <w:rPr>
          <w:b/>
          <w:bCs/>
          <w:sz w:val="22"/>
          <w:szCs w:val="22"/>
        </w:rPr>
      </w:pPr>
      <w:r w:rsidRPr="00DF7F48">
        <w:rPr>
          <w:b/>
          <w:bCs/>
          <w:sz w:val="22"/>
          <w:szCs w:val="22"/>
        </w:rPr>
        <w:t xml:space="preserve">Description of the Operation </w:t>
      </w:r>
    </w:p>
    <w:p w14:paraId="38AD9C43" w14:textId="77777777" w:rsidR="00065708" w:rsidRPr="00DF7F48" w:rsidRDefault="00272335" w:rsidP="00217546">
      <w:pPr>
        <w:pStyle w:val="NumPar1"/>
        <w:numPr>
          <w:ilvl w:val="0"/>
          <w:numId w:val="0"/>
        </w:numPr>
        <w:tabs>
          <w:tab w:val="left" w:pos="480"/>
          <w:tab w:val="left" w:pos="1701"/>
        </w:tabs>
        <w:spacing w:before="60" w:after="60"/>
        <w:ind w:left="284" w:hanging="284"/>
        <w:contextualSpacing/>
        <w:outlineLvl w:val="0"/>
        <w:rPr>
          <w:sz w:val="22"/>
          <w:szCs w:val="22"/>
        </w:rPr>
      </w:pPr>
      <w:r w:rsidRPr="00DF7F48">
        <w:rPr>
          <w:b/>
          <w:bCs/>
          <w:iCs/>
          <w:sz w:val="22"/>
          <w:szCs w:val="22"/>
        </w:rPr>
        <w:t xml:space="preserve">5.1 Contribution to the achievement of the Operational Programme: </w:t>
      </w:r>
    </w:p>
    <w:p w14:paraId="77508071" w14:textId="77777777" w:rsidR="00065708" w:rsidRPr="00DF7F48" w:rsidRDefault="00272335">
      <w:pPr>
        <w:spacing w:before="60" w:after="60"/>
        <w:contextualSpacing/>
        <w:rPr>
          <w:rFonts w:eastAsia="Calibri"/>
          <w:bCs/>
          <w:sz w:val="22"/>
          <w:szCs w:val="22"/>
          <w:lang w:val="en-IE" w:eastAsia="ja-JP"/>
        </w:rPr>
      </w:pPr>
      <w:r w:rsidRPr="00DF7F48">
        <w:rPr>
          <w:rFonts w:eastAsia="Calibri"/>
          <w:bCs/>
          <w:sz w:val="22"/>
          <w:szCs w:val="22"/>
          <w:lang w:val="en-IE" w:eastAsia="ja-JP"/>
        </w:rPr>
        <w:t>Considering the wider contextual coverage of the programme and the level of allocation to the sector, the programming, monitoring, tendering and contract management for IPA III OP structure</w:t>
      </w:r>
      <w:r w:rsidRPr="00DF7F48">
        <w:rPr>
          <w:rStyle w:val="FootnoteReference"/>
          <w:rFonts w:eastAsia="Calibri"/>
          <w:bCs/>
          <w:sz w:val="22"/>
          <w:szCs w:val="22"/>
          <w:lang w:val="en-IE" w:eastAsia="ja-JP"/>
        </w:rPr>
        <w:footnoteReference w:id="1"/>
      </w:r>
      <w:r w:rsidRPr="00DF7F48">
        <w:rPr>
          <w:rFonts w:eastAsia="Calibri"/>
          <w:bCs/>
          <w:sz w:val="22"/>
          <w:szCs w:val="22"/>
          <w:lang w:val="en-IE" w:eastAsia="ja-JP"/>
        </w:rPr>
        <w:t xml:space="preserve"> should be strengthened to achieve the maximum benefits from IPA funds. </w:t>
      </w:r>
    </w:p>
    <w:p w14:paraId="665C618A" w14:textId="77777777" w:rsidR="00065708" w:rsidRPr="00DF7F48" w:rsidRDefault="00272335">
      <w:pPr>
        <w:spacing w:before="60" w:after="60"/>
        <w:contextualSpacing/>
        <w:rPr>
          <w:rFonts w:eastAsia="Calibri"/>
          <w:bCs/>
          <w:sz w:val="22"/>
          <w:szCs w:val="22"/>
          <w:lang w:val="en-IE" w:eastAsia="ja-JP"/>
        </w:rPr>
      </w:pPr>
      <w:r w:rsidRPr="00DF7F48">
        <w:rPr>
          <w:rFonts w:eastAsia="Calibri"/>
          <w:bCs/>
          <w:sz w:val="22"/>
          <w:szCs w:val="22"/>
          <w:lang w:val="en-IE" w:eastAsia="ja-JP"/>
        </w:rPr>
        <w:t xml:space="preserve">During the implementation period of IPA I and II, MLSP and other relevant institutions gained significant capacity. The IPA III period, with its novelties and new areas of interventions, requires both re-structuring of the current system and capacity-building activities to cope with the challenges of the new period. The IPA I and II periods of implementation made it clear that the ownership and involvement of the leading institutions of the sector play a significant role in the successful utilisation of funds. Therefore, capacity building for OP beneficiaries (ESA and other departments within the MLSP) is especially important for a new period. </w:t>
      </w:r>
    </w:p>
    <w:p w14:paraId="0116D9F5" w14:textId="77777777" w:rsidR="00065708" w:rsidRPr="00DF7F48" w:rsidRDefault="00272335">
      <w:pPr>
        <w:spacing w:before="60" w:after="60"/>
        <w:contextualSpacing/>
        <w:rPr>
          <w:rFonts w:eastAsia="Calibri"/>
          <w:bCs/>
          <w:sz w:val="22"/>
          <w:szCs w:val="22"/>
          <w:lang w:val="en-IE" w:eastAsia="ja-JP"/>
        </w:rPr>
      </w:pPr>
      <w:r w:rsidRPr="00DF7F48">
        <w:rPr>
          <w:rFonts w:eastAsia="Calibri"/>
          <w:bCs/>
          <w:sz w:val="22"/>
          <w:szCs w:val="22"/>
          <w:lang w:val="en-IE" w:eastAsia="ja-JP"/>
        </w:rPr>
        <w:t xml:space="preserve">The central institutions in the sector need support, especially on programming for the development of solid project pipelines. Therefore, the main stakeholders' programming, monitoring and project management capacity should be improved. </w:t>
      </w:r>
    </w:p>
    <w:p w14:paraId="64B431EA" w14:textId="77777777" w:rsidR="00065708" w:rsidRPr="00DF7F48" w:rsidRDefault="00272335">
      <w:pPr>
        <w:spacing w:before="60" w:after="60"/>
        <w:contextualSpacing/>
        <w:rPr>
          <w:rFonts w:eastAsia="Calibri"/>
          <w:bCs/>
          <w:sz w:val="22"/>
          <w:szCs w:val="22"/>
          <w:lang w:val="en-IE" w:eastAsia="ja-JP"/>
        </w:rPr>
      </w:pPr>
      <w:r w:rsidRPr="00DF7F48">
        <w:rPr>
          <w:rFonts w:eastAsia="Calibri"/>
          <w:bCs/>
          <w:sz w:val="22"/>
          <w:szCs w:val="22"/>
          <w:lang w:val="en-IE" w:eastAsia="ja-JP"/>
        </w:rPr>
        <w:t xml:space="preserve">The IPA III period requires progress on waiving the ex-ante controls and improving the institutional capacity to prepare North Macedonia for the responsibilities under the structural funds and cohesion policy. Therefore, the Managing Authority, as well overall structure involved in the IPA indirect management (Indirect Management with the Beneficiary Country - IMBC), should be further supported to increase its human capacity and operational abilities. </w:t>
      </w:r>
    </w:p>
    <w:p w14:paraId="6FEBDAC3" w14:textId="77777777" w:rsidR="00065708" w:rsidRPr="00DF7F48" w:rsidRDefault="00272335">
      <w:pPr>
        <w:spacing w:before="60" w:after="60"/>
        <w:contextualSpacing/>
        <w:rPr>
          <w:rFonts w:eastAsia="Calibri"/>
          <w:bCs/>
          <w:sz w:val="22"/>
          <w:szCs w:val="22"/>
          <w:lang w:val="en-IE" w:eastAsia="ja-JP"/>
        </w:rPr>
      </w:pPr>
      <w:r w:rsidRPr="00DF7F48">
        <w:rPr>
          <w:rFonts w:eastAsia="Calibri"/>
          <w:bCs/>
          <w:sz w:val="22"/>
          <w:szCs w:val="22"/>
          <w:lang w:val="en-IE" w:eastAsia="ja-JP"/>
        </w:rPr>
        <w:t>Generating new employment opportunities, providing targeted training, and implementing a robust retention policy is essential. This is essential for retaining experienced personnel and ensuring the successful execution of long-term projects, programmes, and strategies in the employment and social protection sectors.</w:t>
      </w:r>
    </w:p>
    <w:p w14:paraId="463460B4" w14:textId="77777777" w:rsidR="00065708" w:rsidRPr="00DF7F48" w:rsidRDefault="00272335">
      <w:pPr>
        <w:spacing w:before="60" w:after="60"/>
        <w:contextualSpacing/>
        <w:rPr>
          <w:rFonts w:eastAsia="Calibri"/>
          <w:bCs/>
          <w:sz w:val="22"/>
          <w:szCs w:val="22"/>
          <w:lang w:val="en-IE" w:eastAsia="ja-JP"/>
        </w:rPr>
      </w:pPr>
      <w:r w:rsidRPr="00DF7F48">
        <w:rPr>
          <w:rFonts w:eastAsia="Calibri"/>
          <w:bCs/>
          <w:sz w:val="22"/>
          <w:szCs w:val="22"/>
          <w:lang w:val="en-IE" w:eastAsia="ja-JP"/>
        </w:rPr>
        <w:t>Strategic efforts to increase stakeholder engagement and support are required to address inadequate visibility and communication. This will be accomplished through visibility and communication initiatives ensuring the programme’s benefits are widely understood.</w:t>
      </w:r>
    </w:p>
    <w:p w14:paraId="626EA897" w14:textId="77777777" w:rsidR="00065708" w:rsidRPr="00DF7F48" w:rsidRDefault="00272335">
      <w:pPr>
        <w:spacing w:before="60" w:after="60"/>
        <w:contextualSpacing/>
        <w:rPr>
          <w:rFonts w:eastAsia="Calibri"/>
          <w:bCs/>
          <w:sz w:val="22"/>
          <w:szCs w:val="22"/>
          <w:lang w:eastAsia="ja-JP"/>
        </w:rPr>
      </w:pPr>
      <w:r w:rsidRPr="00DF7F48">
        <w:rPr>
          <w:rFonts w:eastAsia="Calibri"/>
          <w:bCs/>
          <w:sz w:val="22"/>
          <w:szCs w:val="22"/>
          <w:lang w:val="en-IE" w:eastAsia="ja-JP"/>
        </w:rPr>
        <w:t xml:space="preserve">Transparency and accountability are fundamental to the management of EU financial assistance. Consequently, the effective operation of existing monitoring and reporting mechanisms is crucial, necessitating diligent tracking of progress, performance evaluation, and identification of improvement areas by the MA, as well as overall IMBC for this OP. The observance of standard procedures for monitoring IPA programmes, forming </w:t>
      </w:r>
      <w:proofErr w:type="spellStart"/>
      <w:r w:rsidRPr="00DF7F48">
        <w:rPr>
          <w:rFonts w:eastAsia="Calibri"/>
          <w:bCs/>
          <w:sz w:val="22"/>
          <w:szCs w:val="22"/>
          <w:lang w:val="en-IE" w:eastAsia="ja-JP"/>
        </w:rPr>
        <w:t>Sectoral</w:t>
      </w:r>
      <w:proofErr w:type="spellEnd"/>
      <w:r w:rsidRPr="00DF7F48">
        <w:rPr>
          <w:rFonts w:eastAsia="Calibri"/>
          <w:bCs/>
          <w:sz w:val="22"/>
          <w:szCs w:val="22"/>
          <w:lang w:val="en-IE" w:eastAsia="ja-JP"/>
        </w:rPr>
        <w:t xml:space="preserve"> Monitoring Committees (SMCs), and providing technical assistance will support these efforts</w:t>
      </w:r>
      <w:r w:rsidRPr="00DF7F48">
        <w:rPr>
          <w:rFonts w:eastAsia="Calibri"/>
          <w:bCs/>
          <w:sz w:val="22"/>
          <w:szCs w:val="22"/>
          <w:lang w:eastAsia="ja-JP"/>
        </w:rPr>
        <w:t>.</w:t>
      </w:r>
    </w:p>
    <w:p w14:paraId="4A468278" w14:textId="77777777" w:rsidR="00065708" w:rsidRPr="00DF7F48" w:rsidRDefault="00272335">
      <w:pPr>
        <w:spacing w:before="60" w:after="60"/>
        <w:contextualSpacing/>
        <w:rPr>
          <w:i/>
          <w:iCs/>
          <w:sz w:val="22"/>
          <w:szCs w:val="22"/>
        </w:rPr>
      </w:pPr>
      <w:r w:rsidRPr="00DF7F48">
        <w:rPr>
          <w:rFonts w:eastAsia="Calibri"/>
          <w:bCs/>
          <w:sz w:val="22"/>
          <w:szCs w:val="22"/>
          <w:lang w:eastAsia="ja-JP"/>
        </w:rPr>
        <w:t>Thus, the interventions for ‘Supporting Authorities to Effectively Manage OP ‘Jobs and Opportunities’ will contribute towards accomplishment of OP Specific Objective (Outcome) for ‘</w:t>
      </w:r>
      <w:r w:rsidRPr="00DF7F48">
        <w:rPr>
          <w:i/>
          <w:iCs/>
          <w:sz w:val="22"/>
          <w:szCs w:val="22"/>
        </w:rPr>
        <w:t xml:space="preserve">Increased readiness of North Macedonia for EU accession negotiations under Chapter 22’. </w:t>
      </w:r>
    </w:p>
    <w:p w14:paraId="67A956F5" w14:textId="77777777" w:rsidR="00065708" w:rsidRPr="00DF7F48" w:rsidRDefault="00272335" w:rsidP="00DF7F48">
      <w:pPr>
        <w:tabs>
          <w:tab w:val="left" w:pos="993"/>
          <w:tab w:val="left" w:pos="1701"/>
        </w:tabs>
        <w:outlineLvl w:val="0"/>
        <w:rPr>
          <w:b/>
          <w:bCs/>
          <w:sz w:val="22"/>
          <w:szCs w:val="22"/>
        </w:rPr>
      </w:pPr>
      <w:r w:rsidRPr="00DF7F48">
        <w:rPr>
          <w:b/>
          <w:bCs/>
          <w:sz w:val="22"/>
          <w:szCs w:val="22"/>
        </w:rPr>
        <w:lastRenderedPageBreak/>
        <w:t xml:space="preserve">5.2 Overall Objective of the Operation: </w:t>
      </w:r>
    </w:p>
    <w:p w14:paraId="6679E877" w14:textId="77777777" w:rsidR="00065708" w:rsidRPr="00DF7F48" w:rsidRDefault="00272335" w:rsidP="00DF7F48">
      <w:pPr>
        <w:spacing w:after="120"/>
        <w:rPr>
          <w:sz w:val="22"/>
          <w:szCs w:val="22"/>
          <w:lang w:val="en-IE" w:eastAsia="ja-JP"/>
        </w:rPr>
      </w:pPr>
      <w:r w:rsidRPr="00DF7F48">
        <w:rPr>
          <w:sz w:val="22"/>
          <w:szCs w:val="22"/>
          <w:lang w:val="en-IE" w:eastAsia="ja-JP"/>
        </w:rPr>
        <w:t>To increased readiness of North Macedonia for EU accession negotiations under Chapter 22.</w:t>
      </w:r>
    </w:p>
    <w:p w14:paraId="1666E314" w14:textId="77777777" w:rsidR="00065708" w:rsidRPr="00DF7F48" w:rsidRDefault="00272335" w:rsidP="00DF7F48">
      <w:pPr>
        <w:tabs>
          <w:tab w:val="left" w:pos="1701"/>
        </w:tabs>
        <w:outlineLvl w:val="0"/>
        <w:rPr>
          <w:b/>
          <w:bCs/>
          <w:i/>
          <w:iCs/>
          <w:sz w:val="22"/>
          <w:szCs w:val="22"/>
        </w:rPr>
      </w:pPr>
      <w:r w:rsidRPr="00DF7F48">
        <w:rPr>
          <w:b/>
          <w:bCs/>
          <w:sz w:val="22"/>
          <w:szCs w:val="22"/>
        </w:rPr>
        <w:t xml:space="preserve">5.3 Specific Objectives of the Operation: </w:t>
      </w:r>
      <w:r w:rsidRPr="00DF7F48">
        <w:rPr>
          <w:b/>
          <w:bCs/>
          <w:i/>
          <w:iCs/>
          <w:sz w:val="22"/>
          <w:szCs w:val="22"/>
        </w:rPr>
        <w:t xml:space="preserve"> </w:t>
      </w:r>
    </w:p>
    <w:p w14:paraId="04222B3E" w14:textId="77777777" w:rsidR="00065708" w:rsidRPr="00DF7F48" w:rsidRDefault="00272335" w:rsidP="00DF7F48">
      <w:pPr>
        <w:spacing w:after="120"/>
        <w:rPr>
          <w:sz w:val="22"/>
          <w:szCs w:val="22"/>
        </w:rPr>
      </w:pPr>
      <w:r w:rsidRPr="00DF7F48">
        <w:rPr>
          <w:sz w:val="22"/>
          <w:szCs w:val="22"/>
          <w:lang w:val="en-IE"/>
        </w:rPr>
        <w:t xml:space="preserve">To improve management of EU financial assistance in the human resources development sector in accordance with EU requirements and best practices. </w:t>
      </w:r>
    </w:p>
    <w:p w14:paraId="45BADEDE" w14:textId="77777777" w:rsidR="00065708" w:rsidRPr="00DF7F48" w:rsidRDefault="00272335" w:rsidP="00DF7F48">
      <w:pPr>
        <w:tabs>
          <w:tab w:val="left" w:pos="1701"/>
        </w:tabs>
        <w:spacing w:after="120"/>
        <w:outlineLvl w:val="0"/>
        <w:rPr>
          <w:b/>
          <w:bCs/>
          <w:sz w:val="22"/>
          <w:szCs w:val="22"/>
        </w:rPr>
      </w:pPr>
      <w:r w:rsidRPr="00DF7F48">
        <w:rPr>
          <w:b/>
          <w:bCs/>
          <w:sz w:val="22"/>
          <w:szCs w:val="22"/>
        </w:rPr>
        <w:t xml:space="preserve">5.4 Outputs: </w:t>
      </w:r>
    </w:p>
    <w:p w14:paraId="2D04C05E" w14:textId="77777777" w:rsidR="00065708" w:rsidRPr="00DF7F48" w:rsidRDefault="00272335">
      <w:pPr>
        <w:spacing w:before="60" w:after="60"/>
        <w:contextualSpacing/>
        <w:rPr>
          <w:i/>
          <w:iCs/>
          <w:sz w:val="22"/>
          <w:szCs w:val="22"/>
          <w:u w:val="single"/>
          <w:lang w:eastAsia="ja-JP"/>
        </w:rPr>
      </w:pPr>
      <w:r w:rsidRPr="00DF7F48">
        <w:rPr>
          <w:i/>
          <w:iCs/>
          <w:sz w:val="22"/>
          <w:szCs w:val="22"/>
          <w:u w:val="single"/>
          <w:lang w:eastAsia="ja-JP"/>
        </w:rPr>
        <w:t>Activity 1 - Support to sustainable human resources policy for the IPA Structures</w:t>
      </w:r>
    </w:p>
    <w:p w14:paraId="2A54A832" w14:textId="77777777" w:rsidR="00065708" w:rsidRPr="00DF7F48" w:rsidRDefault="00272335" w:rsidP="00272335">
      <w:pPr>
        <w:pStyle w:val="ListParagraph"/>
        <w:numPr>
          <w:ilvl w:val="0"/>
          <w:numId w:val="12"/>
        </w:numPr>
        <w:spacing w:before="60" w:after="60"/>
        <w:ind w:left="720" w:hanging="360"/>
        <w:rPr>
          <w:sz w:val="22"/>
          <w:szCs w:val="22"/>
          <w:lang w:eastAsia="ja-JP"/>
        </w:rPr>
      </w:pPr>
      <w:r w:rsidRPr="00DF7F48">
        <w:rPr>
          <w:sz w:val="22"/>
          <w:szCs w:val="22"/>
          <w:lang w:eastAsia="ja-JP"/>
        </w:rPr>
        <w:t xml:space="preserve">Strengthened human resources capacities and retention of IPA structure for </w:t>
      </w:r>
      <w:r w:rsidRPr="00DF7F48">
        <w:rPr>
          <w:bCs/>
          <w:iCs/>
          <w:sz w:val="22"/>
          <w:szCs w:val="22"/>
          <w:lang w:eastAsia="ja-JP"/>
        </w:rPr>
        <w:t>OP “Jobs and Opportunities”</w:t>
      </w:r>
      <w:r w:rsidRPr="00DF7F48">
        <w:rPr>
          <w:sz w:val="22"/>
          <w:szCs w:val="22"/>
          <w:lang w:eastAsia="ja-JP"/>
        </w:rPr>
        <w:t>.</w:t>
      </w:r>
    </w:p>
    <w:p w14:paraId="0CC55C09" w14:textId="77777777" w:rsidR="00065708" w:rsidRPr="00DF7F48" w:rsidRDefault="00272335">
      <w:pPr>
        <w:spacing w:before="60" w:after="60"/>
        <w:contextualSpacing/>
        <w:rPr>
          <w:i/>
          <w:iCs/>
          <w:sz w:val="22"/>
          <w:szCs w:val="22"/>
          <w:u w:val="single"/>
          <w:lang w:eastAsia="ja-JP"/>
        </w:rPr>
      </w:pPr>
      <w:r w:rsidRPr="00DF7F48">
        <w:rPr>
          <w:i/>
          <w:iCs/>
          <w:sz w:val="22"/>
          <w:szCs w:val="22"/>
          <w:u w:val="single"/>
          <w:lang w:eastAsia="ja-JP"/>
        </w:rPr>
        <w:t>Activity 2 – Support to the Implementation of the SOP “Jobs and Opportunities”</w:t>
      </w:r>
    </w:p>
    <w:p w14:paraId="0A687EE5" w14:textId="77777777" w:rsidR="00065708" w:rsidRPr="00DF7F48" w:rsidRDefault="00272335" w:rsidP="00272335">
      <w:pPr>
        <w:pStyle w:val="ListParagraph"/>
        <w:numPr>
          <w:ilvl w:val="0"/>
          <w:numId w:val="2"/>
        </w:numPr>
        <w:spacing w:before="60" w:after="60"/>
        <w:ind w:left="720" w:hanging="360"/>
        <w:rPr>
          <w:i/>
          <w:iCs/>
          <w:sz w:val="22"/>
          <w:szCs w:val="22"/>
          <w:u w:val="single"/>
          <w:lang w:eastAsia="ja-JP"/>
        </w:rPr>
      </w:pPr>
      <w:r w:rsidRPr="00DF7F48">
        <w:rPr>
          <w:bCs/>
          <w:sz w:val="22"/>
          <w:szCs w:val="22"/>
        </w:rPr>
        <w:t>Enhanced capacities of relevant staff for preparation, management, implementation, monitoring, audit and control of OP “Jobs and Opportunities</w:t>
      </w:r>
      <w:bookmarkStart w:id="2" w:name="_Hlk142311303"/>
      <w:bookmarkEnd w:id="2"/>
      <w:r w:rsidRPr="00DF7F48">
        <w:rPr>
          <w:bCs/>
          <w:sz w:val="22"/>
          <w:szCs w:val="22"/>
        </w:rPr>
        <w:t>”</w:t>
      </w:r>
      <w:r w:rsidRPr="00DF7F48">
        <w:rPr>
          <w:i/>
          <w:iCs/>
          <w:sz w:val="22"/>
          <w:szCs w:val="22"/>
          <w:u w:val="single"/>
          <w:lang w:eastAsia="ja-JP"/>
        </w:rPr>
        <w:t>.</w:t>
      </w:r>
    </w:p>
    <w:p w14:paraId="65D8BE74" w14:textId="77777777" w:rsidR="00065708" w:rsidRPr="00DF7F48" w:rsidRDefault="00272335">
      <w:pPr>
        <w:spacing w:before="60" w:after="60"/>
        <w:contextualSpacing/>
        <w:rPr>
          <w:i/>
          <w:iCs/>
          <w:sz w:val="22"/>
          <w:szCs w:val="22"/>
          <w:u w:val="single"/>
          <w:lang w:eastAsia="ja-JP"/>
        </w:rPr>
      </w:pPr>
      <w:r w:rsidRPr="00DF7F48">
        <w:rPr>
          <w:i/>
          <w:iCs/>
          <w:sz w:val="22"/>
          <w:szCs w:val="22"/>
          <w:u w:val="single"/>
          <w:lang w:eastAsia="ja-JP"/>
        </w:rPr>
        <w:t>Activity 3 – Improving the technical capacities of the MA and IPA structure for Implementation of OP Jobs and Opportunities</w:t>
      </w:r>
    </w:p>
    <w:p w14:paraId="470F48DF" w14:textId="77777777" w:rsidR="00065708" w:rsidRPr="00DF7F48" w:rsidRDefault="00272335" w:rsidP="00272335">
      <w:pPr>
        <w:pStyle w:val="ListParagraph"/>
        <w:numPr>
          <w:ilvl w:val="0"/>
          <w:numId w:val="2"/>
        </w:numPr>
        <w:spacing w:before="60" w:after="60"/>
        <w:ind w:left="720" w:hanging="360"/>
        <w:rPr>
          <w:sz w:val="22"/>
          <w:szCs w:val="22"/>
          <w:lang w:eastAsia="ja-JP"/>
        </w:rPr>
      </w:pPr>
      <w:r w:rsidRPr="00DF7F48">
        <w:rPr>
          <w:sz w:val="22"/>
          <w:szCs w:val="22"/>
          <w:lang w:eastAsia="ja-JP"/>
        </w:rPr>
        <w:t>Improved physical and working space conditions for staff employed in IPA III structure.</w:t>
      </w:r>
    </w:p>
    <w:p w14:paraId="306B7FF5" w14:textId="77777777" w:rsidR="00065708" w:rsidRPr="00DF7F48" w:rsidRDefault="00272335" w:rsidP="00272335">
      <w:pPr>
        <w:pStyle w:val="ListParagraph"/>
        <w:numPr>
          <w:ilvl w:val="0"/>
          <w:numId w:val="2"/>
        </w:numPr>
        <w:spacing w:before="60" w:after="60"/>
        <w:ind w:left="720" w:hanging="360"/>
        <w:rPr>
          <w:sz w:val="22"/>
          <w:szCs w:val="22"/>
          <w:lang w:eastAsia="ja-JP"/>
        </w:rPr>
      </w:pPr>
      <w:r w:rsidRPr="00DF7F48">
        <w:rPr>
          <w:sz w:val="22"/>
          <w:szCs w:val="22"/>
          <w:lang w:eastAsia="ja-JP"/>
        </w:rPr>
        <w:t>Upgraded functionalities of MIS system.</w:t>
      </w:r>
    </w:p>
    <w:p w14:paraId="2718B7E4" w14:textId="77777777" w:rsidR="00065708" w:rsidRPr="00DF7F48" w:rsidRDefault="00272335">
      <w:pPr>
        <w:spacing w:before="60" w:after="60"/>
        <w:contextualSpacing/>
        <w:rPr>
          <w:sz w:val="22"/>
          <w:szCs w:val="22"/>
        </w:rPr>
      </w:pPr>
      <w:r w:rsidRPr="00DF7F48">
        <w:rPr>
          <w:sz w:val="22"/>
          <w:szCs w:val="22"/>
        </w:rPr>
        <w:t xml:space="preserve">The above-listed outputs will contribute to achievement of relevant output 3.1 </w:t>
      </w:r>
      <w:proofErr w:type="gramStart"/>
      <w:r w:rsidRPr="00DF7F48">
        <w:rPr>
          <w:rFonts w:eastAsia="Calibri"/>
          <w:sz w:val="22"/>
          <w:szCs w:val="22"/>
          <w:lang w:val="en-IE" w:eastAsia="ja-JP"/>
        </w:rPr>
        <w:t>Improved</w:t>
      </w:r>
      <w:proofErr w:type="gramEnd"/>
      <w:r w:rsidRPr="00DF7F48">
        <w:rPr>
          <w:rFonts w:eastAsia="Calibri"/>
          <w:sz w:val="22"/>
          <w:szCs w:val="22"/>
          <w:lang w:val="en-IE" w:eastAsia="ja-JP"/>
        </w:rPr>
        <w:t xml:space="preserve"> management of EU financial assistance in accordance with EU requirements and best practices</w:t>
      </w:r>
      <w:r w:rsidRPr="00DF7F48">
        <w:rPr>
          <w:sz w:val="22"/>
          <w:szCs w:val="22"/>
          <w:lang w:eastAsia="ja-JP"/>
        </w:rPr>
        <w:t xml:space="preserve"> as defined in IPA III 2024-2027 Operational Programme “Jobs and Opportunities”</w:t>
      </w:r>
      <w:r w:rsidRPr="00DF7F48">
        <w:rPr>
          <w:sz w:val="22"/>
          <w:szCs w:val="22"/>
        </w:rPr>
        <w:t>.</w:t>
      </w:r>
    </w:p>
    <w:p w14:paraId="6E028F90" w14:textId="77777777" w:rsidR="00065708" w:rsidRPr="00DF7F48" w:rsidRDefault="00272335" w:rsidP="00DF7F48">
      <w:pPr>
        <w:tabs>
          <w:tab w:val="left" w:pos="1701"/>
        </w:tabs>
        <w:outlineLvl w:val="0"/>
        <w:rPr>
          <w:b/>
          <w:bCs/>
          <w:sz w:val="22"/>
          <w:szCs w:val="22"/>
        </w:rPr>
      </w:pPr>
      <w:r w:rsidRPr="00DF7F48">
        <w:rPr>
          <w:b/>
          <w:bCs/>
          <w:sz w:val="22"/>
          <w:szCs w:val="22"/>
        </w:rPr>
        <w:t>5.5 Indicative activities:</w:t>
      </w:r>
    </w:p>
    <w:p w14:paraId="734A69D7" w14:textId="77777777" w:rsidR="00065708" w:rsidRPr="00DF7F48" w:rsidRDefault="00272335" w:rsidP="00DF7F48">
      <w:pPr>
        <w:suppressAutoHyphens/>
        <w:spacing w:after="120"/>
        <w:rPr>
          <w:i/>
          <w:iCs/>
          <w:sz w:val="22"/>
          <w:szCs w:val="22"/>
          <w:u w:val="single"/>
          <w:lang w:eastAsia="ja-JP"/>
        </w:rPr>
      </w:pPr>
      <w:bookmarkStart w:id="3" w:name="_Hlk142311163"/>
      <w:bookmarkStart w:id="4" w:name="_Hlk140484607"/>
      <w:bookmarkEnd w:id="3"/>
      <w:bookmarkEnd w:id="4"/>
      <w:r w:rsidRPr="00DF7F48">
        <w:rPr>
          <w:i/>
          <w:iCs/>
          <w:sz w:val="22"/>
          <w:szCs w:val="22"/>
          <w:u w:val="single"/>
          <w:lang w:eastAsia="ja-JP"/>
        </w:rPr>
        <w:t>Activity 1 - Support to sustainable human resources policy for the IPA III Structures</w:t>
      </w:r>
    </w:p>
    <w:p w14:paraId="08CB57EB" w14:textId="77777777" w:rsidR="00065708" w:rsidRPr="00DF7F48" w:rsidRDefault="00272335" w:rsidP="00272335">
      <w:pPr>
        <w:numPr>
          <w:ilvl w:val="0"/>
          <w:numId w:val="5"/>
        </w:numPr>
        <w:suppressAutoHyphens/>
        <w:spacing w:before="60" w:after="60"/>
        <w:ind w:left="360" w:hanging="360"/>
        <w:contextualSpacing/>
        <w:rPr>
          <w:sz w:val="22"/>
          <w:szCs w:val="22"/>
          <w:lang w:eastAsia="ja-JP"/>
        </w:rPr>
      </w:pPr>
      <w:r w:rsidRPr="00DF7F48">
        <w:rPr>
          <w:sz w:val="22"/>
          <w:szCs w:val="22"/>
          <w:lang w:eastAsia="ja-JP"/>
        </w:rPr>
        <w:t>Financing the salaries and fees of additional expert staff in MA and IBFM based on selection and recruitment procedures in compliance Commission</w:t>
      </w:r>
      <w:r w:rsidRPr="00DF7F48">
        <w:rPr>
          <w:rStyle w:val="FootnoteReference"/>
          <w:sz w:val="22"/>
          <w:szCs w:val="22"/>
          <w:lang w:eastAsia="ja-JP"/>
        </w:rPr>
        <w:footnoteReference w:id="2"/>
      </w:r>
      <w:r w:rsidRPr="00DF7F48">
        <w:rPr>
          <w:sz w:val="22"/>
          <w:szCs w:val="22"/>
          <w:lang w:eastAsia="ja-JP"/>
        </w:rPr>
        <w:t xml:space="preserve"> and national rules,</w:t>
      </w:r>
    </w:p>
    <w:p w14:paraId="7BF87AC1" w14:textId="77777777" w:rsidR="00065708" w:rsidRPr="00DF7F48" w:rsidRDefault="00272335" w:rsidP="00272335">
      <w:pPr>
        <w:numPr>
          <w:ilvl w:val="0"/>
          <w:numId w:val="5"/>
        </w:numPr>
        <w:suppressAutoHyphens/>
        <w:spacing w:before="60" w:after="60"/>
        <w:ind w:left="360" w:hanging="360"/>
        <w:contextualSpacing/>
        <w:rPr>
          <w:sz w:val="22"/>
          <w:szCs w:val="22"/>
          <w:lang w:eastAsia="ja-JP"/>
        </w:rPr>
      </w:pPr>
      <w:r w:rsidRPr="00DF7F48">
        <w:rPr>
          <w:sz w:val="22"/>
          <w:szCs w:val="22"/>
          <w:lang w:eastAsia="ja-JP"/>
        </w:rPr>
        <w:t xml:space="preserve">Supporting retention policy measure through financing the top-ups fees of salaries of IPA OP structure under the Indirect Management of Beneficiary Country (IMBC) [in </w:t>
      </w:r>
      <w:bookmarkStart w:id="5" w:name="_Hlk142481545"/>
      <w:bookmarkEnd w:id="5"/>
      <w:r w:rsidRPr="00DF7F48">
        <w:rPr>
          <w:sz w:val="22"/>
          <w:szCs w:val="22"/>
          <w:lang w:eastAsia="ja-JP"/>
        </w:rPr>
        <w:t xml:space="preserve">the </w:t>
      </w:r>
      <w:r w:rsidRPr="00DF7F48">
        <w:rPr>
          <w:sz w:val="22"/>
          <w:szCs w:val="22"/>
          <w:lang w:val="en-IE" w:eastAsia="ja-JP"/>
        </w:rPr>
        <w:t>Managing Authority, Office of the National IPA Coordinator (NIPAC) (Department for Coordination of European Funds and Other Foreign Assistance), National Authorising Officer (NAO), Management Structure (MS)</w:t>
      </w:r>
      <w:r w:rsidRPr="00DF7F48">
        <w:rPr>
          <w:sz w:val="22"/>
          <w:szCs w:val="22"/>
          <w:lang w:eastAsia="ja-JP"/>
        </w:rPr>
        <w:t xml:space="preserve"> in the Ministry of Finance </w:t>
      </w:r>
      <w:r w:rsidRPr="00DF7F48">
        <w:rPr>
          <w:sz w:val="22"/>
          <w:szCs w:val="22"/>
          <w:lang w:val="en-IE" w:eastAsia="ja-JP"/>
        </w:rPr>
        <w:t xml:space="preserve">(MF), </w:t>
      </w:r>
      <w:r w:rsidRPr="00DF7F48">
        <w:rPr>
          <w:sz w:val="22"/>
          <w:szCs w:val="22"/>
          <w:lang w:eastAsia="ja-JP"/>
        </w:rPr>
        <w:t>Intermediate Body for Financial Management (IBFM) in the Ministry of Finance</w:t>
      </w:r>
      <w:r w:rsidRPr="00DF7F48">
        <w:rPr>
          <w:sz w:val="22"/>
          <w:szCs w:val="22"/>
          <w:lang w:val="en-IE" w:eastAsia="ja-JP"/>
        </w:rPr>
        <w:t xml:space="preserve"> (MF) and Audit Authority (AA)],</w:t>
      </w:r>
    </w:p>
    <w:p w14:paraId="068A3AA6" w14:textId="77777777" w:rsidR="00065708" w:rsidRPr="00DF7F48" w:rsidRDefault="00272335">
      <w:pPr>
        <w:suppressAutoHyphens/>
        <w:spacing w:before="60" w:after="60"/>
        <w:contextualSpacing/>
        <w:rPr>
          <w:sz w:val="22"/>
          <w:szCs w:val="22"/>
          <w:lang w:eastAsia="ja-JP"/>
        </w:rPr>
      </w:pPr>
      <w:r w:rsidRPr="00DF7F48">
        <w:rPr>
          <w:sz w:val="22"/>
          <w:szCs w:val="22"/>
          <w:lang w:eastAsia="ja-JP"/>
        </w:rPr>
        <w:t>The expenditures mentioned under above shall be financed, if the following conditions, are met:</w:t>
      </w:r>
    </w:p>
    <w:p w14:paraId="7FF8A195" w14:textId="77777777" w:rsidR="00065708" w:rsidRPr="00DF7F48" w:rsidRDefault="00272335" w:rsidP="00272335">
      <w:pPr>
        <w:numPr>
          <w:ilvl w:val="0"/>
          <w:numId w:val="5"/>
        </w:numPr>
        <w:suppressAutoHyphens/>
        <w:spacing w:before="60" w:after="60"/>
        <w:ind w:left="360" w:hanging="360"/>
        <w:contextualSpacing/>
        <w:rPr>
          <w:sz w:val="22"/>
          <w:szCs w:val="22"/>
          <w:lang w:eastAsia="ja-JP"/>
        </w:rPr>
      </w:pPr>
      <w:r w:rsidRPr="00DF7F48">
        <w:rPr>
          <w:sz w:val="22"/>
          <w:szCs w:val="22"/>
          <w:lang w:eastAsia="ja-JP"/>
        </w:rPr>
        <w:t>Adoption of the legal base for the retention policy measures.</w:t>
      </w:r>
    </w:p>
    <w:p w14:paraId="005BC293" w14:textId="77777777" w:rsidR="00065708" w:rsidRPr="00DF7F48" w:rsidRDefault="00272335" w:rsidP="00272335">
      <w:pPr>
        <w:numPr>
          <w:ilvl w:val="0"/>
          <w:numId w:val="5"/>
        </w:numPr>
        <w:suppressAutoHyphens/>
        <w:spacing w:before="60" w:after="60"/>
        <w:ind w:left="360" w:hanging="360"/>
        <w:contextualSpacing/>
        <w:rPr>
          <w:sz w:val="22"/>
          <w:szCs w:val="22"/>
          <w:lang w:eastAsia="ja-JP"/>
        </w:rPr>
      </w:pPr>
      <w:r w:rsidRPr="00DF7F48">
        <w:rPr>
          <w:sz w:val="22"/>
          <w:szCs w:val="22"/>
          <w:lang w:eastAsia="ja-JP"/>
        </w:rPr>
        <w:t>Staff concerned will be directly recruited (or seconded) to IPA III OP structure (MA and IBMF) to execute exclusively tasks related to the management and implementation of OP “Jobs and Opportunities” and it will be supported with duly documented decisions of competent institutions.</w:t>
      </w:r>
    </w:p>
    <w:p w14:paraId="5B44352D" w14:textId="77777777" w:rsidR="00065708" w:rsidRPr="00DF7F48" w:rsidRDefault="00272335" w:rsidP="00272335">
      <w:pPr>
        <w:numPr>
          <w:ilvl w:val="0"/>
          <w:numId w:val="5"/>
        </w:numPr>
        <w:suppressAutoHyphens/>
        <w:spacing w:before="60" w:after="60"/>
        <w:ind w:left="360" w:hanging="360"/>
        <w:contextualSpacing/>
        <w:rPr>
          <w:sz w:val="22"/>
          <w:szCs w:val="22"/>
          <w:lang w:eastAsia="ja-JP"/>
        </w:rPr>
      </w:pPr>
      <w:r w:rsidRPr="00DF7F48">
        <w:rPr>
          <w:sz w:val="22"/>
          <w:szCs w:val="22"/>
          <w:lang w:eastAsia="ja-JP"/>
        </w:rPr>
        <w:t>Period of employment and/or secondment will not exceed the final date of eligibility of IPA III 2024-2027 OP “Jobs and Opportunities” laid down in its Financial Agreement (FA).</w:t>
      </w:r>
    </w:p>
    <w:p w14:paraId="62B8ECE4" w14:textId="77777777" w:rsidR="00065708" w:rsidRPr="00DF7F48" w:rsidRDefault="00272335">
      <w:pPr>
        <w:suppressAutoHyphens/>
        <w:spacing w:before="60" w:after="60"/>
        <w:rPr>
          <w:i/>
          <w:iCs/>
          <w:sz w:val="22"/>
          <w:szCs w:val="22"/>
          <w:highlight w:val="yellow"/>
          <w:u w:val="single"/>
          <w:lang w:eastAsia="ja-JP"/>
        </w:rPr>
      </w:pPr>
      <w:r w:rsidRPr="00DF7F48">
        <w:rPr>
          <w:i/>
          <w:iCs/>
          <w:sz w:val="22"/>
          <w:szCs w:val="22"/>
          <w:u w:val="single"/>
          <w:lang w:eastAsia="ja-JP"/>
        </w:rPr>
        <w:t>Activity 2 – Support to the Implementation of the OP “Jobs and Opportunities”</w:t>
      </w:r>
    </w:p>
    <w:p w14:paraId="6B64E47B" w14:textId="77777777" w:rsidR="00065708" w:rsidRPr="00DF7F48" w:rsidRDefault="00272335" w:rsidP="00272335">
      <w:pPr>
        <w:pStyle w:val="ListParagraph"/>
        <w:numPr>
          <w:ilvl w:val="0"/>
          <w:numId w:val="13"/>
        </w:numPr>
        <w:spacing w:before="60" w:after="60"/>
        <w:ind w:hanging="360"/>
        <w:rPr>
          <w:sz w:val="22"/>
          <w:szCs w:val="22"/>
        </w:rPr>
      </w:pPr>
      <w:r w:rsidRPr="00DF7F48">
        <w:rPr>
          <w:sz w:val="22"/>
          <w:szCs w:val="22"/>
        </w:rPr>
        <w:t>Support in the management and control systems and performance of MA supervisory role in OP management.</w:t>
      </w:r>
    </w:p>
    <w:p w14:paraId="189E33FA" w14:textId="77777777" w:rsidR="00065708" w:rsidRPr="00DF7F48" w:rsidRDefault="00272335" w:rsidP="00272335">
      <w:pPr>
        <w:pStyle w:val="ListParagraph"/>
        <w:numPr>
          <w:ilvl w:val="0"/>
          <w:numId w:val="13"/>
        </w:numPr>
        <w:spacing w:before="60" w:after="60"/>
        <w:ind w:hanging="360"/>
        <w:rPr>
          <w:sz w:val="22"/>
          <w:szCs w:val="22"/>
          <w:lang w:val="fr-BE"/>
        </w:rPr>
      </w:pPr>
      <w:r w:rsidRPr="00DF7F48">
        <w:rPr>
          <w:sz w:val="22"/>
          <w:szCs w:val="22"/>
          <w:lang w:val="fr-BE"/>
        </w:rPr>
        <w:t xml:space="preserve">Support MA in </w:t>
      </w:r>
      <w:proofErr w:type="spellStart"/>
      <w:r w:rsidRPr="00DF7F48">
        <w:rPr>
          <w:sz w:val="22"/>
          <w:szCs w:val="22"/>
          <w:lang w:val="fr-BE"/>
        </w:rPr>
        <w:t>quality</w:t>
      </w:r>
      <w:proofErr w:type="spellEnd"/>
      <w:r w:rsidRPr="00DF7F48">
        <w:rPr>
          <w:sz w:val="22"/>
          <w:szCs w:val="22"/>
          <w:lang w:val="fr-BE"/>
        </w:rPr>
        <w:t xml:space="preserve"> control of </w:t>
      </w:r>
      <w:proofErr w:type="spellStart"/>
      <w:r w:rsidRPr="00DF7F48">
        <w:rPr>
          <w:sz w:val="22"/>
          <w:szCs w:val="22"/>
          <w:lang w:val="fr-BE"/>
        </w:rPr>
        <w:t>implementation</w:t>
      </w:r>
      <w:proofErr w:type="spellEnd"/>
      <w:r w:rsidRPr="00DF7F48">
        <w:rPr>
          <w:sz w:val="22"/>
          <w:szCs w:val="22"/>
          <w:lang w:val="fr-BE"/>
        </w:rPr>
        <w:t xml:space="preserve"> documents, tender dossiers, </w:t>
      </w:r>
      <w:proofErr w:type="spellStart"/>
      <w:r w:rsidRPr="00DF7F48">
        <w:rPr>
          <w:sz w:val="22"/>
          <w:szCs w:val="22"/>
          <w:lang w:val="fr-BE"/>
        </w:rPr>
        <w:t>contract</w:t>
      </w:r>
      <w:proofErr w:type="spellEnd"/>
      <w:r w:rsidRPr="00DF7F48">
        <w:rPr>
          <w:sz w:val="22"/>
          <w:szCs w:val="22"/>
          <w:lang w:val="fr-BE"/>
        </w:rPr>
        <w:t xml:space="preserve"> </w:t>
      </w:r>
      <w:proofErr w:type="spellStart"/>
      <w:r w:rsidRPr="00DF7F48">
        <w:rPr>
          <w:sz w:val="22"/>
          <w:szCs w:val="22"/>
          <w:lang w:val="fr-BE"/>
        </w:rPr>
        <w:t>related</w:t>
      </w:r>
      <w:proofErr w:type="spellEnd"/>
      <w:r w:rsidRPr="00DF7F48">
        <w:rPr>
          <w:sz w:val="22"/>
          <w:szCs w:val="22"/>
          <w:lang w:val="fr-BE"/>
        </w:rPr>
        <w:t xml:space="preserve"> documents, etc.</w:t>
      </w:r>
    </w:p>
    <w:p w14:paraId="083CC9E0" w14:textId="77777777" w:rsidR="00065708" w:rsidRPr="00DF7F48" w:rsidRDefault="00272335" w:rsidP="00272335">
      <w:pPr>
        <w:pStyle w:val="ListParagraph"/>
        <w:numPr>
          <w:ilvl w:val="0"/>
          <w:numId w:val="13"/>
        </w:numPr>
        <w:spacing w:before="60" w:after="60"/>
        <w:ind w:hanging="360"/>
        <w:rPr>
          <w:sz w:val="22"/>
          <w:szCs w:val="22"/>
        </w:rPr>
      </w:pPr>
      <w:r w:rsidRPr="00DF7F48">
        <w:rPr>
          <w:sz w:val="22"/>
          <w:szCs w:val="22"/>
        </w:rPr>
        <w:t>Support in new implementation arrangements, including ex-post control, specific expertise and knowledge.</w:t>
      </w:r>
    </w:p>
    <w:p w14:paraId="1F1957DD" w14:textId="77777777" w:rsidR="00065708" w:rsidRPr="00DF7F48" w:rsidRDefault="00272335" w:rsidP="00272335">
      <w:pPr>
        <w:pStyle w:val="ListParagraph"/>
        <w:numPr>
          <w:ilvl w:val="0"/>
          <w:numId w:val="5"/>
        </w:numPr>
        <w:suppressAutoHyphens/>
        <w:spacing w:before="60" w:after="60"/>
        <w:ind w:left="360" w:hanging="360"/>
        <w:rPr>
          <w:sz w:val="22"/>
          <w:szCs w:val="22"/>
          <w:lang w:eastAsia="ja-JP"/>
        </w:rPr>
      </w:pPr>
      <w:r w:rsidRPr="00DF7F48">
        <w:rPr>
          <w:sz w:val="22"/>
          <w:szCs w:val="22"/>
          <w:lang w:eastAsia="ja-JP"/>
        </w:rPr>
        <w:t xml:space="preserve">Capacity building of relevant staff for </w:t>
      </w:r>
      <w:r w:rsidRPr="00DF7F48">
        <w:rPr>
          <w:bCs/>
          <w:iCs/>
          <w:sz w:val="22"/>
          <w:szCs w:val="22"/>
          <w:lang w:eastAsia="ja-JP"/>
        </w:rPr>
        <w:t>preparation, management, implementation, monitoring, audit, and control of OP</w:t>
      </w:r>
      <w:r w:rsidRPr="00DF7F48">
        <w:rPr>
          <w:sz w:val="22"/>
          <w:szCs w:val="22"/>
          <w:lang w:eastAsia="ja-JP"/>
        </w:rPr>
        <w:t>.</w:t>
      </w:r>
    </w:p>
    <w:p w14:paraId="2A4C89AF" w14:textId="77777777" w:rsidR="00065708" w:rsidRPr="00DF7F48" w:rsidRDefault="00272335" w:rsidP="00272335">
      <w:pPr>
        <w:pStyle w:val="ListParagraph"/>
        <w:numPr>
          <w:ilvl w:val="0"/>
          <w:numId w:val="5"/>
        </w:numPr>
        <w:suppressAutoHyphens/>
        <w:spacing w:before="60" w:after="60"/>
        <w:ind w:left="360" w:hanging="360"/>
        <w:rPr>
          <w:sz w:val="22"/>
          <w:szCs w:val="22"/>
          <w:lang w:eastAsia="ja-JP"/>
        </w:rPr>
      </w:pPr>
      <w:r w:rsidRPr="00DF7F48">
        <w:rPr>
          <w:sz w:val="22"/>
          <w:szCs w:val="22"/>
          <w:lang w:eastAsia="ja-JP"/>
        </w:rPr>
        <w:t>Engagement of assessors for grant proposals;</w:t>
      </w:r>
    </w:p>
    <w:p w14:paraId="554AD497" w14:textId="77777777" w:rsidR="00065708" w:rsidRPr="00DF7F48" w:rsidRDefault="00272335" w:rsidP="00272335">
      <w:pPr>
        <w:pStyle w:val="ListParagraph"/>
        <w:numPr>
          <w:ilvl w:val="0"/>
          <w:numId w:val="5"/>
        </w:numPr>
        <w:suppressAutoHyphens/>
        <w:spacing w:before="60" w:after="60"/>
        <w:ind w:left="360" w:hanging="360"/>
        <w:rPr>
          <w:sz w:val="22"/>
          <w:szCs w:val="22"/>
          <w:lang w:eastAsia="ja-JP"/>
        </w:rPr>
      </w:pPr>
      <w:r w:rsidRPr="00DF7F48">
        <w:rPr>
          <w:sz w:val="22"/>
          <w:szCs w:val="22"/>
          <w:lang w:eastAsia="ja-JP"/>
        </w:rPr>
        <w:t>Supporting the organization of Sector Monitoring Committee (SMC), Sector Working Group (SWG) and ad-hoc meetings.</w:t>
      </w:r>
    </w:p>
    <w:p w14:paraId="32CA92C7" w14:textId="77777777" w:rsidR="00065708" w:rsidRPr="00DF7F48" w:rsidRDefault="00272335" w:rsidP="00272335">
      <w:pPr>
        <w:pStyle w:val="ListParagraph"/>
        <w:numPr>
          <w:ilvl w:val="0"/>
          <w:numId w:val="5"/>
        </w:numPr>
        <w:suppressAutoHyphens/>
        <w:spacing w:before="60" w:after="60"/>
        <w:ind w:left="360" w:hanging="360"/>
        <w:rPr>
          <w:sz w:val="22"/>
          <w:szCs w:val="22"/>
          <w:lang w:eastAsia="ja-JP"/>
        </w:rPr>
      </w:pPr>
      <w:r w:rsidRPr="00DF7F48">
        <w:rPr>
          <w:sz w:val="22"/>
          <w:szCs w:val="22"/>
          <w:lang w:eastAsia="ja-JP"/>
        </w:rPr>
        <w:t>Programme level or thematic evaluations, surveys, etc.</w:t>
      </w:r>
    </w:p>
    <w:p w14:paraId="206DA1AE" w14:textId="77777777" w:rsidR="00065708" w:rsidRPr="00DF7F48" w:rsidRDefault="00272335" w:rsidP="00272335">
      <w:pPr>
        <w:pStyle w:val="ListParagraph"/>
        <w:numPr>
          <w:ilvl w:val="0"/>
          <w:numId w:val="5"/>
        </w:numPr>
        <w:suppressAutoHyphens/>
        <w:spacing w:before="60" w:after="60"/>
        <w:ind w:left="360" w:hanging="360"/>
        <w:rPr>
          <w:sz w:val="22"/>
          <w:szCs w:val="22"/>
          <w:lang w:eastAsia="ja-JP"/>
        </w:rPr>
      </w:pPr>
      <w:r w:rsidRPr="00DF7F48">
        <w:rPr>
          <w:sz w:val="22"/>
          <w:szCs w:val="22"/>
          <w:lang w:eastAsia="ja-JP"/>
        </w:rPr>
        <w:lastRenderedPageBreak/>
        <w:t xml:space="preserve">Supporting the publicity and visibility activities and information dissemination due to implementation of OP, including organising trainings and information sessions. </w:t>
      </w:r>
    </w:p>
    <w:p w14:paraId="28E04B55" w14:textId="77777777" w:rsidR="00065708" w:rsidRPr="00DF7F48" w:rsidRDefault="00272335" w:rsidP="00272335">
      <w:pPr>
        <w:pStyle w:val="ListParagraph"/>
        <w:numPr>
          <w:ilvl w:val="0"/>
          <w:numId w:val="5"/>
        </w:numPr>
        <w:suppressAutoHyphens/>
        <w:spacing w:before="60" w:after="60"/>
        <w:ind w:left="360" w:hanging="360"/>
        <w:rPr>
          <w:sz w:val="22"/>
          <w:szCs w:val="22"/>
          <w:lang w:eastAsia="ja-JP"/>
        </w:rPr>
      </w:pPr>
      <w:r w:rsidRPr="00DF7F48">
        <w:rPr>
          <w:sz w:val="22"/>
          <w:szCs w:val="22"/>
          <w:lang w:eastAsia="ja-JP"/>
        </w:rPr>
        <w:t xml:space="preserve">Conducting the OP external evaluations. </w:t>
      </w:r>
    </w:p>
    <w:p w14:paraId="3FB6BB6B" w14:textId="77777777" w:rsidR="00065708" w:rsidRPr="00DF7F48" w:rsidRDefault="00272335" w:rsidP="00272335">
      <w:pPr>
        <w:numPr>
          <w:ilvl w:val="0"/>
          <w:numId w:val="5"/>
        </w:numPr>
        <w:suppressAutoHyphens/>
        <w:spacing w:before="60" w:after="60"/>
        <w:ind w:left="360" w:hanging="360"/>
        <w:contextualSpacing/>
        <w:rPr>
          <w:sz w:val="22"/>
          <w:szCs w:val="22"/>
          <w:lang w:eastAsia="ja-JP"/>
        </w:rPr>
      </w:pPr>
      <w:bookmarkStart w:id="6" w:name="_Hlk142481043"/>
      <w:bookmarkEnd w:id="6"/>
      <w:r w:rsidRPr="00DF7F48">
        <w:rPr>
          <w:sz w:val="22"/>
          <w:szCs w:val="22"/>
          <w:lang w:eastAsia="ja-JP"/>
        </w:rPr>
        <w:t>Financing other operating expenditures</w:t>
      </w:r>
      <w:r w:rsidRPr="00DF7F48">
        <w:rPr>
          <w:rStyle w:val="FootnoteReference"/>
          <w:sz w:val="22"/>
          <w:szCs w:val="22"/>
        </w:rPr>
        <w:footnoteReference w:id="3"/>
      </w:r>
      <w:r w:rsidRPr="00DF7F48">
        <w:rPr>
          <w:sz w:val="22"/>
          <w:szCs w:val="22"/>
          <w:lang w:eastAsia="ja-JP"/>
        </w:rPr>
        <w:t xml:space="preserve"> related to the management and implementation of IPA III OP “Jobs and Opportunities”.</w:t>
      </w:r>
    </w:p>
    <w:p w14:paraId="6040D2E8" w14:textId="6174142E" w:rsidR="00065708" w:rsidRPr="00DF7F48" w:rsidRDefault="00272335" w:rsidP="00272335">
      <w:pPr>
        <w:pStyle w:val="ListParagraph"/>
        <w:numPr>
          <w:ilvl w:val="0"/>
          <w:numId w:val="5"/>
        </w:numPr>
        <w:suppressAutoHyphens/>
        <w:spacing w:before="60" w:after="60"/>
        <w:ind w:left="360" w:hanging="360"/>
        <w:rPr>
          <w:sz w:val="22"/>
          <w:szCs w:val="22"/>
          <w:lang w:eastAsia="ja-JP"/>
        </w:rPr>
      </w:pPr>
      <w:r w:rsidRPr="00DF7F48">
        <w:rPr>
          <w:sz w:val="22"/>
          <w:szCs w:val="22"/>
          <w:lang w:eastAsia="ja-JP"/>
        </w:rPr>
        <w:t xml:space="preserve">Providing technical support and </w:t>
      </w:r>
      <w:r w:rsidR="00EA062C" w:rsidRPr="00DF7F48">
        <w:rPr>
          <w:sz w:val="22"/>
          <w:szCs w:val="22"/>
          <w:lang w:eastAsia="ja-JP"/>
        </w:rPr>
        <w:t xml:space="preserve">(further) development of the </w:t>
      </w:r>
      <w:r w:rsidRPr="00DF7F48">
        <w:rPr>
          <w:sz w:val="22"/>
          <w:szCs w:val="22"/>
          <w:lang w:eastAsia="ja-JP"/>
        </w:rPr>
        <w:t xml:space="preserve">Management Information System (MIS) in regard to </w:t>
      </w:r>
      <w:r w:rsidRPr="00DF7F48">
        <w:rPr>
          <w:bCs/>
          <w:iCs/>
          <w:sz w:val="22"/>
          <w:szCs w:val="22"/>
          <w:lang w:eastAsia="ja-JP"/>
        </w:rPr>
        <w:t>preparation, management, implementation, monitoring, audit and control of projects funded.</w:t>
      </w:r>
    </w:p>
    <w:p w14:paraId="31E802B9" w14:textId="3D372518" w:rsidR="00065708" w:rsidRPr="00DF7F48" w:rsidRDefault="00272335" w:rsidP="00272335">
      <w:pPr>
        <w:pStyle w:val="ListParagraph"/>
        <w:numPr>
          <w:ilvl w:val="0"/>
          <w:numId w:val="5"/>
        </w:numPr>
        <w:suppressAutoHyphens/>
        <w:spacing w:before="60" w:after="60"/>
        <w:ind w:left="360" w:hanging="360"/>
        <w:rPr>
          <w:sz w:val="22"/>
          <w:szCs w:val="22"/>
          <w:lang w:eastAsia="ja-JP"/>
        </w:rPr>
      </w:pPr>
      <w:r w:rsidRPr="00DF7F48">
        <w:rPr>
          <w:bCs/>
          <w:iCs/>
          <w:sz w:val="22"/>
          <w:szCs w:val="22"/>
          <w:lang w:eastAsia="ja-JP"/>
        </w:rPr>
        <w:t>Capacity building of staff within ESA to become Intermediary Body</w:t>
      </w:r>
      <w:r w:rsidRPr="00DF7F48">
        <w:rPr>
          <w:sz w:val="22"/>
          <w:szCs w:val="22"/>
          <w:lang w:eastAsia="ja-JP"/>
        </w:rPr>
        <w:t>.</w:t>
      </w:r>
    </w:p>
    <w:p w14:paraId="710E8765" w14:textId="77777777" w:rsidR="00065708" w:rsidRPr="00DF7F48" w:rsidRDefault="00272335" w:rsidP="00DF7F48">
      <w:pPr>
        <w:pStyle w:val="ListParagraph"/>
        <w:suppressAutoHyphens/>
        <w:spacing w:after="120"/>
        <w:ind w:left="0"/>
        <w:contextualSpacing w:val="0"/>
        <w:rPr>
          <w:i/>
          <w:iCs/>
          <w:sz w:val="22"/>
          <w:szCs w:val="22"/>
          <w:u w:val="single"/>
          <w:lang w:eastAsia="ja-JP"/>
        </w:rPr>
      </w:pPr>
      <w:r w:rsidRPr="00DF7F48">
        <w:rPr>
          <w:i/>
          <w:iCs/>
          <w:sz w:val="22"/>
          <w:szCs w:val="22"/>
          <w:u w:val="single"/>
          <w:lang w:eastAsia="ja-JP"/>
        </w:rPr>
        <w:t>Activity 3– Improving the technical capacities of the MA and remaining IPA structure for Implementation of OP Jobs and Opportunities</w:t>
      </w:r>
    </w:p>
    <w:p w14:paraId="556D3430" w14:textId="77777777" w:rsidR="00065708" w:rsidRPr="00DF7F48" w:rsidRDefault="00272335" w:rsidP="00272335">
      <w:pPr>
        <w:pStyle w:val="ListParagraph"/>
        <w:numPr>
          <w:ilvl w:val="0"/>
          <w:numId w:val="4"/>
        </w:numPr>
        <w:suppressAutoHyphens/>
        <w:spacing w:before="60" w:after="60"/>
        <w:ind w:left="357" w:hanging="357"/>
        <w:rPr>
          <w:sz w:val="22"/>
          <w:szCs w:val="22"/>
          <w:lang w:eastAsia="ja-JP"/>
        </w:rPr>
      </w:pPr>
      <w:bookmarkStart w:id="7" w:name="_Hlk142482837"/>
      <w:bookmarkEnd w:id="7"/>
      <w:r w:rsidRPr="00DF7F48">
        <w:rPr>
          <w:sz w:val="22"/>
          <w:szCs w:val="22"/>
          <w:lang w:eastAsia="ja-JP"/>
        </w:rPr>
        <w:t>Modernization and/ or adaptation of working premises.</w:t>
      </w:r>
    </w:p>
    <w:p w14:paraId="5977F113" w14:textId="77777777" w:rsidR="00065708" w:rsidRPr="00DF7F48" w:rsidRDefault="00272335" w:rsidP="00272335">
      <w:pPr>
        <w:pStyle w:val="ListParagraph"/>
        <w:numPr>
          <w:ilvl w:val="0"/>
          <w:numId w:val="4"/>
        </w:numPr>
        <w:suppressAutoHyphens/>
        <w:spacing w:before="60" w:after="60"/>
        <w:ind w:left="357" w:hanging="357"/>
        <w:rPr>
          <w:sz w:val="22"/>
          <w:szCs w:val="22"/>
          <w:lang w:eastAsia="ja-JP"/>
        </w:rPr>
      </w:pPr>
      <w:r w:rsidRPr="00DF7F48">
        <w:rPr>
          <w:sz w:val="22"/>
          <w:szCs w:val="22"/>
          <w:lang w:eastAsia="ja-JP"/>
        </w:rPr>
        <w:t>Purchase of IT equipment and furniture, purchase of vehicle(s) for monitoring visits, etc.</w:t>
      </w:r>
    </w:p>
    <w:p w14:paraId="6039C3FF" w14:textId="77777777" w:rsidR="00065708" w:rsidRPr="00DF7F48" w:rsidRDefault="00272335" w:rsidP="00DF7F48">
      <w:pPr>
        <w:tabs>
          <w:tab w:val="left" w:pos="1701"/>
        </w:tabs>
        <w:spacing w:after="120"/>
        <w:outlineLvl w:val="0"/>
        <w:rPr>
          <w:b/>
          <w:bCs/>
          <w:sz w:val="22"/>
          <w:szCs w:val="22"/>
        </w:rPr>
      </w:pPr>
      <w:r w:rsidRPr="00DF7F48">
        <w:rPr>
          <w:b/>
          <w:bCs/>
          <w:sz w:val="22"/>
          <w:szCs w:val="22"/>
        </w:rPr>
        <w:t>5.6 Indicators</w:t>
      </w:r>
      <w:r w:rsidRPr="00DF7F48">
        <w:rPr>
          <w:rStyle w:val="FootnoteReference"/>
          <w:b/>
          <w:bCs/>
          <w:sz w:val="22"/>
          <w:szCs w:val="22"/>
        </w:rPr>
        <w:footnoteReference w:id="4"/>
      </w:r>
      <w:r w:rsidRPr="00DF7F48">
        <w:rPr>
          <w:b/>
          <w:bCs/>
          <w:sz w:val="22"/>
          <w:szCs w:val="22"/>
        </w:rPr>
        <w:t>:</w:t>
      </w:r>
    </w:p>
    <w:tbl>
      <w:tblPr>
        <w:tblW w:w="9863" w:type="dxa"/>
        <w:jc w:val="center"/>
        <w:tblCellMar>
          <w:left w:w="10" w:type="dxa"/>
          <w:right w:w="10" w:type="dxa"/>
        </w:tblCellMar>
        <w:tblLook w:val="04A0" w:firstRow="1" w:lastRow="0" w:firstColumn="1" w:lastColumn="0" w:noHBand="0" w:noVBand="1"/>
      </w:tblPr>
      <w:tblGrid>
        <w:gridCol w:w="1038"/>
        <w:gridCol w:w="3051"/>
        <w:gridCol w:w="1005"/>
        <w:gridCol w:w="1121"/>
        <w:gridCol w:w="3648"/>
      </w:tblGrid>
      <w:tr w:rsidR="00065708" w:rsidRPr="00DF7F48" w14:paraId="7CA87DC0" w14:textId="77777777">
        <w:trPr>
          <w:trHeight w:val="379"/>
          <w:jc w:val="center"/>
        </w:trPr>
        <w:tc>
          <w:tcPr>
            <w:tcW w:w="1038"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2320E4DB" w14:textId="77777777" w:rsidR="00065708" w:rsidRPr="00DF7F48" w:rsidRDefault="00065708">
            <w:pPr>
              <w:spacing w:before="0"/>
              <w:jc w:val="center"/>
              <w:rPr>
                <w:b/>
                <w:szCs w:val="20"/>
                <w:lang w:val="en-US" w:eastAsia="ja-JP"/>
              </w:rPr>
            </w:pPr>
          </w:p>
        </w:tc>
        <w:tc>
          <w:tcPr>
            <w:tcW w:w="3051"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3FF86985" w14:textId="77777777" w:rsidR="00065708" w:rsidRPr="00DF7F48" w:rsidRDefault="00272335">
            <w:pPr>
              <w:spacing w:before="0"/>
              <w:jc w:val="center"/>
              <w:rPr>
                <w:b/>
                <w:szCs w:val="20"/>
                <w:lang w:val="en-US" w:eastAsia="ja-JP"/>
              </w:rPr>
            </w:pPr>
            <w:r w:rsidRPr="00DF7F48">
              <w:rPr>
                <w:b/>
                <w:szCs w:val="20"/>
                <w:lang w:val="en-US" w:eastAsia="ja-JP"/>
              </w:rPr>
              <w:t>Indicator</w:t>
            </w:r>
          </w:p>
        </w:tc>
        <w:tc>
          <w:tcPr>
            <w:tcW w:w="1005"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37F4E37E" w14:textId="77777777" w:rsidR="00065708" w:rsidRPr="00DF7F48" w:rsidRDefault="00272335">
            <w:pPr>
              <w:spacing w:before="0"/>
              <w:jc w:val="center"/>
              <w:rPr>
                <w:b/>
                <w:szCs w:val="20"/>
                <w:lang w:val="en-US" w:eastAsia="ja-JP"/>
              </w:rPr>
            </w:pPr>
            <w:r w:rsidRPr="00DF7F48">
              <w:rPr>
                <w:b/>
                <w:szCs w:val="20"/>
                <w:lang w:val="en-US" w:eastAsia="ja-JP"/>
              </w:rPr>
              <w:t xml:space="preserve">Baseline </w:t>
            </w:r>
          </w:p>
          <w:p w14:paraId="48C819E3" w14:textId="77777777" w:rsidR="00065708" w:rsidRPr="00DF7F48" w:rsidRDefault="00272335">
            <w:pPr>
              <w:spacing w:before="0"/>
              <w:jc w:val="center"/>
              <w:rPr>
                <w:b/>
                <w:szCs w:val="20"/>
                <w:lang w:val="en-US" w:eastAsia="ja-JP"/>
              </w:rPr>
            </w:pPr>
            <w:r w:rsidRPr="00DF7F48">
              <w:rPr>
                <w:b/>
                <w:szCs w:val="20"/>
                <w:lang w:val="en-US" w:eastAsia="ja-JP"/>
              </w:rPr>
              <w:t>(2022)</w:t>
            </w:r>
          </w:p>
        </w:tc>
        <w:tc>
          <w:tcPr>
            <w:tcW w:w="1121"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3F95ED63" w14:textId="77777777" w:rsidR="00065708" w:rsidRPr="00DF7F48" w:rsidRDefault="00272335">
            <w:pPr>
              <w:spacing w:before="0"/>
              <w:jc w:val="center"/>
              <w:rPr>
                <w:b/>
                <w:szCs w:val="20"/>
                <w:lang w:val="en-US" w:eastAsia="ja-JP"/>
              </w:rPr>
            </w:pPr>
            <w:r w:rsidRPr="00DF7F48">
              <w:rPr>
                <w:b/>
                <w:szCs w:val="20"/>
                <w:lang w:val="en-US" w:eastAsia="ja-JP"/>
              </w:rPr>
              <w:t>Target (2032)</w:t>
            </w:r>
          </w:p>
        </w:tc>
        <w:tc>
          <w:tcPr>
            <w:tcW w:w="3648"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75C0B339" w14:textId="77777777" w:rsidR="00065708" w:rsidRPr="00DF7F48" w:rsidRDefault="00272335">
            <w:pPr>
              <w:spacing w:before="0"/>
              <w:jc w:val="center"/>
              <w:rPr>
                <w:b/>
                <w:szCs w:val="20"/>
                <w:lang w:val="en-US" w:eastAsia="ja-JP"/>
              </w:rPr>
            </w:pPr>
            <w:r w:rsidRPr="00DF7F48">
              <w:rPr>
                <w:b/>
                <w:szCs w:val="20"/>
                <w:lang w:val="en-US" w:eastAsia="ja-JP"/>
              </w:rPr>
              <w:t>Source</w:t>
            </w:r>
          </w:p>
        </w:tc>
      </w:tr>
      <w:tr w:rsidR="00065708" w:rsidRPr="00DF7F48" w14:paraId="0B830BA3" w14:textId="77777777">
        <w:trPr>
          <w:trHeight w:val="379"/>
          <w:jc w:val="center"/>
        </w:trPr>
        <w:tc>
          <w:tcPr>
            <w:tcW w:w="10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6ED2C41" w14:textId="77777777" w:rsidR="00065708" w:rsidRPr="00DF7F48" w:rsidRDefault="00272335">
            <w:pPr>
              <w:spacing w:before="0"/>
              <w:jc w:val="center"/>
              <w:rPr>
                <w:b/>
                <w:bCs/>
                <w:szCs w:val="20"/>
                <w:lang w:val="en-US" w:eastAsia="ja-JP"/>
              </w:rPr>
            </w:pPr>
            <w:r w:rsidRPr="00DF7F48">
              <w:rPr>
                <w:b/>
                <w:bCs/>
                <w:szCs w:val="20"/>
                <w:lang w:val="en-US" w:eastAsia="ja-JP"/>
              </w:rPr>
              <w:t>Overall objective</w:t>
            </w:r>
          </w:p>
        </w:tc>
        <w:tc>
          <w:tcPr>
            <w:tcW w:w="30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3C79D0B" w14:textId="77777777" w:rsidR="00065708" w:rsidRPr="00DF7F48" w:rsidRDefault="00272335">
            <w:pPr>
              <w:spacing w:before="0"/>
              <w:jc w:val="center"/>
              <w:rPr>
                <w:b/>
                <w:bCs/>
                <w:color w:val="0070C0"/>
                <w:szCs w:val="20"/>
                <w:lang w:val="en-US" w:eastAsia="ja-JP"/>
              </w:rPr>
            </w:pPr>
            <w:r w:rsidRPr="00DF7F48">
              <w:rPr>
                <w:szCs w:val="20"/>
                <w:lang w:val="en-US"/>
              </w:rPr>
              <w:t>% of EU funds absorbed under OP</w:t>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BE08A43" w14:textId="77777777" w:rsidR="00065708" w:rsidRPr="00DF7F48" w:rsidRDefault="00272335">
            <w:pPr>
              <w:spacing w:before="0"/>
              <w:jc w:val="center"/>
              <w:rPr>
                <w:b/>
                <w:bCs/>
                <w:color w:val="0070C0"/>
                <w:szCs w:val="20"/>
                <w:lang w:val="en-US" w:eastAsia="ja-JP"/>
              </w:rPr>
            </w:pPr>
            <w:r w:rsidRPr="00DF7F48">
              <w:rPr>
                <w:szCs w:val="20"/>
                <w:lang w:val="en-US"/>
              </w:rPr>
              <w:t>0</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024E8F5" w14:textId="77777777" w:rsidR="00065708" w:rsidRPr="00DF7F48" w:rsidRDefault="00272335">
            <w:pPr>
              <w:spacing w:before="0"/>
              <w:jc w:val="center"/>
              <w:rPr>
                <w:b/>
                <w:bCs/>
                <w:color w:val="0070C0"/>
                <w:szCs w:val="20"/>
                <w:lang w:val="en-US" w:eastAsia="ja-JP"/>
              </w:rPr>
            </w:pPr>
            <w:r w:rsidRPr="00DF7F48">
              <w:rPr>
                <w:szCs w:val="20"/>
                <w:lang w:val="en-US"/>
              </w:rPr>
              <w:t>≥90%</w:t>
            </w:r>
          </w:p>
        </w:tc>
        <w:tc>
          <w:tcPr>
            <w:tcW w:w="364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309D6D1" w14:textId="77777777" w:rsidR="00065708" w:rsidRPr="00DF7F48" w:rsidRDefault="00272335">
            <w:pPr>
              <w:spacing w:before="0"/>
              <w:jc w:val="center"/>
              <w:rPr>
                <w:b/>
                <w:bCs/>
                <w:color w:val="0070C0"/>
                <w:szCs w:val="20"/>
                <w:lang w:val="en-US" w:eastAsia="ja-JP"/>
              </w:rPr>
            </w:pPr>
            <w:r w:rsidRPr="00DF7F48">
              <w:rPr>
                <w:szCs w:val="20"/>
                <w:lang w:val="en-US"/>
              </w:rPr>
              <w:t>Annual reports on program implementation; NAO reports</w:t>
            </w:r>
          </w:p>
        </w:tc>
      </w:tr>
      <w:tr w:rsidR="00065708" w:rsidRPr="00DF7F48" w14:paraId="1D026234" w14:textId="77777777">
        <w:trPr>
          <w:trHeight w:val="379"/>
          <w:jc w:val="center"/>
        </w:trPr>
        <w:tc>
          <w:tcPr>
            <w:tcW w:w="10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D621B6C" w14:textId="77777777" w:rsidR="00065708" w:rsidRPr="00DF7F48" w:rsidRDefault="00272335">
            <w:pPr>
              <w:spacing w:before="0"/>
              <w:jc w:val="center"/>
              <w:rPr>
                <w:b/>
                <w:bCs/>
                <w:szCs w:val="20"/>
                <w:lang w:val="en-US" w:eastAsia="ja-JP"/>
              </w:rPr>
            </w:pPr>
            <w:r w:rsidRPr="00DF7F48">
              <w:rPr>
                <w:b/>
                <w:bCs/>
                <w:szCs w:val="20"/>
                <w:lang w:val="en-US" w:eastAsia="ja-JP"/>
              </w:rPr>
              <w:t>Specific Objective</w:t>
            </w:r>
          </w:p>
        </w:tc>
        <w:tc>
          <w:tcPr>
            <w:tcW w:w="30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7C2C257" w14:textId="77777777" w:rsidR="00065708" w:rsidRPr="00DF7F48" w:rsidRDefault="00272335">
            <w:pPr>
              <w:spacing w:before="0"/>
              <w:jc w:val="center"/>
              <w:rPr>
                <w:b/>
                <w:bCs/>
                <w:color w:val="0070C0"/>
                <w:szCs w:val="20"/>
                <w:lang w:val="en-US" w:eastAsia="ja-JP"/>
              </w:rPr>
            </w:pPr>
            <w:r w:rsidRPr="00DF7F48">
              <w:rPr>
                <w:szCs w:val="20"/>
                <w:lang w:val="en-US"/>
              </w:rPr>
              <w:t>Number of completed OP projects</w:t>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5A68815" w14:textId="77777777" w:rsidR="00065708" w:rsidRPr="00DF7F48" w:rsidRDefault="00272335">
            <w:pPr>
              <w:spacing w:before="0"/>
              <w:jc w:val="center"/>
              <w:rPr>
                <w:b/>
                <w:bCs/>
                <w:color w:val="0070C0"/>
                <w:szCs w:val="20"/>
                <w:lang w:val="en-US" w:eastAsia="ja-JP"/>
              </w:rPr>
            </w:pPr>
            <w:r w:rsidRPr="00DF7F48">
              <w:rPr>
                <w:szCs w:val="20"/>
                <w:lang w:val="en-US"/>
              </w:rPr>
              <w:t>0</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0BF467F" w14:textId="77777777" w:rsidR="00065708" w:rsidRPr="00DF7F48" w:rsidRDefault="00272335">
            <w:pPr>
              <w:spacing w:before="0"/>
              <w:jc w:val="center"/>
              <w:rPr>
                <w:b/>
                <w:bCs/>
                <w:color w:val="0070C0"/>
                <w:szCs w:val="20"/>
                <w:lang w:val="en-US" w:eastAsia="ja-JP"/>
              </w:rPr>
            </w:pPr>
            <w:r w:rsidRPr="00DF7F48">
              <w:rPr>
                <w:szCs w:val="20"/>
                <w:lang w:val="en-US"/>
              </w:rPr>
              <w:t>≥15</w:t>
            </w:r>
          </w:p>
        </w:tc>
        <w:tc>
          <w:tcPr>
            <w:tcW w:w="364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500712C" w14:textId="77777777" w:rsidR="00065708" w:rsidRPr="00DF7F48" w:rsidRDefault="00272335">
            <w:pPr>
              <w:spacing w:before="0"/>
              <w:jc w:val="center"/>
              <w:rPr>
                <w:b/>
                <w:bCs/>
                <w:color w:val="0070C0"/>
                <w:szCs w:val="20"/>
                <w:lang w:val="en-US" w:eastAsia="ja-JP"/>
              </w:rPr>
            </w:pPr>
            <w:r w:rsidRPr="00DF7F48">
              <w:rPr>
                <w:szCs w:val="20"/>
                <w:lang w:val="en-US"/>
              </w:rPr>
              <w:t>Annual reports on program implementation</w:t>
            </w:r>
          </w:p>
        </w:tc>
      </w:tr>
      <w:tr w:rsidR="00065708" w:rsidRPr="00DF7F48" w14:paraId="6A117020" w14:textId="77777777">
        <w:trPr>
          <w:trHeight w:val="360"/>
          <w:jc w:val="center"/>
        </w:trPr>
        <w:tc>
          <w:tcPr>
            <w:tcW w:w="10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F7E27B9" w14:textId="77777777" w:rsidR="00065708" w:rsidRPr="00DF7F48" w:rsidRDefault="00065708">
            <w:pPr>
              <w:rPr>
                <w:szCs w:val="20"/>
              </w:rPr>
            </w:pPr>
          </w:p>
        </w:tc>
        <w:tc>
          <w:tcPr>
            <w:tcW w:w="30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5C6E54F" w14:textId="77777777" w:rsidR="00065708" w:rsidRPr="00DF7F48" w:rsidRDefault="00272335">
            <w:pPr>
              <w:spacing w:before="0"/>
              <w:jc w:val="center"/>
              <w:rPr>
                <w:szCs w:val="20"/>
                <w:lang w:val="en-US"/>
              </w:rPr>
            </w:pPr>
            <w:r w:rsidRPr="00DF7F48">
              <w:rPr>
                <w:szCs w:val="20"/>
                <w:lang w:val="en-US"/>
              </w:rPr>
              <w:t>Staff turnover rate</w:t>
            </w:r>
            <w:r w:rsidRPr="00DF7F48">
              <w:rPr>
                <w:rStyle w:val="FootnoteReference"/>
                <w:szCs w:val="20"/>
                <w:lang w:val="en-US"/>
              </w:rPr>
              <w:footnoteReference w:id="5"/>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57E057" w14:textId="77777777" w:rsidR="00065708" w:rsidRPr="00DF7F48" w:rsidRDefault="00272335">
            <w:pPr>
              <w:spacing w:before="0"/>
              <w:jc w:val="center"/>
              <w:rPr>
                <w:szCs w:val="20"/>
                <w:lang w:val="en-US"/>
              </w:rPr>
            </w:pPr>
            <w:r w:rsidRPr="00DF7F48">
              <w:rPr>
                <w:szCs w:val="20"/>
                <w:lang w:val="en-US"/>
              </w:rPr>
              <w:t>0</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8463EDF" w14:textId="77777777" w:rsidR="00065708" w:rsidRPr="00DF7F48" w:rsidRDefault="00272335">
            <w:pPr>
              <w:spacing w:before="0"/>
              <w:jc w:val="center"/>
              <w:rPr>
                <w:szCs w:val="20"/>
                <w:lang w:val="en-US"/>
              </w:rPr>
            </w:pPr>
            <w:r w:rsidRPr="00DF7F48">
              <w:rPr>
                <w:szCs w:val="20"/>
                <w:lang w:val="en-US"/>
              </w:rPr>
              <w:t>≤ 10%</w:t>
            </w:r>
          </w:p>
        </w:tc>
        <w:tc>
          <w:tcPr>
            <w:tcW w:w="364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9E6E5FA" w14:textId="77777777" w:rsidR="00065708" w:rsidRPr="00DF7F48" w:rsidRDefault="00272335">
            <w:pPr>
              <w:spacing w:before="0"/>
              <w:jc w:val="center"/>
              <w:rPr>
                <w:szCs w:val="20"/>
                <w:lang w:val="en-US"/>
              </w:rPr>
            </w:pPr>
            <w:r w:rsidRPr="00DF7F48">
              <w:rPr>
                <w:szCs w:val="20"/>
                <w:lang w:val="en-US"/>
              </w:rPr>
              <w:t>Annual reports on program implementation; NAO reports</w:t>
            </w:r>
          </w:p>
        </w:tc>
      </w:tr>
      <w:tr w:rsidR="00065708" w:rsidRPr="00DF7F48" w14:paraId="48B75D9B" w14:textId="77777777">
        <w:trPr>
          <w:trHeight w:val="96"/>
          <w:jc w:val="center"/>
        </w:trPr>
        <w:tc>
          <w:tcPr>
            <w:tcW w:w="10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A076054" w14:textId="77777777" w:rsidR="00065708" w:rsidRPr="00DF7F48" w:rsidRDefault="00272335">
            <w:pPr>
              <w:spacing w:before="0"/>
              <w:jc w:val="center"/>
              <w:rPr>
                <w:b/>
                <w:bCs/>
                <w:szCs w:val="20"/>
              </w:rPr>
            </w:pPr>
            <w:r w:rsidRPr="00DF7F48">
              <w:rPr>
                <w:b/>
                <w:bCs/>
                <w:szCs w:val="20"/>
              </w:rPr>
              <w:t>Outputs</w:t>
            </w:r>
          </w:p>
        </w:tc>
        <w:tc>
          <w:tcPr>
            <w:tcW w:w="30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8075526" w14:textId="77777777" w:rsidR="00065708" w:rsidRPr="00DF7F48" w:rsidRDefault="00272335">
            <w:pPr>
              <w:spacing w:before="0"/>
              <w:jc w:val="center"/>
              <w:rPr>
                <w:szCs w:val="20"/>
                <w:lang w:val="en-US" w:eastAsia="ja-JP"/>
              </w:rPr>
            </w:pPr>
            <w:r w:rsidRPr="00DF7F48">
              <w:rPr>
                <w:szCs w:val="20"/>
                <w:lang w:val="en-US" w:eastAsia="ja-JP"/>
              </w:rPr>
              <w:t>Number of staff trained</w:t>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C5A7C74" w14:textId="77777777" w:rsidR="00065708" w:rsidRPr="00DF7F48" w:rsidRDefault="00272335">
            <w:pPr>
              <w:spacing w:before="0"/>
              <w:jc w:val="center"/>
              <w:rPr>
                <w:szCs w:val="20"/>
                <w:lang w:val="en-US" w:eastAsia="ja-JP"/>
              </w:rPr>
            </w:pPr>
            <w:r w:rsidRPr="00DF7F48">
              <w:rPr>
                <w:szCs w:val="20"/>
                <w:lang w:val="en-US" w:eastAsia="ja-JP"/>
              </w:rPr>
              <w:t>0</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6654C54" w14:textId="77777777" w:rsidR="00065708" w:rsidRPr="00DF7F48" w:rsidRDefault="00272335">
            <w:pPr>
              <w:spacing w:before="0"/>
              <w:jc w:val="center"/>
              <w:rPr>
                <w:szCs w:val="20"/>
                <w:lang w:val="en-US" w:eastAsia="ja-JP"/>
              </w:rPr>
            </w:pPr>
            <w:r w:rsidRPr="00DF7F48">
              <w:rPr>
                <w:szCs w:val="20"/>
                <w:lang w:val="en-US"/>
              </w:rPr>
              <w:t>≥</w:t>
            </w:r>
            <w:r w:rsidRPr="00DF7F48">
              <w:rPr>
                <w:szCs w:val="20"/>
                <w:lang w:val="en-US" w:eastAsia="ja-JP"/>
              </w:rPr>
              <w:t>60</w:t>
            </w:r>
          </w:p>
        </w:tc>
        <w:tc>
          <w:tcPr>
            <w:tcW w:w="364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72DF25B" w14:textId="77777777" w:rsidR="00065708" w:rsidRPr="00DF7F48" w:rsidRDefault="00272335">
            <w:pPr>
              <w:spacing w:before="0"/>
              <w:jc w:val="center"/>
              <w:rPr>
                <w:szCs w:val="20"/>
                <w:lang w:val="en-US" w:eastAsia="ja-JP"/>
              </w:rPr>
            </w:pPr>
            <w:r w:rsidRPr="00DF7F48">
              <w:rPr>
                <w:szCs w:val="20"/>
                <w:lang w:val="en-US" w:eastAsia="ja-JP"/>
              </w:rPr>
              <w:t>Project progress reports</w:t>
            </w:r>
          </w:p>
        </w:tc>
      </w:tr>
      <w:tr w:rsidR="00065708" w:rsidRPr="00DF7F48" w14:paraId="68C7E1B4" w14:textId="77777777">
        <w:trPr>
          <w:trHeight w:val="96"/>
          <w:jc w:val="center"/>
        </w:trPr>
        <w:tc>
          <w:tcPr>
            <w:tcW w:w="10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D8EE743" w14:textId="77777777" w:rsidR="00065708" w:rsidRPr="00DF7F48" w:rsidRDefault="00065708">
            <w:pPr>
              <w:rPr>
                <w:szCs w:val="20"/>
              </w:rPr>
            </w:pPr>
          </w:p>
        </w:tc>
        <w:tc>
          <w:tcPr>
            <w:tcW w:w="30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4ADB05" w14:textId="77777777" w:rsidR="00065708" w:rsidRPr="00DF7F48" w:rsidRDefault="00272335">
            <w:pPr>
              <w:spacing w:before="0"/>
              <w:jc w:val="center"/>
              <w:rPr>
                <w:szCs w:val="20"/>
                <w:lang w:val="en-US" w:eastAsia="ja-JP"/>
              </w:rPr>
            </w:pPr>
            <w:r w:rsidRPr="00DF7F48">
              <w:rPr>
                <w:szCs w:val="20"/>
                <w:lang w:val="en-US" w:eastAsia="ja-JP"/>
              </w:rPr>
              <w:t>Number of tender procedures and call for proposal procedures published</w:t>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8C114F4" w14:textId="77777777" w:rsidR="00065708" w:rsidRPr="00DF7F48" w:rsidRDefault="00272335">
            <w:pPr>
              <w:spacing w:before="0"/>
              <w:jc w:val="center"/>
              <w:rPr>
                <w:szCs w:val="20"/>
                <w:lang w:val="en-US" w:eastAsia="ja-JP"/>
              </w:rPr>
            </w:pPr>
            <w:r w:rsidRPr="00DF7F48">
              <w:rPr>
                <w:szCs w:val="20"/>
                <w:lang w:val="en-US" w:eastAsia="ja-JP"/>
              </w:rPr>
              <w:t>0</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24D88B7" w14:textId="77777777" w:rsidR="00065708" w:rsidRPr="00DF7F48" w:rsidRDefault="00272335">
            <w:pPr>
              <w:spacing w:before="0"/>
              <w:jc w:val="center"/>
              <w:rPr>
                <w:szCs w:val="20"/>
                <w:lang w:val="en-US" w:eastAsia="ja-JP"/>
              </w:rPr>
            </w:pPr>
            <w:r w:rsidRPr="00DF7F48">
              <w:rPr>
                <w:szCs w:val="20"/>
                <w:lang w:val="en-US" w:eastAsia="ja-JP"/>
              </w:rPr>
              <w:t>≥10</w:t>
            </w:r>
          </w:p>
        </w:tc>
        <w:tc>
          <w:tcPr>
            <w:tcW w:w="364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382B78A" w14:textId="77777777" w:rsidR="00065708" w:rsidRPr="00DF7F48" w:rsidRDefault="00272335">
            <w:pPr>
              <w:spacing w:before="0"/>
              <w:jc w:val="center"/>
              <w:rPr>
                <w:szCs w:val="20"/>
                <w:lang w:val="en-US" w:eastAsia="ja-JP"/>
              </w:rPr>
            </w:pPr>
            <w:r w:rsidRPr="00DF7F48">
              <w:rPr>
                <w:szCs w:val="20"/>
                <w:lang w:val="en-US" w:eastAsia="ja-JP"/>
              </w:rPr>
              <w:t>CFCD procurement plan and publications</w:t>
            </w:r>
          </w:p>
        </w:tc>
      </w:tr>
    </w:tbl>
    <w:p w14:paraId="17B80FED" w14:textId="77777777" w:rsidR="00065708" w:rsidRPr="00DF7F48" w:rsidRDefault="00272335" w:rsidP="00DF7F48">
      <w:pPr>
        <w:tabs>
          <w:tab w:val="left" w:pos="1701"/>
        </w:tabs>
        <w:spacing w:after="120"/>
        <w:outlineLvl w:val="0"/>
        <w:rPr>
          <w:b/>
          <w:bCs/>
          <w:color w:val="000000"/>
          <w:sz w:val="22"/>
          <w:szCs w:val="22"/>
        </w:rPr>
      </w:pPr>
      <w:r w:rsidRPr="00DF7F48">
        <w:rPr>
          <w:b/>
          <w:bCs/>
          <w:color w:val="000000"/>
          <w:sz w:val="22"/>
          <w:szCs w:val="22"/>
        </w:rPr>
        <w:t xml:space="preserve">5.7 Indicative location(s): </w:t>
      </w:r>
    </w:p>
    <w:p w14:paraId="0B47B870" w14:textId="77777777" w:rsidR="00065708" w:rsidRPr="00DF7F48" w:rsidRDefault="00272335">
      <w:pPr>
        <w:spacing w:before="60" w:after="60"/>
        <w:contextualSpacing/>
        <w:rPr>
          <w:sz w:val="22"/>
          <w:szCs w:val="22"/>
        </w:rPr>
      </w:pPr>
      <w:r w:rsidRPr="00DF7F48">
        <w:rPr>
          <w:sz w:val="22"/>
          <w:szCs w:val="22"/>
        </w:rPr>
        <w:t xml:space="preserve">Republic of North Macedonia, City of Skopje </w:t>
      </w:r>
    </w:p>
    <w:p w14:paraId="6D978710" w14:textId="77777777" w:rsidR="00065708" w:rsidRPr="00DF7F48" w:rsidRDefault="00272335" w:rsidP="00DF7F48">
      <w:pPr>
        <w:tabs>
          <w:tab w:val="left" w:pos="1701"/>
        </w:tabs>
        <w:spacing w:after="120"/>
        <w:outlineLvl w:val="0"/>
        <w:rPr>
          <w:b/>
          <w:bCs/>
          <w:sz w:val="22"/>
          <w:szCs w:val="22"/>
        </w:rPr>
      </w:pPr>
      <w:r w:rsidRPr="00DF7F48">
        <w:rPr>
          <w:b/>
          <w:bCs/>
          <w:sz w:val="22"/>
          <w:szCs w:val="22"/>
        </w:rPr>
        <w:t xml:space="preserve">5.8 Duration: </w:t>
      </w:r>
    </w:p>
    <w:p w14:paraId="69255DFB" w14:textId="77777777" w:rsidR="00065708" w:rsidRPr="00DF7F48" w:rsidRDefault="00272335">
      <w:pPr>
        <w:spacing w:before="60" w:after="60"/>
        <w:contextualSpacing/>
        <w:rPr>
          <w:sz w:val="22"/>
          <w:szCs w:val="22"/>
        </w:rPr>
      </w:pPr>
      <w:r w:rsidRPr="00DF7F48">
        <w:rPr>
          <w:i/>
          <w:iCs/>
          <w:sz w:val="22"/>
          <w:szCs w:val="22"/>
        </w:rPr>
        <w:t>Activity 1</w:t>
      </w:r>
      <w:r w:rsidRPr="00DF7F48">
        <w:rPr>
          <w:i/>
          <w:iCs/>
          <w:sz w:val="22"/>
          <w:szCs w:val="22"/>
          <w:lang w:eastAsia="ja-JP"/>
        </w:rPr>
        <w:t xml:space="preserve"> </w:t>
      </w:r>
      <w:r w:rsidRPr="00DF7F48">
        <w:rPr>
          <w:i/>
          <w:iCs/>
          <w:sz w:val="22"/>
          <w:szCs w:val="22"/>
        </w:rPr>
        <w:t>Support to sustainable human resources policy for the IPA III Structures</w:t>
      </w:r>
      <w:r w:rsidRPr="00DF7F48">
        <w:rPr>
          <w:sz w:val="22"/>
          <w:szCs w:val="22"/>
        </w:rPr>
        <w:t xml:space="preserve"> – 96 months (8 years)</w:t>
      </w:r>
    </w:p>
    <w:p w14:paraId="5993590C" w14:textId="77777777" w:rsidR="00065708" w:rsidRPr="00DF7F48" w:rsidRDefault="00272335">
      <w:pPr>
        <w:spacing w:before="60" w:after="60"/>
        <w:contextualSpacing/>
        <w:rPr>
          <w:sz w:val="22"/>
          <w:szCs w:val="22"/>
        </w:rPr>
      </w:pPr>
      <w:r w:rsidRPr="00DF7F48">
        <w:rPr>
          <w:i/>
          <w:iCs/>
          <w:sz w:val="22"/>
          <w:szCs w:val="22"/>
        </w:rPr>
        <w:t>Activity 2</w:t>
      </w:r>
      <w:r w:rsidRPr="00DF7F48">
        <w:rPr>
          <w:sz w:val="22"/>
          <w:szCs w:val="22"/>
        </w:rPr>
        <w:t xml:space="preserve"> </w:t>
      </w:r>
      <w:r w:rsidRPr="00DF7F48">
        <w:rPr>
          <w:i/>
          <w:iCs/>
          <w:sz w:val="22"/>
          <w:szCs w:val="22"/>
        </w:rPr>
        <w:t>Support to the Implementation of the SOP “Jobs and Opportunities”</w:t>
      </w:r>
      <w:r w:rsidRPr="00DF7F48">
        <w:rPr>
          <w:sz w:val="22"/>
          <w:szCs w:val="22"/>
        </w:rPr>
        <w:t xml:space="preserve">– 36 months (3 years) </w:t>
      </w:r>
    </w:p>
    <w:p w14:paraId="04CC0CA9" w14:textId="77777777" w:rsidR="00065708" w:rsidRPr="00DF7F48" w:rsidRDefault="00272335">
      <w:pPr>
        <w:spacing w:before="60" w:after="60"/>
        <w:contextualSpacing/>
        <w:rPr>
          <w:sz w:val="22"/>
          <w:szCs w:val="22"/>
        </w:rPr>
      </w:pPr>
      <w:r w:rsidRPr="00DF7F48">
        <w:rPr>
          <w:i/>
          <w:iCs/>
          <w:sz w:val="22"/>
          <w:szCs w:val="22"/>
        </w:rPr>
        <w:t>Activity 3</w:t>
      </w:r>
      <w:r w:rsidRPr="00DF7F48">
        <w:rPr>
          <w:sz w:val="22"/>
          <w:szCs w:val="22"/>
        </w:rPr>
        <w:t xml:space="preserve"> </w:t>
      </w:r>
      <w:r w:rsidRPr="00DF7F48">
        <w:rPr>
          <w:i/>
          <w:iCs/>
          <w:sz w:val="22"/>
          <w:szCs w:val="22"/>
        </w:rPr>
        <w:t>Improving the technical capacities of the MA and remaining IPA structure for Implementation of OP Jobs and Opportunities</w:t>
      </w:r>
      <w:r w:rsidRPr="00DF7F48">
        <w:rPr>
          <w:sz w:val="22"/>
          <w:szCs w:val="22"/>
        </w:rPr>
        <w:t xml:space="preserve"> – 24 months (including 12 months warranty period) each contract.</w:t>
      </w:r>
    </w:p>
    <w:p w14:paraId="7A94CF70" w14:textId="77777777" w:rsidR="00065708" w:rsidRPr="00DF7F48" w:rsidRDefault="00272335" w:rsidP="007C3903">
      <w:pPr>
        <w:tabs>
          <w:tab w:val="left" w:pos="1701"/>
        </w:tabs>
        <w:spacing w:after="120"/>
        <w:outlineLvl w:val="0"/>
        <w:rPr>
          <w:b/>
          <w:bCs/>
          <w:sz w:val="22"/>
          <w:szCs w:val="22"/>
        </w:rPr>
      </w:pPr>
      <w:r w:rsidRPr="00DF7F48">
        <w:rPr>
          <w:b/>
          <w:bCs/>
          <w:sz w:val="22"/>
          <w:szCs w:val="22"/>
        </w:rPr>
        <w:t xml:space="preserve">5.9 End recipients and target group(s): </w:t>
      </w:r>
    </w:p>
    <w:p w14:paraId="39E6FAD7" w14:textId="77777777" w:rsidR="00065708" w:rsidRPr="00DF7F48" w:rsidRDefault="00272335">
      <w:pPr>
        <w:spacing w:before="60" w:after="60"/>
        <w:contextualSpacing/>
        <w:rPr>
          <w:rFonts w:eastAsia="Calibri"/>
          <w:i/>
          <w:iCs/>
          <w:sz w:val="22"/>
          <w:szCs w:val="22"/>
          <w:lang w:val="en-IE" w:eastAsia="ja-JP"/>
        </w:rPr>
      </w:pPr>
      <w:r w:rsidRPr="00DF7F48">
        <w:rPr>
          <w:rFonts w:eastAsia="Calibri"/>
          <w:i/>
          <w:iCs/>
          <w:sz w:val="22"/>
          <w:szCs w:val="22"/>
          <w:lang w:val="en-IE" w:eastAsia="ja-JP"/>
        </w:rPr>
        <w:t>End recipients:</w:t>
      </w:r>
    </w:p>
    <w:p w14:paraId="6D31ED62" w14:textId="1692E5FE" w:rsidR="00065708" w:rsidRPr="00DF7F48" w:rsidRDefault="00272335" w:rsidP="00272335">
      <w:pPr>
        <w:pStyle w:val="ListParagraph"/>
        <w:numPr>
          <w:ilvl w:val="0"/>
          <w:numId w:val="10"/>
        </w:numPr>
        <w:spacing w:before="60" w:after="60"/>
        <w:ind w:left="450" w:hanging="360"/>
        <w:rPr>
          <w:rFonts w:eastAsia="Calibri"/>
          <w:sz w:val="22"/>
          <w:szCs w:val="22"/>
          <w:lang w:val="en-IE" w:eastAsia="ja-JP"/>
        </w:rPr>
      </w:pPr>
      <w:bookmarkStart w:id="8" w:name="_Hlk142473774"/>
      <w:bookmarkEnd w:id="8"/>
      <w:r w:rsidRPr="00DF7F48">
        <w:rPr>
          <w:rFonts w:eastAsia="Calibri"/>
          <w:sz w:val="22"/>
          <w:szCs w:val="22"/>
          <w:lang w:val="en-IE" w:eastAsia="ja-JP"/>
        </w:rPr>
        <w:t>Managing Authority for the OP:</w:t>
      </w:r>
      <w:r w:rsidRPr="00DF7F48">
        <w:rPr>
          <w:rFonts w:eastAsia="Calibri"/>
          <w:bCs/>
          <w:sz w:val="22"/>
          <w:szCs w:val="22"/>
          <w:lang w:val="en-IE" w:eastAsia="ja-JP"/>
        </w:rPr>
        <w:t xml:space="preserve"> the relevant department responsible for managing EU Programmes and Funds</w:t>
      </w:r>
      <w:r w:rsidRPr="00DF7F48">
        <w:rPr>
          <w:rFonts w:eastAsia="Calibri"/>
          <w:sz w:val="22"/>
          <w:szCs w:val="22"/>
          <w:lang w:val="en-IE" w:eastAsia="ja-JP"/>
        </w:rPr>
        <w:t>,</w:t>
      </w:r>
    </w:p>
    <w:p w14:paraId="2F6CBC4B" w14:textId="77777777" w:rsidR="00065708" w:rsidRPr="00DF7F48" w:rsidRDefault="00272335" w:rsidP="00272335">
      <w:pPr>
        <w:pStyle w:val="ListParagraph"/>
        <w:numPr>
          <w:ilvl w:val="0"/>
          <w:numId w:val="10"/>
        </w:numPr>
        <w:spacing w:before="60" w:after="60"/>
        <w:ind w:left="450" w:hanging="360"/>
        <w:rPr>
          <w:rFonts w:eastAsia="Calibri"/>
          <w:sz w:val="22"/>
          <w:szCs w:val="22"/>
          <w:lang w:val="en-IE" w:eastAsia="ja-JP"/>
        </w:rPr>
      </w:pPr>
      <w:r w:rsidRPr="00DF7F48">
        <w:rPr>
          <w:rFonts w:eastAsia="Calibri"/>
          <w:sz w:val="22"/>
          <w:szCs w:val="22"/>
          <w:lang w:val="en-IE" w:eastAsia="ja-JP"/>
        </w:rPr>
        <w:t xml:space="preserve">Office of the National IPA Coordinator (NIPAC) (Department for Coordination of European Funds and Other Foreign Assistance), </w:t>
      </w:r>
    </w:p>
    <w:p w14:paraId="79804E1A" w14:textId="77777777" w:rsidR="00065708" w:rsidRPr="00DF7F48" w:rsidRDefault="00272335" w:rsidP="00272335">
      <w:pPr>
        <w:pStyle w:val="ListParagraph"/>
        <w:numPr>
          <w:ilvl w:val="0"/>
          <w:numId w:val="10"/>
        </w:numPr>
        <w:spacing w:before="60" w:after="60"/>
        <w:ind w:left="450" w:hanging="360"/>
        <w:rPr>
          <w:rFonts w:eastAsia="Calibri"/>
          <w:sz w:val="22"/>
          <w:szCs w:val="22"/>
          <w:lang w:val="en-IE" w:eastAsia="ja-JP"/>
        </w:rPr>
      </w:pPr>
      <w:r w:rsidRPr="00DF7F48">
        <w:rPr>
          <w:rFonts w:eastAsia="Calibri"/>
          <w:sz w:val="22"/>
          <w:szCs w:val="22"/>
          <w:lang w:val="en-IE" w:eastAsia="ja-JP"/>
        </w:rPr>
        <w:t xml:space="preserve">National Authorising Officer (NAO), </w:t>
      </w:r>
    </w:p>
    <w:p w14:paraId="4A4138E0" w14:textId="77777777" w:rsidR="00065708" w:rsidRPr="00DF7F48" w:rsidRDefault="00272335" w:rsidP="00272335">
      <w:pPr>
        <w:pStyle w:val="ListParagraph"/>
        <w:numPr>
          <w:ilvl w:val="0"/>
          <w:numId w:val="10"/>
        </w:numPr>
        <w:spacing w:before="60" w:after="60"/>
        <w:ind w:left="450" w:hanging="360"/>
        <w:rPr>
          <w:rFonts w:eastAsia="Calibri"/>
          <w:sz w:val="22"/>
          <w:szCs w:val="22"/>
          <w:lang w:val="en-IE" w:eastAsia="ja-JP"/>
        </w:rPr>
      </w:pPr>
      <w:r w:rsidRPr="00DF7F48">
        <w:rPr>
          <w:rFonts w:eastAsia="Calibri"/>
          <w:sz w:val="22"/>
          <w:szCs w:val="22"/>
          <w:lang w:val="en-IE" w:eastAsia="ja-JP"/>
        </w:rPr>
        <w:t>Management Structure (MS)</w:t>
      </w:r>
      <w:r w:rsidRPr="00DF7F48">
        <w:rPr>
          <w:rFonts w:eastAsia="Calibri"/>
          <w:sz w:val="22"/>
          <w:szCs w:val="22"/>
          <w:lang w:eastAsia="ja-JP"/>
        </w:rPr>
        <w:t xml:space="preserve">: IPA Funds Management Department within the Ministry of Finance </w:t>
      </w:r>
      <w:r w:rsidRPr="00DF7F48">
        <w:rPr>
          <w:rFonts w:eastAsia="Calibri"/>
          <w:sz w:val="22"/>
          <w:szCs w:val="22"/>
          <w:lang w:val="en-IE" w:eastAsia="ja-JP"/>
        </w:rPr>
        <w:t>(MF),</w:t>
      </w:r>
    </w:p>
    <w:p w14:paraId="432FC5E9" w14:textId="77777777" w:rsidR="00065708" w:rsidRPr="00DF7F48" w:rsidRDefault="00272335" w:rsidP="00272335">
      <w:pPr>
        <w:pStyle w:val="ListParagraph"/>
        <w:numPr>
          <w:ilvl w:val="0"/>
          <w:numId w:val="10"/>
        </w:numPr>
        <w:spacing w:before="60" w:after="60"/>
        <w:ind w:left="450" w:hanging="360"/>
        <w:rPr>
          <w:rFonts w:eastAsia="Calibri"/>
          <w:sz w:val="22"/>
          <w:szCs w:val="22"/>
          <w:lang w:val="en-IE" w:eastAsia="ja-JP"/>
        </w:rPr>
      </w:pPr>
      <w:r w:rsidRPr="00DF7F48">
        <w:rPr>
          <w:rFonts w:eastAsia="Calibri"/>
          <w:sz w:val="22"/>
          <w:szCs w:val="22"/>
          <w:lang w:eastAsia="ja-JP"/>
        </w:rPr>
        <w:t>Intermediate Body for Financial Management (IBFM): Central Financing and Contracting Department (CFCD) within the Ministry of Finance</w:t>
      </w:r>
      <w:r w:rsidRPr="00DF7F48">
        <w:rPr>
          <w:rFonts w:eastAsia="Calibri"/>
          <w:sz w:val="22"/>
          <w:szCs w:val="22"/>
          <w:lang w:val="en-IE" w:eastAsia="ja-JP"/>
        </w:rPr>
        <w:t xml:space="preserve"> (MF), </w:t>
      </w:r>
    </w:p>
    <w:p w14:paraId="1AC86200" w14:textId="77777777" w:rsidR="00065708" w:rsidRPr="00DF7F48" w:rsidRDefault="00272335" w:rsidP="00272335">
      <w:pPr>
        <w:pStyle w:val="ListParagraph"/>
        <w:numPr>
          <w:ilvl w:val="0"/>
          <w:numId w:val="10"/>
        </w:numPr>
        <w:spacing w:before="60" w:after="60"/>
        <w:ind w:left="450" w:hanging="360"/>
        <w:rPr>
          <w:rFonts w:eastAsia="Calibri"/>
          <w:sz w:val="22"/>
          <w:szCs w:val="22"/>
          <w:lang w:val="en-IE" w:eastAsia="ja-JP"/>
        </w:rPr>
      </w:pPr>
      <w:r w:rsidRPr="00DF7F48">
        <w:rPr>
          <w:rFonts w:eastAsia="Calibri"/>
          <w:sz w:val="22"/>
          <w:szCs w:val="22"/>
          <w:lang w:val="en-IE" w:eastAsia="ja-JP"/>
        </w:rPr>
        <w:t>Audit Authority (AA),</w:t>
      </w:r>
    </w:p>
    <w:p w14:paraId="14645220" w14:textId="77777777" w:rsidR="00065708" w:rsidRPr="00DF7F48" w:rsidRDefault="00272335" w:rsidP="00272335">
      <w:pPr>
        <w:pStyle w:val="ListParagraph"/>
        <w:numPr>
          <w:ilvl w:val="0"/>
          <w:numId w:val="10"/>
        </w:numPr>
        <w:spacing w:before="60" w:after="60"/>
        <w:ind w:left="450" w:hanging="360"/>
        <w:rPr>
          <w:rFonts w:eastAsia="Calibri"/>
          <w:sz w:val="22"/>
          <w:szCs w:val="22"/>
          <w:lang w:val="en-IE" w:eastAsia="ja-JP"/>
        </w:rPr>
      </w:pPr>
      <w:r w:rsidRPr="00DF7F48">
        <w:rPr>
          <w:rFonts w:eastAsia="Calibri"/>
          <w:sz w:val="22"/>
          <w:szCs w:val="22"/>
          <w:lang w:val="en-IE" w:eastAsia="ja-JP"/>
        </w:rPr>
        <w:t>Employment Service Agency.</w:t>
      </w:r>
    </w:p>
    <w:p w14:paraId="67AF4AF9" w14:textId="77777777" w:rsidR="00065708" w:rsidRPr="00DF7F48" w:rsidRDefault="00272335">
      <w:pPr>
        <w:spacing w:before="60" w:after="60"/>
        <w:contextualSpacing/>
        <w:rPr>
          <w:rFonts w:eastAsia="Calibri"/>
          <w:i/>
          <w:iCs/>
          <w:sz w:val="22"/>
          <w:szCs w:val="22"/>
          <w:lang w:val="en-IE" w:eastAsia="ja-JP"/>
        </w:rPr>
      </w:pPr>
      <w:r w:rsidRPr="00DF7F48">
        <w:rPr>
          <w:rFonts w:eastAsia="Calibri"/>
          <w:i/>
          <w:iCs/>
          <w:sz w:val="22"/>
          <w:szCs w:val="22"/>
          <w:lang w:val="en-IE" w:eastAsia="ja-JP"/>
        </w:rPr>
        <w:t>Target groups</w:t>
      </w:r>
    </w:p>
    <w:p w14:paraId="4ADC18E2" w14:textId="77777777" w:rsidR="00065708" w:rsidRPr="00DF7F48" w:rsidRDefault="00272335" w:rsidP="00272335">
      <w:pPr>
        <w:pStyle w:val="ListParagraph"/>
        <w:numPr>
          <w:ilvl w:val="0"/>
          <w:numId w:val="9"/>
        </w:numPr>
        <w:spacing w:before="60" w:after="60"/>
        <w:ind w:left="450" w:hanging="360"/>
        <w:rPr>
          <w:rFonts w:eastAsia="Calibri"/>
          <w:sz w:val="22"/>
          <w:szCs w:val="22"/>
          <w:lang w:val="en-IE" w:eastAsia="ja-JP"/>
        </w:rPr>
      </w:pPr>
      <w:r w:rsidRPr="00DF7F48">
        <w:rPr>
          <w:rFonts w:eastAsia="Calibri"/>
          <w:sz w:val="22"/>
          <w:szCs w:val="22"/>
          <w:lang w:val="en-IE" w:eastAsia="ja-JP"/>
        </w:rPr>
        <w:t>Ministry of Labour and Social Policy staff,</w:t>
      </w:r>
    </w:p>
    <w:p w14:paraId="78B37B8D" w14:textId="77777777" w:rsidR="00065708" w:rsidRPr="00DF7F48" w:rsidRDefault="00272335" w:rsidP="00272335">
      <w:pPr>
        <w:pStyle w:val="ListParagraph"/>
        <w:numPr>
          <w:ilvl w:val="0"/>
          <w:numId w:val="8"/>
        </w:numPr>
        <w:spacing w:before="60" w:after="60"/>
        <w:ind w:left="450" w:hanging="357"/>
        <w:rPr>
          <w:rFonts w:eastAsia="Calibri"/>
          <w:sz w:val="22"/>
          <w:szCs w:val="22"/>
          <w:lang w:val="en-IE" w:eastAsia="ja-JP"/>
        </w:rPr>
      </w:pPr>
      <w:r w:rsidRPr="00DF7F48">
        <w:rPr>
          <w:rFonts w:eastAsia="Calibri"/>
          <w:sz w:val="22"/>
          <w:szCs w:val="22"/>
          <w:lang w:val="en-IE" w:eastAsia="ja-JP"/>
        </w:rPr>
        <w:lastRenderedPageBreak/>
        <w:t>Ministry of Finance staff,</w:t>
      </w:r>
    </w:p>
    <w:p w14:paraId="1897CE2E" w14:textId="77777777" w:rsidR="00065708" w:rsidRPr="00DF7F48" w:rsidRDefault="00272335" w:rsidP="00272335">
      <w:pPr>
        <w:pStyle w:val="ListParagraph"/>
        <w:numPr>
          <w:ilvl w:val="0"/>
          <w:numId w:val="8"/>
        </w:numPr>
        <w:spacing w:before="60" w:after="60"/>
        <w:ind w:left="450" w:hanging="357"/>
        <w:rPr>
          <w:rFonts w:eastAsia="Calibri"/>
          <w:sz w:val="22"/>
          <w:szCs w:val="22"/>
          <w:lang w:val="en-IE" w:eastAsia="ja-JP"/>
        </w:rPr>
      </w:pPr>
      <w:r w:rsidRPr="00DF7F48">
        <w:rPr>
          <w:rFonts w:eastAsia="Calibri"/>
          <w:sz w:val="22"/>
          <w:szCs w:val="22"/>
          <w:lang w:val="en-IE" w:eastAsia="ja-JP"/>
        </w:rPr>
        <w:t>National IPA Coordinator staff in its office set in the Department for coordination of EU funds and other foreign assistance at the Secretariat for European Affairs (SEA),</w:t>
      </w:r>
    </w:p>
    <w:p w14:paraId="12CD7B3A" w14:textId="77777777" w:rsidR="00065708" w:rsidRPr="00DF7F48" w:rsidRDefault="00272335" w:rsidP="00272335">
      <w:pPr>
        <w:pStyle w:val="ListParagraph"/>
        <w:numPr>
          <w:ilvl w:val="0"/>
          <w:numId w:val="8"/>
        </w:numPr>
        <w:spacing w:before="60" w:after="60"/>
        <w:ind w:left="450" w:hanging="357"/>
        <w:rPr>
          <w:rFonts w:eastAsia="Calibri"/>
          <w:sz w:val="22"/>
          <w:szCs w:val="22"/>
          <w:lang w:val="en-IE" w:eastAsia="ja-JP"/>
        </w:rPr>
      </w:pPr>
      <w:r w:rsidRPr="00DF7F48">
        <w:rPr>
          <w:rFonts w:eastAsia="Calibri"/>
          <w:sz w:val="22"/>
          <w:szCs w:val="22"/>
          <w:lang w:val="en-IE" w:eastAsia="ja-JP"/>
        </w:rPr>
        <w:t>Audit Authority staff,</w:t>
      </w:r>
    </w:p>
    <w:p w14:paraId="6FFD229B" w14:textId="77777777" w:rsidR="00065708" w:rsidRPr="00DF7F48" w:rsidRDefault="00272335" w:rsidP="00272335">
      <w:pPr>
        <w:pStyle w:val="ListParagraph"/>
        <w:numPr>
          <w:ilvl w:val="0"/>
          <w:numId w:val="8"/>
        </w:numPr>
        <w:spacing w:before="60" w:after="60"/>
        <w:ind w:left="450" w:hanging="357"/>
        <w:rPr>
          <w:rFonts w:eastAsia="Calibri"/>
          <w:sz w:val="22"/>
          <w:szCs w:val="22"/>
          <w:lang w:val="en-IE" w:eastAsia="ja-JP"/>
        </w:rPr>
      </w:pPr>
      <w:r w:rsidRPr="00DF7F48">
        <w:rPr>
          <w:rFonts w:eastAsia="Calibri"/>
          <w:sz w:val="22"/>
          <w:szCs w:val="22"/>
          <w:lang w:val="en-IE" w:eastAsia="ja-JP"/>
        </w:rPr>
        <w:t xml:space="preserve">Employment Service Agency staff. </w:t>
      </w:r>
    </w:p>
    <w:p w14:paraId="01B465E6" w14:textId="77777777" w:rsidR="00065708" w:rsidRPr="00DF7F48" w:rsidRDefault="00272335">
      <w:pPr>
        <w:pStyle w:val="NumPar1"/>
        <w:tabs>
          <w:tab w:val="left" w:pos="480"/>
        </w:tabs>
        <w:spacing w:before="60" w:after="60"/>
        <w:ind w:left="0" w:firstLine="0"/>
        <w:contextualSpacing/>
        <w:outlineLvl w:val="0"/>
        <w:rPr>
          <w:b/>
          <w:bCs/>
          <w:sz w:val="22"/>
          <w:szCs w:val="22"/>
        </w:rPr>
      </w:pPr>
      <w:r w:rsidRPr="00DF7F48">
        <w:rPr>
          <w:b/>
          <w:bCs/>
          <w:sz w:val="22"/>
          <w:szCs w:val="22"/>
        </w:rPr>
        <w:t>Implementation arrangements</w:t>
      </w:r>
    </w:p>
    <w:p w14:paraId="5ADE1B0E" w14:textId="77777777" w:rsidR="00065708" w:rsidRPr="00DF7F48" w:rsidRDefault="00272335" w:rsidP="007F0786">
      <w:pPr>
        <w:outlineLvl w:val="0"/>
        <w:rPr>
          <w:b/>
          <w:bCs/>
          <w:sz w:val="22"/>
          <w:szCs w:val="22"/>
        </w:rPr>
      </w:pPr>
      <w:r w:rsidRPr="00DF7F48">
        <w:rPr>
          <w:b/>
          <w:bCs/>
          <w:sz w:val="22"/>
          <w:szCs w:val="22"/>
        </w:rPr>
        <w:t xml:space="preserve">6.1 Institutional framework: </w:t>
      </w:r>
    </w:p>
    <w:p w14:paraId="15C0CD03" w14:textId="77777777" w:rsidR="00065708" w:rsidRPr="00DF7F48" w:rsidRDefault="00272335" w:rsidP="007C3903">
      <w:pPr>
        <w:suppressAutoHyphens/>
        <w:spacing w:after="120"/>
        <w:rPr>
          <w:i/>
          <w:iCs/>
          <w:sz w:val="22"/>
          <w:szCs w:val="22"/>
          <w:u w:val="single"/>
          <w:lang w:eastAsia="ja-JP"/>
        </w:rPr>
      </w:pPr>
      <w:r w:rsidRPr="00DF7F48">
        <w:rPr>
          <w:i/>
          <w:iCs/>
          <w:sz w:val="22"/>
          <w:szCs w:val="22"/>
          <w:u w:val="single"/>
          <w:lang w:eastAsia="ja-JP"/>
        </w:rPr>
        <w:t>Activity 1 - Support to sustainable human resources policy for the IPA III Structures</w:t>
      </w:r>
    </w:p>
    <w:p w14:paraId="2085A629" w14:textId="21FA469A" w:rsidR="00065708" w:rsidRPr="00DF7F48" w:rsidRDefault="00272335">
      <w:pPr>
        <w:spacing w:before="60" w:after="60"/>
        <w:contextualSpacing/>
        <w:outlineLvl w:val="0"/>
        <w:rPr>
          <w:sz w:val="22"/>
          <w:szCs w:val="22"/>
        </w:rPr>
      </w:pPr>
      <w:r w:rsidRPr="00DF7F48">
        <w:rPr>
          <w:sz w:val="22"/>
          <w:szCs w:val="22"/>
        </w:rPr>
        <w:t xml:space="preserve">This operation shall be implemented through a </w:t>
      </w:r>
      <w:r w:rsidRPr="00DF7F48">
        <w:rPr>
          <w:sz w:val="22"/>
          <w:szCs w:val="22"/>
          <w:lang w:val="en-US"/>
        </w:rPr>
        <w:t>Direct Award Contract</w:t>
      </w:r>
      <w:r w:rsidRPr="00DF7F48">
        <w:rPr>
          <w:sz w:val="22"/>
          <w:szCs w:val="22"/>
        </w:rPr>
        <w:t xml:space="preserve"> to national institution</w:t>
      </w:r>
      <w:r w:rsidR="00EE55ED" w:rsidRPr="00DF7F48">
        <w:rPr>
          <w:sz w:val="22"/>
          <w:szCs w:val="22"/>
        </w:rPr>
        <w:t>(s) involved in managing the OP</w:t>
      </w:r>
      <w:r w:rsidRPr="00DF7F48">
        <w:rPr>
          <w:sz w:val="22"/>
          <w:szCs w:val="22"/>
        </w:rPr>
        <w:t xml:space="preserve">. </w:t>
      </w:r>
    </w:p>
    <w:p w14:paraId="424443F8" w14:textId="32887831" w:rsidR="00065708" w:rsidRPr="00DF7F48" w:rsidRDefault="00272335">
      <w:pPr>
        <w:spacing w:before="60" w:after="60"/>
        <w:contextualSpacing/>
        <w:outlineLvl w:val="0"/>
        <w:rPr>
          <w:sz w:val="22"/>
          <w:szCs w:val="22"/>
          <w:lang w:val="en-US"/>
        </w:rPr>
      </w:pPr>
      <w:r w:rsidRPr="00DF7F48">
        <w:rPr>
          <w:sz w:val="22"/>
          <w:szCs w:val="22"/>
        </w:rPr>
        <w:t xml:space="preserve">The MF/CFCD shall act as a Contracting Authority (CA) and shall be responsible for </w:t>
      </w:r>
      <w:r w:rsidRPr="00DF7F48">
        <w:rPr>
          <w:sz w:val="22"/>
          <w:szCs w:val="22"/>
          <w:lang w:val="en-US"/>
        </w:rPr>
        <w:t>preparation of an application</w:t>
      </w:r>
      <w:r w:rsidRPr="00DF7F48">
        <w:rPr>
          <w:sz w:val="22"/>
          <w:szCs w:val="22"/>
        </w:rPr>
        <w:t xml:space="preserve">, organising negotiations, preparing/ signing the contract, payments, accounting, and shall have overall responsibility and supervision of contract’s implementation. </w:t>
      </w:r>
      <w:bookmarkStart w:id="9" w:name="_Hlk140495014"/>
      <w:bookmarkEnd w:id="9"/>
      <w:r w:rsidRPr="00DF7F48">
        <w:rPr>
          <w:sz w:val="22"/>
          <w:szCs w:val="22"/>
        </w:rPr>
        <w:t xml:space="preserve">The EUD in Skopje shall execute ex-post control over the whole procedure and shall be kept fully informed on the progress by means of regular briefings during the course of intervention. </w:t>
      </w:r>
      <w:r w:rsidRPr="00DF7F48">
        <w:rPr>
          <w:sz w:val="22"/>
          <w:szCs w:val="22"/>
          <w:lang w:val="en-US"/>
        </w:rPr>
        <w:t xml:space="preserve">The Project Steering Committee (PSC) comprising the representatives of the bodies of the IPA OP structure and other relevant stakeholders shall be established to monitor the implementation of this intervention. </w:t>
      </w:r>
    </w:p>
    <w:p w14:paraId="4FF04919" w14:textId="77777777" w:rsidR="00065708" w:rsidRPr="00DF7F48" w:rsidRDefault="00272335" w:rsidP="007C3903">
      <w:pPr>
        <w:spacing w:after="120"/>
        <w:outlineLvl w:val="0"/>
        <w:rPr>
          <w:i/>
          <w:iCs/>
          <w:sz w:val="22"/>
          <w:szCs w:val="22"/>
          <w:highlight w:val="yellow"/>
          <w:u w:val="single"/>
        </w:rPr>
      </w:pPr>
      <w:r w:rsidRPr="00DF7F48">
        <w:rPr>
          <w:i/>
          <w:iCs/>
          <w:sz w:val="22"/>
          <w:szCs w:val="22"/>
          <w:u w:val="single"/>
        </w:rPr>
        <w:t>Activity 2 – Support to the Implementation of IPA III SOP</w:t>
      </w:r>
    </w:p>
    <w:p w14:paraId="50313346" w14:textId="77777777" w:rsidR="00065708" w:rsidRPr="00DF7F48" w:rsidRDefault="00272335">
      <w:pPr>
        <w:spacing w:before="60" w:after="60"/>
        <w:contextualSpacing/>
        <w:outlineLvl w:val="0"/>
        <w:rPr>
          <w:sz w:val="22"/>
          <w:szCs w:val="22"/>
        </w:rPr>
      </w:pPr>
      <w:r w:rsidRPr="00DF7F48">
        <w:rPr>
          <w:sz w:val="22"/>
          <w:szCs w:val="22"/>
        </w:rPr>
        <w:t xml:space="preserve">This operation shall be implemented through </w:t>
      </w:r>
      <w:r w:rsidRPr="00DF7F48">
        <w:rPr>
          <w:sz w:val="22"/>
          <w:szCs w:val="22"/>
          <w:lang w:val="en-US"/>
        </w:rPr>
        <w:t>Service Contract</w:t>
      </w:r>
      <w:r w:rsidRPr="00DF7F48">
        <w:rPr>
          <w:sz w:val="22"/>
          <w:szCs w:val="22"/>
        </w:rPr>
        <w:t xml:space="preserve">. </w:t>
      </w:r>
    </w:p>
    <w:p w14:paraId="0A88F38D" w14:textId="77777777" w:rsidR="00065708" w:rsidRPr="00DF7F48" w:rsidRDefault="00272335">
      <w:pPr>
        <w:spacing w:before="60" w:after="60"/>
        <w:contextualSpacing/>
        <w:outlineLvl w:val="0"/>
        <w:rPr>
          <w:sz w:val="22"/>
          <w:szCs w:val="22"/>
          <w:lang w:val="en-US"/>
        </w:rPr>
      </w:pPr>
      <w:r w:rsidRPr="00DF7F48">
        <w:rPr>
          <w:sz w:val="22"/>
          <w:szCs w:val="22"/>
        </w:rPr>
        <w:t xml:space="preserve">The MF/CFCD shall act as a Contracting Authority (CA) and shall be responsible for launching the award procedure, organising tendering procedure, preparing/ signing the service contract, payments, accounting, and shall have overall responsibility and supervision of contract’s implementation. The EUD in North Macedonia shall execute ex-post control over the whole procedure and shall be kept fully informed on the progress by means of regular briefings during the course of intervention. </w:t>
      </w:r>
      <w:r w:rsidRPr="00DF7F48">
        <w:rPr>
          <w:sz w:val="22"/>
          <w:szCs w:val="22"/>
          <w:lang w:val="en-US"/>
        </w:rPr>
        <w:t>The Project Steering Committee (PSC) shall be established. The technical assistance team will be the project team of the Contractor.</w:t>
      </w:r>
    </w:p>
    <w:p w14:paraId="42F42A03" w14:textId="77777777" w:rsidR="00065708" w:rsidRPr="00DF7F48" w:rsidRDefault="00272335" w:rsidP="007C3903">
      <w:pPr>
        <w:suppressAutoHyphens/>
        <w:spacing w:after="120"/>
        <w:rPr>
          <w:i/>
          <w:iCs/>
          <w:sz w:val="22"/>
          <w:szCs w:val="22"/>
          <w:u w:val="single"/>
          <w:lang w:eastAsia="ja-JP"/>
        </w:rPr>
      </w:pPr>
      <w:bookmarkStart w:id="10" w:name="_Hlk142311338"/>
      <w:bookmarkStart w:id="11" w:name="_Hlk142400999"/>
      <w:bookmarkEnd w:id="10"/>
      <w:bookmarkEnd w:id="11"/>
      <w:r w:rsidRPr="00DF7F48">
        <w:rPr>
          <w:i/>
          <w:iCs/>
          <w:sz w:val="22"/>
          <w:szCs w:val="22"/>
          <w:u w:val="single"/>
          <w:lang w:eastAsia="ja-JP"/>
        </w:rPr>
        <w:t>Activity 3 – Enhancing the Capacities for Implementation of IPA III SOP Jobs and Opportunities (modernisation of premises)</w:t>
      </w:r>
    </w:p>
    <w:p w14:paraId="2BFC7B00" w14:textId="3877B88F" w:rsidR="00065708" w:rsidRPr="00DF7F48" w:rsidRDefault="00272335">
      <w:pPr>
        <w:spacing w:before="60" w:after="60"/>
        <w:contextualSpacing/>
        <w:outlineLvl w:val="0"/>
        <w:rPr>
          <w:sz w:val="22"/>
          <w:szCs w:val="22"/>
          <w:lang w:eastAsia="ja-JP"/>
        </w:rPr>
      </w:pPr>
      <w:bookmarkStart w:id="12" w:name="_Hlk142473431"/>
      <w:bookmarkEnd w:id="12"/>
      <w:r w:rsidRPr="00DF7F48">
        <w:rPr>
          <w:sz w:val="22"/>
          <w:szCs w:val="22"/>
          <w:lang w:eastAsia="ja-JP"/>
        </w:rPr>
        <w:t>This operation shall be implemented through two contracts: Works Contract and Supply contract</w:t>
      </w:r>
      <w:r w:rsidR="00EE55ED" w:rsidRPr="00DF7F48">
        <w:rPr>
          <w:sz w:val="22"/>
          <w:szCs w:val="22"/>
          <w:lang w:eastAsia="ja-JP"/>
        </w:rPr>
        <w:t>(s)</w:t>
      </w:r>
      <w:r w:rsidRPr="00DF7F48">
        <w:rPr>
          <w:sz w:val="22"/>
          <w:szCs w:val="22"/>
          <w:lang w:eastAsia="ja-JP"/>
        </w:rPr>
        <w:t xml:space="preserve">. </w:t>
      </w:r>
    </w:p>
    <w:p w14:paraId="10077489" w14:textId="77777777" w:rsidR="00065708" w:rsidRPr="00DF7F48" w:rsidRDefault="00272335">
      <w:pPr>
        <w:spacing w:before="60" w:after="60"/>
        <w:contextualSpacing/>
        <w:outlineLvl w:val="0"/>
        <w:rPr>
          <w:sz w:val="22"/>
          <w:szCs w:val="22"/>
          <w:lang w:eastAsia="ja-JP"/>
        </w:rPr>
      </w:pPr>
      <w:r w:rsidRPr="00DF7F48">
        <w:rPr>
          <w:sz w:val="22"/>
          <w:szCs w:val="22"/>
          <w:lang w:eastAsia="ja-JP"/>
        </w:rPr>
        <w:t>The MF/CFCD shall act as a Contracting Authority (CA) and shall be responsible for launching the simplified tender procedure by sending the invitation to a list of 3 tenders, organising evaluation procedure, preparing/ signing the works contracts, payments, accounting, and shall have overall responsibility and supervision of contract’s implementation. The EUD in North Macedonia shall execute ex-post control over the whole procedure and shall be kept fully informed on the progress by means of regular briefings during the course of intervention. With regard to institutional framework for the implementation of Works Contract, the Project Steering Committee (PSC) established for Activity 1 shall also monitor the implementation of this project.</w:t>
      </w:r>
    </w:p>
    <w:p w14:paraId="0AA4A051" w14:textId="77777777" w:rsidR="00065708" w:rsidRPr="00DF7F48" w:rsidRDefault="00272335" w:rsidP="007C3903">
      <w:pPr>
        <w:spacing w:after="120"/>
        <w:outlineLvl w:val="0"/>
        <w:rPr>
          <w:b/>
          <w:bCs/>
          <w:sz w:val="22"/>
          <w:szCs w:val="22"/>
        </w:rPr>
      </w:pPr>
      <w:r w:rsidRPr="00DF7F48">
        <w:rPr>
          <w:b/>
          <w:bCs/>
          <w:sz w:val="22"/>
          <w:szCs w:val="22"/>
        </w:rPr>
        <w:t xml:space="preserve">6.2 Proposed monitoring structure and methodology: </w:t>
      </w:r>
    </w:p>
    <w:p w14:paraId="68A6F8D9" w14:textId="77777777" w:rsidR="00065708" w:rsidRPr="00DF7F48" w:rsidRDefault="00272335">
      <w:pPr>
        <w:spacing w:before="60" w:after="60"/>
        <w:contextualSpacing/>
        <w:rPr>
          <w:sz w:val="22"/>
          <w:szCs w:val="22"/>
          <w:lang w:val="en-IE"/>
        </w:rPr>
      </w:pPr>
      <w:r w:rsidRPr="00DF7F48">
        <w:rPr>
          <w:sz w:val="22"/>
          <w:szCs w:val="22"/>
          <w:lang w:val="en-IE"/>
        </w:rPr>
        <w:t xml:space="preserve">The day-to-day technical and financial monitoring of the implementation of this operation will be a continuous process, and part of the responsibilities of the Department for European Integration and International Cooperation, which will transform into Department for EU Programmes and Funds in MLSP as the Managing Authority for the OP “Jobs and Opportunities”. To this aim, the department will establish a permanent internal, technical, and financial monitoring system for the programme. </w:t>
      </w:r>
    </w:p>
    <w:p w14:paraId="68A58A3A" w14:textId="77777777" w:rsidR="00065708" w:rsidRPr="00DF7F48" w:rsidRDefault="00272335">
      <w:pPr>
        <w:spacing w:before="60" w:after="60"/>
        <w:contextualSpacing/>
        <w:rPr>
          <w:sz w:val="22"/>
          <w:szCs w:val="22"/>
          <w:lang w:val="en-IE"/>
        </w:rPr>
      </w:pPr>
      <w:r w:rsidRPr="00DF7F48">
        <w:rPr>
          <w:sz w:val="22"/>
          <w:szCs w:val="22"/>
          <w:lang w:val="en-IE"/>
        </w:rPr>
        <w:t xml:space="preserve">The Managing Authority for the SOP shall in particular: </w:t>
      </w:r>
      <w:r w:rsidRPr="00DF7F48">
        <w:rPr>
          <w:sz w:val="22"/>
          <w:szCs w:val="22"/>
        </w:rPr>
        <w:t xml:space="preserve">design adequate </w:t>
      </w:r>
      <w:bookmarkStart w:id="13" w:name="_Hlk142397310"/>
      <w:bookmarkEnd w:id="13"/>
      <w:r w:rsidRPr="00DF7F48">
        <w:rPr>
          <w:sz w:val="22"/>
          <w:szCs w:val="22"/>
        </w:rPr>
        <w:t>monitoring and reporting procedures, considering the internal reporting division of roles and responsibilities. As well, other institutions defined as target groups under section 5.9 will have to follow monitoring and reporting procedures, considering the internal reporting division of roles and responsibilities in regard to the interventions.</w:t>
      </w:r>
    </w:p>
    <w:p w14:paraId="31B4B467" w14:textId="77777777" w:rsidR="00065708" w:rsidRPr="00DF7F48" w:rsidRDefault="00272335">
      <w:pPr>
        <w:spacing w:before="60" w:after="60"/>
        <w:contextualSpacing/>
        <w:rPr>
          <w:sz w:val="22"/>
          <w:szCs w:val="22"/>
          <w:lang w:val="en-IE"/>
        </w:rPr>
      </w:pPr>
      <w:r w:rsidRPr="00DF7F48">
        <w:rPr>
          <w:sz w:val="22"/>
          <w:szCs w:val="22"/>
          <w:lang w:val="en-IE"/>
        </w:rPr>
        <w:t xml:space="preserve">Every report produced by contractors shall provide an accurate account of implementation of the operation, difficulties encountered, changes introduced, as well as the degree of achievement of its Outputs and contribution to the achievement of its Outcomes, and if possible, at the time of reporting, contribution to the achievement of its Impacts, as measured by corresponding indicators. </w:t>
      </w:r>
    </w:p>
    <w:p w14:paraId="7C79AB61" w14:textId="77777777" w:rsidR="00065708" w:rsidRPr="00DF7F48" w:rsidRDefault="00272335">
      <w:pPr>
        <w:spacing w:before="60" w:after="60"/>
        <w:contextualSpacing/>
        <w:rPr>
          <w:sz w:val="22"/>
          <w:szCs w:val="22"/>
        </w:rPr>
      </w:pPr>
      <w:r w:rsidRPr="00DF7F48">
        <w:rPr>
          <w:sz w:val="22"/>
          <w:szCs w:val="22"/>
        </w:rPr>
        <w:t xml:space="preserve">The overall progress will be monitored through participation of various stakeholders, such as European Commission/ EU Delegation, NIPAC, NAO, Management structure, MA, IB, Final Beneficiaries, AA, and other institutions and civil society organisations. </w:t>
      </w:r>
    </w:p>
    <w:p w14:paraId="2FA4F881" w14:textId="77777777" w:rsidR="00065708" w:rsidRPr="00DF7F48" w:rsidRDefault="00272335" w:rsidP="007F0786">
      <w:pPr>
        <w:pStyle w:val="NumPar1"/>
        <w:tabs>
          <w:tab w:val="left" w:pos="480"/>
        </w:tabs>
        <w:spacing w:after="0"/>
        <w:ind w:left="0" w:firstLine="0"/>
        <w:outlineLvl w:val="0"/>
        <w:rPr>
          <w:b/>
          <w:bCs/>
          <w:sz w:val="22"/>
          <w:szCs w:val="22"/>
        </w:rPr>
      </w:pPr>
      <w:r w:rsidRPr="00DF7F48">
        <w:rPr>
          <w:b/>
          <w:bCs/>
          <w:sz w:val="22"/>
          <w:szCs w:val="22"/>
        </w:rPr>
        <w:t>Maturity</w:t>
      </w:r>
    </w:p>
    <w:p w14:paraId="66DE38B0" w14:textId="77777777" w:rsidR="00065708" w:rsidRPr="00DF7F48" w:rsidRDefault="00272335" w:rsidP="007C3903">
      <w:pPr>
        <w:pStyle w:val="NumPar1"/>
        <w:numPr>
          <w:ilvl w:val="1"/>
          <w:numId w:val="3"/>
        </w:numPr>
        <w:ind w:left="0"/>
        <w:outlineLvl w:val="0"/>
        <w:rPr>
          <w:b/>
          <w:bCs/>
          <w:sz w:val="22"/>
          <w:szCs w:val="22"/>
        </w:rPr>
      </w:pPr>
      <w:r w:rsidRPr="00DF7F48">
        <w:rPr>
          <w:b/>
          <w:bCs/>
          <w:sz w:val="22"/>
          <w:szCs w:val="22"/>
        </w:rPr>
        <w:lastRenderedPageBreak/>
        <w:t xml:space="preserve">Required procedures and contracts for the implementation of the operation and their sequencing: </w:t>
      </w:r>
    </w:p>
    <w:tbl>
      <w:tblPr>
        <w:tblW w:w="10056" w:type="dxa"/>
        <w:tblInd w:w="-143" w:type="dxa"/>
        <w:tblCellMar>
          <w:left w:w="10" w:type="dxa"/>
          <w:right w:w="10" w:type="dxa"/>
        </w:tblCellMar>
        <w:tblLook w:val="04A0" w:firstRow="1" w:lastRow="0" w:firstColumn="1" w:lastColumn="0" w:noHBand="0" w:noVBand="1"/>
      </w:tblPr>
      <w:tblGrid>
        <w:gridCol w:w="2618"/>
        <w:gridCol w:w="1016"/>
        <w:gridCol w:w="1862"/>
        <w:gridCol w:w="1342"/>
        <w:gridCol w:w="1344"/>
        <w:gridCol w:w="1874"/>
      </w:tblGrid>
      <w:tr w:rsidR="00065708" w:rsidRPr="007F0786" w14:paraId="4C18347E" w14:textId="77777777">
        <w:trPr>
          <w:trHeight w:val="270"/>
        </w:trPr>
        <w:tc>
          <w:tcPr>
            <w:tcW w:w="2628"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7631B13E" w14:textId="77777777" w:rsidR="00065708" w:rsidRPr="007F0786" w:rsidRDefault="00272335">
            <w:pPr>
              <w:spacing w:before="0"/>
              <w:jc w:val="center"/>
              <w:rPr>
                <w:b/>
                <w:bCs/>
                <w:szCs w:val="20"/>
              </w:rPr>
            </w:pPr>
            <w:r w:rsidRPr="007F0786">
              <w:rPr>
                <w:b/>
                <w:bCs/>
                <w:szCs w:val="20"/>
              </w:rPr>
              <w:t>Activity</w:t>
            </w:r>
          </w:p>
        </w:tc>
        <w:tc>
          <w:tcPr>
            <w:tcW w:w="990"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6B699AA5" w14:textId="77777777" w:rsidR="00065708" w:rsidRPr="007F0786" w:rsidRDefault="00272335">
            <w:pPr>
              <w:spacing w:before="0"/>
              <w:jc w:val="center"/>
              <w:rPr>
                <w:b/>
                <w:bCs/>
                <w:szCs w:val="20"/>
              </w:rPr>
            </w:pPr>
            <w:r w:rsidRPr="007F0786">
              <w:rPr>
                <w:b/>
                <w:bCs/>
                <w:szCs w:val="20"/>
              </w:rPr>
              <w:t>Type of contract</w:t>
            </w:r>
          </w:p>
        </w:tc>
        <w:tc>
          <w:tcPr>
            <w:tcW w:w="1867"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4D5EA759" w14:textId="77777777" w:rsidR="00065708" w:rsidRPr="007F0786" w:rsidRDefault="00272335">
            <w:pPr>
              <w:spacing w:before="0"/>
              <w:jc w:val="center"/>
              <w:rPr>
                <w:b/>
                <w:bCs/>
                <w:szCs w:val="20"/>
              </w:rPr>
            </w:pPr>
            <w:r w:rsidRPr="007F0786">
              <w:rPr>
                <w:b/>
                <w:bCs/>
                <w:szCs w:val="20"/>
              </w:rPr>
              <w:t>Type of procedure</w:t>
            </w:r>
          </w:p>
        </w:tc>
        <w:tc>
          <w:tcPr>
            <w:tcW w:w="1344"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4346E177" w14:textId="77777777" w:rsidR="00065708" w:rsidRPr="007F0786" w:rsidRDefault="00272335">
            <w:pPr>
              <w:spacing w:before="0"/>
              <w:jc w:val="center"/>
              <w:rPr>
                <w:b/>
                <w:bCs/>
                <w:szCs w:val="20"/>
              </w:rPr>
            </w:pPr>
            <w:r w:rsidRPr="007F0786">
              <w:rPr>
                <w:b/>
                <w:bCs/>
                <w:szCs w:val="20"/>
              </w:rPr>
              <w:t>Launch of the procedure</w:t>
            </w:r>
            <w:r w:rsidRPr="007F0786">
              <w:rPr>
                <w:rStyle w:val="FootnoteReference"/>
                <w:szCs w:val="20"/>
              </w:rPr>
              <w:footnoteReference w:id="6"/>
            </w:r>
            <w:r w:rsidRPr="007F0786">
              <w:rPr>
                <w:b/>
                <w:bCs/>
                <w:szCs w:val="20"/>
              </w:rPr>
              <w:t xml:space="preserve"> </w:t>
            </w:r>
          </w:p>
        </w:tc>
        <w:tc>
          <w:tcPr>
            <w:tcW w:w="1345" w:type="dxa"/>
            <w:tcBorders>
              <w:top w:val="single" w:sz="4" w:space="0" w:color="000000"/>
              <w:left w:val="nil"/>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11446DCC" w14:textId="77777777" w:rsidR="00065708" w:rsidRPr="007F0786" w:rsidRDefault="00272335">
            <w:pPr>
              <w:spacing w:before="0"/>
              <w:jc w:val="center"/>
              <w:rPr>
                <w:b/>
                <w:bCs/>
                <w:szCs w:val="20"/>
              </w:rPr>
            </w:pPr>
            <w:r w:rsidRPr="007F0786">
              <w:rPr>
                <w:b/>
                <w:bCs/>
                <w:szCs w:val="20"/>
              </w:rPr>
              <w:t>Contracted/ Contract start</w:t>
            </w:r>
          </w:p>
        </w:tc>
        <w:tc>
          <w:tcPr>
            <w:tcW w:w="1882" w:type="dxa"/>
            <w:tcBorders>
              <w:top w:val="single" w:sz="4" w:space="0" w:color="000000"/>
              <w:left w:val="nil"/>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0934DD3D" w14:textId="77777777" w:rsidR="00065708" w:rsidRPr="007F0786" w:rsidRDefault="00272335">
            <w:pPr>
              <w:spacing w:before="0"/>
              <w:jc w:val="center"/>
              <w:rPr>
                <w:b/>
                <w:bCs/>
                <w:szCs w:val="20"/>
              </w:rPr>
            </w:pPr>
            <w:r w:rsidRPr="007F0786">
              <w:rPr>
                <w:b/>
                <w:bCs/>
                <w:szCs w:val="20"/>
              </w:rPr>
              <w:t xml:space="preserve">Duration of the contract </w:t>
            </w:r>
          </w:p>
        </w:tc>
      </w:tr>
      <w:tr w:rsidR="00065708" w:rsidRPr="007F0786" w14:paraId="60DC1D66" w14:textId="77777777">
        <w:trPr>
          <w:trHeight w:val="359"/>
        </w:trPr>
        <w:tc>
          <w:tcPr>
            <w:tcW w:w="26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7A29C9D" w14:textId="77777777" w:rsidR="00065708" w:rsidRPr="007F0786" w:rsidRDefault="00272335" w:rsidP="007F0786">
            <w:pPr>
              <w:spacing w:before="0"/>
              <w:jc w:val="left"/>
              <w:rPr>
                <w:b/>
                <w:bCs/>
                <w:i/>
                <w:iCs/>
                <w:szCs w:val="20"/>
              </w:rPr>
            </w:pPr>
            <w:r w:rsidRPr="007F0786">
              <w:rPr>
                <w:b/>
                <w:bCs/>
                <w:i/>
                <w:iCs/>
                <w:szCs w:val="20"/>
              </w:rPr>
              <w:t>Activity 1 –</w:t>
            </w:r>
          </w:p>
          <w:p w14:paraId="145F20E2" w14:textId="77777777" w:rsidR="00065708" w:rsidRPr="007F0786" w:rsidRDefault="00272335" w:rsidP="007F0786">
            <w:pPr>
              <w:spacing w:before="0"/>
              <w:jc w:val="left"/>
              <w:rPr>
                <w:i/>
                <w:iCs/>
                <w:szCs w:val="20"/>
              </w:rPr>
            </w:pPr>
            <w:r w:rsidRPr="007F0786">
              <w:rPr>
                <w:i/>
                <w:iCs/>
                <w:szCs w:val="20"/>
              </w:rPr>
              <w:t>Support to sustainable human resources policy for the IPA III Structures</w:t>
            </w:r>
          </w:p>
        </w:tc>
        <w:tc>
          <w:tcPr>
            <w:tcW w:w="99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07D3C85" w14:textId="77777777" w:rsidR="00065708" w:rsidRPr="007F0786" w:rsidRDefault="00272335">
            <w:pPr>
              <w:spacing w:before="0"/>
              <w:jc w:val="center"/>
              <w:rPr>
                <w:szCs w:val="20"/>
              </w:rPr>
            </w:pPr>
            <w:r w:rsidRPr="007F0786">
              <w:rPr>
                <w:szCs w:val="20"/>
              </w:rPr>
              <w:t>Operating grant</w:t>
            </w:r>
          </w:p>
        </w:tc>
        <w:tc>
          <w:tcPr>
            <w:tcW w:w="18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F87798D" w14:textId="77777777" w:rsidR="00065708" w:rsidRPr="007F0786" w:rsidRDefault="00272335">
            <w:pPr>
              <w:spacing w:before="0"/>
              <w:jc w:val="center"/>
              <w:rPr>
                <w:i/>
                <w:iCs/>
                <w:szCs w:val="20"/>
              </w:rPr>
            </w:pPr>
            <w:r w:rsidRPr="007F0786">
              <w:rPr>
                <w:i/>
                <w:iCs/>
                <w:szCs w:val="20"/>
              </w:rPr>
              <w:t>Direct award to national public body</w:t>
            </w:r>
          </w:p>
        </w:tc>
        <w:tc>
          <w:tcPr>
            <w:tcW w:w="134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B4F221E" w14:textId="77777777" w:rsidR="00065708" w:rsidRPr="007F0786" w:rsidRDefault="00272335">
            <w:pPr>
              <w:spacing w:before="0"/>
              <w:jc w:val="center"/>
              <w:rPr>
                <w:szCs w:val="20"/>
              </w:rPr>
            </w:pPr>
            <w:r w:rsidRPr="007F0786">
              <w:rPr>
                <w:szCs w:val="20"/>
                <w:lang w:val="en-US"/>
              </w:rPr>
              <w:t>N+1</w:t>
            </w:r>
          </w:p>
        </w:tc>
        <w:tc>
          <w:tcPr>
            <w:tcW w:w="1345"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14:paraId="75DC912B" w14:textId="77777777" w:rsidR="00065708" w:rsidRPr="007F0786" w:rsidRDefault="00272335">
            <w:pPr>
              <w:spacing w:before="0"/>
              <w:jc w:val="center"/>
              <w:rPr>
                <w:szCs w:val="20"/>
              </w:rPr>
            </w:pPr>
            <w:r w:rsidRPr="007F0786">
              <w:rPr>
                <w:szCs w:val="20"/>
              </w:rPr>
              <w:t>N+1</w:t>
            </w:r>
          </w:p>
        </w:tc>
        <w:tc>
          <w:tcPr>
            <w:tcW w:w="1882"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14:paraId="29BA0846" w14:textId="77777777" w:rsidR="00065708" w:rsidRPr="007F0786" w:rsidRDefault="00272335">
            <w:pPr>
              <w:spacing w:before="0"/>
              <w:jc w:val="center"/>
              <w:rPr>
                <w:szCs w:val="20"/>
              </w:rPr>
            </w:pPr>
            <w:r w:rsidRPr="007F0786">
              <w:rPr>
                <w:szCs w:val="20"/>
              </w:rPr>
              <w:t>96 months</w:t>
            </w:r>
          </w:p>
        </w:tc>
      </w:tr>
      <w:tr w:rsidR="00065708" w:rsidRPr="007F0786" w14:paraId="71FB2F31" w14:textId="77777777">
        <w:trPr>
          <w:trHeight w:val="359"/>
        </w:trPr>
        <w:tc>
          <w:tcPr>
            <w:tcW w:w="26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760C631" w14:textId="77777777" w:rsidR="00065708" w:rsidRPr="007F0786" w:rsidRDefault="00272335" w:rsidP="007F0786">
            <w:pPr>
              <w:spacing w:before="0"/>
              <w:jc w:val="left"/>
              <w:rPr>
                <w:i/>
                <w:iCs/>
                <w:szCs w:val="20"/>
              </w:rPr>
            </w:pPr>
            <w:r w:rsidRPr="007F0786">
              <w:rPr>
                <w:b/>
                <w:bCs/>
                <w:i/>
                <w:iCs/>
                <w:szCs w:val="20"/>
              </w:rPr>
              <w:t>Activity 2 -</w:t>
            </w:r>
            <w:r w:rsidRPr="007F0786">
              <w:rPr>
                <w:i/>
                <w:iCs/>
                <w:szCs w:val="20"/>
              </w:rPr>
              <w:t xml:space="preserve"> Support to the Implementation of IPA III SOP</w:t>
            </w:r>
          </w:p>
        </w:tc>
        <w:tc>
          <w:tcPr>
            <w:tcW w:w="99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6A03478" w14:textId="77777777" w:rsidR="00065708" w:rsidRPr="007F0786" w:rsidRDefault="00272335">
            <w:pPr>
              <w:spacing w:before="0"/>
              <w:jc w:val="center"/>
              <w:rPr>
                <w:szCs w:val="20"/>
              </w:rPr>
            </w:pPr>
            <w:r w:rsidRPr="007F0786">
              <w:rPr>
                <w:szCs w:val="20"/>
              </w:rPr>
              <w:t>Service</w:t>
            </w:r>
          </w:p>
        </w:tc>
        <w:tc>
          <w:tcPr>
            <w:tcW w:w="18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B09C45F" w14:textId="77777777" w:rsidR="00065708" w:rsidRPr="007F0786" w:rsidRDefault="00272335">
            <w:pPr>
              <w:spacing w:before="0"/>
              <w:jc w:val="center"/>
              <w:rPr>
                <w:i/>
                <w:iCs/>
                <w:szCs w:val="20"/>
              </w:rPr>
            </w:pPr>
            <w:r w:rsidRPr="007F0786">
              <w:rPr>
                <w:i/>
                <w:iCs/>
                <w:szCs w:val="20"/>
              </w:rPr>
              <w:t>International restricted</w:t>
            </w:r>
          </w:p>
        </w:tc>
        <w:tc>
          <w:tcPr>
            <w:tcW w:w="134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0BF561E" w14:textId="77777777" w:rsidR="00065708" w:rsidRPr="007F0786" w:rsidRDefault="00272335">
            <w:pPr>
              <w:spacing w:before="0"/>
              <w:jc w:val="center"/>
              <w:rPr>
                <w:szCs w:val="20"/>
                <w:lang w:val="en-US"/>
              </w:rPr>
            </w:pPr>
            <w:r w:rsidRPr="007F0786">
              <w:rPr>
                <w:szCs w:val="20"/>
                <w:lang w:val="en-US"/>
              </w:rPr>
              <w:t>N*</w:t>
            </w:r>
          </w:p>
        </w:tc>
        <w:tc>
          <w:tcPr>
            <w:tcW w:w="1345"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14:paraId="67577C10" w14:textId="77777777" w:rsidR="00065708" w:rsidRPr="007F0786" w:rsidRDefault="00272335">
            <w:pPr>
              <w:spacing w:before="0"/>
              <w:jc w:val="center"/>
              <w:rPr>
                <w:szCs w:val="20"/>
              </w:rPr>
            </w:pPr>
            <w:r w:rsidRPr="007F0786">
              <w:rPr>
                <w:szCs w:val="20"/>
              </w:rPr>
              <w:t>N+1</w:t>
            </w:r>
          </w:p>
        </w:tc>
        <w:tc>
          <w:tcPr>
            <w:tcW w:w="1882"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14:paraId="223F5060" w14:textId="77777777" w:rsidR="00065708" w:rsidRPr="007F0786" w:rsidRDefault="00272335">
            <w:pPr>
              <w:spacing w:before="0"/>
              <w:jc w:val="center"/>
              <w:rPr>
                <w:szCs w:val="20"/>
              </w:rPr>
            </w:pPr>
            <w:r w:rsidRPr="007F0786">
              <w:rPr>
                <w:szCs w:val="20"/>
              </w:rPr>
              <w:t>36 months</w:t>
            </w:r>
          </w:p>
        </w:tc>
      </w:tr>
      <w:tr w:rsidR="00065708" w:rsidRPr="007F0786" w14:paraId="6B326E1E" w14:textId="77777777">
        <w:trPr>
          <w:trHeight w:val="463"/>
        </w:trPr>
        <w:tc>
          <w:tcPr>
            <w:tcW w:w="2628"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4C4E4D1B" w14:textId="77777777" w:rsidR="00065708" w:rsidRPr="007F0786" w:rsidRDefault="00272335" w:rsidP="007F0786">
            <w:pPr>
              <w:spacing w:before="0"/>
              <w:jc w:val="left"/>
              <w:rPr>
                <w:i/>
                <w:iCs/>
                <w:szCs w:val="20"/>
              </w:rPr>
            </w:pPr>
            <w:r w:rsidRPr="007F0786">
              <w:rPr>
                <w:b/>
                <w:bCs/>
                <w:i/>
                <w:iCs/>
                <w:szCs w:val="20"/>
              </w:rPr>
              <w:t>Activity 3 –</w:t>
            </w:r>
            <w:r w:rsidRPr="007F0786">
              <w:rPr>
                <w:i/>
                <w:iCs/>
                <w:szCs w:val="20"/>
              </w:rPr>
              <w:t xml:space="preserve"> Enhancing the Capacities for Implementation of IPA III SOP Jobs and Opportunities</w:t>
            </w:r>
          </w:p>
        </w:tc>
        <w:tc>
          <w:tcPr>
            <w:tcW w:w="99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2F0EAA2" w14:textId="77777777" w:rsidR="00065708" w:rsidRPr="007F0786" w:rsidRDefault="00272335">
            <w:pPr>
              <w:spacing w:before="0"/>
              <w:jc w:val="center"/>
              <w:rPr>
                <w:szCs w:val="20"/>
              </w:rPr>
            </w:pPr>
            <w:r w:rsidRPr="007F0786">
              <w:rPr>
                <w:szCs w:val="20"/>
              </w:rPr>
              <w:t>Works</w:t>
            </w:r>
          </w:p>
        </w:tc>
        <w:tc>
          <w:tcPr>
            <w:tcW w:w="18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F664349" w14:textId="77777777" w:rsidR="00065708" w:rsidRPr="007F0786" w:rsidRDefault="00272335">
            <w:pPr>
              <w:spacing w:before="0"/>
              <w:jc w:val="center"/>
              <w:rPr>
                <w:i/>
                <w:iCs/>
                <w:szCs w:val="20"/>
              </w:rPr>
            </w:pPr>
            <w:r w:rsidRPr="007F0786">
              <w:rPr>
                <w:i/>
                <w:iCs/>
                <w:szCs w:val="20"/>
              </w:rPr>
              <w:t>Simplified Procedure</w:t>
            </w:r>
          </w:p>
        </w:tc>
        <w:tc>
          <w:tcPr>
            <w:tcW w:w="134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13019DE" w14:textId="77777777" w:rsidR="00065708" w:rsidRPr="007F0786" w:rsidRDefault="00272335">
            <w:pPr>
              <w:spacing w:before="0"/>
              <w:jc w:val="center"/>
              <w:rPr>
                <w:szCs w:val="20"/>
                <w:lang w:val="en-US"/>
              </w:rPr>
            </w:pPr>
            <w:r w:rsidRPr="007F0786">
              <w:rPr>
                <w:szCs w:val="20"/>
                <w:lang w:val="en-US"/>
              </w:rPr>
              <w:t>N+1</w:t>
            </w:r>
          </w:p>
        </w:tc>
        <w:tc>
          <w:tcPr>
            <w:tcW w:w="1345"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14:paraId="1D5D2507" w14:textId="77777777" w:rsidR="00065708" w:rsidRPr="007F0786" w:rsidRDefault="00272335">
            <w:pPr>
              <w:spacing w:before="0"/>
              <w:jc w:val="center"/>
              <w:rPr>
                <w:szCs w:val="20"/>
              </w:rPr>
            </w:pPr>
            <w:r w:rsidRPr="007F0786">
              <w:rPr>
                <w:szCs w:val="20"/>
              </w:rPr>
              <w:t>N+1</w:t>
            </w:r>
          </w:p>
        </w:tc>
        <w:tc>
          <w:tcPr>
            <w:tcW w:w="1882"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14:paraId="19624D0B" w14:textId="77777777" w:rsidR="00065708" w:rsidRPr="007F0786" w:rsidRDefault="00272335">
            <w:pPr>
              <w:spacing w:before="0"/>
              <w:jc w:val="center"/>
              <w:rPr>
                <w:szCs w:val="20"/>
              </w:rPr>
            </w:pPr>
            <w:r w:rsidRPr="007F0786">
              <w:rPr>
                <w:szCs w:val="20"/>
              </w:rPr>
              <w:t>12 months + 12 months (DLP)</w:t>
            </w:r>
          </w:p>
        </w:tc>
      </w:tr>
      <w:tr w:rsidR="00065708" w:rsidRPr="007F0786" w14:paraId="069EE7C0" w14:textId="77777777">
        <w:trPr>
          <w:trHeight w:val="646"/>
        </w:trPr>
        <w:tc>
          <w:tcPr>
            <w:tcW w:w="2628"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8B76DE9" w14:textId="77777777" w:rsidR="00065708" w:rsidRPr="007F0786" w:rsidRDefault="00065708">
            <w:pPr>
              <w:rPr>
                <w:szCs w:val="20"/>
              </w:rPr>
            </w:pPr>
          </w:p>
        </w:tc>
        <w:tc>
          <w:tcPr>
            <w:tcW w:w="99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000449D" w14:textId="77777777" w:rsidR="00065708" w:rsidRPr="007F0786" w:rsidRDefault="00272335">
            <w:pPr>
              <w:spacing w:before="0"/>
              <w:jc w:val="center"/>
              <w:rPr>
                <w:szCs w:val="20"/>
              </w:rPr>
            </w:pPr>
            <w:r w:rsidRPr="007F0786">
              <w:rPr>
                <w:szCs w:val="20"/>
              </w:rPr>
              <w:t>Supply</w:t>
            </w:r>
          </w:p>
        </w:tc>
        <w:tc>
          <w:tcPr>
            <w:tcW w:w="18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554DAA8" w14:textId="77777777" w:rsidR="00065708" w:rsidRPr="007F0786" w:rsidRDefault="00272335">
            <w:pPr>
              <w:spacing w:before="0"/>
              <w:jc w:val="center"/>
              <w:rPr>
                <w:i/>
                <w:iCs/>
                <w:szCs w:val="20"/>
              </w:rPr>
            </w:pPr>
            <w:r w:rsidRPr="007F0786">
              <w:rPr>
                <w:i/>
                <w:iCs/>
                <w:szCs w:val="20"/>
              </w:rPr>
              <w:t>Local open</w:t>
            </w:r>
          </w:p>
        </w:tc>
        <w:tc>
          <w:tcPr>
            <w:tcW w:w="134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3552B89" w14:textId="77777777" w:rsidR="00065708" w:rsidRPr="007F0786" w:rsidRDefault="00272335">
            <w:pPr>
              <w:spacing w:before="0"/>
              <w:jc w:val="center"/>
              <w:rPr>
                <w:szCs w:val="20"/>
                <w:lang w:val="en-US"/>
              </w:rPr>
            </w:pPr>
            <w:r w:rsidRPr="007F0786">
              <w:rPr>
                <w:szCs w:val="20"/>
                <w:lang w:val="en-US"/>
              </w:rPr>
              <w:t>N+1</w:t>
            </w:r>
          </w:p>
        </w:tc>
        <w:tc>
          <w:tcPr>
            <w:tcW w:w="1345"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14:paraId="3573F97E" w14:textId="77777777" w:rsidR="00065708" w:rsidRPr="007F0786" w:rsidRDefault="00272335">
            <w:pPr>
              <w:spacing w:before="0"/>
              <w:jc w:val="center"/>
              <w:rPr>
                <w:szCs w:val="20"/>
              </w:rPr>
            </w:pPr>
            <w:r w:rsidRPr="007F0786">
              <w:rPr>
                <w:szCs w:val="20"/>
              </w:rPr>
              <w:t>N+1</w:t>
            </w:r>
          </w:p>
        </w:tc>
        <w:tc>
          <w:tcPr>
            <w:tcW w:w="1882"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14:paraId="3D371EA1" w14:textId="77777777" w:rsidR="00065708" w:rsidRPr="007F0786" w:rsidRDefault="00272335">
            <w:pPr>
              <w:spacing w:before="0"/>
              <w:jc w:val="center"/>
              <w:rPr>
                <w:szCs w:val="20"/>
              </w:rPr>
            </w:pPr>
            <w:r w:rsidRPr="007F0786">
              <w:rPr>
                <w:szCs w:val="20"/>
              </w:rPr>
              <w:t>12 months + 12 months (warranty period)</w:t>
            </w:r>
          </w:p>
        </w:tc>
      </w:tr>
    </w:tbl>
    <w:p w14:paraId="192D5B63" w14:textId="77777777" w:rsidR="00065708" w:rsidRPr="00DF7F48" w:rsidRDefault="00272335">
      <w:pPr>
        <w:suppressAutoHyphens/>
        <w:spacing w:before="60" w:after="60"/>
        <w:contextualSpacing/>
        <w:rPr>
          <w:i/>
          <w:iCs/>
          <w:sz w:val="22"/>
          <w:szCs w:val="22"/>
          <w:lang w:eastAsia="ja-JP"/>
        </w:rPr>
      </w:pPr>
      <w:r w:rsidRPr="00DF7F48">
        <w:rPr>
          <w:i/>
          <w:iCs/>
          <w:sz w:val="22"/>
          <w:szCs w:val="22"/>
          <w:lang w:eastAsia="ja-JP"/>
        </w:rPr>
        <w:t xml:space="preserve">*Launch of tender procedure with </w:t>
      </w:r>
      <w:proofErr w:type="spellStart"/>
      <w:r w:rsidRPr="00DF7F48">
        <w:rPr>
          <w:i/>
          <w:iCs/>
          <w:sz w:val="22"/>
          <w:szCs w:val="22"/>
          <w:lang w:eastAsia="ja-JP"/>
        </w:rPr>
        <w:t>suspensive</w:t>
      </w:r>
      <w:proofErr w:type="spellEnd"/>
      <w:r w:rsidRPr="00DF7F48">
        <w:rPr>
          <w:i/>
          <w:iCs/>
          <w:sz w:val="22"/>
          <w:szCs w:val="22"/>
          <w:lang w:eastAsia="ja-JP"/>
        </w:rPr>
        <w:t xml:space="preserve"> clause.</w:t>
      </w:r>
    </w:p>
    <w:p w14:paraId="32484151" w14:textId="77777777" w:rsidR="00065708" w:rsidRPr="00DF7F48" w:rsidRDefault="00272335" w:rsidP="00272335">
      <w:pPr>
        <w:pStyle w:val="NumPar1"/>
        <w:numPr>
          <w:ilvl w:val="1"/>
          <w:numId w:val="3"/>
        </w:numPr>
        <w:spacing w:before="60" w:after="60"/>
        <w:ind w:left="0"/>
        <w:contextualSpacing/>
        <w:outlineLvl w:val="0"/>
        <w:rPr>
          <w:b/>
          <w:bCs/>
          <w:sz w:val="22"/>
          <w:szCs w:val="22"/>
        </w:rPr>
      </w:pPr>
      <w:r w:rsidRPr="00DF7F48">
        <w:rPr>
          <w:b/>
          <w:bCs/>
          <w:sz w:val="22"/>
          <w:szCs w:val="22"/>
        </w:rPr>
        <w:t>Supporting documents</w:t>
      </w:r>
    </w:p>
    <w:p w14:paraId="18FE88E2" w14:textId="77777777" w:rsidR="00065708" w:rsidRPr="00DF7F48" w:rsidRDefault="00272335" w:rsidP="007F0786">
      <w:pPr>
        <w:pStyle w:val="ListParagraph"/>
        <w:suppressAutoHyphens/>
        <w:spacing w:after="120"/>
        <w:ind w:left="0"/>
        <w:contextualSpacing w:val="0"/>
        <w:rPr>
          <w:i/>
          <w:iCs/>
          <w:sz w:val="22"/>
          <w:szCs w:val="22"/>
          <w:u w:val="single"/>
          <w:lang w:eastAsia="ja-JP"/>
        </w:rPr>
      </w:pPr>
      <w:bookmarkStart w:id="14" w:name="_Hlk140484669"/>
      <w:bookmarkEnd w:id="14"/>
      <w:r w:rsidRPr="00DF7F48">
        <w:rPr>
          <w:i/>
          <w:iCs/>
          <w:sz w:val="22"/>
          <w:szCs w:val="22"/>
          <w:u w:val="single"/>
          <w:lang w:eastAsia="ja-JP"/>
        </w:rPr>
        <w:t>Activity 1 - Support to sustainable human resources policy for the IPA III Structures</w:t>
      </w:r>
    </w:p>
    <w:p w14:paraId="77D61260" w14:textId="77777777" w:rsidR="00065708" w:rsidRPr="00DF7F48" w:rsidRDefault="00272335">
      <w:pPr>
        <w:pStyle w:val="ListParagraph"/>
        <w:suppressAutoHyphens/>
        <w:spacing w:before="60" w:after="60"/>
        <w:ind w:left="0"/>
        <w:rPr>
          <w:sz w:val="22"/>
          <w:szCs w:val="22"/>
        </w:rPr>
      </w:pPr>
      <w:r w:rsidRPr="00DF7F48">
        <w:rPr>
          <w:i/>
          <w:iCs/>
          <w:sz w:val="22"/>
          <w:szCs w:val="22"/>
        </w:rPr>
        <w:t>Type of procedure</w:t>
      </w:r>
      <w:r w:rsidRPr="00DF7F48">
        <w:rPr>
          <w:sz w:val="22"/>
          <w:szCs w:val="22"/>
        </w:rPr>
        <w:t xml:space="preserve">: Direct award operating grant to national public bodies </w:t>
      </w:r>
    </w:p>
    <w:p w14:paraId="6A8BE9A1" w14:textId="77777777" w:rsidR="00065708" w:rsidRPr="00DF7F48" w:rsidRDefault="00272335">
      <w:pPr>
        <w:pStyle w:val="ListParagraph"/>
        <w:suppressAutoHyphens/>
        <w:spacing w:before="60" w:after="60"/>
        <w:ind w:left="0"/>
        <w:rPr>
          <w:sz w:val="22"/>
          <w:szCs w:val="22"/>
        </w:rPr>
      </w:pPr>
      <w:r w:rsidRPr="00DF7F48">
        <w:rPr>
          <w:sz w:val="22"/>
          <w:szCs w:val="22"/>
        </w:rPr>
        <w:t>The Invitation Letter to the Applicant to Submit a Proposal will be prepared during year N.</w:t>
      </w:r>
    </w:p>
    <w:p w14:paraId="41014E7A" w14:textId="77777777" w:rsidR="00065708" w:rsidRPr="00DF7F48" w:rsidRDefault="00272335" w:rsidP="007F0786">
      <w:pPr>
        <w:pStyle w:val="ListParagraph"/>
        <w:suppressAutoHyphens/>
        <w:spacing w:after="120"/>
        <w:ind w:left="0"/>
        <w:contextualSpacing w:val="0"/>
        <w:rPr>
          <w:i/>
          <w:iCs/>
          <w:sz w:val="22"/>
          <w:szCs w:val="22"/>
          <w:u w:val="single"/>
          <w:lang w:eastAsia="ja-JP"/>
        </w:rPr>
      </w:pPr>
      <w:r w:rsidRPr="00DF7F48">
        <w:rPr>
          <w:i/>
          <w:iCs/>
          <w:sz w:val="22"/>
          <w:szCs w:val="22"/>
          <w:u w:val="single"/>
          <w:lang w:eastAsia="ja-JP"/>
        </w:rPr>
        <w:t>Activity 2 – Support to the Implementation of IPA III OP</w:t>
      </w:r>
    </w:p>
    <w:p w14:paraId="6A2C7D8D" w14:textId="77777777" w:rsidR="00065708" w:rsidRPr="00DF7F48" w:rsidRDefault="00272335">
      <w:pPr>
        <w:pStyle w:val="ListParagraph"/>
        <w:suppressAutoHyphens/>
        <w:spacing w:before="60" w:after="60"/>
        <w:ind w:left="0"/>
        <w:rPr>
          <w:sz w:val="22"/>
          <w:szCs w:val="22"/>
          <w:lang w:eastAsia="ja-JP"/>
        </w:rPr>
      </w:pPr>
      <w:r w:rsidRPr="00DF7F48">
        <w:rPr>
          <w:i/>
          <w:iCs/>
          <w:sz w:val="22"/>
          <w:szCs w:val="22"/>
          <w:lang w:eastAsia="ja-JP"/>
        </w:rPr>
        <w:t>Type of procedure</w:t>
      </w:r>
      <w:r w:rsidRPr="00DF7F48">
        <w:rPr>
          <w:sz w:val="22"/>
          <w:szCs w:val="22"/>
          <w:lang w:eastAsia="ja-JP"/>
        </w:rPr>
        <w:t xml:space="preserve">: International Restricted Procedure for Service Contract </w:t>
      </w:r>
    </w:p>
    <w:p w14:paraId="47D98541" w14:textId="77777777" w:rsidR="00065708" w:rsidRPr="00DF7F48" w:rsidRDefault="00272335">
      <w:pPr>
        <w:pStyle w:val="ListParagraph"/>
        <w:suppressAutoHyphens/>
        <w:spacing w:before="60" w:after="60"/>
        <w:ind w:left="0"/>
        <w:rPr>
          <w:sz w:val="22"/>
          <w:szCs w:val="22"/>
          <w:lang w:eastAsia="ja-JP"/>
        </w:rPr>
      </w:pPr>
      <w:r w:rsidRPr="00DF7F48">
        <w:rPr>
          <w:sz w:val="22"/>
          <w:szCs w:val="22"/>
          <w:lang w:eastAsia="ja-JP"/>
        </w:rPr>
        <w:t>The Terms of References (</w:t>
      </w:r>
      <w:proofErr w:type="spellStart"/>
      <w:r w:rsidRPr="00DF7F48">
        <w:rPr>
          <w:sz w:val="22"/>
          <w:szCs w:val="22"/>
          <w:lang w:eastAsia="ja-JP"/>
        </w:rPr>
        <w:t>ToR</w:t>
      </w:r>
      <w:proofErr w:type="spellEnd"/>
      <w:r w:rsidRPr="00DF7F48">
        <w:rPr>
          <w:sz w:val="22"/>
          <w:szCs w:val="22"/>
          <w:lang w:eastAsia="ja-JP"/>
        </w:rPr>
        <w:t>) will be prepared in year N.</w:t>
      </w:r>
    </w:p>
    <w:p w14:paraId="0A2D2B01" w14:textId="77777777" w:rsidR="00065708" w:rsidRPr="00DF7F48" w:rsidRDefault="00272335" w:rsidP="007F0786">
      <w:pPr>
        <w:pStyle w:val="ListParagraph"/>
        <w:suppressAutoHyphens/>
        <w:spacing w:after="120"/>
        <w:ind w:left="0"/>
        <w:contextualSpacing w:val="0"/>
        <w:rPr>
          <w:sz w:val="22"/>
          <w:szCs w:val="22"/>
        </w:rPr>
      </w:pPr>
      <w:r w:rsidRPr="00DF7F48">
        <w:rPr>
          <w:i/>
          <w:iCs/>
          <w:sz w:val="22"/>
          <w:szCs w:val="22"/>
          <w:u w:val="single"/>
          <w:lang w:eastAsia="ja-JP"/>
        </w:rPr>
        <w:t xml:space="preserve">Activity 3 – Improving the technical capacities of the MA and remaining IPA structure for Implementation of OP Jobs and Opportunities </w:t>
      </w:r>
      <w:bookmarkStart w:id="15" w:name="_Hlk142394215"/>
      <w:bookmarkStart w:id="16" w:name="_Hlk142392609"/>
      <w:bookmarkEnd w:id="15"/>
      <w:bookmarkEnd w:id="16"/>
    </w:p>
    <w:p w14:paraId="01D779BE" w14:textId="77777777" w:rsidR="00065708" w:rsidRPr="00DF7F48" w:rsidRDefault="00272335">
      <w:pPr>
        <w:pStyle w:val="ListParagraph"/>
        <w:suppressAutoHyphens/>
        <w:spacing w:before="60" w:after="60"/>
        <w:ind w:left="0"/>
        <w:rPr>
          <w:sz w:val="22"/>
          <w:szCs w:val="22"/>
          <w:lang w:eastAsia="ja-JP"/>
        </w:rPr>
      </w:pPr>
      <w:r w:rsidRPr="00DF7F48">
        <w:rPr>
          <w:i/>
          <w:iCs/>
          <w:sz w:val="22"/>
          <w:szCs w:val="22"/>
          <w:lang w:eastAsia="ja-JP"/>
        </w:rPr>
        <w:t>Type of procedure</w:t>
      </w:r>
      <w:r w:rsidRPr="00DF7F48">
        <w:rPr>
          <w:sz w:val="22"/>
          <w:szCs w:val="22"/>
          <w:lang w:eastAsia="ja-JP"/>
        </w:rPr>
        <w:t xml:space="preserve">: Simplified Procedure for Works Contract </w:t>
      </w:r>
    </w:p>
    <w:p w14:paraId="4266203A" w14:textId="77777777" w:rsidR="00065708" w:rsidRPr="00DF7F48" w:rsidRDefault="00272335">
      <w:pPr>
        <w:pStyle w:val="ListParagraph"/>
        <w:suppressAutoHyphens/>
        <w:spacing w:before="60" w:after="60"/>
        <w:ind w:left="0"/>
        <w:rPr>
          <w:sz w:val="22"/>
          <w:szCs w:val="22"/>
          <w:lang w:eastAsia="ja-JP"/>
        </w:rPr>
      </w:pPr>
      <w:r w:rsidRPr="00DF7F48">
        <w:rPr>
          <w:sz w:val="22"/>
          <w:szCs w:val="22"/>
          <w:lang w:eastAsia="ja-JP"/>
        </w:rPr>
        <w:t>The Technical Specification (TS) will be prepared within the Technical Assistance project (intervention 2) during year N+1.</w:t>
      </w:r>
    </w:p>
    <w:p w14:paraId="62EF1F5F" w14:textId="77777777" w:rsidR="00065708" w:rsidRPr="00DF7F48" w:rsidRDefault="00272335" w:rsidP="007F0786">
      <w:pPr>
        <w:pStyle w:val="ListParagraph"/>
        <w:suppressAutoHyphens/>
        <w:spacing w:after="60"/>
        <w:ind w:left="0"/>
        <w:contextualSpacing w:val="0"/>
        <w:rPr>
          <w:sz w:val="22"/>
          <w:szCs w:val="22"/>
        </w:rPr>
      </w:pPr>
      <w:r w:rsidRPr="00DF7F48">
        <w:rPr>
          <w:i/>
          <w:iCs/>
          <w:sz w:val="22"/>
          <w:szCs w:val="22"/>
        </w:rPr>
        <w:t xml:space="preserve">Type of procedure: </w:t>
      </w:r>
      <w:r w:rsidRPr="00DF7F48">
        <w:rPr>
          <w:sz w:val="22"/>
          <w:szCs w:val="22"/>
        </w:rPr>
        <w:t>Local Open Procedure for Supply Contract (1-3 Supply Contracts signed).</w:t>
      </w:r>
    </w:p>
    <w:p w14:paraId="0A93693D" w14:textId="77777777" w:rsidR="00065708" w:rsidRPr="00DF7F48" w:rsidRDefault="00272335">
      <w:pPr>
        <w:pStyle w:val="ListParagraph"/>
        <w:suppressAutoHyphens/>
        <w:spacing w:before="60" w:after="60"/>
        <w:ind w:left="0"/>
        <w:rPr>
          <w:sz w:val="22"/>
          <w:szCs w:val="22"/>
        </w:rPr>
      </w:pPr>
      <w:r w:rsidRPr="00DF7F48">
        <w:rPr>
          <w:sz w:val="22"/>
          <w:szCs w:val="22"/>
        </w:rPr>
        <w:t>The Technical Specifications (TS) will be prepared with Technical Assistance in year N+1.</w:t>
      </w:r>
    </w:p>
    <w:p w14:paraId="2AF2D75C" w14:textId="77777777" w:rsidR="00065708" w:rsidRPr="00DF7F48" w:rsidRDefault="00272335">
      <w:pPr>
        <w:pStyle w:val="NumPar1"/>
        <w:tabs>
          <w:tab w:val="left" w:pos="480"/>
        </w:tabs>
        <w:spacing w:before="60" w:after="60"/>
        <w:ind w:left="0" w:firstLine="0"/>
        <w:contextualSpacing/>
        <w:outlineLvl w:val="0"/>
        <w:rPr>
          <w:b/>
          <w:bCs/>
          <w:sz w:val="22"/>
          <w:szCs w:val="22"/>
        </w:rPr>
      </w:pPr>
      <w:r w:rsidRPr="00DF7F48">
        <w:rPr>
          <w:b/>
          <w:bCs/>
          <w:sz w:val="22"/>
          <w:szCs w:val="22"/>
        </w:rPr>
        <w:t>Risks and assumptions</w:t>
      </w:r>
    </w:p>
    <w:p w14:paraId="413CB558" w14:textId="77777777" w:rsidR="00065708" w:rsidRPr="00DF7F48" w:rsidRDefault="00272335" w:rsidP="007F0786">
      <w:pPr>
        <w:spacing w:after="120"/>
        <w:rPr>
          <w:b/>
          <w:bCs/>
          <w:sz w:val="22"/>
          <w:szCs w:val="22"/>
        </w:rPr>
      </w:pPr>
      <w:r w:rsidRPr="00DF7F48">
        <w:rPr>
          <w:b/>
          <w:bCs/>
          <w:sz w:val="22"/>
          <w:szCs w:val="22"/>
        </w:rPr>
        <w:t>Risks encountered might be:</w:t>
      </w:r>
    </w:p>
    <w:p w14:paraId="5105D167" w14:textId="77777777" w:rsidR="00065708" w:rsidRPr="00DF7F48" w:rsidRDefault="00272335" w:rsidP="00272335">
      <w:pPr>
        <w:numPr>
          <w:ilvl w:val="0"/>
          <w:numId w:val="6"/>
        </w:numPr>
        <w:spacing w:before="60" w:after="60"/>
        <w:ind w:left="360" w:hanging="360"/>
        <w:contextualSpacing/>
        <w:rPr>
          <w:sz w:val="22"/>
          <w:szCs w:val="22"/>
        </w:rPr>
      </w:pPr>
      <w:r w:rsidRPr="00DF7F48">
        <w:rPr>
          <w:sz w:val="22"/>
          <w:szCs w:val="22"/>
        </w:rPr>
        <w:t>Insufficient commitment by all relevant stakeholders to maintain the project sustainability;</w:t>
      </w:r>
    </w:p>
    <w:p w14:paraId="673F2D7D" w14:textId="77777777" w:rsidR="00065708" w:rsidRPr="00DF7F48" w:rsidRDefault="00272335" w:rsidP="00272335">
      <w:pPr>
        <w:numPr>
          <w:ilvl w:val="0"/>
          <w:numId w:val="6"/>
        </w:numPr>
        <w:spacing w:before="60" w:after="60"/>
        <w:ind w:left="360" w:hanging="360"/>
        <w:contextualSpacing/>
        <w:rPr>
          <w:sz w:val="22"/>
          <w:szCs w:val="22"/>
        </w:rPr>
      </w:pPr>
      <w:r w:rsidRPr="00DF7F48">
        <w:rPr>
          <w:sz w:val="22"/>
          <w:szCs w:val="22"/>
        </w:rPr>
        <w:t>Lack of coordination among key institutions involved;</w:t>
      </w:r>
    </w:p>
    <w:p w14:paraId="7DC102C7" w14:textId="77777777" w:rsidR="00065708" w:rsidRPr="00DF7F48" w:rsidRDefault="00272335" w:rsidP="00272335">
      <w:pPr>
        <w:numPr>
          <w:ilvl w:val="0"/>
          <w:numId w:val="6"/>
        </w:numPr>
        <w:spacing w:before="60" w:after="60"/>
        <w:ind w:left="360" w:hanging="360"/>
        <w:contextualSpacing/>
        <w:rPr>
          <w:sz w:val="22"/>
          <w:szCs w:val="22"/>
        </w:rPr>
      </w:pPr>
      <w:r w:rsidRPr="00DF7F48">
        <w:rPr>
          <w:sz w:val="22"/>
          <w:szCs w:val="22"/>
        </w:rPr>
        <w:t>Low interest for joint collaboration among all stakeholders;</w:t>
      </w:r>
    </w:p>
    <w:p w14:paraId="70947B7C" w14:textId="77777777" w:rsidR="00065708" w:rsidRPr="00DF7F48" w:rsidRDefault="00272335" w:rsidP="00272335">
      <w:pPr>
        <w:numPr>
          <w:ilvl w:val="0"/>
          <w:numId w:val="6"/>
        </w:numPr>
        <w:spacing w:before="60" w:after="60"/>
        <w:ind w:left="360" w:hanging="360"/>
        <w:contextualSpacing/>
        <w:rPr>
          <w:rFonts w:eastAsia="Calibri"/>
          <w:sz w:val="22"/>
          <w:szCs w:val="22"/>
          <w:lang w:val="en-IE" w:eastAsia="ja-JP"/>
        </w:rPr>
      </w:pPr>
      <w:r w:rsidRPr="00DF7F48">
        <w:rPr>
          <w:rFonts w:eastAsia="Calibri"/>
          <w:sz w:val="22"/>
          <w:szCs w:val="22"/>
          <w:lang w:val="en-IE" w:eastAsia="ja-JP"/>
        </w:rPr>
        <w:t>Insufficient human and technical capacities of the relevant institutions;</w:t>
      </w:r>
    </w:p>
    <w:p w14:paraId="0B52332B" w14:textId="77777777" w:rsidR="00065708" w:rsidRPr="00DF7F48" w:rsidRDefault="00272335" w:rsidP="00272335">
      <w:pPr>
        <w:numPr>
          <w:ilvl w:val="0"/>
          <w:numId w:val="6"/>
        </w:numPr>
        <w:spacing w:before="60" w:after="60"/>
        <w:ind w:left="360" w:hanging="360"/>
        <w:contextualSpacing/>
        <w:rPr>
          <w:sz w:val="22"/>
          <w:szCs w:val="22"/>
        </w:rPr>
      </w:pPr>
      <w:r w:rsidRPr="00DF7F48">
        <w:rPr>
          <w:sz w:val="22"/>
          <w:szCs w:val="22"/>
        </w:rPr>
        <w:t>Policy and legal changes in national context;</w:t>
      </w:r>
    </w:p>
    <w:p w14:paraId="6B81BA7B" w14:textId="77777777" w:rsidR="00065708" w:rsidRPr="00DF7F48" w:rsidRDefault="00272335" w:rsidP="00272335">
      <w:pPr>
        <w:numPr>
          <w:ilvl w:val="0"/>
          <w:numId w:val="6"/>
        </w:numPr>
        <w:spacing w:before="60" w:after="60"/>
        <w:ind w:left="360" w:hanging="360"/>
        <w:contextualSpacing/>
        <w:rPr>
          <w:sz w:val="22"/>
          <w:szCs w:val="22"/>
        </w:rPr>
      </w:pPr>
      <w:r w:rsidRPr="00DF7F48">
        <w:rPr>
          <w:sz w:val="22"/>
          <w:szCs w:val="22"/>
        </w:rPr>
        <w:t>Insufficient commitment by the highest political level;</w:t>
      </w:r>
    </w:p>
    <w:p w14:paraId="6ADBF3EC" w14:textId="77777777" w:rsidR="00065708" w:rsidRPr="00DF7F48" w:rsidRDefault="00272335" w:rsidP="00272335">
      <w:pPr>
        <w:numPr>
          <w:ilvl w:val="0"/>
          <w:numId w:val="6"/>
        </w:numPr>
        <w:spacing w:before="60" w:after="60"/>
        <w:ind w:left="360" w:hanging="360"/>
        <w:contextualSpacing/>
        <w:rPr>
          <w:rFonts w:eastAsia="Calibri"/>
          <w:sz w:val="22"/>
          <w:szCs w:val="22"/>
          <w:lang w:val="en-IE" w:eastAsia="ja-JP"/>
        </w:rPr>
      </w:pPr>
      <w:r w:rsidRPr="00DF7F48">
        <w:rPr>
          <w:rFonts w:eastAsia="Calibri"/>
          <w:sz w:val="22"/>
          <w:szCs w:val="22"/>
          <w:lang w:val="en-IE" w:eastAsia="ja-JP"/>
        </w:rPr>
        <w:t>Potential delays in procurement procedures;</w:t>
      </w:r>
    </w:p>
    <w:p w14:paraId="13298CAA" w14:textId="77777777" w:rsidR="00065708" w:rsidRPr="00DF7F48" w:rsidRDefault="00272335" w:rsidP="00272335">
      <w:pPr>
        <w:numPr>
          <w:ilvl w:val="0"/>
          <w:numId w:val="6"/>
        </w:numPr>
        <w:spacing w:before="60" w:after="60"/>
        <w:ind w:left="360" w:hanging="360"/>
        <w:contextualSpacing/>
        <w:rPr>
          <w:rFonts w:eastAsia="Calibri"/>
          <w:sz w:val="22"/>
          <w:szCs w:val="22"/>
          <w:lang w:val="en-IE" w:eastAsia="ja-JP"/>
        </w:rPr>
      </w:pPr>
      <w:r w:rsidRPr="00DF7F48">
        <w:rPr>
          <w:rFonts w:eastAsia="Calibri"/>
          <w:sz w:val="22"/>
          <w:szCs w:val="22"/>
          <w:lang w:val="en-IE" w:eastAsia="ja-JP"/>
        </w:rPr>
        <w:t>Ineligible expenditures that might occur during the implementation of IPA III OP.</w:t>
      </w:r>
    </w:p>
    <w:p w14:paraId="4E41189B" w14:textId="77777777" w:rsidR="00065708" w:rsidRPr="00DF7F48" w:rsidRDefault="00272335" w:rsidP="007F0786">
      <w:pPr>
        <w:spacing w:after="120"/>
        <w:rPr>
          <w:b/>
          <w:bCs/>
          <w:sz w:val="22"/>
          <w:szCs w:val="22"/>
        </w:rPr>
      </w:pPr>
      <w:r w:rsidRPr="00DF7F48">
        <w:rPr>
          <w:b/>
          <w:bCs/>
          <w:sz w:val="22"/>
          <w:szCs w:val="22"/>
        </w:rPr>
        <w:t>Assumptions envisaged might be:</w:t>
      </w:r>
    </w:p>
    <w:p w14:paraId="3259DC7C" w14:textId="77777777" w:rsidR="00065708" w:rsidRPr="00DF7F48" w:rsidRDefault="00272335" w:rsidP="00272335">
      <w:pPr>
        <w:numPr>
          <w:ilvl w:val="0"/>
          <w:numId w:val="6"/>
        </w:numPr>
        <w:spacing w:before="60" w:after="60"/>
        <w:ind w:left="360" w:hanging="360"/>
        <w:contextualSpacing/>
        <w:rPr>
          <w:sz w:val="22"/>
          <w:szCs w:val="22"/>
        </w:rPr>
      </w:pPr>
      <w:r w:rsidRPr="00DF7F48">
        <w:rPr>
          <w:sz w:val="22"/>
          <w:szCs w:val="22"/>
        </w:rPr>
        <w:t>National authorities adopt retention policy in public administration;</w:t>
      </w:r>
    </w:p>
    <w:p w14:paraId="3C6C4349" w14:textId="77777777" w:rsidR="00065708" w:rsidRPr="00DF7F48" w:rsidRDefault="00272335" w:rsidP="00272335">
      <w:pPr>
        <w:numPr>
          <w:ilvl w:val="0"/>
          <w:numId w:val="6"/>
        </w:numPr>
        <w:spacing w:before="60" w:after="60"/>
        <w:ind w:left="360" w:hanging="360"/>
        <w:contextualSpacing/>
        <w:rPr>
          <w:sz w:val="22"/>
          <w:szCs w:val="22"/>
        </w:rPr>
      </w:pPr>
      <w:r w:rsidRPr="00DF7F48">
        <w:rPr>
          <w:sz w:val="22"/>
          <w:szCs w:val="22"/>
        </w:rPr>
        <w:t>All stakeholders available and committed to the implementation of interventions;</w:t>
      </w:r>
    </w:p>
    <w:p w14:paraId="205E10E0" w14:textId="77777777" w:rsidR="00065708" w:rsidRPr="00DF7F48" w:rsidRDefault="00272335" w:rsidP="00272335">
      <w:pPr>
        <w:numPr>
          <w:ilvl w:val="0"/>
          <w:numId w:val="6"/>
        </w:numPr>
        <w:spacing w:before="60" w:after="60"/>
        <w:ind w:left="360" w:hanging="360"/>
        <w:contextualSpacing/>
        <w:rPr>
          <w:sz w:val="22"/>
          <w:szCs w:val="22"/>
        </w:rPr>
      </w:pPr>
      <w:r w:rsidRPr="00DF7F48">
        <w:rPr>
          <w:sz w:val="22"/>
          <w:szCs w:val="22"/>
        </w:rPr>
        <w:t>All stakeholders demonstrate a real willingness and capacities for joint cooperation;</w:t>
      </w:r>
    </w:p>
    <w:p w14:paraId="53BA348B" w14:textId="77777777" w:rsidR="00065708" w:rsidRPr="00DF7F48" w:rsidRDefault="00272335" w:rsidP="00272335">
      <w:pPr>
        <w:numPr>
          <w:ilvl w:val="0"/>
          <w:numId w:val="6"/>
        </w:numPr>
        <w:spacing w:before="60" w:after="60"/>
        <w:ind w:left="360" w:hanging="360"/>
        <w:contextualSpacing/>
        <w:rPr>
          <w:sz w:val="22"/>
          <w:szCs w:val="22"/>
        </w:rPr>
      </w:pPr>
      <w:r w:rsidRPr="00DF7F48">
        <w:rPr>
          <w:sz w:val="22"/>
          <w:szCs w:val="22"/>
        </w:rPr>
        <w:t>Consistent policy and strong commitment by the highest political level to maintain stable human resources management within IPA structure;</w:t>
      </w:r>
    </w:p>
    <w:p w14:paraId="297EAA2A" w14:textId="77777777" w:rsidR="00065708" w:rsidRPr="00DF7F48" w:rsidRDefault="00272335" w:rsidP="00272335">
      <w:pPr>
        <w:numPr>
          <w:ilvl w:val="0"/>
          <w:numId w:val="6"/>
        </w:numPr>
        <w:spacing w:before="60" w:after="60"/>
        <w:ind w:left="360" w:hanging="360"/>
        <w:contextualSpacing/>
        <w:rPr>
          <w:sz w:val="22"/>
          <w:szCs w:val="22"/>
        </w:rPr>
      </w:pPr>
      <w:r w:rsidRPr="00DF7F48">
        <w:rPr>
          <w:sz w:val="22"/>
          <w:szCs w:val="22"/>
        </w:rPr>
        <w:t>Full coordination and transparency in the work of all key counterparts involved;</w:t>
      </w:r>
    </w:p>
    <w:p w14:paraId="7B52D5C9" w14:textId="77777777" w:rsidR="00065708" w:rsidRPr="00DF7F48" w:rsidRDefault="00272335" w:rsidP="00272335">
      <w:pPr>
        <w:numPr>
          <w:ilvl w:val="0"/>
          <w:numId w:val="6"/>
        </w:numPr>
        <w:spacing w:before="60" w:after="60"/>
        <w:ind w:left="360" w:hanging="360"/>
        <w:contextualSpacing/>
        <w:rPr>
          <w:rFonts w:eastAsia="Calibri"/>
          <w:sz w:val="22"/>
          <w:szCs w:val="22"/>
          <w:lang w:val="en-IE" w:eastAsia="ja-JP"/>
        </w:rPr>
      </w:pPr>
      <w:r w:rsidRPr="00DF7F48">
        <w:rPr>
          <w:rFonts w:eastAsia="Calibri"/>
          <w:sz w:val="22"/>
          <w:szCs w:val="22"/>
          <w:lang w:val="en-IE" w:eastAsia="ja-JP"/>
        </w:rPr>
        <w:t>Procurement procedures organized and conducted in line with pre-determined deadlines and according the procedures;</w:t>
      </w:r>
    </w:p>
    <w:p w14:paraId="33E079A1" w14:textId="77777777" w:rsidR="00065708" w:rsidRPr="00DF7F48" w:rsidRDefault="00272335" w:rsidP="00272335">
      <w:pPr>
        <w:numPr>
          <w:ilvl w:val="0"/>
          <w:numId w:val="6"/>
        </w:numPr>
        <w:spacing w:before="60" w:after="60"/>
        <w:ind w:left="360" w:hanging="360"/>
        <w:contextualSpacing/>
        <w:rPr>
          <w:rFonts w:eastAsia="Calibri"/>
          <w:sz w:val="22"/>
          <w:szCs w:val="22"/>
          <w:lang w:val="en-IE" w:eastAsia="ja-JP"/>
        </w:rPr>
      </w:pPr>
      <w:r w:rsidRPr="00DF7F48">
        <w:rPr>
          <w:rFonts w:eastAsia="Calibri"/>
          <w:sz w:val="22"/>
          <w:szCs w:val="22"/>
          <w:lang w:val="en-IE" w:eastAsia="ja-JP"/>
        </w:rPr>
        <w:lastRenderedPageBreak/>
        <w:t>Sound financial management and efficient implementation of projects’ contracts.</w:t>
      </w:r>
    </w:p>
    <w:p w14:paraId="2F18C81F" w14:textId="77777777" w:rsidR="00065708" w:rsidRPr="00DF7F48" w:rsidRDefault="00272335">
      <w:pPr>
        <w:pStyle w:val="NumPar1"/>
        <w:tabs>
          <w:tab w:val="left" w:pos="480"/>
        </w:tabs>
        <w:spacing w:before="60" w:after="60"/>
        <w:ind w:left="0" w:firstLine="0"/>
        <w:contextualSpacing/>
        <w:outlineLvl w:val="0"/>
        <w:rPr>
          <w:b/>
          <w:bCs/>
          <w:sz w:val="22"/>
          <w:szCs w:val="22"/>
        </w:rPr>
      </w:pPr>
      <w:r w:rsidRPr="00DF7F48">
        <w:rPr>
          <w:b/>
          <w:bCs/>
          <w:sz w:val="22"/>
          <w:szCs w:val="22"/>
        </w:rPr>
        <w:t>Sustainability:</w:t>
      </w:r>
    </w:p>
    <w:p w14:paraId="64C21CC2" w14:textId="77777777" w:rsidR="00065708" w:rsidRPr="00DF7F48" w:rsidRDefault="00272335">
      <w:pPr>
        <w:spacing w:before="60" w:after="60"/>
        <w:contextualSpacing/>
        <w:rPr>
          <w:sz w:val="22"/>
          <w:szCs w:val="22"/>
        </w:rPr>
      </w:pPr>
      <w:r w:rsidRPr="00DF7F48">
        <w:rPr>
          <w:sz w:val="22"/>
          <w:szCs w:val="22"/>
        </w:rPr>
        <w:t xml:space="preserve">Overall, the interventions will contribute and support of IPA III structures for sound financial management of OP. Investments in IPA structures, in forms of enhancing the human capacities through strengthening of their knowledge and skills, supporting retention policy measures and improvement of physical capacities, shall contribute to higher performances of staff employed in IPA III structures. </w:t>
      </w:r>
    </w:p>
    <w:p w14:paraId="05945D61" w14:textId="77777777" w:rsidR="00065708" w:rsidRPr="00DF7F48" w:rsidRDefault="00272335">
      <w:pPr>
        <w:pStyle w:val="NumPar1"/>
        <w:tabs>
          <w:tab w:val="left" w:pos="480"/>
        </w:tabs>
        <w:spacing w:before="60" w:after="60"/>
        <w:ind w:left="0" w:firstLine="0"/>
        <w:contextualSpacing/>
        <w:outlineLvl w:val="0"/>
        <w:rPr>
          <w:b/>
          <w:bCs/>
          <w:sz w:val="22"/>
          <w:szCs w:val="22"/>
        </w:rPr>
      </w:pPr>
      <w:r w:rsidRPr="00DF7F48">
        <w:rPr>
          <w:b/>
          <w:bCs/>
          <w:sz w:val="22"/>
          <w:szCs w:val="22"/>
        </w:rPr>
        <w:t xml:space="preserve"> Gender equality and empowerment of women and girls, equal opportunity, Roma, minorities and vulnerable groups (where relevant):</w:t>
      </w:r>
    </w:p>
    <w:p w14:paraId="27CF1321" w14:textId="77777777" w:rsidR="00065708" w:rsidRPr="00DF7F48" w:rsidRDefault="00272335">
      <w:pPr>
        <w:spacing w:before="60" w:after="60"/>
        <w:contextualSpacing/>
        <w:rPr>
          <w:sz w:val="22"/>
          <w:szCs w:val="22"/>
        </w:rPr>
      </w:pPr>
      <w:r w:rsidRPr="00DF7F48">
        <w:rPr>
          <w:sz w:val="22"/>
          <w:szCs w:val="22"/>
        </w:rPr>
        <w:t xml:space="preserve">The projects will contribute to the promotion of gender equality and women’s empowerment through promotion of active participation in </w:t>
      </w:r>
      <w:r w:rsidRPr="00DF7F48">
        <w:rPr>
          <w:sz w:val="22"/>
          <w:szCs w:val="22"/>
          <w:lang w:val="en-US"/>
        </w:rPr>
        <w:t>project implementation</w:t>
      </w:r>
      <w:r w:rsidRPr="00DF7F48">
        <w:rPr>
          <w:sz w:val="22"/>
          <w:szCs w:val="22"/>
        </w:rPr>
        <w:t xml:space="preserve">.  As well, increasing the male and female staffing and leadership within the IPA structures are crucial. The projects will be G0 gender neutral. </w:t>
      </w:r>
    </w:p>
    <w:p w14:paraId="4E1D9801" w14:textId="77777777" w:rsidR="00065708" w:rsidRPr="00DF7F48" w:rsidRDefault="00272335">
      <w:pPr>
        <w:spacing w:before="60" w:after="60"/>
        <w:contextualSpacing/>
        <w:rPr>
          <w:sz w:val="22"/>
          <w:szCs w:val="22"/>
          <w:lang w:val="en-US"/>
        </w:rPr>
      </w:pPr>
      <w:r w:rsidRPr="00DF7F48">
        <w:rPr>
          <w:sz w:val="22"/>
          <w:szCs w:val="22"/>
        </w:rPr>
        <w:t xml:space="preserve">Relevant stakeholders (public and/or non-state actors) affected by the issues to be addressed by these interventions are enlisted under section 5.9 of this OIS. Their roles and mandates and any institutional, organisational and/or capacity issues to be covered by this action are defined </w:t>
      </w:r>
      <w:r w:rsidRPr="00DF7F48">
        <w:rPr>
          <w:sz w:val="22"/>
          <w:szCs w:val="22"/>
          <w:lang w:val="en-US"/>
        </w:rPr>
        <w:t>with scope of legal provisions due to organization of state institutions.</w:t>
      </w:r>
    </w:p>
    <w:p w14:paraId="605D2EFC" w14:textId="77777777" w:rsidR="00065708" w:rsidRPr="00DF7F48" w:rsidRDefault="00272335">
      <w:pPr>
        <w:spacing w:before="60" w:after="60"/>
        <w:contextualSpacing/>
        <w:rPr>
          <w:sz w:val="22"/>
          <w:szCs w:val="22"/>
        </w:rPr>
      </w:pPr>
      <w:r w:rsidRPr="00DF7F48">
        <w:rPr>
          <w:sz w:val="22"/>
          <w:szCs w:val="22"/>
        </w:rPr>
        <w:t>Specific attention, where feasible through IPA III OP funded projects, will be paid to the most vulnerable groups, including Roma, by applying the principle of “doing no harm”. The impact to these groups will be analysed through the evaluation works that will be undertaken for this OP.</w:t>
      </w:r>
    </w:p>
    <w:p w14:paraId="487B3126" w14:textId="77777777" w:rsidR="00065708" w:rsidRPr="00DF7F48" w:rsidRDefault="00272335" w:rsidP="007F0786">
      <w:pPr>
        <w:rPr>
          <w:sz w:val="22"/>
          <w:szCs w:val="22"/>
        </w:rPr>
      </w:pPr>
      <w:r w:rsidRPr="00DF7F48">
        <w:rPr>
          <w:b/>
          <w:bCs/>
          <w:sz w:val="22"/>
          <w:szCs w:val="22"/>
        </w:rPr>
        <w:t xml:space="preserve">11) Requested financing from the European Commission: </w:t>
      </w:r>
    </w:p>
    <w:p w14:paraId="39196BD3" w14:textId="2B816712" w:rsidR="00065708" w:rsidRPr="006A510B" w:rsidRDefault="00272335" w:rsidP="007F0786">
      <w:pPr>
        <w:rPr>
          <w:sz w:val="22"/>
          <w:szCs w:val="22"/>
        </w:rPr>
      </w:pPr>
      <w:r w:rsidRPr="00DF7F48">
        <w:rPr>
          <w:sz w:val="22"/>
          <w:szCs w:val="22"/>
        </w:rPr>
        <w:t xml:space="preserve">The requested financing for the Operation from the European Commission will </w:t>
      </w:r>
      <w:r w:rsidRPr="006A510B">
        <w:rPr>
          <w:sz w:val="22"/>
          <w:szCs w:val="22"/>
        </w:rPr>
        <w:t xml:space="preserve">be 2 420 </w:t>
      </w:r>
      <w:r w:rsidR="00E80682" w:rsidRPr="006A510B">
        <w:rPr>
          <w:sz w:val="22"/>
          <w:szCs w:val="22"/>
        </w:rPr>
        <w:t>833</w:t>
      </w:r>
      <w:r w:rsidRPr="006A510B">
        <w:rPr>
          <w:sz w:val="22"/>
          <w:szCs w:val="22"/>
        </w:rPr>
        <w:t xml:space="preserve"> EUR </w:t>
      </w:r>
      <w:r w:rsidR="006A510B" w:rsidRPr="006A510B">
        <w:rPr>
          <w:rStyle w:val="FootnoteReference"/>
          <w:sz w:val="22"/>
          <w:szCs w:val="22"/>
        </w:rPr>
        <w:footnoteReference w:id="7"/>
      </w:r>
      <w:r w:rsidRPr="006A510B">
        <w:rPr>
          <w:sz w:val="22"/>
          <w:szCs w:val="22"/>
        </w:rPr>
        <w:t>(or 85% of total operation budget).</w:t>
      </w:r>
    </w:p>
    <w:p w14:paraId="03B1DB70" w14:textId="77777777" w:rsidR="00065708" w:rsidRPr="006A510B" w:rsidRDefault="00272335" w:rsidP="007F0786">
      <w:pPr>
        <w:rPr>
          <w:b/>
          <w:bCs/>
          <w:sz w:val="22"/>
          <w:szCs w:val="22"/>
        </w:rPr>
      </w:pPr>
      <w:r w:rsidRPr="006A510B">
        <w:rPr>
          <w:b/>
          <w:bCs/>
          <w:sz w:val="22"/>
          <w:szCs w:val="22"/>
        </w:rPr>
        <w:t xml:space="preserve">12) Co-financing: </w:t>
      </w:r>
    </w:p>
    <w:p w14:paraId="593C12BB" w14:textId="77777777" w:rsidR="00065708" w:rsidRPr="00DF7F48" w:rsidRDefault="00272335" w:rsidP="007F0786">
      <w:pPr>
        <w:rPr>
          <w:sz w:val="22"/>
          <w:szCs w:val="22"/>
        </w:rPr>
      </w:pPr>
      <w:r w:rsidRPr="006A510B">
        <w:rPr>
          <w:sz w:val="22"/>
          <w:szCs w:val="22"/>
        </w:rPr>
        <w:t>The co-financing of the Operation will be ensured by the national public contribution in amount of 427 206 EUR (or 15% of total operation budget).</w:t>
      </w:r>
      <w:r w:rsidRPr="00DF7F48">
        <w:rPr>
          <w:sz w:val="22"/>
          <w:szCs w:val="22"/>
        </w:rPr>
        <w:t xml:space="preserve"> </w:t>
      </w:r>
    </w:p>
    <w:p w14:paraId="625519CE" w14:textId="77777777" w:rsidR="00065708" w:rsidRDefault="00272335" w:rsidP="007F0786">
      <w:pPr>
        <w:pStyle w:val="NumPar1"/>
        <w:numPr>
          <w:ilvl w:val="0"/>
          <w:numId w:val="0"/>
        </w:numPr>
        <w:outlineLvl w:val="0"/>
        <w:rPr>
          <w:b/>
          <w:bCs/>
          <w:sz w:val="22"/>
          <w:szCs w:val="22"/>
        </w:rPr>
      </w:pPr>
      <w:r w:rsidRPr="00DF7F48">
        <w:rPr>
          <w:b/>
          <w:bCs/>
          <w:sz w:val="22"/>
          <w:szCs w:val="22"/>
        </w:rPr>
        <w:t xml:space="preserve">13) Budget breakdown: </w:t>
      </w:r>
    </w:p>
    <w:tbl>
      <w:tblPr>
        <w:tblStyle w:val="TableGrid"/>
        <w:tblW w:w="0" w:type="auto"/>
        <w:tblLook w:val="04A0" w:firstRow="1" w:lastRow="0" w:firstColumn="1" w:lastColumn="0" w:noHBand="0" w:noVBand="1"/>
      </w:tblPr>
      <w:tblGrid>
        <w:gridCol w:w="2965"/>
        <w:gridCol w:w="1322"/>
        <w:gridCol w:w="1288"/>
        <w:gridCol w:w="1350"/>
        <w:gridCol w:w="1350"/>
        <w:gridCol w:w="1353"/>
      </w:tblGrid>
      <w:tr w:rsidR="006028A3" w:rsidRPr="006E24B4" w14:paraId="499B3DE0" w14:textId="77777777" w:rsidTr="0097721A">
        <w:tc>
          <w:tcPr>
            <w:tcW w:w="2965" w:type="dxa"/>
            <w:shd w:val="clear" w:color="auto" w:fill="DBE5F1" w:themeFill="accent1" w:themeFillTint="33"/>
            <w:vAlign w:val="center"/>
          </w:tcPr>
          <w:p w14:paraId="6FFF221D" w14:textId="77777777" w:rsidR="006028A3" w:rsidRPr="006E24B4" w:rsidRDefault="006028A3" w:rsidP="000E64E6">
            <w:pPr>
              <w:jc w:val="center"/>
              <w:rPr>
                <w:b/>
                <w:bCs/>
                <w:sz w:val="20"/>
                <w:szCs w:val="20"/>
                <w:lang w:eastAsia="zh-CN"/>
              </w:rPr>
            </w:pPr>
          </w:p>
        </w:tc>
        <w:tc>
          <w:tcPr>
            <w:tcW w:w="1322" w:type="dxa"/>
            <w:shd w:val="clear" w:color="auto" w:fill="DBE5F1" w:themeFill="accent1" w:themeFillTint="33"/>
            <w:vAlign w:val="center"/>
          </w:tcPr>
          <w:p w14:paraId="29CC9C30" w14:textId="77777777" w:rsidR="006028A3" w:rsidRPr="006E24B4" w:rsidRDefault="006028A3" w:rsidP="000E64E6">
            <w:pPr>
              <w:jc w:val="center"/>
              <w:rPr>
                <w:b/>
                <w:bCs/>
                <w:sz w:val="20"/>
                <w:szCs w:val="20"/>
                <w:lang w:eastAsia="zh-CN"/>
              </w:rPr>
            </w:pPr>
            <w:r w:rsidRPr="006E24B4">
              <w:rPr>
                <w:b/>
                <w:bCs/>
                <w:sz w:val="20"/>
                <w:szCs w:val="20"/>
                <w:lang w:eastAsia="zh-CN"/>
              </w:rPr>
              <w:t>EU contribution (EUR)</w:t>
            </w:r>
          </w:p>
        </w:tc>
        <w:tc>
          <w:tcPr>
            <w:tcW w:w="1288" w:type="dxa"/>
            <w:shd w:val="clear" w:color="auto" w:fill="DBE5F1" w:themeFill="accent1" w:themeFillTint="33"/>
            <w:vAlign w:val="center"/>
          </w:tcPr>
          <w:p w14:paraId="29909569" w14:textId="77777777" w:rsidR="006028A3" w:rsidRPr="006E24B4" w:rsidRDefault="006028A3" w:rsidP="000E64E6">
            <w:pPr>
              <w:jc w:val="center"/>
              <w:rPr>
                <w:b/>
                <w:bCs/>
                <w:sz w:val="20"/>
                <w:szCs w:val="20"/>
                <w:lang w:eastAsia="zh-CN"/>
              </w:rPr>
            </w:pPr>
            <w:r w:rsidRPr="006E24B4">
              <w:rPr>
                <w:b/>
                <w:bCs/>
                <w:sz w:val="20"/>
                <w:szCs w:val="20"/>
                <w:lang w:eastAsia="zh-CN"/>
              </w:rPr>
              <w:t>EU contribution percentage</w:t>
            </w:r>
          </w:p>
        </w:tc>
        <w:tc>
          <w:tcPr>
            <w:tcW w:w="1350" w:type="dxa"/>
            <w:shd w:val="clear" w:color="auto" w:fill="DBE5F1" w:themeFill="accent1" w:themeFillTint="33"/>
            <w:vAlign w:val="center"/>
          </w:tcPr>
          <w:p w14:paraId="2AC0AAEC" w14:textId="77777777" w:rsidR="006028A3" w:rsidRPr="006E24B4" w:rsidRDefault="006028A3" w:rsidP="000E64E6">
            <w:pPr>
              <w:jc w:val="center"/>
              <w:rPr>
                <w:b/>
                <w:bCs/>
                <w:sz w:val="20"/>
                <w:szCs w:val="20"/>
                <w:lang w:eastAsia="zh-CN"/>
              </w:rPr>
            </w:pPr>
            <w:r w:rsidRPr="006E24B4">
              <w:rPr>
                <w:b/>
                <w:bCs/>
                <w:sz w:val="20"/>
                <w:szCs w:val="20"/>
                <w:lang w:eastAsia="zh-CN"/>
              </w:rPr>
              <w:t>National co-financing (EUR)</w:t>
            </w:r>
          </w:p>
        </w:tc>
        <w:tc>
          <w:tcPr>
            <w:tcW w:w="1350" w:type="dxa"/>
            <w:shd w:val="clear" w:color="auto" w:fill="DBE5F1" w:themeFill="accent1" w:themeFillTint="33"/>
            <w:vAlign w:val="center"/>
          </w:tcPr>
          <w:p w14:paraId="3C69E80A" w14:textId="77777777" w:rsidR="006028A3" w:rsidRPr="006E24B4" w:rsidRDefault="006028A3" w:rsidP="000E64E6">
            <w:pPr>
              <w:jc w:val="center"/>
              <w:rPr>
                <w:b/>
                <w:bCs/>
                <w:sz w:val="20"/>
                <w:szCs w:val="20"/>
                <w:lang w:eastAsia="zh-CN"/>
              </w:rPr>
            </w:pPr>
            <w:r w:rsidRPr="006E24B4">
              <w:rPr>
                <w:b/>
                <w:bCs/>
                <w:sz w:val="20"/>
                <w:szCs w:val="20"/>
                <w:lang w:eastAsia="zh-CN"/>
              </w:rPr>
              <w:t>National co-financing percentage</w:t>
            </w:r>
          </w:p>
        </w:tc>
        <w:tc>
          <w:tcPr>
            <w:tcW w:w="1353" w:type="dxa"/>
            <w:shd w:val="clear" w:color="auto" w:fill="DBE5F1" w:themeFill="accent1" w:themeFillTint="33"/>
            <w:vAlign w:val="center"/>
          </w:tcPr>
          <w:p w14:paraId="45F7AC56" w14:textId="77777777" w:rsidR="006028A3" w:rsidRPr="006E24B4" w:rsidRDefault="006028A3" w:rsidP="000E64E6">
            <w:pPr>
              <w:jc w:val="center"/>
              <w:rPr>
                <w:b/>
                <w:bCs/>
                <w:sz w:val="20"/>
                <w:szCs w:val="20"/>
                <w:lang w:eastAsia="zh-CN"/>
              </w:rPr>
            </w:pPr>
            <w:r w:rsidRPr="006E24B4">
              <w:rPr>
                <w:b/>
                <w:bCs/>
                <w:sz w:val="20"/>
                <w:szCs w:val="20"/>
                <w:lang w:eastAsia="zh-CN"/>
              </w:rPr>
              <w:t>Total expenditure (EUR)</w:t>
            </w:r>
          </w:p>
        </w:tc>
      </w:tr>
      <w:tr w:rsidR="006028A3" w:rsidRPr="006E24B4" w14:paraId="75BA51F2" w14:textId="77777777" w:rsidTr="0097721A">
        <w:tc>
          <w:tcPr>
            <w:tcW w:w="2965"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14:paraId="52EC83A4" w14:textId="77777777" w:rsidR="006028A3" w:rsidRPr="006028A3" w:rsidRDefault="006028A3" w:rsidP="006028A3">
            <w:pPr>
              <w:suppressAutoHyphens/>
              <w:rPr>
                <w:i/>
                <w:iCs/>
                <w:sz w:val="20"/>
                <w:szCs w:val="20"/>
              </w:rPr>
            </w:pPr>
            <w:r w:rsidRPr="006028A3">
              <w:rPr>
                <w:b/>
                <w:bCs/>
                <w:i/>
                <w:iCs/>
                <w:sz w:val="20"/>
                <w:szCs w:val="20"/>
              </w:rPr>
              <w:t>Activity 1</w:t>
            </w:r>
            <w:r w:rsidRPr="006028A3">
              <w:rPr>
                <w:i/>
                <w:iCs/>
                <w:sz w:val="20"/>
                <w:szCs w:val="20"/>
              </w:rPr>
              <w:t xml:space="preserve"> –</w:t>
            </w:r>
          </w:p>
          <w:p w14:paraId="63A1A406" w14:textId="56830CCF" w:rsidR="006028A3" w:rsidRPr="006028A3" w:rsidRDefault="006028A3" w:rsidP="006028A3">
            <w:pPr>
              <w:rPr>
                <w:b/>
                <w:bCs/>
                <w:sz w:val="20"/>
                <w:szCs w:val="20"/>
                <w:lang w:eastAsia="zh-CN"/>
              </w:rPr>
            </w:pPr>
            <w:r w:rsidRPr="006028A3">
              <w:rPr>
                <w:i/>
                <w:iCs/>
                <w:sz w:val="20"/>
                <w:szCs w:val="20"/>
              </w:rPr>
              <w:t>Support to sustainable human resources policy for the IPA III Structures</w:t>
            </w:r>
          </w:p>
        </w:tc>
        <w:tc>
          <w:tcPr>
            <w:tcW w:w="1322" w:type="dxa"/>
            <w:shd w:val="clear" w:color="auto" w:fill="auto"/>
            <w:vAlign w:val="center"/>
          </w:tcPr>
          <w:p w14:paraId="4B1E585D" w14:textId="77777777" w:rsidR="006028A3" w:rsidRPr="00F82DDB" w:rsidRDefault="006028A3" w:rsidP="006028A3">
            <w:pPr>
              <w:jc w:val="center"/>
              <w:rPr>
                <w:sz w:val="20"/>
                <w:szCs w:val="20"/>
                <w:lang w:eastAsia="zh-CN"/>
              </w:rPr>
            </w:pPr>
            <w:r w:rsidRPr="00803E00">
              <w:rPr>
                <w:sz w:val="20"/>
                <w:szCs w:val="20"/>
                <w:lang w:eastAsia="zh-CN"/>
              </w:rPr>
              <w:t>TBD</w:t>
            </w:r>
          </w:p>
        </w:tc>
        <w:tc>
          <w:tcPr>
            <w:tcW w:w="1288" w:type="dxa"/>
            <w:shd w:val="clear" w:color="auto" w:fill="auto"/>
            <w:vAlign w:val="center"/>
          </w:tcPr>
          <w:p w14:paraId="6630CDFC" w14:textId="29CDA0B2" w:rsidR="006028A3" w:rsidRPr="00E369E4" w:rsidRDefault="00E369E4" w:rsidP="006028A3">
            <w:pPr>
              <w:jc w:val="center"/>
              <w:rPr>
                <w:sz w:val="20"/>
                <w:szCs w:val="20"/>
                <w:lang w:eastAsia="zh-CN"/>
              </w:rPr>
            </w:pPr>
            <w:r w:rsidRPr="00E369E4">
              <w:rPr>
                <w:sz w:val="20"/>
                <w:szCs w:val="20"/>
                <w:lang w:eastAsia="zh-CN"/>
              </w:rPr>
              <w:t>TBD</w:t>
            </w:r>
          </w:p>
        </w:tc>
        <w:tc>
          <w:tcPr>
            <w:tcW w:w="1350" w:type="dxa"/>
            <w:shd w:val="clear" w:color="auto" w:fill="auto"/>
            <w:vAlign w:val="center"/>
          </w:tcPr>
          <w:p w14:paraId="795B3374" w14:textId="5539328A" w:rsidR="006028A3" w:rsidRPr="00E369E4" w:rsidRDefault="00E369E4" w:rsidP="006028A3">
            <w:pPr>
              <w:jc w:val="center"/>
              <w:rPr>
                <w:sz w:val="20"/>
                <w:szCs w:val="20"/>
                <w:lang w:eastAsia="zh-CN"/>
              </w:rPr>
            </w:pPr>
            <w:r w:rsidRPr="00E369E4">
              <w:rPr>
                <w:sz w:val="20"/>
                <w:szCs w:val="20"/>
                <w:lang w:eastAsia="zh-CN"/>
              </w:rPr>
              <w:t>TBD</w:t>
            </w:r>
          </w:p>
        </w:tc>
        <w:tc>
          <w:tcPr>
            <w:tcW w:w="1350" w:type="dxa"/>
            <w:shd w:val="clear" w:color="auto" w:fill="auto"/>
            <w:vAlign w:val="center"/>
          </w:tcPr>
          <w:p w14:paraId="3AD1F375" w14:textId="397B2BA9" w:rsidR="006028A3" w:rsidRPr="00E369E4" w:rsidRDefault="00E369E4" w:rsidP="006028A3">
            <w:pPr>
              <w:jc w:val="center"/>
              <w:rPr>
                <w:sz w:val="20"/>
                <w:szCs w:val="20"/>
                <w:lang w:eastAsia="zh-CN"/>
              </w:rPr>
            </w:pPr>
            <w:r w:rsidRPr="00E369E4">
              <w:rPr>
                <w:sz w:val="20"/>
                <w:szCs w:val="20"/>
                <w:lang w:eastAsia="zh-CN"/>
              </w:rPr>
              <w:t>TBD</w:t>
            </w:r>
          </w:p>
        </w:tc>
        <w:tc>
          <w:tcPr>
            <w:tcW w:w="1353" w:type="dxa"/>
            <w:shd w:val="clear" w:color="auto" w:fill="auto"/>
            <w:vAlign w:val="center"/>
          </w:tcPr>
          <w:p w14:paraId="2375B555" w14:textId="60E87782" w:rsidR="006028A3" w:rsidRPr="006E24B4" w:rsidRDefault="00E369E4" w:rsidP="006028A3">
            <w:pPr>
              <w:jc w:val="center"/>
              <w:rPr>
                <w:b/>
                <w:bCs/>
                <w:sz w:val="20"/>
                <w:szCs w:val="20"/>
                <w:lang w:eastAsia="zh-CN"/>
              </w:rPr>
            </w:pPr>
            <w:r>
              <w:rPr>
                <w:b/>
                <w:bCs/>
                <w:sz w:val="20"/>
                <w:szCs w:val="20"/>
                <w:lang w:eastAsia="zh-CN"/>
              </w:rPr>
              <w:t>TBD</w:t>
            </w:r>
          </w:p>
        </w:tc>
      </w:tr>
      <w:tr w:rsidR="006028A3" w:rsidRPr="006E24B4" w14:paraId="0BFA6755" w14:textId="77777777" w:rsidTr="0097721A">
        <w:tc>
          <w:tcPr>
            <w:tcW w:w="2965"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14:paraId="1E9957A4" w14:textId="77777777" w:rsidR="006028A3" w:rsidRPr="006028A3" w:rsidRDefault="006028A3" w:rsidP="006028A3">
            <w:pPr>
              <w:suppressAutoHyphens/>
              <w:rPr>
                <w:i/>
                <w:iCs/>
                <w:sz w:val="20"/>
                <w:szCs w:val="20"/>
              </w:rPr>
            </w:pPr>
            <w:r w:rsidRPr="006028A3">
              <w:rPr>
                <w:b/>
                <w:bCs/>
                <w:i/>
                <w:iCs/>
                <w:sz w:val="20"/>
                <w:szCs w:val="20"/>
              </w:rPr>
              <w:t>Activity 2</w:t>
            </w:r>
            <w:r w:rsidRPr="006028A3">
              <w:rPr>
                <w:i/>
                <w:iCs/>
                <w:sz w:val="20"/>
                <w:szCs w:val="20"/>
              </w:rPr>
              <w:t xml:space="preserve"> –</w:t>
            </w:r>
          </w:p>
          <w:p w14:paraId="07E6A97A" w14:textId="7BC40079" w:rsidR="006028A3" w:rsidRPr="006028A3" w:rsidRDefault="006028A3" w:rsidP="006028A3">
            <w:pPr>
              <w:rPr>
                <w:sz w:val="20"/>
                <w:szCs w:val="20"/>
                <w:lang w:eastAsia="zh-CN"/>
              </w:rPr>
            </w:pPr>
            <w:r w:rsidRPr="006028A3">
              <w:rPr>
                <w:i/>
                <w:iCs/>
                <w:sz w:val="20"/>
                <w:szCs w:val="20"/>
              </w:rPr>
              <w:t>Supporting the Implementation of IPA III OP</w:t>
            </w:r>
          </w:p>
        </w:tc>
        <w:tc>
          <w:tcPr>
            <w:tcW w:w="1322" w:type="dxa"/>
            <w:vAlign w:val="center"/>
          </w:tcPr>
          <w:p w14:paraId="37006AD6" w14:textId="5D30084B" w:rsidR="006028A3" w:rsidRPr="004F0DAD" w:rsidRDefault="004F0DAD" w:rsidP="006028A3">
            <w:pPr>
              <w:jc w:val="center"/>
              <w:rPr>
                <w:sz w:val="20"/>
                <w:szCs w:val="20"/>
                <w:lang w:eastAsia="zh-CN"/>
              </w:rPr>
            </w:pPr>
            <w:r w:rsidRPr="004F0DAD">
              <w:rPr>
                <w:sz w:val="20"/>
                <w:szCs w:val="20"/>
              </w:rPr>
              <w:t>1 232 500</w:t>
            </w:r>
          </w:p>
        </w:tc>
        <w:tc>
          <w:tcPr>
            <w:tcW w:w="1288" w:type="dxa"/>
            <w:vAlign w:val="center"/>
          </w:tcPr>
          <w:p w14:paraId="260F7274" w14:textId="77777777" w:rsidR="006028A3" w:rsidRPr="004F0DAD" w:rsidRDefault="006028A3" w:rsidP="006028A3">
            <w:pPr>
              <w:jc w:val="center"/>
              <w:rPr>
                <w:sz w:val="20"/>
                <w:szCs w:val="20"/>
                <w:lang w:eastAsia="zh-CN"/>
              </w:rPr>
            </w:pPr>
            <w:r w:rsidRPr="004F0DAD">
              <w:rPr>
                <w:sz w:val="20"/>
                <w:szCs w:val="20"/>
                <w:lang w:eastAsia="zh-CN"/>
              </w:rPr>
              <w:t>85%</w:t>
            </w:r>
          </w:p>
        </w:tc>
        <w:tc>
          <w:tcPr>
            <w:tcW w:w="1350" w:type="dxa"/>
            <w:vAlign w:val="center"/>
          </w:tcPr>
          <w:p w14:paraId="39A69665" w14:textId="621209EC" w:rsidR="006028A3" w:rsidRPr="004F0DAD" w:rsidRDefault="004F0DAD" w:rsidP="006028A3">
            <w:pPr>
              <w:jc w:val="center"/>
              <w:rPr>
                <w:sz w:val="20"/>
                <w:szCs w:val="20"/>
                <w:lang w:eastAsia="zh-CN"/>
              </w:rPr>
            </w:pPr>
            <w:r w:rsidRPr="004F0DAD">
              <w:rPr>
                <w:sz w:val="20"/>
                <w:szCs w:val="20"/>
              </w:rPr>
              <w:t>217 500</w:t>
            </w:r>
          </w:p>
        </w:tc>
        <w:tc>
          <w:tcPr>
            <w:tcW w:w="1350" w:type="dxa"/>
            <w:vAlign w:val="center"/>
          </w:tcPr>
          <w:p w14:paraId="46E47AC1" w14:textId="77777777" w:rsidR="006028A3" w:rsidRPr="004F0DAD" w:rsidRDefault="006028A3" w:rsidP="006028A3">
            <w:pPr>
              <w:jc w:val="center"/>
              <w:rPr>
                <w:sz w:val="20"/>
                <w:szCs w:val="20"/>
                <w:lang w:eastAsia="zh-CN"/>
              </w:rPr>
            </w:pPr>
            <w:r w:rsidRPr="004F0DAD">
              <w:rPr>
                <w:sz w:val="20"/>
                <w:szCs w:val="20"/>
                <w:lang w:eastAsia="zh-CN"/>
              </w:rPr>
              <w:t>15%</w:t>
            </w:r>
          </w:p>
        </w:tc>
        <w:tc>
          <w:tcPr>
            <w:tcW w:w="1353" w:type="dxa"/>
            <w:vAlign w:val="center"/>
          </w:tcPr>
          <w:p w14:paraId="464624B1" w14:textId="11330353" w:rsidR="006028A3" w:rsidRPr="004F0DAD" w:rsidRDefault="004F0DAD" w:rsidP="006028A3">
            <w:pPr>
              <w:jc w:val="center"/>
              <w:rPr>
                <w:b/>
                <w:bCs/>
                <w:sz w:val="20"/>
                <w:szCs w:val="20"/>
                <w:lang w:eastAsia="zh-CN"/>
              </w:rPr>
            </w:pPr>
            <w:r w:rsidRPr="004F0DAD">
              <w:rPr>
                <w:b/>
                <w:bCs/>
                <w:sz w:val="20"/>
                <w:szCs w:val="20"/>
                <w:lang w:eastAsia="zh-CN"/>
              </w:rPr>
              <w:t>1 450 000</w:t>
            </w:r>
          </w:p>
        </w:tc>
      </w:tr>
      <w:tr w:rsidR="002651B1" w:rsidRPr="006E24B4" w14:paraId="06E309FC" w14:textId="77777777" w:rsidTr="0097721A">
        <w:trPr>
          <w:trHeight w:val="458"/>
        </w:trPr>
        <w:tc>
          <w:tcPr>
            <w:tcW w:w="2965" w:type="dxa"/>
            <w:vMerge w:val="restart"/>
            <w:tcBorders>
              <w:top w:val="single" w:sz="4" w:space="0" w:color="000000"/>
              <w:left w:val="single" w:sz="4" w:space="0" w:color="000000"/>
              <w:right w:val="single" w:sz="4" w:space="0" w:color="000000"/>
              <w:tl2br w:val="nil"/>
              <w:tr2bl w:val="nil"/>
            </w:tcBorders>
            <w:shd w:val="solid" w:color="FFFFFF" w:fill="auto"/>
            <w:vAlign w:val="center"/>
          </w:tcPr>
          <w:p w14:paraId="29531041" w14:textId="77777777" w:rsidR="002651B1" w:rsidRPr="006028A3" w:rsidRDefault="002651B1" w:rsidP="006028A3">
            <w:pPr>
              <w:suppressAutoHyphens/>
              <w:rPr>
                <w:i/>
                <w:iCs/>
                <w:sz w:val="20"/>
                <w:szCs w:val="20"/>
              </w:rPr>
            </w:pPr>
            <w:r w:rsidRPr="006028A3">
              <w:rPr>
                <w:b/>
                <w:bCs/>
                <w:i/>
                <w:iCs/>
                <w:sz w:val="20"/>
                <w:szCs w:val="20"/>
              </w:rPr>
              <w:t>Activity 3</w:t>
            </w:r>
            <w:r w:rsidRPr="006028A3">
              <w:rPr>
                <w:i/>
                <w:iCs/>
                <w:sz w:val="20"/>
                <w:szCs w:val="20"/>
              </w:rPr>
              <w:t xml:space="preserve"> –</w:t>
            </w:r>
          </w:p>
          <w:p w14:paraId="5E66DFE8" w14:textId="72A34F79" w:rsidR="002651B1" w:rsidRPr="006028A3" w:rsidRDefault="002651B1" w:rsidP="006028A3">
            <w:pPr>
              <w:rPr>
                <w:i/>
                <w:iCs/>
                <w:sz w:val="20"/>
                <w:szCs w:val="20"/>
                <w:lang w:eastAsia="ja-JP"/>
              </w:rPr>
            </w:pPr>
            <w:r w:rsidRPr="006028A3">
              <w:rPr>
                <w:i/>
                <w:iCs/>
                <w:sz w:val="20"/>
                <w:szCs w:val="20"/>
              </w:rPr>
              <w:t>Enhancing the Capacities for Implementation of IPA III OP Jobs and Opportunities</w:t>
            </w:r>
          </w:p>
        </w:tc>
        <w:tc>
          <w:tcPr>
            <w:tcW w:w="1322" w:type="dxa"/>
            <w:vAlign w:val="center"/>
          </w:tcPr>
          <w:p w14:paraId="2BA8AF6F" w14:textId="0E934D83" w:rsidR="002651B1" w:rsidRPr="002651B1" w:rsidRDefault="002651B1" w:rsidP="006028A3">
            <w:pPr>
              <w:jc w:val="center"/>
              <w:rPr>
                <w:sz w:val="20"/>
                <w:szCs w:val="20"/>
              </w:rPr>
            </w:pPr>
            <w:r w:rsidRPr="002651B1">
              <w:rPr>
                <w:sz w:val="20"/>
                <w:szCs w:val="20"/>
              </w:rPr>
              <w:t>85 000</w:t>
            </w:r>
          </w:p>
        </w:tc>
        <w:tc>
          <w:tcPr>
            <w:tcW w:w="1288" w:type="dxa"/>
            <w:vAlign w:val="center"/>
          </w:tcPr>
          <w:p w14:paraId="015EFB3D" w14:textId="7C0122A5" w:rsidR="002651B1" w:rsidRPr="002651B1" w:rsidRDefault="002651B1" w:rsidP="006028A3">
            <w:pPr>
              <w:jc w:val="center"/>
              <w:rPr>
                <w:sz w:val="20"/>
                <w:szCs w:val="20"/>
              </w:rPr>
            </w:pPr>
            <w:r w:rsidRPr="002651B1">
              <w:rPr>
                <w:sz w:val="20"/>
                <w:szCs w:val="20"/>
              </w:rPr>
              <w:t>85%</w:t>
            </w:r>
          </w:p>
        </w:tc>
        <w:tc>
          <w:tcPr>
            <w:tcW w:w="1350" w:type="dxa"/>
            <w:vAlign w:val="center"/>
          </w:tcPr>
          <w:p w14:paraId="33D8F255" w14:textId="432774EC" w:rsidR="002651B1" w:rsidRPr="002651B1" w:rsidRDefault="002651B1" w:rsidP="006028A3">
            <w:pPr>
              <w:jc w:val="center"/>
              <w:rPr>
                <w:sz w:val="20"/>
                <w:szCs w:val="20"/>
              </w:rPr>
            </w:pPr>
            <w:r w:rsidRPr="002651B1">
              <w:rPr>
                <w:sz w:val="20"/>
                <w:szCs w:val="20"/>
              </w:rPr>
              <w:t>15 000</w:t>
            </w:r>
          </w:p>
        </w:tc>
        <w:tc>
          <w:tcPr>
            <w:tcW w:w="1350" w:type="dxa"/>
            <w:vAlign w:val="center"/>
          </w:tcPr>
          <w:p w14:paraId="24D56FF0" w14:textId="11BD1431" w:rsidR="002651B1" w:rsidRPr="002651B1" w:rsidRDefault="002651B1" w:rsidP="006028A3">
            <w:pPr>
              <w:jc w:val="center"/>
              <w:rPr>
                <w:sz w:val="20"/>
                <w:szCs w:val="20"/>
              </w:rPr>
            </w:pPr>
            <w:r w:rsidRPr="002651B1">
              <w:rPr>
                <w:sz w:val="20"/>
                <w:szCs w:val="20"/>
              </w:rPr>
              <w:t>15%</w:t>
            </w:r>
          </w:p>
        </w:tc>
        <w:tc>
          <w:tcPr>
            <w:tcW w:w="1353" w:type="dxa"/>
            <w:vAlign w:val="center"/>
          </w:tcPr>
          <w:p w14:paraId="2B340CFD" w14:textId="232C20B3" w:rsidR="002651B1" w:rsidRPr="00E369E4" w:rsidRDefault="002651B1" w:rsidP="006028A3">
            <w:pPr>
              <w:jc w:val="center"/>
              <w:rPr>
                <w:b/>
                <w:bCs/>
                <w:sz w:val="20"/>
                <w:szCs w:val="20"/>
              </w:rPr>
            </w:pPr>
            <w:r w:rsidRPr="00E369E4">
              <w:rPr>
                <w:b/>
                <w:bCs/>
                <w:sz w:val="20"/>
                <w:szCs w:val="20"/>
              </w:rPr>
              <w:t>100 000</w:t>
            </w:r>
          </w:p>
        </w:tc>
      </w:tr>
      <w:tr w:rsidR="002651B1" w:rsidRPr="006E24B4" w14:paraId="45E0621B" w14:textId="77777777" w:rsidTr="0097721A">
        <w:tc>
          <w:tcPr>
            <w:tcW w:w="2965" w:type="dxa"/>
            <w:vMerge/>
            <w:tcBorders>
              <w:left w:val="single" w:sz="4" w:space="0" w:color="000000"/>
              <w:bottom w:val="nil"/>
              <w:right w:val="single" w:sz="4" w:space="0" w:color="000000"/>
              <w:tl2br w:val="nil"/>
              <w:tr2bl w:val="nil"/>
            </w:tcBorders>
            <w:shd w:val="solid" w:color="FFFFFF" w:fill="auto"/>
            <w:vAlign w:val="center"/>
          </w:tcPr>
          <w:p w14:paraId="2DFDED91" w14:textId="77777777" w:rsidR="002651B1" w:rsidRPr="006028A3" w:rsidRDefault="002651B1" w:rsidP="006028A3">
            <w:pPr>
              <w:suppressAutoHyphens/>
              <w:rPr>
                <w:b/>
                <w:bCs/>
                <w:i/>
                <w:iCs/>
                <w:szCs w:val="20"/>
              </w:rPr>
            </w:pPr>
          </w:p>
        </w:tc>
        <w:tc>
          <w:tcPr>
            <w:tcW w:w="1322" w:type="dxa"/>
            <w:vAlign w:val="center"/>
          </w:tcPr>
          <w:p w14:paraId="018FAA99" w14:textId="507C02A5" w:rsidR="002651B1" w:rsidRPr="002651B1" w:rsidRDefault="002651B1" w:rsidP="006028A3">
            <w:pPr>
              <w:jc w:val="center"/>
              <w:rPr>
                <w:sz w:val="20"/>
                <w:szCs w:val="20"/>
              </w:rPr>
            </w:pPr>
            <w:r w:rsidRPr="002651B1">
              <w:rPr>
                <w:sz w:val="20"/>
                <w:szCs w:val="20"/>
              </w:rPr>
              <w:t>382 500</w:t>
            </w:r>
          </w:p>
        </w:tc>
        <w:tc>
          <w:tcPr>
            <w:tcW w:w="1288" w:type="dxa"/>
            <w:vAlign w:val="center"/>
          </w:tcPr>
          <w:p w14:paraId="7F90632B" w14:textId="2EB9DBE6" w:rsidR="002651B1" w:rsidRPr="002651B1" w:rsidRDefault="002651B1" w:rsidP="006028A3">
            <w:pPr>
              <w:jc w:val="center"/>
              <w:rPr>
                <w:sz w:val="20"/>
                <w:szCs w:val="20"/>
              </w:rPr>
            </w:pPr>
            <w:r w:rsidRPr="002651B1">
              <w:rPr>
                <w:sz w:val="20"/>
                <w:szCs w:val="20"/>
              </w:rPr>
              <w:t>85%</w:t>
            </w:r>
          </w:p>
        </w:tc>
        <w:tc>
          <w:tcPr>
            <w:tcW w:w="1350" w:type="dxa"/>
            <w:vAlign w:val="center"/>
          </w:tcPr>
          <w:p w14:paraId="613957ED" w14:textId="7FE4D5F3" w:rsidR="002651B1" w:rsidRPr="002651B1" w:rsidRDefault="002651B1" w:rsidP="006028A3">
            <w:pPr>
              <w:jc w:val="center"/>
              <w:rPr>
                <w:sz w:val="20"/>
                <w:szCs w:val="20"/>
              </w:rPr>
            </w:pPr>
            <w:r w:rsidRPr="002651B1">
              <w:rPr>
                <w:sz w:val="20"/>
                <w:szCs w:val="20"/>
              </w:rPr>
              <w:t>67 500</w:t>
            </w:r>
          </w:p>
        </w:tc>
        <w:tc>
          <w:tcPr>
            <w:tcW w:w="1350" w:type="dxa"/>
            <w:vAlign w:val="center"/>
          </w:tcPr>
          <w:p w14:paraId="6FEF1110" w14:textId="690E3284" w:rsidR="002651B1" w:rsidRPr="002651B1" w:rsidRDefault="002651B1" w:rsidP="006028A3">
            <w:pPr>
              <w:jc w:val="center"/>
              <w:rPr>
                <w:sz w:val="20"/>
                <w:szCs w:val="20"/>
              </w:rPr>
            </w:pPr>
            <w:r w:rsidRPr="002651B1">
              <w:rPr>
                <w:sz w:val="20"/>
                <w:szCs w:val="20"/>
              </w:rPr>
              <w:t>15%</w:t>
            </w:r>
          </w:p>
        </w:tc>
        <w:tc>
          <w:tcPr>
            <w:tcW w:w="1353" w:type="dxa"/>
            <w:vAlign w:val="center"/>
          </w:tcPr>
          <w:p w14:paraId="416E7737" w14:textId="4C207994" w:rsidR="002651B1" w:rsidRPr="00E369E4" w:rsidRDefault="002651B1" w:rsidP="006028A3">
            <w:pPr>
              <w:jc w:val="center"/>
              <w:rPr>
                <w:b/>
                <w:bCs/>
                <w:sz w:val="20"/>
                <w:szCs w:val="20"/>
              </w:rPr>
            </w:pPr>
            <w:r w:rsidRPr="00E369E4">
              <w:rPr>
                <w:b/>
                <w:bCs/>
                <w:sz w:val="20"/>
                <w:szCs w:val="20"/>
              </w:rPr>
              <w:t>450 000</w:t>
            </w:r>
          </w:p>
        </w:tc>
      </w:tr>
      <w:tr w:rsidR="006028A3" w:rsidRPr="006E24B4" w14:paraId="51DA4E82" w14:textId="77777777" w:rsidTr="0097721A">
        <w:tc>
          <w:tcPr>
            <w:tcW w:w="2965" w:type="dxa"/>
            <w:vAlign w:val="center"/>
          </w:tcPr>
          <w:p w14:paraId="205AD0DE" w14:textId="77777777" w:rsidR="006028A3" w:rsidRPr="006E24B4" w:rsidRDefault="006028A3" w:rsidP="000E64E6">
            <w:pPr>
              <w:rPr>
                <w:b/>
                <w:bCs/>
                <w:sz w:val="20"/>
                <w:szCs w:val="20"/>
                <w:lang w:eastAsia="zh-CN"/>
              </w:rPr>
            </w:pPr>
            <w:r w:rsidRPr="006E24B4">
              <w:rPr>
                <w:b/>
                <w:bCs/>
                <w:sz w:val="20"/>
                <w:szCs w:val="20"/>
                <w:lang w:eastAsia="zh-CN"/>
              </w:rPr>
              <w:t>Total</w:t>
            </w:r>
          </w:p>
        </w:tc>
        <w:tc>
          <w:tcPr>
            <w:tcW w:w="1322" w:type="dxa"/>
            <w:vAlign w:val="center"/>
          </w:tcPr>
          <w:p w14:paraId="570B95D6" w14:textId="0105D988" w:rsidR="006028A3" w:rsidRPr="006E24B4" w:rsidRDefault="00F95920" w:rsidP="000E64E6">
            <w:pPr>
              <w:jc w:val="center"/>
              <w:rPr>
                <w:b/>
                <w:bCs/>
                <w:sz w:val="20"/>
                <w:szCs w:val="20"/>
                <w:lang w:eastAsia="zh-CN"/>
              </w:rPr>
            </w:pPr>
            <w:r>
              <w:rPr>
                <w:b/>
                <w:bCs/>
                <w:sz w:val="20"/>
                <w:szCs w:val="20"/>
                <w:lang w:eastAsia="zh-CN"/>
              </w:rPr>
              <w:t>1</w:t>
            </w:r>
            <w:r w:rsidR="006028A3" w:rsidRPr="006E24B4">
              <w:rPr>
                <w:b/>
                <w:bCs/>
                <w:sz w:val="20"/>
                <w:szCs w:val="20"/>
                <w:lang w:eastAsia="zh-CN"/>
              </w:rPr>
              <w:t xml:space="preserve"> </w:t>
            </w:r>
            <w:r>
              <w:rPr>
                <w:b/>
                <w:bCs/>
                <w:sz w:val="20"/>
                <w:szCs w:val="20"/>
                <w:lang w:eastAsia="zh-CN"/>
              </w:rPr>
              <w:t>700</w:t>
            </w:r>
            <w:r w:rsidR="006028A3" w:rsidRPr="006E24B4">
              <w:rPr>
                <w:b/>
                <w:bCs/>
                <w:sz w:val="20"/>
                <w:szCs w:val="20"/>
                <w:lang w:eastAsia="zh-CN"/>
              </w:rPr>
              <w:t xml:space="preserve"> 000</w:t>
            </w:r>
          </w:p>
        </w:tc>
        <w:tc>
          <w:tcPr>
            <w:tcW w:w="1288" w:type="dxa"/>
            <w:vAlign w:val="center"/>
          </w:tcPr>
          <w:p w14:paraId="72800DA1" w14:textId="77777777" w:rsidR="006028A3" w:rsidRPr="006E24B4" w:rsidRDefault="006028A3" w:rsidP="000E64E6">
            <w:pPr>
              <w:jc w:val="center"/>
              <w:rPr>
                <w:b/>
                <w:bCs/>
                <w:sz w:val="20"/>
                <w:szCs w:val="20"/>
                <w:lang w:eastAsia="zh-CN"/>
              </w:rPr>
            </w:pPr>
            <w:r w:rsidRPr="006E24B4">
              <w:rPr>
                <w:b/>
                <w:bCs/>
                <w:sz w:val="20"/>
                <w:szCs w:val="20"/>
                <w:lang w:eastAsia="zh-CN"/>
              </w:rPr>
              <w:t>85%</w:t>
            </w:r>
          </w:p>
        </w:tc>
        <w:tc>
          <w:tcPr>
            <w:tcW w:w="1350" w:type="dxa"/>
            <w:vAlign w:val="center"/>
          </w:tcPr>
          <w:p w14:paraId="3597BFFE" w14:textId="46C7C68E" w:rsidR="006028A3" w:rsidRPr="006E24B4" w:rsidRDefault="00947B6A" w:rsidP="000E64E6">
            <w:pPr>
              <w:jc w:val="center"/>
              <w:rPr>
                <w:b/>
                <w:bCs/>
                <w:sz w:val="20"/>
                <w:szCs w:val="20"/>
                <w:lang w:eastAsia="zh-CN"/>
              </w:rPr>
            </w:pPr>
            <w:r>
              <w:rPr>
                <w:b/>
                <w:bCs/>
                <w:sz w:val="20"/>
                <w:szCs w:val="20"/>
                <w:lang w:eastAsia="zh-CN"/>
              </w:rPr>
              <w:t>300</w:t>
            </w:r>
            <w:r w:rsidR="006028A3" w:rsidRPr="006E24B4">
              <w:rPr>
                <w:b/>
                <w:bCs/>
                <w:sz w:val="20"/>
                <w:szCs w:val="20"/>
                <w:lang w:eastAsia="zh-CN"/>
              </w:rPr>
              <w:t xml:space="preserve"> 000</w:t>
            </w:r>
          </w:p>
        </w:tc>
        <w:tc>
          <w:tcPr>
            <w:tcW w:w="1350" w:type="dxa"/>
            <w:vAlign w:val="center"/>
          </w:tcPr>
          <w:p w14:paraId="19AD3956" w14:textId="77777777" w:rsidR="006028A3" w:rsidRPr="006E24B4" w:rsidRDefault="006028A3" w:rsidP="000E64E6">
            <w:pPr>
              <w:jc w:val="center"/>
              <w:rPr>
                <w:b/>
                <w:bCs/>
                <w:sz w:val="20"/>
                <w:szCs w:val="20"/>
                <w:lang w:eastAsia="zh-CN"/>
              </w:rPr>
            </w:pPr>
            <w:r w:rsidRPr="006E24B4">
              <w:rPr>
                <w:b/>
                <w:bCs/>
                <w:sz w:val="20"/>
                <w:szCs w:val="20"/>
                <w:lang w:eastAsia="zh-CN"/>
              </w:rPr>
              <w:t>15%</w:t>
            </w:r>
          </w:p>
        </w:tc>
        <w:tc>
          <w:tcPr>
            <w:tcW w:w="1353" w:type="dxa"/>
            <w:vAlign w:val="center"/>
          </w:tcPr>
          <w:p w14:paraId="257D455A" w14:textId="51187E47" w:rsidR="006028A3" w:rsidRPr="006E24B4" w:rsidRDefault="006028A3" w:rsidP="000E64E6">
            <w:pPr>
              <w:jc w:val="center"/>
              <w:rPr>
                <w:b/>
                <w:bCs/>
                <w:sz w:val="20"/>
                <w:szCs w:val="20"/>
                <w:lang w:eastAsia="zh-CN"/>
              </w:rPr>
            </w:pPr>
            <w:r w:rsidRPr="006E24B4">
              <w:rPr>
                <w:b/>
                <w:bCs/>
                <w:sz w:val="20"/>
                <w:szCs w:val="20"/>
                <w:lang w:eastAsia="zh-CN"/>
              </w:rPr>
              <w:t xml:space="preserve">2 </w:t>
            </w:r>
            <w:r w:rsidR="00947B6A">
              <w:rPr>
                <w:b/>
                <w:bCs/>
                <w:sz w:val="20"/>
                <w:szCs w:val="20"/>
                <w:lang w:eastAsia="zh-CN"/>
              </w:rPr>
              <w:t>0</w:t>
            </w:r>
            <w:r w:rsidRPr="006E24B4">
              <w:rPr>
                <w:b/>
                <w:bCs/>
                <w:sz w:val="20"/>
                <w:szCs w:val="20"/>
                <w:lang w:eastAsia="zh-CN"/>
              </w:rPr>
              <w:t>00 000</w:t>
            </w:r>
          </w:p>
        </w:tc>
      </w:tr>
    </w:tbl>
    <w:p w14:paraId="742F0967" w14:textId="77777777" w:rsidR="006028A3" w:rsidRDefault="006028A3" w:rsidP="00F75AD0"/>
    <w:sectPr w:rsidR="006028A3">
      <w:footerReference w:type="default" r:id="rId8"/>
      <w:endnotePr>
        <w:numFmt w:val="decimal"/>
      </w:endnotePr>
      <w:pgSz w:w="11906" w:h="16838"/>
      <w:pgMar w:top="1134" w:right="1134" w:bottom="1134" w:left="1134" w:header="567"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F51DD" w14:textId="77777777" w:rsidR="001A1417" w:rsidRDefault="001A1417">
      <w:pPr>
        <w:spacing w:before="0"/>
      </w:pPr>
      <w:r>
        <w:separator/>
      </w:r>
    </w:p>
  </w:endnote>
  <w:endnote w:type="continuationSeparator" w:id="0">
    <w:p w14:paraId="444F63F8" w14:textId="77777777" w:rsidR="001A1417" w:rsidRDefault="001A14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B4FE2" w14:textId="77777777" w:rsidR="00065708" w:rsidRDefault="00272335">
    <w:pPr>
      <w:pStyle w:val="Footer"/>
      <w:jc w:val="center"/>
      <w:rPr>
        <w:szCs w:val="20"/>
        <w:lang w:val="fr-BE"/>
      </w:rPr>
    </w:pPr>
    <w:r>
      <w:rPr>
        <w:szCs w:val="20"/>
        <w:lang w:val="fr-BE"/>
      </w:rPr>
      <w:t xml:space="preserve">- </w:t>
    </w:r>
    <w:r>
      <w:rPr>
        <w:szCs w:val="20"/>
        <w:lang w:val="fr-BE"/>
      </w:rPr>
      <w:fldChar w:fldCharType="begin"/>
    </w:r>
    <w:r>
      <w:rPr>
        <w:szCs w:val="20"/>
        <w:lang w:val="fr-BE"/>
      </w:rPr>
      <w:instrText xml:space="preserve"> PAGE \* Arabic </w:instrText>
    </w:r>
    <w:r>
      <w:rPr>
        <w:szCs w:val="20"/>
        <w:lang w:val="fr-BE"/>
      </w:rPr>
      <w:fldChar w:fldCharType="separate"/>
    </w:r>
    <w:r w:rsidR="00C4665F">
      <w:rPr>
        <w:noProof/>
        <w:szCs w:val="20"/>
        <w:lang w:val="fr-BE"/>
      </w:rPr>
      <w:t>6</w:t>
    </w:r>
    <w:r>
      <w:rPr>
        <w:szCs w:val="20"/>
        <w:lang w:val="fr-BE"/>
      </w:rPr>
      <w:fldChar w:fldCharType="end"/>
    </w:r>
    <w:r>
      <w:rPr>
        <w:szCs w:val="20"/>
        <w:lang w:val="fr-BE"/>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56790" w14:textId="77777777" w:rsidR="001A1417" w:rsidRDefault="001A1417">
      <w:pPr>
        <w:spacing w:before="0"/>
      </w:pPr>
      <w:r>
        <w:separator/>
      </w:r>
    </w:p>
  </w:footnote>
  <w:footnote w:type="continuationSeparator" w:id="0">
    <w:p w14:paraId="1786AB80" w14:textId="77777777" w:rsidR="001A1417" w:rsidRDefault="001A1417">
      <w:pPr>
        <w:spacing w:before="0"/>
      </w:pPr>
      <w:r>
        <w:continuationSeparator/>
      </w:r>
    </w:p>
  </w:footnote>
  <w:footnote w:id="1">
    <w:p w14:paraId="74AE5079" w14:textId="77777777" w:rsidR="00065708" w:rsidRDefault="00272335">
      <w:pPr>
        <w:pStyle w:val="FootnoteText"/>
        <w:spacing w:before="0"/>
        <w:ind w:left="0" w:firstLine="0"/>
        <w:rPr>
          <w:sz w:val="16"/>
          <w:szCs w:val="16"/>
          <w:lang w:val="en-US"/>
        </w:rPr>
      </w:pPr>
      <w:r>
        <w:rPr>
          <w:rStyle w:val="FootnoteReference"/>
          <w:sz w:val="16"/>
          <w:szCs w:val="16"/>
        </w:rPr>
        <w:footnoteRef/>
      </w:r>
      <w:r>
        <w:rPr>
          <w:sz w:val="16"/>
          <w:szCs w:val="16"/>
        </w:rPr>
        <w:t xml:space="preserve"> </w:t>
      </w:r>
      <w:r>
        <w:rPr>
          <w:sz w:val="16"/>
          <w:szCs w:val="16"/>
          <w:lang w:val="en-IE"/>
        </w:rPr>
        <w:t>Managing Authority (</w:t>
      </w:r>
      <w:r>
        <w:rPr>
          <w:bCs/>
          <w:sz w:val="16"/>
          <w:szCs w:val="16"/>
          <w:lang w:val="en-IE"/>
        </w:rPr>
        <w:t>Department for European Integration and International Cooperation, which is to be transformed into a Department for EU Programmes and Funds in MLSP</w:t>
      </w:r>
      <w:r>
        <w:rPr>
          <w:sz w:val="16"/>
          <w:szCs w:val="16"/>
          <w:lang w:val="en-IE"/>
        </w:rPr>
        <w:t>) and the project preparation capacity of the beneficiaries, National IPA Coordinator (NIPAC), National Authorising Officer (NAO), Management Structure (MS)</w:t>
      </w:r>
      <w:r>
        <w:rPr>
          <w:sz w:val="16"/>
          <w:szCs w:val="16"/>
        </w:rPr>
        <w:t xml:space="preserve"> performed by the IPA Funds Management Department within the Ministry of Finance </w:t>
      </w:r>
      <w:r>
        <w:rPr>
          <w:sz w:val="16"/>
          <w:szCs w:val="16"/>
          <w:lang w:val="en-IE"/>
        </w:rPr>
        <w:t xml:space="preserve">(MF) and </w:t>
      </w:r>
      <w:r>
        <w:rPr>
          <w:sz w:val="16"/>
          <w:szCs w:val="16"/>
        </w:rPr>
        <w:t>Intermediate Body for Financial Management (IBFM) whose functions performed by the Central Financing and Contracting Department (CFCD) within the Ministry of Finance</w:t>
      </w:r>
      <w:r>
        <w:rPr>
          <w:sz w:val="16"/>
          <w:szCs w:val="16"/>
          <w:lang w:val="en-IE"/>
        </w:rPr>
        <w:t xml:space="preserve"> (MF) and Audit Authority (AA).</w:t>
      </w:r>
    </w:p>
  </w:footnote>
  <w:footnote w:id="2">
    <w:p w14:paraId="5E523920" w14:textId="77777777" w:rsidR="00065708" w:rsidRDefault="00272335">
      <w:pPr>
        <w:pStyle w:val="FootnoteText"/>
        <w:spacing w:before="0"/>
        <w:rPr>
          <w:lang w:val="en-US"/>
        </w:rPr>
      </w:pPr>
      <w:r>
        <w:rPr>
          <w:rStyle w:val="FootnoteReference"/>
          <w:sz w:val="16"/>
          <w:szCs w:val="16"/>
        </w:rPr>
        <w:footnoteRef/>
      </w:r>
      <w:r>
        <w:rPr>
          <w:sz w:val="16"/>
          <w:szCs w:val="16"/>
        </w:rPr>
        <w:t xml:space="preserve"> </w:t>
      </w:r>
      <w:r>
        <w:rPr>
          <w:sz w:val="16"/>
          <w:szCs w:val="16"/>
          <w:lang w:val="en-US"/>
        </w:rPr>
        <w:t>PRAG Manual and Financing Agreement.</w:t>
      </w:r>
    </w:p>
  </w:footnote>
  <w:footnote w:id="3">
    <w:p w14:paraId="1366748B" w14:textId="77777777" w:rsidR="00065708" w:rsidRDefault="00272335">
      <w:pPr>
        <w:pStyle w:val="FootnoteText"/>
        <w:spacing w:before="0"/>
        <w:ind w:left="0" w:firstLine="0"/>
        <w:rPr>
          <w:sz w:val="16"/>
          <w:szCs w:val="16"/>
        </w:rPr>
      </w:pPr>
      <w:r>
        <w:rPr>
          <w:rStyle w:val="FootnoteReference"/>
          <w:sz w:val="16"/>
          <w:szCs w:val="16"/>
        </w:rPr>
        <w:footnoteRef/>
      </w:r>
      <w:r>
        <w:rPr>
          <w:sz w:val="16"/>
          <w:szCs w:val="16"/>
        </w:rPr>
        <w:t xml:space="preserve"> Those operating expenditures related to publicity and visibility activities on OP level, organization of SMC and SWG meetings, local travel costs for fuel for on-the-spot visits/ checks, auxiliary expenditures for IPA structure, etc.</w:t>
      </w:r>
    </w:p>
  </w:footnote>
  <w:footnote w:id="4">
    <w:p w14:paraId="5C91ABE5" w14:textId="77777777" w:rsidR="00065708" w:rsidRDefault="00272335">
      <w:pPr>
        <w:pStyle w:val="FootnoteText"/>
        <w:spacing w:before="0"/>
        <w:ind w:left="57" w:hanging="57"/>
        <w:rPr>
          <w:sz w:val="16"/>
          <w:szCs w:val="16"/>
        </w:rPr>
      </w:pPr>
      <w:r>
        <w:rPr>
          <w:rStyle w:val="FootnoteReference"/>
          <w:sz w:val="16"/>
          <w:szCs w:val="16"/>
        </w:rPr>
        <w:footnoteRef/>
      </w:r>
      <w:r>
        <w:rPr>
          <w:sz w:val="16"/>
          <w:szCs w:val="16"/>
        </w:rPr>
        <w:t xml:space="preserve"> </w:t>
      </w:r>
      <w:r>
        <w:rPr>
          <w:i/>
          <w:iCs/>
          <w:sz w:val="16"/>
          <w:szCs w:val="16"/>
        </w:rPr>
        <w:t>Indicators checked for the action from the IPA III Results Framework</w:t>
      </w:r>
      <w:r>
        <w:rPr>
          <w:sz w:val="16"/>
          <w:szCs w:val="16"/>
        </w:rPr>
        <w:t xml:space="preserve"> </w:t>
      </w:r>
      <w:hyperlink r:id="rId1" w:history="1">
        <w:r>
          <w:rPr>
            <w:rStyle w:val="Hyperlink"/>
            <w:sz w:val="16"/>
            <w:szCs w:val="16"/>
          </w:rPr>
          <w:t>SWD_2022_445_1_EN_document_travail_service_part1_v2.pdf (europa.eu)</w:t>
        </w:r>
      </w:hyperlink>
    </w:p>
  </w:footnote>
  <w:footnote w:id="5">
    <w:p w14:paraId="5B7C6142" w14:textId="77777777" w:rsidR="00065708" w:rsidRDefault="00272335">
      <w:pPr>
        <w:pStyle w:val="FootnoteText"/>
        <w:spacing w:before="0"/>
        <w:ind w:left="0" w:firstLine="0"/>
        <w:rPr>
          <w:sz w:val="16"/>
          <w:szCs w:val="16"/>
        </w:rPr>
      </w:pPr>
      <w:r>
        <w:rPr>
          <w:rStyle w:val="FootnoteReference"/>
          <w:sz w:val="16"/>
          <w:szCs w:val="16"/>
        </w:rPr>
        <w:footnoteRef/>
      </w:r>
      <w:r>
        <w:rPr>
          <w:sz w:val="16"/>
          <w:szCs w:val="16"/>
        </w:rPr>
        <w:t xml:space="preserve"> Staff Turnover Rate (%) = (Number of staff who left the organisation during the period (year)/ Average number of staff during the </w:t>
      </w:r>
      <w:proofErr w:type="gramStart"/>
      <w:r>
        <w:rPr>
          <w:sz w:val="16"/>
          <w:szCs w:val="16"/>
        </w:rPr>
        <w:t>period(</w:t>
      </w:r>
      <w:proofErr w:type="gramEnd"/>
      <w:r>
        <w:rPr>
          <w:sz w:val="16"/>
          <w:szCs w:val="16"/>
        </w:rPr>
        <w:t>year)) x 100. "Number of staff who left the organisation during the period" can be calculated by looking at the number of departures (whether voluntary or involuntary) over a specific period, such as a financial year. The "average number of staff during the period" is typically calculated by adding the number of staff at the start of the period to the number of staff at the end of the period, and then dividing by two.</w:t>
      </w:r>
    </w:p>
  </w:footnote>
  <w:footnote w:id="6">
    <w:p w14:paraId="4DABFE7D" w14:textId="77777777" w:rsidR="00065708" w:rsidRDefault="00272335">
      <w:pPr>
        <w:pStyle w:val="FootnoteText"/>
        <w:spacing w:before="0"/>
        <w:rPr>
          <w:sz w:val="16"/>
          <w:szCs w:val="16"/>
        </w:rPr>
      </w:pPr>
      <w:r>
        <w:rPr>
          <w:rStyle w:val="FootnoteReference"/>
          <w:sz w:val="16"/>
          <w:szCs w:val="16"/>
        </w:rPr>
        <w:footnoteRef/>
      </w:r>
      <w:r>
        <w:rPr>
          <w:sz w:val="16"/>
          <w:szCs w:val="16"/>
        </w:rPr>
        <w:t xml:space="preserve"> ‘N’ refers to the year of signature of Financing Agreement.</w:t>
      </w:r>
    </w:p>
  </w:footnote>
  <w:footnote w:id="7">
    <w:p w14:paraId="1E5BF894" w14:textId="54E2C5D0" w:rsidR="006A510B" w:rsidRPr="006A510B" w:rsidRDefault="006A510B" w:rsidP="006A510B">
      <w:pPr>
        <w:pStyle w:val="FootnoteText"/>
        <w:ind w:left="0" w:firstLine="0"/>
        <w:rPr>
          <w:lang w:val="en-US"/>
        </w:rPr>
      </w:pPr>
      <w:r>
        <w:rPr>
          <w:rStyle w:val="FootnoteReference"/>
        </w:rPr>
        <w:footnoteRef/>
      </w:r>
      <w:r>
        <w:t xml:space="preserve"> </w:t>
      </w:r>
      <w:r w:rsidRPr="006A510B">
        <w:rPr>
          <w:i/>
          <w:lang w:val="en-US"/>
        </w:rPr>
        <w:t>The amount presented is total amount for the Area of Support 3 in line with the OP allocations</w:t>
      </w:r>
      <w:r w:rsidR="00C4665F">
        <w:rPr>
          <w:i/>
          <w:lang w:val="en-US"/>
        </w:rPr>
        <w:t>, however</w:t>
      </w:r>
      <w:r w:rsidRPr="006A510B">
        <w:rPr>
          <w:i/>
          <w:lang w:val="en-US"/>
        </w:rPr>
        <w:t xml:space="preserve"> </w:t>
      </w:r>
      <w:r w:rsidR="00C4665F">
        <w:rPr>
          <w:i/>
          <w:lang w:val="en-US"/>
        </w:rPr>
        <w:t xml:space="preserve">total amount for this OIS is still to be </w:t>
      </w:r>
      <w:bookmarkStart w:id="17" w:name="_GoBack"/>
      <w:bookmarkEnd w:id="17"/>
      <w:r w:rsidRPr="006A510B">
        <w:rPr>
          <w:i/>
          <w:lang w:val="en-US"/>
        </w:rPr>
        <w:t>determined depending on the allocations for the top ups. Same refers to the national co-financing amount</w:t>
      </w:r>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80E"/>
    <w:multiLevelType w:val="singleLevel"/>
    <w:tmpl w:val="3C4464E6"/>
    <w:name w:val="Bullet 41"/>
    <w:lvl w:ilvl="0">
      <w:start w:val="4"/>
      <w:numFmt w:val="decimal"/>
      <w:lvlText w:val="%1"/>
      <w:lvlJc w:val="left"/>
      <w:pPr>
        <w:ind w:left="0" w:firstLine="0"/>
      </w:pPr>
    </w:lvl>
  </w:abstractNum>
  <w:abstractNum w:abstractNumId="1">
    <w:nsid w:val="05803BDE"/>
    <w:multiLevelType w:val="singleLevel"/>
    <w:tmpl w:val="C18ED6F0"/>
    <w:name w:val="Bullet 28"/>
    <w:lvl w:ilvl="0">
      <w:start w:val="1"/>
      <w:numFmt w:val="decimal"/>
      <w:lvlText w:val="%1"/>
      <w:lvlJc w:val="left"/>
      <w:pPr>
        <w:ind w:left="0" w:firstLine="0"/>
      </w:pPr>
      <w:rPr>
        <w:rFonts w:ascii="Times New Roman Bold" w:hAnsi="Times New Roman Bold"/>
        <w:b/>
        <w:sz w:val="22"/>
      </w:rPr>
    </w:lvl>
  </w:abstractNum>
  <w:abstractNum w:abstractNumId="2">
    <w:nsid w:val="065176A0"/>
    <w:multiLevelType w:val="multilevel"/>
    <w:tmpl w:val="5942A056"/>
    <w:name w:val="Numbered list 9"/>
    <w:lvl w:ilvl="0">
      <w:start w:val="7"/>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
    <w:nsid w:val="081121F3"/>
    <w:multiLevelType w:val="singleLevel"/>
    <w:tmpl w:val="1B003816"/>
    <w:name w:val="Bullet 25"/>
    <w:lvl w:ilvl="0">
      <w:start w:val="7"/>
      <w:numFmt w:val="decimal"/>
      <w:lvlText w:val="%1"/>
      <w:lvlJc w:val="left"/>
      <w:pPr>
        <w:ind w:left="0" w:firstLine="0"/>
      </w:pPr>
    </w:lvl>
  </w:abstractNum>
  <w:abstractNum w:abstractNumId="4">
    <w:nsid w:val="0A9F1FE1"/>
    <w:multiLevelType w:val="singleLevel"/>
    <w:tmpl w:val="506801E4"/>
    <w:name w:val="Bullet 35"/>
    <w:lvl w:ilvl="0">
      <w:start w:val="1"/>
      <w:numFmt w:val="decimal"/>
      <w:lvlText w:val="%1"/>
      <w:lvlJc w:val="left"/>
      <w:pPr>
        <w:ind w:left="0" w:firstLine="0"/>
      </w:pPr>
      <w:rPr>
        <w:sz w:val="22"/>
      </w:rPr>
    </w:lvl>
  </w:abstractNum>
  <w:abstractNum w:abstractNumId="5">
    <w:nsid w:val="0B752BB1"/>
    <w:multiLevelType w:val="singleLevel"/>
    <w:tmpl w:val="D3EEDED2"/>
    <w:name w:val="Bullet 22"/>
    <w:lvl w:ilvl="0">
      <w:numFmt w:val="bullet"/>
      <w:lvlText w:val=""/>
      <w:lvlJc w:val="left"/>
      <w:pPr>
        <w:ind w:left="0" w:firstLine="0"/>
      </w:pPr>
      <w:rPr>
        <w:rFonts w:ascii="Wingdings" w:eastAsia="Wingdings" w:hAnsi="Wingdings" w:cs="Wingdings"/>
      </w:rPr>
    </w:lvl>
  </w:abstractNum>
  <w:abstractNum w:abstractNumId="6">
    <w:nsid w:val="0CBD62DA"/>
    <w:multiLevelType w:val="singleLevel"/>
    <w:tmpl w:val="02143300"/>
    <w:name w:val="Bullet 67"/>
    <w:lvl w:ilvl="0">
      <w:start w:val="1"/>
      <w:numFmt w:val="decimal"/>
      <w:lvlText w:val="%1"/>
      <w:lvlJc w:val="left"/>
      <w:pPr>
        <w:tabs>
          <w:tab w:val="num" w:pos="0"/>
        </w:tabs>
        <w:ind w:left="0" w:firstLine="0"/>
      </w:pPr>
      <w:rPr>
        <w:rFonts w:ascii="Times New Roman Bold" w:hAnsi="Times New Roman Bold"/>
        <w:b/>
        <w:color w:val="C45911"/>
        <w:sz w:val="22"/>
        <w:vertAlign w:val="baseline"/>
      </w:rPr>
    </w:lvl>
  </w:abstractNum>
  <w:abstractNum w:abstractNumId="7">
    <w:nsid w:val="132F3576"/>
    <w:multiLevelType w:val="multilevel"/>
    <w:tmpl w:val="3E8E4288"/>
    <w:name w:val="Numbered list 10"/>
    <w:lvl w:ilvl="0">
      <w:start w:val="1"/>
      <w:numFmt w:val="decimal"/>
      <w:lvlText w:val="%1"/>
      <w:lvlJc w:val="left"/>
      <w:pPr>
        <w:ind w:left="0" w:firstLine="0"/>
      </w:pPr>
      <w:rPr>
        <w:rFonts w:ascii="Times New Roman Bold" w:hAnsi="Times New Roman Bold"/>
        <w:b/>
        <w:sz w:val="24"/>
      </w:rPr>
    </w:lvl>
    <w:lvl w:ilvl="1">
      <w:start w:val="1"/>
      <w:numFmt w:val="decimal"/>
      <w:lvlText w:val="%1.%2"/>
      <w:lvlJc w:val="left"/>
      <w:pPr>
        <w:ind w:left="0" w:firstLine="0"/>
      </w:pPr>
      <w:rPr>
        <w:rFonts w:ascii="Times New Roman Bold" w:hAnsi="Times New Roman Bold"/>
        <w:b/>
        <w:sz w:val="22"/>
      </w:rPr>
    </w:lvl>
    <w:lvl w:ilvl="2">
      <w:start w:val="1"/>
      <w:numFmt w:val="decimal"/>
      <w:lvlText w:val="%1.%2.%3"/>
      <w:lvlJc w:val="left"/>
      <w:pPr>
        <w:ind w:left="0" w:firstLine="0"/>
      </w:pPr>
      <w:rPr>
        <w:rFonts w:ascii="Times New Roman Bold" w:hAnsi="Times New Roman Bold"/>
        <w:b/>
        <w:sz w:val="22"/>
        <w:szCs w:val="22"/>
      </w:rPr>
    </w:lvl>
    <w:lvl w:ilvl="3">
      <w:start w:val="1"/>
      <w:numFmt w:val="decimal"/>
      <w:pStyle w:val="Heading4"/>
      <w:lvlText w:val="%1.%2.%3.%4"/>
      <w:lvlJc w:val="left"/>
      <w:pPr>
        <w:ind w:left="0" w:firstLine="0"/>
      </w:pPr>
      <w:rPr>
        <w:rFonts w:ascii="Times New Roman Bold" w:hAnsi="Times New Roman Bold"/>
        <w:b/>
        <w:color w:val="C45911"/>
        <w:sz w:val="22"/>
        <w:vertAlign w:val="baseline"/>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13A13906"/>
    <w:multiLevelType w:val="singleLevel"/>
    <w:tmpl w:val="DB2A7D2C"/>
    <w:name w:val="Bullet 33"/>
    <w:lvl w:ilvl="0">
      <w:numFmt w:val="bullet"/>
      <w:lvlText w:val="-"/>
      <w:lvlJc w:val="left"/>
      <w:pPr>
        <w:ind w:left="0" w:firstLine="0"/>
      </w:pPr>
      <w:rPr>
        <w:rFonts w:ascii="Times New Roman" w:eastAsia="Times New Roman" w:hAnsi="Times New Roman" w:cs="Times New Roman"/>
      </w:rPr>
    </w:lvl>
  </w:abstractNum>
  <w:abstractNum w:abstractNumId="9">
    <w:nsid w:val="14D3040B"/>
    <w:multiLevelType w:val="hybridMultilevel"/>
    <w:tmpl w:val="B404B2DC"/>
    <w:name w:val="Numbered list 3"/>
    <w:lvl w:ilvl="0" w:tplc="253A8104">
      <w:numFmt w:val="bullet"/>
      <w:lvlText w:val=""/>
      <w:lvlJc w:val="left"/>
      <w:pPr>
        <w:ind w:left="360" w:firstLine="0"/>
      </w:pPr>
      <w:rPr>
        <w:rFonts w:ascii="Symbol" w:hAnsi="Symbol"/>
      </w:rPr>
    </w:lvl>
    <w:lvl w:ilvl="1" w:tplc="E8A47228">
      <w:numFmt w:val="bullet"/>
      <w:lvlText w:val="o"/>
      <w:lvlJc w:val="left"/>
      <w:pPr>
        <w:ind w:left="1080" w:firstLine="0"/>
      </w:pPr>
      <w:rPr>
        <w:rFonts w:ascii="Courier New" w:hAnsi="Courier New" w:cs="Courier New"/>
      </w:rPr>
    </w:lvl>
    <w:lvl w:ilvl="2" w:tplc="E68E52F4">
      <w:numFmt w:val="bullet"/>
      <w:lvlText w:val=""/>
      <w:lvlJc w:val="left"/>
      <w:pPr>
        <w:ind w:left="1800" w:firstLine="0"/>
      </w:pPr>
      <w:rPr>
        <w:rFonts w:ascii="Wingdings" w:eastAsia="Wingdings" w:hAnsi="Wingdings" w:cs="Wingdings"/>
      </w:rPr>
    </w:lvl>
    <w:lvl w:ilvl="3" w:tplc="F06279F8">
      <w:numFmt w:val="bullet"/>
      <w:lvlText w:val=""/>
      <w:lvlJc w:val="left"/>
      <w:pPr>
        <w:ind w:left="2520" w:firstLine="0"/>
      </w:pPr>
      <w:rPr>
        <w:rFonts w:ascii="Symbol" w:hAnsi="Symbol"/>
      </w:rPr>
    </w:lvl>
    <w:lvl w:ilvl="4" w:tplc="B2FC0010">
      <w:numFmt w:val="bullet"/>
      <w:lvlText w:val="o"/>
      <w:lvlJc w:val="left"/>
      <w:pPr>
        <w:ind w:left="3240" w:firstLine="0"/>
      </w:pPr>
      <w:rPr>
        <w:rFonts w:ascii="Courier New" w:hAnsi="Courier New" w:cs="Courier New"/>
      </w:rPr>
    </w:lvl>
    <w:lvl w:ilvl="5" w:tplc="E5908426">
      <w:numFmt w:val="bullet"/>
      <w:lvlText w:val=""/>
      <w:lvlJc w:val="left"/>
      <w:pPr>
        <w:ind w:left="3960" w:firstLine="0"/>
      </w:pPr>
      <w:rPr>
        <w:rFonts w:ascii="Wingdings" w:eastAsia="Wingdings" w:hAnsi="Wingdings" w:cs="Wingdings"/>
      </w:rPr>
    </w:lvl>
    <w:lvl w:ilvl="6" w:tplc="41DE34C0">
      <w:numFmt w:val="bullet"/>
      <w:lvlText w:val=""/>
      <w:lvlJc w:val="left"/>
      <w:pPr>
        <w:ind w:left="4680" w:firstLine="0"/>
      </w:pPr>
      <w:rPr>
        <w:rFonts w:ascii="Symbol" w:hAnsi="Symbol"/>
      </w:rPr>
    </w:lvl>
    <w:lvl w:ilvl="7" w:tplc="05DE978A">
      <w:numFmt w:val="bullet"/>
      <w:lvlText w:val="o"/>
      <w:lvlJc w:val="left"/>
      <w:pPr>
        <w:ind w:left="5400" w:firstLine="0"/>
      </w:pPr>
      <w:rPr>
        <w:rFonts w:ascii="Courier New" w:hAnsi="Courier New" w:cs="Courier New"/>
      </w:rPr>
    </w:lvl>
    <w:lvl w:ilvl="8" w:tplc="2F986326">
      <w:numFmt w:val="bullet"/>
      <w:lvlText w:val=""/>
      <w:lvlJc w:val="left"/>
      <w:pPr>
        <w:ind w:left="6120" w:firstLine="0"/>
      </w:pPr>
      <w:rPr>
        <w:rFonts w:ascii="Wingdings" w:eastAsia="Wingdings" w:hAnsi="Wingdings" w:cs="Wingdings"/>
      </w:rPr>
    </w:lvl>
  </w:abstractNum>
  <w:abstractNum w:abstractNumId="10">
    <w:nsid w:val="15045EB8"/>
    <w:multiLevelType w:val="singleLevel"/>
    <w:tmpl w:val="26DA061A"/>
    <w:name w:val="Bullet 15"/>
    <w:lvl w:ilvl="0">
      <w:start w:val="1"/>
      <w:numFmt w:val="decimal"/>
      <w:lvlText w:val="%1"/>
      <w:lvlJc w:val="left"/>
      <w:pPr>
        <w:ind w:left="0" w:firstLine="0"/>
      </w:pPr>
      <w:rPr>
        <w:rFonts w:cs="Times New Roman"/>
        <w:b/>
        <w:bCs/>
      </w:rPr>
    </w:lvl>
  </w:abstractNum>
  <w:abstractNum w:abstractNumId="11">
    <w:nsid w:val="166971E8"/>
    <w:multiLevelType w:val="singleLevel"/>
    <w:tmpl w:val="4462F984"/>
    <w:name w:val="Bullet 17"/>
    <w:lvl w:ilvl="0">
      <w:start w:val="1"/>
      <w:numFmt w:val="lowerRoman"/>
      <w:lvlText w:val="%1"/>
      <w:lvlJc w:val="left"/>
      <w:pPr>
        <w:ind w:left="0" w:firstLine="0"/>
      </w:pPr>
      <w:rPr>
        <w:rFonts w:cs="Times New Roman"/>
      </w:rPr>
    </w:lvl>
  </w:abstractNum>
  <w:abstractNum w:abstractNumId="12">
    <w:nsid w:val="17282021"/>
    <w:multiLevelType w:val="singleLevel"/>
    <w:tmpl w:val="7FD8FA1C"/>
    <w:name w:val="Bullet 39"/>
    <w:lvl w:ilvl="0">
      <w:start w:val="1"/>
      <w:numFmt w:val="lowerRoman"/>
      <w:lvlText w:val="%1"/>
      <w:lvlJc w:val="left"/>
      <w:pPr>
        <w:ind w:left="0" w:firstLine="0"/>
      </w:pPr>
    </w:lvl>
  </w:abstractNum>
  <w:abstractNum w:abstractNumId="13">
    <w:nsid w:val="17E84FE5"/>
    <w:multiLevelType w:val="hybridMultilevel"/>
    <w:tmpl w:val="A1140AA6"/>
    <w:name w:val="Numbered list 12"/>
    <w:lvl w:ilvl="0" w:tplc="DA3CBAA6">
      <w:numFmt w:val="none"/>
      <w:lvlText w:val=""/>
      <w:lvlJc w:val="left"/>
      <w:pPr>
        <w:ind w:left="0" w:firstLine="0"/>
      </w:pPr>
    </w:lvl>
    <w:lvl w:ilvl="1" w:tplc="E398E25C">
      <w:numFmt w:val="none"/>
      <w:lvlText w:val=""/>
      <w:lvlJc w:val="left"/>
      <w:pPr>
        <w:ind w:left="0" w:firstLine="0"/>
      </w:pPr>
    </w:lvl>
    <w:lvl w:ilvl="2" w:tplc="792E44E6">
      <w:numFmt w:val="none"/>
      <w:lvlText w:val=""/>
      <w:lvlJc w:val="left"/>
      <w:pPr>
        <w:ind w:left="0" w:firstLine="0"/>
      </w:pPr>
    </w:lvl>
    <w:lvl w:ilvl="3" w:tplc="7B24B5AE">
      <w:numFmt w:val="none"/>
      <w:lvlText w:val=""/>
      <w:lvlJc w:val="left"/>
      <w:pPr>
        <w:ind w:left="0" w:firstLine="0"/>
      </w:pPr>
    </w:lvl>
    <w:lvl w:ilvl="4" w:tplc="607289D8">
      <w:numFmt w:val="none"/>
      <w:lvlText w:val=""/>
      <w:lvlJc w:val="left"/>
      <w:pPr>
        <w:ind w:left="0" w:firstLine="0"/>
      </w:pPr>
    </w:lvl>
    <w:lvl w:ilvl="5" w:tplc="BACEE116">
      <w:numFmt w:val="none"/>
      <w:lvlText w:val=""/>
      <w:lvlJc w:val="left"/>
      <w:pPr>
        <w:ind w:left="0" w:firstLine="0"/>
      </w:pPr>
    </w:lvl>
    <w:lvl w:ilvl="6" w:tplc="9A8A0DAA">
      <w:numFmt w:val="none"/>
      <w:lvlText w:val=""/>
      <w:lvlJc w:val="left"/>
      <w:pPr>
        <w:ind w:left="0" w:firstLine="0"/>
      </w:pPr>
    </w:lvl>
    <w:lvl w:ilvl="7" w:tplc="B2F04B18">
      <w:numFmt w:val="none"/>
      <w:lvlText w:val=""/>
      <w:lvlJc w:val="left"/>
      <w:pPr>
        <w:ind w:left="0" w:firstLine="0"/>
      </w:pPr>
    </w:lvl>
    <w:lvl w:ilvl="8" w:tplc="6D5614F8">
      <w:numFmt w:val="none"/>
      <w:lvlText w:val=""/>
      <w:lvlJc w:val="left"/>
      <w:pPr>
        <w:ind w:left="0" w:firstLine="0"/>
      </w:pPr>
    </w:lvl>
  </w:abstractNum>
  <w:abstractNum w:abstractNumId="14">
    <w:nsid w:val="185D59BC"/>
    <w:multiLevelType w:val="singleLevel"/>
    <w:tmpl w:val="6F3A5EBA"/>
    <w:name w:val="Bullet 24"/>
    <w:lvl w:ilvl="0">
      <w:numFmt w:val="bullet"/>
      <w:lvlText w:val="–"/>
      <w:lvlJc w:val="left"/>
      <w:pPr>
        <w:ind w:left="0" w:firstLine="0"/>
      </w:pPr>
      <w:rPr>
        <w:rFonts w:ascii="Times New Roman" w:hAnsi="Times New Roman"/>
      </w:rPr>
    </w:lvl>
  </w:abstractNum>
  <w:abstractNum w:abstractNumId="15">
    <w:nsid w:val="1B1654D2"/>
    <w:multiLevelType w:val="singleLevel"/>
    <w:tmpl w:val="76A2C498"/>
    <w:name w:val="Bullet 19"/>
    <w:lvl w:ilvl="0">
      <w:start w:val="1"/>
      <w:numFmt w:val="lowerLetter"/>
      <w:lvlText w:val="%1"/>
      <w:lvlJc w:val="left"/>
      <w:pPr>
        <w:ind w:left="0" w:firstLine="0"/>
      </w:pPr>
      <w:rPr>
        <w:rFonts w:cs="Times New Roman"/>
      </w:rPr>
    </w:lvl>
  </w:abstractNum>
  <w:abstractNum w:abstractNumId="16">
    <w:nsid w:val="1FA66A24"/>
    <w:multiLevelType w:val="hybridMultilevel"/>
    <w:tmpl w:val="6FFC99F8"/>
    <w:name w:val="Numbered list 1"/>
    <w:lvl w:ilvl="0" w:tplc="5504D956">
      <w:start w:val="1"/>
      <w:numFmt w:val="decimal"/>
      <w:pStyle w:val="NumPar1"/>
      <w:lvlText w:val="%1)"/>
      <w:lvlJc w:val="left"/>
      <w:pPr>
        <w:ind w:left="2978" w:firstLine="0"/>
      </w:pPr>
      <w:rPr>
        <w:rFonts w:cs="Times New Roman"/>
        <w:b/>
        <w:bCs/>
      </w:rPr>
    </w:lvl>
    <w:lvl w:ilvl="1" w:tplc="4D4E1B5C">
      <w:start w:val="2"/>
      <w:numFmt w:val="lowerLetter"/>
      <w:lvlText w:val="(%2)"/>
      <w:lvlJc w:val="left"/>
      <w:pPr>
        <w:ind w:left="720" w:firstLine="0"/>
      </w:pPr>
      <w:rPr>
        <w:rFonts w:cs="Times New Roman"/>
      </w:rPr>
    </w:lvl>
    <w:lvl w:ilvl="2" w:tplc="EE8AA79A">
      <w:start w:val="1"/>
      <w:numFmt w:val="lowerRoman"/>
      <w:lvlText w:val="%3."/>
      <w:lvlJc w:val="left"/>
      <w:pPr>
        <w:ind w:left="1620" w:firstLine="0"/>
      </w:pPr>
      <w:rPr>
        <w:rFonts w:cs="Times New Roman"/>
      </w:rPr>
    </w:lvl>
    <w:lvl w:ilvl="3" w:tplc="37AE842E">
      <w:start w:val="1"/>
      <w:numFmt w:val="decimal"/>
      <w:lvlText w:val="%4."/>
      <w:lvlJc w:val="left"/>
      <w:pPr>
        <w:ind w:left="2160" w:firstLine="0"/>
      </w:pPr>
      <w:rPr>
        <w:rFonts w:cs="Times New Roman"/>
      </w:rPr>
    </w:lvl>
    <w:lvl w:ilvl="4" w:tplc="54C8D19A">
      <w:start w:val="1"/>
      <w:numFmt w:val="lowerLetter"/>
      <w:lvlText w:val="%5."/>
      <w:lvlJc w:val="left"/>
      <w:pPr>
        <w:ind w:left="2880" w:firstLine="0"/>
      </w:pPr>
      <w:rPr>
        <w:rFonts w:cs="Times New Roman"/>
      </w:rPr>
    </w:lvl>
    <w:lvl w:ilvl="5" w:tplc="A2D2DB8A">
      <w:start w:val="1"/>
      <w:numFmt w:val="lowerRoman"/>
      <w:lvlText w:val="%6."/>
      <w:lvlJc w:val="left"/>
      <w:pPr>
        <w:ind w:left="3780" w:firstLine="0"/>
      </w:pPr>
      <w:rPr>
        <w:rFonts w:cs="Times New Roman"/>
      </w:rPr>
    </w:lvl>
    <w:lvl w:ilvl="6" w:tplc="B74689C0">
      <w:start w:val="1"/>
      <w:numFmt w:val="decimal"/>
      <w:lvlText w:val="%7."/>
      <w:lvlJc w:val="left"/>
      <w:pPr>
        <w:ind w:left="4320" w:firstLine="0"/>
      </w:pPr>
      <w:rPr>
        <w:rFonts w:cs="Times New Roman"/>
      </w:rPr>
    </w:lvl>
    <w:lvl w:ilvl="7" w:tplc="036E0DA2">
      <w:start w:val="1"/>
      <w:numFmt w:val="lowerLetter"/>
      <w:lvlText w:val="%8."/>
      <w:lvlJc w:val="left"/>
      <w:pPr>
        <w:ind w:left="5040" w:firstLine="0"/>
      </w:pPr>
      <w:rPr>
        <w:rFonts w:cs="Times New Roman"/>
      </w:rPr>
    </w:lvl>
    <w:lvl w:ilvl="8" w:tplc="4A26E492">
      <w:start w:val="1"/>
      <w:numFmt w:val="lowerRoman"/>
      <w:lvlText w:val="%9."/>
      <w:lvlJc w:val="left"/>
      <w:pPr>
        <w:ind w:left="5940" w:firstLine="0"/>
      </w:pPr>
      <w:rPr>
        <w:rFonts w:cs="Times New Roman"/>
      </w:rPr>
    </w:lvl>
  </w:abstractNum>
  <w:abstractNum w:abstractNumId="17">
    <w:nsid w:val="1FD26E1E"/>
    <w:multiLevelType w:val="singleLevel"/>
    <w:tmpl w:val="995E3750"/>
    <w:name w:val="Bullet 27"/>
    <w:lvl w:ilvl="0">
      <w:start w:val="1"/>
      <w:numFmt w:val="decimal"/>
      <w:lvlText w:val="%1"/>
      <w:lvlJc w:val="left"/>
      <w:pPr>
        <w:ind w:left="0" w:firstLine="0"/>
      </w:pPr>
      <w:rPr>
        <w:rFonts w:ascii="Times New Roman Bold" w:hAnsi="Times New Roman Bold"/>
        <w:b/>
        <w:sz w:val="24"/>
      </w:rPr>
    </w:lvl>
  </w:abstractNum>
  <w:abstractNum w:abstractNumId="18">
    <w:nsid w:val="243F3069"/>
    <w:multiLevelType w:val="singleLevel"/>
    <w:tmpl w:val="B0AC51CC"/>
    <w:name w:val="Bullet 51"/>
    <w:lvl w:ilvl="0">
      <w:numFmt w:val="none"/>
      <w:lvlText w:val="%1"/>
      <w:lvlJc w:val="left"/>
      <w:pPr>
        <w:tabs>
          <w:tab w:val="num" w:pos="0"/>
        </w:tabs>
        <w:ind w:left="0" w:firstLine="0"/>
      </w:pPr>
    </w:lvl>
  </w:abstractNum>
  <w:abstractNum w:abstractNumId="19">
    <w:nsid w:val="253E68B2"/>
    <w:multiLevelType w:val="singleLevel"/>
    <w:tmpl w:val="86EC706C"/>
    <w:name w:val="Bullet 65"/>
    <w:lvl w:ilvl="0">
      <w:numFmt w:val="bullet"/>
      <w:lvlText w:val="-"/>
      <w:lvlJc w:val="left"/>
      <w:pPr>
        <w:tabs>
          <w:tab w:val="num" w:pos="0"/>
        </w:tabs>
        <w:ind w:left="0" w:firstLine="0"/>
      </w:pPr>
      <w:rPr>
        <w:rFonts w:ascii="Cambria" w:eastAsia="Cambria" w:hAnsi="Cambria"/>
      </w:rPr>
    </w:lvl>
  </w:abstractNum>
  <w:abstractNum w:abstractNumId="20">
    <w:nsid w:val="26802528"/>
    <w:multiLevelType w:val="hybridMultilevel"/>
    <w:tmpl w:val="6B40E888"/>
    <w:name w:val="Numbered list 2"/>
    <w:lvl w:ilvl="0" w:tplc="70A00714">
      <w:numFmt w:val="bullet"/>
      <w:lvlText w:val=""/>
      <w:lvlJc w:val="left"/>
      <w:pPr>
        <w:ind w:left="360" w:firstLine="0"/>
      </w:pPr>
      <w:rPr>
        <w:rFonts w:ascii="Wingdings" w:eastAsia="Wingdings" w:hAnsi="Wingdings" w:cs="Wingdings"/>
      </w:rPr>
    </w:lvl>
    <w:lvl w:ilvl="1" w:tplc="E6D4F26E">
      <w:numFmt w:val="bullet"/>
      <w:lvlText w:val="o"/>
      <w:lvlJc w:val="left"/>
      <w:pPr>
        <w:ind w:left="1080" w:firstLine="0"/>
      </w:pPr>
      <w:rPr>
        <w:rFonts w:ascii="Courier New" w:hAnsi="Courier New" w:cs="Courier New"/>
      </w:rPr>
    </w:lvl>
    <w:lvl w:ilvl="2" w:tplc="25ACAED8">
      <w:numFmt w:val="bullet"/>
      <w:lvlText w:val=""/>
      <w:lvlJc w:val="left"/>
      <w:pPr>
        <w:ind w:left="1800" w:firstLine="0"/>
      </w:pPr>
      <w:rPr>
        <w:rFonts w:ascii="Wingdings" w:eastAsia="Wingdings" w:hAnsi="Wingdings" w:cs="Wingdings"/>
      </w:rPr>
    </w:lvl>
    <w:lvl w:ilvl="3" w:tplc="0150D4A0">
      <w:numFmt w:val="bullet"/>
      <w:lvlText w:val=""/>
      <w:lvlJc w:val="left"/>
      <w:pPr>
        <w:ind w:left="2520" w:firstLine="0"/>
      </w:pPr>
      <w:rPr>
        <w:rFonts w:ascii="Symbol" w:hAnsi="Symbol"/>
      </w:rPr>
    </w:lvl>
    <w:lvl w:ilvl="4" w:tplc="9F84FE9A">
      <w:numFmt w:val="bullet"/>
      <w:lvlText w:val="o"/>
      <w:lvlJc w:val="left"/>
      <w:pPr>
        <w:ind w:left="3240" w:firstLine="0"/>
      </w:pPr>
      <w:rPr>
        <w:rFonts w:ascii="Courier New" w:hAnsi="Courier New" w:cs="Courier New"/>
      </w:rPr>
    </w:lvl>
    <w:lvl w:ilvl="5" w:tplc="F41C6056">
      <w:numFmt w:val="bullet"/>
      <w:lvlText w:val=""/>
      <w:lvlJc w:val="left"/>
      <w:pPr>
        <w:ind w:left="3960" w:firstLine="0"/>
      </w:pPr>
      <w:rPr>
        <w:rFonts w:ascii="Wingdings" w:eastAsia="Wingdings" w:hAnsi="Wingdings" w:cs="Wingdings"/>
      </w:rPr>
    </w:lvl>
    <w:lvl w:ilvl="6" w:tplc="19E02330">
      <w:numFmt w:val="bullet"/>
      <w:lvlText w:val=""/>
      <w:lvlJc w:val="left"/>
      <w:pPr>
        <w:ind w:left="4680" w:firstLine="0"/>
      </w:pPr>
      <w:rPr>
        <w:rFonts w:ascii="Symbol" w:hAnsi="Symbol"/>
      </w:rPr>
    </w:lvl>
    <w:lvl w:ilvl="7" w:tplc="3000FB5C">
      <w:numFmt w:val="bullet"/>
      <w:lvlText w:val="o"/>
      <w:lvlJc w:val="left"/>
      <w:pPr>
        <w:ind w:left="5400" w:firstLine="0"/>
      </w:pPr>
      <w:rPr>
        <w:rFonts w:ascii="Courier New" w:hAnsi="Courier New" w:cs="Courier New"/>
      </w:rPr>
    </w:lvl>
    <w:lvl w:ilvl="8" w:tplc="828EE2B0">
      <w:numFmt w:val="bullet"/>
      <w:lvlText w:val=""/>
      <w:lvlJc w:val="left"/>
      <w:pPr>
        <w:ind w:left="6120" w:firstLine="0"/>
      </w:pPr>
      <w:rPr>
        <w:rFonts w:ascii="Wingdings" w:eastAsia="Wingdings" w:hAnsi="Wingdings" w:cs="Wingdings"/>
      </w:rPr>
    </w:lvl>
  </w:abstractNum>
  <w:abstractNum w:abstractNumId="21">
    <w:nsid w:val="26AA0353"/>
    <w:multiLevelType w:val="singleLevel"/>
    <w:tmpl w:val="6CF2DD96"/>
    <w:name w:val="Bullet 14"/>
    <w:lvl w:ilvl="0">
      <w:numFmt w:val="none"/>
      <w:lvlText w:val="%1"/>
      <w:lvlJc w:val="left"/>
      <w:pPr>
        <w:ind w:left="0" w:firstLine="0"/>
      </w:pPr>
    </w:lvl>
  </w:abstractNum>
  <w:abstractNum w:abstractNumId="22">
    <w:nsid w:val="29364914"/>
    <w:multiLevelType w:val="singleLevel"/>
    <w:tmpl w:val="7DCC5D7C"/>
    <w:name w:val="Bullet 42"/>
    <w:lvl w:ilvl="0">
      <w:numFmt w:val="bullet"/>
      <w:lvlText w:val="•"/>
      <w:lvlJc w:val="left"/>
      <w:pPr>
        <w:ind w:left="0" w:firstLine="0"/>
      </w:pPr>
      <w:rPr>
        <w:rFonts w:ascii="Times New Roman" w:eastAsia="Times New Roman" w:hAnsi="Times New Roman" w:cs="Times New Roman"/>
      </w:rPr>
    </w:lvl>
  </w:abstractNum>
  <w:abstractNum w:abstractNumId="23">
    <w:nsid w:val="29C6450C"/>
    <w:multiLevelType w:val="singleLevel"/>
    <w:tmpl w:val="5636D80C"/>
    <w:name w:val="Bullet 72"/>
    <w:lvl w:ilvl="0">
      <w:numFmt w:val="bullet"/>
      <w:lvlText w:val=""/>
      <w:lvlJc w:val="left"/>
      <w:pPr>
        <w:tabs>
          <w:tab w:val="num" w:pos="0"/>
        </w:tabs>
        <w:ind w:left="0" w:firstLine="0"/>
      </w:pPr>
      <w:rPr>
        <w:rFonts w:ascii="Symbol" w:hAnsi="Symbol"/>
        <w:b w:val="0"/>
      </w:rPr>
    </w:lvl>
  </w:abstractNum>
  <w:abstractNum w:abstractNumId="24">
    <w:nsid w:val="2B593623"/>
    <w:multiLevelType w:val="singleLevel"/>
    <w:tmpl w:val="10E20A02"/>
    <w:name w:val="Bullet 49"/>
    <w:lvl w:ilvl="0">
      <w:start w:val="1"/>
      <w:numFmt w:val="decimal"/>
      <w:lvlText w:val="%1"/>
      <w:lvlJc w:val="left"/>
      <w:pPr>
        <w:tabs>
          <w:tab w:val="num" w:pos="0"/>
        </w:tabs>
        <w:ind w:left="0" w:firstLine="0"/>
      </w:pPr>
      <w:rPr>
        <w:rFonts w:cs="Times New Roman"/>
      </w:rPr>
    </w:lvl>
  </w:abstractNum>
  <w:abstractNum w:abstractNumId="25">
    <w:nsid w:val="3172102E"/>
    <w:multiLevelType w:val="singleLevel"/>
    <w:tmpl w:val="ADC29868"/>
    <w:name w:val="Bullet 62"/>
    <w:lvl w:ilvl="0">
      <w:start w:val="4"/>
      <w:numFmt w:val="decimal"/>
      <w:lvlText w:val="%1"/>
      <w:lvlJc w:val="left"/>
      <w:pPr>
        <w:tabs>
          <w:tab w:val="num" w:pos="0"/>
        </w:tabs>
        <w:ind w:left="0" w:firstLine="0"/>
      </w:pPr>
    </w:lvl>
  </w:abstractNum>
  <w:abstractNum w:abstractNumId="26">
    <w:nsid w:val="336A1C9E"/>
    <w:multiLevelType w:val="singleLevel"/>
    <w:tmpl w:val="3BF6D604"/>
    <w:name w:val="Bullet 57"/>
    <w:lvl w:ilvl="0">
      <w:start w:val="1"/>
      <w:numFmt w:val="lowerLetter"/>
      <w:lvlText w:val="%1"/>
      <w:lvlJc w:val="left"/>
      <w:pPr>
        <w:tabs>
          <w:tab w:val="num" w:pos="0"/>
        </w:tabs>
        <w:ind w:left="0" w:firstLine="0"/>
      </w:pPr>
    </w:lvl>
  </w:abstractNum>
  <w:abstractNum w:abstractNumId="27">
    <w:nsid w:val="33DA7C5E"/>
    <w:multiLevelType w:val="singleLevel"/>
    <w:tmpl w:val="E0166032"/>
    <w:name w:val="Bullet 63"/>
    <w:lvl w:ilvl="0">
      <w:numFmt w:val="bullet"/>
      <w:lvlText w:val="–"/>
      <w:lvlJc w:val="left"/>
      <w:pPr>
        <w:tabs>
          <w:tab w:val="num" w:pos="0"/>
        </w:tabs>
        <w:ind w:left="0" w:firstLine="0"/>
      </w:pPr>
      <w:rPr>
        <w:rFonts w:ascii="Times New Roman" w:hAnsi="Times New Roman"/>
      </w:rPr>
    </w:lvl>
  </w:abstractNum>
  <w:abstractNum w:abstractNumId="28">
    <w:nsid w:val="35D85F10"/>
    <w:multiLevelType w:val="singleLevel"/>
    <w:tmpl w:val="62F27D78"/>
    <w:name w:val="Bullet 46"/>
    <w:lvl w:ilvl="0">
      <w:start w:val="1"/>
      <w:numFmt w:val="decimal"/>
      <w:lvlText w:val="%1"/>
      <w:lvlJc w:val="left"/>
      <w:pPr>
        <w:tabs>
          <w:tab w:val="num" w:pos="0"/>
        </w:tabs>
        <w:ind w:left="0" w:firstLine="0"/>
      </w:pPr>
      <w:rPr>
        <w:rFonts w:cs="Times New Roman"/>
        <w:b/>
        <w:bCs/>
      </w:rPr>
    </w:lvl>
  </w:abstractNum>
  <w:abstractNum w:abstractNumId="29">
    <w:nsid w:val="37ED2C0B"/>
    <w:multiLevelType w:val="singleLevel"/>
    <w:tmpl w:val="CAB66598"/>
    <w:name w:val="Bullet 66"/>
    <w:lvl w:ilvl="0">
      <w:start w:val="1"/>
      <w:numFmt w:val="decimal"/>
      <w:lvlText w:val="%1"/>
      <w:lvlJc w:val="left"/>
      <w:pPr>
        <w:tabs>
          <w:tab w:val="num" w:pos="0"/>
        </w:tabs>
        <w:ind w:left="0" w:firstLine="0"/>
      </w:pPr>
      <w:rPr>
        <w:rFonts w:ascii="Times New Roman Bold" w:hAnsi="Times New Roman Bold"/>
        <w:b/>
        <w:sz w:val="22"/>
      </w:rPr>
    </w:lvl>
  </w:abstractNum>
  <w:abstractNum w:abstractNumId="30">
    <w:nsid w:val="3853074B"/>
    <w:multiLevelType w:val="singleLevel"/>
    <w:tmpl w:val="E976E888"/>
    <w:name w:val="Bullet 50"/>
    <w:lvl w:ilvl="0">
      <w:start w:val="1"/>
      <w:numFmt w:val="lowerLetter"/>
      <w:lvlText w:val="%1"/>
      <w:lvlJc w:val="left"/>
      <w:pPr>
        <w:tabs>
          <w:tab w:val="num" w:pos="0"/>
        </w:tabs>
        <w:ind w:left="0" w:firstLine="0"/>
      </w:pPr>
      <w:rPr>
        <w:rFonts w:cs="Times New Roman"/>
      </w:rPr>
    </w:lvl>
  </w:abstractNum>
  <w:abstractNum w:abstractNumId="31">
    <w:nsid w:val="39471766"/>
    <w:multiLevelType w:val="singleLevel"/>
    <w:tmpl w:val="A920B470"/>
    <w:name w:val="Bullet 70"/>
    <w:lvl w:ilvl="0">
      <w:numFmt w:val="bullet"/>
      <w:lvlText w:val="–"/>
      <w:lvlJc w:val="left"/>
      <w:pPr>
        <w:tabs>
          <w:tab w:val="num" w:pos="0"/>
        </w:tabs>
        <w:ind w:left="0" w:firstLine="0"/>
      </w:pPr>
      <w:rPr>
        <w:rFonts w:ascii="Calibri" w:hAnsi="Calibri"/>
        <w:b/>
        <w:color w:val="auto"/>
      </w:rPr>
    </w:lvl>
  </w:abstractNum>
  <w:abstractNum w:abstractNumId="32">
    <w:nsid w:val="3BCD551B"/>
    <w:multiLevelType w:val="hybridMultilevel"/>
    <w:tmpl w:val="697892D8"/>
    <w:name w:val="Numbered list 8"/>
    <w:lvl w:ilvl="0" w:tplc="0A048556">
      <w:numFmt w:val="bullet"/>
      <w:lvlText w:val=""/>
      <w:lvlJc w:val="left"/>
      <w:pPr>
        <w:ind w:left="360" w:firstLine="0"/>
      </w:pPr>
      <w:rPr>
        <w:rFonts w:ascii="Symbol" w:hAnsi="Symbol"/>
      </w:rPr>
    </w:lvl>
    <w:lvl w:ilvl="1" w:tplc="9E722256">
      <w:numFmt w:val="bullet"/>
      <w:lvlText w:val="o"/>
      <w:lvlJc w:val="left"/>
      <w:pPr>
        <w:ind w:left="1080" w:firstLine="0"/>
      </w:pPr>
      <w:rPr>
        <w:rFonts w:ascii="Courier New" w:hAnsi="Courier New" w:cs="Courier New"/>
      </w:rPr>
    </w:lvl>
    <w:lvl w:ilvl="2" w:tplc="895E5F6C">
      <w:numFmt w:val="bullet"/>
      <w:lvlText w:val=""/>
      <w:lvlJc w:val="left"/>
      <w:pPr>
        <w:ind w:left="1800" w:firstLine="0"/>
      </w:pPr>
      <w:rPr>
        <w:rFonts w:ascii="Wingdings" w:eastAsia="Wingdings" w:hAnsi="Wingdings" w:cs="Wingdings"/>
      </w:rPr>
    </w:lvl>
    <w:lvl w:ilvl="3" w:tplc="2D44E664">
      <w:numFmt w:val="bullet"/>
      <w:lvlText w:val=""/>
      <w:lvlJc w:val="left"/>
      <w:pPr>
        <w:ind w:left="2520" w:firstLine="0"/>
      </w:pPr>
      <w:rPr>
        <w:rFonts w:ascii="Symbol" w:hAnsi="Symbol"/>
      </w:rPr>
    </w:lvl>
    <w:lvl w:ilvl="4" w:tplc="400439E4">
      <w:numFmt w:val="bullet"/>
      <w:lvlText w:val="o"/>
      <w:lvlJc w:val="left"/>
      <w:pPr>
        <w:ind w:left="3240" w:firstLine="0"/>
      </w:pPr>
      <w:rPr>
        <w:rFonts w:ascii="Courier New" w:hAnsi="Courier New" w:cs="Courier New"/>
      </w:rPr>
    </w:lvl>
    <w:lvl w:ilvl="5" w:tplc="40A09556">
      <w:numFmt w:val="bullet"/>
      <w:lvlText w:val=""/>
      <w:lvlJc w:val="left"/>
      <w:pPr>
        <w:ind w:left="3960" w:firstLine="0"/>
      </w:pPr>
      <w:rPr>
        <w:rFonts w:ascii="Wingdings" w:eastAsia="Wingdings" w:hAnsi="Wingdings" w:cs="Wingdings"/>
      </w:rPr>
    </w:lvl>
    <w:lvl w:ilvl="6" w:tplc="7AACBCE4">
      <w:numFmt w:val="bullet"/>
      <w:lvlText w:val=""/>
      <w:lvlJc w:val="left"/>
      <w:pPr>
        <w:ind w:left="4680" w:firstLine="0"/>
      </w:pPr>
      <w:rPr>
        <w:rFonts w:ascii="Symbol" w:hAnsi="Symbol"/>
      </w:rPr>
    </w:lvl>
    <w:lvl w:ilvl="7" w:tplc="2C5AF542">
      <w:numFmt w:val="bullet"/>
      <w:lvlText w:val="o"/>
      <w:lvlJc w:val="left"/>
      <w:pPr>
        <w:ind w:left="5400" w:firstLine="0"/>
      </w:pPr>
      <w:rPr>
        <w:rFonts w:ascii="Courier New" w:hAnsi="Courier New" w:cs="Courier New"/>
      </w:rPr>
    </w:lvl>
    <w:lvl w:ilvl="8" w:tplc="74C40D32">
      <w:numFmt w:val="bullet"/>
      <w:lvlText w:val=""/>
      <w:lvlJc w:val="left"/>
      <w:pPr>
        <w:ind w:left="6120" w:firstLine="0"/>
      </w:pPr>
      <w:rPr>
        <w:rFonts w:ascii="Wingdings" w:eastAsia="Wingdings" w:hAnsi="Wingdings" w:cs="Wingdings"/>
      </w:rPr>
    </w:lvl>
  </w:abstractNum>
  <w:abstractNum w:abstractNumId="33">
    <w:nsid w:val="3CE31E50"/>
    <w:multiLevelType w:val="singleLevel"/>
    <w:tmpl w:val="14ECE844"/>
    <w:name w:val="Bullet 30"/>
    <w:lvl w:ilvl="0">
      <w:start w:val="1"/>
      <w:numFmt w:val="decimal"/>
      <w:lvlText w:val="%1"/>
      <w:lvlJc w:val="left"/>
      <w:pPr>
        <w:ind w:left="0" w:firstLine="0"/>
      </w:pPr>
      <w:rPr>
        <w:rFonts w:ascii="Times New Roman Bold" w:hAnsi="Times New Roman Bold"/>
        <w:b/>
        <w:color w:val="C45911"/>
        <w:sz w:val="22"/>
        <w:vertAlign w:val="baseline"/>
      </w:rPr>
    </w:lvl>
  </w:abstractNum>
  <w:abstractNum w:abstractNumId="34">
    <w:nsid w:val="3D534A39"/>
    <w:multiLevelType w:val="singleLevel"/>
    <w:tmpl w:val="3EDCF62A"/>
    <w:name w:val="Bullet 36"/>
    <w:lvl w:ilvl="0">
      <w:numFmt w:val="bullet"/>
      <w:lvlText w:val="-"/>
      <w:lvlJc w:val="left"/>
      <w:pPr>
        <w:ind w:left="0" w:firstLine="0"/>
      </w:pPr>
      <w:rPr>
        <w:rFonts w:ascii="Cambria" w:eastAsia="Cambria" w:hAnsi="Cambria"/>
      </w:rPr>
    </w:lvl>
  </w:abstractNum>
  <w:abstractNum w:abstractNumId="35">
    <w:nsid w:val="3DA4727B"/>
    <w:multiLevelType w:val="singleLevel"/>
    <w:tmpl w:val="6E10F8F4"/>
    <w:name w:val="Bullet 61"/>
    <w:lvl w:ilvl="0">
      <w:numFmt w:val="bullet"/>
      <w:lvlText w:val="-"/>
      <w:lvlJc w:val="left"/>
      <w:pPr>
        <w:tabs>
          <w:tab w:val="num" w:pos="0"/>
        </w:tabs>
        <w:ind w:left="0" w:firstLine="0"/>
      </w:pPr>
      <w:rPr>
        <w:rFonts w:ascii="Calibri" w:eastAsia="Calibri" w:hAnsi="Calibri" w:cs="Times New Roman"/>
      </w:rPr>
    </w:lvl>
  </w:abstractNum>
  <w:abstractNum w:abstractNumId="36">
    <w:nsid w:val="3F85045C"/>
    <w:multiLevelType w:val="singleLevel"/>
    <w:tmpl w:val="FF12F5A8"/>
    <w:name w:val="Bullet 44"/>
    <w:lvl w:ilvl="0">
      <w:start w:val="1"/>
      <w:numFmt w:val="lowerRoman"/>
      <w:lvlText w:val="%1"/>
      <w:lvlJc w:val="left"/>
      <w:pPr>
        <w:tabs>
          <w:tab w:val="num" w:pos="0"/>
        </w:tabs>
        <w:ind w:left="0" w:firstLine="0"/>
      </w:pPr>
    </w:lvl>
  </w:abstractNum>
  <w:abstractNum w:abstractNumId="37">
    <w:nsid w:val="40C744BB"/>
    <w:multiLevelType w:val="singleLevel"/>
    <w:tmpl w:val="D8F266C8"/>
    <w:name w:val="Bullet 69"/>
    <w:lvl w:ilvl="0">
      <w:start w:val="1"/>
      <w:numFmt w:val="decimal"/>
      <w:lvlText w:val="%1"/>
      <w:lvlJc w:val="left"/>
      <w:pPr>
        <w:tabs>
          <w:tab w:val="num" w:pos="0"/>
        </w:tabs>
        <w:ind w:left="0" w:firstLine="0"/>
      </w:pPr>
      <w:rPr>
        <w:rFonts w:ascii="Times New Roman Bold" w:hAnsi="Times New Roman Bold"/>
        <w:b/>
        <w:sz w:val="22"/>
        <w:szCs w:val="22"/>
      </w:rPr>
    </w:lvl>
  </w:abstractNum>
  <w:abstractNum w:abstractNumId="38">
    <w:nsid w:val="443A38CA"/>
    <w:multiLevelType w:val="singleLevel"/>
    <w:tmpl w:val="A862387E"/>
    <w:name w:val="Bullet 20"/>
    <w:lvl w:ilvl="0">
      <w:numFmt w:val="bullet"/>
      <w:lvlText w:val=""/>
      <w:lvlJc w:val="left"/>
      <w:pPr>
        <w:ind w:left="0" w:firstLine="0"/>
      </w:pPr>
      <w:rPr>
        <w:rFonts w:ascii="Wingdings" w:eastAsia="Wingdings" w:hAnsi="Wingdings" w:cs="Wingdings"/>
      </w:rPr>
    </w:lvl>
  </w:abstractNum>
  <w:abstractNum w:abstractNumId="39">
    <w:nsid w:val="444132C5"/>
    <w:multiLevelType w:val="singleLevel"/>
    <w:tmpl w:val="C15C7594"/>
    <w:name w:val="Bullet 16"/>
    <w:lvl w:ilvl="0">
      <w:start w:val="2"/>
      <w:numFmt w:val="lowerLetter"/>
      <w:lvlText w:val="%1"/>
      <w:lvlJc w:val="left"/>
      <w:pPr>
        <w:ind w:left="0" w:firstLine="0"/>
      </w:pPr>
      <w:rPr>
        <w:rFonts w:cs="Times New Roman"/>
      </w:rPr>
    </w:lvl>
  </w:abstractNum>
  <w:abstractNum w:abstractNumId="40">
    <w:nsid w:val="44885702"/>
    <w:multiLevelType w:val="singleLevel"/>
    <w:tmpl w:val="4C1A11EC"/>
    <w:name w:val="Bullet 59"/>
    <w:lvl w:ilvl="0">
      <w:start w:val="1"/>
      <w:numFmt w:val="decimal"/>
      <w:lvlText w:val="%1"/>
      <w:lvlJc w:val="left"/>
      <w:pPr>
        <w:tabs>
          <w:tab w:val="num" w:pos="0"/>
        </w:tabs>
        <w:ind w:left="0" w:firstLine="0"/>
      </w:pPr>
    </w:lvl>
  </w:abstractNum>
  <w:abstractNum w:abstractNumId="41">
    <w:nsid w:val="455922EB"/>
    <w:multiLevelType w:val="singleLevel"/>
    <w:tmpl w:val="87487E92"/>
    <w:name w:val="Numbered list 4"/>
    <w:lvl w:ilvl="0">
      <w:numFmt w:val="bullet"/>
      <w:pStyle w:val="ListDash3"/>
      <w:lvlText w:val="–"/>
      <w:lvlJc w:val="left"/>
      <w:pPr>
        <w:ind w:left="1916" w:firstLine="0"/>
      </w:pPr>
      <w:rPr>
        <w:rFonts w:ascii="Times New Roman" w:hAnsi="Times New Roman"/>
      </w:rPr>
    </w:lvl>
  </w:abstractNum>
  <w:abstractNum w:abstractNumId="42">
    <w:nsid w:val="472511DC"/>
    <w:multiLevelType w:val="hybridMultilevel"/>
    <w:tmpl w:val="A96C009E"/>
    <w:name w:val="Numbered list 5"/>
    <w:lvl w:ilvl="0" w:tplc="236069B6">
      <w:numFmt w:val="bullet"/>
      <w:lvlText w:val=""/>
      <w:lvlJc w:val="left"/>
      <w:pPr>
        <w:ind w:left="360" w:firstLine="0"/>
      </w:pPr>
      <w:rPr>
        <w:rFonts w:ascii="Wingdings" w:eastAsia="Wingdings" w:hAnsi="Wingdings" w:cs="Wingdings"/>
      </w:rPr>
    </w:lvl>
    <w:lvl w:ilvl="1" w:tplc="DE4C8BC4">
      <w:numFmt w:val="bullet"/>
      <w:lvlText w:val="o"/>
      <w:lvlJc w:val="left"/>
      <w:pPr>
        <w:ind w:left="1080" w:firstLine="0"/>
      </w:pPr>
      <w:rPr>
        <w:rFonts w:ascii="Courier New" w:hAnsi="Courier New" w:cs="Courier New"/>
      </w:rPr>
    </w:lvl>
    <w:lvl w:ilvl="2" w:tplc="427AB2BA">
      <w:numFmt w:val="bullet"/>
      <w:lvlText w:val=""/>
      <w:lvlJc w:val="left"/>
      <w:pPr>
        <w:ind w:left="1800" w:firstLine="0"/>
      </w:pPr>
      <w:rPr>
        <w:rFonts w:ascii="Wingdings" w:eastAsia="Wingdings" w:hAnsi="Wingdings" w:cs="Wingdings"/>
      </w:rPr>
    </w:lvl>
    <w:lvl w:ilvl="3" w:tplc="062AECA6">
      <w:numFmt w:val="bullet"/>
      <w:lvlText w:val=""/>
      <w:lvlJc w:val="left"/>
      <w:pPr>
        <w:ind w:left="2520" w:firstLine="0"/>
      </w:pPr>
      <w:rPr>
        <w:rFonts w:ascii="Symbol" w:hAnsi="Symbol"/>
      </w:rPr>
    </w:lvl>
    <w:lvl w:ilvl="4" w:tplc="4B7C5D10">
      <w:numFmt w:val="bullet"/>
      <w:lvlText w:val="o"/>
      <w:lvlJc w:val="left"/>
      <w:pPr>
        <w:ind w:left="3240" w:firstLine="0"/>
      </w:pPr>
      <w:rPr>
        <w:rFonts w:ascii="Courier New" w:hAnsi="Courier New" w:cs="Courier New"/>
      </w:rPr>
    </w:lvl>
    <w:lvl w:ilvl="5" w:tplc="BA38AF48">
      <w:numFmt w:val="bullet"/>
      <w:lvlText w:val=""/>
      <w:lvlJc w:val="left"/>
      <w:pPr>
        <w:ind w:left="3960" w:firstLine="0"/>
      </w:pPr>
      <w:rPr>
        <w:rFonts w:ascii="Wingdings" w:eastAsia="Wingdings" w:hAnsi="Wingdings" w:cs="Wingdings"/>
      </w:rPr>
    </w:lvl>
    <w:lvl w:ilvl="6" w:tplc="EB9C4C98">
      <w:numFmt w:val="bullet"/>
      <w:lvlText w:val=""/>
      <w:lvlJc w:val="left"/>
      <w:pPr>
        <w:ind w:left="4680" w:firstLine="0"/>
      </w:pPr>
      <w:rPr>
        <w:rFonts w:ascii="Symbol" w:hAnsi="Symbol"/>
      </w:rPr>
    </w:lvl>
    <w:lvl w:ilvl="7" w:tplc="D3248194">
      <w:numFmt w:val="bullet"/>
      <w:lvlText w:val="o"/>
      <w:lvlJc w:val="left"/>
      <w:pPr>
        <w:ind w:left="5400" w:firstLine="0"/>
      </w:pPr>
      <w:rPr>
        <w:rFonts w:ascii="Courier New" w:hAnsi="Courier New" w:cs="Courier New"/>
      </w:rPr>
    </w:lvl>
    <w:lvl w:ilvl="8" w:tplc="94E469A4">
      <w:numFmt w:val="bullet"/>
      <w:lvlText w:val=""/>
      <w:lvlJc w:val="left"/>
      <w:pPr>
        <w:ind w:left="6120" w:firstLine="0"/>
      </w:pPr>
      <w:rPr>
        <w:rFonts w:ascii="Wingdings" w:eastAsia="Wingdings" w:hAnsi="Wingdings" w:cs="Wingdings"/>
      </w:rPr>
    </w:lvl>
  </w:abstractNum>
  <w:abstractNum w:abstractNumId="43">
    <w:nsid w:val="4A777237"/>
    <w:multiLevelType w:val="singleLevel"/>
    <w:tmpl w:val="0F941A94"/>
    <w:name w:val="Bullet 18"/>
    <w:lvl w:ilvl="0">
      <w:start w:val="1"/>
      <w:numFmt w:val="decimal"/>
      <w:lvlText w:val="%1"/>
      <w:lvlJc w:val="left"/>
      <w:pPr>
        <w:ind w:left="0" w:firstLine="0"/>
      </w:pPr>
      <w:rPr>
        <w:rFonts w:cs="Times New Roman"/>
      </w:rPr>
    </w:lvl>
  </w:abstractNum>
  <w:abstractNum w:abstractNumId="44">
    <w:nsid w:val="4C3962CA"/>
    <w:multiLevelType w:val="singleLevel"/>
    <w:tmpl w:val="3A9E1DF6"/>
    <w:name w:val="Bullet 52"/>
    <w:lvl w:ilvl="0">
      <w:numFmt w:val="bullet"/>
      <w:lvlText w:val="•"/>
      <w:lvlJc w:val="left"/>
      <w:pPr>
        <w:tabs>
          <w:tab w:val="num" w:pos="0"/>
        </w:tabs>
        <w:ind w:left="0" w:firstLine="0"/>
      </w:pPr>
      <w:rPr>
        <w:rFonts w:ascii="Times New Roman" w:eastAsia="Times New Roman" w:hAnsi="Times New Roman" w:cs="Times New Roman"/>
      </w:rPr>
    </w:lvl>
  </w:abstractNum>
  <w:abstractNum w:abstractNumId="45">
    <w:nsid w:val="4C5F21A7"/>
    <w:multiLevelType w:val="singleLevel"/>
    <w:tmpl w:val="9970F58E"/>
    <w:name w:val="Bullet 55"/>
    <w:lvl w:ilvl="0">
      <w:numFmt w:val="bullet"/>
      <w:lvlText w:val=""/>
      <w:lvlJc w:val="left"/>
      <w:pPr>
        <w:tabs>
          <w:tab w:val="num" w:pos="0"/>
        </w:tabs>
        <w:ind w:left="0" w:firstLine="0"/>
      </w:pPr>
      <w:rPr>
        <w:rFonts w:ascii="Wingdings" w:eastAsia="Wingdings" w:hAnsi="Wingdings" w:cs="Wingdings"/>
      </w:rPr>
    </w:lvl>
  </w:abstractNum>
  <w:abstractNum w:abstractNumId="46">
    <w:nsid w:val="4CB33FC7"/>
    <w:multiLevelType w:val="singleLevel"/>
    <w:tmpl w:val="022474DC"/>
    <w:name w:val="Bullet 38"/>
    <w:lvl w:ilvl="0">
      <w:start w:val="1"/>
      <w:numFmt w:val="lowerLetter"/>
      <w:lvlText w:val="%1"/>
      <w:lvlJc w:val="left"/>
      <w:pPr>
        <w:ind w:left="0" w:firstLine="0"/>
      </w:pPr>
    </w:lvl>
  </w:abstractNum>
  <w:abstractNum w:abstractNumId="47">
    <w:nsid w:val="515B50FF"/>
    <w:multiLevelType w:val="singleLevel"/>
    <w:tmpl w:val="36E8E20C"/>
    <w:name w:val="Bullet 40"/>
    <w:lvl w:ilvl="0">
      <w:numFmt w:val="bullet"/>
      <w:lvlText w:val="o"/>
      <w:lvlJc w:val="left"/>
      <w:pPr>
        <w:ind w:left="0" w:firstLine="0"/>
      </w:pPr>
      <w:rPr>
        <w:rFonts w:ascii="Courier New" w:hAnsi="Courier New"/>
      </w:rPr>
    </w:lvl>
  </w:abstractNum>
  <w:abstractNum w:abstractNumId="48">
    <w:nsid w:val="53A92FDF"/>
    <w:multiLevelType w:val="singleLevel"/>
    <w:tmpl w:val="7682C644"/>
    <w:name w:val="Bullet 53"/>
    <w:lvl w:ilvl="0">
      <w:numFmt w:val="bullet"/>
      <w:lvlText w:val=""/>
      <w:lvlJc w:val="left"/>
      <w:pPr>
        <w:tabs>
          <w:tab w:val="num" w:pos="0"/>
        </w:tabs>
        <w:ind w:left="0" w:firstLine="0"/>
      </w:pPr>
      <w:rPr>
        <w:rFonts w:ascii="Wingdings" w:eastAsia="Wingdings" w:hAnsi="Wingdings" w:cs="Wingdings"/>
      </w:rPr>
    </w:lvl>
  </w:abstractNum>
  <w:abstractNum w:abstractNumId="49">
    <w:nsid w:val="550017F1"/>
    <w:multiLevelType w:val="singleLevel"/>
    <w:tmpl w:val="49F219D8"/>
    <w:name w:val="Bullet 23"/>
    <w:lvl w:ilvl="0">
      <w:numFmt w:val="bullet"/>
      <w:lvlText w:val=""/>
      <w:lvlJc w:val="left"/>
      <w:pPr>
        <w:ind w:left="0" w:firstLine="0"/>
      </w:pPr>
      <w:rPr>
        <w:rFonts w:ascii="Symbol" w:hAnsi="Symbol"/>
      </w:rPr>
    </w:lvl>
  </w:abstractNum>
  <w:abstractNum w:abstractNumId="50">
    <w:nsid w:val="57714D3B"/>
    <w:multiLevelType w:val="singleLevel"/>
    <w:tmpl w:val="414EAF3A"/>
    <w:name w:val="Bullet 29"/>
    <w:lvl w:ilvl="0">
      <w:start w:val="1"/>
      <w:numFmt w:val="decimal"/>
      <w:lvlText w:val="%1"/>
      <w:lvlJc w:val="left"/>
      <w:pPr>
        <w:ind w:left="0" w:firstLine="0"/>
      </w:pPr>
      <w:rPr>
        <w:rFonts w:ascii="Times New Roman Bold" w:hAnsi="Times New Roman Bold"/>
        <w:b/>
        <w:sz w:val="22"/>
        <w:szCs w:val="22"/>
      </w:rPr>
    </w:lvl>
  </w:abstractNum>
  <w:abstractNum w:abstractNumId="51">
    <w:nsid w:val="595F64AD"/>
    <w:multiLevelType w:val="singleLevel"/>
    <w:tmpl w:val="345ADAEE"/>
    <w:name w:val="Bullet 45"/>
    <w:lvl w:ilvl="0">
      <w:numFmt w:val="bullet"/>
      <w:lvlText w:val=""/>
      <w:lvlJc w:val="left"/>
      <w:pPr>
        <w:tabs>
          <w:tab w:val="num" w:pos="0"/>
        </w:tabs>
        <w:ind w:left="0" w:firstLine="0"/>
      </w:pPr>
      <w:rPr>
        <w:rFonts w:ascii="Symbol" w:hAnsi="Symbol"/>
        <w:b w:val="0"/>
        <w:sz w:val="20"/>
        <w:szCs w:val="20"/>
      </w:rPr>
    </w:lvl>
  </w:abstractNum>
  <w:abstractNum w:abstractNumId="52">
    <w:nsid w:val="5A4146DA"/>
    <w:multiLevelType w:val="hybridMultilevel"/>
    <w:tmpl w:val="D0F62046"/>
    <w:name w:val="Numbered list 11"/>
    <w:lvl w:ilvl="0" w:tplc="9A2C330C">
      <w:numFmt w:val="bullet"/>
      <w:lvlText w:val=""/>
      <w:lvlJc w:val="left"/>
      <w:pPr>
        <w:ind w:left="360" w:firstLine="0"/>
      </w:pPr>
      <w:rPr>
        <w:rFonts w:ascii="Symbol" w:hAnsi="Symbol"/>
      </w:rPr>
    </w:lvl>
    <w:lvl w:ilvl="1" w:tplc="AC245570">
      <w:numFmt w:val="bullet"/>
      <w:lvlText w:val="o"/>
      <w:lvlJc w:val="left"/>
      <w:pPr>
        <w:ind w:left="1080" w:firstLine="0"/>
      </w:pPr>
      <w:rPr>
        <w:rFonts w:ascii="Courier New" w:hAnsi="Courier New" w:cs="Courier New"/>
      </w:rPr>
    </w:lvl>
    <w:lvl w:ilvl="2" w:tplc="378EC02A">
      <w:numFmt w:val="bullet"/>
      <w:lvlText w:val=""/>
      <w:lvlJc w:val="left"/>
      <w:pPr>
        <w:ind w:left="1800" w:firstLine="0"/>
      </w:pPr>
      <w:rPr>
        <w:rFonts w:ascii="Wingdings" w:eastAsia="Wingdings" w:hAnsi="Wingdings" w:cs="Wingdings"/>
      </w:rPr>
    </w:lvl>
    <w:lvl w:ilvl="3" w:tplc="B826245C">
      <w:numFmt w:val="bullet"/>
      <w:lvlText w:val=""/>
      <w:lvlJc w:val="left"/>
      <w:pPr>
        <w:ind w:left="2520" w:firstLine="0"/>
      </w:pPr>
      <w:rPr>
        <w:rFonts w:ascii="Symbol" w:hAnsi="Symbol"/>
      </w:rPr>
    </w:lvl>
    <w:lvl w:ilvl="4" w:tplc="4AB44CDA">
      <w:numFmt w:val="bullet"/>
      <w:lvlText w:val="o"/>
      <w:lvlJc w:val="left"/>
      <w:pPr>
        <w:ind w:left="3240" w:firstLine="0"/>
      </w:pPr>
      <w:rPr>
        <w:rFonts w:ascii="Courier New" w:hAnsi="Courier New" w:cs="Courier New"/>
      </w:rPr>
    </w:lvl>
    <w:lvl w:ilvl="5" w:tplc="9FA277CC">
      <w:numFmt w:val="bullet"/>
      <w:lvlText w:val=""/>
      <w:lvlJc w:val="left"/>
      <w:pPr>
        <w:ind w:left="3960" w:firstLine="0"/>
      </w:pPr>
      <w:rPr>
        <w:rFonts w:ascii="Wingdings" w:eastAsia="Wingdings" w:hAnsi="Wingdings" w:cs="Wingdings"/>
      </w:rPr>
    </w:lvl>
    <w:lvl w:ilvl="6" w:tplc="61BCDE72">
      <w:numFmt w:val="bullet"/>
      <w:lvlText w:val=""/>
      <w:lvlJc w:val="left"/>
      <w:pPr>
        <w:ind w:left="4680" w:firstLine="0"/>
      </w:pPr>
      <w:rPr>
        <w:rFonts w:ascii="Symbol" w:hAnsi="Symbol"/>
      </w:rPr>
    </w:lvl>
    <w:lvl w:ilvl="7" w:tplc="77EE7FD2">
      <w:numFmt w:val="bullet"/>
      <w:lvlText w:val="o"/>
      <w:lvlJc w:val="left"/>
      <w:pPr>
        <w:ind w:left="5400" w:firstLine="0"/>
      </w:pPr>
      <w:rPr>
        <w:rFonts w:ascii="Courier New" w:hAnsi="Courier New" w:cs="Courier New"/>
      </w:rPr>
    </w:lvl>
    <w:lvl w:ilvl="8" w:tplc="09AC735C">
      <w:numFmt w:val="bullet"/>
      <w:lvlText w:val=""/>
      <w:lvlJc w:val="left"/>
      <w:pPr>
        <w:ind w:left="6120" w:firstLine="0"/>
      </w:pPr>
      <w:rPr>
        <w:rFonts w:ascii="Wingdings" w:eastAsia="Wingdings" w:hAnsi="Wingdings" w:cs="Wingdings"/>
      </w:rPr>
    </w:lvl>
  </w:abstractNum>
  <w:abstractNum w:abstractNumId="53">
    <w:nsid w:val="5BB45213"/>
    <w:multiLevelType w:val="hybridMultilevel"/>
    <w:tmpl w:val="C2466E92"/>
    <w:name w:val="Numbered list 6"/>
    <w:lvl w:ilvl="0" w:tplc="3258AC10">
      <w:numFmt w:val="bullet"/>
      <w:lvlText w:val=""/>
      <w:lvlJc w:val="left"/>
      <w:pPr>
        <w:ind w:left="720" w:firstLine="0"/>
      </w:pPr>
      <w:rPr>
        <w:rFonts w:ascii="Symbol" w:hAnsi="Symbol"/>
      </w:rPr>
    </w:lvl>
    <w:lvl w:ilvl="1" w:tplc="5E5EC1C6">
      <w:numFmt w:val="bullet"/>
      <w:lvlText w:val="o"/>
      <w:lvlJc w:val="left"/>
      <w:pPr>
        <w:ind w:left="1440" w:firstLine="0"/>
      </w:pPr>
      <w:rPr>
        <w:rFonts w:ascii="Courier New" w:hAnsi="Courier New" w:cs="Courier New"/>
      </w:rPr>
    </w:lvl>
    <w:lvl w:ilvl="2" w:tplc="7F62478C">
      <w:numFmt w:val="bullet"/>
      <w:lvlText w:val=""/>
      <w:lvlJc w:val="left"/>
      <w:pPr>
        <w:ind w:left="2160" w:firstLine="0"/>
      </w:pPr>
      <w:rPr>
        <w:rFonts w:ascii="Wingdings" w:eastAsia="Wingdings" w:hAnsi="Wingdings" w:cs="Wingdings"/>
      </w:rPr>
    </w:lvl>
    <w:lvl w:ilvl="3" w:tplc="1E4234A0">
      <w:numFmt w:val="bullet"/>
      <w:lvlText w:val=""/>
      <w:lvlJc w:val="left"/>
      <w:pPr>
        <w:ind w:left="2880" w:firstLine="0"/>
      </w:pPr>
      <w:rPr>
        <w:rFonts w:ascii="Symbol" w:hAnsi="Symbol"/>
      </w:rPr>
    </w:lvl>
    <w:lvl w:ilvl="4" w:tplc="48E0334A">
      <w:numFmt w:val="bullet"/>
      <w:lvlText w:val="o"/>
      <w:lvlJc w:val="left"/>
      <w:pPr>
        <w:ind w:left="3600" w:firstLine="0"/>
      </w:pPr>
      <w:rPr>
        <w:rFonts w:ascii="Courier New" w:hAnsi="Courier New" w:cs="Courier New"/>
      </w:rPr>
    </w:lvl>
    <w:lvl w:ilvl="5" w:tplc="0BFAF5DC">
      <w:numFmt w:val="bullet"/>
      <w:lvlText w:val=""/>
      <w:lvlJc w:val="left"/>
      <w:pPr>
        <w:ind w:left="4320" w:firstLine="0"/>
      </w:pPr>
      <w:rPr>
        <w:rFonts w:ascii="Wingdings" w:eastAsia="Wingdings" w:hAnsi="Wingdings" w:cs="Wingdings"/>
      </w:rPr>
    </w:lvl>
    <w:lvl w:ilvl="6" w:tplc="AB00A224">
      <w:numFmt w:val="bullet"/>
      <w:lvlText w:val=""/>
      <w:lvlJc w:val="left"/>
      <w:pPr>
        <w:ind w:left="5040" w:firstLine="0"/>
      </w:pPr>
      <w:rPr>
        <w:rFonts w:ascii="Symbol" w:hAnsi="Symbol"/>
      </w:rPr>
    </w:lvl>
    <w:lvl w:ilvl="7" w:tplc="A9C8D802">
      <w:numFmt w:val="bullet"/>
      <w:lvlText w:val="o"/>
      <w:lvlJc w:val="left"/>
      <w:pPr>
        <w:ind w:left="5760" w:firstLine="0"/>
      </w:pPr>
      <w:rPr>
        <w:rFonts w:ascii="Courier New" w:hAnsi="Courier New" w:cs="Courier New"/>
      </w:rPr>
    </w:lvl>
    <w:lvl w:ilvl="8" w:tplc="4D60C880">
      <w:numFmt w:val="bullet"/>
      <w:lvlText w:val=""/>
      <w:lvlJc w:val="left"/>
      <w:pPr>
        <w:ind w:left="6480" w:firstLine="0"/>
      </w:pPr>
      <w:rPr>
        <w:rFonts w:ascii="Wingdings" w:eastAsia="Wingdings" w:hAnsi="Wingdings" w:cs="Wingdings"/>
      </w:rPr>
    </w:lvl>
  </w:abstractNum>
  <w:abstractNum w:abstractNumId="54">
    <w:nsid w:val="5EC27287"/>
    <w:multiLevelType w:val="singleLevel"/>
    <w:tmpl w:val="D2DE4B50"/>
    <w:name w:val="Bullet 54"/>
    <w:lvl w:ilvl="0">
      <w:numFmt w:val="bullet"/>
      <w:lvlText w:val="o"/>
      <w:lvlJc w:val="left"/>
      <w:pPr>
        <w:tabs>
          <w:tab w:val="num" w:pos="0"/>
        </w:tabs>
        <w:ind w:left="0" w:firstLine="0"/>
      </w:pPr>
      <w:rPr>
        <w:rFonts w:ascii="Courier New" w:hAnsi="Courier New" w:cs="Courier New"/>
      </w:rPr>
    </w:lvl>
  </w:abstractNum>
  <w:abstractNum w:abstractNumId="55">
    <w:nsid w:val="616533E2"/>
    <w:multiLevelType w:val="singleLevel"/>
    <w:tmpl w:val="436ACF02"/>
    <w:name w:val="Bullet 37"/>
    <w:lvl w:ilvl="0">
      <w:numFmt w:val="bullet"/>
      <w:lvlText w:val=""/>
      <w:lvlJc w:val="left"/>
      <w:pPr>
        <w:ind w:left="0" w:firstLine="0"/>
      </w:pPr>
      <w:rPr>
        <w:rFonts w:ascii="Symbol" w:hAnsi="Symbol"/>
        <w:b w:val="0"/>
        <w:sz w:val="20"/>
        <w:szCs w:val="20"/>
      </w:rPr>
    </w:lvl>
  </w:abstractNum>
  <w:abstractNum w:abstractNumId="56">
    <w:nsid w:val="660F1912"/>
    <w:multiLevelType w:val="singleLevel"/>
    <w:tmpl w:val="F78428A6"/>
    <w:name w:val="Bullet 47"/>
    <w:lvl w:ilvl="0">
      <w:start w:val="2"/>
      <w:numFmt w:val="lowerLetter"/>
      <w:lvlText w:val="%1"/>
      <w:lvlJc w:val="left"/>
      <w:pPr>
        <w:tabs>
          <w:tab w:val="num" w:pos="0"/>
        </w:tabs>
        <w:ind w:left="0" w:firstLine="0"/>
      </w:pPr>
      <w:rPr>
        <w:rFonts w:cs="Times New Roman"/>
      </w:rPr>
    </w:lvl>
  </w:abstractNum>
  <w:abstractNum w:abstractNumId="57">
    <w:nsid w:val="6797576A"/>
    <w:multiLevelType w:val="singleLevel"/>
    <w:tmpl w:val="891EDCA6"/>
    <w:name w:val="Bullet 68"/>
    <w:lvl w:ilvl="0">
      <w:start w:val="1"/>
      <w:numFmt w:val="decimal"/>
      <w:lvlText w:val="%1"/>
      <w:lvlJc w:val="left"/>
      <w:pPr>
        <w:tabs>
          <w:tab w:val="num" w:pos="0"/>
        </w:tabs>
        <w:ind w:left="0" w:firstLine="0"/>
      </w:pPr>
      <w:rPr>
        <w:rFonts w:ascii="Times New Roman Bold" w:hAnsi="Times New Roman Bold"/>
        <w:b/>
        <w:sz w:val="24"/>
      </w:rPr>
    </w:lvl>
  </w:abstractNum>
  <w:abstractNum w:abstractNumId="58">
    <w:nsid w:val="69DE46BC"/>
    <w:multiLevelType w:val="singleLevel"/>
    <w:tmpl w:val="C50620BC"/>
    <w:name w:val="Bullet 71"/>
    <w:lvl w:ilvl="0">
      <w:numFmt w:val="bullet"/>
      <w:lvlText w:val="-"/>
      <w:lvlJc w:val="left"/>
      <w:pPr>
        <w:tabs>
          <w:tab w:val="num" w:pos="0"/>
        </w:tabs>
        <w:ind w:left="0" w:firstLine="0"/>
      </w:pPr>
      <w:rPr>
        <w:rFonts w:ascii="Times New Roman" w:eastAsia="Times New Roman" w:hAnsi="Times New Roman" w:cs="Times New Roman"/>
      </w:rPr>
    </w:lvl>
  </w:abstractNum>
  <w:abstractNum w:abstractNumId="59">
    <w:nsid w:val="6A9B0B97"/>
    <w:multiLevelType w:val="singleLevel"/>
    <w:tmpl w:val="C76C0626"/>
    <w:name w:val="Bullet 64"/>
    <w:lvl w:ilvl="0">
      <w:numFmt w:val="bullet"/>
      <w:lvlText w:val="o"/>
      <w:lvlJc w:val="left"/>
      <w:pPr>
        <w:tabs>
          <w:tab w:val="num" w:pos="0"/>
        </w:tabs>
        <w:ind w:left="0" w:firstLine="0"/>
      </w:pPr>
      <w:rPr>
        <w:rFonts w:ascii="Courier New" w:hAnsi="Courier New"/>
      </w:rPr>
    </w:lvl>
  </w:abstractNum>
  <w:abstractNum w:abstractNumId="60">
    <w:nsid w:val="6C485C1C"/>
    <w:multiLevelType w:val="singleLevel"/>
    <w:tmpl w:val="DAF443D4"/>
    <w:name w:val="Bullet 31"/>
    <w:lvl w:ilvl="0">
      <w:numFmt w:val="bullet"/>
      <w:lvlText w:val="–"/>
      <w:lvlJc w:val="left"/>
      <w:pPr>
        <w:ind w:left="0" w:firstLine="0"/>
      </w:pPr>
      <w:rPr>
        <w:rFonts w:ascii="Calibri" w:hAnsi="Calibri"/>
        <w:b/>
        <w:color w:val="auto"/>
      </w:rPr>
    </w:lvl>
  </w:abstractNum>
  <w:abstractNum w:abstractNumId="61">
    <w:nsid w:val="6D326080"/>
    <w:multiLevelType w:val="singleLevel"/>
    <w:tmpl w:val="AA12114C"/>
    <w:name w:val="Bullet 223"/>
    <w:lvl w:ilvl="0">
      <w:numFmt w:val="bullet"/>
      <w:lvlText w:val=""/>
      <w:lvlJc w:val="left"/>
      <w:pPr>
        <w:ind w:left="0" w:firstLine="0"/>
      </w:pPr>
      <w:rPr>
        <w:rFonts w:ascii="Wingdings" w:eastAsia="Wingdings" w:hAnsi="Wingdings" w:cs="Wingdings"/>
      </w:rPr>
    </w:lvl>
  </w:abstractNum>
  <w:abstractNum w:abstractNumId="62">
    <w:nsid w:val="6EEA5DA0"/>
    <w:multiLevelType w:val="singleLevel"/>
    <w:tmpl w:val="2B20E10A"/>
    <w:name w:val="Bullet 52"/>
    <w:lvl w:ilvl="0">
      <w:numFmt w:val="bullet"/>
      <w:lvlText w:val=""/>
      <w:lvlJc w:val="left"/>
      <w:pPr>
        <w:ind w:left="0" w:firstLine="0"/>
      </w:pPr>
      <w:rPr>
        <w:rFonts w:ascii="Wingdings" w:eastAsia="Wingdings" w:hAnsi="Wingdings" w:cs="Wingdings"/>
      </w:rPr>
    </w:lvl>
  </w:abstractNum>
  <w:abstractNum w:abstractNumId="63">
    <w:nsid w:val="71DD70F9"/>
    <w:multiLevelType w:val="singleLevel"/>
    <w:tmpl w:val="A14A4568"/>
    <w:name w:val="Bullet 21"/>
    <w:lvl w:ilvl="0">
      <w:numFmt w:val="bullet"/>
      <w:lvlText w:val="o"/>
      <w:lvlJc w:val="left"/>
      <w:pPr>
        <w:ind w:left="0" w:firstLine="0"/>
      </w:pPr>
      <w:rPr>
        <w:rFonts w:ascii="Courier New" w:hAnsi="Courier New" w:cs="Courier New"/>
      </w:rPr>
    </w:lvl>
  </w:abstractNum>
  <w:abstractNum w:abstractNumId="64">
    <w:nsid w:val="7255719B"/>
    <w:multiLevelType w:val="singleLevel"/>
    <w:tmpl w:val="324ABA24"/>
    <w:name w:val="Bullet 60"/>
    <w:lvl w:ilvl="0">
      <w:start w:val="1"/>
      <w:numFmt w:val="decimal"/>
      <w:lvlText w:val="%1"/>
      <w:lvlJc w:val="left"/>
      <w:pPr>
        <w:tabs>
          <w:tab w:val="num" w:pos="0"/>
        </w:tabs>
        <w:ind w:left="0" w:firstLine="0"/>
      </w:pPr>
      <w:rPr>
        <w:sz w:val="22"/>
      </w:rPr>
    </w:lvl>
  </w:abstractNum>
  <w:abstractNum w:abstractNumId="65">
    <w:nsid w:val="731A0C99"/>
    <w:multiLevelType w:val="hybridMultilevel"/>
    <w:tmpl w:val="DC729D1E"/>
    <w:name w:val="Numbered list 7"/>
    <w:lvl w:ilvl="0" w:tplc="31BEA784">
      <w:numFmt w:val="bullet"/>
      <w:lvlText w:val=""/>
      <w:lvlJc w:val="left"/>
      <w:pPr>
        <w:ind w:left="360" w:firstLine="0"/>
      </w:pPr>
      <w:rPr>
        <w:rFonts w:ascii="Wingdings" w:eastAsia="Wingdings" w:hAnsi="Wingdings" w:cs="Wingdings"/>
      </w:rPr>
    </w:lvl>
    <w:lvl w:ilvl="1" w:tplc="F7005552">
      <w:numFmt w:val="bullet"/>
      <w:lvlText w:val="o"/>
      <w:lvlJc w:val="left"/>
      <w:pPr>
        <w:ind w:left="1080" w:firstLine="0"/>
      </w:pPr>
      <w:rPr>
        <w:rFonts w:ascii="Courier New" w:hAnsi="Courier New" w:cs="Courier New"/>
      </w:rPr>
    </w:lvl>
    <w:lvl w:ilvl="2" w:tplc="A25415B0">
      <w:numFmt w:val="bullet"/>
      <w:lvlText w:val=""/>
      <w:lvlJc w:val="left"/>
      <w:pPr>
        <w:ind w:left="1800" w:firstLine="0"/>
      </w:pPr>
      <w:rPr>
        <w:rFonts w:ascii="Wingdings" w:eastAsia="Wingdings" w:hAnsi="Wingdings" w:cs="Wingdings"/>
      </w:rPr>
    </w:lvl>
    <w:lvl w:ilvl="3" w:tplc="6B02B5B2">
      <w:numFmt w:val="bullet"/>
      <w:lvlText w:val=""/>
      <w:lvlJc w:val="left"/>
      <w:pPr>
        <w:ind w:left="2520" w:firstLine="0"/>
      </w:pPr>
      <w:rPr>
        <w:rFonts w:ascii="Symbol" w:hAnsi="Symbol"/>
      </w:rPr>
    </w:lvl>
    <w:lvl w:ilvl="4" w:tplc="22C0A80C">
      <w:numFmt w:val="bullet"/>
      <w:lvlText w:val="o"/>
      <w:lvlJc w:val="left"/>
      <w:pPr>
        <w:ind w:left="3240" w:firstLine="0"/>
      </w:pPr>
      <w:rPr>
        <w:rFonts w:ascii="Courier New" w:hAnsi="Courier New" w:cs="Courier New"/>
      </w:rPr>
    </w:lvl>
    <w:lvl w:ilvl="5" w:tplc="789EA6B2">
      <w:numFmt w:val="bullet"/>
      <w:lvlText w:val=""/>
      <w:lvlJc w:val="left"/>
      <w:pPr>
        <w:ind w:left="3960" w:firstLine="0"/>
      </w:pPr>
      <w:rPr>
        <w:rFonts w:ascii="Wingdings" w:eastAsia="Wingdings" w:hAnsi="Wingdings" w:cs="Wingdings"/>
      </w:rPr>
    </w:lvl>
    <w:lvl w:ilvl="6" w:tplc="7286D9A2">
      <w:numFmt w:val="bullet"/>
      <w:lvlText w:val=""/>
      <w:lvlJc w:val="left"/>
      <w:pPr>
        <w:ind w:left="4680" w:firstLine="0"/>
      </w:pPr>
      <w:rPr>
        <w:rFonts w:ascii="Symbol" w:hAnsi="Symbol"/>
      </w:rPr>
    </w:lvl>
    <w:lvl w:ilvl="7" w:tplc="CB40FE98">
      <w:numFmt w:val="bullet"/>
      <w:lvlText w:val="o"/>
      <w:lvlJc w:val="left"/>
      <w:pPr>
        <w:ind w:left="5400" w:firstLine="0"/>
      </w:pPr>
      <w:rPr>
        <w:rFonts w:ascii="Courier New" w:hAnsi="Courier New" w:cs="Courier New"/>
      </w:rPr>
    </w:lvl>
    <w:lvl w:ilvl="8" w:tplc="B59CCF9E">
      <w:numFmt w:val="bullet"/>
      <w:lvlText w:val=""/>
      <w:lvlJc w:val="left"/>
      <w:pPr>
        <w:ind w:left="6120" w:firstLine="0"/>
      </w:pPr>
      <w:rPr>
        <w:rFonts w:ascii="Wingdings" w:eastAsia="Wingdings" w:hAnsi="Wingdings" w:cs="Wingdings"/>
      </w:rPr>
    </w:lvl>
  </w:abstractNum>
  <w:abstractNum w:abstractNumId="66">
    <w:nsid w:val="73FE2A34"/>
    <w:multiLevelType w:val="singleLevel"/>
    <w:tmpl w:val="6B9A7F78"/>
    <w:name w:val="Bullet 32"/>
    <w:lvl w:ilvl="0">
      <w:numFmt w:val="bullet"/>
      <w:lvlText w:val="-"/>
      <w:lvlJc w:val="left"/>
      <w:pPr>
        <w:ind w:left="0" w:firstLine="0"/>
      </w:pPr>
      <w:rPr>
        <w:rFonts w:ascii="Calibri" w:eastAsia="Calibri" w:hAnsi="Calibri" w:cs="Times New Roman"/>
      </w:rPr>
    </w:lvl>
  </w:abstractNum>
  <w:abstractNum w:abstractNumId="67">
    <w:nsid w:val="77A37BD4"/>
    <w:multiLevelType w:val="singleLevel"/>
    <w:tmpl w:val="ADFACFF4"/>
    <w:name w:val="Bullet 56"/>
    <w:lvl w:ilvl="0">
      <w:numFmt w:val="bullet"/>
      <w:lvlText w:val=""/>
      <w:lvlJc w:val="left"/>
      <w:pPr>
        <w:tabs>
          <w:tab w:val="num" w:pos="0"/>
        </w:tabs>
        <w:ind w:left="0" w:firstLine="0"/>
      </w:pPr>
      <w:rPr>
        <w:rFonts w:ascii="Symbol" w:hAnsi="Symbol"/>
      </w:rPr>
    </w:lvl>
  </w:abstractNum>
  <w:abstractNum w:abstractNumId="68">
    <w:nsid w:val="79A57183"/>
    <w:multiLevelType w:val="singleLevel"/>
    <w:tmpl w:val="E3C8EB60"/>
    <w:name w:val="Bullet 58"/>
    <w:lvl w:ilvl="0">
      <w:start w:val="7"/>
      <w:numFmt w:val="decimal"/>
      <w:lvlText w:val="%1"/>
      <w:lvlJc w:val="left"/>
      <w:pPr>
        <w:tabs>
          <w:tab w:val="num" w:pos="0"/>
        </w:tabs>
        <w:ind w:left="0" w:firstLine="0"/>
      </w:pPr>
    </w:lvl>
  </w:abstractNum>
  <w:abstractNum w:abstractNumId="69">
    <w:nsid w:val="7A2125FD"/>
    <w:multiLevelType w:val="singleLevel"/>
    <w:tmpl w:val="4E848552"/>
    <w:name w:val="Bullet 34"/>
    <w:lvl w:ilvl="0">
      <w:numFmt w:val="bullet"/>
      <w:lvlText w:val=""/>
      <w:lvlJc w:val="left"/>
      <w:pPr>
        <w:ind w:left="0" w:firstLine="0"/>
      </w:pPr>
      <w:rPr>
        <w:rFonts w:ascii="Symbol" w:hAnsi="Symbol"/>
        <w:b w:val="0"/>
      </w:rPr>
    </w:lvl>
  </w:abstractNum>
  <w:abstractNum w:abstractNumId="70">
    <w:nsid w:val="7AEA2F22"/>
    <w:multiLevelType w:val="singleLevel"/>
    <w:tmpl w:val="C7AA6CBE"/>
    <w:name w:val="Bullet 48"/>
    <w:lvl w:ilvl="0">
      <w:start w:val="1"/>
      <w:numFmt w:val="lowerRoman"/>
      <w:lvlText w:val="%1"/>
      <w:lvlJc w:val="left"/>
      <w:pPr>
        <w:tabs>
          <w:tab w:val="num" w:pos="0"/>
        </w:tabs>
        <w:ind w:left="0" w:firstLine="0"/>
      </w:pPr>
      <w:rPr>
        <w:rFonts w:cs="Times New Roman"/>
      </w:rPr>
    </w:lvl>
  </w:abstractNum>
  <w:abstractNum w:abstractNumId="71">
    <w:nsid w:val="7DA45F85"/>
    <w:multiLevelType w:val="singleLevel"/>
    <w:tmpl w:val="6450E2D8"/>
    <w:name w:val="Bullet 26"/>
    <w:lvl w:ilvl="0">
      <w:start w:val="1"/>
      <w:numFmt w:val="decimal"/>
      <w:lvlText w:val="%1"/>
      <w:lvlJc w:val="left"/>
      <w:pPr>
        <w:ind w:left="0" w:firstLine="0"/>
      </w:pPr>
    </w:lvl>
  </w:abstractNum>
  <w:num w:numId="1">
    <w:abstractNumId w:val="16"/>
  </w:num>
  <w:num w:numId="2">
    <w:abstractNumId w:val="65"/>
  </w:num>
  <w:num w:numId="3">
    <w:abstractNumId w:val="2"/>
  </w:num>
  <w:num w:numId="4">
    <w:abstractNumId w:val="52"/>
  </w:num>
  <w:num w:numId="5">
    <w:abstractNumId w:val="61"/>
  </w:num>
  <w:num w:numId="6">
    <w:abstractNumId w:val="62"/>
  </w:num>
  <w:num w:numId="7">
    <w:abstractNumId w:val="41"/>
  </w:num>
  <w:num w:numId="8">
    <w:abstractNumId w:val="53"/>
  </w:num>
  <w:num w:numId="9">
    <w:abstractNumId w:val="32"/>
  </w:num>
  <w:num w:numId="10">
    <w:abstractNumId w:val="9"/>
  </w:num>
  <w:num w:numId="11">
    <w:abstractNumId w:val="7"/>
  </w:num>
  <w:num w:numId="12">
    <w:abstractNumId w:val="42"/>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08"/>
    <w:rsid w:val="0001398B"/>
    <w:rsid w:val="00065708"/>
    <w:rsid w:val="000C788D"/>
    <w:rsid w:val="001A1417"/>
    <w:rsid w:val="00217546"/>
    <w:rsid w:val="002651B1"/>
    <w:rsid w:val="00272335"/>
    <w:rsid w:val="00325EE8"/>
    <w:rsid w:val="004F0DAD"/>
    <w:rsid w:val="006028A3"/>
    <w:rsid w:val="006127D0"/>
    <w:rsid w:val="00695061"/>
    <w:rsid w:val="006A510B"/>
    <w:rsid w:val="007535A4"/>
    <w:rsid w:val="007C3903"/>
    <w:rsid w:val="007F0786"/>
    <w:rsid w:val="00947B6A"/>
    <w:rsid w:val="0097721A"/>
    <w:rsid w:val="00A00B2C"/>
    <w:rsid w:val="00B6153B"/>
    <w:rsid w:val="00B95716"/>
    <w:rsid w:val="00C4665F"/>
    <w:rsid w:val="00DF37FE"/>
    <w:rsid w:val="00DF7F48"/>
    <w:rsid w:val="00E369E4"/>
    <w:rsid w:val="00E80682"/>
    <w:rsid w:val="00EA062C"/>
    <w:rsid w:val="00EE55ED"/>
    <w:rsid w:val="00F75AD0"/>
    <w:rsid w:val="00F77A9C"/>
    <w:rsid w:val="00F9592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C39E"/>
  <w15:docId w15:val="{760638E1-B782-454F-96E8-F18D94A7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4"/>
        <w:lang w:val="en-GB" w:eastAsia="zh-CN"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tabs>
        <w:tab w:val="left" w:pos="850"/>
      </w:tabs>
      <w:spacing w:after="120"/>
      <w:ind w:left="850" w:hanging="850"/>
      <w:outlineLvl w:val="1"/>
    </w:pPr>
    <w:rPr>
      <w:b/>
    </w:rPr>
  </w:style>
  <w:style w:type="paragraph" w:styleId="Heading4">
    <w:name w:val="heading 4"/>
    <w:basedOn w:val="Normal"/>
    <w:next w:val="Normal"/>
    <w:qFormat/>
    <w:pPr>
      <w:numPr>
        <w:ilvl w:val="3"/>
        <w:numId w:val="11"/>
      </w:numPr>
      <w:spacing w:before="40"/>
      <w:ind w:left="720" w:hanging="720"/>
      <w:outlineLvl w:val="3"/>
    </w:pPr>
    <w:rPr>
      <w:rFonts w:eastAsia="Calibri Light"/>
      <w:b/>
      <w:color w:val="C45911"/>
      <w:sz w:val="22"/>
      <w:szCs w:val="22"/>
      <w:lang w:val="en-I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qFormat/>
    <w:pPr>
      <w:ind w:left="720" w:hanging="720"/>
    </w:pPr>
  </w:style>
  <w:style w:type="paragraph" w:customStyle="1" w:styleId="NumPar1">
    <w:name w:val="NumPar 1"/>
    <w:basedOn w:val="Normal"/>
    <w:next w:val="Normal"/>
    <w:qFormat/>
    <w:pPr>
      <w:numPr>
        <w:numId w:val="1"/>
      </w:numPr>
      <w:spacing w:after="120"/>
      <w:ind w:left="3338" w:hanging="360"/>
    </w:pPr>
    <w:rPr>
      <w:szCs w:val="20"/>
    </w:rPr>
  </w:style>
  <w:style w:type="paragraph" w:customStyle="1" w:styleId="AnnexHeading">
    <w:name w:val="Annex Heading"/>
    <w:basedOn w:val="Normal"/>
    <w:qFormat/>
    <w:pPr>
      <w:pageBreakBefore/>
      <w:tabs>
        <w:tab w:val="left" w:pos="8748"/>
      </w:tabs>
      <w:spacing w:before="0" w:after="240"/>
      <w:jc w:val="center"/>
      <w:outlineLvl w:val="8"/>
    </w:pPr>
    <w:rPr>
      <w:b/>
    </w:rPr>
  </w:style>
  <w:style w:type="paragraph" w:styleId="Header">
    <w:name w:val="header"/>
    <w:basedOn w:val="Normal"/>
    <w:qFormat/>
    <w:pPr>
      <w:tabs>
        <w:tab w:val="center" w:pos="4536"/>
        <w:tab w:val="right" w:pos="9072"/>
      </w:tabs>
      <w:spacing w:before="0"/>
    </w:pPr>
  </w:style>
  <w:style w:type="paragraph" w:styleId="Footer">
    <w:name w:val="footer"/>
    <w:basedOn w:val="Normal"/>
    <w:qFormat/>
    <w:pPr>
      <w:tabs>
        <w:tab w:val="center" w:pos="4536"/>
        <w:tab w:val="right" w:pos="9072"/>
      </w:tabs>
      <w:spacing w:before="0"/>
    </w:pPr>
  </w:style>
  <w:style w:type="paragraph" w:styleId="BalloonText">
    <w:name w:val="Balloon Text"/>
    <w:basedOn w:val="Normal"/>
    <w:qFormat/>
    <w:pPr>
      <w:spacing w:before="0"/>
    </w:pPr>
    <w:rPr>
      <w:rFonts w:ascii="Tahoma" w:hAnsi="Tahoma" w:cs="Tahoma"/>
      <w:sz w:val="16"/>
      <w:szCs w:val="16"/>
    </w:rPr>
  </w:style>
  <w:style w:type="paragraph" w:customStyle="1" w:styleId="Revision1">
    <w:name w:val="Revision1"/>
    <w:qFormat/>
    <w:pPr>
      <w:spacing w:before="0"/>
      <w:jc w:val="left"/>
    </w:pPr>
    <w:rPr>
      <w:sz w:val="24"/>
    </w:rPr>
  </w:style>
  <w:style w:type="paragraph" w:customStyle="1" w:styleId="CommentText1">
    <w:name w:val="Comment Text1"/>
    <w:basedOn w:val="Normal"/>
    <w:qFormat/>
    <w:pPr>
      <w:spacing w:after="120"/>
    </w:pPr>
  </w:style>
  <w:style w:type="paragraph" w:customStyle="1" w:styleId="BVIfnrCarCarCarCarCharCharCharChar">
    <w:name w:val="BVI fnr Car Car Car Car Char Char Char Char"/>
    <w:basedOn w:val="Normal"/>
    <w:qFormat/>
    <w:pPr>
      <w:spacing w:before="0" w:after="160" w:line="240" w:lineRule="exact"/>
      <w:jc w:val="left"/>
    </w:pPr>
    <w:rPr>
      <w:rFonts w:ascii="Calibri" w:eastAsia="Calibri" w:hAnsi="Calibri"/>
      <w:sz w:val="22"/>
      <w:szCs w:val="22"/>
      <w:vertAlign w:val="superscript"/>
    </w:rPr>
  </w:style>
  <w:style w:type="paragraph" w:customStyle="1" w:styleId="Text3">
    <w:name w:val="Text 3"/>
    <w:basedOn w:val="Normal"/>
    <w:qFormat/>
    <w:pPr>
      <w:spacing w:after="120"/>
      <w:ind w:left="850"/>
    </w:pPr>
  </w:style>
  <w:style w:type="paragraph" w:styleId="ListParagraph">
    <w:name w:val="List Paragraph"/>
    <w:basedOn w:val="Normal"/>
    <w:qFormat/>
    <w:pPr>
      <w:ind w:left="720"/>
      <w:contextualSpacing/>
    </w:pPr>
  </w:style>
  <w:style w:type="paragraph" w:customStyle="1" w:styleId="CommentSubject1">
    <w:name w:val="Comment Subject1"/>
    <w:basedOn w:val="CommentText1"/>
    <w:next w:val="CommentText1"/>
    <w:qFormat/>
    <w:pPr>
      <w:spacing w:after="0"/>
    </w:pPr>
    <w:rPr>
      <w:b/>
      <w:bCs/>
      <w:szCs w:val="20"/>
    </w:rPr>
  </w:style>
  <w:style w:type="paragraph" w:customStyle="1" w:styleId="ListDash3">
    <w:name w:val="List Dash 3"/>
    <w:basedOn w:val="Normal"/>
    <w:qFormat/>
    <w:pPr>
      <w:numPr>
        <w:numId w:val="7"/>
      </w:numPr>
      <w:spacing w:before="0" w:after="240"/>
      <w:ind w:left="2199" w:hanging="283"/>
    </w:pPr>
    <w:rPr>
      <w:szCs w:val="20"/>
    </w:rPr>
  </w:style>
  <w:style w:type="paragraph" w:customStyle="1" w:styleId="Revision2">
    <w:name w:val="Revision2"/>
    <w:qFormat/>
    <w:pPr>
      <w:spacing w:before="0"/>
      <w:jc w:val="left"/>
    </w:pPr>
    <w:rPr>
      <w:sz w:val="24"/>
    </w:rPr>
  </w:style>
  <w:style w:type="paragraph" w:customStyle="1" w:styleId="CommentText2">
    <w:name w:val="Comment Text2"/>
    <w:basedOn w:val="Normal"/>
    <w:qFormat/>
    <w:rPr>
      <w:szCs w:val="20"/>
    </w:rPr>
  </w:style>
  <w:style w:type="paragraph" w:customStyle="1" w:styleId="CommentSubject2">
    <w:name w:val="Comment Subject2"/>
    <w:basedOn w:val="CommentText2"/>
    <w:next w:val="CommentText2"/>
    <w:qFormat/>
    <w:rPr>
      <w:b/>
      <w:bCs/>
    </w:rPr>
  </w:style>
  <w:style w:type="paragraph" w:customStyle="1" w:styleId="CommentText3">
    <w:name w:val="Comment Text3"/>
    <w:basedOn w:val="Normal"/>
    <w:qFormat/>
    <w:rPr>
      <w:szCs w:val="20"/>
    </w:rPr>
  </w:style>
  <w:style w:type="paragraph" w:customStyle="1" w:styleId="CommentSubject3">
    <w:name w:val="Comment Subject3"/>
    <w:basedOn w:val="CommentText3"/>
    <w:next w:val="CommentText3"/>
    <w:qFormat/>
    <w:rPr>
      <w:b/>
      <w:bCs/>
    </w:rPr>
  </w:style>
  <w:style w:type="paragraph" w:customStyle="1" w:styleId="CommentText4">
    <w:name w:val="Comment Text4"/>
    <w:basedOn w:val="Normal"/>
    <w:qFormat/>
    <w:pPr>
      <w:spacing w:before="0"/>
    </w:pPr>
    <w:rPr>
      <w:szCs w:val="20"/>
    </w:rPr>
  </w:style>
  <w:style w:type="paragraph" w:customStyle="1" w:styleId="CommentSubject4">
    <w:name w:val="Comment Subject4"/>
    <w:basedOn w:val="CommentText4"/>
    <w:next w:val="CommentText4"/>
    <w:qFormat/>
    <w:rPr>
      <w:b/>
      <w:bCs/>
    </w:rPr>
  </w:style>
  <w:style w:type="paragraph" w:customStyle="1" w:styleId="CommentText5">
    <w:name w:val="Comment Text5"/>
    <w:basedOn w:val="Normal"/>
    <w:qFormat/>
    <w:pPr>
      <w:spacing w:before="0"/>
    </w:pPr>
    <w:rPr>
      <w:szCs w:val="20"/>
    </w:rPr>
  </w:style>
  <w:style w:type="paragraph" w:customStyle="1" w:styleId="CommentSubject5">
    <w:name w:val="Comment Subject5"/>
    <w:basedOn w:val="CommentText5"/>
    <w:next w:val="CommentText5"/>
    <w:qFormat/>
    <w:rPr>
      <w:b/>
      <w:bCs/>
    </w:rPr>
  </w:style>
  <w:style w:type="character" w:customStyle="1" w:styleId="FootnoteTextChar">
    <w:name w:val="Footnote Text Char"/>
    <w:basedOn w:val="DefaultParagraphFont"/>
    <w:rPr>
      <w:rFonts w:ascii="Times New Roman" w:eastAsia="Times New Roman" w:hAnsi="Times New Roman" w:cs="Times New Roman"/>
      <w:sz w:val="20"/>
      <w:szCs w:val="24"/>
    </w:rPr>
  </w:style>
  <w:style w:type="character" w:customStyle="1" w:styleId="HeaderChar">
    <w:name w:val="Header Char"/>
    <w:basedOn w:val="DefaultParagraphFont"/>
    <w:rPr>
      <w:rFonts w:ascii="Times New Roman" w:eastAsia="Times New Roman" w:hAnsi="Times New Roman" w:cs="Times New Roman"/>
      <w:sz w:val="24"/>
      <w:szCs w:val="24"/>
    </w:r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styleId="FootnoteReference">
    <w:name w:val="footnote reference"/>
    <w:basedOn w:val="DefaultParagraphFont"/>
    <w:rPr>
      <w:vertAlign w:val="superscript"/>
    </w:rPr>
  </w:style>
  <w:style w:type="character" w:customStyle="1" w:styleId="CommentReference1">
    <w:name w:val="Comment Reference1"/>
    <w:basedOn w:val="DefaultParagraphFont"/>
    <w:rPr>
      <w:rFonts w:cs="Times New Roman"/>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4"/>
    </w:rPr>
  </w:style>
  <w:style w:type="character" w:customStyle="1" w:styleId="Heading2Char">
    <w:name w:val="Heading 2 Char"/>
    <w:basedOn w:val="DefaultParagraphFont"/>
    <w:rPr>
      <w:rFonts w:ascii="Times New Roman" w:eastAsia="Times New Roman" w:hAnsi="Times New Roman" w:cs="Times New Roman"/>
      <w:b/>
      <w:sz w:val="24"/>
      <w:szCs w:val="24"/>
    </w:rPr>
  </w:style>
  <w:style w:type="character" w:styleId="Hyperlink">
    <w:name w:val="Hyperlink"/>
    <w:basedOn w:val="DefaultParagraphFont"/>
    <w:rPr>
      <w:rFonts w:cs="Times New Roman"/>
      <w:color w:val="0000FF"/>
      <w:u w:val="single"/>
    </w:rPr>
  </w:style>
  <w:style w:type="character" w:customStyle="1" w:styleId="CommentSubjectChar">
    <w:name w:val="Comment Subject Char"/>
    <w:basedOn w:val="CommentTextChar"/>
    <w:rPr>
      <w:rFonts w:ascii="Times New Roman" w:eastAsia="Times New Roman" w:hAnsi="Times New Roman" w:cs="Times New Roman"/>
      <w:b/>
      <w:bCs w:val="0"/>
      <w:sz w:val="20"/>
      <w:szCs w:val="20"/>
    </w:rPr>
  </w:style>
  <w:style w:type="character" w:customStyle="1" w:styleId="CommentReference2">
    <w:name w:val="Comment Reference2"/>
    <w:basedOn w:val="DefaultParagraphFont"/>
    <w:rPr>
      <w:sz w:val="16"/>
      <w:szCs w:val="16"/>
    </w:rPr>
  </w:style>
  <w:style w:type="character" w:customStyle="1" w:styleId="CommentTextChar1">
    <w:name w:val="Comment Text Char1"/>
    <w:basedOn w:val="DefaultParagraphFont"/>
    <w:rPr>
      <w:sz w:val="20"/>
      <w:szCs w:val="20"/>
    </w:rPr>
  </w:style>
  <w:style w:type="character" w:customStyle="1" w:styleId="CommentSubjectChar1">
    <w:name w:val="Comment Subject Char1"/>
    <w:basedOn w:val="CommentTextChar1"/>
    <w:rPr>
      <w:b/>
      <w:bCs w:val="0"/>
      <w:sz w:val="20"/>
      <w:szCs w:val="20"/>
    </w:rPr>
  </w:style>
  <w:style w:type="character" w:customStyle="1" w:styleId="ListParagraphChar">
    <w:name w:val="List Paragraph Char"/>
    <w:basedOn w:val="DefaultParagraphFont"/>
  </w:style>
  <w:style w:type="character" w:customStyle="1" w:styleId="CommentReference3">
    <w:name w:val="Comment Reference3"/>
    <w:basedOn w:val="DefaultParagraphFont"/>
    <w:rPr>
      <w:sz w:val="16"/>
      <w:szCs w:val="16"/>
    </w:rPr>
  </w:style>
  <w:style w:type="character" w:customStyle="1" w:styleId="CommentTextChar2">
    <w:name w:val="Comment Text Char2"/>
    <w:basedOn w:val="DefaultParagraphFont"/>
    <w:rPr>
      <w:szCs w:val="20"/>
    </w:rPr>
  </w:style>
  <w:style w:type="character" w:customStyle="1" w:styleId="CommentSubjectChar2">
    <w:name w:val="Comment Subject Char2"/>
    <w:basedOn w:val="CommentTextChar2"/>
    <w:rPr>
      <w:b/>
      <w:bCs w:val="0"/>
      <w:szCs w:val="20"/>
    </w:rPr>
  </w:style>
  <w:style w:type="character" w:customStyle="1" w:styleId="CommentReference4">
    <w:name w:val="Comment Reference4"/>
    <w:basedOn w:val="DefaultParagraphFont"/>
    <w:rPr>
      <w:sz w:val="16"/>
      <w:szCs w:val="16"/>
    </w:rPr>
  </w:style>
  <w:style w:type="character" w:customStyle="1" w:styleId="CommentReference5">
    <w:name w:val="Comment Reference5"/>
    <w:basedOn w:val="DefaultParagraphFont"/>
    <w:rPr>
      <w:sz w:val="16"/>
      <w:szCs w:val="16"/>
    </w:rPr>
  </w:style>
  <w:style w:type="table" w:styleId="TableGrid">
    <w:name w:val="Table Grid"/>
    <w:basedOn w:val="TableNormal"/>
    <w:uiPriority w:val="59"/>
    <w:rsid w:val="006028A3"/>
    <w:pPr>
      <w:spacing w:befor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510B"/>
    <w:rPr>
      <w:sz w:val="16"/>
      <w:szCs w:val="16"/>
    </w:rPr>
  </w:style>
  <w:style w:type="paragraph" w:styleId="CommentText">
    <w:name w:val="annotation text"/>
    <w:basedOn w:val="Normal"/>
    <w:link w:val="CommentTextChar3"/>
    <w:uiPriority w:val="99"/>
    <w:semiHidden/>
    <w:unhideWhenUsed/>
    <w:rsid w:val="006A510B"/>
    <w:rPr>
      <w:szCs w:val="20"/>
    </w:rPr>
  </w:style>
  <w:style w:type="character" w:customStyle="1" w:styleId="CommentTextChar3">
    <w:name w:val="Comment Text Char3"/>
    <w:basedOn w:val="DefaultParagraphFont"/>
    <w:link w:val="CommentText"/>
    <w:uiPriority w:val="99"/>
    <w:semiHidden/>
    <w:rsid w:val="006A510B"/>
    <w:rPr>
      <w:szCs w:val="20"/>
    </w:rPr>
  </w:style>
  <w:style w:type="paragraph" w:styleId="CommentSubject">
    <w:name w:val="annotation subject"/>
    <w:basedOn w:val="CommentText"/>
    <w:next w:val="CommentText"/>
    <w:link w:val="CommentSubjectChar3"/>
    <w:uiPriority w:val="99"/>
    <w:semiHidden/>
    <w:unhideWhenUsed/>
    <w:rsid w:val="006A510B"/>
    <w:rPr>
      <w:b/>
      <w:bCs/>
    </w:rPr>
  </w:style>
  <w:style w:type="character" w:customStyle="1" w:styleId="CommentSubjectChar3">
    <w:name w:val="Comment Subject Char3"/>
    <w:basedOn w:val="CommentTextChar3"/>
    <w:link w:val="CommentSubject"/>
    <w:uiPriority w:val="99"/>
    <w:semiHidden/>
    <w:rsid w:val="006A510B"/>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eighbourhood-enlargement.ec.europa.eu/system/files/2022-12/SWD_2022_445_1_EN_document_travail_service_part1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02C4-95B9-43A2-A262-3A8DF7FC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BLAZKIEWICZ Bernard (ELARG)</dc:creator>
  <cp:keywords/>
  <dc:description/>
  <cp:lastModifiedBy>Evgenija Kirkovski</cp:lastModifiedBy>
  <cp:revision>3</cp:revision>
  <dcterms:created xsi:type="dcterms:W3CDTF">2023-11-16T10:35:00Z</dcterms:created>
  <dcterms:modified xsi:type="dcterms:W3CDTF">2023-11-16T10:42:00Z</dcterms:modified>
</cp:coreProperties>
</file>