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7E34C" w14:textId="77777777" w:rsidR="00D92F6C" w:rsidRPr="00EF6C09" w:rsidRDefault="00B10991" w:rsidP="00D92F6C">
      <w:pPr>
        <w:pStyle w:val="Heading2"/>
        <w:rPr>
          <w:rFonts w:ascii="Times New Roman" w:hAnsi="Times New Roman"/>
          <w:b w:val="0"/>
          <w:bCs w:val="0"/>
          <w:smallCaps/>
          <w:sz w:val="22"/>
          <w:szCs w:val="22"/>
          <w:lang w:val="it-IT"/>
        </w:rPr>
      </w:pPr>
      <w:bookmarkStart w:id="0" w:name="_Toc33714665"/>
      <w:r w:rsidRPr="00EF6C09">
        <w:rPr>
          <w:rFonts w:ascii="Times New Roman" w:hAnsi="Times New Roman"/>
          <w:smallCaps/>
          <w:color w:val="auto"/>
          <w:sz w:val="22"/>
          <w:szCs w:val="22"/>
          <w:lang w:val="it-IT"/>
        </w:rPr>
        <w:t xml:space="preserve">ANNEX I –IPA III </w:t>
      </w:r>
      <w:r w:rsidR="00D92F6C" w:rsidRPr="00EF6C09">
        <w:rPr>
          <w:rFonts w:ascii="Times New Roman" w:hAnsi="Times New Roman"/>
          <w:smallCaps/>
          <w:color w:val="auto"/>
          <w:sz w:val="22"/>
          <w:szCs w:val="22"/>
          <w:lang w:val="it-IT"/>
        </w:rPr>
        <w:t>A</w:t>
      </w:r>
      <w:r w:rsidRPr="00EF6C09">
        <w:rPr>
          <w:rFonts w:ascii="Times New Roman" w:hAnsi="Times New Roman"/>
          <w:smallCaps/>
          <w:color w:val="auto"/>
          <w:sz w:val="22"/>
          <w:szCs w:val="22"/>
          <w:lang w:val="it-IT"/>
        </w:rPr>
        <w:t xml:space="preserve">ction Fiche </w:t>
      </w:r>
      <w:bookmarkEnd w:id="0"/>
    </w:p>
    <w:p w14:paraId="72D7C89A" w14:textId="77777777" w:rsidR="00D92F6C" w:rsidRPr="00EF6C09" w:rsidRDefault="00D92F6C" w:rsidP="00D92F6C">
      <w:pPr>
        <w:keepNext/>
        <w:keepLines/>
        <w:spacing w:before="200" w:after="0"/>
        <w:outlineLvl w:val="1"/>
        <w:rPr>
          <w:rFonts w:ascii="Times New Roman" w:hAnsi="Times New Roman"/>
          <w:b/>
          <w:bCs/>
          <w:smallCaps/>
          <w:lang w:val="it-IT"/>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7116"/>
      </w:tblGrid>
      <w:tr w:rsidR="00D92F6C" w:rsidRPr="00EF6C09" w14:paraId="077D2C83" w14:textId="77777777" w:rsidTr="00AB638C">
        <w:trPr>
          <w:jc w:val="center"/>
        </w:trPr>
        <w:tc>
          <w:tcPr>
            <w:tcW w:w="534" w:type="dxa"/>
            <w:tcBorders>
              <w:top w:val="single" w:sz="4" w:space="0" w:color="auto"/>
              <w:left w:val="single" w:sz="4" w:space="0" w:color="auto"/>
              <w:bottom w:val="single" w:sz="4" w:space="0" w:color="auto"/>
              <w:right w:val="single" w:sz="4" w:space="0" w:color="auto"/>
            </w:tcBorders>
          </w:tcPr>
          <w:p w14:paraId="5B37AEA9" w14:textId="77777777" w:rsidR="00D92F6C" w:rsidRPr="00EF6C09" w:rsidRDefault="00D92F6C" w:rsidP="00392B54">
            <w:pPr>
              <w:spacing w:after="0" w:line="240" w:lineRule="auto"/>
              <w:rPr>
                <w:rFonts w:ascii="Times New Roman" w:hAnsi="Times New Roman"/>
                <w:b/>
                <w:lang w:val="it-IT"/>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23466D6" w14:textId="77777777" w:rsidR="00D92F6C" w:rsidRPr="00EF6C09" w:rsidRDefault="00D92F6C" w:rsidP="00392B54">
            <w:pPr>
              <w:spacing w:after="0" w:line="240" w:lineRule="auto"/>
              <w:rPr>
                <w:rFonts w:ascii="Times New Roman" w:hAnsi="Times New Roman"/>
              </w:rPr>
            </w:pPr>
            <w:r w:rsidRPr="00EF6C09">
              <w:rPr>
                <w:rFonts w:ascii="Times New Roman" w:hAnsi="Times New Roman"/>
              </w:rPr>
              <w:t>Indicative title of the Action</w:t>
            </w:r>
          </w:p>
          <w:p w14:paraId="2F59C043" w14:textId="77777777" w:rsidR="00D92F6C" w:rsidRPr="00EF6C09" w:rsidRDefault="00D92F6C" w:rsidP="00392B54">
            <w:pPr>
              <w:spacing w:after="0" w:line="240" w:lineRule="auto"/>
              <w:rPr>
                <w:rFonts w:ascii="Times New Roman" w:hAnsi="Times New Roman"/>
              </w:rPr>
            </w:pPr>
          </w:p>
        </w:tc>
        <w:tc>
          <w:tcPr>
            <w:tcW w:w="7116" w:type="dxa"/>
            <w:tcBorders>
              <w:top w:val="single" w:sz="4" w:space="0" w:color="auto"/>
              <w:left w:val="single" w:sz="4" w:space="0" w:color="auto"/>
              <w:bottom w:val="single" w:sz="4" w:space="0" w:color="auto"/>
              <w:right w:val="single" w:sz="4" w:space="0" w:color="auto"/>
            </w:tcBorders>
            <w:shd w:val="clear" w:color="auto" w:fill="auto"/>
            <w:vAlign w:val="center"/>
          </w:tcPr>
          <w:p w14:paraId="21319DBD" w14:textId="6E026566" w:rsidR="00D92F6C" w:rsidRPr="00EF6C09" w:rsidRDefault="00612926" w:rsidP="00EB2257">
            <w:pPr>
              <w:spacing w:after="0" w:line="240" w:lineRule="auto"/>
              <w:rPr>
                <w:rFonts w:ascii="Times New Roman" w:hAnsi="Times New Roman"/>
                <w:b/>
                <w:bCs/>
              </w:rPr>
            </w:pPr>
            <w:r w:rsidRPr="00EF6C09">
              <w:rPr>
                <w:rFonts w:ascii="Times New Roman" w:hAnsi="Times New Roman"/>
                <w:b/>
                <w:bCs/>
              </w:rPr>
              <w:t xml:space="preserve">EU </w:t>
            </w:r>
            <w:r w:rsidR="00B262B0" w:rsidRPr="00EF6C09">
              <w:rPr>
                <w:rFonts w:ascii="Times New Roman" w:hAnsi="Times New Roman"/>
                <w:b/>
                <w:bCs/>
              </w:rPr>
              <w:t>for</w:t>
            </w:r>
            <w:r w:rsidR="00AB638C" w:rsidRPr="00EF6C09">
              <w:rPr>
                <w:rFonts w:ascii="Times New Roman" w:hAnsi="Times New Roman"/>
                <w:b/>
                <w:bCs/>
              </w:rPr>
              <w:t xml:space="preserve"> </w:t>
            </w:r>
            <w:r w:rsidR="00DB7C29" w:rsidRPr="00EF6C09">
              <w:rPr>
                <w:rFonts w:ascii="Times New Roman" w:hAnsi="Times New Roman"/>
                <w:b/>
                <w:bCs/>
              </w:rPr>
              <w:t xml:space="preserve">a </w:t>
            </w:r>
            <w:r w:rsidR="00EB2257" w:rsidRPr="00EF6C09">
              <w:rPr>
                <w:rFonts w:ascii="Times New Roman" w:hAnsi="Times New Roman"/>
                <w:b/>
                <w:bCs/>
              </w:rPr>
              <w:t>Modern Administration</w:t>
            </w:r>
          </w:p>
        </w:tc>
      </w:tr>
      <w:tr w:rsidR="00D92F6C" w:rsidRPr="00EF6C09" w14:paraId="3C4B2F5C" w14:textId="77777777" w:rsidTr="0090686E">
        <w:trPr>
          <w:jc w:val="center"/>
        </w:trPr>
        <w:tc>
          <w:tcPr>
            <w:tcW w:w="534" w:type="dxa"/>
            <w:vMerge w:val="restart"/>
            <w:tcBorders>
              <w:top w:val="single" w:sz="4" w:space="0" w:color="auto"/>
              <w:left w:val="single" w:sz="4" w:space="0" w:color="auto"/>
              <w:right w:val="single" w:sz="4" w:space="0" w:color="auto"/>
            </w:tcBorders>
            <w:textDirection w:val="btLr"/>
          </w:tcPr>
          <w:p w14:paraId="682150B0" w14:textId="691DB518" w:rsidR="00D92F6C" w:rsidRPr="00EF6C09" w:rsidRDefault="007324D9" w:rsidP="00392B54">
            <w:pPr>
              <w:spacing w:after="0" w:line="240" w:lineRule="auto"/>
              <w:ind w:left="113" w:right="113"/>
              <w:rPr>
                <w:rFonts w:ascii="Times New Roman" w:hAnsi="Times New Roman"/>
              </w:rPr>
            </w:pPr>
            <w:r w:rsidRPr="00EF6C09">
              <w:rPr>
                <w:rFonts w:ascii="Times New Roman" w:hAnsi="Times New Roman"/>
                <w:b/>
              </w:rPr>
              <w:t xml:space="preserve"> </w:t>
            </w:r>
            <w:r w:rsidR="00D92F6C" w:rsidRPr="00EF6C09">
              <w:rPr>
                <w:rFonts w:ascii="Times New Roman" w:hAnsi="Times New Roman"/>
                <w:b/>
              </w:rPr>
              <w:t>CRITERIA FOR RELEVANCE ASSESSMENT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1216B7E" w14:textId="77777777" w:rsidR="00D92F6C" w:rsidRPr="00EF6C09" w:rsidRDefault="00D92F6C" w:rsidP="00392B54">
            <w:pPr>
              <w:spacing w:after="0" w:line="240" w:lineRule="auto"/>
              <w:rPr>
                <w:rFonts w:ascii="Times New Roman" w:hAnsi="Times New Roman"/>
              </w:rPr>
            </w:pPr>
            <w:r w:rsidRPr="00EF6C09">
              <w:rPr>
                <w:rFonts w:ascii="Times New Roman" w:hAnsi="Times New Roman"/>
              </w:rPr>
              <w:t>Key thematic priority</w:t>
            </w:r>
          </w:p>
          <w:p w14:paraId="5A25AEC4" w14:textId="77777777" w:rsidR="00D92F6C" w:rsidRPr="00EF6C09" w:rsidRDefault="00D92F6C" w:rsidP="00392B54">
            <w:pPr>
              <w:spacing w:after="0" w:line="240" w:lineRule="auto"/>
              <w:rPr>
                <w:rFonts w:ascii="Times New Roman" w:hAnsi="Times New Roman"/>
                <w:i/>
              </w:rPr>
            </w:pPr>
          </w:p>
        </w:tc>
        <w:tc>
          <w:tcPr>
            <w:tcW w:w="7116" w:type="dxa"/>
            <w:tcBorders>
              <w:top w:val="single" w:sz="4" w:space="0" w:color="auto"/>
              <w:left w:val="single" w:sz="4" w:space="0" w:color="auto"/>
              <w:bottom w:val="single" w:sz="4" w:space="0" w:color="auto"/>
              <w:right w:val="single" w:sz="4" w:space="0" w:color="auto"/>
            </w:tcBorders>
            <w:shd w:val="clear" w:color="auto" w:fill="auto"/>
          </w:tcPr>
          <w:p w14:paraId="72AE87EA" w14:textId="77777777" w:rsidR="00693DAD" w:rsidRPr="00EF6C09" w:rsidRDefault="00693DAD" w:rsidP="00B262B0">
            <w:pPr>
              <w:spacing w:after="120"/>
              <w:rPr>
                <w:rFonts w:ascii="Times New Roman" w:hAnsi="Times New Roman"/>
                <w:b/>
                <w:bCs/>
              </w:rPr>
            </w:pPr>
            <w:r w:rsidRPr="00EF6C09">
              <w:rPr>
                <w:rFonts w:ascii="Times New Roman" w:hAnsi="Times New Roman"/>
                <w:b/>
                <w:bCs/>
              </w:rPr>
              <w:t>WINDOW 2 - GOOD GOVERNANCE, ACQUIS ALIGNMENT, GOOD NEIGHBOURLY RELATIONS AND STRATEGIC COMMUNICATION</w:t>
            </w:r>
          </w:p>
          <w:p w14:paraId="2CA11FBC" w14:textId="77777777" w:rsidR="0039147D" w:rsidRPr="00EF6C09" w:rsidRDefault="00693DAD" w:rsidP="00B262B0">
            <w:pPr>
              <w:spacing w:after="0" w:line="240" w:lineRule="auto"/>
              <w:rPr>
                <w:rFonts w:ascii="Times New Roman" w:hAnsi="Times New Roman"/>
                <w:b/>
                <w:bCs/>
              </w:rPr>
            </w:pPr>
            <w:r w:rsidRPr="00EF6C09">
              <w:rPr>
                <w:rFonts w:ascii="Times New Roman" w:hAnsi="Times New Roman"/>
                <w:b/>
                <w:bCs/>
              </w:rPr>
              <w:t>Thematic Priority 1: Good Governance</w:t>
            </w:r>
          </w:p>
        </w:tc>
      </w:tr>
      <w:tr w:rsidR="00D92F6C" w:rsidRPr="00EF6C09" w14:paraId="4C1776D9" w14:textId="77777777" w:rsidTr="0090686E">
        <w:trPr>
          <w:jc w:val="center"/>
        </w:trPr>
        <w:tc>
          <w:tcPr>
            <w:tcW w:w="534" w:type="dxa"/>
            <w:vMerge/>
            <w:tcBorders>
              <w:left w:val="single" w:sz="4" w:space="0" w:color="auto"/>
              <w:right w:val="single" w:sz="4" w:space="0" w:color="auto"/>
            </w:tcBorders>
          </w:tcPr>
          <w:p w14:paraId="2B64C1E0" w14:textId="77777777" w:rsidR="00D92F6C" w:rsidRPr="00EF6C09" w:rsidRDefault="00D92F6C" w:rsidP="00392B54">
            <w:pPr>
              <w:spacing w:after="0"/>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36E85F7" w14:textId="77777777" w:rsidR="00D92F6C" w:rsidRPr="00EF6C09" w:rsidRDefault="00D92F6C" w:rsidP="00392B54">
            <w:pPr>
              <w:spacing w:after="0"/>
              <w:rPr>
                <w:rFonts w:ascii="Times New Roman" w:hAnsi="Times New Roman"/>
              </w:rPr>
            </w:pPr>
            <w:r w:rsidRPr="00EF6C09">
              <w:rPr>
                <w:rFonts w:ascii="Times New Roman" w:hAnsi="Times New Roman"/>
              </w:rPr>
              <w:t>Links with specific policy instruments of the enlargement process</w:t>
            </w:r>
          </w:p>
        </w:tc>
        <w:tc>
          <w:tcPr>
            <w:tcW w:w="7116" w:type="dxa"/>
            <w:tcBorders>
              <w:top w:val="single" w:sz="4" w:space="0" w:color="auto"/>
              <w:left w:val="single" w:sz="4" w:space="0" w:color="auto"/>
              <w:bottom w:val="single" w:sz="4" w:space="0" w:color="auto"/>
              <w:right w:val="single" w:sz="4" w:space="0" w:color="auto"/>
            </w:tcBorders>
            <w:shd w:val="clear" w:color="auto" w:fill="auto"/>
          </w:tcPr>
          <w:p w14:paraId="0A280752" w14:textId="40A1BC4A" w:rsidR="00E01B75" w:rsidRPr="00EF6C09" w:rsidRDefault="003568FF" w:rsidP="00E01B75">
            <w:pPr>
              <w:spacing w:after="0" w:line="240" w:lineRule="auto"/>
              <w:jc w:val="both"/>
              <w:rPr>
                <w:rFonts w:ascii="Times New Roman" w:hAnsi="Times New Roman"/>
                <w:lang w:val="en-US"/>
              </w:rPr>
            </w:pPr>
            <w:r w:rsidRPr="00EF6C09">
              <w:rPr>
                <w:rFonts w:ascii="Times New Roman" w:hAnsi="Times New Roman"/>
              </w:rPr>
              <w:t xml:space="preserve">The Action will </w:t>
            </w:r>
            <w:r w:rsidRPr="00EF6C09">
              <w:rPr>
                <w:rFonts w:ascii="Times New Roman" w:hAnsi="Times New Roman"/>
                <w:b/>
                <w:bCs/>
              </w:rPr>
              <w:t>support the implementation of the Public Administration Reform</w:t>
            </w:r>
            <w:r w:rsidR="00E01B75" w:rsidRPr="00EF6C09">
              <w:rPr>
                <w:rFonts w:ascii="Times New Roman" w:hAnsi="Times New Roman"/>
                <w:b/>
                <w:bCs/>
              </w:rPr>
              <w:t xml:space="preserve"> and state </w:t>
            </w:r>
            <w:r w:rsidR="00D92369" w:rsidRPr="00EF6C09">
              <w:rPr>
                <w:rFonts w:ascii="Times New Roman" w:hAnsi="Times New Roman"/>
                <w:b/>
                <w:bCs/>
              </w:rPr>
              <w:t>reorganisation</w:t>
            </w:r>
            <w:r w:rsidRPr="00EF6C09">
              <w:rPr>
                <w:rFonts w:ascii="Times New Roman" w:hAnsi="Times New Roman"/>
                <w:bCs/>
                <w:lang w:val="en-US"/>
              </w:rPr>
              <w:t>,</w:t>
            </w:r>
            <w:r w:rsidRPr="00EF6C09">
              <w:rPr>
                <w:rFonts w:ascii="Times New Roman" w:hAnsi="Times New Roman"/>
                <w:b/>
                <w:bCs/>
              </w:rPr>
              <w:t xml:space="preserve"> </w:t>
            </w:r>
            <w:r w:rsidRPr="00EF6C09">
              <w:rPr>
                <w:rFonts w:ascii="Times New Roman" w:hAnsi="Times New Roman"/>
              </w:rPr>
              <w:t xml:space="preserve">through </w:t>
            </w:r>
            <w:r w:rsidRPr="00EF6C09">
              <w:rPr>
                <w:rFonts w:ascii="Times New Roman" w:hAnsi="Times New Roman"/>
                <w:lang w:val="en-US"/>
              </w:rPr>
              <w:t>strengthening the human resource capacities in the central level institutions. More specifically, it will</w:t>
            </w:r>
            <w:r w:rsidR="00E01B75" w:rsidRPr="00EF6C09">
              <w:rPr>
                <w:rFonts w:ascii="Times New Roman" w:hAnsi="Times New Roman"/>
                <w:lang w:val="en-US"/>
              </w:rPr>
              <w:t xml:space="preserve"> support:</w:t>
            </w:r>
          </w:p>
          <w:p w14:paraId="5591F856" w14:textId="6E5BEF4A" w:rsidR="00E01B75" w:rsidRPr="00EF6C09" w:rsidRDefault="00E01B75" w:rsidP="00E01B75">
            <w:pPr>
              <w:pStyle w:val="ListParagraph"/>
              <w:numPr>
                <w:ilvl w:val="0"/>
                <w:numId w:val="26"/>
              </w:numPr>
              <w:spacing w:after="0" w:line="240" w:lineRule="auto"/>
              <w:jc w:val="both"/>
              <w:rPr>
                <w:rFonts w:ascii="Times New Roman" w:hAnsi="Times New Roman"/>
                <w:lang w:val="en-US"/>
              </w:rPr>
            </w:pPr>
            <w:r w:rsidRPr="00EF6C09">
              <w:rPr>
                <w:rFonts w:ascii="Times New Roman" w:hAnsi="Times New Roman"/>
                <w:lang w:val="en-US"/>
              </w:rPr>
              <w:t xml:space="preserve">the </w:t>
            </w:r>
            <w:r w:rsidR="003568FF" w:rsidRPr="00EF6C09">
              <w:rPr>
                <w:rFonts w:ascii="Times New Roman" w:hAnsi="Times New Roman"/>
                <w:lang w:val="en-US"/>
              </w:rPr>
              <w:t xml:space="preserve">intake </w:t>
            </w:r>
            <w:r w:rsidR="00746BD5" w:rsidRPr="00EF6C09">
              <w:rPr>
                <w:rFonts w:ascii="Times New Roman" w:hAnsi="Times New Roman"/>
                <w:lang w:val="en-US"/>
              </w:rPr>
              <w:t xml:space="preserve">and career path </w:t>
            </w:r>
            <w:r w:rsidR="003568FF" w:rsidRPr="00EF6C09">
              <w:rPr>
                <w:rFonts w:ascii="Times New Roman" w:hAnsi="Times New Roman"/>
                <w:lang w:val="en-US"/>
              </w:rPr>
              <w:t xml:space="preserve">of new, qualified and </w:t>
            </w:r>
            <w:r w:rsidRPr="00EF6C09">
              <w:rPr>
                <w:rFonts w:ascii="Times New Roman" w:hAnsi="Times New Roman"/>
                <w:lang w:val="en-US"/>
              </w:rPr>
              <w:t>committed</w:t>
            </w:r>
            <w:r w:rsidR="003568FF" w:rsidRPr="00EF6C09">
              <w:rPr>
                <w:rFonts w:ascii="Times New Roman" w:hAnsi="Times New Roman"/>
                <w:lang w:val="en-US"/>
              </w:rPr>
              <w:t xml:space="preserve"> </w:t>
            </w:r>
            <w:r w:rsidR="003568FF" w:rsidRPr="00EF6C09">
              <w:rPr>
                <w:rFonts w:ascii="Times New Roman" w:hAnsi="Times New Roman"/>
              </w:rPr>
              <w:t>young people in the public administration</w:t>
            </w:r>
            <w:r w:rsidR="003568FF" w:rsidRPr="00EF6C09">
              <w:rPr>
                <w:rFonts w:ascii="Times New Roman" w:hAnsi="Times New Roman"/>
                <w:lang w:val="en-US"/>
              </w:rPr>
              <w:t>;</w:t>
            </w:r>
          </w:p>
          <w:p w14:paraId="418CA44E" w14:textId="416C24C3" w:rsidR="00D92369" w:rsidRPr="00EF6C09" w:rsidRDefault="00E01B75" w:rsidP="00D92369">
            <w:pPr>
              <w:pStyle w:val="ListParagraph"/>
              <w:numPr>
                <w:ilvl w:val="0"/>
                <w:numId w:val="26"/>
              </w:numPr>
              <w:spacing w:after="0" w:line="240" w:lineRule="auto"/>
              <w:jc w:val="both"/>
              <w:rPr>
                <w:rFonts w:ascii="Times New Roman" w:hAnsi="Times New Roman"/>
                <w:lang w:val="en-US"/>
              </w:rPr>
            </w:pPr>
            <w:r w:rsidRPr="00EF6C09">
              <w:rPr>
                <w:rFonts w:ascii="Times New Roman" w:hAnsi="Times New Roman"/>
                <w:lang w:val="en-US"/>
              </w:rPr>
              <w:t xml:space="preserve">the </w:t>
            </w:r>
            <w:r w:rsidR="003568FF" w:rsidRPr="00EF6C09">
              <w:rPr>
                <w:rFonts w:ascii="Times New Roman" w:hAnsi="Times New Roman"/>
                <w:lang w:val="en-US"/>
              </w:rPr>
              <w:t>intake of administrative servants with high demanded competencies on higher level positions in the administration;</w:t>
            </w:r>
          </w:p>
          <w:p w14:paraId="6316119D" w14:textId="47298C3A" w:rsidR="003568FF" w:rsidRPr="00EF6C09" w:rsidRDefault="00380C8A" w:rsidP="00D92369">
            <w:pPr>
              <w:pStyle w:val="ListParagraph"/>
              <w:numPr>
                <w:ilvl w:val="0"/>
                <w:numId w:val="26"/>
              </w:numPr>
              <w:spacing w:after="0" w:line="240" w:lineRule="auto"/>
              <w:jc w:val="both"/>
              <w:rPr>
                <w:rFonts w:ascii="Times New Roman" w:hAnsi="Times New Roman"/>
                <w:lang w:val="en-US"/>
              </w:rPr>
            </w:pPr>
            <w:proofErr w:type="gramStart"/>
            <w:r>
              <w:rPr>
                <w:rFonts w:ascii="Times New Roman" w:hAnsi="Times New Roman"/>
                <w:lang w:val="en-US"/>
              </w:rPr>
              <w:t>t</w:t>
            </w:r>
            <w:r w:rsidRPr="00EF6C09">
              <w:rPr>
                <w:rFonts w:ascii="Times New Roman" w:hAnsi="Times New Roman"/>
                <w:lang w:val="en-US"/>
              </w:rPr>
              <w:t>he</w:t>
            </w:r>
            <w:proofErr w:type="gramEnd"/>
            <w:r w:rsidR="00746BD5" w:rsidRPr="00EF6C09">
              <w:rPr>
                <w:rFonts w:ascii="Times New Roman" w:hAnsi="Times New Roman"/>
                <w:lang w:val="en-US"/>
              </w:rPr>
              <w:t xml:space="preserve"> </w:t>
            </w:r>
            <w:r w:rsidR="003568FF" w:rsidRPr="00EF6C09">
              <w:rPr>
                <w:rFonts w:ascii="Times New Roman" w:hAnsi="Times New Roman"/>
                <w:lang w:val="en-US"/>
              </w:rPr>
              <w:t xml:space="preserve">retention </w:t>
            </w:r>
            <w:r w:rsidR="00746BD5" w:rsidRPr="00EF6C09">
              <w:rPr>
                <w:rFonts w:ascii="Times New Roman" w:hAnsi="Times New Roman"/>
                <w:lang w:val="en-US"/>
              </w:rPr>
              <w:t>of</w:t>
            </w:r>
            <w:r w:rsidR="003568FF" w:rsidRPr="00EF6C09">
              <w:rPr>
                <w:rFonts w:ascii="Times New Roman" w:hAnsi="Times New Roman"/>
                <w:lang w:val="en-US"/>
              </w:rPr>
              <w:t xml:space="preserve"> </w:t>
            </w:r>
            <w:r w:rsidR="003568FF" w:rsidRPr="00EF6C09">
              <w:rPr>
                <w:rFonts w:ascii="Times New Roman" w:hAnsi="Times New Roman"/>
              </w:rPr>
              <w:t>well</w:t>
            </w:r>
            <w:r w:rsidR="00746BD5" w:rsidRPr="00EF6C09">
              <w:rPr>
                <w:rFonts w:ascii="Times New Roman" w:hAnsi="Times New Roman"/>
              </w:rPr>
              <w:t>-</w:t>
            </w:r>
            <w:r w:rsidR="003568FF" w:rsidRPr="00EF6C09">
              <w:rPr>
                <w:rFonts w:ascii="Times New Roman" w:hAnsi="Times New Roman"/>
              </w:rPr>
              <w:t>qualified and experienced administrative</w:t>
            </w:r>
            <w:r w:rsidR="00746BD5" w:rsidRPr="00EF6C09">
              <w:rPr>
                <w:rFonts w:ascii="Times New Roman" w:hAnsi="Times New Roman"/>
              </w:rPr>
              <w:t xml:space="preserve"> servants, for example those </w:t>
            </w:r>
            <w:r w:rsidR="006E5452" w:rsidRPr="00EF6C09">
              <w:rPr>
                <w:rFonts w:ascii="Times New Roman" w:hAnsi="Times New Roman"/>
              </w:rPr>
              <w:t xml:space="preserve">working in </w:t>
            </w:r>
            <w:r w:rsidR="003568FF" w:rsidRPr="00EF6C09">
              <w:rPr>
                <w:rFonts w:ascii="Times New Roman" w:hAnsi="Times New Roman"/>
                <w:lang w:val="en-US"/>
              </w:rPr>
              <w:t>IPA, EU integration and PAR structures, IT personnel</w:t>
            </w:r>
            <w:r w:rsidR="003568FF" w:rsidRPr="00EF6C09">
              <w:rPr>
                <w:rFonts w:ascii="Times New Roman" w:hAnsi="Times New Roman"/>
              </w:rPr>
              <w:t xml:space="preserve"> </w:t>
            </w:r>
            <w:r w:rsidR="003568FF" w:rsidRPr="00EF6C09">
              <w:rPr>
                <w:rFonts w:ascii="Times New Roman" w:hAnsi="Times New Roman"/>
                <w:lang w:val="en-US"/>
              </w:rPr>
              <w:t>and other</w:t>
            </w:r>
            <w:r w:rsidR="003568FF" w:rsidRPr="00EF6C09">
              <w:rPr>
                <w:rFonts w:ascii="Times New Roman" w:hAnsi="Times New Roman"/>
              </w:rPr>
              <w:t xml:space="preserve"> </w:t>
            </w:r>
            <w:r w:rsidR="003568FF" w:rsidRPr="00EF6C09">
              <w:rPr>
                <w:rFonts w:ascii="Times New Roman" w:hAnsi="Times New Roman"/>
                <w:lang w:val="en-US"/>
              </w:rPr>
              <w:t>specific job</w:t>
            </w:r>
            <w:r w:rsidR="003568FF" w:rsidRPr="00EF6C09">
              <w:rPr>
                <w:rFonts w:ascii="Times New Roman" w:hAnsi="Times New Roman"/>
              </w:rPr>
              <w:t xml:space="preserve"> </w:t>
            </w:r>
            <w:r w:rsidR="003568FF" w:rsidRPr="00EF6C09">
              <w:rPr>
                <w:rFonts w:ascii="Times New Roman" w:hAnsi="Times New Roman"/>
                <w:lang w:val="en-US"/>
              </w:rPr>
              <w:t xml:space="preserve">profiles. </w:t>
            </w:r>
          </w:p>
          <w:p w14:paraId="52B8E914" w14:textId="77777777" w:rsidR="00D92F6C" w:rsidRPr="00EF6C09" w:rsidRDefault="00D92F6C" w:rsidP="00752CE5">
            <w:pPr>
              <w:spacing w:after="0" w:line="240" w:lineRule="auto"/>
              <w:jc w:val="both"/>
              <w:rPr>
                <w:rFonts w:ascii="Times New Roman" w:hAnsi="Times New Roman"/>
                <w:i/>
              </w:rPr>
            </w:pPr>
          </w:p>
          <w:p w14:paraId="1AD28959" w14:textId="71C87071" w:rsidR="000F0F81" w:rsidRPr="00EF6C09" w:rsidRDefault="001F72E8" w:rsidP="00493559">
            <w:pPr>
              <w:spacing w:after="0" w:line="240" w:lineRule="auto"/>
              <w:jc w:val="both"/>
              <w:rPr>
                <w:rFonts w:ascii="Times New Roman" w:hAnsi="Times New Roman"/>
              </w:rPr>
            </w:pPr>
            <w:r w:rsidRPr="00EF6C09">
              <w:rPr>
                <w:rFonts w:ascii="Times New Roman" w:hAnsi="Times New Roman"/>
              </w:rPr>
              <w:t xml:space="preserve">The Action will contribute to the implementation of the EU recommendations under </w:t>
            </w:r>
            <w:r w:rsidR="00746BD5" w:rsidRPr="00EF6C09">
              <w:rPr>
                <w:rFonts w:ascii="Times New Roman" w:hAnsi="Times New Roman"/>
                <w:b/>
                <w:iCs/>
              </w:rPr>
              <w:t>“Fundamentals F</w:t>
            </w:r>
            <w:r w:rsidR="002C5CC6" w:rsidRPr="00EF6C09">
              <w:rPr>
                <w:rFonts w:ascii="Times New Roman" w:hAnsi="Times New Roman"/>
                <w:b/>
                <w:iCs/>
              </w:rPr>
              <w:t>irst</w:t>
            </w:r>
            <w:r w:rsidR="00746BD5" w:rsidRPr="00EF6C09">
              <w:rPr>
                <w:rFonts w:ascii="Times New Roman" w:hAnsi="Times New Roman"/>
                <w:b/>
                <w:iCs/>
              </w:rPr>
              <w:t xml:space="preserve">”, </w:t>
            </w:r>
            <w:r w:rsidR="002C5CC6" w:rsidRPr="00EF6C09">
              <w:rPr>
                <w:rFonts w:ascii="Times New Roman" w:hAnsi="Times New Roman"/>
                <w:b/>
                <w:iCs/>
              </w:rPr>
              <w:t xml:space="preserve">2.1.2. </w:t>
            </w:r>
            <w:r w:rsidR="00902D84" w:rsidRPr="00EF6C09">
              <w:rPr>
                <w:rFonts w:ascii="Times New Roman" w:hAnsi="Times New Roman"/>
                <w:b/>
                <w:iCs/>
              </w:rPr>
              <w:t>Public</w:t>
            </w:r>
            <w:r w:rsidR="002C5CC6" w:rsidRPr="00EF6C09">
              <w:rPr>
                <w:rFonts w:ascii="Times New Roman" w:hAnsi="Times New Roman"/>
                <w:b/>
                <w:iCs/>
              </w:rPr>
              <w:t xml:space="preserve"> administration reforms </w:t>
            </w:r>
            <w:r w:rsidR="002C5CC6" w:rsidRPr="00EF6C09">
              <w:rPr>
                <w:rFonts w:ascii="Times New Roman" w:hAnsi="Times New Roman"/>
                <w:iCs/>
              </w:rPr>
              <w:t>as defined in the</w:t>
            </w:r>
            <w:r w:rsidRPr="00EF6C09">
              <w:rPr>
                <w:rFonts w:ascii="Times New Roman" w:hAnsi="Times New Roman"/>
              </w:rPr>
              <w:t xml:space="preserve"> </w:t>
            </w:r>
            <w:r w:rsidR="00746BD5" w:rsidRPr="00EF6C09">
              <w:rPr>
                <w:rFonts w:ascii="Times New Roman" w:hAnsi="Times New Roman"/>
                <w:b/>
              </w:rPr>
              <w:t xml:space="preserve">annual Commission Report on the progress of </w:t>
            </w:r>
            <w:r w:rsidR="00746BD5" w:rsidRPr="00EF6C09">
              <w:rPr>
                <w:rFonts w:ascii="Times New Roman" w:hAnsi="Times New Roman"/>
                <w:b/>
                <w:bCs/>
              </w:rPr>
              <w:t>North Macedonia for year 2019</w:t>
            </w:r>
            <w:r w:rsidR="00746BD5" w:rsidRPr="00EF6C09">
              <w:rPr>
                <w:rStyle w:val="FootnoteReference"/>
                <w:rFonts w:ascii="Times New Roman" w:hAnsi="Times New Roman"/>
                <w:b/>
                <w:bCs/>
              </w:rPr>
              <w:footnoteReference w:id="1"/>
            </w:r>
            <w:r w:rsidR="002C5CC6" w:rsidRPr="00EF6C09">
              <w:rPr>
                <w:rFonts w:ascii="Times New Roman" w:hAnsi="Times New Roman"/>
                <w:b/>
                <w:bCs/>
              </w:rPr>
              <w:t xml:space="preserve">. </w:t>
            </w:r>
            <w:r w:rsidR="00023890" w:rsidRPr="00EF6C09">
              <w:rPr>
                <w:rFonts w:ascii="Times New Roman" w:hAnsi="Times New Roman"/>
              </w:rPr>
              <w:t>The report identifies modernisation of the public administration</w:t>
            </w:r>
            <w:r w:rsidR="006B09C5" w:rsidRPr="00EF6C09">
              <w:rPr>
                <w:rFonts w:ascii="Times New Roman" w:hAnsi="Times New Roman"/>
              </w:rPr>
              <w:t xml:space="preserve"> </w:t>
            </w:r>
            <w:r w:rsidR="00023890" w:rsidRPr="00EF6C09">
              <w:rPr>
                <w:rFonts w:ascii="Times New Roman" w:hAnsi="Times New Roman"/>
              </w:rPr>
              <w:t xml:space="preserve">as a key </w:t>
            </w:r>
            <w:r w:rsidR="005A1DFA" w:rsidRPr="00EF6C09">
              <w:rPr>
                <w:rFonts w:ascii="Times New Roman" w:hAnsi="Times New Roman"/>
              </w:rPr>
              <w:t>driver</w:t>
            </w:r>
            <w:r w:rsidR="00023890" w:rsidRPr="00EF6C09">
              <w:rPr>
                <w:rFonts w:ascii="Times New Roman" w:hAnsi="Times New Roman"/>
              </w:rPr>
              <w:t xml:space="preserve"> for </w:t>
            </w:r>
            <w:r w:rsidR="001C1AB3" w:rsidRPr="00EF6C09">
              <w:rPr>
                <w:rFonts w:ascii="Times New Roman" w:hAnsi="Times New Roman"/>
              </w:rPr>
              <w:t>imp</w:t>
            </w:r>
            <w:r w:rsidR="005A1DFA" w:rsidRPr="00EF6C09">
              <w:rPr>
                <w:rFonts w:ascii="Times New Roman" w:hAnsi="Times New Roman"/>
              </w:rPr>
              <w:t xml:space="preserve">roving governance at all levels. Focus is on the need to improve </w:t>
            </w:r>
            <w:r w:rsidR="001C1AB3" w:rsidRPr="00EF6C09">
              <w:rPr>
                <w:rFonts w:ascii="Times New Roman" w:hAnsi="Times New Roman"/>
              </w:rPr>
              <w:t xml:space="preserve">the quality and accountability of the administration, professionalization </w:t>
            </w:r>
            <w:r w:rsidR="005A1DFA" w:rsidRPr="00EF6C09">
              <w:rPr>
                <w:rFonts w:ascii="Times New Roman" w:hAnsi="Times New Roman"/>
              </w:rPr>
              <w:t xml:space="preserve">and de-politicisation </w:t>
            </w:r>
            <w:r w:rsidR="001C1AB3" w:rsidRPr="00EF6C09">
              <w:rPr>
                <w:rFonts w:ascii="Times New Roman" w:hAnsi="Times New Roman"/>
              </w:rPr>
              <w:t>of the civil service</w:t>
            </w:r>
            <w:r w:rsidR="000E22EA" w:rsidRPr="00EF6C09">
              <w:rPr>
                <w:rFonts w:ascii="Times New Roman" w:hAnsi="Times New Roman"/>
              </w:rPr>
              <w:t xml:space="preserve">, sound public financial management, and quality of services to citizens and businesses. </w:t>
            </w:r>
            <w:r w:rsidR="005A1DFA" w:rsidRPr="00EF6C09">
              <w:rPr>
                <w:rFonts w:ascii="Times New Roman" w:hAnsi="Times New Roman"/>
              </w:rPr>
              <w:t>The A</w:t>
            </w:r>
            <w:r w:rsidR="00690119" w:rsidRPr="00EF6C09">
              <w:rPr>
                <w:rFonts w:ascii="Times New Roman" w:hAnsi="Times New Roman"/>
              </w:rPr>
              <w:t xml:space="preserve">ction </w:t>
            </w:r>
            <w:r w:rsidR="005A1DFA" w:rsidRPr="00EF6C09">
              <w:rPr>
                <w:rFonts w:ascii="Times New Roman" w:hAnsi="Times New Roman"/>
              </w:rPr>
              <w:t>addresses all these issues through investing in the human capital in the Public Administration</w:t>
            </w:r>
            <w:r w:rsidR="00690119" w:rsidRPr="00EF6C09">
              <w:rPr>
                <w:rFonts w:ascii="Times New Roman" w:hAnsi="Times New Roman"/>
              </w:rPr>
              <w:t>.</w:t>
            </w:r>
          </w:p>
          <w:p w14:paraId="19EBD016" w14:textId="77777777" w:rsidR="00690119" w:rsidRPr="00EF6C09" w:rsidRDefault="00690119" w:rsidP="00752CE5">
            <w:pPr>
              <w:spacing w:after="0" w:line="240" w:lineRule="auto"/>
              <w:jc w:val="both"/>
              <w:rPr>
                <w:rFonts w:ascii="Times New Roman" w:hAnsi="Times New Roman"/>
                <w:b/>
                <w:bCs/>
                <w:iCs/>
              </w:rPr>
            </w:pPr>
          </w:p>
          <w:p w14:paraId="309A3572" w14:textId="0268F1A8" w:rsidR="00732040" w:rsidRPr="00EF6C09" w:rsidRDefault="00B15DE4" w:rsidP="00902D84">
            <w:pPr>
              <w:spacing w:after="0" w:line="240" w:lineRule="auto"/>
              <w:jc w:val="both"/>
              <w:rPr>
                <w:rFonts w:ascii="Times New Roman" w:hAnsi="Times New Roman"/>
              </w:rPr>
            </w:pPr>
            <w:r w:rsidRPr="00EF6C09">
              <w:rPr>
                <w:rFonts w:ascii="Times New Roman" w:eastAsia="Arial Unicode MS" w:hAnsi="Times New Roman"/>
                <w:lang w:eastAsia="de-DE"/>
              </w:rPr>
              <w:t>Furthermore,</w:t>
            </w:r>
            <w:r w:rsidRPr="00EF6C09">
              <w:rPr>
                <w:rFonts w:ascii="Times New Roman" w:eastAsia="Arial Unicode MS" w:hAnsi="Times New Roman"/>
                <w:b/>
                <w:lang w:eastAsia="de-DE"/>
              </w:rPr>
              <w:t xml:space="preserve"> </w:t>
            </w:r>
            <w:r w:rsidRPr="00EF6C09">
              <w:rPr>
                <w:rFonts w:ascii="Times New Roman" w:hAnsi="Times New Roman"/>
              </w:rPr>
              <w:t xml:space="preserve">this Action is in line with the document </w:t>
            </w:r>
            <w:r w:rsidRPr="00EF6C09">
              <w:rPr>
                <w:rFonts w:ascii="Times New Roman" w:eastAsia="Arial Unicode MS" w:hAnsi="Times New Roman"/>
                <w:b/>
                <w:lang w:eastAsia="de-DE"/>
              </w:rPr>
              <w:t>"A credible enlargement perspective for and enhanced EU engagement with the</w:t>
            </w:r>
            <w:r w:rsidR="005A1DFA" w:rsidRPr="00EF6C09">
              <w:rPr>
                <w:rFonts w:ascii="Times New Roman" w:eastAsia="Arial Unicode MS" w:hAnsi="Times New Roman"/>
                <w:b/>
                <w:lang w:eastAsia="de-DE"/>
              </w:rPr>
              <w:t xml:space="preserve"> Western Balkans"</w:t>
            </w:r>
            <w:r w:rsidR="005A1DFA" w:rsidRPr="00EF6C09">
              <w:rPr>
                <w:rStyle w:val="FootnoteReference"/>
                <w:rFonts w:ascii="Times New Roman" w:eastAsia="Arial Unicode MS" w:hAnsi="Times New Roman"/>
                <w:b/>
                <w:lang w:eastAsia="de-DE"/>
              </w:rPr>
              <w:footnoteReference w:id="2"/>
            </w:r>
            <w:r w:rsidRPr="00EF6C09">
              <w:rPr>
                <w:rFonts w:ascii="Times New Roman" w:hAnsi="Times New Roman"/>
                <w:bCs/>
              </w:rPr>
              <w:t>,</w:t>
            </w:r>
            <w:r w:rsidRPr="00EF6C09">
              <w:rPr>
                <w:rFonts w:ascii="Times New Roman" w:hAnsi="Times New Roman"/>
              </w:rPr>
              <w:t xml:space="preserve"> which highlights the importance of the public services to citizens and </w:t>
            </w:r>
            <w:r w:rsidR="005A1DFA" w:rsidRPr="00EF6C09">
              <w:rPr>
                <w:rFonts w:ascii="Times New Roman" w:hAnsi="Times New Roman"/>
              </w:rPr>
              <w:t xml:space="preserve">the </w:t>
            </w:r>
            <w:r w:rsidRPr="00EF6C09">
              <w:rPr>
                <w:rFonts w:ascii="Times New Roman" w:hAnsi="Times New Roman"/>
              </w:rPr>
              <w:t xml:space="preserve">public administration reform as key pillars in the EU accession process. The Action </w:t>
            </w:r>
            <w:r w:rsidR="00380C8A">
              <w:rPr>
                <w:rFonts w:ascii="Times New Roman" w:hAnsi="Times New Roman"/>
              </w:rPr>
              <w:t>will have</w:t>
            </w:r>
            <w:r w:rsidRPr="00EF6C09">
              <w:rPr>
                <w:rFonts w:ascii="Times New Roman" w:hAnsi="Times New Roman"/>
              </w:rPr>
              <w:t xml:space="preserve"> positive effect on all six </w:t>
            </w:r>
            <w:r w:rsidRPr="00EF6C09">
              <w:rPr>
                <w:rFonts w:ascii="Times New Roman" w:hAnsi="Times New Roman"/>
                <w:bCs/>
              </w:rPr>
              <w:t xml:space="preserve">SIGMA principles of a well-functioning public administration. </w:t>
            </w:r>
          </w:p>
          <w:p w14:paraId="7709BFFE" w14:textId="4574E5A1" w:rsidR="003667C7" w:rsidRPr="00EF6C09" w:rsidRDefault="003667C7" w:rsidP="00902D84">
            <w:pPr>
              <w:spacing w:after="0" w:line="240" w:lineRule="auto"/>
              <w:jc w:val="both"/>
              <w:rPr>
                <w:rFonts w:ascii="Times New Roman" w:hAnsi="Times New Roman"/>
              </w:rPr>
            </w:pPr>
          </w:p>
        </w:tc>
      </w:tr>
      <w:tr w:rsidR="00D92F6C" w:rsidRPr="00EF6C09" w14:paraId="5612A80B" w14:textId="77777777" w:rsidTr="0090686E">
        <w:trPr>
          <w:jc w:val="center"/>
        </w:trPr>
        <w:tc>
          <w:tcPr>
            <w:tcW w:w="534" w:type="dxa"/>
            <w:vMerge/>
            <w:tcBorders>
              <w:left w:val="single" w:sz="4" w:space="0" w:color="auto"/>
              <w:right w:val="single" w:sz="4" w:space="0" w:color="auto"/>
            </w:tcBorders>
          </w:tcPr>
          <w:p w14:paraId="3B373B2C" w14:textId="77777777" w:rsidR="00D92F6C" w:rsidRPr="00EF6C09" w:rsidRDefault="00D92F6C" w:rsidP="00392B54">
            <w:pPr>
              <w:spacing w:after="0"/>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0E5E6BE" w14:textId="77777777" w:rsidR="00D92F6C" w:rsidRPr="00EF6C09" w:rsidRDefault="00D92F6C" w:rsidP="00392B54">
            <w:pPr>
              <w:spacing w:after="0"/>
              <w:rPr>
                <w:rFonts w:ascii="Times New Roman" w:hAnsi="Times New Roman"/>
              </w:rPr>
            </w:pPr>
            <w:r w:rsidRPr="00EF6C09">
              <w:rPr>
                <w:rFonts w:ascii="Times New Roman" w:hAnsi="Times New Roman"/>
              </w:rPr>
              <w:t>Links with national, regional and global strategies</w:t>
            </w:r>
          </w:p>
        </w:tc>
        <w:tc>
          <w:tcPr>
            <w:tcW w:w="7116" w:type="dxa"/>
            <w:tcBorders>
              <w:top w:val="single" w:sz="4" w:space="0" w:color="auto"/>
              <w:left w:val="single" w:sz="4" w:space="0" w:color="auto"/>
              <w:bottom w:val="single" w:sz="4" w:space="0" w:color="auto"/>
              <w:right w:val="single" w:sz="4" w:space="0" w:color="auto"/>
            </w:tcBorders>
            <w:shd w:val="clear" w:color="auto" w:fill="auto"/>
          </w:tcPr>
          <w:p w14:paraId="1ED1E61C" w14:textId="7B502E46" w:rsidR="005323BF" w:rsidRPr="00EF6C09" w:rsidRDefault="005323BF" w:rsidP="005323BF">
            <w:pPr>
              <w:spacing w:after="120" w:line="240" w:lineRule="auto"/>
              <w:jc w:val="both"/>
              <w:rPr>
                <w:rFonts w:ascii="Times New Roman" w:eastAsia="Arial Unicode MS" w:hAnsi="Times New Roman"/>
                <w:lang w:eastAsia="de-DE"/>
              </w:rPr>
            </w:pPr>
            <w:r w:rsidRPr="00EF6C09">
              <w:rPr>
                <w:rFonts w:ascii="Times New Roman" w:eastAsia="Arial Unicode MS" w:hAnsi="Times New Roman"/>
                <w:lang w:eastAsia="de-DE"/>
              </w:rPr>
              <w:t xml:space="preserve">The Action is in line with national, regional and global strategies in the field of </w:t>
            </w:r>
            <w:r w:rsidR="00A45B57" w:rsidRPr="00EF6C09">
              <w:rPr>
                <w:rFonts w:ascii="Times New Roman" w:eastAsia="Arial Unicode MS" w:hAnsi="Times New Roman"/>
                <w:lang w:eastAsia="de-DE"/>
              </w:rPr>
              <w:t xml:space="preserve">good governance and digitalisation. </w:t>
            </w:r>
            <w:r w:rsidR="003667C7" w:rsidRPr="00EF6C09">
              <w:rPr>
                <w:rFonts w:ascii="Times New Roman" w:eastAsia="Arial Unicode MS" w:hAnsi="Times New Roman"/>
                <w:lang w:eastAsia="de-DE"/>
              </w:rPr>
              <w:t>More specifically:</w:t>
            </w:r>
          </w:p>
          <w:p w14:paraId="38C537BE" w14:textId="0FB30B4A" w:rsidR="00FF5E75" w:rsidRPr="00EF6C09" w:rsidRDefault="00FF5E75" w:rsidP="003667C7">
            <w:pPr>
              <w:pStyle w:val="ListParagraph"/>
              <w:numPr>
                <w:ilvl w:val="0"/>
                <w:numId w:val="7"/>
              </w:numPr>
              <w:spacing w:before="120" w:after="120" w:line="240" w:lineRule="auto"/>
              <w:ind w:left="714" w:hanging="357"/>
              <w:contextualSpacing w:val="0"/>
              <w:jc w:val="both"/>
              <w:rPr>
                <w:rFonts w:ascii="Times New Roman" w:eastAsia="Arial Unicode MS" w:hAnsi="Times New Roman"/>
                <w:lang w:eastAsia="de-DE"/>
              </w:rPr>
            </w:pPr>
            <w:r w:rsidRPr="00EF6C09">
              <w:rPr>
                <w:rFonts w:ascii="Times New Roman" w:hAnsi="Times New Roman"/>
              </w:rPr>
              <w:t xml:space="preserve">The Action </w:t>
            </w:r>
            <w:r w:rsidR="003667C7" w:rsidRPr="00EF6C09">
              <w:rPr>
                <w:rFonts w:ascii="Times New Roman" w:hAnsi="Times New Roman"/>
              </w:rPr>
              <w:t>will contribute to achieving</w:t>
            </w:r>
            <w:r w:rsidRPr="00EF6C09">
              <w:rPr>
                <w:rFonts w:ascii="Times New Roman" w:hAnsi="Times New Roman"/>
              </w:rPr>
              <w:t xml:space="preserve"> </w:t>
            </w:r>
            <w:r w:rsidR="003667C7" w:rsidRPr="00EF6C09">
              <w:rPr>
                <w:rFonts w:ascii="Times New Roman" w:hAnsi="Times New Roman"/>
              </w:rPr>
              <w:t xml:space="preserve">the </w:t>
            </w:r>
            <w:r w:rsidRPr="00EF6C09">
              <w:rPr>
                <w:rFonts w:ascii="Times New Roman" w:hAnsi="Times New Roman"/>
              </w:rPr>
              <w:t xml:space="preserve">objectives of </w:t>
            </w:r>
            <w:r w:rsidRPr="00EF6C09">
              <w:rPr>
                <w:rFonts w:ascii="Times New Roman" w:hAnsi="Times New Roman"/>
                <w:b/>
              </w:rPr>
              <w:t xml:space="preserve">2030 Agenda for Sustainable Development, </w:t>
            </w:r>
            <w:r w:rsidR="003667C7" w:rsidRPr="00EF6C09">
              <w:rPr>
                <w:rFonts w:ascii="Times New Roman" w:hAnsi="Times New Roman"/>
                <w:bCs/>
              </w:rPr>
              <w:t>primarily under</w:t>
            </w:r>
            <w:r w:rsidRPr="00EF6C09">
              <w:rPr>
                <w:rFonts w:ascii="Times New Roman" w:hAnsi="Times New Roman"/>
                <w:iCs/>
              </w:rPr>
              <w:t xml:space="preserve"> priority No 8: Decent work and economic growth, No 9: Industry,</w:t>
            </w:r>
            <w:r w:rsidR="003667C7" w:rsidRPr="00EF6C09">
              <w:rPr>
                <w:rFonts w:ascii="Times New Roman" w:hAnsi="Times New Roman"/>
                <w:iCs/>
              </w:rPr>
              <w:t xml:space="preserve"> innovation and infrastructure, and </w:t>
            </w:r>
            <w:r w:rsidRPr="00EF6C09">
              <w:rPr>
                <w:rFonts w:ascii="Times New Roman" w:hAnsi="Times New Roman"/>
                <w:iCs/>
              </w:rPr>
              <w:t>No 11: Sus</w:t>
            </w:r>
            <w:r w:rsidR="003667C7" w:rsidRPr="00EF6C09">
              <w:rPr>
                <w:rFonts w:ascii="Times New Roman" w:hAnsi="Times New Roman"/>
                <w:iCs/>
              </w:rPr>
              <w:t>tainable cities and communities. The action will increase the efficiency and effectiveness of the public administration, which is an important pre-condition for the use of public funds for growth and development.</w:t>
            </w:r>
          </w:p>
          <w:p w14:paraId="2F7B0971" w14:textId="0518DF51" w:rsidR="00B5025E" w:rsidRPr="00EF6C09" w:rsidRDefault="00B5025E" w:rsidP="003667C7">
            <w:pPr>
              <w:pStyle w:val="ListParagraph"/>
              <w:numPr>
                <w:ilvl w:val="0"/>
                <w:numId w:val="7"/>
              </w:numPr>
              <w:spacing w:before="120" w:after="120" w:line="240" w:lineRule="auto"/>
              <w:ind w:left="714" w:hanging="357"/>
              <w:contextualSpacing w:val="0"/>
              <w:jc w:val="both"/>
              <w:rPr>
                <w:rFonts w:ascii="Times New Roman" w:eastAsia="Arial Unicode MS" w:hAnsi="Times New Roman"/>
                <w:lang w:eastAsia="de-DE"/>
              </w:rPr>
            </w:pPr>
            <w:r w:rsidRPr="00EF6C09">
              <w:rPr>
                <w:rFonts w:ascii="Times New Roman" w:hAnsi="Times New Roman"/>
              </w:rPr>
              <w:t xml:space="preserve">The action </w:t>
            </w:r>
            <w:r w:rsidR="002B48CA" w:rsidRPr="00EF6C09">
              <w:rPr>
                <w:rFonts w:ascii="Times New Roman" w:hAnsi="Times New Roman"/>
              </w:rPr>
              <w:t>will also</w:t>
            </w:r>
            <w:r w:rsidRPr="00EF6C09">
              <w:rPr>
                <w:rFonts w:ascii="Times New Roman" w:hAnsi="Times New Roman"/>
              </w:rPr>
              <w:t xml:space="preserve"> </w:t>
            </w:r>
            <w:r w:rsidR="003667C7" w:rsidRPr="00EF6C09">
              <w:rPr>
                <w:rFonts w:ascii="Times New Roman" w:hAnsi="Times New Roman"/>
              </w:rPr>
              <w:t xml:space="preserve">support the efforts to shift gradually to higher level of digitalisation, which </w:t>
            </w:r>
            <w:r w:rsidR="00347CB4" w:rsidRPr="00EF6C09">
              <w:rPr>
                <w:rFonts w:ascii="Times New Roman" w:hAnsi="Times New Roman"/>
              </w:rPr>
              <w:t xml:space="preserve">relates closely to the </w:t>
            </w:r>
            <w:r w:rsidR="00347CB4" w:rsidRPr="00EF6C09">
              <w:rPr>
                <w:rFonts w:ascii="Times New Roman" w:hAnsi="Times New Roman"/>
                <w:b/>
              </w:rPr>
              <w:t>EU Digital Competence Framework</w:t>
            </w:r>
            <w:r w:rsidR="00347CB4" w:rsidRPr="00EF6C09">
              <w:rPr>
                <w:rFonts w:ascii="Times New Roman" w:hAnsi="Times New Roman"/>
              </w:rPr>
              <w:t>. Focus is on attracting and retaining persons with IT competences to serve as a driver of the digitalisation process in administration context.</w:t>
            </w:r>
          </w:p>
          <w:p w14:paraId="309D074B" w14:textId="7F57917D" w:rsidR="001F72E8" w:rsidRPr="00EF6C09" w:rsidRDefault="00B5025E" w:rsidP="006207C0">
            <w:pPr>
              <w:pStyle w:val="ListParagraph"/>
              <w:numPr>
                <w:ilvl w:val="0"/>
                <w:numId w:val="7"/>
              </w:numPr>
              <w:spacing w:before="120" w:after="120" w:line="240" w:lineRule="auto"/>
              <w:ind w:left="714" w:hanging="357"/>
              <w:contextualSpacing w:val="0"/>
              <w:jc w:val="both"/>
              <w:rPr>
                <w:rFonts w:ascii="Times New Roman" w:eastAsia="Arial Unicode MS" w:hAnsi="Times New Roman"/>
                <w:lang w:eastAsia="de-DE"/>
              </w:rPr>
            </w:pPr>
            <w:r w:rsidRPr="00EF6C09">
              <w:rPr>
                <w:rFonts w:ascii="Times New Roman" w:hAnsi="Times New Roman"/>
              </w:rPr>
              <w:t>Th</w:t>
            </w:r>
            <w:r w:rsidR="00E5422B" w:rsidRPr="00EF6C09">
              <w:rPr>
                <w:rFonts w:ascii="Times New Roman" w:hAnsi="Times New Roman"/>
              </w:rPr>
              <w:t>e Action</w:t>
            </w:r>
            <w:r w:rsidRPr="00EF6C09">
              <w:rPr>
                <w:rFonts w:ascii="Times New Roman" w:hAnsi="Times New Roman"/>
              </w:rPr>
              <w:t xml:space="preserve"> is completely in line with European </w:t>
            </w:r>
            <w:r w:rsidRPr="00EF6C09">
              <w:rPr>
                <w:rFonts w:ascii="Times New Roman" w:hAnsi="Times New Roman"/>
                <w:b/>
              </w:rPr>
              <w:t>e</w:t>
            </w:r>
            <w:r w:rsidR="004D1FBD" w:rsidRPr="00EF6C09">
              <w:rPr>
                <w:rFonts w:ascii="Times New Roman" w:hAnsi="Times New Roman"/>
                <w:b/>
              </w:rPr>
              <w:t>-</w:t>
            </w:r>
            <w:r w:rsidRPr="00EF6C09">
              <w:rPr>
                <w:rFonts w:ascii="Times New Roman" w:hAnsi="Times New Roman"/>
                <w:b/>
              </w:rPr>
              <w:t>Government Action Plan 2016-2020</w:t>
            </w:r>
            <w:proofErr w:type="gramStart"/>
            <w:r w:rsidR="00E5422B" w:rsidRPr="00EF6C09">
              <w:rPr>
                <w:rFonts w:ascii="Times New Roman" w:hAnsi="Times New Roman"/>
                <w:b/>
              </w:rPr>
              <w:t>;</w:t>
            </w:r>
            <w:proofErr w:type="gramEnd"/>
            <w:r w:rsidR="004D1FBD" w:rsidRPr="00EF6C09">
              <w:rPr>
                <w:rFonts w:ascii="Times New Roman" w:hAnsi="Times New Roman"/>
                <w:b/>
              </w:rPr>
              <w:t xml:space="preserve"> </w:t>
            </w:r>
            <w:r w:rsidR="00E5422B" w:rsidRPr="00EF6C09">
              <w:rPr>
                <w:rFonts w:ascii="Times New Roman" w:hAnsi="Times New Roman"/>
              </w:rPr>
              <w:t>which aims</w:t>
            </w:r>
            <w:r w:rsidRPr="00EF6C09">
              <w:rPr>
                <w:rFonts w:ascii="Times New Roman" w:hAnsi="Times New Roman"/>
              </w:rPr>
              <w:t xml:space="preserve"> to make public administrations open, efficient</w:t>
            </w:r>
            <w:r w:rsidR="00E5422B" w:rsidRPr="00EF6C09">
              <w:rPr>
                <w:rFonts w:ascii="Times New Roman" w:hAnsi="Times New Roman"/>
              </w:rPr>
              <w:t>,</w:t>
            </w:r>
            <w:r w:rsidRPr="00EF6C09">
              <w:rPr>
                <w:rFonts w:ascii="Times New Roman" w:hAnsi="Times New Roman"/>
              </w:rPr>
              <w:t xml:space="preserve"> inclusive and to enable smooth usage of the new digital environment to facilitate their interactions with stakeholders and with each other.</w:t>
            </w:r>
          </w:p>
          <w:p w14:paraId="132D88FD" w14:textId="77777777" w:rsidR="001F72E8" w:rsidRPr="00EF6C09" w:rsidRDefault="001F72E8" w:rsidP="001F72E8">
            <w:pPr>
              <w:spacing w:after="120" w:line="240" w:lineRule="auto"/>
              <w:jc w:val="both"/>
              <w:rPr>
                <w:rFonts w:ascii="Times New Roman" w:hAnsi="Times New Roman"/>
                <w:b/>
              </w:rPr>
            </w:pPr>
            <w:r w:rsidRPr="00EF6C09">
              <w:rPr>
                <w:rFonts w:ascii="Times New Roman" w:eastAsia="Arial Unicode MS" w:hAnsi="Times New Roman"/>
                <w:lang w:eastAsia="de-DE"/>
              </w:rPr>
              <w:t xml:space="preserve">The Action will support the implementation of the following </w:t>
            </w:r>
            <w:r w:rsidRPr="00EF6C09">
              <w:rPr>
                <w:rFonts w:ascii="Times New Roman" w:eastAsia="Arial Unicode MS" w:hAnsi="Times New Roman"/>
                <w:b/>
                <w:bCs/>
                <w:lang w:eastAsia="de-DE"/>
              </w:rPr>
              <w:t>national strategies</w:t>
            </w:r>
            <w:r w:rsidRPr="00EF6C09">
              <w:rPr>
                <w:rFonts w:ascii="Times New Roman" w:eastAsia="Arial Unicode MS" w:hAnsi="Times New Roman"/>
                <w:lang w:eastAsia="de-DE"/>
              </w:rPr>
              <w:t xml:space="preserve">: </w:t>
            </w:r>
          </w:p>
          <w:p w14:paraId="63F4A8F1" w14:textId="2FC49928" w:rsidR="00C10421" w:rsidRPr="00EF6C09" w:rsidRDefault="00C10421" w:rsidP="00C10421">
            <w:pPr>
              <w:pStyle w:val="ListParagraph"/>
              <w:numPr>
                <w:ilvl w:val="0"/>
                <w:numId w:val="7"/>
              </w:numPr>
              <w:spacing w:after="120" w:line="240" w:lineRule="auto"/>
              <w:jc w:val="both"/>
              <w:rPr>
                <w:rFonts w:ascii="Times New Roman" w:hAnsi="Times New Roman"/>
              </w:rPr>
            </w:pPr>
            <w:r w:rsidRPr="00EF6C09">
              <w:rPr>
                <w:rFonts w:ascii="Times New Roman" w:hAnsi="Times New Roman"/>
              </w:rPr>
              <w:t xml:space="preserve">This Action will directly contribute towards achieving the objectives set in the </w:t>
            </w:r>
            <w:r w:rsidRPr="00EF6C09">
              <w:rPr>
                <w:rFonts w:ascii="Times New Roman" w:hAnsi="Times New Roman"/>
                <w:b/>
                <w:bCs/>
              </w:rPr>
              <w:t xml:space="preserve">Public Administration Reform Strategy 2018 – 2022 with its Action Plan, </w:t>
            </w:r>
            <w:r w:rsidRPr="00EF6C09">
              <w:rPr>
                <w:rFonts w:ascii="Times New Roman" w:hAnsi="Times New Roman"/>
                <w:bCs/>
              </w:rPr>
              <w:t>as the umbrella Strategy for reforming the public sector</w:t>
            </w:r>
            <w:r w:rsidRPr="00EF6C09">
              <w:rPr>
                <w:rFonts w:ascii="Times New Roman" w:hAnsi="Times New Roman"/>
                <w:b/>
                <w:bCs/>
              </w:rPr>
              <w:t>.</w:t>
            </w:r>
            <w:r w:rsidRPr="00EF6C09">
              <w:rPr>
                <w:rFonts w:ascii="Times New Roman" w:hAnsi="Times New Roman"/>
              </w:rPr>
              <w:t xml:space="preserve"> The Action will follow the </w:t>
            </w:r>
            <w:r w:rsidRPr="00EF6C09">
              <w:rPr>
                <w:rFonts w:ascii="Times New Roman" w:hAnsi="Times New Roman"/>
                <w:b/>
              </w:rPr>
              <w:t>SIGMA principles for public administration</w:t>
            </w:r>
            <w:r w:rsidRPr="00EF6C09">
              <w:rPr>
                <w:rFonts w:ascii="Times New Roman" w:hAnsi="Times New Roman"/>
              </w:rPr>
              <w:t xml:space="preserve">, </w:t>
            </w:r>
            <w:r w:rsidR="00347CB4" w:rsidRPr="00EF6C09">
              <w:rPr>
                <w:rFonts w:ascii="Times New Roman" w:hAnsi="Times New Roman"/>
              </w:rPr>
              <w:t xml:space="preserve">and will bring the Macedonian administration closer to the principles and standards of the EU Member States. </w:t>
            </w:r>
          </w:p>
          <w:p w14:paraId="6D3CDB83" w14:textId="5F34D6A6" w:rsidR="006A7A93" w:rsidRPr="00EF6C09" w:rsidRDefault="006A7A93" w:rsidP="006A7A93">
            <w:pPr>
              <w:pStyle w:val="ListParagraph"/>
              <w:numPr>
                <w:ilvl w:val="0"/>
                <w:numId w:val="7"/>
              </w:numPr>
              <w:spacing w:line="240" w:lineRule="auto"/>
              <w:jc w:val="both"/>
              <w:rPr>
                <w:rFonts w:ascii="Times New Roman" w:hAnsi="Times New Roman"/>
                <w:iCs/>
              </w:rPr>
            </w:pPr>
            <w:r w:rsidRPr="00EF6C09">
              <w:rPr>
                <w:rFonts w:ascii="Times New Roman" w:hAnsi="Times New Roman"/>
              </w:rPr>
              <w:t xml:space="preserve">Action will support the implementation of the </w:t>
            </w:r>
            <w:r w:rsidRPr="00EF6C09">
              <w:rPr>
                <w:rFonts w:ascii="Times New Roman" w:hAnsi="Times New Roman"/>
                <w:b/>
              </w:rPr>
              <w:t>National Long-Term ICT Strategy</w:t>
            </w:r>
            <w:r w:rsidRPr="00EF6C09">
              <w:rPr>
                <w:rFonts w:ascii="Times New Roman" w:hAnsi="Times New Roman"/>
              </w:rPr>
              <w:t xml:space="preserve">, the adoption expected in September 2020. </w:t>
            </w:r>
          </w:p>
          <w:p w14:paraId="23987CC7" w14:textId="1091AB9A" w:rsidR="009D09C9" w:rsidRPr="00EF6C09" w:rsidRDefault="005E1133" w:rsidP="009D09C9">
            <w:pPr>
              <w:pStyle w:val="ListParagraph"/>
              <w:numPr>
                <w:ilvl w:val="0"/>
                <w:numId w:val="7"/>
              </w:numPr>
              <w:spacing w:line="240" w:lineRule="auto"/>
              <w:jc w:val="both"/>
              <w:rPr>
                <w:rFonts w:ascii="Times New Roman" w:hAnsi="Times New Roman"/>
                <w:iCs/>
              </w:rPr>
            </w:pPr>
            <w:r w:rsidRPr="00EF6C09">
              <w:rPr>
                <w:rFonts w:ascii="Times New Roman" w:hAnsi="Times New Roman"/>
              </w:rPr>
              <w:t>T</w:t>
            </w:r>
            <w:r w:rsidR="00FF5E75" w:rsidRPr="00EF6C09">
              <w:rPr>
                <w:rFonts w:ascii="Times New Roman" w:hAnsi="Times New Roman"/>
              </w:rPr>
              <w:t xml:space="preserve">he Action corresponds to the </w:t>
            </w:r>
            <w:r w:rsidR="00FF5E75" w:rsidRPr="00EF6C09">
              <w:rPr>
                <w:rFonts w:ascii="Times New Roman" w:hAnsi="Times New Roman"/>
                <w:b/>
              </w:rPr>
              <w:t xml:space="preserve">National Strategy for Sustainable Development of North Macedonia 2010-2030, </w:t>
            </w:r>
            <w:r w:rsidR="00347CB4" w:rsidRPr="00EF6C09">
              <w:rPr>
                <w:rFonts w:ascii="Times New Roman" w:hAnsi="Times New Roman"/>
              </w:rPr>
              <w:t>which identifies</w:t>
            </w:r>
            <w:r w:rsidR="00FF5E75" w:rsidRPr="00EF6C09">
              <w:rPr>
                <w:rFonts w:ascii="Times New Roman" w:hAnsi="Times New Roman"/>
              </w:rPr>
              <w:t xml:space="preserve"> the </w:t>
            </w:r>
            <w:r w:rsidR="006A7A93" w:rsidRPr="00EF6C09">
              <w:rPr>
                <w:rFonts w:ascii="Times New Roman" w:hAnsi="Times New Roman"/>
              </w:rPr>
              <w:t xml:space="preserve">improvement of </w:t>
            </w:r>
            <w:r w:rsidR="00FF5E75" w:rsidRPr="00EF6C09">
              <w:rPr>
                <w:rFonts w:ascii="Times New Roman" w:hAnsi="Times New Roman"/>
              </w:rPr>
              <w:t xml:space="preserve">administrative capacities as </w:t>
            </w:r>
            <w:r w:rsidR="006A7A93" w:rsidRPr="00EF6C09">
              <w:rPr>
                <w:rFonts w:ascii="Times New Roman" w:hAnsi="Times New Roman"/>
              </w:rPr>
              <w:t xml:space="preserve">a </w:t>
            </w:r>
            <w:r w:rsidR="00347CB4" w:rsidRPr="00EF6C09">
              <w:rPr>
                <w:rFonts w:ascii="Times New Roman" w:hAnsi="Times New Roman"/>
              </w:rPr>
              <w:t xml:space="preserve">main </w:t>
            </w:r>
            <w:r w:rsidR="006A7A93" w:rsidRPr="00EF6C09">
              <w:rPr>
                <w:rFonts w:ascii="Times New Roman" w:hAnsi="Times New Roman"/>
              </w:rPr>
              <w:t>area of intervention</w:t>
            </w:r>
            <w:r w:rsidR="00347CB4" w:rsidRPr="00EF6C09">
              <w:rPr>
                <w:rFonts w:ascii="Times New Roman" w:hAnsi="Times New Roman"/>
              </w:rPr>
              <w:t xml:space="preserve"> in support of</w:t>
            </w:r>
            <w:r w:rsidR="00FF5E75" w:rsidRPr="00EF6C09">
              <w:rPr>
                <w:rFonts w:ascii="Times New Roman" w:hAnsi="Times New Roman"/>
              </w:rPr>
              <w:t xml:space="preserve"> the sustainable development and the EU Accession process</w:t>
            </w:r>
            <w:r w:rsidR="009D09C9" w:rsidRPr="00EF6C09">
              <w:rPr>
                <w:rFonts w:ascii="Times New Roman" w:hAnsi="Times New Roman"/>
              </w:rPr>
              <w:t>.</w:t>
            </w:r>
          </w:p>
          <w:p w14:paraId="2BF7A21B" w14:textId="7127FD34" w:rsidR="00C10421" w:rsidRPr="00EF6C09" w:rsidRDefault="006A7A93" w:rsidP="00506518">
            <w:pPr>
              <w:pStyle w:val="ListParagraph"/>
              <w:numPr>
                <w:ilvl w:val="0"/>
                <w:numId w:val="7"/>
              </w:numPr>
              <w:spacing w:line="240" w:lineRule="auto"/>
              <w:jc w:val="both"/>
              <w:rPr>
                <w:rFonts w:ascii="Times New Roman" w:hAnsi="Times New Roman"/>
                <w:iCs/>
              </w:rPr>
            </w:pPr>
            <w:r w:rsidRPr="00EF6C09">
              <w:rPr>
                <w:rFonts w:ascii="Times New Roman" w:hAnsi="Times New Roman"/>
              </w:rPr>
              <w:t>T</w:t>
            </w:r>
            <w:r w:rsidR="00C10421" w:rsidRPr="00EF6C09">
              <w:rPr>
                <w:rFonts w:ascii="Times New Roman" w:hAnsi="Times New Roman"/>
              </w:rPr>
              <w:t xml:space="preserve">he Action will facilitate </w:t>
            </w:r>
            <w:r w:rsidRPr="00EF6C09">
              <w:rPr>
                <w:rFonts w:ascii="Times New Roman" w:hAnsi="Times New Roman"/>
              </w:rPr>
              <w:t xml:space="preserve">the </w:t>
            </w:r>
            <w:r w:rsidR="00C10421" w:rsidRPr="00EF6C09">
              <w:rPr>
                <w:rFonts w:ascii="Times New Roman" w:hAnsi="Times New Roman"/>
              </w:rPr>
              <w:t xml:space="preserve">structural reforms as foreseen in the </w:t>
            </w:r>
            <w:r w:rsidR="00C10421" w:rsidRPr="00EF6C09">
              <w:rPr>
                <w:rFonts w:ascii="Times New Roman" w:hAnsi="Times New Roman"/>
                <w:b/>
              </w:rPr>
              <w:t>Economic Reform Programme 2020 – 2022</w:t>
            </w:r>
            <w:r w:rsidR="00C10421" w:rsidRPr="00EF6C09">
              <w:rPr>
                <w:rFonts w:ascii="Times New Roman" w:hAnsi="Times New Roman"/>
              </w:rPr>
              <w:t>, especially those related to strengthening the administrative capacities, reduction of informal economy and digitalisation of administrative services.</w:t>
            </w:r>
          </w:p>
        </w:tc>
      </w:tr>
      <w:tr w:rsidR="00D92F6C" w:rsidRPr="00EF6C09" w14:paraId="263DDEFA" w14:textId="77777777" w:rsidTr="0090686E">
        <w:trPr>
          <w:jc w:val="center"/>
        </w:trPr>
        <w:tc>
          <w:tcPr>
            <w:tcW w:w="534" w:type="dxa"/>
            <w:vMerge/>
            <w:tcBorders>
              <w:left w:val="single" w:sz="4" w:space="0" w:color="auto"/>
              <w:right w:val="single" w:sz="4" w:space="0" w:color="auto"/>
            </w:tcBorders>
          </w:tcPr>
          <w:p w14:paraId="24C59DB7" w14:textId="77777777" w:rsidR="00D92F6C" w:rsidRPr="00EF6C09" w:rsidRDefault="00D92F6C" w:rsidP="00392B54">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C4048A7" w14:textId="77777777" w:rsidR="00D92F6C" w:rsidRPr="00EF6C09" w:rsidRDefault="00D92F6C" w:rsidP="00392B54">
            <w:pPr>
              <w:rPr>
                <w:rFonts w:ascii="Times New Roman" w:hAnsi="Times New Roman"/>
              </w:rPr>
            </w:pPr>
            <w:r w:rsidRPr="00EF6C09">
              <w:rPr>
                <w:rFonts w:ascii="Times New Roman" w:hAnsi="Times New Roman"/>
              </w:rPr>
              <w:t xml:space="preserve">Coherence </w:t>
            </w:r>
            <w:r w:rsidR="00902D84" w:rsidRPr="00EF6C09">
              <w:rPr>
                <w:rFonts w:ascii="Times New Roman" w:hAnsi="Times New Roman"/>
              </w:rPr>
              <w:t>with the</w:t>
            </w:r>
            <w:r w:rsidRPr="00EF6C09">
              <w:rPr>
                <w:rFonts w:ascii="Times New Roman" w:hAnsi="Times New Roman"/>
              </w:rPr>
              <w:t xml:space="preserve"> Sector Approach</w:t>
            </w:r>
          </w:p>
        </w:tc>
        <w:tc>
          <w:tcPr>
            <w:tcW w:w="7116" w:type="dxa"/>
            <w:tcBorders>
              <w:top w:val="single" w:sz="4" w:space="0" w:color="auto"/>
              <w:left w:val="single" w:sz="4" w:space="0" w:color="auto"/>
              <w:bottom w:val="single" w:sz="4" w:space="0" w:color="auto"/>
              <w:right w:val="single" w:sz="4" w:space="0" w:color="auto"/>
            </w:tcBorders>
            <w:shd w:val="clear" w:color="auto" w:fill="auto"/>
          </w:tcPr>
          <w:p w14:paraId="592FF9F8" w14:textId="77777777" w:rsidR="00732040" w:rsidRPr="00EF6C09" w:rsidRDefault="00732040" w:rsidP="00732040">
            <w:pPr>
              <w:spacing w:line="240" w:lineRule="auto"/>
              <w:jc w:val="both"/>
              <w:rPr>
                <w:rFonts w:ascii="Times New Roman" w:hAnsi="Times New Roman"/>
                <w:lang w:bidi="mn-Mong-CN"/>
              </w:rPr>
            </w:pPr>
            <w:r w:rsidRPr="00EF6C09">
              <w:rPr>
                <w:rFonts w:ascii="Times New Roman" w:hAnsi="Times New Roman"/>
                <w:lang w:bidi="mn-Mong-CN"/>
              </w:rPr>
              <w:t xml:space="preserve">North Macedonia has progressed in introducing the Sector Approach since 2017. </w:t>
            </w:r>
          </w:p>
          <w:p w14:paraId="2B407E26" w14:textId="6C421C18" w:rsidR="006A7A93" w:rsidRPr="00EF6C09" w:rsidRDefault="00380C8A" w:rsidP="00574CCB">
            <w:pPr>
              <w:spacing w:line="240" w:lineRule="auto"/>
              <w:jc w:val="both"/>
              <w:rPr>
                <w:rFonts w:ascii="Times New Roman" w:hAnsi="Times New Roman"/>
                <w:lang w:bidi="mn-Mong-CN"/>
              </w:rPr>
            </w:pPr>
            <w:r>
              <w:rPr>
                <w:rFonts w:ascii="Times New Roman" w:hAnsi="Times New Roman"/>
                <w:lang w:bidi="mn-Mong-CN"/>
              </w:rPr>
              <w:t>The Strategy on Public Administration Reform under implementation since 2018 represents t</w:t>
            </w:r>
            <w:r w:rsidR="00732040" w:rsidRPr="00EF6C09">
              <w:rPr>
                <w:rFonts w:ascii="Times New Roman" w:hAnsi="Times New Roman"/>
                <w:lang w:bidi="mn-Mong-CN"/>
              </w:rPr>
              <w:t>he strategic framework related to goo</w:t>
            </w:r>
            <w:r w:rsidR="006A7A93" w:rsidRPr="00EF6C09">
              <w:rPr>
                <w:rFonts w:ascii="Times New Roman" w:hAnsi="Times New Roman"/>
                <w:lang w:bidi="mn-Mong-CN"/>
              </w:rPr>
              <w:t xml:space="preserve">d governance. </w:t>
            </w:r>
            <w:r w:rsidR="00B913A3" w:rsidRPr="00EF6C09">
              <w:rPr>
                <w:rFonts w:ascii="Times New Roman" w:hAnsi="Times New Roman"/>
                <w:lang w:bidi="mn-Mong-CN"/>
              </w:rPr>
              <w:t xml:space="preserve">The Strategy is credible and provides good overview of the goals, measures and targets. </w:t>
            </w:r>
            <w:r w:rsidR="005A682E">
              <w:rPr>
                <w:rFonts w:ascii="Times New Roman" w:hAnsi="Times New Roman"/>
                <w:lang w:bidi="mn-Mong-CN"/>
              </w:rPr>
              <w:t>It defines t</w:t>
            </w:r>
            <w:r w:rsidR="00B913A3" w:rsidRPr="00EF6C09">
              <w:rPr>
                <w:rFonts w:ascii="Times New Roman" w:hAnsi="Times New Roman"/>
                <w:lang w:bidi="mn-Mong-CN"/>
              </w:rPr>
              <w:t>he monitoring of the PAR implementation involv</w:t>
            </w:r>
            <w:r w:rsidR="005A682E">
              <w:rPr>
                <w:rFonts w:ascii="Times New Roman" w:hAnsi="Times New Roman"/>
                <w:lang w:bidi="mn-Mong-CN"/>
              </w:rPr>
              <w:t>ing relevant</w:t>
            </w:r>
            <w:r w:rsidR="00B913A3" w:rsidRPr="00EF6C09">
              <w:rPr>
                <w:rFonts w:ascii="Times New Roman" w:hAnsi="Times New Roman"/>
                <w:lang w:bidi="mn-Mong-CN"/>
              </w:rPr>
              <w:t xml:space="preserve"> decision-makers. Reports on PAR strategy are public. </w:t>
            </w:r>
            <w:r w:rsidR="005A682E">
              <w:rPr>
                <w:rFonts w:ascii="Times New Roman" w:hAnsi="Times New Roman"/>
                <w:lang w:bidi="mn-Mong-CN"/>
              </w:rPr>
              <w:t>In 2020 the Government set concrete steps for improving t</w:t>
            </w:r>
            <w:r w:rsidR="00B913A3" w:rsidRPr="00EF6C09">
              <w:rPr>
                <w:rFonts w:ascii="Times New Roman" w:hAnsi="Times New Roman"/>
                <w:lang w:bidi="mn-Mong-CN"/>
              </w:rPr>
              <w:t xml:space="preserve">he monitoring through refining of the success indicators and providing more regular (than annual) data on key indicators. </w:t>
            </w:r>
            <w:r w:rsidR="005A682E">
              <w:rPr>
                <w:rFonts w:ascii="Times New Roman" w:hAnsi="Times New Roman"/>
                <w:lang w:bidi="mn-Mong-CN"/>
              </w:rPr>
              <w:t>The S</w:t>
            </w:r>
            <w:r w:rsidR="00B913A3" w:rsidRPr="00EF6C09">
              <w:rPr>
                <w:rFonts w:ascii="Times New Roman" w:hAnsi="Times New Roman"/>
                <w:lang w:bidi="mn-Mong-CN"/>
              </w:rPr>
              <w:t xml:space="preserve">ector </w:t>
            </w:r>
            <w:r w:rsidR="005A682E">
              <w:rPr>
                <w:rFonts w:ascii="Times New Roman" w:hAnsi="Times New Roman"/>
                <w:lang w:bidi="mn-Mong-CN"/>
              </w:rPr>
              <w:t>P</w:t>
            </w:r>
            <w:r w:rsidR="00B913A3" w:rsidRPr="00EF6C09">
              <w:rPr>
                <w:rFonts w:ascii="Times New Roman" w:hAnsi="Times New Roman"/>
                <w:lang w:bidi="mn-Mong-CN"/>
              </w:rPr>
              <w:t xml:space="preserve">erformance </w:t>
            </w:r>
            <w:r w:rsidR="005A682E">
              <w:rPr>
                <w:rFonts w:ascii="Times New Roman" w:hAnsi="Times New Roman"/>
                <w:lang w:bidi="mn-Mong-CN"/>
              </w:rPr>
              <w:t>A</w:t>
            </w:r>
            <w:r w:rsidR="00B913A3" w:rsidRPr="00EF6C09">
              <w:rPr>
                <w:rFonts w:ascii="Times New Roman" w:hAnsi="Times New Roman"/>
                <w:lang w:bidi="mn-Mong-CN"/>
              </w:rPr>
              <w:t xml:space="preserve">ssessment </w:t>
            </w:r>
            <w:r w:rsidR="005A682E">
              <w:rPr>
                <w:rFonts w:ascii="Times New Roman" w:hAnsi="Times New Roman"/>
                <w:lang w:bidi="mn-Mong-CN"/>
              </w:rPr>
              <w:t>F</w:t>
            </w:r>
            <w:r w:rsidR="00B913A3" w:rsidRPr="00EF6C09">
              <w:rPr>
                <w:rFonts w:ascii="Times New Roman" w:hAnsi="Times New Roman"/>
                <w:lang w:bidi="mn-Mong-CN"/>
              </w:rPr>
              <w:t>ramework</w:t>
            </w:r>
            <w:r w:rsidR="00680AA1" w:rsidRPr="00EF6C09">
              <w:rPr>
                <w:rFonts w:ascii="Times New Roman" w:hAnsi="Times New Roman"/>
                <w:lang w:bidi="mn-Mong-CN"/>
              </w:rPr>
              <w:t xml:space="preserve"> (PAF)</w:t>
            </w:r>
            <w:r w:rsidR="00B913A3" w:rsidRPr="00EF6C09">
              <w:rPr>
                <w:rFonts w:ascii="Times New Roman" w:hAnsi="Times New Roman"/>
                <w:lang w:bidi="mn-Mong-CN"/>
              </w:rPr>
              <w:t xml:space="preserve"> </w:t>
            </w:r>
            <w:r w:rsidR="005A682E">
              <w:rPr>
                <w:rFonts w:ascii="Times New Roman" w:hAnsi="Times New Roman"/>
                <w:lang w:bidi="mn-Mong-CN"/>
              </w:rPr>
              <w:t>includes</w:t>
            </w:r>
            <w:r w:rsidR="00B913A3" w:rsidRPr="00EF6C09">
              <w:rPr>
                <w:rFonts w:ascii="Times New Roman" w:hAnsi="Times New Roman"/>
                <w:lang w:bidi="mn-Mong-CN"/>
              </w:rPr>
              <w:t xml:space="preserve"> a set of impact and outcome indicators, targets and baseline data</w:t>
            </w:r>
            <w:r w:rsidR="005A682E">
              <w:rPr>
                <w:rFonts w:ascii="Times New Roman" w:hAnsi="Times New Roman"/>
                <w:lang w:bidi="mn-Mong-CN"/>
              </w:rPr>
              <w:t xml:space="preserve"> with more than 20 indicators</w:t>
            </w:r>
            <w:r w:rsidR="00680AA1" w:rsidRPr="00EF6C09">
              <w:rPr>
                <w:rFonts w:ascii="Times New Roman" w:hAnsi="Times New Roman"/>
                <w:lang w:bidi="mn-Mong-CN"/>
              </w:rPr>
              <w:t>. T</w:t>
            </w:r>
            <w:r w:rsidR="00B913A3" w:rsidRPr="00EF6C09">
              <w:rPr>
                <w:rFonts w:ascii="Times New Roman" w:hAnsi="Times New Roman"/>
                <w:lang w:bidi="mn-Mong-CN"/>
              </w:rPr>
              <w:t xml:space="preserve">hese indicators provide a solid system for measuring the progress in compliance with evidence-based approach in </w:t>
            </w:r>
            <w:r w:rsidR="005A682E" w:rsidRPr="00EF6C09">
              <w:rPr>
                <w:rFonts w:ascii="Times New Roman" w:hAnsi="Times New Roman"/>
                <w:lang w:bidi="mn-Mong-CN"/>
              </w:rPr>
              <w:t>policymaking</w:t>
            </w:r>
            <w:r w:rsidR="00680AA1" w:rsidRPr="00EF6C09">
              <w:rPr>
                <w:rFonts w:ascii="Times New Roman" w:hAnsi="Times New Roman"/>
                <w:lang w:bidi="mn-Mong-CN"/>
              </w:rPr>
              <w:t>.</w:t>
            </w:r>
          </w:p>
          <w:p w14:paraId="20958DFD" w14:textId="2FEAA4A3" w:rsidR="00546C8C" w:rsidRPr="00EF6C09" w:rsidRDefault="006A7A93" w:rsidP="00574CCB">
            <w:pPr>
              <w:spacing w:line="240" w:lineRule="auto"/>
              <w:jc w:val="both"/>
              <w:rPr>
                <w:rFonts w:ascii="Times New Roman" w:hAnsi="Times New Roman"/>
                <w:lang w:bidi="mn-Mong-CN"/>
              </w:rPr>
            </w:pPr>
            <w:r w:rsidRPr="00EF6C09">
              <w:rPr>
                <w:rFonts w:ascii="Times New Roman" w:hAnsi="Times New Roman"/>
                <w:lang w:bidi="mn-Mong-CN"/>
              </w:rPr>
              <w:t xml:space="preserve">The </w:t>
            </w:r>
            <w:proofErr w:type="gramStart"/>
            <w:r w:rsidR="00311406">
              <w:rPr>
                <w:rFonts w:ascii="Times New Roman" w:hAnsi="Times New Roman"/>
                <w:lang w:bidi="mn-Mong-CN"/>
              </w:rPr>
              <w:t>sector working</w:t>
            </w:r>
            <w:proofErr w:type="gramEnd"/>
            <w:r w:rsidR="00311406">
              <w:rPr>
                <w:rFonts w:ascii="Times New Roman" w:hAnsi="Times New Roman"/>
                <w:lang w:bidi="mn-Mong-CN"/>
              </w:rPr>
              <w:t xml:space="preserve"> group, SWG on PAR channels the </w:t>
            </w:r>
            <w:r w:rsidRPr="00EF6C09">
              <w:rPr>
                <w:rFonts w:ascii="Times New Roman" w:hAnsi="Times New Roman"/>
                <w:lang w:bidi="mn-Mong-CN"/>
              </w:rPr>
              <w:t>sector policy dialogue since</w:t>
            </w:r>
            <w:r w:rsidR="008406F2" w:rsidRPr="00EF6C09">
              <w:rPr>
                <w:rFonts w:ascii="Times New Roman" w:hAnsi="Times New Roman"/>
                <w:lang w:bidi="mn-Mong-CN"/>
              </w:rPr>
              <w:t xml:space="preserve"> 2017. </w:t>
            </w:r>
            <w:r w:rsidR="00732040" w:rsidRPr="00EF6C09">
              <w:rPr>
                <w:rFonts w:ascii="Times New Roman" w:hAnsi="Times New Roman"/>
                <w:lang w:bidi="mn-Mong-CN"/>
              </w:rPr>
              <w:t>The SWG work</w:t>
            </w:r>
            <w:r w:rsidR="008406F2" w:rsidRPr="00EF6C09">
              <w:rPr>
                <w:rFonts w:ascii="Times New Roman" w:hAnsi="Times New Roman"/>
                <w:lang w:bidi="mn-Mong-CN"/>
              </w:rPr>
              <w:t>s</w:t>
            </w:r>
            <w:r w:rsidR="00732040" w:rsidRPr="00EF6C09">
              <w:rPr>
                <w:rFonts w:ascii="Times New Roman" w:hAnsi="Times New Roman"/>
                <w:lang w:bidi="mn-Mong-CN"/>
              </w:rPr>
              <w:t xml:space="preserve"> in an incl</w:t>
            </w:r>
            <w:r w:rsidRPr="00EF6C09">
              <w:rPr>
                <w:rFonts w:ascii="Times New Roman" w:hAnsi="Times New Roman"/>
                <w:lang w:bidi="mn-Mong-CN"/>
              </w:rPr>
              <w:t xml:space="preserve">usive and participatory manner; it </w:t>
            </w:r>
            <w:r w:rsidR="00732040" w:rsidRPr="00EF6C09">
              <w:rPr>
                <w:rFonts w:ascii="Times New Roman" w:hAnsi="Times New Roman"/>
                <w:lang w:bidi="mn-Mong-CN"/>
              </w:rPr>
              <w:t>voice</w:t>
            </w:r>
            <w:r w:rsidRPr="00EF6C09">
              <w:rPr>
                <w:rFonts w:ascii="Times New Roman" w:hAnsi="Times New Roman"/>
                <w:lang w:bidi="mn-Mong-CN"/>
              </w:rPr>
              <w:t>s</w:t>
            </w:r>
            <w:r w:rsidR="00732040" w:rsidRPr="00EF6C09">
              <w:rPr>
                <w:rFonts w:ascii="Times New Roman" w:hAnsi="Times New Roman"/>
                <w:lang w:bidi="mn-Mong-CN"/>
              </w:rPr>
              <w:t xml:space="preserve"> the opinion of relevant state institutions</w:t>
            </w:r>
            <w:r w:rsidR="00B913A3" w:rsidRPr="00EF6C09">
              <w:rPr>
                <w:rFonts w:ascii="Times New Roman" w:hAnsi="Times New Roman"/>
                <w:lang w:bidi="mn-Mong-CN"/>
              </w:rPr>
              <w:t xml:space="preserve">, donors, </w:t>
            </w:r>
            <w:r w:rsidR="00732040" w:rsidRPr="00EF6C09">
              <w:rPr>
                <w:rFonts w:ascii="Times New Roman" w:hAnsi="Times New Roman"/>
                <w:lang w:bidi="mn-Mong-CN"/>
              </w:rPr>
              <w:t xml:space="preserve">and civil society on how the sector develops, how effective the current policies are, how the various donors contribute to the national sector priorities.  </w:t>
            </w:r>
            <w:r w:rsidR="00B913A3" w:rsidRPr="00EF6C09">
              <w:rPr>
                <w:rFonts w:ascii="Times New Roman" w:hAnsi="Times New Roman"/>
                <w:lang w:bidi="mn-Mong-CN"/>
              </w:rPr>
              <w:t>The SWG operates in technical/expert and decision-making format, chaired by the Minister of Public administration and Information society.</w:t>
            </w:r>
          </w:p>
          <w:p w14:paraId="36142ECE" w14:textId="3E81A7DA" w:rsidR="00732040" w:rsidRPr="00EF6C09" w:rsidRDefault="00732040" w:rsidP="00AB638C">
            <w:pPr>
              <w:spacing w:after="0" w:line="240" w:lineRule="auto"/>
              <w:jc w:val="both"/>
              <w:rPr>
                <w:rFonts w:ascii="Times New Roman" w:hAnsi="Times New Roman"/>
                <w:lang w:bidi="mn-Mong-CN"/>
              </w:rPr>
            </w:pPr>
            <w:r w:rsidRPr="00EF6C09">
              <w:rPr>
                <w:rFonts w:ascii="Times New Roman" w:hAnsi="Times New Roman"/>
                <w:lang w:bidi="mn-Mong-CN"/>
              </w:rPr>
              <w:t xml:space="preserve">Overall, the institutional set-up is supportive to on-going and planned reforms. </w:t>
            </w:r>
            <w:r w:rsidR="00B913A3" w:rsidRPr="00EF6C09">
              <w:rPr>
                <w:rFonts w:ascii="Times New Roman" w:hAnsi="Times New Roman"/>
                <w:lang w:bidi="mn-Mong-CN"/>
              </w:rPr>
              <w:t xml:space="preserve">The institutional arrangements are in place to drive and coordinate the public administration reform. </w:t>
            </w:r>
            <w:r w:rsidRPr="00EF6C09">
              <w:rPr>
                <w:rFonts w:ascii="Times New Roman" w:hAnsi="Times New Roman"/>
                <w:lang w:bidi="mn-Mong-CN"/>
              </w:rPr>
              <w:t xml:space="preserve">However, the administrative capacity </w:t>
            </w:r>
            <w:r w:rsidR="00680AA1" w:rsidRPr="00EF6C09">
              <w:rPr>
                <w:rFonts w:ascii="Times New Roman" w:hAnsi="Times New Roman"/>
                <w:lang w:bidi="mn-Mong-CN"/>
              </w:rPr>
              <w:t>need to</w:t>
            </w:r>
            <w:r w:rsidRPr="00EF6C09">
              <w:rPr>
                <w:rFonts w:ascii="Times New Roman" w:hAnsi="Times New Roman"/>
                <w:lang w:bidi="mn-Mong-CN"/>
              </w:rPr>
              <w:t xml:space="preserve"> be further strengthened to ensure </w:t>
            </w:r>
            <w:r w:rsidR="00680AA1" w:rsidRPr="00EF6C09">
              <w:rPr>
                <w:rFonts w:ascii="Times New Roman" w:hAnsi="Times New Roman"/>
                <w:lang w:bidi="mn-Mong-CN"/>
              </w:rPr>
              <w:t>good governance and progress in EU accession</w:t>
            </w:r>
            <w:r w:rsidRPr="00EF6C09">
              <w:rPr>
                <w:rFonts w:ascii="Times New Roman" w:hAnsi="Times New Roman"/>
                <w:lang w:bidi="mn-Mong-CN"/>
              </w:rPr>
              <w:t xml:space="preserve">. </w:t>
            </w:r>
            <w:r w:rsidR="00680AA1" w:rsidRPr="00EF6C09">
              <w:rPr>
                <w:rFonts w:ascii="Times New Roman" w:hAnsi="Times New Roman"/>
                <w:lang w:bidi="mn-Mong-CN"/>
              </w:rPr>
              <w:t xml:space="preserve">Focus </w:t>
            </w:r>
            <w:r w:rsidR="00311406">
              <w:rPr>
                <w:rFonts w:ascii="Times New Roman" w:hAnsi="Times New Roman"/>
                <w:lang w:bidi="mn-Mong-CN"/>
              </w:rPr>
              <w:t>will be</w:t>
            </w:r>
            <w:r w:rsidR="00680AA1" w:rsidRPr="00EF6C09">
              <w:rPr>
                <w:rFonts w:ascii="Times New Roman" w:hAnsi="Times New Roman"/>
                <w:lang w:bidi="mn-Mong-CN"/>
              </w:rPr>
              <w:t xml:space="preserve"> on issues such as l</w:t>
            </w:r>
            <w:r w:rsidRPr="00EF6C09">
              <w:rPr>
                <w:rFonts w:ascii="Times New Roman" w:hAnsi="Times New Roman"/>
                <w:lang w:bidi="mn-Mong-CN"/>
              </w:rPr>
              <w:t xml:space="preserve">ack of staff with adequate competences and involvement in the </w:t>
            </w:r>
            <w:r w:rsidR="00680AA1" w:rsidRPr="00EF6C09">
              <w:rPr>
                <w:rFonts w:ascii="Times New Roman" w:hAnsi="Times New Roman"/>
                <w:lang w:bidi="mn-Mong-CN"/>
              </w:rPr>
              <w:t>decision-making</w:t>
            </w:r>
            <w:r w:rsidRPr="00EF6C09">
              <w:rPr>
                <w:rFonts w:ascii="Times New Roman" w:hAnsi="Times New Roman"/>
                <w:lang w:bidi="mn-Mong-CN"/>
              </w:rPr>
              <w:t>, satisfactory level of managerial accountability in the decision-making process</w:t>
            </w:r>
            <w:r w:rsidR="00680AA1" w:rsidRPr="00EF6C09">
              <w:rPr>
                <w:rFonts w:ascii="Times New Roman" w:hAnsi="Times New Roman"/>
                <w:lang w:bidi="mn-Mong-CN"/>
              </w:rPr>
              <w:t>, viable retention policy across the whole administration</w:t>
            </w:r>
            <w:r w:rsidR="007C67AA" w:rsidRPr="00EF6C09">
              <w:rPr>
                <w:rFonts w:ascii="Times New Roman" w:hAnsi="Times New Roman"/>
                <w:lang w:bidi="mn-Mong-CN"/>
              </w:rPr>
              <w:t>.</w:t>
            </w:r>
          </w:p>
          <w:p w14:paraId="3F54593F" w14:textId="77777777" w:rsidR="00902D84" w:rsidRPr="00EF6C09" w:rsidRDefault="00902D84" w:rsidP="00AB638C">
            <w:pPr>
              <w:spacing w:after="0" w:line="240" w:lineRule="auto"/>
              <w:jc w:val="both"/>
              <w:rPr>
                <w:rFonts w:ascii="Times New Roman" w:hAnsi="Times New Roman"/>
                <w:lang w:bidi="mn-Mong-CN"/>
              </w:rPr>
            </w:pPr>
          </w:p>
          <w:p w14:paraId="21F09982" w14:textId="7E952CCB" w:rsidR="00776697" w:rsidRPr="00EF6C09" w:rsidRDefault="007676D9" w:rsidP="00311406">
            <w:pPr>
              <w:spacing w:after="0" w:line="240" w:lineRule="auto"/>
              <w:jc w:val="both"/>
              <w:rPr>
                <w:rFonts w:ascii="Times New Roman" w:hAnsi="Times New Roman"/>
                <w:lang w:bidi="mn-Mong-CN"/>
              </w:rPr>
            </w:pPr>
            <w:r w:rsidRPr="00EF6C09">
              <w:rPr>
                <w:rFonts w:ascii="Times New Roman" w:hAnsi="Times New Roman"/>
                <w:lang w:bidi="mn-Mong-CN"/>
              </w:rPr>
              <w:t>The budget for implementation of the</w:t>
            </w:r>
            <w:r w:rsidR="00732040" w:rsidRPr="00EF6C09">
              <w:rPr>
                <w:rFonts w:ascii="Times New Roman" w:hAnsi="Times New Roman"/>
                <w:lang w:bidi="mn-Mong-CN"/>
              </w:rPr>
              <w:t xml:space="preserve"> PAR </w:t>
            </w:r>
            <w:r w:rsidRPr="00EF6C09">
              <w:rPr>
                <w:rFonts w:ascii="Times New Roman" w:hAnsi="Times New Roman"/>
                <w:lang w:bidi="mn-Mong-CN"/>
              </w:rPr>
              <w:t xml:space="preserve">is increasing gradually and </w:t>
            </w:r>
            <w:r w:rsidR="00311406">
              <w:rPr>
                <w:rFonts w:ascii="Times New Roman" w:hAnsi="Times New Roman"/>
                <w:lang w:bidi="mn-Mong-CN"/>
              </w:rPr>
              <w:t>is</w:t>
            </w:r>
            <w:r w:rsidRPr="00EF6C09">
              <w:rPr>
                <w:rFonts w:ascii="Times New Roman" w:hAnsi="Times New Roman"/>
                <w:lang w:bidi="mn-Mong-CN"/>
              </w:rPr>
              <w:t xml:space="preserve"> suffi</w:t>
            </w:r>
            <w:r w:rsidR="00AC6639" w:rsidRPr="00EF6C09">
              <w:rPr>
                <w:rFonts w:ascii="Times New Roman" w:hAnsi="Times New Roman"/>
                <w:lang w:bidi="mn-Mong-CN"/>
              </w:rPr>
              <w:t xml:space="preserve">cient for the planned measures – the funds for the measures for 2020 amount to over 27 MEUR (however, only a very small part of them </w:t>
            </w:r>
            <w:proofErr w:type="gramStart"/>
            <w:r w:rsidR="00AC6639" w:rsidRPr="00EF6C09">
              <w:rPr>
                <w:rFonts w:ascii="Times New Roman" w:hAnsi="Times New Roman"/>
                <w:lang w:bidi="mn-Mong-CN"/>
              </w:rPr>
              <w:t>is linked</w:t>
            </w:r>
            <w:proofErr w:type="gramEnd"/>
            <w:r w:rsidR="00AC6639" w:rsidRPr="00EF6C09">
              <w:rPr>
                <w:rFonts w:ascii="Times New Roman" w:hAnsi="Times New Roman"/>
                <w:lang w:bidi="mn-Mong-CN"/>
              </w:rPr>
              <w:t xml:space="preserve"> to the PAR measures other than salaries). T</w:t>
            </w:r>
            <w:r w:rsidRPr="00EF6C09">
              <w:rPr>
                <w:rFonts w:ascii="Times New Roman" w:hAnsi="Times New Roman"/>
                <w:lang w:bidi="mn-Mong-CN"/>
              </w:rPr>
              <w:t>he reforms envisage significant downsizing of the administration</w:t>
            </w:r>
            <w:r w:rsidR="00AC6639" w:rsidRPr="00EF6C09">
              <w:rPr>
                <w:rFonts w:ascii="Times New Roman" w:hAnsi="Times New Roman"/>
                <w:lang w:bidi="mn-Mong-CN"/>
              </w:rPr>
              <w:t xml:space="preserve">, which will provide </w:t>
            </w:r>
            <w:r w:rsidRPr="00EF6C09">
              <w:rPr>
                <w:rFonts w:ascii="Times New Roman" w:hAnsi="Times New Roman"/>
                <w:lang w:bidi="mn-Mong-CN"/>
              </w:rPr>
              <w:t xml:space="preserve">larger </w:t>
            </w:r>
            <w:r w:rsidR="00AC6639" w:rsidRPr="00EF6C09">
              <w:rPr>
                <w:rFonts w:ascii="Times New Roman" w:hAnsi="Times New Roman"/>
                <w:lang w:bidi="mn-Mong-CN"/>
              </w:rPr>
              <w:t>space for promotion and retention policies. T</w:t>
            </w:r>
            <w:r w:rsidR="00732040" w:rsidRPr="00EF6C09">
              <w:rPr>
                <w:rFonts w:ascii="Times New Roman" w:hAnsi="Times New Roman"/>
                <w:lang w:bidi="mn-Mong-CN"/>
              </w:rPr>
              <w:t xml:space="preserve">he development of a midterm budget perspective </w:t>
            </w:r>
            <w:r w:rsidR="00AC6639" w:rsidRPr="00EF6C09">
              <w:rPr>
                <w:rFonts w:ascii="Times New Roman" w:hAnsi="Times New Roman"/>
                <w:lang w:bidi="mn-Mong-CN"/>
              </w:rPr>
              <w:t>– planned for 2020 – will support the financial planning for PAR</w:t>
            </w:r>
            <w:r w:rsidR="00732040" w:rsidRPr="00EF6C09">
              <w:rPr>
                <w:rFonts w:ascii="Times New Roman" w:hAnsi="Times New Roman"/>
                <w:lang w:bidi="mn-Mong-CN"/>
              </w:rPr>
              <w:t xml:space="preserve"> </w:t>
            </w:r>
            <w:r w:rsidR="00AC6639" w:rsidRPr="00EF6C09">
              <w:rPr>
                <w:rFonts w:ascii="Times New Roman" w:hAnsi="Times New Roman"/>
                <w:lang w:bidi="mn-Mong-CN"/>
              </w:rPr>
              <w:t>and will increase the credibility of the reform</w:t>
            </w:r>
            <w:r w:rsidR="00732040" w:rsidRPr="00EF6C09">
              <w:rPr>
                <w:rFonts w:ascii="Times New Roman" w:hAnsi="Times New Roman"/>
                <w:lang w:bidi="mn-Mong-CN"/>
              </w:rPr>
              <w:t>.</w:t>
            </w:r>
          </w:p>
        </w:tc>
      </w:tr>
      <w:tr w:rsidR="00D92F6C" w:rsidRPr="00EF6C09" w14:paraId="4FB0BAF7" w14:textId="77777777" w:rsidTr="0090686E">
        <w:trPr>
          <w:jc w:val="center"/>
        </w:trPr>
        <w:tc>
          <w:tcPr>
            <w:tcW w:w="534" w:type="dxa"/>
            <w:vMerge/>
            <w:tcBorders>
              <w:left w:val="single" w:sz="4" w:space="0" w:color="auto"/>
              <w:bottom w:val="single" w:sz="4" w:space="0" w:color="auto"/>
              <w:right w:val="single" w:sz="4" w:space="0" w:color="auto"/>
            </w:tcBorders>
          </w:tcPr>
          <w:p w14:paraId="2E9FF2FD" w14:textId="77777777" w:rsidR="00D92F6C" w:rsidRPr="00EF6C09" w:rsidRDefault="00D92F6C" w:rsidP="00392B54">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939A967" w14:textId="77777777" w:rsidR="00D92F6C" w:rsidRPr="00EF6C09" w:rsidRDefault="00D92F6C" w:rsidP="00392B54">
            <w:pPr>
              <w:rPr>
                <w:rFonts w:ascii="Times New Roman" w:hAnsi="Times New Roman"/>
              </w:rPr>
            </w:pPr>
            <w:r w:rsidRPr="00EF6C09">
              <w:rPr>
                <w:rFonts w:ascii="Times New Roman" w:hAnsi="Times New Roman"/>
              </w:rPr>
              <w:t>Regional dimension</w:t>
            </w:r>
          </w:p>
        </w:tc>
        <w:tc>
          <w:tcPr>
            <w:tcW w:w="7116" w:type="dxa"/>
            <w:tcBorders>
              <w:top w:val="single" w:sz="4" w:space="0" w:color="auto"/>
              <w:left w:val="single" w:sz="4" w:space="0" w:color="auto"/>
              <w:bottom w:val="single" w:sz="4" w:space="0" w:color="auto"/>
              <w:right w:val="single" w:sz="4" w:space="0" w:color="auto"/>
            </w:tcBorders>
            <w:shd w:val="clear" w:color="auto" w:fill="auto"/>
          </w:tcPr>
          <w:p w14:paraId="4424B7EC" w14:textId="77777777" w:rsidR="00D92F6C" w:rsidRPr="00EF6C09" w:rsidRDefault="00732040" w:rsidP="00085CAE">
            <w:pPr>
              <w:spacing w:after="120" w:line="240" w:lineRule="auto"/>
              <w:jc w:val="both"/>
              <w:rPr>
                <w:rFonts w:ascii="Times New Roman" w:hAnsi="Times New Roman"/>
              </w:rPr>
            </w:pPr>
            <w:r w:rsidRPr="00EF6C09">
              <w:rPr>
                <w:rFonts w:ascii="Times New Roman" w:hAnsi="Times New Roman"/>
                <w:i/>
              </w:rPr>
              <w:t>Not applicable</w:t>
            </w:r>
          </w:p>
        </w:tc>
      </w:tr>
      <w:tr w:rsidR="00D92F6C" w:rsidRPr="00EF6C09" w14:paraId="11AD770A" w14:textId="77777777" w:rsidTr="0090686E">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4A017497" w14:textId="77777777" w:rsidR="00D92F6C" w:rsidRPr="00EF6C09" w:rsidRDefault="00D92F6C" w:rsidP="00392B54">
            <w:pPr>
              <w:rPr>
                <w:rFonts w:ascii="Times New Roman" w:hAnsi="Times New Roman"/>
              </w:rPr>
            </w:pPr>
            <w:r w:rsidRPr="00EF6C09">
              <w:rPr>
                <w:rFonts w:ascii="Times New Roman" w:hAnsi="Times New Roman"/>
              </w:rPr>
              <w:t>Indicative budget</w:t>
            </w:r>
          </w:p>
        </w:tc>
        <w:tc>
          <w:tcPr>
            <w:tcW w:w="7116" w:type="dxa"/>
            <w:tcBorders>
              <w:top w:val="single" w:sz="4" w:space="0" w:color="auto"/>
              <w:left w:val="single" w:sz="4" w:space="0" w:color="auto"/>
              <w:bottom w:val="single" w:sz="4" w:space="0" w:color="auto"/>
              <w:right w:val="single" w:sz="4" w:space="0" w:color="auto"/>
            </w:tcBorders>
            <w:shd w:val="clear" w:color="auto" w:fill="auto"/>
          </w:tcPr>
          <w:p w14:paraId="34E29D0C" w14:textId="77777777" w:rsidR="00B766E4" w:rsidRPr="00EF6C09" w:rsidRDefault="00B766E4" w:rsidP="00392B54">
            <w:pPr>
              <w:spacing w:after="120" w:line="240" w:lineRule="auto"/>
              <w:jc w:val="both"/>
              <w:rPr>
                <w:rFonts w:ascii="Times New Roman" w:hAnsi="Times New Roman"/>
                <w:lang w:val="en-US"/>
              </w:rPr>
            </w:pPr>
            <w:r w:rsidRPr="00EF6C09">
              <w:rPr>
                <w:rFonts w:ascii="Times New Roman" w:hAnsi="Times New Roman"/>
                <w:lang w:val="en-US"/>
              </w:rPr>
              <w:t>Total</w:t>
            </w:r>
            <w:r w:rsidR="00B262B0" w:rsidRPr="00EF6C09">
              <w:rPr>
                <w:rFonts w:ascii="Times New Roman" w:hAnsi="Times New Roman"/>
                <w:lang w:val="en-US"/>
              </w:rPr>
              <w:t xml:space="preserve"> budget: EUR </w:t>
            </w:r>
            <w:r w:rsidR="007C67AA" w:rsidRPr="00EF6C09">
              <w:rPr>
                <w:rFonts w:ascii="Times New Roman" w:hAnsi="Times New Roman"/>
                <w:lang w:val="en-US"/>
              </w:rPr>
              <w:t>10</w:t>
            </w:r>
            <w:r w:rsidR="00085EB8" w:rsidRPr="00EF6C09">
              <w:rPr>
                <w:rFonts w:ascii="Times New Roman" w:hAnsi="Times New Roman"/>
                <w:lang w:val="en-US"/>
              </w:rPr>
              <w:t>,0</w:t>
            </w:r>
            <w:r w:rsidR="00B262B0" w:rsidRPr="00EF6C09">
              <w:rPr>
                <w:rFonts w:ascii="Times New Roman" w:hAnsi="Times New Roman"/>
                <w:lang w:val="en-US"/>
              </w:rPr>
              <w:t>00,000</w:t>
            </w:r>
          </w:p>
          <w:p w14:paraId="74AFA72E" w14:textId="77777777" w:rsidR="00364BC0" w:rsidRPr="00EF6C09" w:rsidRDefault="00B766E4" w:rsidP="00560A24">
            <w:pPr>
              <w:spacing w:after="120" w:line="240" w:lineRule="auto"/>
              <w:jc w:val="both"/>
              <w:rPr>
                <w:rFonts w:ascii="Times New Roman" w:hAnsi="Times New Roman"/>
                <w:lang w:val="en-US"/>
              </w:rPr>
            </w:pPr>
            <w:r w:rsidRPr="00EF6C09">
              <w:rPr>
                <w:rFonts w:ascii="Times New Roman" w:hAnsi="Times New Roman"/>
                <w:lang w:val="en-US"/>
              </w:rPr>
              <w:t xml:space="preserve">EU </w:t>
            </w:r>
            <w:r w:rsidR="00B262B0" w:rsidRPr="00EF6C09">
              <w:rPr>
                <w:rFonts w:ascii="Times New Roman" w:hAnsi="Times New Roman"/>
                <w:lang w:val="en-US"/>
              </w:rPr>
              <w:t>funding</w:t>
            </w:r>
            <w:r w:rsidRPr="00EF6C09">
              <w:rPr>
                <w:rFonts w:ascii="Times New Roman" w:hAnsi="Times New Roman"/>
                <w:lang w:val="en-US"/>
              </w:rPr>
              <w:t xml:space="preserve">: </w:t>
            </w:r>
            <w:r w:rsidR="00B262B0" w:rsidRPr="00EF6C09">
              <w:rPr>
                <w:rFonts w:ascii="Times New Roman" w:hAnsi="Times New Roman"/>
                <w:lang w:val="en-US"/>
              </w:rPr>
              <w:t xml:space="preserve">EUR </w:t>
            </w:r>
            <w:r w:rsidR="007C67AA" w:rsidRPr="00EF6C09">
              <w:rPr>
                <w:rFonts w:ascii="Times New Roman" w:hAnsi="Times New Roman"/>
                <w:lang w:val="en-US"/>
              </w:rPr>
              <w:t>10</w:t>
            </w:r>
            <w:r w:rsidR="00346714" w:rsidRPr="00EF6C09">
              <w:rPr>
                <w:rFonts w:ascii="Times New Roman" w:hAnsi="Times New Roman"/>
                <w:lang w:val="en-US"/>
              </w:rPr>
              <w:t>,0</w:t>
            </w:r>
            <w:r w:rsidR="00B262B0" w:rsidRPr="00EF6C09">
              <w:rPr>
                <w:rFonts w:ascii="Times New Roman" w:hAnsi="Times New Roman"/>
                <w:lang w:val="en-US"/>
              </w:rPr>
              <w:t>00,000</w:t>
            </w:r>
          </w:p>
        </w:tc>
      </w:tr>
      <w:tr w:rsidR="00364BC0" w:rsidRPr="00EF6C09" w14:paraId="042C41BF" w14:textId="77777777" w:rsidTr="0090686E">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46BC80B1" w14:textId="77777777" w:rsidR="00364BC0" w:rsidRPr="00EF6C09" w:rsidRDefault="00364BC0" w:rsidP="00364BC0">
            <w:pPr>
              <w:rPr>
                <w:rFonts w:ascii="Times New Roman" w:hAnsi="Times New Roman"/>
              </w:rPr>
            </w:pPr>
            <w:r w:rsidRPr="00EF6C09">
              <w:rPr>
                <w:rFonts w:ascii="Times New Roman" w:hAnsi="Times New Roman"/>
              </w:rPr>
              <w:t>Implementation Modality</w:t>
            </w:r>
          </w:p>
        </w:tc>
        <w:tc>
          <w:tcPr>
            <w:tcW w:w="7116" w:type="dxa"/>
            <w:tcBorders>
              <w:top w:val="single" w:sz="4" w:space="0" w:color="auto"/>
              <w:left w:val="single" w:sz="4" w:space="0" w:color="auto"/>
              <w:bottom w:val="single" w:sz="4" w:space="0" w:color="auto"/>
              <w:right w:val="single" w:sz="4" w:space="0" w:color="auto"/>
            </w:tcBorders>
            <w:shd w:val="clear" w:color="auto" w:fill="auto"/>
          </w:tcPr>
          <w:p w14:paraId="4E7218B1" w14:textId="77777777" w:rsidR="00DB2A8E" w:rsidRPr="00EF6C09" w:rsidRDefault="00560A24" w:rsidP="00DB2A8E">
            <w:pPr>
              <w:spacing w:after="120" w:line="240" w:lineRule="auto"/>
              <w:jc w:val="both"/>
              <w:rPr>
                <w:rFonts w:ascii="Times New Roman" w:hAnsi="Times New Roman"/>
                <w:iCs/>
              </w:rPr>
            </w:pPr>
            <w:r w:rsidRPr="00EF6C09">
              <w:rPr>
                <w:rFonts w:ascii="Times New Roman" w:hAnsi="Times New Roman"/>
                <w:iCs/>
              </w:rPr>
              <w:t xml:space="preserve">The Action will be implemented under Direct Management through </w:t>
            </w:r>
          </w:p>
          <w:p w14:paraId="36CEE49E" w14:textId="1C33F112" w:rsidR="00DB2A8E" w:rsidRPr="00EF6C09" w:rsidRDefault="00DB2A8E" w:rsidP="00DB2A8E">
            <w:pPr>
              <w:pStyle w:val="ListParagraph"/>
              <w:numPr>
                <w:ilvl w:val="0"/>
                <w:numId w:val="24"/>
              </w:numPr>
              <w:spacing w:after="120" w:line="240" w:lineRule="auto"/>
              <w:jc w:val="both"/>
              <w:rPr>
                <w:rFonts w:ascii="Times New Roman" w:hAnsi="Times New Roman"/>
                <w:iCs/>
              </w:rPr>
            </w:pPr>
            <w:r w:rsidRPr="00EF6C09">
              <w:rPr>
                <w:rFonts w:ascii="Times New Roman" w:hAnsi="Times New Roman"/>
                <w:iCs/>
              </w:rPr>
              <w:t>Sector budget support</w:t>
            </w:r>
          </w:p>
          <w:p w14:paraId="48A1D9C5" w14:textId="5003D24F" w:rsidR="00574BC0" w:rsidRPr="00EF6C09" w:rsidRDefault="00560A24" w:rsidP="00DB2A8E">
            <w:pPr>
              <w:pStyle w:val="ListParagraph"/>
              <w:numPr>
                <w:ilvl w:val="0"/>
                <w:numId w:val="24"/>
              </w:numPr>
              <w:spacing w:after="120" w:line="240" w:lineRule="auto"/>
              <w:jc w:val="both"/>
              <w:rPr>
                <w:rFonts w:ascii="Times New Roman" w:hAnsi="Times New Roman"/>
                <w:iCs/>
              </w:rPr>
            </w:pPr>
            <w:r w:rsidRPr="00EF6C09">
              <w:rPr>
                <w:rFonts w:ascii="Times New Roman" w:hAnsi="Times New Roman"/>
                <w:iCs/>
              </w:rPr>
              <w:t>procurement (service</w:t>
            </w:r>
            <w:r w:rsidR="00DB2A8E" w:rsidRPr="00EF6C09">
              <w:rPr>
                <w:rFonts w:ascii="Times New Roman" w:hAnsi="Times New Roman"/>
                <w:iCs/>
              </w:rPr>
              <w:t xml:space="preserve"> contract for technical assistance)</w:t>
            </w:r>
          </w:p>
        </w:tc>
      </w:tr>
      <w:tr w:rsidR="00C10421" w:rsidRPr="00EF6C09" w14:paraId="50C345B9" w14:textId="77777777" w:rsidTr="0090686E">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30E2F46F" w14:textId="77777777" w:rsidR="00C10421" w:rsidRPr="00EF6C09" w:rsidRDefault="00C10421" w:rsidP="00C10421">
            <w:pPr>
              <w:rPr>
                <w:rFonts w:ascii="Times New Roman" w:hAnsi="Times New Roman"/>
              </w:rPr>
            </w:pPr>
            <w:r w:rsidRPr="00EF6C09">
              <w:rPr>
                <w:rFonts w:ascii="Times New Roman" w:hAnsi="Times New Roman"/>
              </w:rPr>
              <w:t>Budget Support Readiness (only if the action is implemented through Budget Support)</w:t>
            </w:r>
          </w:p>
        </w:tc>
        <w:tc>
          <w:tcPr>
            <w:tcW w:w="7116" w:type="dxa"/>
            <w:tcBorders>
              <w:top w:val="single" w:sz="4" w:space="0" w:color="auto"/>
              <w:left w:val="single" w:sz="4" w:space="0" w:color="auto"/>
              <w:bottom w:val="single" w:sz="4" w:space="0" w:color="auto"/>
              <w:right w:val="single" w:sz="4" w:space="0" w:color="auto"/>
            </w:tcBorders>
            <w:shd w:val="clear" w:color="auto" w:fill="auto"/>
          </w:tcPr>
          <w:p w14:paraId="22085A3C" w14:textId="77777777" w:rsidR="00C10421" w:rsidRPr="00EF6C09" w:rsidRDefault="00C10421" w:rsidP="00C10421">
            <w:pPr>
              <w:pStyle w:val="Default"/>
              <w:keepNext/>
              <w:spacing w:after="120"/>
              <w:jc w:val="both"/>
              <w:rPr>
                <w:bCs/>
                <w:noProof/>
                <w:sz w:val="22"/>
                <w:szCs w:val="22"/>
                <w:lang w:eastAsia="en-GB"/>
              </w:rPr>
            </w:pPr>
            <w:r w:rsidRPr="00EF6C09">
              <w:rPr>
                <w:b/>
                <w:iCs/>
                <w:sz w:val="22"/>
                <w:szCs w:val="22"/>
              </w:rPr>
              <w:t>As regards the policy criteria</w:t>
            </w:r>
            <w:r w:rsidRPr="00EF6C09">
              <w:rPr>
                <w:iCs/>
                <w:sz w:val="22"/>
                <w:szCs w:val="22"/>
              </w:rPr>
              <w:t>, there is a reasonable ground to assess the policy framework, based on the PAR Strategy, as relevant and credible. The current PAR Strategy 2018-2022, developed with the support of SIGMA, sets out structural reforms plans that are broadly in line with the priorities identified by the Commission. The implementation advances and the progress is subject to policy dialogue.</w:t>
            </w:r>
            <w:r w:rsidRPr="00EF6C09">
              <w:rPr>
                <w:noProof/>
                <w:sz w:val="22"/>
                <w:szCs w:val="22"/>
                <w:lang w:val="en-IE"/>
              </w:rPr>
              <w:t xml:space="preserve"> </w:t>
            </w:r>
            <w:r w:rsidRPr="00EF6C09">
              <w:rPr>
                <w:noProof/>
                <w:color w:val="auto"/>
                <w:sz w:val="22"/>
                <w:szCs w:val="22"/>
                <w:lang w:val="en-IE"/>
              </w:rPr>
              <w:t xml:space="preserve">The monitoring reports on the implementation were produced with satisfactory quality and accompanied with adequate visibility actions. A number of state institutions and civil society organisations were pro-actively involved in the implementation, monitoring and reporting framework. The high-level Public Administration Reform Council ensures the political support and supervision of reforms. The capacities of the Ministry of Information Society and Administration to drive the reform at the technical level improved. Public administration is now costed as a separate budget programme in the state annual budget, </w:t>
            </w:r>
            <w:r w:rsidRPr="00EF6C09">
              <w:rPr>
                <w:noProof/>
                <w:color w:val="auto"/>
                <w:sz w:val="22"/>
                <w:szCs w:val="22"/>
                <w:lang w:val="en-IE"/>
              </w:rPr>
              <w:lastRenderedPageBreak/>
              <w:t xml:space="preserve">but it does not systematically include all involved institutions and due to lack of a strong multi-annual financial framework, the costs are not anchored to ensure sustainabilty. The implementation of the reform continues to be largely dependent on external donor funding.On the side of policy development and coordination, the still overalapping resposnibilities must be addressed through the state reorganisation process. Policy planning remains to be reinforced and become consistent with the medium-term budgetary planning. The administrative data collection somewhat improved but still need to be better integrated in the decision-making. While regulatory impact assessments were prepared for all laws that the government sent to parliament in regular procedure, the quality of the assessment needs to be significanntly improved. Inter-institutional cooridination is still not systemic and wellintegrated in the administartive culture and procedure.  Public consultations were further improved through the national electronic consultation system and the established sector working groups. </w:t>
            </w:r>
            <w:r w:rsidRPr="00EF6C09">
              <w:rPr>
                <w:bCs/>
                <w:noProof/>
                <w:sz w:val="22"/>
                <w:szCs w:val="22"/>
              </w:rPr>
              <w:t>Public scrutiny of government work further improved, and increased number of government monitoring reports and communication are published. The Action will dircetly address some of the key weaknesses of the current system – namely the state reorganistaion and the availability of key competencies.</w:t>
            </w:r>
          </w:p>
          <w:p w14:paraId="357A8225" w14:textId="1108120F" w:rsidR="00C10421" w:rsidRPr="00EF6C09" w:rsidRDefault="00C10421" w:rsidP="00C10421">
            <w:pPr>
              <w:autoSpaceDE w:val="0"/>
              <w:autoSpaceDN w:val="0"/>
              <w:adjustRightInd w:val="0"/>
              <w:spacing w:before="120" w:after="120" w:line="240" w:lineRule="auto"/>
              <w:ind w:hanging="12"/>
              <w:jc w:val="both"/>
              <w:rPr>
                <w:rFonts w:ascii="Times New Roman" w:hAnsi="Times New Roman"/>
                <w:iCs/>
              </w:rPr>
            </w:pPr>
            <w:r w:rsidRPr="00EF6C09">
              <w:rPr>
                <w:rFonts w:ascii="Times New Roman" w:hAnsi="Times New Roman"/>
                <w:b/>
                <w:iCs/>
              </w:rPr>
              <w:t>As regards the macroeconomic stability</w:t>
            </w:r>
            <w:r w:rsidRPr="00EF6C09">
              <w:rPr>
                <w:rFonts w:ascii="Times New Roman" w:hAnsi="Times New Roman"/>
                <w:iCs/>
              </w:rPr>
              <w:t xml:space="preserve">, the COVID-19 pandemic has considerably weakened the performance of the country on the key macro-economic indicators. Until the COVID-19 outbreak, the economy of North Macedonia was growing at a strong pace supported by crucial institutional and governance reforms. In the past decade, the country has maintained a </w:t>
            </w:r>
            <w:r w:rsidR="00311406" w:rsidRPr="00EF6C09">
              <w:rPr>
                <w:rFonts w:ascii="Times New Roman" w:hAnsi="Times New Roman"/>
                <w:iCs/>
              </w:rPr>
              <w:t>record of accomplishment</w:t>
            </w:r>
            <w:r w:rsidRPr="00EF6C09">
              <w:rPr>
                <w:rFonts w:ascii="Times New Roman" w:hAnsi="Times New Roman"/>
                <w:iCs/>
              </w:rPr>
              <w:t xml:space="preserve"> of low inflation, moderate fiscal deficit, and a stable financial sector. The </w:t>
            </w:r>
            <w:r w:rsidR="005C37CF" w:rsidRPr="00EF6C09">
              <w:rPr>
                <w:rFonts w:ascii="Times New Roman" w:hAnsi="Times New Roman"/>
                <w:iCs/>
              </w:rPr>
              <w:t>high-level</w:t>
            </w:r>
            <w:r w:rsidRPr="00EF6C09">
              <w:rPr>
                <w:rFonts w:ascii="Times New Roman" w:hAnsi="Times New Roman"/>
                <w:iCs/>
              </w:rPr>
              <w:t xml:space="preserve"> political commitment to macro-economic stability </w:t>
            </w:r>
            <w:proofErr w:type="gramStart"/>
            <w:r w:rsidR="00311406">
              <w:rPr>
                <w:rFonts w:ascii="Times New Roman" w:hAnsi="Times New Roman"/>
                <w:iCs/>
              </w:rPr>
              <w:t>is translated</w:t>
            </w:r>
            <w:proofErr w:type="gramEnd"/>
            <w:r w:rsidR="00311406">
              <w:rPr>
                <w:rFonts w:ascii="Times New Roman" w:hAnsi="Times New Roman"/>
                <w:iCs/>
              </w:rPr>
              <w:t xml:space="preserve"> into</w:t>
            </w:r>
            <w:r w:rsidRPr="00EF6C09">
              <w:rPr>
                <w:rFonts w:ascii="Times New Roman" w:hAnsi="Times New Roman"/>
                <w:iCs/>
              </w:rPr>
              <w:t xml:space="preserve"> the efforts invested in development of mid-term budgetary framework, preparation of a new organic budget law, some progress on the structural reforms such as fighting informal economy. </w:t>
            </w:r>
            <w:r w:rsidR="000328A1" w:rsidRPr="00EF6C09">
              <w:rPr>
                <w:rFonts w:ascii="Times New Roman" w:hAnsi="Times New Roman"/>
                <w:iCs/>
              </w:rPr>
              <w:t>The Government kept i</w:t>
            </w:r>
            <w:r w:rsidRPr="00EF6C09">
              <w:rPr>
                <w:rFonts w:ascii="Times New Roman" w:hAnsi="Times New Roman"/>
                <w:iCs/>
              </w:rPr>
              <w:t>ntense dialogue with the Commission and the international donors. The COVID-19 pandemic puts at risk the favourable macroeconomic performance of the North Macedonia. Preliminary projections, taking into account the COVID-19 consequences, point to a decline in annual Gross Domestic Product (GDP) and recession. The International Monetary Fund (IMF) expects general government deficit of EUR 730 million (6.5 percent of GDP) in 2020 before receding to about 3 per</w:t>
            </w:r>
            <w:r w:rsidR="00311406">
              <w:rPr>
                <w:rFonts w:ascii="Times New Roman" w:hAnsi="Times New Roman"/>
                <w:iCs/>
              </w:rPr>
              <w:t>cent in 2021. With an estimated financial gap of EUR 320 million, t</w:t>
            </w:r>
            <w:r w:rsidRPr="00EF6C09">
              <w:rPr>
                <w:rFonts w:ascii="Times New Roman" w:hAnsi="Times New Roman"/>
                <w:iCs/>
              </w:rPr>
              <w:t xml:space="preserve">he Government has swiftly enacted measures to stabilize the economic and social situation, allocating around EUR 550 million (circa 5,5% of GDP) for three sets of measures to address firms’ liquidity constraints, protect jobs and support the unemployed and vulnerable groups. These measures correspond to the needs of the country and are in line with the European Union (EU) practices. Overall, the country’s response </w:t>
            </w:r>
            <w:r w:rsidR="00311406">
              <w:rPr>
                <w:rFonts w:ascii="Times New Roman" w:hAnsi="Times New Roman"/>
                <w:iCs/>
              </w:rPr>
              <w:t>to the crisis is</w:t>
            </w:r>
            <w:r w:rsidRPr="00EF6C09">
              <w:rPr>
                <w:rFonts w:ascii="Times New Roman" w:hAnsi="Times New Roman"/>
                <w:iCs/>
              </w:rPr>
              <w:t xml:space="preserve"> relevant and credible to restore the key macroeconomic balances. Through the ERP process, the authorities have expressed their strong commitment, once the COVID-19 crisis is over, to rebuild fiscal buffers and implement the structural reform agenda to help preserve debt sustainability and speed up income convergence to European Union countries. </w:t>
            </w:r>
          </w:p>
          <w:p w14:paraId="0DC81B12" w14:textId="1E869C2C" w:rsidR="00C10421" w:rsidRPr="00EF6C09" w:rsidRDefault="00C10421" w:rsidP="00A23BE4">
            <w:pPr>
              <w:autoSpaceDE w:val="0"/>
              <w:autoSpaceDN w:val="0"/>
              <w:adjustRightInd w:val="0"/>
              <w:spacing w:before="120" w:after="120" w:line="240" w:lineRule="auto"/>
              <w:ind w:hanging="12"/>
              <w:jc w:val="both"/>
              <w:rPr>
                <w:rFonts w:ascii="Times New Roman" w:hAnsi="Times New Roman"/>
                <w:iCs/>
              </w:rPr>
            </w:pPr>
            <w:r w:rsidRPr="00EF6C09">
              <w:rPr>
                <w:rFonts w:ascii="Times New Roman" w:hAnsi="Times New Roman"/>
                <w:b/>
                <w:iCs/>
              </w:rPr>
              <w:t xml:space="preserve">As regards the Public Finance Management and Budget Transparency and Oversight, </w:t>
            </w:r>
            <w:r w:rsidRPr="00EF6C09">
              <w:rPr>
                <w:rFonts w:ascii="Times New Roman" w:hAnsi="Times New Roman"/>
                <w:iCs/>
              </w:rPr>
              <w:t xml:space="preserve">there is reasonable grounds to consider that the </w:t>
            </w:r>
            <w:r w:rsidR="00A23BE4">
              <w:rPr>
                <w:rFonts w:ascii="Times New Roman" w:hAnsi="Times New Roman"/>
                <w:iCs/>
              </w:rPr>
              <w:t xml:space="preserve">country met the </w:t>
            </w:r>
            <w:r w:rsidRPr="00EF6C09">
              <w:rPr>
                <w:rFonts w:ascii="Times New Roman" w:hAnsi="Times New Roman"/>
                <w:iCs/>
              </w:rPr>
              <w:t xml:space="preserve">eligibility criteria. </w:t>
            </w:r>
            <w:r w:rsidR="00A23BE4">
              <w:rPr>
                <w:rFonts w:ascii="Times New Roman" w:hAnsi="Times New Roman"/>
                <w:iCs/>
              </w:rPr>
              <w:t>Demonstrating h</w:t>
            </w:r>
            <w:r w:rsidRPr="00EF6C09">
              <w:rPr>
                <w:rFonts w:ascii="Times New Roman" w:hAnsi="Times New Roman"/>
                <w:iCs/>
              </w:rPr>
              <w:t>igh-level political commitment</w:t>
            </w:r>
            <w:r w:rsidR="00A23BE4">
              <w:rPr>
                <w:rFonts w:ascii="Times New Roman" w:hAnsi="Times New Roman"/>
                <w:iCs/>
              </w:rPr>
              <w:t xml:space="preserve">, </w:t>
            </w:r>
            <w:r w:rsidRPr="00EF6C09">
              <w:rPr>
                <w:rFonts w:ascii="Times New Roman" w:hAnsi="Times New Roman"/>
                <w:iCs/>
              </w:rPr>
              <w:t>the Ministry of Finance and the Government</w:t>
            </w:r>
            <w:r w:rsidR="00A23BE4">
              <w:rPr>
                <w:rFonts w:ascii="Times New Roman" w:hAnsi="Times New Roman"/>
                <w:iCs/>
              </w:rPr>
              <w:t xml:space="preserve"> introduced</w:t>
            </w:r>
            <w:r w:rsidRPr="00EF6C09">
              <w:rPr>
                <w:rFonts w:ascii="Times New Roman" w:hAnsi="Times New Roman"/>
                <w:iCs/>
              </w:rPr>
              <w:t xml:space="preserve"> significant improvements in the Public Finance Management (PFM) system.  </w:t>
            </w:r>
            <w:r w:rsidR="00A23BE4">
              <w:rPr>
                <w:rFonts w:ascii="Times New Roman" w:hAnsi="Times New Roman"/>
                <w:iCs/>
              </w:rPr>
              <w:t>Bo</w:t>
            </w:r>
            <w:r w:rsidRPr="00EF6C09">
              <w:rPr>
                <w:rFonts w:ascii="Times New Roman" w:hAnsi="Times New Roman"/>
                <w:iCs/>
              </w:rPr>
              <w:t>th the State Audit Office (SAO) and Parliament</w:t>
            </w:r>
            <w:r w:rsidR="00A23BE4">
              <w:rPr>
                <w:rFonts w:ascii="Times New Roman" w:hAnsi="Times New Roman"/>
                <w:iCs/>
              </w:rPr>
              <w:t xml:space="preserve"> confirmed that</w:t>
            </w:r>
            <w:r w:rsidRPr="00EF6C09">
              <w:rPr>
                <w:rFonts w:ascii="Times New Roman" w:hAnsi="Times New Roman"/>
                <w:iCs/>
              </w:rPr>
              <w:t xml:space="preserve">. </w:t>
            </w:r>
            <w:r w:rsidR="00A23BE4">
              <w:rPr>
                <w:rFonts w:ascii="Times New Roman" w:hAnsi="Times New Roman"/>
                <w:iCs/>
              </w:rPr>
              <w:t xml:space="preserve">The Government realised fully or partially </w:t>
            </w:r>
            <w:r w:rsidRPr="00EF6C09">
              <w:rPr>
                <w:rFonts w:ascii="Times New Roman" w:hAnsi="Times New Roman"/>
                <w:iCs/>
              </w:rPr>
              <w:t xml:space="preserve">71% of all measures defined in the PFM reform programme (2018-2021) by the end of 2019.  The existing legal and institutional framework is supportive to the reforms, and </w:t>
            </w:r>
            <w:r w:rsidR="000328A1" w:rsidRPr="00EF6C09">
              <w:rPr>
                <w:rFonts w:ascii="Times New Roman" w:hAnsi="Times New Roman"/>
                <w:iCs/>
              </w:rPr>
              <w:t xml:space="preserve">there are </w:t>
            </w:r>
            <w:r w:rsidRPr="00EF6C09">
              <w:rPr>
                <w:rFonts w:ascii="Times New Roman" w:hAnsi="Times New Roman"/>
                <w:iCs/>
              </w:rPr>
              <w:t xml:space="preserve">sufficient human and financial resources. There are good monitoring, co-ordination, and performance assessment mechanisms allowing the ongoing follow-up on the PFM Reform programme. The PFM policy dialogue is organised through the PFM Sector working group and there is a positive trend in increasing the involvement of civil society, businesses, academia etc. as correctives both in the budgetary cycle as well as in the oversight processes. </w:t>
            </w:r>
            <w:r w:rsidR="00A23BE4">
              <w:rPr>
                <w:rFonts w:ascii="Times New Roman" w:hAnsi="Times New Roman"/>
                <w:iCs/>
              </w:rPr>
              <w:t>The 2019 Open Budget Index recognised t</w:t>
            </w:r>
            <w:r w:rsidRPr="00EF6C09">
              <w:rPr>
                <w:rFonts w:ascii="Times New Roman" w:hAnsi="Times New Roman"/>
                <w:iCs/>
              </w:rPr>
              <w:t>he improvements in transparency</w:t>
            </w:r>
            <w:bookmarkStart w:id="1" w:name="_GoBack"/>
            <w:bookmarkEnd w:id="1"/>
            <w:r w:rsidRPr="00EF6C09">
              <w:rPr>
                <w:rFonts w:ascii="Times New Roman" w:hAnsi="Times New Roman"/>
                <w:iCs/>
              </w:rPr>
              <w:t>.</w:t>
            </w:r>
          </w:p>
        </w:tc>
      </w:tr>
    </w:tbl>
    <w:p w14:paraId="6E56AF48" w14:textId="77777777" w:rsidR="00D92F6C" w:rsidRPr="00EF6C09" w:rsidRDefault="00D92F6C" w:rsidP="00D92F6C">
      <w:pPr>
        <w:spacing w:after="0" w:line="240" w:lineRule="auto"/>
        <w:jc w:val="both"/>
        <w:rPr>
          <w:rFonts w:ascii="Times New Roman" w:hAnsi="Times New Roman"/>
          <w:i/>
        </w:rPr>
        <w:sectPr w:rsidR="00D92F6C" w:rsidRPr="00EF6C09">
          <w:pgSz w:w="11906" w:h="16838"/>
          <w:pgMar w:top="1440" w:right="1440" w:bottom="1440" w:left="1440" w:header="708" w:footer="708" w:gutter="0"/>
          <w:cols w:space="708"/>
          <w:docGrid w:linePitch="360"/>
        </w:sectPr>
      </w:pPr>
    </w:p>
    <w:tbl>
      <w:tblPr>
        <w:tblW w:w="152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3686"/>
        <w:gridCol w:w="3498"/>
        <w:gridCol w:w="1890"/>
        <w:gridCol w:w="2550"/>
        <w:gridCol w:w="2127"/>
      </w:tblGrid>
      <w:tr w:rsidR="006E5452" w:rsidRPr="00EF6C09" w14:paraId="5F803405" w14:textId="77777777" w:rsidTr="00DD46C6">
        <w:trPr>
          <w:cantSplit/>
        </w:trPr>
        <w:tc>
          <w:tcPr>
            <w:tcW w:w="1531" w:type="dxa"/>
            <w:shd w:val="clear" w:color="auto" w:fill="BFBFBF"/>
          </w:tcPr>
          <w:p w14:paraId="238F4F1D" w14:textId="77777777" w:rsidR="006E5452" w:rsidRPr="00EF6C09" w:rsidRDefault="006E5452" w:rsidP="00F6498C">
            <w:pPr>
              <w:spacing w:after="0"/>
              <w:jc w:val="center"/>
              <w:rPr>
                <w:rFonts w:ascii="Times New Roman" w:hAnsi="Times New Roman"/>
              </w:rPr>
            </w:pPr>
          </w:p>
        </w:tc>
        <w:tc>
          <w:tcPr>
            <w:tcW w:w="3686" w:type="dxa"/>
            <w:shd w:val="clear" w:color="auto" w:fill="BFBFBF"/>
          </w:tcPr>
          <w:p w14:paraId="4BDAC59B" w14:textId="77777777" w:rsidR="006E5452" w:rsidRPr="00EF6C09" w:rsidRDefault="006E5452" w:rsidP="00F6498C">
            <w:pPr>
              <w:spacing w:after="0"/>
              <w:jc w:val="center"/>
              <w:rPr>
                <w:rFonts w:ascii="Times New Roman" w:hAnsi="Times New Roman"/>
                <w:b/>
              </w:rPr>
            </w:pPr>
            <w:r w:rsidRPr="00EF6C09">
              <w:rPr>
                <w:rFonts w:ascii="Times New Roman" w:hAnsi="Times New Roman"/>
                <w:b/>
              </w:rPr>
              <w:t>Results chain</w:t>
            </w:r>
          </w:p>
        </w:tc>
        <w:tc>
          <w:tcPr>
            <w:tcW w:w="3498" w:type="dxa"/>
            <w:shd w:val="clear" w:color="auto" w:fill="BFBFBF"/>
          </w:tcPr>
          <w:p w14:paraId="22DB9C62" w14:textId="77777777" w:rsidR="006E5452" w:rsidRPr="00EF6C09" w:rsidRDefault="006E5452" w:rsidP="00F6498C">
            <w:pPr>
              <w:spacing w:after="0"/>
              <w:jc w:val="center"/>
              <w:rPr>
                <w:rFonts w:ascii="Times New Roman" w:hAnsi="Times New Roman"/>
                <w:b/>
              </w:rPr>
            </w:pPr>
            <w:r w:rsidRPr="00EF6C09">
              <w:rPr>
                <w:rFonts w:ascii="Times New Roman" w:hAnsi="Times New Roman"/>
                <w:b/>
              </w:rPr>
              <w:t>Indicators</w:t>
            </w:r>
          </w:p>
          <w:p w14:paraId="5E0B239B" w14:textId="77777777" w:rsidR="006E5452" w:rsidRPr="00EF6C09" w:rsidRDefault="006E5452" w:rsidP="00F6498C">
            <w:pPr>
              <w:spacing w:after="0"/>
              <w:jc w:val="center"/>
              <w:rPr>
                <w:rFonts w:ascii="Times New Roman" w:hAnsi="Times New Roman"/>
                <w:b/>
              </w:rPr>
            </w:pPr>
            <w:r w:rsidRPr="00EF6C09">
              <w:rPr>
                <w:rFonts w:ascii="Times New Roman" w:hAnsi="Times New Roman"/>
                <w:b/>
              </w:rPr>
              <w:t>(max. 15)</w:t>
            </w:r>
          </w:p>
        </w:tc>
        <w:tc>
          <w:tcPr>
            <w:tcW w:w="1890" w:type="dxa"/>
            <w:shd w:val="clear" w:color="auto" w:fill="BFBFBF"/>
          </w:tcPr>
          <w:p w14:paraId="6C61E080" w14:textId="77777777" w:rsidR="006E5452" w:rsidRPr="00EF6C09" w:rsidRDefault="006E5452" w:rsidP="00F6498C">
            <w:pPr>
              <w:spacing w:after="0"/>
              <w:jc w:val="center"/>
              <w:rPr>
                <w:rFonts w:ascii="Times New Roman" w:hAnsi="Times New Roman"/>
                <w:b/>
              </w:rPr>
            </w:pPr>
            <w:r w:rsidRPr="00EF6C09">
              <w:rPr>
                <w:rFonts w:ascii="Times New Roman" w:hAnsi="Times New Roman"/>
                <w:b/>
              </w:rPr>
              <w:t>Baselines</w:t>
            </w:r>
          </w:p>
          <w:p w14:paraId="01EE7D9F" w14:textId="77777777" w:rsidR="006E5452" w:rsidRPr="00EF6C09" w:rsidRDefault="006E5452" w:rsidP="00F6498C">
            <w:pPr>
              <w:spacing w:after="0"/>
              <w:jc w:val="center"/>
              <w:rPr>
                <w:rFonts w:ascii="Times New Roman" w:hAnsi="Times New Roman"/>
                <w:b/>
              </w:rPr>
            </w:pPr>
            <w:r w:rsidRPr="00EF6C09">
              <w:rPr>
                <w:rFonts w:ascii="Times New Roman" w:hAnsi="Times New Roman"/>
                <w:b/>
              </w:rPr>
              <w:t>(year)</w:t>
            </w:r>
          </w:p>
        </w:tc>
        <w:tc>
          <w:tcPr>
            <w:tcW w:w="2550" w:type="dxa"/>
            <w:shd w:val="clear" w:color="auto" w:fill="BFBFBF"/>
          </w:tcPr>
          <w:p w14:paraId="3555FEA0" w14:textId="77777777" w:rsidR="006E5452" w:rsidRPr="00EF6C09" w:rsidRDefault="006E5452" w:rsidP="00F6498C">
            <w:pPr>
              <w:spacing w:after="0"/>
              <w:jc w:val="center"/>
              <w:rPr>
                <w:rFonts w:ascii="Times New Roman" w:hAnsi="Times New Roman"/>
                <w:b/>
              </w:rPr>
            </w:pPr>
            <w:r w:rsidRPr="00EF6C09">
              <w:rPr>
                <w:rFonts w:ascii="Times New Roman" w:hAnsi="Times New Roman"/>
                <w:b/>
              </w:rPr>
              <w:t>Targets by the end of the budget support contract</w:t>
            </w:r>
          </w:p>
          <w:p w14:paraId="3F160D01" w14:textId="77777777" w:rsidR="006E5452" w:rsidRPr="00EF6C09" w:rsidRDefault="006E5452" w:rsidP="00F6498C">
            <w:pPr>
              <w:spacing w:after="0"/>
              <w:jc w:val="center"/>
              <w:rPr>
                <w:rFonts w:ascii="Times New Roman" w:hAnsi="Times New Roman"/>
                <w:b/>
              </w:rPr>
            </w:pPr>
            <w:r w:rsidRPr="00EF6C09">
              <w:rPr>
                <w:rFonts w:ascii="Times New Roman" w:hAnsi="Times New Roman"/>
                <w:b/>
              </w:rPr>
              <w:t>(year)</w:t>
            </w:r>
          </w:p>
        </w:tc>
        <w:tc>
          <w:tcPr>
            <w:tcW w:w="2127" w:type="dxa"/>
            <w:shd w:val="clear" w:color="auto" w:fill="BFBFBF"/>
          </w:tcPr>
          <w:p w14:paraId="4BFDB7C7" w14:textId="77777777" w:rsidR="006E5452" w:rsidRPr="00EF6C09" w:rsidRDefault="006E5452" w:rsidP="00F6498C">
            <w:pPr>
              <w:spacing w:after="0"/>
              <w:jc w:val="center"/>
              <w:rPr>
                <w:rFonts w:ascii="Times New Roman" w:hAnsi="Times New Roman"/>
                <w:b/>
              </w:rPr>
            </w:pPr>
            <w:r w:rsidRPr="00EF6C09">
              <w:rPr>
                <w:rFonts w:ascii="Times New Roman" w:hAnsi="Times New Roman"/>
                <w:b/>
              </w:rPr>
              <w:t>Sources of data</w:t>
            </w:r>
          </w:p>
        </w:tc>
      </w:tr>
      <w:tr w:rsidR="006E5452" w:rsidRPr="00EF6C09" w14:paraId="35E47609" w14:textId="77777777" w:rsidTr="00DD46C6">
        <w:trPr>
          <w:cantSplit/>
          <w:trHeight w:val="440"/>
        </w:trPr>
        <w:tc>
          <w:tcPr>
            <w:tcW w:w="1531" w:type="dxa"/>
            <w:vMerge w:val="restart"/>
            <w:shd w:val="clear" w:color="auto" w:fill="D9D9D9"/>
          </w:tcPr>
          <w:p w14:paraId="54587EC7" w14:textId="77777777" w:rsidR="006E5452" w:rsidRPr="00EF6C09" w:rsidRDefault="006E5452" w:rsidP="00F6498C">
            <w:pPr>
              <w:tabs>
                <w:tab w:val="left" w:pos="0"/>
                <w:tab w:val="left" w:pos="132"/>
              </w:tabs>
              <w:spacing w:after="0"/>
              <w:rPr>
                <w:rFonts w:ascii="Times New Roman" w:hAnsi="Times New Roman"/>
                <w:b/>
              </w:rPr>
            </w:pPr>
            <w:r w:rsidRPr="00EF6C09">
              <w:rPr>
                <w:rFonts w:ascii="Times New Roman" w:hAnsi="Times New Roman"/>
                <w:b/>
              </w:rPr>
              <w:t>Expected impact of the policy (Overall objective)</w:t>
            </w:r>
          </w:p>
        </w:tc>
        <w:tc>
          <w:tcPr>
            <w:tcW w:w="3686" w:type="dxa"/>
            <w:vMerge w:val="restart"/>
            <w:shd w:val="clear" w:color="auto" w:fill="auto"/>
          </w:tcPr>
          <w:p w14:paraId="620485C3" w14:textId="77777777" w:rsidR="006E5452" w:rsidRPr="00EF6C09" w:rsidRDefault="006E5452" w:rsidP="00F6498C">
            <w:pPr>
              <w:autoSpaceDE w:val="0"/>
              <w:autoSpaceDN w:val="0"/>
              <w:adjustRightInd w:val="0"/>
              <w:spacing w:after="0"/>
              <w:rPr>
                <w:rFonts w:ascii="Times New Roman" w:hAnsi="Times New Roman"/>
                <w:i/>
              </w:rPr>
            </w:pPr>
            <w:r w:rsidRPr="00EF6C09">
              <w:rPr>
                <w:rFonts w:ascii="Times New Roman" w:hAnsi="Times New Roman"/>
              </w:rPr>
              <w:t xml:space="preserve">To modernise the public administration and improve its effectiveness </w:t>
            </w:r>
          </w:p>
        </w:tc>
        <w:tc>
          <w:tcPr>
            <w:tcW w:w="3498" w:type="dxa"/>
            <w:shd w:val="clear" w:color="auto" w:fill="FFFFFF"/>
          </w:tcPr>
          <w:p w14:paraId="628C7223" w14:textId="77777777" w:rsidR="006E5452" w:rsidRPr="00EF6C09" w:rsidRDefault="006E5452" w:rsidP="00F6498C">
            <w:pPr>
              <w:shd w:val="clear" w:color="auto" w:fill="FFFFFF"/>
              <w:spacing w:before="60" w:after="0"/>
              <w:rPr>
                <w:rFonts w:ascii="Times New Roman" w:hAnsi="Times New Roman"/>
              </w:rPr>
            </w:pPr>
            <w:r w:rsidRPr="00EF6C09">
              <w:rPr>
                <w:rFonts w:ascii="Times New Roman" w:hAnsi="Times New Roman"/>
              </w:rPr>
              <w:t>Government effectiveness index</w:t>
            </w:r>
          </w:p>
          <w:p w14:paraId="4103A2EC" w14:textId="77777777" w:rsidR="006E5452" w:rsidRPr="00EF6C09" w:rsidRDefault="006E5452" w:rsidP="00F6498C">
            <w:pPr>
              <w:autoSpaceDE w:val="0"/>
              <w:autoSpaceDN w:val="0"/>
              <w:adjustRightInd w:val="0"/>
              <w:spacing w:after="0"/>
              <w:rPr>
                <w:rFonts w:ascii="Times New Roman" w:hAnsi="Times New Roman"/>
              </w:rPr>
            </w:pPr>
          </w:p>
        </w:tc>
        <w:tc>
          <w:tcPr>
            <w:tcW w:w="1890" w:type="dxa"/>
            <w:shd w:val="clear" w:color="auto" w:fill="FFFFFF"/>
          </w:tcPr>
          <w:p w14:paraId="438E1B64" w14:textId="77777777" w:rsidR="006E5452" w:rsidRPr="00EF6C09" w:rsidRDefault="006E5452" w:rsidP="00F6498C">
            <w:pPr>
              <w:autoSpaceDE w:val="0"/>
              <w:autoSpaceDN w:val="0"/>
              <w:adjustRightInd w:val="0"/>
              <w:spacing w:after="0"/>
              <w:rPr>
                <w:rFonts w:ascii="Times New Roman" w:hAnsi="Times New Roman"/>
              </w:rPr>
            </w:pPr>
            <w:r w:rsidRPr="00EF6C09">
              <w:rPr>
                <w:rFonts w:ascii="Times New Roman" w:hAnsi="Times New Roman"/>
              </w:rPr>
              <w:t>55.77 (2018)</w:t>
            </w:r>
          </w:p>
        </w:tc>
        <w:tc>
          <w:tcPr>
            <w:tcW w:w="2550" w:type="dxa"/>
            <w:shd w:val="clear" w:color="auto" w:fill="FFFFFF"/>
          </w:tcPr>
          <w:p w14:paraId="3DBD9522" w14:textId="77777777" w:rsidR="006E5452" w:rsidRPr="00EF6C09" w:rsidRDefault="006E5452" w:rsidP="00F6498C">
            <w:pPr>
              <w:autoSpaceDE w:val="0"/>
              <w:autoSpaceDN w:val="0"/>
              <w:adjustRightInd w:val="0"/>
              <w:spacing w:after="0"/>
              <w:rPr>
                <w:rFonts w:ascii="Times New Roman" w:hAnsi="Times New Roman"/>
              </w:rPr>
            </w:pPr>
            <w:r w:rsidRPr="00EF6C09">
              <w:rPr>
                <w:rFonts w:ascii="Times New Roman" w:hAnsi="Times New Roman"/>
              </w:rPr>
              <w:t>&gt; 57</w:t>
            </w:r>
            <w:r w:rsidRPr="00EF6C09">
              <w:rPr>
                <w:rFonts w:ascii="Times New Roman" w:hAnsi="Times New Roman"/>
                <w:lang w:val="en-US"/>
              </w:rPr>
              <w:t xml:space="preserve"> </w:t>
            </w:r>
            <w:r w:rsidRPr="00EF6C09">
              <w:rPr>
                <w:rFonts w:ascii="Times New Roman" w:hAnsi="Times New Roman"/>
              </w:rPr>
              <w:t>(</w:t>
            </w:r>
            <w:r w:rsidRPr="00EF6C09">
              <w:rPr>
                <w:rFonts w:ascii="Times New Roman" w:hAnsi="Times New Roman"/>
                <w:lang w:val="mk-MK"/>
              </w:rPr>
              <w:t>2025</w:t>
            </w:r>
            <w:r w:rsidRPr="00EF6C09">
              <w:rPr>
                <w:rFonts w:ascii="Times New Roman" w:hAnsi="Times New Roman"/>
              </w:rPr>
              <w:t>)</w:t>
            </w:r>
          </w:p>
        </w:tc>
        <w:tc>
          <w:tcPr>
            <w:tcW w:w="2127" w:type="dxa"/>
            <w:shd w:val="clear" w:color="auto" w:fill="FFFFFF"/>
          </w:tcPr>
          <w:p w14:paraId="2D0F0FF8" w14:textId="77777777" w:rsidR="006E5452" w:rsidRPr="00EF6C09" w:rsidRDefault="00A23BE4" w:rsidP="00F6498C">
            <w:pPr>
              <w:autoSpaceDE w:val="0"/>
              <w:autoSpaceDN w:val="0"/>
              <w:adjustRightInd w:val="0"/>
              <w:spacing w:after="0"/>
              <w:rPr>
                <w:rFonts w:ascii="Times New Roman" w:hAnsi="Times New Roman"/>
              </w:rPr>
            </w:pPr>
            <w:hyperlink r:id="rId8" w:history="1">
              <w:r w:rsidR="006E5452" w:rsidRPr="00EF6C09">
                <w:rPr>
                  <w:rStyle w:val="Hyperlink"/>
                  <w:rFonts w:ascii="Times New Roman" w:hAnsi="Times New Roman"/>
                </w:rPr>
                <w:t>http://info.worldbank.org/governance/wgi/Home/Reports</w:t>
              </w:r>
            </w:hyperlink>
          </w:p>
        </w:tc>
      </w:tr>
      <w:tr w:rsidR="006E5452" w:rsidRPr="00EF6C09" w14:paraId="6E6EDEB1" w14:textId="77777777" w:rsidTr="00DD46C6">
        <w:trPr>
          <w:cantSplit/>
          <w:trHeight w:val="440"/>
        </w:trPr>
        <w:tc>
          <w:tcPr>
            <w:tcW w:w="1531" w:type="dxa"/>
            <w:vMerge/>
            <w:shd w:val="clear" w:color="auto" w:fill="D9D9D9"/>
          </w:tcPr>
          <w:p w14:paraId="1891020D" w14:textId="77777777" w:rsidR="006E5452" w:rsidRPr="00EF6C09" w:rsidRDefault="006E5452" w:rsidP="00F6498C">
            <w:pPr>
              <w:tabs>
                <w:tab w:val="left" w:pos="0"/>
                <w:tab w:val="left" w:pos="132"/>
              </w:tabs>
              <w:spacing w:after="0"/>
              <w:rPr>
                <w:rFonts w:ascii="Times New Roman" w:hAnsi="Times New Roman"/>
                <w:b/>
              </w:rPr>
            </w:pPr>
          </w:p>
        </w:tc>
        <w:tc>
          <w:tcPr>
            <w:tcW w:w="3686" w:type="dxa"/>
            <w:vMerge/>
            <w:shd w:val="clear" w:color="auto" w:fill="auto"/>
          </w:tcPr>
          <w:p w14:paraId="0E086AD7" w14:textId="77777777" w:rsidR="006E5452" w:rsidRPr="00EF6C09" w:rsidRDefault="006E5452" w:rsidP="00F6498C">
            <w:pPr>
              <w:autoSpaceDE w:val="0"/>
              <w:autoSpaceDN w:val="0"/>
              <w:adjustRightInd w:val="0"/>
              <w:spacing w:after="0"/>
              <w:rPr>
                <w:rFonts w:ascii="Times New Roman" w:hAnsi="Times New Roman"/>
              </w:rPr>
            </w:pPr>
          </w:p>
        </w:tc>
        <w:tc>
          <w:tcPr>
            <w:tcW w:w="3498" w:type="dxa"/>
            <w:shd w:val="clear" w:color="auto" w:fill="FFFFFF"/>
          </w:tcPr>
          <w:p w14:paraId="73F783D5" w14:textId="77777777" w:rsidR="006E5452" w:rsidRPr="00EF6C09" w:rsidRDefault="006E5452" w:rsidP="00F6498C">
            <w:pPr>
              <w:autoSpaceDE w:val="0"/>
              <w:autoSpaceDN w:val="0"/>
              <w:adjustRightInd w:val="0"/>
              <w:spacing w:after="0"/>
              <w:rPr>
                <w:rFonts w:ascii="Times New Roman" w:hAnsi="Times New Roman"/>
              </w:rPr>
            </w:pPr>
            <w:r w:rsidRPr="00EF6C09">
              <w:rPr>
                <w:rFonts w:ascii="Times New Roman" w:hAnsi="Times New Roman"/>
                <w:iCs/>
              </w:rPr>
              <w:t>Trust Government - Proportion of people tend to trust the Government over population</w:t>
            </w:r>
          </w:p>
        </w:tc>
        <w:tc>
          <w:tcPr>
            <w:tcW w:w="1890" w:type="dxa"/>
            <w:shd w:val="clear" w:color="auto" w:fill="FFFFFF"/>
          </w:tcPr>
          <w:p w14:paraId="79897863" w14:textId="77777777" w:rsidR="006E5452" w:rsidRPr="00EF6C09" w:rsidRDefault="006E5452" w:rsidP="00F6498C">
            <w:pPr>
              <w:autoSpaceDE w:val="0"/>
              <w:autoSpaceDN w:val="0"/>
              <w:adjustRightInd w:val="0"/>
              <w:spacing w:after="0"/>
              <w:rPr>
                <w:rFonts w:ascii="Times New Roman" w:hAnsi="Times New Roman"/>
              </w:rPr>
            </w:pPr>
            <w:r w:rsidRPr="00EF6C09">
              <w:rPr>
                <w:rFonts w:ascii="Times New Roman" w:hAnsi="Times New Roman"/>
                <w:iCs/>
              </w:rPr>
              <w:t>33% (2019)</w:t>
            </w:r>
          </w:p>
        </w:tc>
        <w:tc>
          <w:tcPr>
            <w:tcW w:w="2550" w:type="dxa"/>
            <w:shd w:val="clear" w:color="auto" w:fill="FFFFFF"/>
          </w:tcPr>
          <w:p w14:paraId="29DC7177" w14:textId="77777777" w:rsidR="006E5452" w:rsidRPr="00EF6C09" w:rsidRDefault="006E5452" w:rsidP="00F6498C">
            <w:pPr>
              <w:autoSpaceDE w:val="0"/>
              <w:autoSpaceDN w:val="0"/>
              <w:adjustRightInd w:val="0"/>
              <w:spacing w:after="0"/>
              <w:rPr>
                <w:rFonts w:ascii="Times New Roman" w:hAnsi="Times New Roman"/>
              </w:rPr>
            </w:pPr>
            <w:r w:rsidRPr="00EF6C09">
              <w:rPr>
                <w:rFonts w:ascii="Times New Roman" w:hAnsi="Times New Roman"/>
              </w:rPr>
              <w:t>&gt;38 (2025)</w:t>
            </w:r>
          </w:p>
        </w:tc>
        <w:tc>
          <w:tcPr>
            <w:tcW w:w="2127" w:type="dxa"/>
            <w:shd w:val="clear" w:color="auto" w:fill="FFFFFF"/>
          </w:tcPr>
          <w:p w14:paraId="08F9B3AE" w14:textId="77777777" w:rsidR="006E5452" w:rsidRPr="00EF6C09" w:rsidRDefault="006E5452" w:rsidP="00F6498C">
            <w:pPr>
              <w:autoSpaceDE w:val="0"/>
              <w:autoSpaceDN w:val="0"/>
              <w:adjustRightInd w:val="0"/>
              <w:spacing w:after="0"/>
              <w:rPr>
                <w:rFonts w:ascii="Times New Roman" w:hAnsi="Times New Roman"/>
              </w:rPr>
            </w:pPr>
            <w:r w:rsidRPr="00EF6C09">
              <w:rPr>
                <w:rFonts w:ascii="Times New Roman" w:hAnsi="Times New Roman"/>
              </w:rPr>
              <w:t>Eurobarometer</w:t>
            </w:r>
          </w:p>
        </w:tc>
      </w:tr>
      <w:tr w:rsidR="006E5452" w:rsidRPr="00EF6C09" w14:paraId="79CCF54B" w14:textId="77777777" w:rsidTr="00DD46C6">
        <w:trPr>
          <w:cantSplit/>
        </w:trPr>
        <w:tc>
          <w:tcPr>
            <w:tcW w:w="1531" w:type="dxa"/>
            <w:vMerge/>
            <w:shd w:val="clear" w:color="auto" w:fill="D9D9D9"/>
          </w:tcPr>
          <w:p w14:paraId="2E622D41" w14:textId="77777777" w:rsidR="006E5452" w:rsidRPr="00EF6C09" w:rsidRDefault="006E5452" w:rsidP="00F6498C">
            <w:pPr>
              <w:tabs>
                <w:tab w:val="left" w:pos="0"/>
                <w:tab w:val="left" w:pos="132"/>
              </w:tabs>
              <w:spacing w:after="0"/>
              <w:rPr>
                <w:rFonts w:ascii="Times New Roman" w:hAnsi="Times New Roman"/>
                <w:b/>
              </w:rPr>
            </w:pPr>
          </w:p>
        </w:tc>
        <w:tc>
          <w:tcPr>
            <w:tcW w:w="3686" w:type="dxa"/>
            <w:vMerge/>
            <w:shd w:val="clear" w:color="auto" w:fill="auto"/>
          </w:tcPr>
          <w:p w14:paraId="076EE152" w14:textId="77777777" w:rsidR="006E5452" w:rsidRPr="00EF6C09" w:rsidRDefault="006E5452" w:rsidP="00F6498C">
            <w:pPr>
              <w:autoSpaceDE w:val="0"/>
              <w:autoSpaceDN w:val="0"/>
              <w:adjustRightInd w:val="0"/>
              <w:spacing w:after="0"/>
              <w:rPr>
                <w:rFonts w:ascii="Times New Roman" w:hAnsi="Times New Roman"/>
              </w:rPr>
            </w:pPr>
          </w:p>
        </w:tc>
        <w:tc>
          <w:tcPr>
            <w:tcW w:w="3498" w:type="dxa"/>
            <w:shd w:val="clear" w:color="auto" w:fill="auto"/>
          </w:tcPr>
          <w:p w14:paraId="43C6BDF0" w14:textId="77777777" w:rsidR="006E5452" w:rsidRPr="00EF6C09" w:rsidRDefault="006E5452" w:rsidP="00F6498C">
            <w:pPr>
              <w:autoSpaceDE w:val="0"/>
              <w:autoSpaceDN w:val="0"/>
              <w:adjustRightInd w:val="0"/>
              <w:spacing w:after="0"/>
              <w:rPr>
                <w:rFonts w:ascii="Times New Roman" w:hAnsi="Times New Roman"/>
                <w:iCs/>
              </w:rPr>
            </w:pPr>
            <w:r w:rsidRPr="00EF6C09">
              <w:rPr>
                <w:rFonts w:ascii="Times New Roman" w:hAnsi="Times New Roman"/>
                <w:iCs/>
              </w:rPr>
              <w:t>Trust in Public Administration - Proportion of people tend to trust the Public Administration over population</w:t>
            </w:r>
          </w:p>
        </w:tc>
        <w:tc>
          <w:tcPr>
            <w:tcW w:w="1890" w:type="dxa"/>
            <w:shd w:val="clear" w:color="auto" w:fill="auto"/>
          </w:tcPr>
          <w:p w14:paraId="3A716E0A" w14:textId="77777777" w:rsidR="006E5452" w:rsidRPr="00EF6C09" w:rsidRDefault="006E5452" w:rsidP="00F6498C">
            <w:pPr>
              <w:autoSpaceDE w:val="0"/>
              <w:autoSpaceDN w:val="0"/>
              <w:adjustRightInd w:val="0"/>
              <w:spacing w:after="0"/>
              <w:rPr>
                <w:rFonts w:ascii="Times New Roman" w:hAnsi="Times New Roman"/>
                <w:iCs/>
              </w:rPr>
            </w:pPr>
            <w:r w:rsidRPr="00EF6C09">
              <w:rPr>
                <w:rFonts w:ascii="Times New Roman" w:hAnsi="Times New Roman"/>
                <w:iCs/>
              </w:rPr>
              <w:t>36 % (2019)</w:t>
            </w:r>
          </w:p>
        </w:tc>
        <w:tc>
          <w:tcPr>
            <w:tcW w:w="2550" w:type="dxa"/>
            <w:shd w:val="clear" w:color="auto" w:fill="auto"/>
          </w:tcPr>
          <w:p w14:paraId="2C9744E9" w14:textId="77777777" w:rsidR="006E5452" w:rsidRPr="00EF6C09" w:rsidRDefault="006E5452" w:rsidP="00F6498C">
            <w:pPr>
              <w:autoSpaceDE w:val="0"/>
              <w:autoSpaceDN w:val="0"/>
              <w:adjustRightInd w:val="0"/>
              <w:spacing w:after="0"/>
              <w:rPr>
                <w:rFonts w:ascii="Times New Roman" w:hAnsi="Times New Roman"/>
              </w:rPr>
            </w:pPr>
            <w:r w:rsidRPr="00EF6C09">
              <w:rPr>
                <w:rFonts w:ascii="Times New Roman" w:hAnsi="Times New Roman"/>
              </w:rPr>
              <w:t>&gt; 40 (2025)</w:t>
            </w:r>
          </w:p>
        </w:tc>
        <w:tc>
          <w:tcPr>
            <w:tcW w:w="2127" w:type="dxa"/>
          </w:tcPr>
          <w:p w14:paraId="423B58DD" w14:textId="77777777" w:rsidR="006E5452" w:rsidRPr="00EF6C09" w:rsidRDefault="006E5452" w:rsidP="00F6498C">
            <w:pPr>
              <w:autoSpaceDE w:val="0"/>
              <w:autoSpaceDN w:val="0"/>
              <w:adjustRightInd w:val="0"/>
              <w:spacing w:after="0"/>
              <w:rPr>
                <w:rFonts w:ascii="Times New Roman" w:hAnsi="Times New Roman"/>
              </w:rPr>
            </w:pPr>
            <w:r w:rsidRPr="00EF6C09">
              <w:rPr>
                <w:rFonts w:ascii="Times New Roman" w:hAnsi="Times New Roman"/>
              </w:rPr>
              <w:t>Eurobarometer</w:t>
            </w:r>
          </w:p>
        </w:tc>
      </w:tr>
      <w:tr w:rsidR="00981AC7" w:rsidRPr="00EF6C09" w14:paraId="49799EB5" w14:textId="77777777" w:rsidTr="00DD46C6">
        <w:trPr>
          <w:cantSplit/>
          <w:trHeight w:val="376"/>
        </w:trPr>
        <w:tc>
          <w:tcPr>
            <w:tcW w:w="1531" w:type="dxa"/>
            <w:vMerge w:val="restart"/>
            <w:shd w:val="clear" w:color="auto" w:fill="D9D9D9"/>
          </w:tcPr>
          <w:p w14:paraId="46EB2460" w14:textId="35F6839E" w:rsidR="00981AC7" w:rsidRPr="00EF6C09" w:rsidRDefault="00981AC7" w:rsidP="00DD46C6">
            <w:pPr>
              <w:tabs>
                <w:tab w:val="left" w:pos="0"/>
                <w:tab w:val="left" w:pos="132"/>
              </w:tabs>
              <w:spacing w:after="0"/>
              <w:rPr>
                <w:rFonts w:ascii="Times New Roman" w:hAnsi="Times New Roman"/>
                <w:b/>
              </w:rPr>
            </w:pPr>
            <w:r w:rsidRPr="00EF6C09">
              <w:rPr>
                <w:rFonts w:ascii="Times New Roman" w:hAnsi="Times New Roman"/>
                <w:b/>
              </w:rPr>
              <w:t>Expected outcomes of the policy (Specific objective(s)</w:t>
            </w:r>
            <w:r w:rsidR="00DD46C6" w:rsidRPr="00EF6C09">
              <w:rPr>
                <w:rFonts w:ascii="Times New Roman" w:hAnsi="Times New Roman"/>
                <w:b/>
              </w:rPr>
              <w:t>)</w:t>
            </w:r>
          </w:p>
        </w:tc>
        <w:tc>
          <w:tcPr>
            <w:tcW w:w="3686" w:type="dxa"/>
            <w:vMerge w:val="restart"/>
            <w:shd w:val="clear" w:color="auto" w:fill="auto"/>
          </w:tcPr>
          <w:p w14:paraId="45DF4088" w14:textId="77777777" w:rsidR="00981AC7" w:rsidRPr="00EF6C09" w:rsidRDefault="00981AC7" w:rsidP="00981AC7">
            <w:pPr>
              <w:autoSpaceDE w:val="0"/>
              <w:autoSpaceDN w:val="0"/>
              <w:adjustRightInd w:val="0"/>
              <w:spacing w:after="0"/>
              <w:rPr>
                <w:rFonts w:ascii="Times New Roman" w:hAnsi="Times New Roman"/>
                <w:i/>
              </w:rPr>
            </w:pPr>
            <w:r w:rsidRPr="00EF6C09">
              <w:rPr>
                <w:rFonts w:ascii="Times New Roman" w:hAnsi="Times New Roman"/>
              </w:rPr>
              <w:t>Reorganized and optimized state administrative bodies</w:t>
            </w:r>
          </w:p>
        </w:tc>
        <w:tc>
          <w:tcPr>
            <w:tcW w:w="3498" w:type="dxa"/>
            <w:shd w:val="clear" w:color="auto" w:fill="auto"/>
          </w:tcPr>
          <w:p w14:paraId="20BB6A17" w14:textId="6CF0B447" w:rsidR="00981AC7" w:rsidRPr="00EF6C09" w:rsidRDefault="00981AC7" w:rsidP="00981AC7">
            <w:pPr>
              <w:autoSpaceDE w:val="0"/>
              <w:autoSpaceDN w:val="0"/>
              <w:adjustRightInd w:val="0"/>
              <w:spacing w:after="0"/>
              <w:rPr>
                <w:rFonts w:ascii="Times New Roman" w:hAnsi="Times New Roman"/>
                <w:iCs/>
              </w:rPr>
            </w:pPr>
            <w:r w:rsidRPr="00EF6C09">
              <w:rPr>
                <w:rFonts w:ascii="Times New Roman" w:hAnsi="Times New Roman"/>
                <w:iCs/>
              </w:rPr>
              <w:t>Number of state administrative bodies, agencies and inspection services at central level</w:t>
            </w:r>
          </w:p>
        </w:tc>
        <w:tc>
          <w:tcPr>
            <w:tcW w:w="1890" w:type="dxa"/>
            <w:shd w:val="clear" w:color="auto" w:fill="auto"/>
          </w:tcPr>
          <w:p w14:paraId="50E1AF2C" w14:textId="2329349C" w:rsidR="00981AC7" w:rsidRPr="00EF6C09" w:rsidRDefault="00981AC7" w:rsidP="00981AC7">
            <w:pPr>
              <w:autoSpaceDE w:val="0"/>
              <w:autoSpaceDN w:val="0"/>
              <w:adjustRightInd w:val="0"/>
              <w:spacing w:after="0"/>
              <w:rPr>
                <w:rFonts w:ascii="Times New Roman" w:hAnsi="Times New Roman"/>
              </w:rPr>
            </w:pPr>
            <w:r w:rsidRPr="00EF6C09">
              <w:rPr>
                <w:rFonts w:ascii="Times New Roman" w:hAnsi="Times New Roman"/>
              </w:rPr>
              <w:t>133 (2020)</w:t>
            </w:r>
          </w:p>
        </w:tc>
        <w:tc>
          <w:tcPr>
            <w:tcW w:w="2550" w:type="dxa"/>
            <w:shd w:val="clear" w:color="auto" w:fill="auto"/>
          </w:tcPr>
          <w:p w14:paraId="7D0A1B60" w14:textId="7ED3FD9D" w:rsidR="00981AC7" w:rsidRPr="00EF6C09" w:rsidRDefault="00981AC7" w:rsidP="00981AC7">
            <w:pPr>
              <w:autoSpaceDE w:val="0"/>
              <w:autoSpaceDN w:val="0"/>
              <w:adjustRightInd w:val="0"/>
              <w:spacing w:after="0"/>
              <w:rPr>
                <w:rFonts w:ascii="Times New Roman" w:hAnsi="Times New Roman"/>
              </w:rPr>
            </w:pPr>
            <w:r w:rsidRPr="00EF6C09">
              <w:rPr>
                <w:rFonts w:ascii="Times New Roman" w:hAnsi="Times New Roman"/>
              </w:rPr>
              <w:t>120 (2025)</w:t>
            </w:r>
          </w:p>
        </w:tc>
        <w:tc>
          <w:tcPr>
            <w:tcW w:w="2127" w:type="dxa"/>
          </w:tcPr>
          <w:p w14:paraId="07C91D67" w14:textId="25B5720A" w:rsidR="00981AC7" w:rsidRPr="00EF6C09" w:rsidRDefault="00981AC7" w:rsidP="00981AC7">
            <w:pPr>
              <w:autoSpaceDE w:val="0"/>
              <w:autoSpaceDN w:val="0"/>
              <w:adjustRightInd w:val="0"/>
              <w:spacing w:after="0"/>
              <w:rPr>
                <w:rFonts w:ascii="Times New Roman" w:hAnsi="Times New Roman"/>
              </w:rPr>
            </w:pPr>
            <w:r w:rsidRPr="00EF6C09">
              <w:rPr>
                <w:rFonts w:ascii="Times New Roman" w:hAnsi="Times New Roman"/>
              </w:rPr>
              <w:t>Report on the Implementation of the PAR Strategy &amp; MISA’s Annual Report from the Registry of public sector employees</w:t>
            </w:r>
          </w:p>
        </w:tc>
      </w:tr>
      <w:tr w:rsidR="00981AC7" w:rsidRPr="00EF6C09" w14:paraId="1CA85B31" w14:textId="77777777" w:rsidTr="00DD46C6">
        <w:trPr>
          <w:cantSplit/>
        </w:trPr>
        <w:tc>
          <w:tcPr>
            <w:tcW w:w="1531" w:type="dxa"/>
            <w:vMerge/>
            <w:shd w:val="clear" w:color="auto" w:fill="D9D9D9"/>
          </w:tcPr>
          <w:p w14:paraId="0DAA2AF9" w14:textId="77777777" w:rsidR="00981AC7" w:rsidRPr="00EF6C09" w:rsidRDefault="00981AC7" w:rsidP="00981AC7">
            <w:pPr>
              <w:tabs>
                <w:tab w:val="left" w:pos="37"/>
              </w:tabs>
              <w:spacing w:after="0"/>
              <w:rPr>
                <w:rFonts w:ascii="Times New Roman" w:hAnsi="Times New Roman"/>
                <w:b/>
              </w:rPr>
            </w:pPr>
          </w:p>
        </w:tc>
        <w:tc>
          <w:tcPr>
            <w:tcW w:w="3686" w:type="dxa"/>
            <w:vMerge/>
            <w:shd w:val="clear" w:color="auto" w:fill="auto"/>
          </w:tcPr>
          <w:p w14:paraId="543F52F8" w14:textId="77777777" w:rsidR="00981AC7" w:rsidRPr="00EF6C09" w:rsidRDefault="00981AC7" w:rsidP="00981AC7">
            <w:pPr>
              <w:autoSpaceDE w:val="0"/>
              <w:autoSpaceDN w:val="0"/>
              <w:adjustRightInd w:val="0"/>
              <w:spacing w:after="0"/>
              <w:rPr>
                <w:rFonts w:ascii="Times New Roman" w:hAnsi="Times New Roman"/>
              </w:rPr>
            </w:pPr>
          </w:p>
        </w:tc>
        <w:tc>
          <w:tcPr>
            <w:tcW w:w="3498" w:type="dxa"/>
            <w:shd w:val="clear" w:color="auto" w:fill="auto"/>
          </w:tcPr>
          <w:p w14:paraId="1C5EDCFF" w14:textId="0E157D69" w:rsidR="00981AC7" w:rsidRPr="00EF6C09" w:rsidRDefault="00981AC7" w:rsidP="006A5CC0">
            <w:pPr>
              <w:autoSpaceDE w:val="0"/>
              <w:autoSpaceDN w:val="0"/>
              <w:adjustRightInd w:val="0"/>
              <w:spacing w:after="0" w:line="240" w:lineRule="auto"/>
              <w:rPr>
                <w:rFonts w:ascii="Times New Roman" w:hAnsi="Times New Roman"/>
                <w:color w:val="000000"/>
              </w:rPr>
            </w:pPr>
            <w:r w:rsidRPr="00EF6C09">
              <w:rPr>
                <w:rFonts w:ascii="Times New Roman" w:hAnsi="Times New Roman"/>
                <w:color w:val="000000"/>
              </w:rPr>
              <w:t xml:space="preserve">Number of </w:t>
            </w:r>
            <w:r w:rsidR="006A5CC0" w:rsidRPr="00EF6C09">
              <w:rPr>
                <w:rFonts w:ascii="Times New Roman" w:hAnsi="Times New Roman"/>
                <w:color w:val="000000"/>
              </w:rPr>
              <w:t>public sector employees</w:t>
            </w:r>
            <w:r w:rsidRPr="00EF6C09">
              <w:rPr>
                <w:rFonts w:ascii="Times New Roman" w:hAnsi="Times New Roman"/>
                <w:color w:val="000000"/>
              </w:rPr>
              <w:t xml:space="preserve"> </w:t>
            </w:r>
            <w:r w:rsidR="000B0F87" w:rsidRPr="00EF6C09">
              <w:rPr>
                <w:rFonts w:ascii="Times New Roman" w:hAnsi="Times New Roman"/>
                <w:color w:val="000000"/>
              </w:rPr>
              <w:t>(breakdown by sex</w:t>
            </w:r>
            <w:r w:rsidR="006A5CC0" w:rsidRPr="00EF6C09">
              <w:rPr>
                <w:rFonts w:ascii="Times New Roman" w:hAnsi="Times New Roman"/>
                <w:color w:val="000000"/>
              </w:rPr>
              <w:t xml:space="preserve">, age, </w:t>
            </w:r>
            <w:r w:rsidR="000B0F87" w:rsidRPr="00EF6C09">
              <w:rPr>
                <w:rFonts w:ascii="Times New Roman" w:hAnsi="Times New Roman"/>
                <w:color w:val="000000"/>
              </w:rPr>
              <w:t>ethnic origin</w:t>
            </w:r>
            <w:r w:rsidR="006A5CC0" w:rsidRPr="00EF6C09">
              <w:rPr>
                <w:rFonts w:ascii="Times New Roman" w:hAnsi="Times New Roman"/>
                <w:color w:val="000000"/>
              </w:rPr>
              <w:t>, type of employer</w:t>
            </w:r>
            <w:r w:rsidR="000B0F87" w:rsidRPr="00EF6C09">
              <w:rPr>
                <w:rFonts w:ascii="Times New Roman" w:hAnsi="Times New Roman"/>
                <w:color w:val="000000"/>
              </w:rPr>
              <w:t>)</w:t>
            </w:r>
          </w:p>
        </w:tc>
        <w:tc>
          <w:tcPr>
            <w:tcW w:w="1890" w:type="dxa"/>
            <w:shd w:val="clear" w:color="auto" w:fill="auto"/>
          </w:tcPr>
          <w:p w14:paraId="7E50E180" w14:textId="77777777" w:rsidR="00981AC7" w:rsidRPr="00EF6C09" w:rsidRDefault="00981AC7" w:rsidP="00981AC7">
            <w:pPr>
              <w:spacing w:after="0"/>
              <w:rPr>
                <w:rFonts w:ascii="Times New Roman" w:hAnsi="Times New Roman"/>
              </w:rPr>
            </w:pPr>
            <w:r w:rsidRPr="00EF6C09">
              <w:rPr>
                <w:rFonts w:ascii="Times New Roman" w:hAnsi="Times New Roman"/>
              </w:rPr>
              <w:t>132,900 (2019)</w:t>
            </w:r>
          </w:p>
        </w:tc>
        <w:tc>
          <w:tcPr>
            <w:tcW w:w="2550" w:type="dxa"/>
            <w:shd w:val="clear" w:color="auto" w:fill="auto"/>
          </w:tcPr>
          <w:p w14:paraId="7FE7D48C" w14:textId="77777777" w:rsidR="00981AC7" w:rsidRPr="00EF6C09" w:rsidRDefault="00981AC7" w:rsidP="00981AC7">
            <w:pPr>
              <w:spacing w:after="0"/>
              <w:rPr>
                <w:rFonts w:ascii="Times New Roman" w:hAnsi="Times New Roman"/>
              </w:rPr>
            </w:pPr>
            <w:r w:rsidRPr="00EF6C09">
              <w:rPr>
                <w:rFonts w:ascii="Times New Roman" w:hAnsi="Times New Roman"/>
              </w:rPr>
              <w:t>107,000 (2025)</w:t>
            </w:r>
          </w:p>
          <w:p w14:paraId="7BD1F22C" w14:textId="77777777" w:rsidR="00981AC7" w:rsidRPr="00EF6C09" w:rsidDel="00116054" w:rsidRDefault="00981AC7" w:rsidP="00981AC7">
            <w:pPr>
              <w:spacing w:after="0"/>
              <w:rPr>
                <w:rFonts w:ascii="Times New Roman" w:hAnsi="Times New Roman"/>
              </w:rPr>
            </w:pPr>
          </w:p>
        </w:tc>
        <w:tc>
          <w:tcPr>
            <w:tcW w:w="2127" w:type="dxa"/>
          </w:tcPr>
          <w:p w14:paraId="404470CE" w14:textId="77777777" w:rsidR="00981AC7" w:rsidRPr="00EF6C09" w:rsidRDefault="00981AC7" w:rsidP="00981AC7">
            <w:pPr>
              <w:autoSpaceDE w:val="0"/>
              <w:autoSpaceDN w:val="0"/>
              <w:adjustRightInd w:val="0"/>
              <w:spacing w:after="0"/>
              <w:rPr>
                <w:rFonts w:ascii="Times New Roman" w:hAnsi="Times New Roman"/>
              </w:rPr>
            </w:pPr>
            <w:r w:rsidRPr="00EF6C09">
              <w:rPr>
                <w:rFonts w:ascii="Times New Roman" w:hAnsi="Times New Roman"/>
              </w:rPr>
              <w:t>MISA’s Annual Report from the Registry of public sector employees</w:t>
            </w:r>
          </w:p>
        </w:tc>
      </w:tr>
      <w:tr w:rsidR="00981AC7" w:rsidRPr="00EF6C09" w:rsidDel="001230DC" w14:paraId="650CBEB0" w14:textId="77777777" w:rsidTr="00DD46C6">
        <w:trPr>
          <w:cantSplit/>
        </w:trPr>
        <w:tc>
          <w:tcPr>
            <w:tcW w:w="1531" w:type="dxa"/>
            <w:vMerge w:val="restart"/>
            <w:shd w:val="clear" w:color="auto" w:fill="D9D9D9"/>
          </w:tcPr>
          <w:p w14:paraId="01BF1DCD" w14:textId="77777777" w:rsidR="00981AC7" w:rsidRPr="00EF6C09" w:rsidRDefault="00981AC7" w:rsidP="00981AC7">
            <w:pPr>
              <w:tabs>
                <w:tab w:val="left" w:pos="37"/>
              </w:tabs>
              <w:spacing w:after="0"/>
              <w:rPr>
                <w:rFonts w:ascii="Times New Roman" w:hAnsi="Times New Roman"/>
                <w:b/>
              </w:rPr>
            </w:pPr>
            <w:r w:rsidRPr="00EF6C09">
              <w:rPr>
                <w:rFonts w:ascii="Times New Roman" w:hAnsi="Times New Roman"/>
                <w:b/>
              </w:rPr>
              <w:t>Induced outputs</w:t>
            </w:r>
          </w:p>
        </w:tc>
        <w:tc>
          <w:tcPr>
            <w:tcW w:w="3686" w:type="dxa"/>
            <w:vMerge w:val="restart"/>
            <w:shd w:val="clear" w:color="auto" w:fill="auto"/>
          </w:tcPr>
          <w:p w14:paraId="1BE70164" w14:textId="697653B1" w:rsidR="00981AC7" w:rsidRPr="00EF6C09" w:rsidRDefault="00981AC7" w:rsidP="00930967">
            <w:pPr>
              <w:autoSpaceDE w:val="0"/>
              <w:autoSpaceDN w:val="0"/>
              <w:adjustRightInd w:val="0"/>
              <w:spacing w:after="0"/>
              <w:rPr>
                <w:rFonts w:ascii="Times New Roman" w:hAnsi="Times New Roman"/>
              </w:rPr>
            </w:pPr>
            <w:r w:rsidRPr="00EF6C09">
              <w:rPr>
                <w:rFonts w:ascii="Times New Roman" w:hAnsi="Times New Roman"/>
              </w:rPr>
              <w:t>Strengthened recruitment and promotion procedure in place for state administrative bodies allowing improved intake of qualified people in public administration and strong career path</w:t>
            </w:r>
          </w:p>
        </w:tc>
        <w:tc>
          <w:tcPr>
            <w:tcW w:w="3498" w:type="dxa"/>
            <w:shd w:val="clear" w:color="auto" w:fill="auto"/>
          </w:tcPr>
          <w:p w14:paraId="082D0A7D" w14:textId="37E3C992" w:rsidR="00981AC7" w:rsidRPr="00EF6C09" w:rsidRDefault="00981AC7" w:rsidP="00091356">
            <w:pPr>
              <w:autoSpaceDE w:val="0"/>
              <w:autoSpaceDN w:val="0"/>
              <w:adjustRightInd w:val="0"/>
              <w:spacing w:after="0" w:line="240" w:lineRule="auto"/>
              <w:rPr>
                <w:rFonts w:ascii="Times New Roman" w:hAnsi="Times New Roman"/>
              </w:rPr>
            </w:pPr>
            <w:r w:rsidRPr="00EF6C09">
              <w:rPr>
                <w:rFonts w:ascii="Times New Roman" w:hAnsi="Times New Roman"/>
                <w:color w:val="000000"/>
              </w:rPr>
              <w:t xml:space="preserve">Number of </w:t>
            </w:r>
            <w:r w:rsidR="00091356" w:rsidRPr="00EF6C09">
              <w:rPr>
                <w:rFonts w:ascii="Times New Roman" w:hAnsi="Times New Roman"/>
                <w:color w:val="000000"/>
              </w:rPr>
              <w:t>central level administrative</w:t>
            </w:r>
            <w:r w:rsidRPr="00EF6C09">
              <w:rPr>
                <w:rFonts w:ascii="Times New Roman" w:hAnsi="Times New Roman"/>
                <w:color w:val="000000"/>
              </w:rPr>
              <w:t xml:space="preserve"> servants with demanded </w:t>
            </w:r>
            <w:r w:rsidR="00091356" w:rsidRPr="00EF6C09">
              <w:rPr>
                <w:rFonts w:ascii="Times New Roman" w:hAnsi="Times New Roman"/>
                <w:color w:val="000000"/>
              </w:rPr>
              <w:t>competencies</w:t>
            </w:r>
            <w:r w:rsidRPr="00EF6C09">
              <w:rPr>
                <w:rFonts w:ascii="Times New Roman" w:hAnsi="Times New Roman"/>
                <w:color w:val="000000"/>
              </w:rPr>
              <w:t xml:space="preserve"> (breakdown by age, sex, ethnic origin</w:t>
            </w:r>
            <w:r w:rsidR="00435D8E" w:rsidRPr="00EF6C09">
              <w:rPr>
                <w:rFonts w:ascii="Times New Roman" w:hAnsi="Times New Roman"/>
                <w:color w:val="000000"/>
              </w:rPr>
              <w:t>, seniority</w:t>
            </w:r>
            <w:r w:rsidRPr="00EF6C09">
              <w:rPr>
                <w:rFonts w:ascii="Times New Roman" w:hAnsi="Times New Roman"/>
                <w:color w:val="000000"/>
              </w:rPr>
              <w:t>)</w:t>
            </w:r>
          </w:p>
        </w:tc>
        <w:tc>
          <w:tcPr>
            <w:tcW w:w="1890" w:type="dxa"/>
            <w:shd w:val="clear" w:color="auto" w:fill="auto"/>
          </w:tcPr>
          <w:p w14:paraId="42F80785" w14:textId="77777777" w:rsidR="00981AC7" w:rsidRPr="00EF6C09" w:rsidRDefault="00981AC7" w:rsidP="00981AC7">
            <w:pPr>
              <w:spacing w:after="0"/>
              <w:rPr>
                <w:rFonts w:ascii="Times New Roman" w:hAnsi="Times New Roman"/>
              </w:rPr>
            </w:pPr>
            <w:r w:rsidRPr="00EF6C09">
              <w:rPr>
                <w:rFonts w:ascii="Times New Roman" w:hAnsi="Times New Roman"/>
              </w:rPr>
              <w:t>TBD</w:t>
            </w:r>
          </w:p>
        </w:tc>
        <w:tc>
          <w:tcPr>
            <w:tcW w:w="2550" w:type="dxa"/>
            <w:shd w:val="clear" w:color="auto" w:fill="auto"/>
          </w:tcPr>
          <w:p w14:paraId="4045564D" w14:textId="77777777" w:rsidR="00981AC7" w:rsidRPr="00EF6C09" w:rsidRDefault="00981AC7" w:rsidP="00981AC7">
            <w:pPr>
              <w:spacing w:after="0"/>
              <w:rPr>
                <w:rFonts w:ascii="Times New Roman" w:hAnsi="Times New Roman"/>
              </w:rPr>
            </w:pPr>
            <w:r w:rsidRPr="00EF6C09">
              <w:rPr>
                <w:rFonts w:ascii="Times New Roman" w:hAnsi="Times New Roman"/>
              </w:rPr>
              <w:t>+300 (2025)</w:t>
            </w:r>
          </w:p>
        </w:tc>
        <w:tc>
          <w:tcPr>
            <w:tcW w:w="2127" w:type="dxa"/>
          </w:tcPr>
          <w:p w14:paraId="3F0CB1C6" w14:textId="77777777" w:rsidR="00981AC7" w:rsidRPr="00EF6C09" w:rsidDel="001230DC" w:rsidRDefault="00981AC7" w:rsidP="00981AC7">
            <w:pPr>
              <w:autoSpaceDE w:val="0"/>
              <w:autoSpaceDN w:val="0"/>
              <w:adjustRightInd w:val="0"/>
              <w:spacing w:after="0"/>
              <w:rPr>
                <w:rFonts w:ascii="Times New Roman" w:hAnsi="Times New Roman"/>
              </w:rPr>
            </w:pPr>
            <w:r w:rsidRPr="00EF6C09">
              <w:rPr>
                <w:rFonts w:ascii="Times New Roman" w:hAnsi="Times New Roman"/>
              </w:rPr>
              <w:t>MISA’s Annual Report from the Registry of public sector employees</w:t>
            </w:r>
          </w:p>
        </w:tc>
      </w:tr>
      <w:tr w:rsidR="00981AC7" w:rsidRPr="00EF6C09" w14:paraId="741F3B2C" w14:textId="77777777" w:rsidTr="00DD46C6">
        <w:trPr>
          <w:cantSplit/>
        </w:trPr>
        <w:tc>
          <w:tcPr>
            <w:tcW w:w="1531" w:type="dxa"/>
            <w:vMerge/>
            <w:shd w:val="clear" w:color="auto" w:fill="D9D9D9"/>
          </w:tcPr>
          <w:p w14:paraId="34FC43E6" w14:textId="77777777" w:rsidR="00981AC7" w:rsidRPr="00EF6C09" w:rsidRDefault="00981AC7" w:rsidP="00981AC7">
            <w:pPr>
              <w:tabs>
                <w:tab w:val="left" w:pos="37"/>
              </w:tabs>
              <w:spacing w:after="0"/>
              <w:rPr>
                <w:rFonts w:ascii="Times New Roman" w:hAnsi="Times New Roman"/>
                <w:b/>
              </w:rPr>
            </w:pPr>
          </w:p>
        </w:tc>
        <w:tc>
          <w:tcPr>
            <w:tcW w:w="3686" w:type="dxa"/>
            <w:vMerge/>
            <w:shd w:val="clear" w:color="auto" w:fill="auto"/>
          </w:tcPr>
          <w:p w14:paraId="4CC59FDA" w14:textId="77777777" w:rsidR="00981AC7" w:rsidRPr="00EF6C09" w:rsidRDefault="00981AC7" w:rsidP="00981AC7">
            <w:pPr>
              <w:autoSpaceDE w:val="0"/>
              <w:autoSpaceDN w:val="0"/>
              <w:adjustRightInd w:val="0"/>
              <w:spacing w:after="0"/>
              <w:rPr>
                <w:rFonts w:ascii="Times New Roman" w:hAnsi="Times New Roman"/>
              </w:rPr>
            </w:pPr>
          </w:p>
        </w:tc>
        <w:tc>
          <w:tcPr>
            <w:tcW w:w="3498" w:type="dxa"/>
            <w:shd w:val="clear" w:color="auto" w:fill="auto"/>
          </w:tcPr>
          <w:p w14:paraId="54924B1B" w14:textId="0AAE2478" w:rsidR="00981AC7" w:rsidRPr="00EF6C09" w:rsidRDefault="00981AC7" w:rsidP="00930967">
            <w:pPr>
              <w:autoSpaceDE w:val="0"/>
              <w:autoSpaceDN w:val="0"/>
              <w:adjustRightInd w:val="0"/>
              <w:spacing w:after="0" w:line="240" w:lineRule="auto"/>
              <w:rPr>
                <w:rFonts w:ascii="Times New Roman" w:hAnsi="Times New Roman"/>
                <w:color w:val="000000"/>
              </w:rPr>
            </w:pPr>
            <w:r w:rsidRPr="00EF6C09">
              <w:rPr>
                <w:rFonts w:ascii="Times New Roman" w:hAnsi="Times New Roman"/>
              </w:rPr>
              <w:t xml:space="preserve">Use of temporary contracts - </w:t>
            </w:r>
            <w:r w:rsidR="00930967" w:rsidRPr="00EF6C09">
              <w:rPr>
                <w:rFonts w:ascii="Times New Roman" w:hAnsi="Times New Roman"/>
                <w:color w:val="000000"/>
              </w:rPr>
              <w:t>number</w:t>
            </w:r>
            <w:r w:rsidRPr="00EF6C09">
              <w:rPr>
                <w:rFonts w:ascii="Times New Roman" w:hAnsi="Times New Roman"/>
                <w:color w:val="000000"/>
              </w:rPr>
              <w:t xml:space="preserve"> of people on temporary contracts in public sector institutions  </w:t>
            </w:r>
          </w:p>
        </w:tc>
        <w:tc>
          <w:tcPr>
            <w:tcW w:w="1890" w:type="dxa"/>
            <w:shd w:val="clear" w:color="auto" w:fill="auto"/>
          </w:tcPr>
          <w:p w14:paraId="0B582DA4" w14:textId="77777777" w:rsidR="00981AC7" w:rsidRPr="00EF6C09" w:rsidRDefault="00981AC7" w:rsidP="00981AC7">
            <w:pPr>
              <w:spacing w:after="0"/>
              <w:rPr>
                <w:rFonts w:ascii="Times New Roman" w:hAnsi="Times New Roman"/>
                <w:lang w:val="mk-MK"/>
              </w:rPr>
            </w:pPr>
            <w:r w:rsidRPr="00EF6C09">
              <w:rPr>
                <w:rFonts w:ascii="Times New Roman" w:hAnsi="Times New Roman"/>
              </w:rPr>
              <w:t>3,222 (2019)</w:t>
            </w:r>
          </w:p>
        </w:tc>
        <w:tc>
          <w:tcPr>
            <w:tcW w:w="2550" w:type="dxa"/>
            <w:shd w:val="clear" w:color="auto" w:fill="auto"/>
          </w:tcPr>
          <w:p w14:paraId="50DBB675" w14:textId="77777777" w:rsidR="00981AC7" w:rsidRPr="00EF6C09" w:rsidRDefault="00981AC7" w:rsidP="00981AC7">
            <w:pPr>
              <w:spacing w:after="0"/>
              <w:rPr>
                <w:rFonts w:ascii="Times New Roman" w:hAnsi="Times New Roman"/>
              </w:rPr>
            </w:pPr>
            <w:r w:rsidRPr="00EF6C09">
              <w:rPr>
                <w:rFonts w:ascii="Times New Roman" w:hAnsi="Times New Roman"/>
              </w:rPr>
              <w:t>2,600 (2025)</w:t>
            </w:r>
          </w:p>
        </w:tc>
        <w:tc>
          <w:tcPr>
            <w:tcW w:w="2127" w:type="dxa"/>
          </w:tcPr>
          <w:p w14:paraId="17F38418" w14:textId="77777777" w:rsidR="00981AC7" w:rsidRPr="00EF6C09" w:rsidRDefault="00981AC7" w:rsidP="00981AC7">
            <w:pPr>
              <w:autoSpaceDE w:val="0"/>
              <w:autoSpaceDN w:val="0"/>
              <w:adjustRightInd w:val="0"/>
              <w:spacing w:after="0"/>
              <w:rPr>
                <w:rFonts w:ascii="Times New Roman" w:hAnsi="Times New Roman"/>
              </w:rPr>
            </w:pPr>
            <w:r w:rsidRPr="00EF6C09">
              <w:rPr>
                <w:rFonts w:ascii="Times New Roman" w:hAnsi="Times New Roman"/>
              </w:rPr>
              <w:t>MISA’s Annual Report from the Registry of public sector employees</w:t>
            </w:r>
            <w:r w:rsidRPr="00EF6C09" w:rsidDel="001230DC">
              <w:rPr>
                <w:rFonts w:ascii="Times New Roman" w:hAnsi="Times New Roman"/>
              </w:rPr>
              <w:t xml:space="preserve"> </w:t>
            </w:r>
          </w:p>
        </w:tc>
      </w:tr>
      <w:tr w:rsidR="00981AC7" w:rsidRPr="00EF6C09" w14:paraId="4A3CCEF0" w14:textId="77777777" w:rsidTr="00DD46C6">
        <w:trPr>
          <w:cantSplit/>
        </w:trPr>
        <w:tc>
          <w:tcPr>
            <w:tcW w:w="1531" w:type="dxa"/>
            <w:vMerge/>
            <w:shd w:val="clear" w:color="auto" w:fill="D9D9D9"/>
          </w:tcPr>
          <w:p w14:paraId="6D2DF880" w14:textId="77777777" w:rsidR="00981AC7" w:rsidRPr="00EF6C09" w:rsidRDefault="00981AC7" w:rsidP="00981AC7">
            <w:pPr>
              <w:tabs>
                <w:tab w:val="left" w:pos="37"/>
              </w:tabs>
              <w:spacing w:after="0"/>
              <w:rPr>
                <w:rFonts w:ascii="Times New Roman" w:hAnsi="Times New Roman"/>
                <w:b/>
              </w:rPr>
            </w:pPr>
          </w:p>
        </w:tc>
        <w:tc>
          <w:tcPr>
            <w:tcW w:w="3686" w:type="dxa"/>
            <w:vMerge/>
            <w:shd w:val="clear" w:color="auto" w:fill="auto"/>
          </w:tcPr>
          <w:p w14:paraId="17A32789" w14:textId="77777777" w:rsidR="00981AC7" w:rsidRPr="00EF6C09" w:rsidRDefault="00981AC7" w:rsidP="00981AC7">
            <w:pPr>
              <w:autoSpaceDE w:val="0"/>
              <w:autoSpaceDN w:val="0"/>
              <w:adjustRightInd w:val="0"/>
              <w:spacing w:after="0"/>
              <w:rPr>
                <w:rFonts w:ascii="Times New Roman" w:hAnsi="Times New Roman"/>
              </w:rPr>
            </w:pPr>
          </w:p>
        </w:tc>
        <w:tc>
          <w:tcPr>
            <w:tcW w:w="3498" w:type="dxa"/>
            <w:shd w:val="clear" w:color="auto" w:fill="FFFFFF"/>
          </w:tcPr>
          <w:p w14:paraId="69306EEF" w14:textId="141FC99F" w:rsidR="00981AC7" w:rsidRPr="00EF6C09" w:rsidRDefault="009C1443" w:rsidP="009C1443">
            <w:pPr>
              <w:autoSpaceDE w:val="0"/>
              <w:autoSpaceDN w:val="0"/>
              <w:adjustRightInd w:val="0"/>
              <w:spacing w:after="0" w:line="240" w:lineRule="auto"/>
              <w:rPr>
                <w:rFonts w:ascii="Times New Roman" w:hAnsi="Times New Roman"/>
                <w:color w:val="000000"/>
              </w:rPr>
            </w:pPr>
            <w:r w:rsidRPr="00EF6C09">
              <w:rPr>
                <w:rFonts w:ascii="Times New Roman" w:hAnsi="Times New Roman"/>
                <w:color w:val="000000"/>
              </w:rPr>
              <w:t>Percentage</w:t>
            </w:r>
            <w:r w:rsidR="00981AC7" w:rsidRPr="00EF6C09">
              <w:rPr>
                <w:rFonts w:ascii="Times New Roman" w:hAnsi="Times New Roman"/>
                <w:color w:val="000000"/>
              </w:rPr>
              <w:t xml:space="preserve"> of qualified people leaving the public administration</w:t>
            </w:r>
            <w:r w:rsidRPr="00EF6C09">
              <w:rPr>
                <w:rFonts w:ascii="Times New Roman" w:hAnsi="Times New Roman"/>
                <w:color w:val="000000"/>
              </w:rPr>
              <w:t xml:space="preserve"> voluntarily</w:t>
            </w:r>
            <w:r w:rsidR="00981AC7" w:rsidRPr="00EF6C09">
              <w:rPr>
                <w:rFonts w:ascii="Times New Roman" w:hAnsi="Times New Roman"/>
                <w:color w:val="000000"/>
              </w:rPr>
              <w:t xml:space="preserve"> for reasons other than retirement</w:t>
            </w:r>
          </w:p>
        </w:tc>
        <w:tc>
          <w:tcPr>
            <w:tcW w:w="1890" w:type="dxa"/>
            <w:shd w:val="clear" w:color="auto" w:fill="FFFFFF"/>
          </w:tcPr>
          <w:p w14:paraId="021CC190" w14:textId="3E6F0745" w:rsidR="00981AC7" w:rsidRPr="00EF6C09" w:rsidRDefault="009C1443" w:rsidP="00981AC7">
            <w:pPr>
              <w:spacing w:after="0"/>
              <w:rPr>
                <w:rFonts w:ascii="Times New Roman" w:hAnsi="Times New Roman"/>
              </w:rPr>
            </w:pPr>
            <w:r w:rsidRPr="00EF6C09">
              <w:rPr>
                <w:rFonts w:ascii="Times New Roman" w:hAnsi="Times New Roman"/>
              </w:rPr>
              <w:t>19% (2019)</w:t>
            </w:r>
            <w:r w:rsidRPr="00EF6C09">
              <w:rPr>
                <w:rStyle w:val="FootnoteReference"/>
                <w:rFonts w:ascii="Times New Roman" w:hAnsi="Times New Roman"/>
              </w:rPr>
              <w:footnoteReference w:id="3"/>
            </w:r>
          </w:p>
        </w:tc>
        <w:tc>
          <w:tcPr>
            <w:tcW w:w="2550" w:type="dxa"/>
            <w:shd w:val="clear" w:color="auto" w:fill="FFFFFF"/>
          </w:tcPr>
          <w:p w14:paraId="243A52A8" w14:textId="4524AE51" w:rsidR="00981AC7" w:rsidRPr="00EF6C09" w:rsidRDefault="009C1443" w:rsidP="00981AC7">
            <w:pPr>
              <w:spacing w:after="0"/>
              <w:rPr>
                <w:rFonts w:ascii="Times New Roman" w:hAnsi="Times New Roman"/>
              </w:rPr>
            </w:pPr>
            <w:r w:rsidRPr="00EF6C09">
              <w:rPr>
                <w:rFonts w:ascii="Times New Roman" w:hAnsi="Times New Roman"/>
              </w:rPr>
              <w:t>&lt;10% (2025)</w:t>
            </w:r>
          </w:p>
        </w:tc>
        <w:tc>
          <w:tcPr>
            <w:tcW w:w="2127" w:type="dxa"/>
            <w:shd w:val="clear" w:color="auto" w:fill="FFFFFF"/>
          </w:tcPr>
          <w:p w14:paraId="6C81CA5A" w14:textId="583DD1E9" w:rsidR="00981AC7" w:rsidRPr="00EF6C09" w:rsidRDefault="009C1443" w:rsidP="00981AC7">
            <w:pPr>
              <w:autoSpaceDE w:val="0"/>
              <w:autoSpaceDN w:val="0"/>
              <w:adjustRightInd w:val="0"/>
              <w:spacing w:after="0"/>
              <w:rPr>
                <w:rFonts w:ascii="Times New Roman" w:hAnsi="Times New Roman"/>
              </w:rPr>
            </w:pPr>
            <w:r w:rsidRPr="00EF6C09">
              <w:rPr>
                <w:rFonts w:ascii="Times New Roman" w:hAnsi="Times New Roman"/>
              </w:rPr>
              <w:t>MISA’s Annual Report from the Registry of public sector employees</w:t>
            </w:r>
          </w:p>
        </w:tc>
      </w:tr>
      <w:tr w:rsidR="00981AC7" w:rsidRPr="00EF6C09" w14:paraId="66DCDD9C" w14:textId="77777777" w:rsidTr="00DD46C6">
        <w:trPr>
          <w:cantSplit/>
        </w:trPr>
        <w:tc>
          <w:tcPr>
            <w:tcW w:w="1531" w:type="dxa"/>
            <w:vMerge w:val="restart"/>
            <w:shd w:val="clear" w:color="auto" w:fill="D9D9D9"/>
          </w:tcPr>
          <w:p w14:paraId="19DBAAED" w14:textId="77777777" w:rsidR="00981AC7" w:rsidRPr="00EF6C09" w:rsidRDefault="00981AC7" w:rsidP="00981AC7">
            <w:pPr>
              <w:tabs>
                <w:tab w:val="left" w:pos="0"/>
                <w:tab w:val="left" w:pos="132"/>
              </w:tabs>
              <w:spacing w:after="0"/>
              <w:rPr>
                <w:rFonts w:ascii="Times New Roman" w:hAnsi="Times New Roman"/>
                <w:b/>
              </w:rPr>
            </w:pPr>
            <w:r w:rsidRPr="00EF6C09">
              <w:rPr>
                <w:rFonts w:ascii="Times New Roman" w:hAnsi="Times New Roman"/>
                <w:b/>
              </w:rPr>
              <w:t>Direct outputs</w:t>
            </w:r>
          </w:p>
        </w:tc>
        <w:tc>
          <w:tcPr>
            <w:tcW w:w="3686" w:type="dxa"/>
            <w:vMerge w:val="restart"/>
            <w:shd w:val="clear" w:color="auto" w:fill="auto"/>
          </w:tcPr>
          <w:p w14:paraId="1B39027E" w14:textId="77777777" w:rsidR="00981AC7" w:rsidRPr="00EF6C09" w:rsidRDefault="00981AC7" w:rsidP="00981AC7">
            <w:pPr>
              <w:autoSpaceDE w:val="0"/>
              <w:autoSpaceDN w:val="0"/>
              <w:adjustRightInd w:val="0"/>
              <w:spacing w:after="0"/>
              <w:rPr>
                <w:rFonts w:ascii="Times New Roman" w:hAnsi="Times New Roman"/>
              </w:rPr>
            </w:pPr>
            <w:r w:rsidRPr="00EF6C09">
              <w:rPr>
                <w:rFonts w:ascii="Times New Roman" w:hAnsi="Times New Roman"/>
              </w:rPr>
              <w:t xml:space="preserve">Improved policy dialogue on sector reforms </w:t>
            </w:r>
          </w:p>
        </w:tc>
        <w:tc>
          <w:tcPr>
            <w:tcW w:w="3498" w:type="dxa"/>
            <w:shd w:val="clear" w:color="auto" w:fill="FFFFFF"/>
          </w:tcPr>
          <w:p w14:paraId="2D1CEA7E" w14:textId="77777777" w:rsidR="00E54D64" w:rsidRPr="00EF6C09" w:rsidRDefault="00981AC7" w:rsidP="00E54D64">
            <w:pPr>
              <w:spacing w:after="0"/>
              <w:rPr>
                <w:rFonts w:ascii="Times New Roman" w:eastAsia="MS Mincho" w:hAnsi="Times New Roman"/>
              </w:rPr>
            </w:pPr>
            <w:r w:rsidRPr="00EF6C09">
              <w:rPr>
                <w:rFonts w:ascii="Times New Roman" w:eastAsia="MS Mincho" w:hAnsi="Times New Roman"/>
              </w:rPr>
              <w:t xml:space="preserve">Number and structure of participants in the Sector Working Group meetings on PAR </w:t>
            </w:r>
            <w:r w:rsidR="00E54D64" w:rsidRPr="00EF6C09">
              <w:rPr>
                <w:rFonts w:ascii="Times New Roman" w:eastAsia="MS Mincho" w:hAnsi="Times New Roman"/>
              </w:rPr>
              <w:t>/</w:t>
            </w:r>
          </w:p>
          <w:p w14:paraId="05B7E3A7" w14:textId="77777777" w:rsidR="00E54D64" w:rsidRPr="00EF6C09" w:rsidRDefault="00E54D64" w:rsidP="00E54D64">
            <w:pPr>
              <w:spacing w:after="0"/>
              <w:rPr>
                <w:rFonts w:ascii="Times New Roman" w:eastAsia="MS Mincho" w:hAnsi="Times New Roman"/>
              </w:rPr>
            </w:pPr>
          </w:p>
          <w:p w14:paraId="1C3A4149" w14:textId="7AA521C8" w:rsidR="00981AC7" w:rsidRPr="00EF6C09" w:rsidRDefault="00981AC7" w:rsidP="00E54D64">
            <w:pPr>
              <w:spacing w:after="0"/>
              <w:rPr>
                <w:rFonts w:ascii="Times New Roman" w:eastAsia="MS Mincho" w:hAnsi="Times New Roman"/>
              </w:rPr>
            </w:pPr>
            <w:r w:rsidRPr="00EF6C09" w:rsidDel="00116054">
              <w:rPr>
                <w:rFonts w:ascii="Times New Roman" w:eastAsia="MS Mincho" w:hAnsi="Times New Roman"/>
              </w:rPr>
              <w:t xml:space="preserve">Number of decisions per year taken at the Sector Working Group meetings on PAR </w:t>
            </w:r>
          </w:p>
        </w:tc>
        <w:tc>
          <w:tcPr>
            <w:tcW w:w="1890" w:type="dxa"/>
            <w:shd w:val="clear" w:color="auto" w:fill="FFFFFF"/>
          </w:tcPr>
          <w:p w14:paraId="2C08A86A" w14:textId="77777777" w:rsidR="00E54D64" w:rsidRPr="00EF6C09" w:rsidRDefault="00981AC7" w:rsidP="00981AC7">
            <w:pPr>
              <w:spacing w:after="0"/>
              <w:ind w:right="-108"/>
              <w:rPr>
                <w:rFonts w:ascii="Times New Roman" w:eastAsia="MS Mincho" w:hAnsi="Times New Roman"/>
              </w:rPr>
            </w:pPr>
            <w:r w:rsidRPr="00EF6C09">
              <w:rPr>
                <w:rFonts w:ascii="Times New Roman" w:hAnsi="Times New Roman"/>
              </w:rPr>
              <w:t>Average 25 persons per meeting, 50% national authorities, 50% donors and international organisations, no civil society</w:t>
            </w:r>
            <w:r w:rsidRPr="00EF6C09" w:rsidDel="00116054">
              <w:rPr>
                <w:rFonts w:ascii="Times New Roman" w:eastAsia="MS Mincho" w:hAnsi="Times New Roman"/>
              </w:rPr>
              <w:t xml:space="preserve">(2020) </w:t>
            </w:r>
            <w:r w:rsidR="00E54D64" w:rsidRPr="00EF6C09">
              <w:rPr>
                <w:rFonts w:ascii="Times New Roman" w:eastAsia="MS Mincho" w:hAnsi="Times New Roman"/>
              </w:rPr>
              <w:t xml:space="preserve">/ </w:t>
            </w:r>
          </w:p>
          <w:p w14:paraId="01E73B9B" w14:textId="2C0DE4A0" w:rsidR="00981AC7" w:rsidRPr="00EF6C09" w:rsidDel="00116054" w:rsidRDefault="00981AC7" w:rsidP="00981AC7">
            <w:pPr>
              <w:spacing w:after="0"/>
              <w:ind w:right="-108"/>
              <w:rPr>
                <w:rFonts w:ascii="Times New Roman" w:eastAsia="MS Mincho" w:hAnsi="Times New Roman"/>
              </w:rPr>
            </w:pPr>
            <w:r w:rsidRPr="00EF6C09" w:rsidDel="00116054">
              <w:rPr>
                <w:rFonts w:ascii="Times New Roman" w:eastAsia="MS Mincho" w:hAnsi="Times New Roman"/>
              </w:rPr>
              <w:t>none</w:t>
            </w:r>
          </w:p>
          <w:p w14:paraId="1EE6519F" w14:textId="77777777" w:rsidR="00981AC7" w:rsidRPr="00EF6C09" w:rsidRDefault="00981AC7" w:rsidP="00981AC7">
            <w:pPr>
              <w:spacing w:after="0"/>
              <w:rPr>
                <w:rFonts w:ascii="Times New Roman" w:hAnsi="Times New Roman"/>
                <w:lang w:val="mk-MK"/>
              </w:rPr>
            </w:pPr>
          </w:p>
        </w:tc>
        <w:tc>
          <w:tcPr>
            <w:tcW w:w="2550" w:type="dxa"/>
            <w:shd w:val="clear" w:color="auto" w:fill="FFFFFF"/>
          </w:tcPr>
          <w:p w14:paraId="06914428" w14:textId="77777777" w:rsidR="00E54D64" w:rsidRPr="00EF6C09" w:rsidRDefault="00981AC7" w:rsidP="00981AC7">
            <w:pPr>
              <w:spacing w:after="0"/>
              <w:rPr>
                <w:rFonts w:ascii="Times New Roman" w:hAnsi="Times New Roman"/>
              </w:rPr>
            </w:pPr>
            <w:r w:rsidRPr="00EF6C09">
              <w:rPr>
                <w:rFonts w:ascii="Times New Roman" w:hAnsi="Times New Roman"/>
              </w:rPr>
              <w:t xml:space="preserve">On an average, at least 35 per meeting, including at least three Donors and three CSOs </w:t>
            </w:r>
          </w:p>
          <w:p w14:paraId="591EDC90" w14:textId="77777777" w:rsidR="00E54D64" w:rsidRPr="00EF6C09" w:rsidRDefault="00E54D64" w:rsidP="00981AC7">
            <w:pPr>
              <w:spacing w:after="0"/>
              <w:rPr>
                <w:rFonts w:ascii="Times New Roman" w:hAnsi="Times New Roman"/>
              </w:rPr>
            </w:pPr>
          </w:p>
          <w:p w14:paraId="7AF3A04A" w14:textId="77777777" w:rsidR="00E54D64" w:rsidRPr="00EF6C09" w:rsidRDefault="00E54D64" w:rsidP="00981AC7">
            <w:pPr>
              <w:spacing w:after="0"/>
              <w:rPr>
                <w:rFonts w:ascii="Times New Roman" w:hAnsi="Times New Roman"/>
              </w:rPr>
            </w:pPr>
          </w:p>
          <w:p w14:paraId="4D4131B3" w14:textId="77777777" w:rsidR="00E54D64" w:rsidRPr="00EF6C09" w:rsidRDefault="00E54D64" w:rsidP="00981AC7">
            <w:pPr>
              <w:spacing w:after="0"/>
              <w:rPr>
                <w:rFonts w:ascii="Times New Roman" w:hAnsi="Times New Roman"/>
              </w:rPr>
            </w:pPr>
          </w:p>
          <w:p w14:paraId="04D60FF8" w14:textId="6F593B34" w:rsidR="00981AC7" w:rsidRPr="00EF6C09" w:rsidRDefault="00981AC7" w:rsidP="00981AC7">
            <w:pPr>
              <w:spacing w:after="0"/>
              <w:rPr>
                <w:rFonts w:ascii="Times New Roman" w:hAnsi="Times New Roman"/>
                <w:lang w:val="mk-MK"/>
              </w:rPr>
            </w:pPr>
            <w:r w:rsidRPr="00EF6C09" w:rsidDel="00116054">
              <w:rPr>
                <w:rFonts w:ascii="Times New Roman" w:eastAsia="MS Mincho" w:hAnsi="Times New Roman"/>
              </w:rPr>
              <w:t>&gt;3 (2025)</w:t>
            </w:r>
          </w:p>
        </w:tc>
        <w:tc>
          <w:tcPr>
            <w:tcW w:w="2127" w:type="dxa"/>
            <w:shd w:val="clear" w:color="auto" w:fill="FFFFFF"/>
          </w:tcPr>
          <w:p w14:paraId="4C817140" w14:textId="77777777" w:rsidR="00E54D64" w:rsidRPr="00EF6C09" w:rsidRDefault="00981AC7" w:rsidP="00981AC7">
            <w:pPr>
              <w:autoSpaceDE w:val="0"/>
              <w:autoSpaceDN w:val="0"/>
              <w:adjustRightInd w:val="0"/>
              <w:spacing w:after="0"/>
              <w:rPr>
                <w:rFonts w:ascii="Times New Roman" w:eastAsia="MS Mincho" w:hAnsi="Times New Roman"/>
              </w:rPr>
            </w:pPr>
            <w:r w:rsidRPr="00EF6C09">
              <w:rPr>
                <w:rFonts w:ascii="Times New Roman" w:eastAsia="MS Mincho" w:hAnsi="Times New Roman"/>
              </w:rPr>
              <w:t>Attendance lists and minutes of meetings of the Sector Working Group</w:t>
            </w:r>
            <w:r w:rsidR="00E54D64" w:rsidRPr="00EF6C09">
              <w:rPr>
                <w:rFonts w:ascii="Times New Roman" w:eastAsia="MS Mincho" w:hAnsi="Times New Roman"/>
              </w:rPr>
              <w:t xml:space="preserve"> </w:t>
            </w:r>
          </w:p>
          <w:p w14:paraId="379BEF12" w14:textId="77777777" w:rsidR="00E54D64" w:rsidRPr="00EF6C09" w:rsidRDefault="00E54D64" w:rsidP="00981AC7">
            <w:pPr>
              <w:autoSpaceDE w:val="0"/>
              <w:autoSpaceDN w:val="0"/>
              <w:adjustRightInd w:val="0"/>
              <w:spacing w:after="0"/>
              <w:rPr>
                <w:rFonts w:ascii="Times New Roman" w:eastAsia="MS Mincho" w:hAnsi="Times New Roman"/>
              </w:rPr>
            </w:pPr>
          </w:p>
          <w:p w14:paraId="232F40FD" w14:textId="1CE27B2B" w:rsidR="00981AC7" w:rsidRPr="00EF6C09" w:rsidRDefault="00981AC7" w:rsidP="00981AC7">
            <w:pPr>
              <w:autoSpaceDE w:val="0"/>
              <w:autoSpaceDN w:val="0"/>
              <w:adjustRightInd w:val="0"/>
              <w:spacing w:after="0"/>
              <w:rPr>
                <w:rFonts w:ascii="Times New Roman" w:eastAsia="MS Mincho" w:hAnsi="Times New Roman"/>
              </w:rPr>
            </w:pPr>
            <w:r w:rsidRPr="00EF6C09" w:rsidDel="00116054">
              <w:rPr>
                <w:rFonts w:ascii="Times New Roman" w:eastAsia="MS Mincho" w:hAnsi="Times New Roman"/>
              </w:rPr>
              <w:t>Calendar and Minutes of meetings of the Sector Working Group</w:t>
            </w:r>
          </w:p>
        </w:tc>
      </w:tr>
      <w:tr w:rsidR="00EF6C09" w:rsidRPr="00EF6C09" w14:paraId="5C857C9D" w14:textId="77777777" w:rsidTr="00DD46C6">
        <w:trPr>
          <w:cantSplit/>
        </w:trPr>
        <w:tc>
          <w:tcPr>
            <w:tcW w:w="1531" w:type="dxa"/>
            <w:vMerge/>
            <w:shd w:val="clear" w:color="auto" w:fill="D9D9D9"/>
          </w:tcPr>
          <w:p w14:paraId="422E9040" w14:textId="77777777" w:rsidR="00DD46C6" w:rsidRPr="00EF6C09" w:rsidRDefault="00DD46C6" w:rsidP="00DD46C6">
            <w:pPr>
              <w:tabs>
                <w:tab w:val="left" w:pos="0"/>
                <w:tab w:val="left" w:pos="132"/>
              </w:tabs>
              <w:spacing w:after="0"/>
              <w:rPr>
                <w:rFonts w:ascii="Times New Roman" w:hAnsi="Times New Roman"/>
                <w:b/>
              </w:rPr>
            </w:pPr>
          </w:p>
        </w:tc>
        <w:tc>
          <w:tcPr>
            <w:tcW w:w="3686" w:type="dxa"/>
            <w:vMerge/>
            <w:shd w:val="clear" w:color="auto" w:fill="auto"/>
          </w:tcPr>
          <w:p w14:paraId="0F60B448" w14:textId="77777777" w:rsidR="00DD46C6" w:rsidRPr="00EF6C09" w:rsidRDefault="00DD46C6" w:rsidP="00DD46C6">
            <w:pPr>
              <w:autoSpaceDE w:val="0"/>
              <w:autoSpaceDN w:val="0"/>
              <w:adjustRightInd w:val="0"/>
              <w:spacing w:after="0"/>
              <w:rPr>
                <w:rFonts w:ascii="Times New Roman" w:hAnsi="Times New Roman"/>
              </w:rPr>
            </w:pPr>
          </w:p>
        </w:tc>
        <w:tc>
          <w:tcPr>
            <w:tcW w:w="3498" w:type="dxa"/>
            <w:shd w:val="clear" w:color="auto" w:fill="FFFFFF"/>
          </w:tcPr>
          <w:p w14:paraId="6AAA4B55" w14:textId="77777777" w:rsidR="00DD46C6" w:rsidRPr="00EF6C09" w:rsidRDefault="00DD46C6" w:rsidP="00DD46C6">
            <w:pPr>
              <w:rPr>
                <w:rFonts w:ascii="Times New Roman" w:hAnsi="Times New Roman"/>
              </w:rPr>
            </w:pPr>
            <w:r w:rsidRPr="00EF6C09">
              <w:rPr>
                <w:rFonts w:ascii="Times New Roman" w:hAnsi="Times New Roman"/>
              </w:rPr>
              <w:t xml:space="preserve">% of Draft RIA Reports and Draft Laws published on ENER which comply with the </w:t>
            </w:r>
            <w:r w:rsidRPr="00EF6C09">
              <w:rPr>
                <w:rFonts w:ascii="Times New Roman" w:hAnsi="Times New Roman"/>
              </w:rPr>
              <w:lastRenderedPageBreak/>
              <w:t>procedure for their timely publication</w:t>
            </w:r>
          </w:p>
          <w:p w14:paraId="04F25761" w14:textId="2B424280" w:rsidR="00DD46C6" w:rsidRPr="00EF6C09" w:rsidRDefault="00DD46C6" w:rsidP="00DD46C6">
            <w:pPr>
              <w:rPr>
                <w:rFonts w:ascii="Times New Roman" w:eastAsia="MS Mincho" w:hAnsi="Times New Roman"/>
              </w:rPr>
            </w:pPr>
            <w:r w:rsidRPr="00EF6C09">
              <w:rPr>
                <w:rFonts w:ascii="Times New Roman" w:hAnsi="Times New Roman"/>
                <w:color w:val="000000"/>
              </w:rPr>
              <w:t xml:space="preserve">% of Draft RIA Reports that comply with the minimum criteria regarding procedure and transparency of RIA process. </w:t>
            </w:r>
          </w:p>
        </w:tc>
        <w:tc>
          <w:tcPr>
            <w:tcW w:w="1890" w:type="dxa"/>
            <w:shd w:val="clear" w:color="auto" w:fill="FFFFFF"/>
          </w:tcPr>
          <w:p w14:paraId="01A6FBC2" w14:textId="77777777" w:rsidR="00DD46C6" w:rsidRPr="00EF6C09" w:rsidRDefault="00DD46C6" w:rsidP="00DD46C6">
            <w:pPr>
              <w:rPr>
                <w:rFonts w:ascii="Times New Roman" w:hAnsi="Times New Roman"/>
                <w:lang w:val="mk-MK"/>
              </w:rPr>
            </w:pPr>
            <w:r w:rsidRPr="00EF6C09">
              <w:rPr>
                <w:rFonts w:ascii="Times New Roman" w:hAnsi="Times New Roman"/>
                <w:color w:val="000000"/>
                <w:lang w:val="mk-MK"/>
              </w:rPr>
              <w:lastRenderedPageBreak/>
              <w:t>75% (2019)</w:t>
            </w:r>
          </w:p>
          <w:p w14:paraId="7E14E42A" w14:textId="77777777" w:rsidR="00DD46C6" w:rsidRPr="00EF6C09" w:rsidRDefault="00DD46C6" w:rsidP="00DD46C6">
            <w:pPr>
              <w:rPr>
                <w:rFonts w:ascii="Times New Roman" w:hAnsi="Times New Roman"/>
                <w:lang w:val="mk-MK"/>
              </w:rPr>
            </w:pPr>
          </w:p>
          <w:p w14:paraId="4A83B06D" w14:textId="77777777" w:rsidR="00DD46C6" w:rsidRPr="00EF6C09" w:rsidRDefault="00DD46C6" w:rsidP="00DD46C6">
            <w:pPr>
              <w:spacing w:after="0"/>
              <w:rPr>
                <w:rFonts w:ascii="Times New Roman" w:hAnsi="Times New Roman"/>
                <w:color w:val="000000"/>
                <w:lang w:val="mk-MK"/>
              </w:rPr>
            </w:pPr>
          </w:p>
          <w:p w14:paraId="69F6DE38" w14:textId="5D6017F3" w:rsidR="00DD46C6" w:rsidRPr="00EF6C09" w:rsidRDefault="00DD46C6" w:rsidP="00DD46C6">
            <w:pPr>
              <w:spacing w:after="0"/>
              <w:rPr>
                <w:rFonts w:ascii="Times New Roman" w:hAnsi="Times New Roman"/>
                <w:lang w:val="mk-MK"/>
              </w:rPr>
            </w:pPr>
            <w:r w:rsidRPr="00EF6C09">
              <w:rPr>
                <w:rFonts w:ascii="Times New Roman" w:hAnsi="Times New Roman"/>
                <w:color w:val="000000"/>
                <w:lang w:val="mk-MK"/>
              </w:rPr>
              <w:lastRenderedPageBreak/>
              <w:t>95% (2019)</w:t>
            </w:r>
          </w:p>
        </w:tc>
        <w:tc>
          <w:tcPr>
            <w:tcW w:w="2550" w:type="dxa"/>
            <w:shd w:val="clear" w:color="auto" w:fill="FFFFFF"/>
          </w:tcPr>
          <w:p w14:paraId="125E1761" w14:textId="77777777" w:rsidR="00DD46C6" w:rsidRPr="00EF6C09" w:rsidRDefault="00DD46C6" w:rsidP="00DD46C6">
            <w:pPr>
              <w:rPr>
                <w:rFonts w:ascii="Times New Roman" w:hAnsi="Times New Roman"/>
                <w:lang w:val="mk-MK"/>
              </w:rPr>
            </w:pPr>
            <w:r w:rsidRPr="00EF6C09">
              <w:rPr>
                <w:rFonts w:ascii="Times New Roman" w:hAnsi="Times New Roman"/>
                <w:color w:val="000000"/>
                <w:lang w:val="mk-MK"/>
              </w:rPr>
              <w:lastRenderedPageBreak/>
              <w:t>85% (2025)</w:t>
            </w:r>
          </w:p>
          <w:p w14:paraId="3EB39CBC" w14:textId="77777777" w:rsidR="00DD46C6" w:rsidRPr="00EF6C09" w:rsidRDefault="00DD46C6" w:rsidP="00DD46C6">
            <w:pPr>
              <w:rPr>
                <w:rFonts w:ascii="Times New Roman" w:hAnsi="Times New Roman"/>
                <w:lang w:val="mk-MK"/>
              </w:rPr>
            </w:pPr>
          </w:p>
          <w:p w14:paraId="52912E2C" w14:textId="77777777" w:rsidR="00DD46C6" w:rsidRPr="00EF6C09" w:rsidRDefault="00DD46C6" w:rsidP="00DD46C6">
            <w:pPr>
              <w:spacing w:after="0"/>
              <w:rPr>
                <w:rFonts w:ascii="Times New Roman" w:hAnsi="Times New Roman"/>
                <w:color w:val="000000"/>
                <w:lang w:val="mk-MK"/>
              </w:rPr>
            </w:pPr>
          </w:p>
          <w:p w14:paraId="7CD6725E" w14:textId="391415B2" w:rsidR="00DD46C6" w:rsidRPr="00EF6C09" w:rsidRDefault="00DD46C6" w:rsidP="00DD46C6">
            <w:pPr>
              <w:spacing w:after="0"/>
              <w:rPr>
                <w:rFonts w:ascii="Times New Roman" w:hAnsi="Times New Roman"/>
              </w:rPr>
            </w:pPr>
            <w:r w:rsidRPr="00EF6C09">
              <w:rPr>
                <w:rFonts w:ascii="Times New Roman" w:hAnsi="Times New Roman"/>
                <w:color w:val="000000"/>
                <w:lang w:val="mk-MK"/>
              </w:rPr>
              <w:lastRenderedPageBreak/>
              <w:t xml:space="preserve">98% (2025) </w:t>
            </w:r>
          </w:p>
        </w:tc>
        <w:tc>
          <w:tcPr>
            <w:tcW w:w="2127" w:type="dxa"/>
            <w:shd w:val="clear" w:color="auto" w:fill="FFFFFF"/>
          </w:tcPr>
          <w:p w14:paraId="56817737" w14:textId="77777777" w:rsidR="00DD46C6" w:rsidRPr="00EF6C09" w:rsidRDefault="00DD46C6" w:rsidP="00DD46C6">
            <w:pPr>
              <w:autoSpaceDE w:val="0"/>
              <w:autoSpaceDN w:val="0"/>
              <w:adjustRightInd w:val="0"/>
              <w:spacing w:after="0"/>
              <w:rPr>
                <w:rFonts w:ascii="Times New Roman" w:hAnsi="Times New Roman"/>
                <w:color w:val="000000"/>
              </w:rPr>
            </w:pPr>
            <w:r w:rsidRPr="00EF6C09">
              <w:rPr>
                <w:rFonts w:ascii="Times New Roman" w:hAnsi="Times New Roman"/>
                <w:color w:val="000000"/>
              </w:rPr>
              <w:lastRenderedPageBreak/>
              <w:t>Annual Reports on the implementation of RIA (MISA)</w:t>
            </w:r>
          </w:p>
          <w:p w14:paraId="49EE782F" w14:textId="34989A31" w:rsidR="00DD46C6" w:rsidRPr="00EF6C09" w:rsidRDefault="00DD46C6" w:rsidP="00DD46C6">
            <w:pPr>
              <w:autoSpaceDE w:val="0"/>
              <w:autoSpaceDN w:val="0"/>
              <w:adjustRightInd w:val="0"/>
              <w:spacing w:after="0"/>
              <w:rPr>
                <w:rFonts w:ascii="Times New Roman" w:eastAsia="MS Mincho" w:hAnsi="Times New Roman"/>
              </w:rPr>
            </w:pPr>
          </w:p>
        </w:tc>
      </w:tr>
    </w:tbl>
    <w:p w14:paraId="4D260F81" w14:textId="77777777" w:rsidR="002641CC" w:rsidRPr="00EF6C09" w:rsidRDefault="002641CC" w:rsidP="00D92F6C">
      <w:pPr>
        <w:rPr>
          <w:rFonts w:ascii="Times New Roman" w:hAnsi="Times New Roman"/>
          <w:bCs/>
          <w:smallCaps/>
        </w:rPr>
      </w:pPr>
    </w:p>
    <w:sectPr w:rsidR="002641CC" w:rsidRPr="00EF6C09" w:rsidSect="00275CA9">
      <w:pgSz w:w="16838" w:h="11906" w:orient="landscape"/>
      <w:pgMar w:top="567" w:right="1440" w:bottom="426" w:left="1440" w:header="708" w:footer="20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69E5AD" w16cid:durableId="22ECFFE0"/>
  <w16cid:commentId w16cid:paraId="2CED1D1E" w16cid:durableId="22ECFFE1"/>
  <w16cid:commentId w16cid:paraId="34B10B80" w16cid:durableId="22ED0153"/>
  <w16cid:commentId w16cid:paraId="38F50FF4" w16cid:durableId="22ED00BA"/>
  <w16cid:commentId w16cid:paraId="54C831FB" w16cid:durableId="22ED0186"/>
  <w16cid:commentId w16cid:paraId="2EF36CFA" w16cid:durableId="22ED01EE"/>
  <w16cid:commentId w16cid:paraId="189EC092" w16cid:durableId="22ECFFE2"/>
  <w16cid:commentId w16cid:paraId="3540B3AE" w16cid:durableId="22ED039C"/>
  <w16cid:commentId w16cid:paraId="46B516B6" w16cid:durableId="22ECFFE3"/>
  <w16cid:commentId w16cid:paraId="080A02FB" w16cid:durableId="22ECFFE4"/>
  <w16cid:commentId w16cid:paraId="0320FCF4" w16cid:durableId="22ECFFE5"/>
  <w16cid:commentId w16cid:paraId="4BD34CE0" w16cid:durableId="22ED0777"/>
  <w16cid:commentId w16cid:paraId="0BC46492" w16cid:durableId="22ED04F2"/>
  <w16cid:commentId w16cid:paraId="2394BEBC" w16cid:durableId="22ECFFE6"/>
  <w16cid:commentId w16cid:paraId="72B51E6A" w16cid:durableId="22ED0511"/>
  <w16cid:commentId w16cid:paraId="52BB2B34" w16cid:durableId="22ED07B5"/>
  <w16cid:commentId w16cid:paraId="1C65FE94" w16cid:durableId="22ECFFE7"/>
  <w16cid:commentId w16cid:paraId="2A8495C8" w16cid:durableId="22ED07F8"/>
  <w16cid:commentId w16cid:paraId="6CC07B59" w16cid:durableId="22ED085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50A87" w14:textId="77777777" w:rsidR="008B2120" w:rsidRDefault="008B2120" w:rsidP="00D92F6C">
      <w:pPr>
        <w:spacing w:after="0" w:line="240" w:lineRule="auto"/>
      </w:pPr>
      <w:r>
        <w:separator/>
      </w:r>
    </w:p>
  </w:endnote>
  <w:endnote w:type="continuationSeparator" w:id="0">
    <w:p w14:paraId="73985682" w14:textId="77777777" w:rsidR="008B2120" w:rsidRDefault="008B2120" w:rsidP="00D9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unga">
    <w:panose1 w:val="00000400000000000000"/>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C2FF6" w14:textId="77777777" w:rsidR="008B2120" w:rsidRDefault="008B2120" w:rsidP="00D92F6C">
      <w:pPr>
        <w:spacing w:after="0" w:line="240" w:lineRule="auto"/>
      </w:pPr>
      <w:r>
        <w:separator/>
      </w:r>
    </w:p>
  </w:footnote>
  <w:footnote w:type="continuationSeparator" w:id="0">
    <w:p w14:paraId="0E1EEE0A" w14:textId="77777777" w:rsidR="008B2120" w:rsidRDefault="008B2120" w:rsidP="00D92F6C">
      <w:pPr>
        <w:spacing w:after="0" w:line="240" w:lineRule="auto"/>
      </w:pPr>
      <w:r>
        <w:continuationSeparator/>
      </w:r>
    </w:p>
  </w:footnote>
  <w:footnote w:id="1">
    <w:p w14:paraId="3675A452" w14:textId="05325F86" w:rsidR="00746BD5" w:rsidRDefault="00746BD5">
      <w:pPr>
        <w:pStyle w:val="FootnoteText"/>
      </w:pPr>
      <w:r>
        <w:rPr>
          <w:rStyle w:val="FootnoteReference"/>
        </w:rPr>
        <w:footnoteRef/>
      </w:r>
      <w:r>
        <w:t xml:space="preserve"> </w:t>
      </w:r>
      <w:r w:rsidRPr="00B262B0">
        <w:rPr>
          <w:rFonts w:ascii="Times New Roman" w:hAnsi="Times New Roman"/>
          <w:b/>
          <w:bCs/>
          <w:sz w:val="24"/>
          <w:szCs w:val="24"/>
        </w:rPr>
        <w:t>COM(2019) 260 final</w:t>
      </w:r>
    </w:p>
  </w:footnote>
  <w:footnote w:id="2">
    <w:p w14:paraId="5ED9D5E9" w14:textId="5848894F" w:rsidR="005A1DFA" w:rsidRDefault="005A1DFA">
      <w:pPr>
        <w:pStyle w:val="FootnoteText"/>
      </w:pPr>
      <w:r>
        <w:rPr>
          <w:rStyle w:val="FootnoteReference"/>
        </w:rPr>
        <w:footnoteRef/>
      </w:r>
      <w:r>
        <w:t xml:space="preserve"> </w:t>
      </w:r>
      <w:r>
        <w:rPr>
          <w:rFonts w:ascii="Times New Roman" w:eastAsia="Arial Unicode MS" w:hAnsi="Times New Roman"/>
          <w:b/>
          <w:sz w:val="24"/>
          <w:szCs w:val="24"/>
          <w:lang w:eastAsia="de-DE"/>
        </w:rPr>
        <w:t>COM(2018) 65</w:t>
      </w:r>
    </w:p>
  </w:footnote>
  <w:footnote w:id="3">
    <w:p w14:paraId="4476C4F9" w14:textId="5D29280E" w:rsidR="009C1443" w:rsidRDefault="009C1443">
      <w:pPr>
        <w:pStyle w:val="FootnoteText"/>
      </w:pPr>
      <w:r>
        <w:rPr>
          <w:rStyle w:val="FootnoteReference"/>
        </w:rPr>
        <w:footnoteRef/>
      </w:r>
      <w:r>
        <w:t xml:space="preserve"> This data is so far available and provided only for IPA structures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06303"/>
    <w:multiLevelType w:val="hybridMultilevel"/>
    <w:tmpl w:val="08ACF9F8"/>
    <w:lvl w:ilvl="0" w:tplc="9F507120">
      <w:start w:val="9"/>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E55726B"/>
    <w:multiLevelType w:val="hybridMultilevel"/>
    <w:tmpl w:val="6E7AAAEA"/>
    <w:lvl w:ilvl="0" w:tplc="040E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A0907D7"/>
    <w:multiLevelType w:val="hybridMultilevel"/>
    <w:tmpl w:val="5406E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604A86"/>
    <w:multiLevelType w:val="hybridMultilevel"/>
    <w:tmpl w:val="6930E45E"/>
    <w:lvl w:ilvl="0" w:tplc="90023AA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1E850510"/>
    <w:multiLevelType w:val="hybridMultilevel"/>
    <w:tmpl w:val="AF5CD956"/>
    <w:lvl w:ilvl="0" w:tplc="9F507120">
      <w:start w:val="9"/>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708" w:hanging="360"/>
      </w:pPr>
      <w:rPr>
        <w:rFonts w:ascii="Courier New" w:hAnsi="Courier New" w:cs="Courier New" w:hint="default"/>
      </w:rPr>
    </w:lvl>
    <w:lvl w:ilvl="2" w:tplc="040E0005" w:tentative="1">
      <w:start w:val="1"/>
      <w:numFmt w:val="bullet"/>
      <w:lvlText w:val=""/>
      <w:lvlJc w:val="left"/>
      <w:pPr>
        <w:ind w:left="1428" w:hanging="360"/>
      </w:pPr>
      <w:rPr>
        <w:rFonts w:ascii="Wingdings" w:hAnsi="Wingdings" w:hint="default"/>
      </w:rPr>
    </w:lvl>
    <w:lvl w:ilvl="3" w:tplc="040E0001" w:tentative="1">
      <w:start w:val="1"/>
      <w:numFmt w:val="bullet"/>
      <w:lvlText w:val=""/>
      <w:lvlJc w:val="left"/>
      <w:pPr>
        <w:ind w:left="2148" w:hanging="360"/>
      </w:pPr>
      <w:rPr>
        <w:rFonts w:ascii="Symbol" w:hAnsi="Symbol" w:hint="default"/>
      </w:rPr>
    </w:lvl>
    <w:lvl w:ilvl="4" w:tplc="040E0003" w:tentative="1">
      <w:start w:val="1"/>
      <w:numFmt w:val="bullet"/>
      <w:lvlText w:val="o"/>
      <w:lvlJc w:val="left"/>
      <w:pPr>
        <w:ind w:left="2868" w:hanging="360"/>
      </w:pPr>
      <w:rPr>
        <w:rFonts w:ascii="Courier New" w:hAnsi="Courier New" w:cs="Courier New" w:hint="default"/>
      </w:rPr>
    </w:lvl>
    <w:lvl w:ilvl="5" w:tplc="040E0005" w:tentative="1">
      <w:start w:val="1"/>
      <w:numFmt w:val="bullet"/>
      <w:lvlText w:val=""/>
      <w:lvlJc w:val="left"/>
      <w:pPr>
        <w:ind w:left="3588" w:hanging="360"/>
      </w:pPr>
      <w:rPr>
        <w:rFonts w:ascii="Wingdings" w:hAnsi="Wingdings" w:hint="default"/>
      </w:rPr>
    </w:lvl>
    <w:lvl w:ilvl="6" w:tplc="040E0001" w:tentative="1">
      <w:start w:val="1"/>
      <w:numFmt w:val="bullet"/>
      <w:lvlText w:val=""/>
      <w:lvlJc w:val="left"/>
      <w:pPr>
        <w:ind w:left="4308" w:hanging="360"/>
      </w:pPr>
      <w:rPr>
        <w:rFonts w:ascii="Symbol" w:hAnsi="Symbol" w:hint="default"/>
      </w:rPr>
    </w:lvl>
    <w:lvl w:ilvl="7" w:tplc="040E0003" w:tentative="1">
      <w:start w:val="1"/>
      <w:numFmt w:val="bullet"/>
      <w:lvlText w:val="o"/>
      <w:lvlJc w:val="left"/>
      <w:pPr>
        <w:ind w:left="5028" w:hanging="360"/>
      </w:pPr>
      <w:rPr>
        <w:rFonts w:ascii="Courier New" w:hAnsi="Courier New" w:cs="Courier New" w:hint="default"/>
      </w:rPr>
    </w:lvl>
    <w:lvl w:ilvl="8" w:tplc="040E0005" w:tentative="1">
      <w:start w:val="1"/>
      <w:numFmt w:val="bullet"/>
      <w:lvlText w:val=""/>
      <w:lvlJc w:val="left"/>
      <w:pPr>
        <w:ind w:left="5748" w:hanging="360"/>
      </w:pPr>
      <w:rPr>
        <w:rFonts w:ascii="Wingdings" w:hAnsi="Wingdings" w:hint="default"/>
      </w:rPr>
    </w:lvl>
  </w:abstractNum>
  <w:abstractNum w:abstractNumId="5" w15:restartNumberingAfterBreak="0">
    <w:nsid w:val="20EA65C7"/>
    <w:multiLevelType w:val="hybridMultilevel"/>
    <w:tmpl w:val="3182C300"/>
    <w:lvl w:ilvl="0" w:tplc="5F9A011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4425DA"/>
    <w:multiLevelType w:val="hybridMultilevel"/>
    <w:tmpl w:val="C85A986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315E206F"/>
    <w:multiLevelType w:val="hybridMultilevel"/>
    <w:tmpl w:val="D7EC0B8A"/>
    <w:lvl w:ilvl="0" w:tplc="E1CC066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244494"/>
    <w:multiLevelType w:val="hybridMultilevel"/>
    <w:tmpl w:val="307EC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E80F4B"/>
    <w:multiLevelType w:val="hybridMultilevel"/>
    <w:tmpl w:val="FC1A11D8"/>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0" w15:restartNumberingAfterBreak="0">
    <w:nsid w:val="3BFC7E0C"/>
    <w:multiLevelType w:val="hybridMultilevel"/>
    <w:tmpl w:val="CB921E24"/>
    <w:lvl w:ilvl="0" w:tplc="DC8C60FA">
      <w:start w:val="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AD6A6C"/>
    <w:multiLevelType w:val="hybridMultilevel"/>
    <w:tmpl w:val="2440083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40AE1E49"/>
    <w:multiLevelType w:val="hybridMultilevel"/>
    <w:tmpl w:val="4F0870D0"/>
    <w:lvl w:ilvl="0" w:tplc="DD42ADF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F85E0A"/>
    <w:multiLevelType w:val="hybridMultilevel"/>
    <w:tmpl w:val="DC38E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0C51A4"/>
    <w:multiLevelType w:val="hybridMultilevel"/>
    <w:tmpl w:val="39DAC7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053E0A"/>
    <w:multiLevelType w:val="hybridMultilevel"/>
    <w:tmpl w:val="6882B48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7CB6798"/>
    <w:multiLevelType w:val="hybridMultilevel"/>
    <w:tmpl w:val="EB5E14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AD64551"/>
    <w:multiLevelType w:val="hybridMultilevel"/>
    <w:tmpl w:val="CDEC7F08"/>
    <w:lvl w:ilvl="0" w:tplc="9F507120">
      <w:start w:val="9"/>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B780FF4"/>
    <w:multiLevelType w:val="hybridMultilevel"/>
    <w:tmpl w:val="50E6F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B8F7B9A"/>
    <w:multiLevelType w:val="hybridMultilevel"/>
    <w:tmpl w:val="B08ED4DC"/>
    <w:lvl w:ilvl="0" w:tplc="F9BE792A">
      <w:start w:val="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4E48F9"/>
    <w:multiLevelType w:val="hybridMultilevel"/>
    <w:tmpl w:val="D1E4D952"/>
    <w:lvl w:ilvl="0" w:tplc="A72E2F80">
      <w:start w:val="2"/>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5C51B73"/>
    <w:multiLevelType w:val="hybridMultilevel"/>
    <w:tmpl w:val="518A6C2C"/>
    <w:lvl w:ilvl="0" w:tplc="2E76C9D4">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6042B9C"/>
    <w:multiLevelType w:val="hybridMultilevel"/>
    <w:tmpl w:val="935C9A46"/>
    <w:lvl w:ilvl="0" w:tplc="9F507120">
      <w:start w:val="9"/>
      <w:numFmt w:val="bullet"/>
      <w:lvlText w:val="-"/>
      <w:lvlJc w:val="left"/>
      <w:pPr>
        <w:ind w:left="360" w:hanging="360"/>
      </w:pPr>
      <w:rPr>
        <w:rFonts w:ascii="Times New Roman" w:eastAsia="Times New Roman" w:hAnsi="Times New Roman" w:cs="Times New Roman" w:hint="default"/>
      </w:rPr>
    </w:lvl>
    <w:lvl w:ilvl="1" w:tplc="040E0003">
      <w:start w:val="1"/>
      <w:numFmt w:val="bullet"/>
      <w:lvlText w:val="o"/>
      <w:lvlJc w:val="left"/>
      <w:pPr>
        <w:ind w:left="0" w:hanging="360"/>
      </w:pPr>
      <w:rPr>
        <w:rFonts w:ascii="Courier New" w:hAnsi="Courier New" w:cs="Courier New" w:hint="default"/>
      </w:rPr>
    </w:lvl>
    <w:lvl w:ilvl="2" w:tplc="040E0005" w:tentative="1">
      <w:start w:val="1"/>
      <w:numFmt w:val="bullet"/>
      <w:lvlText w:val=""/>
      <w:lvlJc w:val="left"/>
      <w:pPr>
        <w:ind w:left="720" w:hanging="360"/>
      </w:pPr>
      <w:rPr>
        <w:rFonts w:ascii="Wingdings" w:hAnsi="Wingdings" w:hint="default"/>
      </w:rPr>
    </w:lvl>
    <w:lvl w:ilvl="3" w:tplc="040E0001" w:tentative="1">
      <w:start w:val="1"/>
      <w:numFmt w:val="bullet"/>
      <w:lvlText w:val=""/>
      <w:lvlJc w:val="left"/>
      <w:pPr>
        <w:ind w:left="1440" w:hanging="360"/>
      </w:pPr>
      <w:rPr>
        <w:rFonts w:ascii="Symbol" w:hAnsi="Symbol" w:hint="default"/>
      </w:rPr>
    </w:lvl>
    <w:lvl w:ilvl="4" w:tplc="040E0003" w:tentative="1">
      <w:start w:val="1"/>
      <w:numFmt w:val="bullet"/>
      <w:lvlText w:val="o"/>
      <w:lvlJc w:val="left"/>
      <w:pPr>
        <w:ind w:left="2160" w:hanging="360"/>
      </w:pPr>
      <w:rPr>
        <w:rFonts w:ascii="Courier New" w:hAnsi="Courier New" w:cs="Courier New" w:hint="default"/>
      </w:rPr>
    </w:lvl>
    <w:lvl w:ilvl="5" w:tplc="040E0005" w:tentative="1">
      <w:start w:val="1"/>
      <w:numFmt w:val="bullet"/>
      <w:lvlText w:val=""/>
      <w:lvlJc w:val="left"/>
      <w:pPr>
        <w:ind w:left="2880" w:hanging="360"/>
      </w:pPr>
      <w:rPr>
        <w:rFonts w:ascii="Wingdings" w:hAnsi="Wingdings" w:hint="default"/>
      </w:rPr>
    </w:lvl>
    <w:lvl w:ilvl="6" w:tplc="040E0001" w:tentative="1">
      <w:start w:val="1"/>
      <w:numFmt w:val="bullet"/>
      <w:lvlText w:val=""/>
      <w:lvlJc w:val="left"/>
      <w:pPr>
        <w:ind w:left="3600" w:hanging="360"/>
      </w:pPr>
      <w:rPr>
        <w:rFonts w:ascii="Symbol" w:hAnsi="Symbol" w:hint="default"/>
      </w:rPr>
    </w:lvl>
    <w:lvl w:ilvl="7" w:tplc="040E0003" w:tentative="1">
      <w:start w:val="1"/>
      <w:numFmt w:val="bullet"/>
      <w:lvlText w:val="o"/>
      <w:lvlJc w:val="left"/>
      <w:pPr>
        <w:ind w:left="4320" w:hanging="360"/>
      </w:pPr>
      <w:rPr>
        <w:rFonts w:ascii="Courier New" w:hAnsi="Courier New" w:cs="Courier New" w:hint="default"/>
      </w:rPr>
    </w:lvl>
    <w:lvl w:ilvl="8" w:tplc="040E0005" w:tentative="1">
      <w:start w:val="1"/>
      <w:numFmt w:val="bullet"/>
      <w:lvlText w:val=""/>
      <w:lvlJc w:val="left"/>
      <w:pPr>
        <w:ind w:left="5040" w:hanging="360"/>
      </w:pPr>
      <w:rPr>
        <w:rFonts w:ascii="Wingdings" w:hAnsi="Wingdings" w:hint="default"/>
      </w:rPr>
    </w:lvl>
  </w:abstractNum>
  <w:abstractNum w:abstractNumId="23" w15:restartNumberingAfterBreak="0">
    <w:nsid w:val="603B0470"/>
    <w:multiLevelType w:val="hybridMultilevel"/>
    <w:tmpl w:val="9D00AE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9E6773E"/>
    <w:multiLevelType w:val="hybridMultilevel"/>
    <w:tmpl w:val="533C7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0"/>
  </w:num>
  <w:num w:numId="4">
    <w:abstractNumId w:val="19"/>
  </w:num>
  <w:num w:numId="5">
    <w:abstractNumId w:val="14"/>
  </w:num>
  <w:num w:numId="6">
    <w:abstractNumId w:val="20"/>
  </w:num>
  <w:num w:numId="7">
    <w:abstractNumId w:val="15"/>
  </w:num>
  <w:num w:numId="8">
    <w:abstractNumId w:val="9"/>
  </w:num>
  <w:num w:numId="9">
    <w:abstractNumId w:val="18"/>
  </w:num>
  <w:num w:numId="10">
    <w:abstractNumId w:val="23"/>
  </w:num>
  <w:num w:numId="11">
    <w:abstractNumId w:val="0"/>
  </w:num>
  <w:num w:numId="12">
    <w:abstractNumId w:val="1"/>
  </w:num>
  <w:num w:numId="13">
    <w:abstractNumId w:val="17"/>
  </w:num>
  <w:num w:numId="14">
    <w:abstractNumId w:val="12"/>
  </w:num>
  <w:num w:numId="15">
    <w:abstractNumId w:val="4"/>
  </w:num>
  <w:num w:numId="16">
    <w:abstractNumId w:val="22"/>
  </w:num>
  <w:num w:numId="17">
    <w:abstractNumId w:val="24"/>
  </w:num>
  <w:num w:numId="18">
    <w:abstractNumId w:val="2"/>
  </w:num>
  <w:num w:numId="19">
    <w:abstractNumId w:val="3"/>
  </w:num>
  <w:num w:numId="20">
    <w:abstractNumId w:val="0"/>
  </w:num>
  <w:num w:numId="21">
    <w:abstractNumId w:val="16"/>
  </w:num>
  <w:num w:numId="22">
    <w:abstractNumId w:val="5"/>
  </w:num>
  <w:num w:numId="23">
    <w:abstractNumId w:val="21"/>
  </w:num>
  <w:num w:numId="24">
    <w:abstractNumId w:val="8"/>
  </w:num>
  <w:num w:numId="25">
    <w:abstractNumId w:val="7"/>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92F6C"/>
    <w:rsid w:val="0001223F"/>
    <w:rsid w:val="00013DDE"/>
    <w:rsid w:val="00017A94"/>
    <w:rsid w:val="00022083"/>
    <w:rsid w:val="00023890"/>
    <w:rsid w:val="00024E70"/>
    <w:rsid w:val="000323AF"/>
    <w:rsid w:val="000328A1"/>
    <w:rsid w:val="000341E8"/>
    <w:rsid w:val="00035330"/>
    <w:rsid w:val="00041EBE"/>
    <w:rsid w:val="00047E97"/>
    <w:rsid w:val="0005080B"/>
    <w:rsid w:val="00054AAF"/>
    <w:rsid w:val="00063D0D"/>
    <w:rsid w:val="00065566"/>
    <w:rsid w:val="000700DC"/>
    <w:rsid w:val="00072145"/>
    <w:rsid w:val="00085CAE"/>
    <w:rsid w:val="00085EB8"/>
    <w:rsid w:val="00091356"/>
    <w:rsid w:val="00094986"/>
    <w:rsid w:val="00094ABF"/>
    <w:rsid w:val="000A1B49"/>
    <w:rsid w:val="000B0A05"/>
    <w:rsid w:val="000B0F87"/>
    <w:rsid w:val="000B5019"/>
    <w:rsid w:val="000B61C5"/>
    <w:rsid w:val="000C2A47"/>
    <w:rsid w:val="000C304F"/>
    <w:rsid w:val="000C40F6"/>
    <w:rsid w:val="000E22EA"/>
    <w:rsid w:val="000E3DDC"/>
    <w:rsid w:val="000E4DF4"/>
    <w:rsid w:val="000E5232"/>
    <w:rsid w:val="000E7744"/>
    <w:rsid w:val="000F0F81"/>
    <w:rsid w:val="000F274E"/>
    <w:rsid w:val="000F3AB9"/>
    <w:rsid w:val="000F3EA3"/>
    <w:rsid w:val="000F6716"/>
    <w:rsid w:val="00101250"/>
    <w:rsid w:val="00102499"/>
    <w:rsid w:val="00110106"/>
    <w:rsid w:val="0011034B"/>
    <w:rsid w:val="001113E0"/>
    <w:rsid w:val="00113FF2"/>
    <w:rsid w:val="0012691D"/>
    <w:rsid w:val="0013598F"/>
    <w:rsid w:val="00137D08"/>
    <w:rsid w:val="00141387"/>
    <w:rsid w:val="0014587A"/>
    <w:rsid w:val="00153EF9"/>
    <w:rsid w:val="00162948"/>
    <w:rsid w:val="00165199"/>
    <w:rsid w:val="00190B4B"/>
    <w:rsid w:val="00193D37"/>
    <w:rsid w:val="001A5FE5"/>
    <w:rsid w:val="001B3624"/>
    <w:rsid w:val="001C1AB3"/>
    <w:rsid w:val="001C22DE"/>
    <w:rsid w:val="001C41CE"/>
    <w:rsid w:val="001C4D74"/>
    <w:rsid w:val="001C6AAD"/>
    <w:rsid w:val="001C7271"/>
    <w:rsid w:val="001D2105"/>
    <w:rsid w:val="001D28A1"/>
    <w:rsid w:val="001E2201"/>
    <w:rsid w:val="001E2891"/>
    <w:rsid w:val="001E4AE3"/>
    <w:rsid w:val="001F72E8"/>
    <w:rsid w:val="001F7FB8"/>
    <w:rsid w:val="00211934"/>
    <w:rsid w:val="00213201"/>
    <w:rsid w:val="002159E6"/>
    <w:rsid w:val="00231332"/>
    <w:rsid w:val="002423CD"/>
    <w:rsid w:val="00242F6B"/>
    <w:rsid w:val="00252CF5"/>
    <w:rsid w:val="00253944"/>
    <w:rsid w:val="002641CC"/>
    <w:rsid w:val="002673EE"/>
    <w:rsid w:val="00275CA9"/>
    <w:rsid w:val="002869C1"/>
    <w:rsid w:val="00293980"/>
    <w:rsid w:val="002942A7"/>
    <w:rsid w:val="002A2029"/>
    <w:rsid w:val="002B48CA"/>
    <w:rsid w:val="002B7178"/>
    <w:rsid w:val="002C2286"/>
    <w:rsid w:val="002C5CC6"/>
    <w:rsid w:val="002D5D01"/>
    <w:rsid w:val="002F12DA"/>
    <w:rsid w:val="002F47D8"/>
    <w:rsid w:val="00311406"/>
    <w:rsid w:val="003242F0"/>
    <w:rsid w:val="00332619"/>
    <w:rsid w:val="0034110C"/>
    <w:rsid w:val="0034303D"/>
    <w:rsid w:val="00345143"/>
    <w:rsid w:val="00346714"/>
    <w:rsid w:val="00347CB4"/>
    <w:rsid w:val="003504EB"/>
    <w:rsid w:val="00355E7B"/>
    <w:rsid w:val="003568FF"/>
    <w:rsid w:val="00364BC0"/>
    <w:rsid w:val="003661D9"/>
    <w:rsid w:val="003667C7"/>
    <w:rsid w:val="00372EBE"/>
    <w:rsid w:val="00380C8A"/>
    <w:rsid w:val="0039147D"/>
    <w:rsid w:val="0039248C"/>
    <w:rsid w:val="00392B54"/>
    <w:rsid w:val="00394074"/>
    <w:rsid w:val="0039569C"/>
    <w:rsid w:val="003B0CB7"/>
    <w:rsid w:val="003B0E44"/>
    <w:rsid w:val="003B2CEE"/>
    <w:rsid w:val="003B63EC"/>
    <w:rsid w:val="003B6597"/>
    <w:rsid w:val="003C32B5"/>
    <w:rsid w:val="003C3E54"/>
    <w:rsid w:val="003D4019"/>
    <w:rsid w:val="003D4503"/>
    <w:rsid w:val="003D48A0"/>
    <w:rsid w:val="003E3B3A"/>
    <w:rsid w:val="003E5471"/>
    <w:rsid w:val="003E68B2"/>
    <w:rsid w:val="003E7B92"/>
    <w:rsid w:val="003E7BFB"/>
    <w:rsid w:val="00403374"/>
    <w:rsid w:val="0040482C"/>
    <w:rsid w:val="004048CA"/>
    <w:rsid w:val="004207D4"/>
    <w:rsid w:val="00420BC0"/>
    <w:rsid w:val="00421025"/>
    <w:rsid w:val="00421065"/>
    <w:rsid w:val="00421F32"/>
    <w:rsid w:val="00423004"/>
    <w:rsid w:val="00431D1F"/>
    <w:rsid w:val="00435D8E"/>
    <w:rsid w:val="004461F7"/>
    <w:rsid w:val="00451AA5"/>
    <w:rsid w:val="00471D90"/>
    <w:rsid w:val="0048078A"/>
    <w:rsid w:val="00487187"/>
    <w:rsid w:val="00490D27"/>
    <w:rsid w:val="00493559"/>
    <w:rsid w:val="0049555E"/>
    <w:rsid w:val="004A12FE"/>
    <w:rsid w:val="004D1FBD"/>
    <w:rsid w:val="004D4ECA"/>
    <w:rsid w:val="004D7039"/>
    <w:rsid w:val="004E4F80"/>
    <w:rsid w:val="004E6F7A"/>
    <w:rsid w:val="004F305B"/>
    <w:rsid w:val="004F6D9B"/>
    <w:rsid w:val="00503249"/>
    <w:rsid w:val="00503AF2"/>
    <w:rsid w:val="00504260"/>
    <w:rsid w:val="005049F7"/>
    <w:rsid w:val="00506518"/>
    <w:rsid w:val="00515EF0"/>
    <w:rsid w:val="005323BF"/>
    <w:rsid w:val="00535B39"/>
    <w:rsid w:val="00536BC7"/>
    <w:rsid w:val="0054002F"/>
    <w:rsid w:val="00546C8C"/>
    <w:rsid w:val="0055451D"/>
    <w:rsid w:val="00560A24"/>
    <w:rsid w:val="00562009"/>
    <w:rsid w:val="00571CA8"/>
    <w:rsid w:val="00574BC0"/>
    <w:rsid w:val="00574CCB"/>
    <w:rsid w:val="005A1DFA"/>
    <w:rsid w:val="005A682E"/>
    <w:rsid w:val="005A6C30"/>
    <w:rsid w:val="005B34CE"/>
    <w:rsid w:val="005B3ACD"/>
    <w:rsid w:val="005B661A"/>
    <w:rsid w:val="005C1E56"/>
    <w:rsid w:val="005C21F7"/>
    <w:rsid w:val="005C37CF"/>
    <w:rsid w:val="005C4BC7"/>
    <w:rsid w:val="005C4C06"/>
    <w:rsid w:val="005D0FAD"/>
    <w:rsid w:val="005D2B44"/>
    <w:rsid w:val="005E0741"/>
    <w:rsid w:val="005E1133"/>
    <w:rsid w:val="005E1808"/>
    <w:rsid w:val="005E7460"/>
    <w:rsid w:val="005F16AF"/>
    <w:rsid w:val="005F2EBD"/>
    <w:rsid w:val="00602EE9"/>
    <w:rsid w:val="00604718"/>
    <w:rsid w:val="00607C80"/>
    <w:rsid w:val="00612926"/>
    <w:rsid w:val="0061519A"/>
    <w:rsid w:val="00624E7E"/>
    <w:rsid w:val="00627156"/>
    <w:rsid w:val="00630E96"/>
    <w:rsid w:val="006315BC"/>
    <w:rsid w:val="00642B2E"/>
    <w:rsid w:val="0064785D"/>
    <w:rsid w:val="00653B41"/>
    <w:rsid w:val="00671715"/>
    <w:rsid w:val="00675F5E"/>
    <w:rsid w:val="0067645B"/>
    <w:rsid w:val="00680AA1"/>
    <w:rsid w:val="00690119"/>
    <w:rsid w:val="00693DAD"/>
    <w:rsid w:val="006A0165"/>
    <w:rsid w:val="006A347A"/>
    <w:rsid w:val="006A5491"/>
    <w:rsid w:val="006A5CC0"/>
    <w:rsid w:val="006A734E"/>
    <w:rsid w:val="006A7A93"/>
    <w:rsid w:val="006B09C5"/>
    <w:rsid w:val="006B4FCE"/>
    <w:rsid w:val="006B6350"/>
    <w:rsid w:val="006C78A9"/>
    <w:rsid w:val="006D06B5"/>
    <w:rsid w:val="006D5E45"/>
    <w:rsid w:val="006D7ABD"/>
    <w:rsid w:val="006E5452"/>
    <w:rsid w:val="0070180D"/>
    <w:rsid w:val="0070221B"/>
    <w:rsid w:val="0071211F"/>
    <w:rsid w:val="0072693B"/>
    <w:rsid w:val="00732040"/>
    <w:rsid w:val="007324D9"/>
    <w:rsid w:val="00737328"/>
    <w:rsid w:val="00746BD5"/>
    <w:rsid w:val="00747E8B"/>
    <w:rsid w:val="007525DD"/>
    <w:rsid w:val="00752CE5"/>
    <w:rsid w:val="00763A02"/>
    <w:rsid w:val="007646A2"/>
    <w:rsid w:val="007674D7"/>
    <w:rsid w:val="007676D9"/>
    <w:rsid w:val="00776697"/>
    <w:rsid w:val="007836D5"/>
    <w:rsid w:val="00791819"/>
    <w:rsid w:val="00796DEB"/>
    <w:rsid w:val="007A0C6B"/>
    <w:rsid w:val="007A546B"/>
    <w:rsid w:val="007A5F18"/>
    <w:rsid w:val="007A7208"/>
    <w:rsid w:val="007C67AA"/>
    <w:rsid w:val="007D123C"/>
    <w:rsid w:val="007E7610"/>
    <w:rsid w:val="007F7075"/>
    <w:rsid w:val="0080113E"/>
    <w:rsid w:val="0080688F"/>
    <w:rsid w:val="00813F31"/>
    <w:rsid w:val="008166B6"/>
    <w:rsid w:val="00816742"/>
    <w:rsid w:val="00820AF3"/>
    <w:rsid w:val="00823EFA"/>
    <w:rsid w:val="0082700B"/>
    <w:rsid w:val="00827662"/>
    <w:rsid w:val="0082780F"/>
    <w:rsid w:val="00827C69"/>
    <w:rsid w:val="008406F2"/>
    <w:rsid w:val="008447B8"/>
    <w:rsid w:val="008478EA"/>
    <w:rsid w:val="00850CE2"/>
    <w:rsid w:val="008529F8"/>
    <w:rsid w:val="0087166A"/>
    <w:rsid w:val="00882891"/>
    <w:rsid w:val="00883DA6"/>
    <w:rsid w:val="00883FBF"/>
    <w:rsid w:val="00887CE0"/>
    <w:rsid w:val="00891A53"/>
    <w:rsid w:val="00893071"/>
    <w:rsid w:val="008A1F4F"/>
    <w:rsid w:val="008A4518"/>
    <w:rsid w:val="008B2120"/>
    <w:rsid w:val="008B21BB"/>
    <w:rsid w:val="008E0350"/>
    <w:rsid w:val="008E597A"/>
    <w:rsid w:val="008E7D4E"/>
    <w:rsid w:val="008F0FF1"/>
    <w:rsid w:val="008F1369"/>
    <w:rsid w:val="008F48BD"/>
    <w:rsid w:val="008F7404"/>
    <w:rsid w:val="009025A8"/>
    <w:rsid w:val="00902D84"/>
    <w:rsid w:val="0090686E"/>
    <w:rsid w:val="00912070"/>
    <w:rsid w:val="00912FA0"/>
    <w:rsid w:val="009153C5"/>
    <w:rsid w:val="00917650"/>
    <w:rsid w:val="00930967"/>
    <w:rsid w:val="009311D9"/>
    <w:rsid w:val="00945769"/>
    <w:rsid w:val="009464DA"/>
    <w:rsid w:val="00947E61"/>
    <w:rsid w:val="0095049E"/>
    <w:rsid w:val="00956222"/>
    <w:rsid w:val="00956319"/>
    <w:rsid w:val="0096155E"/>
    <w:rsid w:val="0096201F"/>
    <w:rsid w:val="00977BC2"/>
    <w:rsid w:val="00980A61"/>
    <w:rsid w:val="00981AC7"/>
    <w:rsid w:val="0098367A"/>
    <w:rsid w:val="00983772"/>
    <w:rsid w:val="009841F4"/>
    <w:rsid w:val="009912CB"/>
    <w:rsid w:val="0099548B"/>
    <w:rsid w:val="009A0D08"/>
    <w:rsid w:val="009B1522"/>
    <w:rsid w:val="009B3434"/>
    <w:rsid w:val="009C05AC"/>
    <w:rsid w:val="009C1443"/>
    <w:rsid w:val="009D08A8"/>
    <w:rsid w:val="009D09C9"/>
    <w:rsid w:val="009D0C91"/>
    <w:rsid w:val="009D0FF2"/>
    <w:rsid w:val="009D469B"/>
    <w:rsid w:val="009D6A76"/>
    <w:rsid w:val="009E02A3"/>
    <w:rsid w:val="009E39AE"/>
    <w:rsid w:val="009E568D"/>
    <w:rsid w:val="009E6FD2"/>
    <w:rsid w:val="009E7B91"/>
    <w:rsid w:val="009F53DB"/>
    <w:rsid w:val="009F6618"/>
    <w:rsid w:val="009F7B83"/>
    <w:rsid w:val="00A223F1"/>
    <w:rsid w:val="00A23BE4"/>
    <w:rsid w:val="00A35472"/>
    <w:rsid w:val="00A376BC"/>
    <w:rsid w:val="00A407DA"/>
    <w:rsid w:val="00A40B2A"/>
    <w:rsid w:val="00A440AA"/>
    <w:rsid w:val="00A45B57"/>
    <w:rsid w:val="00A45F56"/>
    <w:rsid w:val="00A460C3"/>
    <w:rsid w:val="00A50494"/>
    <w:rsid w:val="00A52B47"/>
    <w:rsid w:val="00A57999"/>
    <w:rsid w:val="00A61AEF"/>
    <w:rsid w:val="00A6294B"/>
    <w:rsid w:val="00A63066"/>
    <w:rsid w:val="00A66D53"/>
    <w:rsid w:val="00A70B2A"/>
    <w:rsid w:val="00A732BD"/>
    <w:rsid w:val="00A762BF"/>
    <w:rsid w:val="00A80160"/>
    <w:rsid w:val="00A85269"/>
    <w:rsid w:val="00A943C6"/>
    <w:rsid w:val="00AB483E"/>
    <w:rsid w:val="00AB638C"/>
    <w:rsid w:val="00AC485A"/>
    <w:rsid w:val="00AC6639"/>
    <w:rsid w:val="00AC7688"/>
    <w:rsid w:val="00AD3F1F"/>
    <w:rsid w:val="00AE4324"/>
    <w:rsid w:val="00AF3C70"/>
    <w:rsid w:val="00AF4B8B"/>
    <w:rsid w:val="00AF5480"/>
    <w:rsid w:val="00B00A68"/>
    <w:rsid w:val="00B052CD"/>
    <w:rsid w:val="00B10991"/>
    <w:rsid w:val="00B15DE4"/>
    <w:rsid w:val="00B262B0"/>
    <w:rsid w:val="00B4633D"/>
    <w:rsid w:val="00B4680B"/>
    <w:rsid w:val="00B5025E"/>
    <w:rsid w:val="00B64D1C"/>
    <w:rsid w:val="00B7556D"/>
    <w:rsid w:val="00B766E4"/>
    <w:rsid w:val="00B7707D"/>
    <w:rsid w:val="00B82848"/>
    <w:rsid w:val="00B8418B"/>
    <w:rsid w:val="00B842E7"/>
    <w:rsid w:val="00B864FA"/>
    <w:rsid w:val="00B913A3"/>
    <w:rsid w:val="00B959BE"/>
    <w:rsid w:val="00BC0EC8"/>
    <w:rsid w:val="00BC313A"/>
    <w:rsid w:val="00BC3F0F"/>
    <w:rsid w:val="00BD33BE"/>
    <w:rsid w:val="00BE3684"/>
    <w:rsid w:val="00BE4921"/>
    <w:rsid w:val="00BF2564"/>
    <w:rsid w:val="00BF44E0"/>
    <w:rsid w:val="00C01600"/>
    <w:rsid w:val="00C02A18"/>
    <w:rsid w:val="00C10421"/>
    <w:rsid w:val="00C108EF"/>
    <w:rsid w:val="00C11DAC"/>
    <w:rsid w:val="00C139A1"/>
    <w:rsid w:val="00C213B1"/>
    <w:rsid w:val="00C45289"/>
    <w:rsid w:val="00C52EBC"/>
    <w:rsid w:val="00C6016B"/>
    <w:rsid w:val="00C60D4F"/>
    <w:rsid w:val="00C63E7B"/>
    <w:rsid w:val="00C65848"/>
    <w:rsid w:val="00C71ABB"/>
    <w:rsid w:val="00C727D4"/>
    <w:rsid w:val="00C74756"/>
    <w:rsid w:val="00C806CD"/>
    <w:rsid w:val="00C82837"/>
    <w:rsid w:val="00C8334E"/>
    <w:rsid w:val="00C84962"/>
    <w:rsid w:val="00CA486B"/>
    <w:rsid w:val="00CC32C5"/>
    <w:rsid w:val="00CC3D17"/>
    <w:rsid w:val="00CC5D27"/>
    <w:rsid w:val="00CD49BA"/>
    <w:rsid w:val="00CE35B2"/>
    <w:rsid w:val="00CE7EED"/>
    <w:rsid w:val="00CF5FDB"/>
    <w:rsid w:val="00D03C17"/>
    <w:rsid w:val="00D06D6D"/>
    <w:rsid w:val="00D20388"/>
    <w:rsid w:val="00D22BF3"/>
    <w:rsid w:val="00D34780"/>
    <w:rsid w:val="00D3697B"/>
    <w:rsid w:val="00D41993"/>
    <w:rsid w:val="00D42303"/>
    <w:rsid w:val="00D546C6"/>
    <w:rsid w:val="00D55721"/>
    <w:rsid w:val="00D56D3E"/>
    <w:rsid w:val="00D63CC8"/>
    <w:rsid w:val="00D67B9B"/>
    <w:rsid w:val="00D71D60"/>
    <w:rsid w:val="00D755B4"/>
    <w:rsid w:val="00D772B3"/>
    <w:rsid w:val="00D8000B"/>
    <w:rsid w:val="00D82DD8"/>
    <w:rsid w:val="00D913DD"/>
    <w:rsid w:val="00D92369"/>
    <w:rsid w:val="00D92C74"/>
    <w:rsid w:val="00D92F6C"/>
    <w:rsid w:val="00D94257"/>
    <w:rsid w:val="00DA19C5"/>
    <w:rsid w:val="00DA41D3"/>
    <w:rsid w:val="00DA4927"/>
    <w:rsid w:val="00DB2A8E"/>
    <w:rsid w:val="00DB2CA8"/>
    <w:rsid w:val="00DB648F"/>
    <w:rsid w:val="00DB7C29"/>
    <w:rsid w:val="00DC6493"/>
    <w:rsid w:val="00DD46C6"/>
    <w:rsid w:val="00DE1C82"/>
    <w:rsid w:val="00DE30A1"/>
    <w:rsid w:val="00DF1988"/>
    <w:rsid w:val="00DF7B09"/>
    <w:rsid w:val="00E01B75"/>
    <w:rsid w:val="00E11078"/>
    <w:rsid w:val="00E16831"/>
    <w:rsid w:val="00E219C4"/>
    <w:rsid w:val="00E23781"/>
    <w:rsid w:val="00E24ECA"/>
    <w:rsid w:val="00E27357"/>
    <w:rsid w:val="00E31971"/>
    <w:rsid w:val="00E37F1B"/>
    <w:rsid w:val="00E452B8"/>
    <w:rsid w:val="00E45CAE"/>
    <w:rsid w:val="00E5422B"/>
    <w:rsid w:val="00E54D64"/>
    <w:rsid w:val="00E607F2"/>
    <w:rsid w:val="00E63077"/>
    <w:rsid w:val="00E8170E"/>
    <w:rsid w:val="00E838F5"/>
    <w:rsid w:val="00E83C2A"/>
    <w:rsid w:val="00E83DE7"/>
    <w:rsid w:val="00E866E3"/>
    <w:rsid w:val="00E94A54"/>
    <w:rsid w:val="00E956B1"/>
    <w:rsid w:val="00E9615B"/>
    <w:rsid w:val="00EA4394"/>
    <w:rsid w:val="00EB2257"/>
    <w:rsid w:val="00EC17B5"/>
    <w:rsid w:val="00EC5056"/>
    <w:rsid w:val="00EC7DD2"/>
    <w:rsid w:val="00ED5DBE"/>
    <w:rsid w:val="00ED703B"/>
    <w:rsid w:val="00EE5686"/>
    <w:rsid w:val="00EF5491"/>
    <w:rsid w:val="00EF6C09"/>
    <w:rsid w:val="00EF7EBF"/>
    <w:rsid w:val="00F0304F"/>
    <w:rsid w:val="00F10FAD"/>
    <w:rsid w:val="00F1159D"/>
    <w:rsid w:val="00F218F2"/>
    <w:rsid w:val="00F21CAC"/>
    <w:rsid w:val="00F336BF"/>
    <w:rsid w:val="00F34D55"/>
    <w:rsid w:val="00F360A4"/>
    <w:rsid w:val="00F361B3"/>
    <w:rsid w:val="00F512A4"/>
    <w:rsid w:val="00F51DE2"/>
    <w:rsid w:val="00F61218"/>
    <w:rsid w:val="00F72838"/>
    <w:rsid w:val="00F7469B"/>
    <w:rsid w:val="00F8011B"/>
    <w:rsid w:val="00F87AFE"/>
    <w:rsid w:val="00F95C12"/>
    <w:rsid w:val="00F97C48"/>
    <w:rsid w:val="00FA4D62"/>
    <w:rsid w:val="00FC6E1C"/>
    <w:rsid w:val="00FC701A"/>
    <w:rsid w:val="00FD0D50"/>
    <w:rsid w:val="00FD4E23"/>
    <w:rsid w:val="00FD69C8"/>
    <w:rsid w:val="00FF594D"/>
    <w:rsid w:val="00FF5E7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11C92E2"/>
  <w15:docId w15:val="{4AEA79D1-974D-44C4-8140-B5791FE54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C"/>
    <w:pPr>
      <w:spacing w:after="200" w:line="276" w:lineRule="auto"/>
    </w:pPr>
    <w:rPr>
      <w:rFonts w:ascii="Calibri" w:eastAsia="Times New Roman" w:hAnsi="Calibri" w:cs="Times New Roman"/>
      <w:lang w:val="en-GB" w:eastAsia="en-GB"/>
    </w:rPr>
  </w:style>
  <w:style w:type="paragraph" w:styleId="Heading2">
    <w:name w:val="heading 2"/>
    <w:basedOn w:val="Normal"/>
    <w:next w:val="Normal"/>
    <w:link w:val="Heading2Char"/>
    <w:uiPriority w:val="9"/>
    <w:unhideWhenUsed/>
    <w:qFormat/>
    <w:rsid w:val="00D92F6C"/>
    <w:pPr>
      <w:keepNext/>
      <w:keepLines/>
      <w:spacing w:before="200" w:after="0"/>
      <w:outlineLvl w:val="1"/>
    </w:pPr>
    <w:rPr>
      <w:rFonts w:ascii="Cambria" w:hAnsi="Cambria"/>
      <w:b/>
      <w:bCs/>
      <w:color w:val="2DA2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2F6C"/>
    <w:rPr>
      <w:rFonts w:ascii="Cambria" w:eastAsia="Times New Roman" w:hAnsi="Cambria" w:cs="Times New Roman"/>
      <w:b/>
      <w:bCs/>
      <w:color w:val="2DA2BF"/>
      <w:sz w:val="26"/>
      <w:szCs w:val="26"/>
    </w:rPr>
  </w:style>
  <w:style w:type="paragraph" w:styleId="Footer">
    <w:name w:val="footer"/>
    <w:basedOn w:val="Normal"/>
    <w:link w:val="FooterChar"/>
    <w:uiPriority w:val="99"/>
    <w:rsid w:val="00D92F6C"/>
    <w:pPr>
      <w:tabs>
        <w:tab w:val="center" w:pos="4535"/>
        <w:tab w:val="right" w:pos="9071"/>
        <w:tab w:val="right" w:pos="9921"/>
      </w:tabs>
      <w:spacing w:before="360" w:after="0"/>
      <w:ind w:left="-850" w:right="-850"/>
    </w:pPr>
    <w:rPr>
      <w:rFonts w:ascii="Tunga" w:eastAsia="Arial Unicode MS" w:hAnsi="Tunga"/>
      <w:lang w:eastAsia="de-DE"/>
    </w:rPr>
  </w:style>
  <w:style w:type="character" w:customStyle="1" w:styleId="FooterChar">
    <w:name w:val="Footer Char"/>
    <w:basedOn w:val="DefaultParagraphFont"/>
    <w:link w:val="Footer"/>
    <w:uiPriority w:val="99"/>
    <w:rsid w:val="00D92F6C"/>
    <w:rPr>
      <w:rFonts w:ascii="Tunga" w:eastAsia="Arial Unicode MS" w:hAnsi="Tunga" w:cs="Times New Roman"/>
      <w:lang w:eastAsia="de-DE"/>
    </w:rPr>
  </w:style>
  <w:style w:type="character" w:styleId="FootnoteReference">
    <w:name w:val="footnote reference"/>
    <w:aliases w:val="BVI fnr,ftref, BVI fnr,Error-Fußnotenzeichen5,Error-Fußnotenzeichen6,Error-Fußnotenzeichen3,Footnote Reference1,Error-Fu?notenzeichen5,Error-Fu?notenzeichen6,Error-Fu?notenzeichen3,referencia nota al pie,Ref,de nota al pie,16 Point"/>
    <w:link w:val="BVIfnrChar1CharCharChar"/>
    <w:uiPriority w:val="99"/>
    <w:qFormat/>
    <w:rsid w:val="00D92F6C"/>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f, Char,fn"/>
    <w:basedOn w:val="Normal"/>
    <w:link w:val="FootnoteTextChar1"/>
    <w:qFormat/>
    <w:rsid w:val="00D92F6C"/>
    <w:pPr>
      <w:spacing w:after="0"/>
      <w:ind w:left="720" w:hanging="720"/>
    </w:pPr>
    <w:rPr>
      <w:sz w:val="20"/>
      <w:szCs w:val="20"/>
    </w:rPr>
  </w:style>
  <w:style w:type="character" w:customStyle="1" w:styleId="FootnoteTextChar">
    <w:name w:val="Footnote Text Char"/>
    <w:basedOn w:val="DefaultParagraphFont"/>
    <w:uiPriority w:val="99"/>
    <w:semiHidden/>
    <w:rsid w:val="00D92F6C"/>
    <w:rPr>
      <w:rFonts w:ascii="Calibri" w:eastAsia="Times New Roman" w:hAnsi="Calibri" w:cs="Times New Roman"/>
      <w:sz w:val="20"/>
      <w:szCs w:val="20"/>
      <w:lang w:val="en-GB" w:eastAsia="en-GB"/>
    </w:rPr>
  </w:style>
  <w:style w:type="paragraph" w:styleId="Header">
    <w:name w:val="header"/>
    <w:basedOn w:val="Normal"/>
    <w:link w:val="HeaderChar"/>
    <w:uiPriority w:val="99"/>
    <w:rsid w:val="00D92F6C"/>
    <w:pPr>
      <w:tabs>
        <w:tab w:val="right" w:pos="9071"/>
      </w:tabs>
    </w:pPr>
  </w:style>
  <w:style w:type="character" w:customStyle="1" w:styleId="HeaderChar">
    <w:name w:val="Header Char"/>
    <w:basedOn w:val="DefaultParagraphFont"/>
    <w:link w:val="Header"/>
    <w:uiPriority w:val="99"/>
    <w:rsid w:val="00D92F6C"/>
    <w:rPr>
      <w:rFonts w:ascii="Calibri" w:eastAsia="Times New Roman" w:hAnsi="Calibri" w:cs="Times New Roman"/>
      <w:lang w:val="en-GB" w:eastAsia="en-GB"/>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
    <w:basedOn w:val="Normal"/>
    <w:link w:val="ListParagraphChar"/>
    <w:uiPriority w:val="34"/>
    <w:qFormat/>
    <w:rsid w:val="00D92F6C"/>
    <w:pPr>
      <w:ind w:left="720"/>
      <w:contextualSpacing/>
    </w:pPr>
  </w:style>
  <w:style w:type="character" w:customStyle="1" w:styleId="FootnoteTextChar1">
    <w:name w:val="Footnote Text Char1"/>
    <w:aliases w:val="Footnote Text Char Char Char Char,Footnote Text Char Char Char1,Fußnote Char,Footnote Char,Footnote Text Char1 Char Char,Footnote Text Char1 Char Char Char Char,Footnote Text Char Char Char Char Char Char,Fußnotentextf Char,fn Char"/>
    <w:link w:val="FootnoteText"/>
    <w:qFormat/>
    <w:rsid w:val="00D92F6C"/>
    <w:rPr>
      <w:rFonts w:ascii="Calibri" w:eastAsia="Times New Roman" w:hAnsi="Calibri" w:cs="Times New Roman"/>
      <w:sz w:val="20"/>
      <w:szCs w:val="20"/>
      <w:lang w:val="en-GB" w:eastAsia="en-GB"/>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rsid w:val="00D92F6C"/>
    <w:pPr>
      <w:spacing w:before="120" w:after="160" w:line="240" w:lineRule="exact"/>
      <w:jc w:val="both"/>
    </w:pPr>
    <w:rPr>
      <w:rFonts w:asciiTheme="minorHAnsi" w:eastAsiaTheme="minorHAnsi" w:hAnsiTheme="minorHAnsi" w:cstheme="minorBidi"/>
      <w:vertAlign w:val="superscript"/>
      <w:lang w:val="fr-BE" w:eastAsia="en-US"/>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uiPriority w:val="34"/>
    <w:qFormat/>
    <w:locked/>
    <w:rsid w:val="00D92F6C"/>
    <w:rPr>
      <w:rFonts w:ascii="Calibri" w:eastAsia="Times New Roman" w:hAnsi="Calibri" w:cs="Times New Roman"/>
      <w:lang w:val="en-GB" w:eastAsia="en-GB"/>
    </w:rPr>
  </w:style>
  <w:style w:type="character" w:styleId="CommentReference">
    <w:name w:val="annotation reference"/>
    <w:basedOn w:val="DefaultParagraphFont"/>
    <w:uiPriority w:val="99"/>
    <w:unhideWhenUsed/>
    <w:rsid w:val="00072145"/>
    <w:rPr>
      <w:sz w:val="16"/>
      <w:szCs w:val="16"/>
    </w:rPr>
  </w:style>
  <w:style w:type="paragraph" w:styleId="CommentText">
    <w:name w:val="annotation text"/>
    <w:aliases w:val="Char Char"/>
    <w:basedOn w:val="Normal"/>
    <w:link w:val="CommentTextChar"/>
    <w:uiPriority w:val="99"/>
    <w:unhideWhenUsed/>
    <w:rsid w:val="00072145"/>
    <w:pPr>
      <w:spacing w:line="240" w:lineRule="auto"/>
    </w:pPr>
    <w:rPr>
      <w:sz w:val="20"/>
      <w:szCs w:val="20"/>
    </w:rPr>
  </w:style>
  <w:style w:type="character" w:customStyle="1" w:styleId="CommentTextChar">
    <w:name w:val="Comment Text Char"/>
    <w:aliases w:val="Char Char Char"/>
    <w:basedOn w:val="DefaultParagraphFont"/>
    <w:link w:val="CommentText"/>
    <w:uiPriority w:val="99"/>
    <w:rsid w:val="00072145"/>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072145"/>
    <w:rPr>
      <w:b/>
      <w:bCs/>
    </w:rPr>
  </w:style>
  <w:style w:type="character" w:customStyle="1" w:styleId="CommentSubjectChar">
    <w:name w:val="Comment Subject Char"/>
    <w:basedOn w:val="CommentTextChar"/>
    <w:link w:val="CommentSubject"/>
    <w:uiPriority w:val="99"/>
    <w:semiHidden/>
    <w:rsid w:val="00072145"/>
    <w:rPr>
      <w:rFonts w:ascii="Calibri" w:eastAsia="Times New Roman" w:hAnsi="Calibri" w:cs="Times New Roman"/>
      <w:b/>
      <w:bCs/>
      <w:sz w:val="20"/>
      <w:szCs w:val="20"/>
      <w:lang w:val="en-GB" w:eastAsia="en-GB"/>
    </w:rPr>
  </w:style>
  <w:style w:type="paragraph" w:styleId="BalloonText">
    <w:name w:val="Balloon Text"/>
    <w:basedOn w:val="Normal"/>
    <w:link w:val="BalloonTextChar"/>
    <w:uiPriority w:val="99"/>
    <w:semiHidden/>
    <w:unhideWhenUsed/>
    <w:rsid w:val="000721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2145"/>
    <w:rPr>
      <w:rFonts w:ascii="Segoe UI" w:eastAsia="Times New Roman" w:hAnsi="Segoe UI" w:cs="Segoe UI"/>
      <w:sz w:val="18"/>
      <w:szCs w:val="18"/>
      <w:lang w:val="en-GB" w:eastAsia="en-GB"/>
    </w:rPr>
  </w:style>
  <w:style w:type="character" w:styleId="Hyperlink">
    <w:name w:val="Hyperlink"/>
    <w:basedOn w:val="DefaultParagraphFont"/>
    <w:uiPriority w:val="99"/>
    <w:unhideWhenUsed/>
    <w:rsid w:val="00535B39"/>
    <w:rPr>
      <w:color w:val="0563C1" w:themeColor="hyperlink"/>
      <w:u w:val="single"/>
    </w:rPr>
  </w:style>
  <w:style w:type="paragraph" w:styleId="NormalWeb">
    <w:name w:val="Normal (Web)"/>
    <w:basedOn w:val="Normal"/>
    <w:uiPriority w:val="99"/>
    <w:unhideWhenUsed/>
    <w:rsid w:val="00A80160"/>
    <w:pPr>
      <w:spacing w:before="100" w:beforeAutospacing="1" w:after="100" w:afterAutospacing="1" w:line="240" w:lineRule="auto"/>
    </w:pPr>
    <w:rPr>
      <w:rFonts w:ascii="Times New Roman" w:hAnsi="Times New Roman"/>
      <w:sz w:val="24"/>
      <w:szCs w:val="24"/>
    </w:rPr>
  </w:style>
  <w:style w:type="paragraph" w:customStyle="1" w:styleId="doc-ti">
    <w:name w:val="doc-ti"/>
    <w:basedOn w:val="Normal"/>
    <w:rsid w:val="004048CA"/>
    <w:pPr>
      <w:spacing w:before="100" w:beforeAutospacing="1" w:after="100" w:afterAutospacing="1" w:line="240" w:lineRule="auto"/>
    </w:pPr>
    <w:rPr>
      <w:rFonts w:ascii="Times New Roman" w:hAnsi="Times New Roman"/>
      <w:sz w:val="24"/>
      <w:szCs w:val="24"/>
      <w:lang w:val="en-US" w:eastAsia="en-US"/>
    </w:rPr>
  </w:style>
  <w:style w:type="character" w:customStyle="1" w:styleId="UnresolvedMention1">
    <w:name w:val="Unresolved Mention1"/>
    <w:basedOn w:val="DefaultParagraphFont"/>
    <w:uiPriority w:val="99"/>
    <w:semiHidden/>
    <w:unhideWhenUsed/>
    <w:rsid w:val="0067645B"/>
    <w:rPr>
      <w:color w:val="605E5C"/>
      <w:shd w:val="clear" w:color="auto" w:fill="E1DFDD"/>
    </w:rPr>
  </w:style>
  <w:style w:type="table" w:styleId="TableGrid">
    <w:name w:val="Table Grid"/>
    <w:basedOn w:val="TableNormal"/>
    <w:uiPriority w:val="39"/>
    <w:rsid w:val="00574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B09C5"/>
    <w:pPr>
      <w:spacing w:after="0" w:line="240" w:lineRule="auto"/>
    </w:pPr>
    <w:rPr>
      <w:rFonts w:ascii="Calibri" w:eastAsia="Times New Roman" w:hAnsi="Calibri" w:cs="Times New Roman"/>
      <w:lang w:val="en-GB" w:eastAsia="en-GB"/>
    </w:rPr>
  </w:style>
  <w:style w:type="paragraph" w:customStyle="1" w:styleId="Default">
    <w:name w:val="Default"/>
    <w:rsid w:val="00B7556D"/>
    <w:pPr>
      <w:autoSpaceDE w:val="0"/>
      <w:autoSpaceDN w:val="0"/>
      <w:adjustRightInd w:val="0"/>
      <w:spacing w:after="0" w:line="240" w:lineRule="auto"/>
    </w:pPr>
    <w:rPr>
      <w:rFonts w:ascii="Times New Roman"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37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fo.worldbank.org/governance/wgi/Home/Reports"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E3C80-260E-483F-A050-C8ABDCAE2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2378</Words>
  <Characters>13556</Characters>
  <Application>Microsoft Office Word</Application>
  <DocSecurity>0</DocSecurity>
  <Lines>112</Lines>
  <Paragraphs>31</Paragraphs>
  <ScaleCrop>false</ScaleCrop>
  <HeadingPairs>
    <vt:vector size="6" baseType="variant">
      <vt:variant>
        <vt:lpstr>Title</vt:lpstr>
      </vt:variant>
      <vt:variant>
        <vt:i4>1</vt:i4>
      </vt:variant>
      <vt:variant>
        <vt:lpstr>Cím</vt:lpstr>
      </vt:variant>
      <vt:variant>
        <vt:i4>1</vt:i4>
      </vt:variant>
      <vt:variant>
        <vt:lpstr>Címsorok</vt:lpstr>
      </vt:variant>
      <vt:variant>
        <vt:i4>2</vt:i4>
      </vt:variant>
    </vt:vector>
  </HeadingPairs>
  <TitlesOfParts>
    <vt:vector size="4" baseType="lpstr">
      <vt:lpstr/>
      <vt:lpstr/>
      <vt:lpstr>    ANNEX I – IPA III Action Fiche Template </vt:lpstr>
      <vt:lpstr>    </vt:lpstr>
    </vt:vector>
  </TitlesOfParts>
  <Company>European Commission</Company>
  <LinksUpToDate>false</LinksUpToDate>
  <CharactersWithSpaces>15903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SAVIOLO Andrea (NEAR)</dc:creator>
  <cp:lastModifiedBy>BERTOLINI Nicola (EEAS-SKOPJE)</cp:lastModifiedBy>
  <cp:revision>3</cp:revision>
  <dcterms:created xsi:type="dcterms:W3CDTF">2020-08-25T07:21:00Z</dcterms:created>
  <dcterms:modified xsi:type="dcterms:W3CDTF">2020-08-25T07:39:00Z</dcterms:modified>
</cp:coreProperties>
</file>