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F6C" w:rsidRPr="00B262B0" w:rsidRDefault="00B10991" w:rsidP="00D92F6C">
      <w:pPr>
        <w:pStyle w:val="Heading2"/>
        <w:rPr>
          <w:rFonts w:ascii="Times New Roman" w:hAnsi="Times New Roman"/>
          <w:b w:val="0"/>
          <w:bCs w:val="0"/>
          <w:smallCaps/>
          <w:sz w:val="28"/>
          <w:szCs w:val="28"/>
        </w:rPr>
      </w:pPr>
      <w:bookmarkStart w:id="0" w:name="_Toc33714665"/>
      <w:r w:rsidRPr="00B262B0">
        <w:rPr>
          <w:rFonts w:ascii="Times New Roman" w:hAnsi="Times New Roman"/>
          <w:smallCaps/>
          <w:color w:val="auto"/>
          <w:sz w:val="28"/>
          <w:szCs w:val="28"/>
          <w:lang w:val="it-IT"/>
        </w:rPr>
        <w:t xml:space="preserve">ANNEX I –IPA III </w:t>
      </w:r>
      <w:r w:rsidR="00D92F6C" w:rsidRPr="00B262B0">
        <w:rPr>
          <w:rFonts w:ascii="Times New Roman" w:hAnsi="Times New Roman"/>
          <w:smallCaps/>
          <w:color w:val="auto"/>
          <w:sz w:val="28"/>
          <w:szCs w:val="28"/>
          <w:lang w:val="it-IT"/>
        </w:rPr>
        <w:t>A</w:t>
      </w:r>
      <w:r w:rsidRPr="00B262B0">
        <w:rPr>
          <w:rFonts w:ascii="Times New Roman" w:hAnsi="Times New Roman"/>
          <w:smallCaps/>
          <w:color w:val="auto"/>
          <w:sz w:val="28"/>
          <w:szCs w:val="28"/>
          <w:lang w:val="it-IT"/>
        </w:rPr>
        <w:t xml:space="preserve">ction Fiche </w:t>
      </w:r>
      <w:bookmarkEnd w:id="0"/>
    </w:p>
    <w:p w:rsidR="00D92F6C" w:rsidRPr="00B262B0" w:rsidRDefault="00D92F6C" w:rsidP="00D92F6C">
      <w:pPr>
        <w:keepNext/>
        <w:keepLines/>
        <w:spacing w:before="200" w:after="0"/>
        <w:outlineLvl w:val="1"/>
        <w:rPr>
          <w:rFonts w:ascii="Times New Roman" w:hAnsi="Times New Roman"/>
          <w:b/>
          <w:bCs/>
          <w:smallCaps/>
          <w:sz w:val="24"/>
          <w:szCs w:val="24"/>
          <w:lang w:val="it-IT"/>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116"/>
      </w:tblGrid>
      <w:tr w:rsidR="00D92F6C" w:rsidRPr="00B262B0" w:rsidTr="00AB638C">
        <w:trPr>
          <w:jc w:val="center"/>
        </w:trPr>
        <w:tc>
          <w:tcPr>
            <w:tcW w:w="534" w:type="dxa"/>
            <w:tcBorders>
              <w:top w:val="single" w:sz="4" w:space="0" w:color="auto"/>
              <w:left w:val="single" w:sz="4" w:space="0" w:color="auto"/>
              <w:bottom w:val="single" w:sz="4" w:space="0" w:color="auto"/>
              <w:right w:val="single" w:sz="4" w:space="0" w:color="auto"/>
            </w:tcBorders>
          </w:tcPr>
          <w:p w:rsidR="00D92F6C" w:rsidRPr="00B262B0" w:rsidRDefault="00D92F6C" w:rsidP="00392B54">
            <w:pPr>
              <w:spacing w:after="0" w:line="240" w:lineRule="auto"/>
              <w:rPr>
                <w:rFonts w:ascii="Times New Roman" w:hAnsi="Times New Roman"/>
                <w:b/>
                <w:sz w:val="24"/>
                <w:szCs w:val="24"/>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B262B0" w:rsidRDefault="00D92F6C" w:rsidP="00392B54">
            <w:pPr>
              <w:spacing w:after="0" w:line="240" w:lineRule="auto"/>
              <w:rPr>
                <w:rFonts w:ascii="Times New Roman" w:hAnsi="Times New Roman"/>
                <w:sz w:val="24"/>
                <w:szCs w:val="24"/>
              </w:rPr>
            </w:pPr>
            <w:r w:rsidRPr="00B262B0">
              <w:rPr>
                <w:rFonts w:ascii="Times New Roman" w:hAnsi="Times New Roman"/>
                <w:sz w:val="24"/>
                <w:szCs w:val="24"/>
              </w:rPr>
              <w:t>Indicative title of the Action</w:t>
            </w:r>
          </w:p>
          <w:p w:rsidR="00D92F6C" w:rsidRPr="00B262B0" w:rsidRDefault="00D92F6C" w:rsidP="00392B54">
            <w:pPr>
              <w:spacing w:after="0" w:line="240" w:lineRule="auto"/>
              <w:rPr>
                <w:rFonts w:ascii="Times New Roman" w:hAnsi="Times New Roman"/>
                <w:sz w:val="24"/>
                <w:szCs w:val="24"/>
              </w:rPr>
            </w:pPr>
          </w:p>
        </w:tc>
        <w:tc>
          <w:tcPr>
            <w:tcW w:w="7116" w:type="dxa"/>
            <w:tcBorders>
              <w:top w:val="single" w:sz="4" w:space="0" w:color="auto"/>
              <w:left w:val="single" w:sz="4" w:space="0" w:color="auto"/>
              <w:bottom w:val="single" w:sz="4" w:space="0" w:color="auto"/>
              <w:right w:val="single" w:sz="4" w:space="0" w:color="auto"/>
            </w:tcBorders>
            <w:shd w:val="clear" w:color="auto" w:fill="auto"/>
            <w:vAlign w:val="center"/>
          </w:tcPr>
          <w:p w:rsidR="00D92F6C" w:rsidRPr="00B262B0" w:rsidRDefault="00612926" w:rsidP="00B262B0">
            <w:pPr>
              <w:spacing w:after="0" w:line="240" w:lineRule="auto"/>
              <w:rPr>
                <w:rFonts w:ascii="Times New Roman" w:hAnsi="Times New Roman"/>
                <w:b/>
                <w:bCs/>
                <w:sz w:val="24"/>
                <w:szCs w:val="24"/>
              </w:rPr>
            </w:pPr>
            <w:r w:rsidRPr="00B262B0">
              <w:rPr>
                <w:rFonts w:ascii="Times New Roman" w:hAnsi="Times New Roman"/>
                <w:b/>
                <w:bCs/>
                <w:sz w:val="24"/>
                <w:szCs w:val="24"/>
              </w:rPr>
              <w:t xml:space="preserve">EU </w:t>
            </w:r>
            <w:r w:rsidR="00B262B0" w:rsidRPr="00B262B0">
              <w:rPr>
                <w:rFonts w:ascii="Times New Roman" w:hAnsi="Times New Roman"/>
                <w:b/>
                <w:bCs/>
                <w:sz w:val="24"/>
                <w:szCs w:val="24"/>
              </w:rPr>
              <w:t>for</w:t>
            </w:r>
            <w:r w:rsidR="00AB638C" w:rsidRPr="00B262B0">
              <w:rPr>
                <w:rFonts w:ascii="Times New Roman" w:hAnsi="Times New Roman"/>
                <w:b/>
                <w:bCs/>
                <w:sz w:val="24"/>
                <w:szCs w:val="24"/>
              </w:rPr>
              <w:t xml:space="preserve"> </w:t>
            </w:r>
            <w:r w:rsidR="00B262B0" w:rsidRPr="00B262B0">
              <w:rPr>
                <w:rFonts w:ascii="Times New Roman" w:hAnsi="Times New Roman"/>
                <w:b/>
                <w:bCs/>
                <w:sz w:val="24"/>
                <w:szCs w:val="24"/>
              </w:rPr>
              <w:t>Good Governance</w:t>
            </w:r>
          </w:p>
        </w:tc>
      </w:tr>
      <w:tr w:rsidR="00D92F6C" w:rsidRPr="00B262B0" w:rsidTr="0090686E">
        <w:trPr>
          <w:jc w:val="center"/>
        </w:trPr>
        <w:tc>
          <w:tcPr>
            <w:tcW w:w="534" w:type="dxa"/>
            <w:vMerge w:val="restart"/>
            <w:tcBorders>
              <w:top w:val="single" w:sz="4" w:space="0" w:color="auto"/>
              <w:left w:val="single" w:sz="4" w:space="0" w:color="auto"/>
              <w:right w:val="single" w:sz="4" w:space="0" w:color="auto"/>
            </w:tcBorders>
            <w:textDirection w:val="btLr"/>
          </w:tcPr>
          <w:p w:rsidR="00D92F6C" w:rsidRPr="00B262B0" w:rsidRDefault="00D92F6C" w:rsidP="00392B54">
            <w:pPr>
              <w:spacing w:after="0" w:line="240" w:lineRule="auto"/>
              <w:ind w:left="113" w:right="113"/>
              <w:rPr>
                <w:rFonts w:ascii="Times New Roman" w:hAnsi="Times New Roman"/>
                <w:sz w:val="24"/>
                <w:szCs w:val="24"/>
              </w:rPr>
            </w:pPr>
            <w:r w:rsidRPr="00B262B0">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B262B0" w:rsidRDefault="00D92F6C" w:rsidP="00392B54">
            <w:pPr>
              <w:spacing w:after="0" w:line="240" w:lineRule="auto"/>
              <w:rPr>
                <w:rFonts w:ascii="Times New Roman" w:hAnsi="Times New Roman"/>
                <w:sz w:val="24"/>
                <w:szCs w:val="24"/>
              </w:rPr>
            </w:pPr>
            <w:r w:rsidRPr="00B262B0">
              <w:rPr>
                <w:rFonts w:ascii="Times New Roman" w:hAnsi="Times New Roman"/>
                <w:sz w:val="24"/>
                <w:szCs w:val="24"/>
              </w:rPr>
              <w:t>Key thematic priority</w:t>
            </w:r>
          </w:p>
          <w:p w:rsidR="00D92F6C" w:rsidRPr="00B262B0" w:rsidRDefault="00D92F6C" w:rsidP="00392B54">
            <w:pPr>
              <w:spacing w:after="0" w:line="240" w:lineRule="auto"/>
              <w:rPr>
                <w:rFonts w:ascii="Times New Roman" w:hAnsi="Times New Roman"/>
                <w:i/>
                <w:sz w:val="24"/>
                <w:szCs w:val="24"/>
              </w:rPr>
            </w:pP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693DAD" w:rsidRPr="00B262B0" w:rsidRDefault="00693DAD" w:rsidP="00B262B0">
            <w:pPr>
              <w:spacing w:after="120"/>
              <w:rPr>
                <w:rFonts w:ascii="Times New Roman" w:hAnsi="Times New Roman"/>
                <w:b/>
                <w:bCs/>
                <w:sz w:val="24"/>
                <w:szCs w:val="24"/>
              </w:rPr>
            </w:pPr>
            <w:r w:rsidRPr="00B262B0">
              <w:rPr>
                <w:rFonts w:ascii="Times New Roman" w:hAnsi="Times New Roman"/>
                <w:b/>
                <w:bCs/>
                <w:sz w:val="24"/>
                <w:szCs w:val="24"/>
              </w:rPr>
              <w:t>WINDOW 2 - GOOD GOVERNANCE, ACQUIS ALIGNMENT, GOOD NEIGHBOURLY RELATIONS AND STRATEGIC COMMUNICATION</w:t>
            </w:r>
          </w:p>
          <w:p w:rsidR="0039147D" w:rsidRPr="00B262B0" w:rsidRDefault="00693DAD" w:rsidP="00B262B0">
            <w:pPr>
              <w:spacing w:after="0" w:line="240" w:lineRule="auto"/>
              <w:rPr>
                <w:rFonts w:ascii="Times New Roman" w:hAnsi="Times New Roman"/>
                <w:b/>
                <w:bCs/>
                <w:sz w:val="24"/>
                <w:szCs w:val="24"/>
              </w:rPr>
            </w:pPr>
            <w:r w:rsidRPr="00B262B0">
              <w:rPr>
                <w:rFonts w:ascii="Times New Roman" w:hAnsi="Times New Roman"/>
                <w:b/>
                <w:bCs/>
                <w:sz w:val="24"/>
                <w:szCs w:val="24"/>
              </w:rPr>
              <w:t>Thematic Priority 1: Good Governance</w:t>
            </w:r>
          </w:p>
        </w:tc>
      </w:tr>
      <w:tr w:rsidR="00D92F6C" w:rsidRPr="00B262B0" w:rsidTr="0090686E">
        <w:trPr>
          <w:jc w:val="center"/>
        </w:trPr>
        <w:tc>
          <w:tcPr>
            <w:tcW w:w="534" w:type="dxa"/>
            <w:vMerge/>
            <w:tcBorders>
              <w:left w:val="single" w:sz="4" w:space="0" w:color="auto"/>
              <w:right w:val="single" w:sz="4" w:space="0" w:color="auto"/>
            </w:tcBorders>
          </w:tcPr>
          <w:p w:rsidR="00D92F6C" w:rsidRPr="00B262B0" w:rsidRDefault="00D92F6C" w:rsidP="00392B54">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B262B0" w:rsidRDefault="00D92F6C" w:rsidP="00392B54">
            <w:pPr>
              <w:spacing w:after="0"/>
              <w:rPr>
                <w:rFonts w:ascii="Times New Roman" w:hAnsi="Times New Roman"/>
                <w:sz w:val="24"/>
                <w:szCs w:val="24"/>
              </w:rPr>
            </w:pPr>
            <w:r w:rsidRPr="00B262B0">
              <w:rPr>
                <w:rFonts w:ascii="Times New Roman" w:hAnsi="Times New Roman"/>
                <w:sz w:val="24"/>
                <w:szCs w:val="24"/>
              </w:rPr>
              <w:t>Links with specific policy instruments of the enlargement process</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141387" w:rsidRPr="00B262B0" w:rsidRDefault="00816742" w:rsidP="00562009">
            <w:pPr>
              <w:spacing w:after="0" w:line="240" w:lineRule="auto"/>
              <w:jc w:val="both"/>
              <w:rPr>
                <w:rFonts w:ascii="Times New Roman" w:hAnsi="Times New Roman"/>
                <w:sz w:val="24"/>
                <w:szCs w:val="24"/>
              </w:rPr>
            </w:pPr>
            <w:r w:rsidRPr="00B262B0">
              <w:rPr>
                <w:rFonts w:ascii="Times New Roman" w:hAnsi="Times New Roman"/>
                <w:sz w:val="24"/>
                <w:szCs w:val="24"/>
              </w:rPr>
              <w:t xml:space="preserve">The proposed </w:t>
            </w:r>
            <w:r w:rsidR="00902D84" w:rsidRPr="00B262B0">
              <w:rPr>
                <w:rFonts w:ascii="Times New Roman" w:hAnsi="Times New Roman"/>
                <w:sz w:val="24"/>
                <w:szCs w:val="24"/>
              </w:rPr>
              <w:t xml:space="preserve">Action </w:t>
            </w:r>
            <w:r w:rsidR="0039147D" w:rsidRPr="00B262B0">
              <w:rPr>
                <w:rFonts w:ascii="Times New Roman" w:hAnsi="Times New Roman"/>
                <w:sz w:val="24"/>
                <w:szCs w:val="24"/>
              </w:rPr>
              <w:t>aims</w:t>
            </w:r>
            <w:r w:rsidR="00902D84" w:rsidRPr="00B262B0">
              <w:rPr>
                <w:rFonts w:ascii="Times New Roman" w:hAnsi="Times New Roman"/>
                <w:sz w:val="24"/>
                <w:szCs w:val="24"/>
              </w:rPr>
              <w:t xml:space="preserve"> at</w:t>
            </w:r>
            <w:r w:rsidR="00141387" w:rsidRPr="00B262B0">
              <w:rPr>
                <w:rFonts w:ascii="Times New Roman" w:hAnsi="Times New Roman"/>
                <w:sz w:val="24"/>
                <w:szCs w:val="24"/>
              </w:rPr>
              <w:t xml:space="preserve">: </w:t>
            </w:r>
          </w:p>
          <w:p w:rsidR="00883DA6" w:rsidRPr="00B262B0" w:rsidRDefault="00902D84" w:rsidP="00355E7B">
            <w:pPr>
              <w:pStyle w:val="ListParagraph"/>
              <w:numPr>
                <w:ilvl w:val="0"/>
                <w:numId w:val="8"/>
              </w:numPr>
              <w:shd w:val="clear" w:color="auto" w:fill="FFFFFF"/>
              <w:spacing w:before="60" w:after="0"/>
              <w:jc w:val="both"/>
              <w:rPr>
                <w:rFonts w:ascii="Times New Roman" w:hAnsi="Times New Roman"/>
                <w:sz w:val="24"/>
                <w:szCs w:val="24"/>
              </w:rPr>
            </w:pPr>
            <w:r w:rsidRPr="00B262B0">
              <w:rPr>
                <w:rFonts w:ascii="Times New Roman" w:hAnsi="Times New Roman"/>
                <w:b/>
                <w:bCs/>
                <w:sz w:val="24"/>
                <w:szCs w:val="24"/>
              </w:rPr>
              <w:t>Improving</w:t>
            </w:r>
            <w:r w:rsidR="00141387" w:rsidRPr="00B262B0">
              <w:rPr>
                <w:rFonts w:ascii="Times New Roman" w:hAnsi="Times New Roman"/>
                <w:b/>
                <w:bCs/>
                <w:sz w:val="24"/>
                <w:szCs w:val="24"/>
              </w:rPr>
              <w:t xml:space="preserve"> the digital skills of public administration</w:t>
            </w:r>
            <w:r w:rsidR="00883DA6" w:rsidRPr="00B262B0">
              <w:rPr>
                <w:rFonts w:ascii="Times New Roman" w:hAnsi="Times New Roman"/>
                <w:b/>
                <w:bCs/>
                <w:sz w:val="24"/>
                <w:szCs w:val="24"/>
              </w:rPr>
              <w:t xml:space="preserve"> and </w:t>
            </w:r>
            <w:r w:rsidR="00ED5DBE" w:rsidRPr="00B262B0">
              <w:rPr>
                <w:rFonts w:ascii="Times New Roman" w:hAnsi="Times New Roman"/>
                <w:b/>
                <w:bCs/>
                <w:sz w:val="24"/>
                <w:szCs w:val="24"/>
              </w:rPr>
              <w:t>enabling</w:t>
            </w:r>
            <w:r w:rsidR="00141387" w:rsidRPr="00B262B0">
              <w:rPr>
                <w:rFonts w:ascii="Times New Roman" w:hAnsi="Times New Roman"/>
                <w:b/>
                <w:bCs/>
                <w:sz w:val="24"/>
                <w:szCs w:val="24"/>
              </w:rPr>
              <w:t xml:space="preserve"> simple, fast and secure communication between </w:t>
            </w:r>
            <w:r w:rsidR="00ED5DBE" w:rsidRPr="00B262B0">
              <w:rPr>
                <w:rFonts w:ascii="Times New Roman" w:hAnsi="Times New Roman"/>
                <w:b/>
                <w:bCs/>
                <w:sz w:val="24"/>
                <w:szCs w:val="24"/>
              </w:rPr>
              <w:t xml:space="preserve">the </w:t>
            </w:r>
            <w:r w:rsidR="00141387" w:rsidRPr="00B262B0">
              <w:rPr>
                <w:rFonts w:ascii="Times New Roman" w:hAnsi="Times New Roman"/>
                <w:b/>
                <w:bCs/>
                <w:sz w:val="24"/>
                <w:szCs w:val="24"/>
              </w:rPr>
              <w:t>administration and users of the services (citizens and businesses)</w:t>
            </w:r>
            <w:r w:rsidR="00883DA6" w:rsidRPr="00B262B0">
              <w:rPr>
                <w:rFonts w:ascii="Times New Roman" w:hAnsi="Times New Roman"/>
                <w:b/>
                <w:bCs/>
                <w:sz w:val="24"/>
                <w:szCs w:val="24"/>
              </w:rPr>
              <w:t xml:space="preserve">, </w:t>
            </w:r>
            <w:r w:rsidR="00883DA6" w:rsidRPr="00B262B0">
              <w:rPr>
                <w:rFonts w:ascii="Times New Roman" w:hAnsi="Times New Roman"/>
                <w:sz w:val="24"/>
                <w:szCs w:val="24"/>
              </w:rPr>
              <w:t>through:</w:t>
            </w:r>
          </w:p>
          <w:p w:rsidR="00355E7B" w:rsidRPr="00B262B0" w:rsidRDefault="00355E7B" w:rsidP="00355E7B">
            <w:pPr>
              <w:pStyle w:val="ListParagraph"/>
              <w:numPr>
                <w:ilvl w:val="0"/>
                <w:numId w:val="11"/>
              </w:numPr>
              <w:spacing w:after="0" w:line="240" w:lineRule="auto"/>
              <w:ind w:left="720"/>
              <w:jc w:val="both"/>
              <w:rPr>
                <w:rFonts w:ascii="Times New Roman" w:hAnsi="Times New Roman"/>
                <w:sz w:val="24"/>
                <w:szCs w:val="24"/>
                <w:lang w:val="en-US" w:eastAsia="en-US"/>
              </w:rPr>
            </w:pPr>
            <w:r w:rsidRPr="00B262B0">
              <w:rPr>
                <w:rFonts w:ascii="Times New Roman" w:hAnsi="Times New Roman"/>
                <w:sz w:val="24"/>
                <w:szCs w:val="24"/>
                <w:lang w:val="en-US" w:eastAsia="en-US"/>
              </w:rPr>
              <w:t>Measures to improve electronic interactions and efficiency among institutions</w:t>
            </w:r>
            <w:r w:rsidR="00F361B3" w:rsidRPr="00B262B0">
              <w:rPr>
                <w:rFonts w:ascii="Times New Roman" w:hAnsi="Times New Roman"/>
                <w:sz w:val="24"/>
                <w:szCs w:val="24"/>
                <w:lang w:val="en-US" w:eastAsia="en-US"/>
              </w:rPr>
              <w:t xml:space="preserve"> and to</w:t>
            </w:r>
            <w:r w:rsidR="00F361B3" w:rsidRPr="00B262B0">
              <w:rPr>
                <w:rFonts w:ascii="Times New Roman" w:hAnsi="Times New Roman"/>
                <w:sz w:val="24"/>
                <w:szCs w:val="24"/>
              </w:rPr>
              <w:t xml:space="preserve"> enable simple, fast and secure communication between administration and users of the services (citizens and businesses) through purchasing necessary equipment (hardware, software); </w:t>
            </w:r>
          </w:p>
          <w:p w:rsidR="00B4633D" w:rsidRPr="00B262B0" w:rsidRDefault="00B4633D" w:rsidP="00355E7B">
            <w:pPr>
              <w:pStyle w:val="ListParagraph"/>
              <w:numPr>
                <w:ilvl w:val="0"/>
                <w:numId w:val="11"/>
              </w:numPr>
              <w:spacing w:after="0" w:line="240" w:lineRule="auto"/>
              <w:ind w:left="720"/>
              <w:jc w:val="both"/>
              <w:rPr>
                <w:rFonts w:ascii="Times New Roman" w:hAnsi="Times New Roman"/>
                <w:sz w:val="24"/>
                <w:szCs w:val="24"/>
                <w:lang w:val="en-US" w:eastAsia="en-US"/>
              </w:rPr>
            </w:pPr>
            <w:r w:rsidRPr="00B262B0">
              <w:rPr>
                <w:rFonts w:ascii="Times New Roman" w:hAnsi="Times New Roman"/>
                <w:sz w:val="24"/>
                <w:szCs w:val="24"/>
              </w:rPr>
              <w:t>Measures to improve the digital learning environment</w:t>
            </w:r>
            <w:r w:rsidRPr="00B262B0">
              <w:rPr>
                <w:rFonts w:ascii="Times New Roman" w:hAnsi="Times New Roman"/>
                <w:sz w:val="24"/>
                <w:szCs w:val="24"/>
                <w:lang w:val="en-US"/>
              </w:rPr>
              <w:t>for public administration</w:t>
            </w:r>
            <w:r w:rsidR="00C139A1" w:rsidRPr="00B262B0">
              <w:rPr>
                <w:rFonts w:ascii="Times New Roman" w:hAnsi="Times New Roman"/>
                <w:sz w:val="24"/>
                <w:szCs w:val="24"/>
                <w:lang w:val="en-US"/>
              </w:rPr>
              <w:t xml:space="preserve"> through</w:t>
            </w:r>
            <w:r w:rsidRPr="00B262B0">
              <w:rPr>
                <w:rFonts w:ascii="Times New Roman" w:hAnsi="Times New Roman"/>
                <w:sz w:val="24"/>
                <w:szCs w:val="24"/>
              </w:rPr>
              <w:t>development of e-content (on different levels) for digital upskilling of public servants and delivering trainings for public administration</w:t>
            </w:r>
            <w:r w:rsidR="00C139A1" w:rsidRPr="00B262B0">
              <w:rPr>
                <w:rFonts w:ascii="Times New Roman" w:hAnsi="Times New Roman"/>
                <w:sz w:val="24"/>
                <w:szCs w:val="24"/>
              </w:rPr>
              <w:t>;</w:t>
            </w:r>
          </w:p>
          <w:p w:rsidR="00355E7B" w:rsidRPr="00B262B0" w:rsidRDefault="00355E7B" w:rsidP="00F361B3">
            <w:pPr>
              <w:pStyle w:val="ListParagraph"/>
              <w:numPr>
                <w:ilvl w:val="0"/>
                <w:numId w:val="11"/>
              </w:numPr>
              <w:spacing w:after="0" w:line="240" w:lineRule="auto"/>
              <w:ind w:left="720"/>
              <w:jc w:val="both"/>
              <w:rPr>
                <w:rFonts w:ascii="Times New Roman" w:hAnsi="Times New Roman"/>
                <w:sz w:val="24"/>
                <w:szCs w:val="24"/>
              </w:rPr>
            </w:pPr>
            <w:r w:rsidRPr="00B262B0">
              <w:rPr>
                <w:rFonts w:ascii="Times New Roman" w:hAnsi="Times New Roman"/>
                <w:sz w:val="24"/>
                <w:szCs w:val="24"/>
                <w:lang w:val="en-US"/>
              </w:rPr>
              <w:t xml:space="preserve">Preparing </w:t>
            </w:r>
            <w:r w:rsidRPr="00B262B0">
              <w:rPr>
                <w:rFonts w:ascii="Times New Roman" w:hAnsi="Times New Roman"/>
                <w:sz w:val="24"/>
                <w:szCs w:val="24"/>
              </w:rPr>
              <w:t>feasibility stud</w:t>
            </w:r>
            <w:r w:rsidR="00B4633D" w:rsidRPr="00B262B0">
              <w:rPr>
                <w:rFonts w:ascii="Times New Roman" w:hAnsi="Times New Roman"/>
                <w:sz w:val="24"/>
                <w:szCs w:val="24"/>
              </w:rPr>
              <w:t>y and technical specifications, designs</w:t>
            </w:r>
            <w:r w:rsidRPr="00B262B0">
              <w:rPr>
                <w:rFonts w:ascii="Times New Roman" w:hAnsi="Times New Roman"/>
                <w:sz w:val="24"/>
                <w:szCs w:val="24"/>
              </w:rPr>
              <w:t xml:space="preserve"> for the establishment of a secure and reliable Data </w:t>
            </w:r>
            <w:r w:rsidR="00902D84" w:rsidRPr="00B262B0">
              <w:rPr>
                <w:rFonts w:ascii="Times New Roman" w:hAnsi="Times New Roman"/>
                <w:sz w:val="24"/>
                <w:szCs w:val="24"/>
              </w:rPr>
              <w:t>Centre</w:t>
            </w:r>
            <w:r w:rsidRPr="00B262B0">
              <w:rPr>
                <w:rFonts w:ascii="Times New Roman" w:hAnsi="Times New Roman"/>
                <w:sz w:val="24"/>
                <w:szCs w:val="24"/>
              </w:rPr>
              <w:t xml:space="preserve">. </w:t>
            </w:r>
          </w:p>
          <w:p w:rsidR="00902D84" w:rsidRPr="00B262B0" w:rsidRDefault="00902D84" w:rsidP="00AB638C">
            <w:pPr>
              <w:pStyle w:val="ListParagraph"/>
              <w:spacing w:after="0" w:line="240" w:lineRule="auto"/>
              <w:jc w:val="both"/>
              <w:rPr>
                <w:rFonts w:ascii="Times New Roman" w:hAnsi="Times New Roman"/>
                <w:sz w:val="24"/>
                <w:szCs w:val="24"/>
                <w:lang w:val="en-US" w:eastAsia="en-US"/>
              </w:rPr>
            </w:pPr>
          </w:p>
          <w:p w:rsidR="00FD69C8" w:rsidRPr="00B262B0" w:rsidRDefault="00902D84" w:rsidP="00FD69C8">
            <w:pPr>
              <w:pStyle w:val="ListParagraph"/>
              <w:numPr>
                <w:ilvl w:val="0"/>
                <w:numId w:val="12"/>
              </w:numPr>
              <w:spacing w:after="0" w:line="240" w:lineRule="auto"/>
              <w:jc w:val="both"/>
              <w:rPr>
                <w:rFonts w:ascii="Times New Roman" w:hAnsi="Times New Roman"/>
                <w:bCs/>
                <w:sz w:val="24"/>
                <w:szCs w:val="24"/>
                <w:lang w:val="en-US" w:eastAsia="en-US"/>
              </w:rPr>
            </w:pPr>
            <w:r w:rsidRPr="00B262B0">
              <w:rPr>
                <w:rFonts w:ascii="Times New Roman" w:hAnsi="Times New Roman"/>
                <w:b/>
                <w:sz w:val="24"/>
                <w:szCs w:val="24"/>
                <w:lang w:val="en-US" w:eastAsia="en-US"/>
              </w:rPr>
              <w:t>Improving</w:t>
            </w:r>
            <w:r w:rsidR="00FD69C8" w:rsidRPr="00B262B0">
              <w:rPr>
                <w:rFonts w:ascii="Times New Roman" w:hAnsi="Times New Roman"/>
                <w:b/>
                <w:sz w:val="24"/>
                <w:szCs w:val="24"/>
                <w:lang w:val="en-US" w:eastAsia="en-US"/>
              </w:rPr>
              <w:t xml:space="preserve"> the access to public information according to the present legislation, through providing further support to the Agency for Protection of the Right to Free Access to Information </w:t>
            </w:r>
            <w:r w:rsidR="00FD69C8" w:rsidRPr="00B262B0">
              <w:rPr>
                <w:rFonts w:ascii="Times New Roman" w:hAnsi="Times New Roman"/>
                <w:bCs/>
                <w:sz w:val="24"/>
                <w:szCs w:val="24"/>
                <w:lang w:val="en-US" w:eastAsia="en-US"/>
              </w:rPr>
              <w:t>in the performance of its duties, thus contributing to the overall enhancement of the fulfillment of the right to free access to information in the public sector. In operational terms, the Action aims at:</w:t>
            </w:r>
          </w:p>
          <w:p w:rsidR="00546C8C" w:rsidRPr="00B262B0" w:rsidRDefault="00546C8C" w:rsidP="00A63066">
            <w:pPr>
              <w:spacing w:after="0" w:line="240" w:lineRule="auto"/>
              <w:jc w:val="both"/>
              <w:rPr>
                <w:rFonts w:ascii="Times New Roman" w:hAnsi="Times New Roman"/>
                <w:bCs/>
                <w:sz w:val="24"/>
                <w:szCs w:val="24"/>
                <w:lang w:val="en-US" w:eastAsia="en-US"/>
              </w:rPr>
            </w:pPr>
          </w:p>
          <w:p w:rsidR="00A63066" w:rsidRPr="00B262B0" w:rsidRDefault="00A63066" w:rsidP="004D1FBD">
            <w:pPr>
              <w:pStyle w:val="ListParagraph"/>
              <w:numPr>
                <w:ilvl w:val="0"/>
                <w:numId w:val="20"/>
              </w:numPr>
              <w:ind w:left="720"/>
              <w:jc w:val="both"/>
              <w:rPr>
                <w:rFonts w:ascii="Times New Roman" w:hAnsi="Times New Roman"/>
                <w:bCs/>
                <w:sz w:val="24"/>
                <w:szCs w:val="24"/>
                <w:lang w:val="en-US" w:eastAsia="en-US"/>
              </w:rPr>
            </w:pPr>
            <w:r w:rsidRPr="00B262B0">
              <w:rPr>
                <w:rFonts w:ascii="Times New Roman" w:hAnsi="Times New Roman"/>
                <w:bCs/>
                <w:sz w:val="24"/>
                <w:szCs w:val="24"/>
                <w:lang w:eastAsia="en-US"/>
              </w:rPr>
              <w:t xml:space="preserve">Improving  operational and ICT capacities of the Agency and efficiency of services delivery by  the information holders to requesters under the Law and other laws in line with European regulation and standards, and best practices; </w:t>
            </w:r>
          </w:p>
          <w:p w:rsidR="00A63066" w:rsidRPr="00B262B0" w:rsidRDefault="00A63066" w:rsidP="00A63066">
            <w:pPr>
              <w:pStyle w:val="ListParagraph"/>
              <w:numPr>
                <w:ilvl w:val="0"/>
                <w:numId w:val="11"/>
              </w:numPr>
              <w:ind w:left="720"/>
              <w:jc w:val="both"/>
              <w:rPr>
                <w:rFonts w:ascii="Times New Roman" w:hAnsi="Times New Roman"/>
                <w:sz w:val="24"/>
                <w:szCs w:val="24"/>
                <w:lang w:val="en-US" w:eastAsia="en-US"/>
              </w:rPr>
            </w:pPr>
            <w:r w:rsidRPr="00B262B0">
              <w:rPr>
                <w:rFonts w:ascii="Times New Roman" w:hAnsi="Times New Roman"/>
                <w:bCs/>
                <w:sz w:val="24"/>
                <w:szCs w:val="24"/>
                <w:lang w:eastAsia="en-US"/>
              </w:rPr>
              <w:t xml:space="preserve">Improving the Agency and the FOIA legislation visibility in the state system, through improving transparency and </w:t>
            </w:r>
            <w:r w:rsidRPr="00B262B0">
              <w:rPr>
                <w:rFonts w:ascii="Times New Roman" w:hAnsi="Times New Roman"/>
                <w:sz w:val="24"/>
                <w:szCs w:val="24"/>
                <w:lang w:val="en-US" w:eastAsia="en-US"/>
              </w:rPr>
              <w:t>the efficiency of the information services of information holders in public institutions;</w:t>
            </w:r>
          </w:p>
          <w:p w:rsidR="00A63066" w:rsidRPr="00B262B0" w:rsidRDefault="00A63066" w:rsidP="00A63066">
            <w:pPr>
              <w:pStyle w:val="ListParagraph"/>
              <w:numPr>
                <w:ilvl w:val="0"/>
                <w:numId w:val="11"/>
              </w:numPr>
              <w:ind w:left="720"/>
              <w:jc w:val="both"/>
              <w:rPr>
                <w:rFonts w:ascii="Times New Roman" w:hAnsi="Times New Roman"/>
                <w:sz w:val="24"/>
                <w:szCs w:val="24"/>
                <w:lang w:val="en-US" w:eastAsia="en-US"/>
              </w:rPr>
            </w:pPr>
            <w:r w:rsidRPr="00B262B0">
              <w:rPr>
                <w:rFonts w:ascii="Times New Roman" w:hAnsi="Times New Roman"/>
                <w:bCs/>
                <w:sz w:val="24"/>
                <w:szCs w:val="24"/>
                <w:lang w:eastAsia="en-US"/>
              </w:rPr>
              <w:t>Promotion of the right to free access to public information as a constitutional, fundamental human right of the citizens and other selected target groups.</w:t>
            </w:r>
          </w:p>
          <w:p w:rsidR="00883DA6" w:rsidRPr="00B262B0" w:rsidRDefault="00902D84" w:rsidP="00883DA6">
            <w:pPr>
              <w:pStyle w:val="ListParagraph"/>
              <w:numPr>
                <w:ilvl w:val="0"/>
                <w:numId w:val="8"/>
              </w:numPr>
              <w:shd w:val="clear" w:color="auto" w:fill="FFFFFF"/>
              <w:spacing w:before="60" w:after="0"/>
              <w:jc w:val="both"/>
              <w:rPr>
                <w:rFonts w:ascii="Times New Roman" w:hAnsi="Times New Roman"/>
                <w:b/>
                <w:sz w:val="24"/>
                <w:szCs w:val="24"/>
                <w:lang w:val="en-US" w:eastAsia="en-US"/>
              </w:rPr>
            </w:pPr>
            <w:r w:rsidRPr="00B262B0">
              <w:rPr>
                <w:rFonts w:ascii="Times New Roman" w:hAnsi="Times New Roman"/>
                <w:b/>
                <w:sz w:val="24"/>
                <w:szCs w:val="24"/>
                <w:lang w:val="en-US" w:eastAsia="en-US"/>
              </w:rPr>
              <w:lastRenderedPageBreak/>
              <w:t>Improving</w:t>
            </w:r>
            <w:r w:rsidR="00883DA6" w:rsidRPr="00B262B0">
              <w:rPr>
                <w:rFonts w:ascii="Times New Roman" w:hAnsi="Times New Roman"/>
                <w:b/>
                <w:sz w:val="24"/>
                <w:szCs w:val="24"/>
                <w:lang w:val="en-US" w:eastAsia="en-US"/>
              </w:rPr>
              <w:t xml:space="preserve"> the use of statistical and financial data in supporting the policy reforms and stability. </w:t>
            </w:r>
            <w:r w:rsidR="00883DA6" w:rsidRPr="00B262B0">
              <w:rPr>
                <w:rFonts w:ascii="Times New Roman" w:hAnsi="Times New Roman"/>
                <w:bCs/>
                <w:sz w:val="24"/>
                <w:szCs w:val="24"/>
                <w:lang w:val="en-US" w:eastAsia="en-US"/>
              </w:rPr>
              <w:t>More specifically, the Action will focus on:</w:t>
            </w:r>
          </w:p>
          <w:p w:rsidR="00883DA6" w:rsidRPr="00B262B0" w:rsidRDefault="00883DA6" w:rsidP="00883DA6">
            <w:pPr>
              <w:pStyle w:val="ListParagraph"/>
              <w:numPr>
                <w:ilvl w:val="0"/>
                <w:numId w:val="11"/>
              </w:numPr>
              <w:spacing w:after="0" w:line="240" w:lineRule="auto"/>
              <w:ind w:left="720"/>
              <w:jc w:val="both"/>
              <w:rPr>
                <w:rFonts w:ascii="Times New Roman" w:hAnsi="Times New Roman"/>
                <w:sz w:val="24"/>
                <w:szCs w:val="24"/>
                <w:lang w:val="en-US" w:eastAsia="en-US"/>
              </w:rPr>
            </w:pPr>
            <w:r w:rsidRPr="00B262B0">
              <w:rPr>
                <w:rFonts w:ascii="Times New Roman" w:hAnsi="Times New Roman"/>
                <w:sz w:val="24"/>
                <w:szCs w:val="24"/>
                <w:lang w:val="en-US" w:eastAsia="en-US"/>
              </w:rPr>
              <w:t xml:space="preserve">Improving the alignment of the national statistics with the EU statistical standards in the areas of environmental statistics; health statistics; </w:t>
            </w:r>
          </w:p>
          <w:p w:rsidR="005323BF" w:rsidRPr="00B262B0" w:rsidRDefault="00883DA6" w:rsidP="00883DA6">
            <w:pPr>
              <w:pStyle w:val="ListParagraph"/>
              <w:numPr>
                <w:ilvl w:val="0"/>
                <w:numId w:val="11"/>
              </w:numPr>
              <w:spacing w:after="0" w:line="240" w:lineRule="auto"/>
              <w:ind w:left="720"/>
              <w:jc w:val="both"/>
              <w:rPr>
                <w:rFonts w:ascii="Times New Roman" w:hAnsi="Times New Roman"/>
                <w:sz w:val="24"/>
                <w:szCs w:val="24"/>
                <w:lang w:val="en-US" w:eastAsia="en-US"/>
              </w:rPr>
            </w:pPr>
            <w:r w:rsidRPr="00B262B0">
              <w:rPr>
                <w:rFonts w:ascii="Times New Roman" w:hAnsi="Times New Roman"/>
                <w:sz w:val="24"/>
                <w:szCs w:val="24"/>
                <w:lang w:val="en-US" w:eastAsia="en-US"/>
              </w:rPr>
              <w:t>Improving the data capabilities</w:t>
            </w:r>
            <w:r w:rsidR="000341E8" w:rsidRPr="00B262B0">
              <w:rPr>
                <w:rFonts w:ascii="Times New Roman" w:hAnsi="Times New Roman"/>
                <w:sz w:val="24"/>
                <w:szCs w:val="24"/>
                <w:lang w:val="en-US" w:eastAsia="en-US"/>
              </w:rPr>
              <w:t xml:space="preserve"> for further alignment of the national statistics with the EU statistical standards</w:t>
            </w:r>
            <w:r w:rsidR="00AB638C" w:rsidRPr="00B262B0">
              <w:rPr>
                <w:rFonts w:ascii="Times New Roman" w:hAnsi="Times New Roman"/>
                <w:sz w:val="24"/>
                <w:szCs w:val="24"/>
                <w:lang w:val="en-US" w:eastAsia="en-US"/>
              </w:rPr>
              <w:t xml:space="preserve"> (external statistics and payment messaging standards)</w:t>
            </w:r>
            <w:r w:rsidRPr="00B262B0">
              <w:rPr>
                <w:rFonts w:ascii="Times New Roman" w:hAnsi="Times New Roman"/>
                <w:sz w:val="24"/>
                <w:szCs w:val="24"/>
                <w:lang w:val="en-US" w:eastAsia="en-US"/>
              </w:rPr>
              <w:t xml:space="preserve"> of the National Bank.</w:t>
            </w:r>
          </w:p>
          <w:p w:rsidR="003B0CB7" w:rsidRPr="00B262B0" w:rsidRDefault="00612926" w:rsidP="00B262B0">
            <w:pPr>
              <w:spacing w:before="240" w:after="0" w:line="240" w:lineRule="auto"/>
              <w:jc w:val="both"/>
              <w:rPr>
                <w:rFonts w:ascii="Times New Roman" w:hAnsi="Times New Roman"/>
                <w:sz w:val="24"/>
                <w:szCs w:val="24"/>
              </w:rPr>
            </w:pPr>
            <w:r w:rsidRPr="00B262B0">
              <w:rPr>
                <w:rFonts w:ascii="Times New Roman" w:hAnsi="Times New Roman"/>
                <w:sz w:val="24"/>
                <w:szCs w:val="24"/>
              </w:rPr>
              <w:t xml:space="preserve">The Action </w:t>
            </w:r>
            <w:proofErr w:type="gramStart"/>
            <w:r w:rsidRPr="00B262B0">
              <w:rPr>
                <w:rFonts w:ascii="Times New Roman" w:hAnsi="Times New Roman"/>
                <w:sz w:val="24"/>
                <w:szCs w:val="24"/>
              </w:rPr>
              <w:t>is designed</w:t>
            </w:r>
            <w:proofErr w:type="gramEnd"/>
            <w:r w:rsidRPr="00B262B0">
              <w:rPr>
                <w:rFonts w:ascii="Times New Roman" w:hAnsi="Times New Roman"/>
                <w:sz w:val="24"/>
                <w:szCs w:val="24"/>
              </w:rPr>
              <w:t xml:space="preserve"> to contribute to the achievement of the specific objective of Window </w:t>
            </w:r>
            <w:r w:rsidR="00732040" w:rsidRPr="00B262B0">
              <w:rPr>
                <w:rFonts w:ascii="Times New Roman" w:hAnsi="Times New Roman"/>
                <w:sz w:val="24"/>
                <w:szCs w:val="24"/>
              </w:rPr>
              <w:t>2</w:t>
            </w:r>
            <w:r w:rsidRPr="00B262B0">
              <w:rPr>
                <w:rFonts w:ascii="Times New Roman" w:hAnsi="Times New Roman"/>
                <w:sz w:val="24"/>
                <w:szCs w:val="24"/>
              </w:rPr>
              <w:t xml:space="preserve"> Thematic priority </w:t>
            </w:r>
            <w:r w:rsidR="00732040" w:rsidRPr="00B262B0">
              <w:rPr>
                <w:rFonts w:ascii="Times New Roman" w:hAnsi="Times New Roman"/>
                <w:sz w:val="24"/>
                <w:szCs w:val="24"/>
              </w:rPr>
              <w:t>1</w:t>
            </w:r>
            <w:r w:rsidRPr="00B262B0">
              <w:rPr>
                <w:rFonts w:ascii="Times New Roman" w:hAnsi="Times New Roman"/>
                <w:sz w:val="24"/>
                <w:szCs w:val="24"/>
              </w:rPr>
              <w:t xml:space="preserve"> “</w:t>
            </w:r>
            <w:r w:rsidR="00732040" w:rsidRPr="00B262B0">
              <w:rPr>
                <w:rFonts w:ascii="Times New Roman" w:hAnsi="Times New Roman"/>
                <w:sz w:val="24"/>
                <w:szCs w:val="24"/>
              </w:rPr>
              <w:t>Good governance</w:t>
            </w:r>
            <w:r w:rsidRPr="00B262B0">
              <w:rPr>
                <w:rFonts w:ascii="Times New Roman" w:hAnsi="Times New Roman"/>
                <w:sz w:val="24"/>
                <w:szCs w:val="24"/>
              </w:rPr>
              <w:t xml:space="preserve">”, as defined in the </w:t>
            </w:r>
            <w:r w:rsidRPr="00B262B0">
              <w:rPr>
                <w:rFonts w:ascii="Times New Roman" w:hAnsi="Times New Roman"/>
                <w:b/>
                <w:bCs/>
                <w:sz w:val="24"/>
                <w:szCs w:val="24"/>
              </w:rPr>
              <w:t>IPA III Programming Framework</w:t>
            </w:r>
            <w:r w:rsidRPr="00B262B0">
              <w:rPr>
                <w:rFonts w:ascii="Times New Roman" w:hAnsi="Times New Roman"/>
                <w:sz w:val="24"/>
                <w:szCs w:val="24"/>
              </w:rPr>
              <w:t>, which aims to</w:t>
            </w:r>
            <w:r w:rsidR="00732040" w:rsidRPr="00B262B0">
              <w:rPr>
                <w:rFonts w:ascii="Times New Roman" w:hAnsi="Times New Roman"/>
                <w:sz w:val="24"/>
                <w:szCs w:val="24"/>
              </w:rPr>
              <w:t xml:space="preserve"> modernise public administration at all level of government, strengthen statistical systems and economic governance, and hence contribute to sustainable </w:t>
            </w:r>
            <w:r w:rsidR="001F72E8" w:rsidRPr="00B262B0">
              <w:rPr>
                <w:rFonts w:ascii="Times New Roman" w:hAnsi="Times New Roman"/>
                <w:sz w:val="24"/>
                <w:szCs w:val="24"/>
              </w:rPr>
              <w:t>growth</w:t>
            </w:r>
            <w:r w:rsidR="00732040" w:rsidRPr="00B262B0">
              <w:rPr>
                <w:rFonts w:ascii="Times New Roman" w:hAnsi="Times New Roman"/>
                <w:sz w:val="24"/>
                <w:szCs w:val="24"/>
              </w:rPr>
              <w:t xml:space="preserve"> and to improve competitiveness. </w:t>
            </w:r>
          </w:p>
          <w:p w:rsidR="00D92F6C" w:rsidRPr="00B262B0" w:rsidRDefault="00D92F6C" w:rsidP="00752CE5">
            <w:pPr>
              <w:spacing w:after="0" w:line="240" w:lineRule="auto"/>
              <w:jc w:val="both"/>
              <w:rPr>
                <w:rFonts w:ascii="Times New Roman" w:hAnsi="Times New Roman"/>
                <w:i/>
                <w:sz w:val="24"/>
                <w:szCs w:val="24"/>
              </w:rPr>
            </w:pPr>
          </w:p>
          <w:p w:rsidR="00493559" w:rsidRPr="00B262B0" w:rsidRDefault="001F72E8" w:rsidP="00493559">
            <w:pPr>
              <w:spacing w:after="0" w:line="240" w:lineRule="auto"/>
              <w:jc w:val="both"/>
              <w:rPr>
                <w:rFonts w:ascii="Times New Roman" w:hAnsi="Times New Roman"/>
                <w:sz w:val="24"/>
                <w:szCs w:val="24"/>
              </w:rPr>
            </w:pPr>
            <w:r w:rsidRPr="00B262B0">
              <w:rPr>
                <w:rFonts w:ascii="Times New Roman" w:hAnsi="Times New Roman"/>
                <w:sz w:val="24"/>
                <w:szCs w:val="24"/>
              </w:rPr>
              <w:t xml:space="preserve">The proposed Action will contribute to the implementation of the EU recommendations under </w:t>
            </w:r>
            <w:r w:rsidR="002C5CC6" w:rsidRPr="00B262B0">
              <w:rPr>
                <w:rFonts w:ascii="Times New Roman" w:hAnsi="Times New Roman"/>
                <w:b/>
                <w:iCs/>
                <w:sz w:val="24"/>
                <w:szCs w:val="24"/>
              </w:rPr>
              <w:t xml:space="preserve">“fundamentals first- 2.1.2. </w:t>
            </w:r>
            <w:r w:rsidR="00902D84" w:rsidRPr="00B262B0">
              <w:rPr>
                <w:rFonts w:ascii="Times New Roman" w:hAnsi="Times New Roman"/>
                <w:b/>
                <w:iCs/>
                <w:sz w:val="24"/>
                <w:szCs w:val="24"/>
              </w:rPr>
              <w:t>Public</w:t>
            </w:r>
            <w:r w:rsidR="002C5CC6" w:rsidRPr="00B262B0">
              <w:rPr>
                <w:rFonts w:ascii="Times New Roman" w:hAnsi="Times New Roman"/>
                <w:b/>
                <w:iCs/>
                <w:sz w:val="24"/>
                <w:szCs w:val="24"/>
              </w:rPr>
              <w:t xml:space="preserve"> administration reforms; </w:t>
            </w:r>
            <w:r w:rsidR="002C5CC6" w:rsidRPr="00B262B0">
              <w:rPr>
                <w:rFonts w:ascii="Times New Roman" w:hAnsi="Times New Roman"/>
                <w:b/>
                <w:bCs/>
                <w:sz w:val="24"/>
                <w:szCs w:val="24"/>
              </w:rPr>
              <w:t xml:space="preserve">Chapter 10: Information society and Media; </w:t>
            </w:r>
            <w:r w:rsidR="002C5CC6" w:rsidRPr="00B262B0">
              <w:rPr>
                <w:rFonts w:ascii="Times New Roman" w:hAnsi="Times New Roman"/>
                <w:b/>
                <w:iCs/>
                <w:sz w:val="24"/>
                <w:szCs w:val="24"/>
              </w:rPr>
              <w:t>Chapter 18: Statistics as defined in the</w:t>
            </w:r>
            <w:r w:rsidRPr="00B262B0">
              <w:rPr>
                <w:rFonts w:ascii="Times New Roman" w:hAnsi="Times New Roman"/>
                <w:sz w:val="24"/>
                <w:szCs w:val="24"/>
              </w:rPr>
              <w:t xml:space="preserve"> EC’s </w:t>
            </w:r>
            <w:r w:rsidRPr="00B262B0">
              <w:rPr>
                <w:rFonts w:ascii="Times New Roman" w:hAnsi="Times New Roman"/>
                <w:b/>
                <w:bCs/>
                <w:sz w:val="24"/>
                <w:szCs w:val="24"/>
              </w:rPr>
              <w:t>North Macedonia 2019 Report (</w:t>
            </w:r>
            <w:proofErr w:type="gramStart"/>
            <w:r w:rsidRPr="00B262B0">
              <w:rPr>
                <w:rFonts w:ascii="Times New Roman" w:hAnsi="Times New Roman"/>
                <w:b/>
                <w:bCs/>
                <w:sz w:val="24"/>
                <w:szCs w:val="24"/>
              </w:rPr>
              <w:t>COM(</w:t>
            </w:r>
            <w:proofErr w:type="gramEnd"/>
            <w:r w:rsidRPr="00B262B0">
              <w:rPr>
                <w:rFonts w:ascii="Times New Roman" w:hAnsi="Times New Roman"/>
                <w:b/>
                <w:bCs/>
                <w:sz w:val="24"/>
                <w:szCs w:val="24"/>
              </w:rPr>
              <w:t>2019) 260 final)</w:t>
            </w:r>
            <w:r w:rsidR="002C5CC6" w:rsidRPr="00B262B0">
              <w:rPr>
                <w:rFonts w:ascii="Times New Roman" w:hAnsi="Times New Roman"/>
                <w:b/>
                <w:bCs/>
                <w:sz w:val="24"/>
                <w:szCs w:val="24"/>
              </w:rPr>
              <w:t xml:space="preserve">. </w:t>
            </w:r>
            <w:r w:rsidR="00023890" w:rsidRPr="00B262B0">
              <w:rPr>
                <w:rFonts w:ascii="Times New Roman" w:hAnsi="Times New Roman"/>
                <w:sz w:val="24"/>
                <w:szCs w:val="24"/>
              </w:rPr>
              <w:t xml:space="preserve">The report identifies modernisation of the public administration as a key element for successful digitalisation. It will boost implementation of e-Government framework and services and create necessary conditions for improved implementation of the Law on General Administrative Procedures and simplification of the administrative procedures. </w:t>
            </w:r>
            <w:r w:rsidR="00690119" w:rsidRPr="00B262B0">
              <w:rPr>
                <w:rFonts w:ascii="Times New Roman" w:hAnsi="Times New Roman"/>
                <w:sz w:val="24"/>
                <w:szCs w:val="24"/>
              </w:rPr>
              <w:t xml:space="preserve">As this action should significantly facilitate the digital transformation, it fully addresses several points of the EC Progress report, all related to digital economy and digital transformation of the country in general.  </w:t>
            </w:r>
            <w:r w:rsidR="00893071" w:rsidRPr="00B262B0">
              <w:rPr>
                <w:rFonts w:ascii="Times New Roman" w:hAnsi="Times New Roman"/>
                <w:sz w:val="24"/>
                <w:szCs w:val="24"/>
              </w:rPr>
              <w:t>The report also</w:t>
            </w:r>
            <w:r w:rsidR="004D1FBD" w:rsidRPr="00B262B0">
              <w:rPr>
                <w:rFonts w:ascii="Times New Roman" w:hAnsi="Times New Roman"/>
                <w:sz w:val="24"/>
                <w:szCs w:val="24"/>
              </w:rPr>
              <w:t xml:space="preserve"> </w:t>
            </w:r>
            <w:r w:rsidR="00893071" w:rsidRPr="00B262B0">
              <w:rPr>
                <w:rFonts w:ascii="Times New Roman" w:hAnsi="Times New Roman"/>
                <w:sz w:val="24"/>
                <w:szCs w:val="24"/>
              </w:rPr>
              <w:t xml:space="preserve">stating that “Citizens’ right to access public information has improved through increased transparency of most central government institutions and the publication of 21 standard sets of documents.” </w:t>
            </w:r>
            <w:proofErr w:type="gramStart"/>
            <w:r w:rsidR="00893071" w:rsidRPr="00B262B0">
              <w:rPr>
                <w:rFonts w:ascii="Times New Roman" w:hAnsi="Times New Roman"/>
                <w:sz w:val="24"/>
                <w:szCs w:val="24"/>
              </w:rPr>
              <w:t>However...”Its capacities have remained insufficient to monitor compliance with the proactive disclosure of information requirements” that identify the strengthening of the visibility of the legislation and the Agency in the state system is a key to enabling the citizens right to free access to public and demonstrates that with a Government support (the initiative of 21 doc. published) i.e. joined forces among us state institutions that we can strengthen the legislative implementations in the system.</w:t>
            </w:r>
            <w:proofErr w:type="gramEnd"/>
            <w:r w:rsidR="00893071" w:rsidRPr="00B262B0">
              <w:rPr>
                <w:rFonts w:ascii="Times New Roman" w:hAnsi="Times New Roman"/>
                <w:sz w:val="24"/>
                <w:szCs w:val="24"/>
              </w:rPr>
              <w:t xml:space="preserve">  By introducing modernisation of the working processes with successful digitalisation the same will enable effective implementation of the legislation and promote free access to public information to be opened by state institutions and improve the legislative usage, hence produce transparent and accountable government and state system both on local and regional state level”.  </w:t>
            </w:r>
            <w:r w:rsidR="00493559" w:rsidRPr="00B262B0">
              <w:rPr>
                <w:rFonts w:ascii="Times New Roman" w:hAnsi="Times New Roman"/>
                <w:sz w:val="24"/>
                <w:szCs w:val="24"/>
              </w:rPr>
              <w:t xml:space="preserve">The </w:t>
            </w:r>
            <w:r w:rsidR="00493559" w:rsidRPr="00B262B0">
              <w:rPr>
                <w:rFonts w:ascii="Times New Roman" w:hAnsi="Times New Roman"/>
                <w:bCs/>
                <w:sz w:val="24"/>
                <w:szCs w:val="24"/>
              </w:rPr>
              <w:t>Report</w:t>
            </w:r>
            <w:r w:rsidR="004D1FBD" w:rsidRPr="00B262B0">
              <w:rPr>
                <w:rFonts w:ascii="Times New Roman" w:hAnsi="Times New Roman"/>
                <w:bCs/>
                <w:sz w:val="24"/>
                <w:szCs w:val="24"/>
              </w:rPr>
              <w:t xml:space="preserve"> </w:t>
            </w:r>
            <w:r w:rsidR="00493559" w:rsidRPr="00B262B0">
              <w:rPr>
                <w:rFonts w:ascii="Times New Roman" w:hAnsi="Times New Roman"/>
                <w:sz w:val="24"/>
                <w:szCs w:val="24"/>
              </w:rPr>
              <w:t xml:space="preserve">on Chapter 18 Statistics clearly notes that continued efforts </w:t>
            </w:r>
            <w:proofErr w:type="gramStart"/>
            <w:r w:rsidR="00493559" w:rsidRPr="00B262B0">
              <w:rPr>
                <w:rFonts w:ascii="Times New Roman" w:hAnsi="Times New Roman"/>
                <w:sz w:val="24"/>
                <w:szCs w:val="24"/>
              </w:rPr>
              <w:t>are needed</w:t>
            </w:r>
            <w:proofErr w:type="gramEnd"/>
            <w:r w:rsidR="00493559" w:rsidRPr="00B262B0">
              <w:rPr>
                <w:rFonts w:ascii="Times New Roman" w:hAnsi="Times New Roman"/>
                <w:sz w:val="24"/>
                <w:szCs w:val="24"/>
              </w:rPr>
              <w:t xml:space="preserve"> to improve the scope and data quality of macroeconomic, social, agricultural and environmental statistics. </w:t>
            </w:r>
          </w:p>
          <w:p w:rsidR="00690119" w:rsidRPr="00B262B0" w:rsidRDefault="00690119" w:rsidP="00752CE5">
            <w:pPr>
              <w:spacing w:after="0" w:line="240" w:lineRule="auto"/>
              <w:jc w:val="both"/>
              <w:rPr>
                <w:rFonts w:ascii="Times New Roman" w:hAnsi="Times New Roman"/>
                <w:b/>
                <w:bCs/>
                <w:iCs/>
                <w:sz w:val="24"/>
                <w:szCs w:val="24"/>
              </w:rPr>
            </w:pPr>
          </w:p>
          <w:p w:rsidR="003B0E44" w:rsidRPr="00B262B0" w:rsidRDefault="001F72E8" w:rsidP="00902D84">
            <w:pPr>
              <w:spacing w:after="0" w:line="240" w:lineRule="auto"/>
              <w:jc w:val="both"/>
              <w:rPr>
                <w:rFonts w:ascii="Times New Roman" w:hAnsi="Times New Roman"/>
                <w:sz w:val="24"/>
                <w:szCs w:val="24"/>
              </w:rPr>
            </w:pPr>
            <w:r w:rsidRPr="00B262B0">
              <w:rPr>
                <w:rFonts w:ascii="Times New Roman" w:eastAsia="Arial Unicode MS" w:hAnsi="Times New Roman"/>
                <w:sz w:val="24"/>
                <w:szCs w:val="24"/>
                <w:lang w:eastAsia="de-DE"/>
              </w:rPr>
              <w:t xml:space="preserve">Regarding the Commission Communication </w:t>
            </w:r>
            <w:r w:rsidRPr="00B262B0">
              <w:rPr>
                <w:rFonts w:ascii="Times New Roman" w:eastAsia="Arial Unicode MS" w:hAnsi="Times New Roman"/>
                <w:b/>
                <w:sz w:val="24"/>
                <w:szCs w:val="24"/>
                <w:lang w:eastAsia="de-DE"/>
              </w:rPr>
              <w:t>"A credible enlargement perspective for and enhanced EU engagement with the Western Balkans" (COM(2018)65),</w:t>
            </w:r>
            <w:r w:rsidRPr="00B262B0">
              <w:rPr>
                <w:rFonts w:ascii="Times New Roman" w:hAnsi="Times New Roman"/>
                <w:sz w:val="24"/>
                <w:szCs w:val="24"/>
              </w:rPr>
              <w:t xml:space="preserve">this Action </w:t>
            </w:r>
            <w:r w:rsidR="00023890" w:rsidRPr="00B262B0">
              <w:rPr>
                <w:rFonts w:ascii="Times New Roman" w:hAnsi="Times New Roman"/>
                <w:sz w:val="24"/>
                <w:szCs w:val="24"/>
              </w:rPr>
              <w:t xml:space="preserve">is in line with </w:t>
            </w:r>
            <w:r w:rsidR="00023890" w:rsidRPr="00B262B0">
              <w:rPr>
                <w:rFonts w:ascii="Times New Roman" w:hAnsi="Times New Roman"/>
                <w:bCs/>
                <w:sz w:val="24"/>
                <w:szCs w:val="24"/>
              </w:rPr>
              <w:t>strategy,</w:t>
            </w:r>
            <w:r w:rsidR="00023890" w:rsidRPr="00B262B0">
              <w:rPr>
                <w:rFonts w:ascii="Times New Roman" w:hAnsi="Times New Roman"/>
                <w:sz w:val="24"/>
                <w:szCs w:val="24"/>
              </w:rPr>
              <w:t xml:space="preserve"> which highlight the importance of transformation of the public services to citizens and public administration reform as a core issue for EU Accession process. Although it will have positive indirect effect on all </w:t>
            </w:r>
            <w:proofErr w:type="gramStart"/>
            <w:r w:rsidR="00023890" w:rsidRPr="00B262B0">
              <w:rPr>
                <w:rFonts w:ascii="Times New Roman" w:hAnsi="Times New Roman"/>
                <w:sz w:val="24"/>
                <w:szCs w:val="24"/>
              </w:rPr>
              <w:t>six core</w:t>
            </w:r>
            <w:proofErr w:type="gramEnd"/>
            <w:r w:rsidR="00023890" w:rsidRPr="00B262B0">
              <w:rPr>
                <w:rFonts w:ascii="Times New Roman" w:hAnsi="Times New Roman"/>
                <w:sz w:val="24"/>
                <w:szCs w:val="24"/>
              </w:rPr>
              <w:t xml:space="preserve"> </w:t>
            </w:r>
            <w:r w:rsidR="00023890" w:rsidRPr="00B262B0">
              <w:rPr>
                <w:rFonts w:ascii="Times New Roman" w:hAnsi="Times New Roman"/>
                <w:bCs/>
                <w:sz w:val="24"/>
                <w:szCs w:val="24"/>
              </w:rPr>
              <w:t>SIGMA principles of a well-functioning public administration,</w:t>
            </w:r>
            <w:r w:rsidR="00023890" w:rsidRPr="00B262B0">
              <w:rPr>
                <w:rFonts w:ascii="Times New Roman" w:hAnsi="Times New Roman"/>
                <w:sz w:val="24"/>
                <w:szCs w:val="24"/>
              </w:rPr>
              <w:t xml:space="preserve"> it will particularly strengthen the mechanisms and technical preparedness of the country for provision of high-quality public services. Along with the technical preparedness of the country, acquiring adequate digital skills of the administration is a precondition for effective actions. </w:t>
            </w:r>
            <w:r w:rsidR="00893071" w:rsidRPr="00B262B0">
              <w:rPr>
                <w:rFonts w:ascii="Times New Roman" w:hAnsi="Times New Roman"/>
                <w:sz w:val="24"/>
                <w:szCs w:val="24"/>
              </w:rPr>
              <w:t xml:space="preserve">The Action also supports the establishment of “stricter compliance rules for public officials and accessible information and complaints mechanisms for citizens”, in line with the Western Balkan Strategy. </w:t>
            </w:r>
            <w:r w:rsidR="003B0E44" w:rsidRPr="00B262B0">
              <w:rPr>
                <w:rFonts w:ascii="Times New Roman" w:hAnsi="Times New Roman"/>
                <w:sz w:val="24"/>
                <w:szCs w:val="24"/>
              </w:rPr>
              <w:t xml:space="preserve">The national statistical system will </w:t>
            </w:r>
            <w:r w:rsidR="00E45CAE" w:rsidRPr="00B262B0">
              <w:rPr>
                <w:rFonts w:ascii="Times New Roman" w:hAnsi="Times New Roman"/>
                <w:sz w:val="24"/>
                <w:szCs w:val="24"/>
              </w:rPr>
              <w:t xml:space="preserve">also </w:t>
            </w:r>
            <w:r w:rsidR="003B0E44" w:rsidRPr="00B262B0">
              <w:rPr>
                <w:rFonts w:ascii="Times New Roman" w:hAnsi="Times New Roman"/>
                <w:sz w:val="24"/>
                <w:szCs w:val="24"/>
              </w:rPr>
              <w:t xml:space="preserve">support initiatives of the Western Balkans Strategy by delivering statistical data for the needs of the Strategy. </w:t>
            </w:r>
            <w:proofErr w:type="gramStart"/>
            <w:r w:rsidR="003B0E44" w:rsidRPr="00B262B0">
              <w:rPr>
                <w:rFonts w:ascii="Times New Roman" w:hAnsi="Times New Roman"/>
                <w:sz w:val="24"/>
                <w:szCs w:val="24"/>
              </w:rPr>
              <w:t xml:space="preserve">By providing relevant information based on an enhanced impact indicators and assessment this action will contribute to the action point 3.10 from the </w:t>
            </w:r>
            <w:r w:rsidR="003B0E44" w:rsidRPr="00B262B0">
              <w:rPr>
                <w:rFonts w:ascii="Times New Roman" w:hAnsi="Times New Roman"/>
                <w:bCs/>
                <w:sz w:val="24"/>
                <w:szCs w:val="24"/>
              </w:rPr>
              <w:t>Western Balkans Strategy</w:t>
            </w:r>
            <w:r w:rsidR="003B0E44" w:rsidRPr="00B262B0">
              <w:rPr>
                <w:rFonts w:ascii="Times New Roman" w:hAnsi="Times New Roman"/>
                <w:sz w:val="24"/>
                <w:szCs w:val="24"/>
              </w:rPr>
              <w:t xml:space="preserve"> stating that the country should further strengthen the economic reform programme exercise by bringing it closer in line with the existing European Semester for EU Member States, strengthening technical assistance and further integrating the priorities of the economic reform programmes and the ministerial policy guidance in Instrument for pre-Accession Assistance programming.</w:t>
            </w:r>
            <w:proofErr w:type="gramEnd"/>
          </w:p>
          <w:p w:rsidR="003B0E44" w:rsidRPr="00B262B0" w:rsidRDefault="003B0E44" w:rsidP="00752CE5">
            <w:pPr>
              <w:spacing w:after="0" w:line="240" w:lineRule="auto"/>
              <w:jc w:val="both"/>
              <w:rPr>
                <w:rFonts w:ascii="Times New Roman" w:hAnsi="Times New Roman"/>
                <w:b/>
                <w:bCs/>
                <w:iCs/>
                <w:sz w:val="24"/>
                <w:szCs w:val="24"/>
              </w:rPr>
            </w:pPr>
          </w:p>
          <w:p w:rsidR="00B842E7" w:rsidRPr="00B262B0" w:rsidRDefault="00893071" w:rsidP="00AB638C">
            <w:pPr>
              <w:suppressAutoHyphens/>
              <w:spacing w:after="120" w:line="240" w:lineRule="auto"/>
              <w:jc w:val="both"/>
              <w:rPr>
                <w:rFonts w:ascii="Times New Roman" w:hAnsi="Times New Roman"/>
                <w:color w:val="000000"/>
                <w:sz w:val="24"/>
                <w:szCs w:val="24"/>
              </w:rPr>
            </w:pPr>
            <w:proofErr w:type="gramStart"/>
            <w:r w:rsidRPr="00B262B0">
              <w:rPr>
                <w:rFonts w:ascii="Times New Roman" w:hAnsi="Times New Roman"/>
                <w:sz w:val="24"/>
                <w:szCs w:val="24"/>
              </w:rPr>
              <w:t xml:space="preserve">Additionally, the action is also in line with the recommendations of the ninth meeting of the </w:t>
            </w:r>
            <w:r w:rsidRPr="00B262B0">
              <w:rPr>
                <w:rFonts w:ascii="Times New Roman" w:hAnsi="Times New Roman"/>
                <w:b/>
                <w:bCs/>
                <w:sz w:val="24"/>
                <w:szCs w:val="24"/>
              </w:rPr>
              <w:t>Special Group on Public Administration Reform in the framework of the Stabilization and Association Agreement</w:t>
            </w:r>
            <w:r w:rsidRPr="00B262B0">
              <w:rPr>
                <w:rFonts w:ascii="Times New Roman" w:hAnsi="Times New Roman"/>
                <w:sz w:val="24"/>
                <w:szCs w:val="24"/>
              </w:rPr>
              <w:t xml:space="preserve"> held in Skopje on 17 September 2019 asking the </w:t>
            </w:r>
            <w:r w:rsidRPr="00B262B0">
              <w:rPr>
                <w:rFonts w:ascii="Times New Roman" w:hAnsi="Times New Roman"/>
                <w:color w:val="000000"/>
                <w:sz w:val="24"/>
                <w:szCs w:val="24"/>
              </w:rPr>
              <w:t>National authorities to take immediate measures to improve the functioning of the Commission for free access to information and solve outstanding decisions on appeals.</w:t>
            </w:r>
            <w:proofErr w:type="gramEnd"/>
            <w:r w:rsidR="004D1FBD" w:rsidRPr="00B262B0">
              <w:rPr>
                <w:rFonts w:ascii="Times New Roman" w:hAnsi="Times New Roman"/>
                <w:color w:val="000000"/>
                <w:sz w:val="24"/>
                <w:szCs w:val="24"/>
              </w:rPr>
              <w:t xml:space="preserve"> </w:t>
            </w:r>
            <w:r w:rsidR="00B842E7" w:rsidRPr="00B262B0">
              <w:rPr>
                <w:rFonts w:ascii="Times New Roman" w:hAnsi="Times New Roman"/>
                <w:sz w:val="24"/>
                <w:szCs w:val="24"/>
              </w:rPr>
              <w:t xml:space="preserve">Additionally, the action will reflect on the conclusions of the </w:t>
            </w:r>
            <w:r w:rsidR="00B842E7" w:rsidRPr="00B262B0">
              <w:rPr>
                <w:rFonts w:ascii="Times New Roman" w:hAnsi="Times New Roman"/>
                <w:b/>
                <w:bCs/>
                <w:sz w:val="24"/>
                <w:szCs w:val="24"/>
              </w:rPr>
              <w:t>Subcommittee ECFIN and Statistics.</w:t>
            </w:r>
          </w:p>
          <w:p w:rsidR="00FF5E75" w:rsidRPr="00B262B0" w:rsidRDefault="00B5025E" w:rsidP="0098367A">
            <w:pPr>
              <w:spacing w:after="0" w:line="240" w:lineRule="auto"/>
              <w:jc w:val="both"/>
              <w:rPr>
                <w:rFonts w:ascii="Times New Roman" w:hAnsi="Times New Roman"/>
                <w:sz w:val="24"/>
                <w:szCs w:val="24"/>
              </w:rPr>
            </w:pPr>
            <w:r w:rsidRPr="00B262B0">
              <w:rPr>
                <w:rFonts w:ascii="Times New Roman" w:hAnsi="Times New Roman"/>
                <w:sz w:val="24"/>
                <w:szCs w:val="24"/>
              </w:rPr>
              <w:t xml:space="preserve">Furthermore, </w:t>
            </w:r>
            <w:r w:rsidRPr="00B262B0">
              <w:rPr>
                <w:rFonts w:ascii="Times New Roman" w:hAnsi="Times New Roman"/>
                <w:b/>
                <w:sz w:val="24"/>
                <w:szCs w:val="24"/>
              </w:rPr>
              <w:t>Council conclusions on shaping Europe’s digital future (2020/C 202 I/01)</w:t>
            </w:r>
            <w:r w:rsidRPr="00B262B0">
              <w:rPr>
                <w:rFonts w:ascii="Times New Roman" w:hAnsi="Times New Roman"/>
                <w:sz w:val="24"/>
                <w:szCs w:val="24"/>
              </w:rPr>
              <w:t xml:space="preserve"> recognises that building digital skills is an important prerequisite for EU aspirations to become a leader in global digital value chains, innovation and creativity. However, it also notes that the gap of 1 million ICT professionals humpers the digital development potential. This action fully complies with the call to put in place all necessary measures to reskill and upskill the workforce for the digital age. </w:t>
            </w:r>
          </w:p>
          <w:p w:rsidR="007A546B" w:rsidRPr="00B262B0" w:rsidRDefault="007A546B" w:rsidP="0098367A">
            <w:pPr>
              <w:spacing w:after="0" w:line="240" w:lineRule="auto"/>
              <w:jc w:val="both"/>
              <w:rPr>
                <w:rFonts w:ascii="Times New Roman" w:hAnsi="Times New Roman"/>
                <w:sz w:val="24"/>
                <w:szCs w:val="24"/>
              </w:rPr>
            </w:pPr>
          </w:p>
          <w:p w:rsidR="0098367A" w:rsidRPr="00B262B0" w:rsidRDefault="007A546B" w:rsidP="00AB638C">
            <w:pPr>
              <w:spacing w:line="240" w:lineRule="auto"/>
              <w:jc w:val="both"/>
              <w:rPr>
                <w:rFonts w:ascii="Times New Roman" w:hAnsi="Times New Roman"/>
                <w:sz w:val="24"/>
                <w:szCs w:val="24"/>
              </w:rPr>
            </w:pPr>
            <w:r w:rsidRPr="00B262B0">
              <w:rPr>
                <w:rFonts w:ascii="Times New Roman" w:hAnsi="Times New Roman"/>
                <w:sz w:val="24"/>
                <w:szCs w:val="24"/>
              </w:rPr>
              <w:t xml:space="preserve">This Action aims at improving the statistics in North Macedonia through supporting the production of Environmental statistics based on different sources. Part of the Action will contribute to the achievement of the specific objective of the sector for the environment and climate action, as defined in the IPA III Programming Framework, which aims at promoting the </w:t>
            </w:r>
            <w:r w:rsidRPr="00B262B0">
              <w:rPr>
                <w:rFonts w:ascii="Times New Roman" w:hAnsi="Times New Roman"/>
                <w:b/>
                <w:sz w:val="24"/>
                <w:szCs w:val="24"/>
              </w:rPr>
              <w:t>green agenda</w:t>
            </w:r>
            <w:r w:rsidRPr="00B262B0">
              <w:rPr>
                <w:rFonts w:ascii="Times New Roman" w:hAnsi="Times New Roman"/>
                <w:sz w:val="24"/>
                <w:szCs w:val="24"/>
              </w:rPr>
              <w:t xml:space="preserve">. More specifically, the Action will </w:t>
            </w:r>
            <w:r w:rsidRPr="00B262B0">
              <w:rPr>
                <w:rFonts w:ascii="Times New Roman" w:hAnsi="Times New Roman"/>
                <w:sz w:val="24"/>
                <w:szCs w:val="24"/>
              </w:rPr>
              <w:lastRenderedPageBreak/>
              <w:t xml:space="preserve">focus on developing and implementing the modules of the monetary environmental accounts set out </w:t>
            </w:r>
            <w:r w:rsidRPr="00B262B0">
              <w:rPr>
                <w:rFonts w:ascii="Times New Roman" w:hAnsi="Times New Roman"/>
                <w:b/>
                <w:bCs/>
                <w:sz w:val="24"/>
                <w:szCs w:val="24"/>
              </w:rPr>
              <w:t>in Regulation (EU) No 691/2011 and Regulation (EC) No 2150/2002 of the European Parliament and of the Council of 25 November 2002</w:t>
            </w:r>
            <w:r w:rsidRPr="00B262B0">
              <w:rPr>
                <w:rFonts w:ascii="Times New Roman" w:hAnsi="Times New Roman"/>
                <w:sz w:val="24"/>
                <w:szCs w:val="24"/>
              </w:rPr>
              <w:t xml:space="preserve">, on waste statistics. The action will also focus on improving the capacities for production of environmental statistics and compilation of economic environmental </w:t>
            </w:r>
            <w:proofErr w:type="gramStart"/>
            <w:r w:rsidRPr="00B262B0">
              <w:rPr>
                <w:rFonts w:ascii="Times New Roman" w:hAnsi="Times New Roman"/>
                <w:sz w:val="24"/>
                <w:szCs w:val="24"/>
              </w:rPr>
              <w:t>indicators</w:t>
            </w:r>
            <w:r w:rsidR="003E5471" w:rsidRPr="00B262B0">
              <w:rPr>
                <w:rFonts w:ascii="Times New Roman" w:hAnsi="Times New Roman"/>
                <w:sz w:val="24"/>
                <w:szCs w:val="24"/>
              </w:rPr>
              <w:t>(</w:t>
            </w:r>
            <w:proofErr w:type="gramEnd"/>
            <w:r w:rsidR="003E5471" w:rsidRPr="00B262B0">
              <w:rPr>
                <w:rFonts w:ascii="Times New Roman" w:hAnsi="Times New Roman"/>
                <w:sz w:val="24"/>
                <w:szCs w:val="24"/>
              </w:rPr>
              <w:t>including environmental physical and monetary indicators, forestry, energy)</w:t>
            </w:r>
            <w:r w:rsidRPr="00B262B0">
              <w:rPr>
                <w:rFonts w:ascii="Times New Roman" w:hAnsi="Times New Roman"/>
                <w:sz w:val="24"/>
                <w:szCs w:val="24"/>
              </w:rPr>
              <w:t>.</w:t>
            </w:r>
          </w:p>
          <w:p w:rsidR="007A546B" w:rsidRPr="00B262B0" w:rsidRDefault="007A546B" w:rsidP="007A546B">
            <w:pPr>
              <w:spacing w:after="0" w:line="240" w:lineRule="auto"/>
              <w:jc w:val="both"/>
              <w:rPr>
                <w:rFonts w:ascii="Times New Roman" w:hAnsi="Times New Roman"/>
                <w:sz w:val="24"/>
                <w:szCs w:val="24"/>
              </w:rPr>
            </w:pPr>
            <w:r w:rsidRPr="00B262B0">
              <w:rPr>
                <w:rFonts w:ascii="Times New Roman" w:hAnsi="Times New Roman"/>
                <w:sz w:val="24"/>
                <w:szCs w:val="24"/>
              </w:rPr>
              <w:t xml:space="preserve">Regarding social statistics, the </w:t>
            </w:r>
            <w:r w:rsidR="00902D84" w:rsidRPr="00B262B0">
              <w:rPr>
                <w:rFonts w:ascii="Times New Roman" w:hAnsi="Times New Roman"/>
                <w:sz w:val="24"/>
                <w:szCs w:val="24"/>
              </w:rPr>
              <w:t>A</w:t>
            </w:r>
            <w:r w:rsidRPr="00B262B0">
              <w:rPr>
                <w:rFonts w:ascii="Times New Roman" w:hAnsi="Times New Roman"/>
                <w:sz w:val="24"/>
                <w:szCs w:val="24"/>
              </w:rPr>
              <w:t xml:space="preserve">ction will cover the areas of health statistics. In health statistics, it will support the implementation of </w:t>
            </w:r>
            <w:r w:rsidRPr="00B262B0">
              <w:rPr>
                <w:rFonts w:ascii="Times New Roman" w:hAnsi="Times New Roman"/>
                <w:b/>
                <w:bCs/>
                <w:sz w:val="24"/>
                <w:szCs w:val="24"/>
              </w:rPr>
              <w:t>EU Regulation: 1338/2008 on Community statistics on public health and health and safety at work</w:t>
            </w:r>
            <w:r w:rsidRPr="00B262B0">
              <w:rPr>
                <w:rFonts w:ascii="Times New Roman" w:hAnsi="Times New Roman"/>
                <w:sz w:val="24"/>
                <w:szCs w:val="24"/>
              </w:rPr>
              <w:t>. The Regulation lists five domains for which implementing regulations specifying in detail the list of variables and methodological aspects were or are to be developed:</w:t>
            </w:r>
          </w:p>
          <w:p w:rsidR="00902D84" w:rsidRPr="00B262B0" w:rsidRDefault="00902D84" w:rsidP="007A546B">
            <w:pPr>
              <w:spacing w:after="0" w:line="240" w:lineRule="auto"/>
              <w:jc w:val="both"/>
              <w:rPr>
                <w:rFonts w:ascii="Times New Roman" w:hAnsi="Times New Roman"/>
                <w:sz w:val="24"/>
                <w:szCs w:val="24"/>
              </w:rPr>
            </w:pPr>
          </w:p>
          <w:p w:rsidR="007A546B" w:rsidRPr="00B262B0" w:rsidRDefault="007A546B" w:rsidP="007A546B">
            <w:pPr>
              <w:numPr>
                <w:ilvl w:val="0"/>
                <w:numId w:val="19"/>
              </w:numPr>
              <w:spacing w:after="0" w:line="240" w:lineRule="auto"/>
              <w:jc w:val="both"/>
              <w:rPr>
                <w:rFonts w:ascii="Times New Roman" w:hAnsi="Times New Roman"/>
                <w:sz w:val="24"/>
                <w:szCs w:val="24"/>
              </w:rPr>
            </w:pPr>
            <w:r w:rsidRPr="00B262B0">
              <w:rPr>
                <w:rFonts w:ascii="Times New Roman" w:hAnsi="Times New Roman"/>
                <w:sz w:val="24"/>
                <w:szCs w:val="24"/>
              </w:rPr>
              <w:t>Health status and health determinants</w:t>
            </w:r>
          </w:p>
          <w:p w:rsidR="007A546B" w:rsidRPr="00B262B0" w:rsidRDefault="007A546B" w:rsidP="007A546B">
            <w:pPr>
              <w:numPr>
                <w:ilvl w:val="0"/>
                <w:numId w:val="19"/>
              </w:numPr>
              <w:spacing w:after="0" w:line="240" w:lineRule="auto"/>
              <w:jc w:val="both"/>
              <w:rPr>
                <w:rFonts w:ascii="Times New Roman" w:hAnsi="Times New Roman"/>
                <w:sz w:val="24"/>
                <w:szCs w:val="24"/>
              </w:rPr>
            </w:pPr>
            <w:r w:rsidRPr="00B262B0">
              <w:rPr>
                <w:rFonts w:ascii="Times New Roman" w:hAnsi="Times New Roman"/>
                <w:sz w:val="24"/>
                <w:szCs w:val="24"/>
              </w:rPr>
              <w:t>Health care: </w:t>
            </w:r>
            <w:hyperlink r:id="rId8" w:tgtFrame="_blank" w:history="1">
              <w:r w:rsidRPr="00B262B0">
                <w:rPr>
                  <w:rFonts w:ascii="Times New Roman" w:hAnsi="Times New Roman"/>
                  <w:sz w:val="24"/>
                  <w:szCs w:val="24"/>
                </w:rPr>
                <w:t>Regulation (EU) 2015/359 on statistics on health care expenditure and financing</w:t>
              </w:r>
            </w:hyperlink>
            <w:r w:rsidRPr="00B262B0">
              <w:rPr>
                <w:rFonts w:ascii="Times New Roman" w:hAnsi="Times New Roman"/>
                <w:sz w:val="24"/>
                <w:szCs w:val="24"/>
              </w:rPr>
              <w:t> was adopted in 2015</w:t>
            </w:r>
          </w:p>
          <w:p w:rsidR="007A546B" w:rsidRPr="00B262B0" w:rsidRDefault="007A546B" w:rsidP="007A546B">
            <w:pPr>
              <w:numPr>
                <w:ilvl w:val="0"/>
                <w:numId w:val="19"/>
              </w:numPr>
              <w:spacing w:after="0" w:line="240" w:lineRule="auto"/>
              <w:jc w:val="both"/>
              <w:rPr>
                <w:rFonts w:ascii="Times New Roman" w:hAnsi="Times New Roman"/>
                <w:sz w:val="24"/>
                <w:szCs w:val="24"/>
              </w:rPr>
            </w:pPr>
            <w:r w:rsidRPr="00B262B0">
              <w:rPr>
                <w:rFonts w:ascii="Times New Roman" w:hAnsi="Times New Roman"/>
                <w:sz w:val="24"/>
                <w:szCs w:val="24"/>
              </w:rPr>
              <w:t>Causes of death: </w:t>
            </w:r>
            <w:hyperlink r:id="rId9" w:tgtFrame="_blank" w:history="1">
              <w:r w:rsidRPr="00B262B0">
                <w:rPr>
                  <w:rFonts w:ascii="Times New Roman" w:hAnsi="Times New Roman"/>
                  <w:sz w:val="24"/>
                  <w:szCs w:val="24"/>
                </w:rPr>
                <w:t>Regulation (EU) No 328/2011 on statistics on causes of death</w:t>
              </w:r>
            </w:hyperlink>
            <w:r w:rsidRPr="00B262B0">
              <w:rPr>
                <w:rFonts w:ascii="Times New Roman" w:hAnsi="Times New Roman"/>
                <w:sz w:val="24"/>
                <w:szCs w:val="24"/>
              </w:rPr>
              <w:t> was adopted in 2011</w:t>
            </w:r>
          </w:p>
          <w:p w:rsidR="007A546B" w:rsidRPr="00B262B0" w:rsidRDefault="007A546B" w:rsidP="007A546B">
            <w:pPr>
              <w:numPr>
                <w:ilvl w:val="0"/>
                <w:numId w:val="19"/>
              </w:numPr>
              <w:spacing w:after="0" w:line="240" w:lineRule="auto"/>
              <w:jc w:val="both"/>
              <w:rPr>
                <w:rFonts w:ascii="Times New Roman" w:hAnsi="Times New Roman"/>
                <w:sz w:val="24"/>
                <w:szCs w:val="24"/>
              </w:rPr>
            </w:pPr>
            <w:r w:rsidRPr="00B262B0">
              <w:rPr>
                <w:rFonts w:ascii="Times New Roman" w:hAnsi="Times New Roman"/>
                <w:sz w:val="24"/>
                <w:szCs w:val="24"/>
              </w:rPr>
              <w:t>Accidents at work: </w:t>
            </w:r>
            <w:hyperlink r:id="rId10" w:tgtFrame="_blank" w:history="1">
              <w:r w:rsidRPr="00B262B0">
                <w:rPr>
                  <w:rFonts w:ascii="Times New Roman" w:hAnsi="Times New Roman"/>
                  <w:sz w:val="24"/>
                  <w:szCs w:val="24"/>
                </w:rPr>
                <w:t>Regulation (EU) No 349/2011 on statistics on accidents at work</w:t>
              </w:r>
            </w:hyperlink>
            <w:r w:rsidRPr="00B262B0">
              <w:rPr>
                <w:rFonts w:ascii="Times New Roman" w:hAnsi="Times New Roman"/>
                <w:sz w:val="24"/>
                <w:szCs w:val="24"/>
              </w:rPr>
              <w:t> was adopted in 2011</w:t>
            </w:r>
          </w:p>
          <w:p w:rsidR="007A546B" w:rsidRPr="00B262B0" w:rsidRDefault="007A546B" w:rsidP="007A546B">
            <w:pPr>
              <w:numPr>
                <w:ilvl w:val="0"/>
                <w:numId w:val="19"/>
              </w:numPr>
              <w:spacing w:after="0" w:line="240" w:lineRule="auto"/>
              <w:jc w:val="both"/>
              <w:rPr>
                <w:rFonts w:ascii="Times New Roman" w:hAnsi="Times New Roman"/>
                <w:sz w:val="24"/>
                <w:szCs w:val="24"/>
              </w:rPr>
            </w:pPr>
            <w:r w:rsidRPr="00B262B0">
              <w:rPr>
                <w:rFonts w:ascii="Times New Roman" w:hAnsi="Times New Roman"/>
                <w:sz w:val="24"/>
                <w:szCs w:val="24"/>
              </w:rPr>
              <w:t>Occupational diseases and other work-related health problems and illnesses</w:t>
            </w:r>
            <w:r w:rsidR="00902D84" w:rsidRPr="00B262B0">
              <w:rPr>
                <w:rFonts w:ascii="Times New Roman" w:hAnsi="Times New Roman"/>
                <w:sz w:val="24"/>
                <w:szCs w:val="24"/>
              </w:rPr>
              <w:t>.</w:t>
            </w:r>
          </w:p>
          <w:p w:rsidR="00902D84" w:rsidRPr="00B262B0" w:rsidRDefault="00902D84" w:rsidP="00AB638C">
            <w:pPr>
              <w:spacing w:after="0" w:line="240" w:lineRule="auto"/>
              <w:ind w:left="1065"/>
              <w:jc w:val="both"/>
              <w:rPr>
                <w:rFonts w:ascii="Times New Roman" w:hAnsi="Times New Roman"/>
                <w:sz w:val="24"/>
                <w:szCs w:val="24"/>
              </w:rPr>
            </w:pPr>
          </w:p>
          <w:p w:rsidR="007A546B" w:rsidRPr="00B262B0" w:rsidRDefault="00B23A4C" w:rsidP="007A546B">
            <w:pPr>
              <w:spacing w:after="0" w:line="240" w:lineRule="auto"/>
              <w:jc w:val="both"/>
              <w:rPr>
                <w:rFonts w:ascii="Times New Roman" w:hAnsi="Times New Roman"/>
                <w:sz w:val="24"/>
                <w:szCs w:val="24"/>
              </w:rPr>
            </w:pPr>
            <w:hyperlink r:id="rId11" w:tgtFrame="_blank" w:history="1">
              <w:r w:rsidR="007A546B" w:rsidRPr="00B262B0">
                <w:rPr>
                  <w:rFonts w:ascii="Times New Roman" w:hAnsi="Times New Roman"/>
                  <w:b/>
                  <w:bCs/>
                  <w:sz w:val="24"/>
                  <w:szCs w:val="24"/>
                </w:rPr>
                <w:t>Regulation (EU) No 141/2013 on European Health Interview Survey</w:t>
              </w:r>
            </w:hyperlink>
            <w:hyperlink r:id="rId12" w:history="1">
              <w:r w:rsidR="007A546B" w:rsidRPr="00B262B0">
                <w:rPr>
                  <w:rFonts w:ascii="Times New Roman" w:hAnsi="Times New Roman"/>
                  <w:sz w:val="24"/>
                  <w:szCs w:val="24"/>
                </w:rPr>
                <w:t> </w:t>
              </w:r>
            </w:hyperlink>
            <w:r w:rsidR="007A546B" w:rsidRPr="00B262B0">
              <w:rPr>
                <w:rFonts w:ascii="Times New Roman" w:hAnsi="Times New Roman"/>
                <w:sz w:val="24"/>
                <w:szCs w:val="24"/>
              </w:rPr>
              <w:t>covers parts of the first two domains i.e. health status, health determinants and health care. The third wave of EHIS was conducted in 2019, based on the Commission Implementing Regulation (EU) No. 2018/255 of 19 February 2018. The State Statistical Office will conduct EHIS 3 as part of this action.</w:t>
            </w:r>
          </w:p>
          <w:p w:rsidR="007A546B" w:rsidRPr="00B262B0" w:rsidRDefault="007A546B" w:rsidP="007A546B">
            <w:pPr>
              <w:spacing w:after="0" w:line="240" w:lineRule="auto"/>
              <w:jc w:val="both"/>
              <w:rPr>
                <w:rFonts w:ascii="Times New Roman" w:hAnsi="Times New Roman"/>
                <w:sz w:val="24"/>
                <w:szCs w:val="24"/>
              </w:rPr>
            </w:pPr>
          </w:p>
          <w:p w:rsidR="007A546B" w:rsidRPr="00B262B0" w:rsidRDefault="00023890" w:rsidP="007A546B">
            <w:pPr>
              <w:spacing w:after="0" w:line="240" w:lineRule="auto"/>
              <w:jc w:val="both"/>
              <w:rPr>
                <w:rFonts w:ascii="Times New Roman" w:hAnsi="Times New Roman"/>
                <w:iCs/>
                <w:color w:val="FF0000"/>
                <w:sz w:val="24"/>
                <w:szCs w:val="24"/>
              </w:rPr>
            </w:pPr>
            <w:r w:rsidRPr="00B262B0">
              <w:rPr>
                <w:rFonts w:ascii="Times New Roman" w:hAnsi="Times New Roman"/>
                <w:sz w:val="24"/>
                <w:szCs w:val="24"/>
              </w:rPr>
              <w:t>The Action follows the</w:t>
            </w:r>
            <w:r w:rsidR="004D1FBD" w:rsidRPr="00B262B0">
              <w:rPr>
                <w:rFonts w:ascii="Times New Roman" w:hAnsi="Times New Roman"/>
                <w:sz w:val="24"/>
                <w:szCs w:val="24"/>
              </w:rPr>
              <w:t xml:space="preserve"> </w:t>
            </w:r>
            <w:r w:rsidR="00FF5E75" w:rsidRPr="00B262B0">
              <w:rPr>
                <w:rFonts w:ascii="Times New Roman" w:hAnsi="Times New Roman"/>
                <w:b/>
                <w:sz w:val="24"/>
                <w:szCs w:val="24"/>
              </w:rPr>
              <w:t>Economic Reform Programme 2020-2022</w:t>
            </w:r>
            <w:r w:rsidRPr="00B262B0">
              <w:rPr>
                <w:rFonts w:ascii="Times New Roman" w:hAnsi="Times New Roman"/>
                <w:b/>
                <w:sz w:val="24"/>
                <w:szCs w:val="24"/>
              </w:rPr>
              <w:t xml:space="preserve">, </w:t>
            </w:r>
            <w:r w:rsidRPr="00B262B0">
              <w:rPr>
                <w:rFonts w:ascii="Times New Roman" w:hAnsi="Times New Roman"/>
                <w:bCs/>
                <w:sz w:val="24"/>
                <w:szCs w:val="24"/>
              </w:rPr>
              <w:t>which was prepared according to</w:t>
            </w:r>
            <w:r w:rsidR="004D1FBD" w:rsidRPr="00B262B0">
              <w:rPr>
                <w:rFonts w:ascii="Times New Roman" w:hAnsi="Times New Roman"/>
                <w:bCs/>
                <w:sz w:val="24"/>
                <w:szCs w:val="24"/>
              </w:rPr>
              <w:t xml:space="preserve"> </w:t>
            </w:r>
            <w:r w:rsidRPr="00B262B0">
              <w:rPr>
                <w:rFonts w:ascii="Times New Roman" w:hAnsi="Times New Roman"/>
                <w:bCs/>
                <w:sz w:val="24"/>
                <w:szCs w:val="24"/>
              </w:rPr>
              <w:t>the</w:t>
            </w:r>
            <w:r w:rsidR="00FF5E75" w:rsidRPr="00B262B0">
              <w:rPr>
                <w:rFonts w:ascii="Times New Roman" w:hAnsi="Times New Roman"/>
                <w:sz w:val="24"/>
                <w:szCs w:val="24"/>
              </w:rPr>
              <w:t xml:space="preserve"> Guidance for Economic Programs issued by EC in June 2019. </w:t>
            </w:r>
            <w:r w:rsidR="00B5025E" w:rsidRPr="00B262B0">
              <w:rPr>
                <w:rFonts w:ascii="Times New Roman" w:hAnsi="Times New Roman"/>
                <w:sz w:val="24"/>
                <w:szCs w:val="24"/>
              </w:rPr>
              <w:t>The programme recognises that developing a strong digital economy and society largely depends on the availability of both the digital services providers, as well as digital services users. It further clarifies that strategic objectives aimed at developing digital skills do not only account for developing digital skills in the educational system, but also for increasing the digital literacy among all citizens.</w:t>
            </w:r>
            <w:r w:rsidR="007A546B" w:rsidRPr="00B262B0">
              <w:rPr>
                <w:rFonts w:ascii="Times New Roman" w:hAnsi="Times New Roman"/>
                <w:sz w:val="24"/>
                <w:szCs w:val="24"/>
              </w:rPr>
              <w:t xml:space="preserve"> Regarding economic, monetary and financial statistics, the action is directly supportive for the Economic Reform Programme 2020-2022</w:t>
            </w:r>
            <w:r w:rsidR="007A546B" w:rsidRPr="00B262B0">
              <w:rPr>
                <w:rFonts w:ascii="Times New Roman" w:hAnsi="Times New Roman"/>
                <w:bCs/>
                <w:sz w:val="24"/>
                <w:szCs w:val="24"/>
              </w:rPr>
              <w:t xml:space="preserve"> by providing data necessary for producing of indicators for monitoring the implementation of the planned reforms in the areas that will be the focus of this action. More concretely, </w:t>
            </w:r>
            <w:r w:rsidR="007A546B" w:rsidRPr="00B262B0">
              <w:rPr>
                <w:rFonts w:ascii="Times New Roman" w:hAnsi="Times New Roman"/>
                <w:sz w:val="24"/>
                <w:szCs w:val="24"/>
              </w:rPr>
              <w:t xml:space="preserve">this action will address the data gaps noted in the </w:t>
            </w:r>
            <w:r w:rsidR="007A546B" w:rsidRPr="00B262B0">
              <w:rPr>
                <w:rFonts w:ascii="Times New Roman" w:hAnsi="Times New Roman"/>
                <w:b/>
                <w:sz w:val="24"/>
                <w:szCs w:val="24"/>
              </w:rPr>
              <w:t>Progress report on the action plan on economic, monetary and financial statistics for the Western Balkans and Turkey 2020</w:t>
            </w:r>
            <w:r w:rsidR="007A546B" w:rsidRPr="00B262B0">
              <w:rPr>
                <w:rFonts w:ascii="Times New Roman" w:hAnsi="Times New Roman"/>
                <w:sz w:val="24"/>
                <w:szCs w:val="24"/>
              </w:rPr>
              <w:t xml:space="preserve">. </w:t>
            </w:r>
            <w:r w:rsidR="007A546B" w:rsidRPr="00B262B0">
              <w:rPr>
                <w:rFonts w:ascii="Times New Roman" w:hAnsi="Times New Roman"/>
                <w:sz w:val="24"/>
                <w:szCs w:val="24"/>
                <w:lang w:val="en-US"/>
              </w:rPr>
              <w:t xml:space="preserve">The Report states </w:t>
            </w:r>
            <w:r w:rsidR="007A546B" w:rsidRPr="00B262B0">
              <w:rPr>
                <w:rFonts w:ascii="Times New Roman" w:hAnsi="Times New Roman"/>
                <w:sz w:val="24"/>
                <w:szCs w:val="24"/>
              </w:rPr>
              <w:t xml:space="preserve">that for all variables, within BOP and ITSS data, detailed geographical breakdown is still </w:t>
            </w:r>
            <w:r w:rsidR="007A546B" w:rsidRPr="00B262B0">
              <w:rPr>
                <w:rFonts w:ascii="Times New Roman" w:hAnsi="Times New Roman"/>
                <w:sz w:val="24"/>
                <w:szCs w:val="24"/>
              </w:rPr>
              <w:lastRenderedPageBreak/>
              <w:t xml:space="preserve">missing, as data are reported only for ‘total world’. In terms of timeliness, the monthly BOP and quarterly IIP transmissions do not yet comply with Regulation (EU) No 555/2012. </w:t>
            </w:r>
            <w:proofErr w:type="gramStart"/>
            <w:r w:rsidR="007A546B" w:rsidRPr="00B262B0">
              <w:rPr>
                <w:rFonts w:ascii="Times New Roman" w:hAnsi="Times New Roman"/>
                <w:sz w:val="24"/>
                <w:szCs w:val="24"/>
              </w:rPr>
              <w:t>Also</w:t>
            </w:r>
            <w:proofErr w:type="gramEnd"/>
            <w:r w:rsidR="007A546B" w:rsidRPr="00B262B0">
              <w:rPr>
                <w:rFonts w:ascii="Times New Roman" w:hAnsi="Times New Roman"/>
                <w:sz w:val="24"/>
                <w:szCs w:val="24"/>
              </w:rPr>
              <w:t xml:space="preserve">, it is noted </w:t>
            </w:r>
            <w:r w:rsidR="007A546B" w:rsidRPr="00B262B0">
              <w:rPr>
                <w:rFonts w:ascii="Times New Roman" w:hAnsi="Times New Roman"/>
                <w:sz w:val="24"/>
                <w:szCs w:val="24"/>
                <w:lang w:val="en-US"/>
              </w:rPr>
              <w:t xml:space="preserve">that </w:t>
            </w:r>
            <w:r w:rsidR="007A546B" w:rsidRPr="00B262B0">
              <w:rPr>
                <w:rFonts w:ascii="Times New Roman" w:hAnsi="Times New Roman"/>
                <w:sz w:val="24"/>
                <w:szCs w:val="24"/>
              </w:rPr>
              <w:t xml:space="preserve">North Macedonia should look to close the gap in its FDI reporting in order to align with internationally agreed concepts. The progress in this field is largely dependent on the data warehouse project for external statistics. With establishing of a data warehouse, the remarks from the report </w:t>
            </w:r>
            <w:proofErr w:type="gramStart"/>
            <w:r w:rsidR="007A546B" w:rsidRPr="00B262B0">
              <w:rPr>
                <w:rFonts w:ascii="Times New Roman" w:hAnsi="Times New Roman"/>
                <w:sz w:val="24"/>
                <w:szCs w:val="24"/>
              </w:rPr>
              <w:t>will be addressed and handled, as the data warehouse will enable more efficient data production and decreased timeliness for production of the reports, as well as data production and transmission with the required country breakdown</w:t>
            </w:r>
            <w:proofErr w:type="gramEnd"/>
            <w:r w:rsidR="007A546B" w:rsidRPr="00B262B0">
              <w:rPr>
                <w:rFonts w:ascii="Times New Roman" w:hAnsi="Times New Roman"/>
                <w:sz w:val="24"/>
                <w:szCs w:val="24"/>
              </w:rPr>
              <w:t xml:space="preserve">. In view of further strengthening of the statistical system at the National Bank, this action will also include a project of adopting higher level of standardization in payment transactions (according to </w:t>
            </w:r>
            <w:r w:rsidR="007A546B" w:rsidRPr="00B262B0">
              <w:rPr>
                <w:rFonts w:ascii="Times New Roman" w:hAnsi="Times New Roman"/>
                <w:iCs/>
                <w:sz w:val="24"/>
                <w:szCs w:val="24"/>
              </w:rPr>
              <w:t>new payment messages standard of ISO 20022)</w:t>
            </w:r>
            <w:r w:rsidR="007A546B" w:rsidRPr="00B262B0">
              <w:rPr>
                <w:rFonts w:ascii="Times New Roman" w:hAnsi="Times New Roman"/>
                <w:sz w:val="24"/>
                <w:szCs w:val="24"/>
              </w:rPr>
              <w:t xml:space="preserve">, as the payments system is a basis for the payment statistics provided by the National Bank. </w:t>
            </w:r>
            <w:r w:rsidR="007A546B" w:rsidRPr="00B262B0">
              <w:rPr>
                <w:rFonts w:ascii="Times New Roman" w:hAnsi="Times New Roman"/>
                <w:iCs/>
                <w:sz w:val="24"/>
                <w:szCs w:val="24"/>
              </w:rPr>
              <w:t xml:space="preserve">The necessity to adopt this standard </w:t>
            </w:r>
            <w:proofErr w:type="gramStart"/>
            <w:r w:rsidR="007A546B" w:rsidRPr="00B262B0">
              <w:rPr>
                <w:rFonts w:ascii="Times New Roman" w:hAnsi="Times New Roman"/>
                <w:iCs/>
                <w:sz w:val="24"/>
                <w:szCs w:val="24"/>
              </w:rPr>
              <w:t>is particularly emphasized</w:t>
            </w:r>
            <w:proofErr w:type="gramEnd"/>
            <w:r w:rsidR="007A546B" w:rsidRPr="00B262B0">
              <w:rPr>
                <w:rFonts w:ascii="Times New Roman" w:hAnsi="Times New Roman"/>
                <w:iCs/>
                <w:sz w:val="24"/>
                <w:szCs w:val="24"/>
              </w:rPr>
              <w:t xml:space="preserve"> due to the planed migration of the Euro system payment infrastructure to ISO 20022 </w:t>
            </w:r>
            <w:r w:rsidR="007A546B" w:rsidRPr="00B262B0">
              <w:rPr>
                <w:rFonts w:ascii="Times New Roman" w:hAnsi="Times New Roman"/>
                <w:bCs/>
                <w:iCs/>
                <w:sz w:val="24"/>
                <w:szCs w:val="24"/>
              </w:rPr>
              <w:t>in November 2021</w:t>
            </w:r>
            <w:r w:rsidR="007A546B" w:rsidRPr="00B262B0">
              <w:rPr>
                <w:rFonts w:ascii="Times New Roman" w:hAnsi="Times New Roman"/>
                <w:iCs/>
                <w:sz w:val="24"/>
                <w:szCs w:val="24"/>
              </w:rPr>
              <w:t>, given that MIPS is already connected to TARGET 2 payment system in line with the recommendation from the Report on the Needs Analysis for the NBRNM, conducted by the ESCB (2013).</w:t>
            </w:r>
          </w:p>
          <w:p w:rsidR="00630E96" w:rsidRPr="00B262B0" w:rsidRDefault="00630E96" w:rsidP="00752CE5">
            <w:pPr>
              <w:spacing w:after="0" w:line="240" w:lineRule="auto"/>
              <w:jc w:val="both"/>
              <w:rPr>
                <w:rFonts w:ascii="Times New Roman" w:hAnsi="Times New Roman"/>
                <w:sz w:val="24"/>
                <w:szCs w:val="24"/>
              </w:rPr>
            </w:pPr>
          </w:p>
          <w:p w:rsidR="00732040" w:rsidRPr="00B262B0" w:rsidRDefault="00630E96" w:rsidP="00902D84">
            <w:pPr>
              <w:spacing w:after="0" w:line="240" w:lineRule="auto"/>
              <w:jc w:val="both"/>
              <w:rPr>
                <w:rFonts w:ascii="Times New Roman" w:hAnsi="Times New Roman"/>
                <w:b/>
                <w:bCs/>
                <w:sz w:val="24"/>
                <w:szCs w:val="24"/>
              </w:rPr>
            </w:pPr>
            <w:r w:rsidRPr="00B262B0">
              <w:rPr>
                <w:rFonts w:ascii="Times New Roman" w:hAnsi="Times New Roman"/>
                <w:sz w:val="24"/>
                <w:szCs w:val="24"/>
              </w:rPr>
              <w:t xml:space="preserve">The </w:t>
            </w:r>
            <w:r w:rsidR="00902D84" w:rsidRPr="00B262B0">
              <w:rPr>
                <w:rFonts w:ascii="Times New Roman" w:hAnsi="Times New Roman"/>
                <w:sz w:val="24"/>
                <w:szCs w:val="24"/>
              </w:rPr>
              <w:t xml:space="preserve">Action </w:t>
            </w:r>
            <w:r w:rsidRPr="00B262B0">
              <w:rPr>
                <w:rFonts w:ascii="Times New Roman" w:hAnsi="Times New Roman"/>
                <w:sz w:val="24"/>
                <w:szCs w:val="24"/>
              </w:rPr>
              <w:t xml:space="preserve">takes in consideration the priorities set out in the </w:t>
            </w:r>
            <w:r w:rsidRPr="00B262B0">
              <w:rPr>
                <w:rFonts w:ascii="Times New Roman" w:hAnsi="Times New Roman"/>
                <w:b/>
                <w:bCs/>
                <w:sz w:val="24"/>
                <w:szCs w:val="24"/>
              </w:rPr>
              <w:t>National Programme for Adoption of the Acquis</w:t>
            </w:r>
            <w:r w:rsidR="00902D84" w:rsidRPr="00B262B0">
              <w:rPr>
                <w:rFonts w:ascii="Times New Roman" w:hAnsi="Times New Roman"/>
                <w:b/>
                <w:bCs/>
                <w:sz w:val="24"/>
                <w:szCs w:val="24"/>
              </w:rPr>
              <w:t>.</w:t>
            </w:r>
          </w:p>
        </w:tc>
      </w:tr>
      <w:tr w:rsidR="00D92F6C" w:rsidRPr="00B262B0" w:rsidTr="0090686E">
        <w:trPr>
          <w:jc w:val="center"/>
        </w:trPr>
        <w:tc>
          <w:tcPr>
            <w:tcW w:w="534" w:type="dxa"/>
            <w:vMerge/>
            <w:tcBorders>
              <w:left w:val="single" w:sz="4" w:space="0" w:color="auto"/>
              <w:right w:val="single" w:sz="4" w:space="0" w:color="auto"/>
            </w:tcBorders>
          </w:tcPr>
          <w:p w:rsidR="00D92F6C" w:rsidRPr="00B262B0" w:rsidRDefault="00D92F6C" w:rsidP="00392B54">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B262B0" w:rsidRDefault="00D92F6C" w:rsidP="00392B54">
            <w:pPr>
              <w:spacing w:after="0"/>
              <w:rPr>
                <w:rFonts w:ascii="Times New Roman" w:hAnsi="Times New Roman"/>
                <w:sz w:val="24"/>
                <w:szCs w:val="24"/>
              </w:rPr>
            </w:pPr>
            <w:r w:rsidRPr="00B262B0">
              <w:rPr>
                <w:rFonts w:ascii="Times New Roman" w:hAnsi="Times New Roman"/>
                <w:sz w:val="24"/>
                <w:szCs w:val="24"/>
              </w:rPr>
              <w:t>Links with national, regional and global strategies</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5323BF" w:rsidRPr="00B262B0" w:rsidRDefault="005323BF" w:rsidP="005323BF">
            <w:pPr>
              <w:spacing w:after="120" w:line="240" w:lineRule="auto"/>
              <w:jc w:val="both"/>
              <w:rPr>
                <w:rFonts w:ascii="Times New Roman" w:eastAsia="Arial Unicode MS" w:hAnsi="Times New Roman"/>
                <w:sz w:val="24"/>
                <w:szCs w:val="24"/>
                <w:lang w:eastAsia="de-DE"/>
              </w:rPr>
            </w:pPr>
            <w:r w:rsidRPr="00B262B0">
              <w:rPr>
                <w:rFonts w:ascii="Times New Roman" w:eastAsia="Arial Unicode MS" w:hAnsi="Times New Roman"/>
                <w:sz w:val="24"/>
                <w:szCs w:val="24"/>
                <w:lang w:eastAsia="de-DE"/>
              </w:rPr>
              <w:t xml:space="preserve">The proposed Action is in line with national, regional and global strategies in the field of </w:t>
            </w:r>
            <w:r w:rsidR="00A45B57" w:rsidRPr="00B262B0">
              <w:rPr>
                <w:rFonts w:ascii="Times New Roman" w:eastAsia="Arial Unicode MS" w:hAnsi="Times New Roman"/>
                <w:sz w:val="24"/>
                <w:szCs w:val="24"/>
                <w:lang w:eastAsia="de-DE"/>
              </w:rPr>
              <w:t xml:space="preserve">good governance and digitalisation. </w:t>
            </w:r>
          </w:p>
          <w:p w:rsidR="001F72E8" w:rsidRPr="00B262B0" w:rsidRDefault="001F72E8" w:rsidP="001F72E8">
            <w:pPr>
              <w:spacing w:after="120" w:line="240" w:lineRule="auto"/>
              <w:jc w:val="both"/>
              <w:rPr>
                <w:rFonts w:ascii="Times New Roman" w:hAnsi="Times New Roman"/>
                <w:b/>
                <w:bCs/>
                <w:sz w:val="24"/>
                <w:szCs w:val="24"/>
              </w:rPr>
            </w:pPr>
            <w:r w:rsidRPr="00B262B0">
              <w:rPr>
                <w:rFonts w:ascii="Times New Roman" w:eastAsia="Arial Unicode MS" w:hAnsi="Times New Roman"/>
                <w:sz w:val="24"/>
                <w:szCs w:val="24"/>
                <w:lang w:eastAsia="de-DE"/>
              </w:rPr>
              <w:t xml:space="preserve">The Action is in full harmony with the objectives of the following </w:t>
            </w:r>
            <w:r w:rsidRPr="00B262B0">
              <w:rPr>
                <w:rFonts w:ascii="Times New Roman" w:eastAsia="Arial Unicode MS" w:hAnsi="Times New Roman"/>
                <w:b/>
                <w:bCs/>
                <w:sz w:val="24"/>
                <w:szCs w:val="24"/>
                <w:lang w:eastAsia="de-DE"/>
              </w:rPr>
              <w:t xml:space="preserve">global and regional strategies: </w:t>
            </w:r>
          </w:p>
          <w:p w:rsidR="00FF5E75" w:rsidRPr="00B262B0" w:rsidRDefault="00FF5E75"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 xml:space="preserve">The Action is in harmony with the objectives of </w:t>
            </w:r>
            <w:r w:rsidRPr="00B262B0">
              <w:rPr>
                <w:rFonts w:ascii="Times New Roman" w:hAnsi="Times New Roman"/>
                <w:b/>
                <w:sz w:val="24"/>
                <w:szCs w:val="24"/>
              </w:rPr>
              <w:t xml:space="preserve">2030 Agenda for Sustainable Development, </w:t>
            </w:r>
            <w:r w:rsidRPr="00B262B0">
              <w:rPr>
                <w:rFonts w:ascii="Times New Roman" w:hAnsi="Times New Roman"/>
                <w:bCs/>
                <w:sz w:val="24"/>
                <w:szCs w:val="24"/>
              </w:rPr>
              <w:t>m</w:t>
            </w:r>
            <w:r w:rsidRPr="00B262B0">
              <w:rPr>
                <w:rFonts w:ascii="Times New Roman" w:hAnsi="Times New Roman"/>
                <w:bCs/>
                <w:iCs/>
                <w:sz w:val="24"/>
                <w:szCs w:val="24"/>
              </w:rPr>
              <w:t>o</w:t>
            </w:r>
            <w:r w:rsidRPr="00B262B0">
              <w:rPr>
                <w:rFonts w:ascii="Times New Roman" w:hAnsi="Times New Roman"/>
                <w:iCs/>
                <w:sz w:val="24"/>
                <w:szCs w:val="24"/>
              </w:rPr>
              <w:t>re specifically, with priority No 8: Decent work and economic growth, No 9: Industry, innovation and infrastructure</w:t>
            </w:r>
            <w:proofErr w:type="gramStart"/>
            <w:r w:rsidRPr="00B262B0">
              <w:rPr>
                <w:rFonts w:ascii="Times New Roman" w:hAnsi="Times New Roman"/>
                <w:iCs/>
                <w:sz w:val="24"/>
                <w:szCs w:val="24"/>
              </w:rPr>
              <w:t>;</w:t>
            </w:r>
            <w:proofErr w:type="gramEnd"/>
            <w:r w:rsidRPr="00B262B0">
              <w:rPr>
                <w:rFonts w:ascii="Times New Roman" w:hAnsi="Times New Roman"/>
                <w:iCs/>
                <w:sz w:val="24"/>
                <w:szCs w:val="24"/>
              </w:rPr>
              <w:t xml:space="preserve"> No 11: Sustainable cities and communities.</w:t>
            </w:r>
          </w:p>
          <w:p w:rsidR="009D469B" w:rsidRPr="00B262B0" w:rsidRDefault="00023890"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The m</w:t>
            </w:r>
            <w:r w:rsidR="00FF5E75" w:rsidRPr="00B262B0">
              <w:rPr>
                <w:rFonts w:ascii="Times New Roman" w:hAnsi="Times New Roman"/>
                <w:sz w:val="24"/>
                <w:szCs w:val="24"/>
              </w:rPr>
              <w:t xml:space="preserve">easures are fully in line with </w:t>
            </w:r>
            <w:r w:rsidR="00FF5E75" w:rsidRPr="00B262B0">
              <w:rPr>
                <w:rFonts w:ascii="Times New Roman" w:hAnsi="Times New Roman"/>
                <w:b/>
                <w:sz w:val="24"/>
                <w:szCs w:val="24"/>
              </w:rPr>
              <w:t>Digital Agenda for the Western Balkans</w:t>
            </w:r>
            <w:r w:rsidR="00FF5E75" w:rsidRPr="00B262B0">
              <w:rPr>
                <w:rFonts w:ascii="Times New Roman" w:hAnsi="Times New Roman"/>
                <w:sz w:val="24"/>
                <w:szCs w:val="24"/>
              </w:rPr>
              <w:t>, which aims to strengthen the digital economy and society</w:t>
            </w:r>
            <w:r w:rsidR="0071211F" w:rsidRPr="00B262B0">
              <w:rPr>
                <w:rFonts w:ascii="Times New Roman" w:hAnsi="Times New Roman"/>
                <w:sz w:val="24"/>
                <w:szCs w:val="24"/>
              </w:rPr>
              <w:t xml:space="preserve">, </w:t>
            </w:r>
            <w:r w:rsidR="00FF5E75" w:rsidRPr="00B262B0">
              <w:rPr>
                <w:rFonts w:ascii="Times New Roman" w:hAnsi="Times New Roman"/>
                <w:sz w:val="24"/>
                <w:szCs w:val="24"/>
              </w:rPr>
              <w:t>transform the public services</w:t>
            </w:r>
            <w:r w:rsidR="0071211F" w:rsidRPr="00B262B0">
              <w:rPr>
                <w:rFonts w:ascii="Times New Roman" w:hAnsi="Times New Roman"/>
                <w:sz w:val="24"/>
                <w:szCs w:val="24"/>
              </w:rPr>
              <w:t xml:space="preserve"> and recognizes the necessity to improve the digital infrastructure as a precondition for digital transformation. </w:t>
            </w:r>
          </w:p>
          <w:p w:rsidR="00B5025E" w:rsidRPr="00B262B0" w:rsidRDefault="00B5025E"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 xml:space="preserve">The action is completely in line with the </w:t>
            </w:r>
            <w:r w:rsidRPr="00B262B0">
              <w:rPr>
                <w:rFonts w:ascii="Times New Roman" w:hAnsi="Times New Roman"/>
                <w:b/>
                <w:sz w:val="24"/>
                <w:szCs w:val="24"/>
              </w:rPr>
              <w:t>Digital Single Market Strategy</w:t>
            </w:r>
            <w:r w:rsidR="004D1FBD" w:rsidRPr="00B262B0">
              <w:rPr>
                <w:rFonts w:ascii="Times New Roman" w:hAnsi="Times New Roman"/>
                <w:b/>
                <w:sz w:val="24"/>
                <w:szCs w:val="24"/>
              </w:rPr>
              <w:t xml:space="preserve"> </w:t>
            </w:r>
            <w:r w:rsidRPr="00B262B0">
              <w:rPr>
                <w:rFonts w:ascii="Times New Roman" w:hAnsi="Times New Roman"/>
                <w:b/>
                <w:bCs/>
                <w:sz w:val="24"/>
                <w:szCs w:val="24"/>
              </w:rPr>
              <w:t>for Europe</w:t>
            </w:r>
            <w:r w:rsidRPr="00B262B0">
              <w:rPr>
                <w:rFonts w:ascii="Times New Roman" w:hAnsi="Times New Roman"/>
                <w:sz w:val="24"/>
                <w:szCs w:val="24"/>
              </w:rPr>
              <w:t xml:space="preserve"> that identified digital skills as one of the key elements to maximise the growth potential of the digital economy and to achieve an inclusive digital Europe.</w:t>
            </w:r>
          </w:p>
          <w:p w:rsidR="00A70B2A" w:rsidRPr="00B262B0" w:rsidRDefault="00A70B2A"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 xml:space="preserve">The action is fully in line with </w:t>
            </w:r>
            <w:r w:rsidRPr="00B262B0">
              <w:rPr>
                <w:rFonts w:ascii="Times New Roman" w:hAnsi="Times New Roman"/>
                <w:b/>
                <w:bCs/>
                <w:sz w:val="24"/>
                <w:szCs w:val="24"/>
              </w:rPr>
              <w:t>the European Commission Digital Strategy</w:t>
            </w:r>
            <w:r w:rsidRPr="00B262B0">
              <w:rPr>
                <w:rFonts w:ascii="Times New Roman" w:hAnsi="Times New Roman"/>
                <w:sz w:val="24"/>
                <w:szCs w:val="24"/>
              </w:rPr>
              <w:t>, which pays particular attention on the consolidation of data centres to allow maximum efficiency in cost and usage.</w:t>
            </w:r>
          </w:p>
          <w:p w:rsidR="00A70B2A" w:rsidRPr="00B262B0" w:rsidRDefault="00A70B2A"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 xml:space="preserve">Consolidation of data centres is also one of the five themes of the </w:t>
            </w:r>
            <w:r w:rsidRPr="00B262B0">
              <w:rPr>
                <w:rFonts w:ascii="Times New Roman" w:hAnsi="Times New Roman"/>
                <w:b/>
                <w:bCs/>
                <w:sz w:val="24"/>
                <w:szCs w:val="24"/>
              </w:rPr>
              <w:t>Management Plan of the Directorate General for Informatics</w:t>
            </w:r>
            <w:r w:rsidRPr="00B262B0">
              <w:rPr>
                <w:rFonts w:ascii="Times New Roman" w:hAnsi="Times New Roman"/>
                <w:sz w:val="24"/>
                <w:szCs w:val="24"/>
              </w:rPr>
              <w:t xml:space="preserve">. DIGIT's third priority is the creation of the data </w:t>
            </w:r>
            <w:r w:rsidRPr="00B262B0">
              <w:rPr>
                <w:rFonts w:ascii="Times New Roman" w:hAnsi="Times New Roman"/>
                <w:sz w:val="24"/>
                <w:szCs w:val="24"/>
              </w:rPr>
              <w:lastRenderedPageBreak/>
              <w:t>centre of the future by modernising the data centre operations (specific objective 5) and by consolidating local data centres (specific objective 6) as mandated by the ABM and IT Steering Group in 2014.</w:t>
            </w:r>
          </w:p>
          <w:p w:rsidR="00A70B2A" w:rsidRPr="00B262B0" w:rsidRDefault="00A70B2A"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 xml:space="preserve">The action is compliant to </w:t>
            </w:r>
            <w:r w:rsidRPr="00B262B0">
              <w:rPr>
                <w:rFonts w:ascii="Times New Roman" w:hAnsi="Times New Roman"/>
                <w:b/>
                <w:bCs/>
                <w:sz w:val="24"/>
                <w:szCs w:val="24"/>
              </w:rPr>
              <w:t>European Green Deal</w:t>
            </w:r>
            <w:r w:rsidRPr="00B262B0">
              <w:rPr>
                <w:rFonts w:ascii="Times New Roman" w:hAnsi="Times New Roman"/>
                <w:sz w:val="24"/>
                <w:szCs w:val="24"/>
              </w:rPr>
              <w:t xml:space="preserve"> and will follow </w:t>
            </w:r>
            <w:r w:rsidRPr="00B262B0">
              <w:rPr>
                <w:rFonts w:ascii="Times New Roman" w:hAnsi="Times New Roman"/>
                <w:b/>
                <w:bCs/>
                <w:sz w:val="24"/>
                <w:szCs w:val="24"/>
              </w:rPr>
              <w:t>EU Code of Conduct on Data Centre Energy Efficiency</w:t>
            </w:r>
            <w:r w:rsidRPr="00B262B0">
              <w:rPr>
                <w:rFonts w:ascii="Times New Roman" w:hAnsi="Times New Roman"/>
                <w:sz w:val="24"/>
                <w:szCs w:val="24"/>
              </w:rPr>
              <w:t xml:space="preserve">, which has been created in response to the increasing energy consumption in data centres and the need to reduce the related environmental, economic and energy supply security impacts. </w:t>
            </w:r>
          </w:p>
          <w:p w:rsidR="00690119" w:rsidRPr="00B262B0" w:rsidRDefault="00AC7688"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D</w:t>
            </w:r>
            <w:r w:rsidR="00B5025E" w:rsidRPr="00B262B0">
              <w:rPr>
                <w:rFonts w:ascii="Times New Roman" w:hAnsi="Times New Roman"/>
                <w:sz w:val="24"/>
                <w:szCs w:val="24"/>
              </w:rPr>
              <w:t xml:space="preserve">igitisation in all industrial technologies and societal challenges </w:t>
            </w:r>
            <w:proofErr w:type="gramStart"/>
            <w:r w:rsidR="00B5025E" w:rsidRPr="00B262B0">
              <w:rPr>
                <w:rFonts w:ascii="Times New Roman" w:hAnsi="Times New Roman"/>
                <w:sz w:val="24"/>
                <w:szCs w:val="24"/>
              </w:rPr>
              <w:t>has been also identified</w:t>
            </w:r>
            <w:proofErr w:type="gramEnd"/>
            <w:r w:rsidR="00B5025E" w:rsidRPr="00B262B0">
              <w:rPr>
                <w:rFonts w:ascii="Times New Roman" w:hAnsi="Times New Roman"/>
                <w:sz w:val="24"/>
                <w:szCs w:val="24"/>
              </w:rPr>
              <w:t xml:space="preserve"> as one of the main priorities of the work programme </w:t>
            </w:r>
            <w:r w:rsidR="00B5025E" w:rsidRPr="00B262B0">
              <w:rPr>
                <w:rFonts w:ascii="Times New Roman" w:hAnsi="Times New Roman"/>
                <w:b/>
                <w:sz w:val="24"/>
                <w:szCs w:val="24"/>
              </w:rPr>
              <w:t>Horizon 2020</w:t>
            </w:r>
            <w:r w:rsidR="00B5025E" w:rsidRPr="00B262B0">
              <w:rPr>
                <w:rFonts w:ascii="Times New Roman" w:hAnsi="Times New Roman"/>
                <w:sz w:val="24"/>
                <w:szCs w:val="24"/>
              </w:rPr>
              <w:t xml:space="preserve">, as well as </w:t>
            </w:r>
            <w:r w:rsidR="00B5025E" w:rsidRPr="00B262B0">
              <w:rPr>
                <w:rFonts w:ascii="Times New Roman" w:hAnsi="Times New Roman"/>
                <w:b/>
                <w:sz w:val="24"/>
                <w:szCs w:val="24"/>
              </w:rPr>
              <w:t xml:space="preserve">Digital Europe programme </w:t>
            </w:r>
            <w:r w:rsidR="00B5025E" w:rsidRPr="00B262B0">
              <w:rPr>
                <w:rFonts w:ascii="Times New Roman" w:hAnsi="Times New Roman"/>
                <w:sz w:val="24"/>
                <w:szCs w:val="24"/>
              </w:rPr>
              <w:t xml:space="preserve">where advancement of digital skills is one of the five pillars of Digital Europe.  </w:t>
            </w:r>
          </w:p>
          <w:p w:rsidR="00B5025E" w:rsidRPr="00B262B0" w:rsidRDefault="00E5422B"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 xml:space="preserve">The Action is in li9ne with the </w:t>
            </w:r>
            <w:r w:rsidRPr="00B262B0">
              <w:rPr>
                <w:rFonts w:ascii="Times New Roman" w:hAnsi="Times New Roman"/>
                <w:b/>
                <w:sz w:val="24"/>
                <w:szCs w:val="24"/>
              </w:rPr>
              <w:t>ISA Programme</w:t>
            </w:r>
            <w:r w:rsidR="004D1FBD" w:rsidRPr="00B262B0">
              <w:rPr>
                <w:rFonts w:ascii="Times New Roman" w:hAnsi="Times New Roman"/>
                <w:b/>
                <w:sz w:val="24"/>
                <w:szCs w:val="24"/>
              </w:rPr>
              <w:t xml:space="preserve"> </w:t>
            </w:r>
            <w:r w:rsidRPr="00B262B0">
              <w:rPr>
                <w:rFonts w:ascii="Times New Roman" w:hAnsi="Times New Roman"/>
                <w:b/>
                <w:sz w:val="24"/>
                <w:szCs w:val="24"/>
              </w:rPr>
              <w:t xml:space="preserve">of the EU, for which </w:t>
            </w:r>
            <w:r w:rsidR="00B5025E" w:rsidRPr="00B262B0">
              <w:rPr>
                <w:rFonts w:ascii="Times New Roman" w:hAnsi="Times New Roman"/>
                <w:sz w:val="24"/>
                <w:szCs w:val="24"/>
              </w:rPr>
              <w:t xml:space="preserve">North Macedonia </w:t>
            </w:r>
            <w:r w:rsidRPr="00B262B0">
              <w:rPr>
                <w:rFonts w:ascii="Times New Roman" w:hAnsi="Times New Roman"/>
                <w:sz w:val="24"/>
                <w:szCs w:val="24"/>
              </w:rPr>
              <w:t xml:space="preserve">- </w:t>
            </w:r>
            <w:r w:rsidR="00B5025E" w:rsidRPr="00B262B0">
              <w:rPr>
                <w:rFonts w:ascii="Times New Roman" w:hAnsi="Times New Roman"/>
                <w:sz w:val="24"/>
                <w:szCs w:val="24"/>
              </w:rPr>
              <w:t>represented by MISA</w:t>
            </w:r>
            <w:r w:rsidRPr="00B262B0">
              <w:rPr>
                <w:rFonts w:ascii="Times New Roman" w:hAnsi="Times New Roman"/>
                <w:sz w:val="24"/>
                <w:szCs w:val="24"/>
              </w:rPr>
              <w:t xml:space="preserve"> -</w:t>
            </w:r>
            <w:r w:rsidR="00B5025E" w:rsidRPr="00B262B0">
              <w:rPr>
                <w:rFonts w:ascii="Times New Roman" w:hAnsi="Times New Roman"/>
                <w:sz w:val="24"/>
                <w:szCs w:val="24"/>
              </w:rPr>
              <w:t xml:space="preserve"> has joined the as a contributing member. This will ensure that the country participates and has access to the latest standards and tools necessary for successful navigation of the complex digitalization process, which will significantly aid the process of further digitalisation of the public administration. </w:t>
            </w:r>
          </w:p>
          <w:p w:rsidR="00B5025E" w:rsidRPr="00B262B0" w:rsidRDefault="00B5025E"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The focus of the action is to empower public administration to take advantage of the possibilities offered by a digital society and maximize the usage of ICT</w:t>
            </w:r>
            <w:r w:rsidR="00E5422B" w:rsidRPr="00B262B0">
              <w:rPr>
                <w:rFonts w:ascii="Times New Roman" w:hAnsi="Times New Roman"/>
                <w:sz w:val="24"/>
                <w:szCs w:val="24"/>
              </w:rPr>
              <w:t xml:space="preserve">, thus it is in line with the </w:t>
            </w:r>
            <w:r w:rsidRPr="00B262B0">
              <w:rPr>
                <w:rFonts w:ascii="Times New Roman" w:hAnsi="Times New Roman"/>
                <w:b/>
                <w:sz w:val="24"/>
                <w:szCs w:val="24"/>
              </w:rPr>
              <w:t>EU Digital Competence Framework</w:t>
            </w:r>
            <w:r w:rsidRPr="00B262B0">
              <w:rPr>
                <w:rFonts w:ascii="Times New Roman" w:hAnsi="Times New Roman"/>
                <w:sz w:val="24"/>
                <w:szCs w:val="24"/>
              </w:rPr>
              <w:t>.</w:t>
            </w:r>
          </w:p>
          <w:p w:rsidR="004048CA" w:rsidRPr="00B262B0" w:rsidRDefault="00B5025E"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Th</w:t>
            </w:r>
            <w:r w:rsidR="00E5422B" w:rsidRPr="00B262B0">
              <w:rPr>
                <w:rFonts w:ascii="Times New Roman" w:hAnsi="Times New Roman"/>
                <w:sz w:val="24"/>
                <w:szCs w:val="24"/>
              </w:rPr>
              <w:t>e Action</w:t>
            </w:r>
            <w:r w:rsidRPr="00B262B0">
              <w:rPr>
                <w:rFonts w:ascii="Times New Roman" w:hAnsi="Times New Roman"/>
                <w:sz w:val="24"/>
                <w:szCs w:val="24"/>
              </w:rPr>
              <w:t xml:space="preserve"> is completely in line with European </w:t>
            </w:r>
            <w:r w:rsidRPr="00B262B0">
              <w:rPr>
                <w:rFonts w:ascii="Times New Roman" w:hAnsi="Times New Roman"/>
                <w:b/>
                <w:sz w:val="24"/>
                <w:szCs w:val="24"/>
              </w:rPr>
              <w:t>e</w:t>
            </w:r>
            <w:r w:rsidR="004D1FBD" w:rsidRPr="00B262B0">
              <w:rPr>
                <w:rFonts w:ascii="Times New Roman" w:hAnsi="Times New Roman"/>
                <w:b/>
                <w:sz w:val="24"/>
                <w:szCs w:val="24"/>
              </w:rPr>
              <w:t>-</w:t>
            </w:r>
            <w:r w:rsidRPr="00B262B0">
              <w:rPr>
                <w:rFonts w:ascii="Times New Roman" w:hAnsi="Times New Roman"/>
                <w:b/>
                <w:sz w:val="24"/>
                <w:szCs w:val="24"/>
              </w:rPr>
              <w:t>Government Action Plan 2016-2020</w:t>
            </w:r>
            <w:proofErr w:type="gramStart"/>
            <w:r w:rsidR="00E5422B" w:rsidRPr="00B262B0">
              <w:rPr>
                <w:rFonts w:ascii="Times New Roman" w:hAnsi="Times New Roman"/>
                <w:b/>
                <w:sz w:val="24"/>
                <w:szCs w:val="24"/>
              </w:rPr>
              <w:t>;</w:t>
            </w:r>
            <w:proofErr w:type="gramEnd"/>
            <w:r w:rsidR="004D1FBD" w:rsidRPr="00B262B0">
              <w:rPr>
                <w:rFonts w:ascii="Times New Roman" w:hAnsi="Times New Roman"/>
                <w:b/>
                <w:sz w:val="24"/>
                <w:szCs w:val="24"/>
              </w:rPr>
              <w:t xml:space="preserve"> </w:t>
            </w:r>
            <w:r w:rsidR="00E5422B" w:rsidRPr="00B262B0">
              <w:rPr>
                <w:rFonts w:ascii="Times New Roman" w:hAnsi="Times New Roman"/>
                <w:sz w:val="24"/>
                <w:szCs w:val="24"/>
              </w:rPr>
              <w:t>which aims</w:t>
            </w:r>
            <w:r w:rsidRPr="00B262B0">
              <w:rPr>
                <w:rFonts w:ascii="Times New Roman" w:hAnsi="Times New Roman"/>
                <w:sz w:val="24"/>
                <w:szCs w:val="24"/>
              </w:rPr>
              <w:t xml:space="preserve"> to make public administrations open, efficient</w:t>
            </w:r>
            <w:r w:rsidR="00E5422B" w:rsidRPr="00B262B0">
              <w:rPr>
                <w:rFonts w:ascii="Times New Roman" w:hAnsi="Times New Roman"/>
                <w:sz w:val="24"/>
                <w:szCs w:val="24"/>
              </w:rPr>
              <w:t>,</w:t>
            </w:r>
            <w:r w:rsidRPr="00B262B0">
              <w:rPr>
                <w:rFonts w:ascii="Times New Roman" w:hAnsi="Times New Roman"/>
                <w:sz w:val="24"/>
                <w:szCs w:val="24"/>
              </w:rPr>
              <w:t xml:space="preserve"> inclusive and to enable smooth usage of the new digital environment to facilitate their interactions with stakeholders and with each other.</w:t>
            </w:r>
          </w:p>
          <w:p w:rsidR="000C2A47" w:rsidRPr="00B262B0" w:rsidRDefault="000C2A47" w:rsidP="009D09C9">
            <w:pPr>
              <w:pStyle w:val="ListParagraph"/>
              <w:numPr>
                <w:ilvl w:val="0"/>
                <w:numId w:val="7"/>
              </w:numPr>
              <w:spacing w:after="120" w:line="240" w:lineRule="auto"/>
              <w:jc w:val="both"/>
              <w:rPr>
                <w:rFonts w:ascii="Times New Roman" w:eastAsia="Arial Unicode MS" w:hAnsi="Times New Roman"/>
                <w:sz w:val="24"/>
                <w:szCs w:val="24"/>
                <w:lang w:eastAsia="de-DE"/>
              </w:rPr>
            </w:pPr>
            <w:r w:rsidRPr="00B262B0">
              <w:rPr>
                <w:rFonts w:ascii="Times New Roman" w:hAnsi="Times New Roman"/>
                <w:sz w:val="24"/>
                <w:szCs w:val="24"/>
              </w:rPr>
              <w:t xml:space="preserve">The Action is in line with the </w:t>
            </w:r>
            <w:r w:rsidRPr="00B262B0">
              <w:rPr>
                <w:rFonts w:ascii="Times New Roman" w:hAnsi="Times New Roman"/>
                <w:b/>
                <w:bCs/>
                <w:sz w:val="24"/>
                <w:szCs w:val="24"/>
              </w:rPr>
              <w:t xml:space="preserve">Connecting Europe Facility (CEF), </w:t>
            </w:r>
            <w:r w:rsidRPr="00B262B0">
              <w:rPr>
                <w:rFonts w:ascii="Times New Roman" w:hAnsi="Times New Roman"/>
                <w:sz w:val="24"/>
                <w:szCs w:val="24"/>
              </w:rPr>
              <w:t xml:space="preserve">which is the key EU funding instrument to promote growth, jobs and competitiveness through targeted infrastructure investment at European level. </w:t>
            </w:r>
          </w:p>
          <w:p w:rsidR="001F72E8" w:rsidRPr="00B262B0" w:rsidRDefault="001F72E8" w:rsidP="00891A53">
            <w:pPr>
              <w:pStyle w:val="ListParagraph"/>
              <w:spacing w:after="120" w:line="240" w:lineRule="auto"/>
              <w:jc w:val="both"/>
              <w:rPr>
                <w:rFonts w:ascii="Times New Roman" w:eastAsia="Arial Unicode MS" w:hAnsi="Times New Roman"/>
                <w:sz w:val="24"/>
                <w:szCs w:val="24"/>
                <w:lang w:eastAsia="de-DE"/>
              </w:rPr>
            </w:pPr>
          </w:p>
          <w:p w:rsidR="001F72E8" w:rsidRPr="00B262B0" w:rsidRDefault="001F72E8" w:rsidP="001F72E8">
            <w:pPr>
              <w:spacing w:after="120" w:line="240" w:lineRule="auto"/>
              <w:jc w:val="both"/>
              <w:rPr>
                <w:rFonts w:ascii="Times New Roman" w:hAnsi="Times New Roman"/>
                <w:b/>
                <w:sz w:val="24"/>
                <w:szCs w:val="24"/>
              </w:rPr>
            </w:pPr>
            <w:r w:rsidRPr="00B262B0">
              <w:rPr>
                <w:rFonts w:ascii="Times New Roman" w:eastAsia="Arial Unicode MS" w:hAnsi="Times New Roman"/>
                <w:sz w:val="24"/>
                <w:szCs w:val="24"/>
                <w:lang w:eastAsia="de-DE"/>
              </w:rPr>
              <w:t xml:space="preserve">The Action will support the implementation of the following </w:t>
            </w:r>
            <w:r w:rsidRPr="00B262B0">
              <w:rPr>
                <w:rFonts w:ascii="Times New Roman" w:eastAsia="Arial Unicode MS" w:hAnsi="Times New Roman"/>
                <w:b/>
                <w:bCs/>
                <w:sz w:val="24"/>
                <w:szCs w:val="24"/>
                <w:lang w:eastAsia="de-DE"/>
              </w:rPr>
              <w:t>national strategies</w:t>
            </w:r>
            <w:r w:rsidRPr="00B262B0">
              <w:rPr>
                <w:rFonts w:ascii="Times New Roman" w:eastAsia="Arial Unicode MS" w:hAnsi="Times New Roman"/>
                <w:sz w:val="24"/>
                <w:szCs w:val="24"/>
                <w:lang w:eastAsia="de-DE"/>
              </w:rPr>
              <w:t xml:space="preserve">: </w:t>
            </w:r>
          </w:p>
          <w:p w:rsidR="00FF5E75" w:rsidRPr="00B262B0" w:rsidRDefault="00FF5E75" w:rsidP="009D09C9">
            <w:pPr>
              <w:pStyle w:val="ListParagraph"/>
              <w:numPr>
                <w:ilvl w:val="0"/>
                <w:numId w:val="7"/>
              </w:numPr>
              <w:spacing w:after="120" w:line="240" w:lineRule="auto"/>
              <w:jc w:val="both"/>
              <w:rPr>
                <w:rFonts w:ascii="Times New Roman" w:hAnsi="Times New Roman"/>
                <w:sz w:val="24"/>
                <w:szCs w:val="24"/>
              </w:rPr>
            </w:pPr>
            <w:r w:rsidRPr="00B262B0">
              <w:rPr>
                <w:rFonts w:ascii="Times New Roman" w:hAnsi="Times New Roman"/>
                <w:sz w:val="24"/>
                <w:szCs w:val="24"/>
              </w:rPr>
              <w:t xml:space="preserve">This Action will directly contribute towards achieving some of the set objectives in the </w:t>
            </w:r>
            <w:r w:rsidRPr="00B262B0">
              <w:rPr>
                <w:rFonts w:ascii="Times New Roman" w:hAnsi="Times New Roman"/>
                <w:b/>
                <w:bCs/>
                <w:sz w:val="24"/>
                <w:szCs w:val="24"/>
              </w:rPr>
              <w:t>Public Administration Reform Strategy 2018 – 2022 with its Action Plan.</w:t>
            </w:r>
            <w:r w:rsidRPr="00B262B0">
              <w:rPr>
                <w:rFonts w:ascii="Times New Roman" w:hAnsi="Times New Roman"/>
                <w:sz w:val="24"/>
                <w:szCs w:val="24"/>
              </w:rPr>
              <w:t xml:space="preserve"> In particular, the Action will contribute to achieving some of the goals from the priority area Service Delivery and ICT Support to Administration – Increasing the quality and availability of services and simplifying service delivery. </w:t>
            </w:r>
            <w:proofErr w:type="gramStart"/>
            <w:r w:rsidR="002869C1" w:rsidRPr="00B262B0">
              <w:rPr>
                <w:rFonts w:ascii="Times New Roman" w:hAnsi="Times New Roman"/>
                <w:sz w:val="24"/>
                <w:szCs w:val="24"/>
              </w:rPr>
              <w:t>Also</w:t>
            </w:r>
            <w:proofErr w:type="gramEnd"/>
            <w:r w:rsidR="002869C1" w:rsidRPr="00B262B0">
              <w:rPr>
                <w:rFonts w:ascii="Times New Roman" w:hAnsi="Times New Roman"/>
                <w:sz w:val="24"/>
                <w:szCs w:val="24"/>
              </w:rPr>
              <w:t xml:space="preserve">, the Action will contribute to the aim to conduct consultations, debates and trainings to raise awareness about the importance of access to public information for information holders and officials of institutions at local and central level. </w:t>
            </w:r>
            <w:r w:rsidR="005E1133" w:rsidRPr="00B262B0">
              <w:rPr>
                <w:rFonts w:ascii="Times New Roman" w:hAnsi="Times New Roman"/>
                <w:sz w:val="24"/>
                <w:szCs w:val="24"/>
              </w:rPr>
              <w:t>T</w:t>
            </w:r>
            <w:r w:rsidRPr="00B262B0">
              <w:rPr>
                <w:rFonts w:ascii="Times New Roman" w:hAnsi="Times New Roman"/>
                <w:sz w:val="24"/>
                <w:szCs w:val="24"/>
              </w:rPr>
              <w:t xml:space="preserve">he Action follows </w:t>
            </w:r>
            <w:r w:rsidR="005E1133" w:rsidRPr="00B262B0">
              <w:rPr>
                <w:rFonts w:ascii="Times New Roman" w:hAnsi="Times New Roman"/>
                <w:sz w:val="24"/>
                <w:szCs w:val="24"/>
              </w:rPr>
              <w:t xml:space="preserve">also </w:t>
            </w:r>
            <w:r w:rsidRPr="00B262B0">
              <w:rPr>
                <w:rFonts w:ascii="Times New Roman" w:hAnsi="Times New Roman"/>
                <w:sz w:val="24"/>
                <w:szCs w:val="24"/>
              </w:rPr>
              <w:lastRenderedPageBreak/>
              <w:t xml:space="preserve">the </w:t>
            </w:r>
            <w:r w:rsidRPr="00B262B0">
              <w:rPr>
                <w:rFonts w:ascii="Times New Roman" w:hAnsi="Times New Roman"/>
                <w:b/>
                <w:sz w:val="24"/>
                <w:szCs w:val="24"/>
              </w:rPr>
              <w:t>SIGMA principles for public administration</w:t>
            </w:r>
            <w:r w:rsidRPr="00B262B0">
              <w:rPr>
                <w:rFonts w:ascii="Times New Roman" w:hAnsi="Times New Roman"/>
                <w:sz w:val="24"/>
                <w:szCs w:val="24"/>
              </w:rPr>
              <w:t xml:space="preserve">, which assess alignment of the public administrations in the EU Candidate countries with principles and standards that prevail among older EU Member States. </w:t>
            </w:r>
          </w:p>
          <w:p w:rsidR="009D09C9" w:rsidRPr="00B262B0" w:rsidRDefault="005E1133"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sz w:val="24"/>
                <w:szCs w:val="24"/>
              </w:rPr>
              <w:t>T</w:t>
            </w:r>
            <w:r w:rsidR="00FF5E75" w:rsidRPr="00B262B0">
              <w:rPr>
                <w:rFonts w:ascii="Times New Roman" w:hAnsi="Times New Roman"/>
                <w:sz w:val="24"/>
                <w:szCs w:val="24"/>
              </w:rPr>
              <w:t xml:space="preserve">he Action also corresponds to the </w:t>
            </w:r>
            <w:r w:rsidR="00FF5E75" w:rsidRPr="00B262B0">
              <w:rPr>
                <w:rFonts w:ascii="Times New Roman" w:hAnsi="Times New Roman"/>
                <w:b/>
                <w:sz w:val="24"/>
                <w:szCs w:val="24"/>
              </w:rPr>
              <w:t xml:space="preserve">National Strategy for Sustainable Development of North Macedonia 2010-2030, </w:t>
            </w:r>
            <w:r w:rsidR="00FF5E75" w:rsidRPr="00B262B0">
              <w:rPr>
                <w:rFonts w:ascii="Times New Roman" w:hAnsi="Times New Roman"/>
                <w:sz w:val="24"/>
                <w:szCs w:val="24"/>
              </w:rPr>
              <w:t xml:space="preserve">where the issues related to administrative capacities of the institutions </w:t>
            </w:r>
            <w:proofErr w:type="gramStart"/>
            <w:r w:rsidR="00FF5E75" w:rsidRPr="00B262B0">
              <w:rPr>
                <w:rFonts w:ascii="Times New Roman" w:hAnsi="Times New Roman"/>
                <w:sz w:val="24"/>
                <w:szCs w:val="24"/>
              </w:rPr>
              <w:t>are identified</w:t>
            </w:r>
            <w:proofErr w:type="gramEnd"/>
            <w:r w:rsidR="00FF5E75" w:rsidRPr="00B262B0">
              <w:rPr>
                <w:rFonts w:ascii="Times New Roman" w:hAnsi="Times New Roman"/>
                <w:sz w:val="24"/>
                <w:szCs w:val="24"/>
              </w:rPr>
              <w:t xml:space="preserve"> as one of the main three areas for the sustainable development and the EU Accession process</w:t>
            </w:r>
            <w:r w:rsidR="009D09C9" w:rsidRPr="00B262B0">
              <w:rPr>
                <w:rFonts w:ascii="Times New Roman" w:hAnsi="Times New Roman"/>
                <w:sz w:val="24"/>
                <w:szCs w:val="24"/>
              </w:rPr>
              <w:t xml:space="preserve"> and also environment, rural development and social issues (including health).</w:t>
            </w:r>
          </w:p>
          <w:p w:rsidR="00E83C2A" w:rsidRPr="00B262B0" w:rsidRDefault="00BE3684"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sz w:val="24"/>
                <w:szCs w:val="24"/>
              </w:rPr>
              <w:t xml:space="preserve">Action will support the implementation of the </w:t>
            </w:r>
            <w:r w:rsidRPr="00B262B0">
              <w:rPr>
                <w:rFonts w:ascii="Times New Roman" w:hAnsi="Times New Roman"/>
                <w:b/>
                <w:sz w:val="24"/>
                <w:szCs w:val="24"/>
              </w:rPr>
              <w:t>National Long-Term ICT Strategy</w:t>
            </w:r>
            <w:r w:rsidRPr="00B262B0">
              <w:rPr>
                <w:rFonts w:ascii="Times New Roman" w:hAnsi="Times New Roman"/>
                <w:sz w:val="24"/>
                <w:szCs w:val="24"/>
              </w:rPr>
              <w:t xml:space="preserve">, which is currently in the final phase of preparation and the adoption </w:t>
            </w:r>
            <w:proofErr w:type="gramStart"/>
            <w:r w:rsidRPr="00B262B0">
              <w:rPr>
                <w:rFonts w:ascii="Times New Roman" w:hAnsi="Times New Roman"/>
                <w:sz w:val="24"/>
                <w:szCs w:val="24"/>
              </w:rPr>
              <w:t>is expected</w:t>
            </w:r>
            <w:proofErr w:type="gramEnd"/>
            <w:r w:rsidRPr="00B262B0">
              <w:rPr>
                <w:rFonts w:ascii="Times New Roman" w:hAnsi="Times New Roman"/>
                <w:sz w:val="24"/>
                <w:szCs w:val="24"/>
              </w:rPr>
              <w:t xml:space="preserve"> to take place in September 2020. Furthermore, one of the objectives of the area of Connectivity and Infrastructure is “Establishing a trusted Government of MK data centre”</w:t>
            </w:r>
            <w:r w:rsidR="009E568D" w:rsidRPr="00B262B0">
              <w:rPr>
                <w:rFonts w:ascii="Times New Roman" w:hAnsi="Times New Roman"/>
                <w:sz w:val="24"/>
                <w:szCs w:val="24"/>
              </w:rPr>
              <w:t>.</w:t>
            </w:r>
          </w:p>
          <w:p w:rsidR="006A0165" w:rsidRPr="00B262B0" w:rsidRDefault="003B6597" w:rsidP="009D09C9">
            <w:pPr>
              <w:pStyle w:val="ListParagraph"/>
              <w:numPr>
                <w:ilvl w:val="0"/>
                <w:numId w:val="7"/>
              </w:numPr>
              <w:spacing w:line="240" w:lineRule="auto"/>
              <w:jc w:val="both"/>
              <w:rPr>
                <w:rFonts w:ascii="Times New Roman" w:hAnsi="Times New Roman"/>
                <w:sz w:val="24"/>
                <w:szCs w:val="24"/>
              </w:rPr>
            </w:pPr>
            <w:r w:rsidRPr="00B262B0">
              <w:rPr>
                <w:rFonts w:ascii="Times New Roman" w:hAnsi="Times New Roman"/>
                <w:iCs/>
                <w:sz w:val="24"/>
                <w:szCs w:val="24"/>
                <w:lang w:val="en-US"/>
              </w:rPr>
              <w:t xml:space="preserve">The Action will support the implementation of the </w:t>
            </w:r>
            <w:r w:rsidR="0067645B" w:rsidRPr="00B262B0">
              <w:rPr>
                <w:rFonts w:ascii="Times New Roman" w:hAnsi="Times New Roman"/>
                <w:b/>
                <w:bCs/>
                <w:iCs/>
                <w:sz w:val="24"/>
                <w:szCs w:val="24"/>
                <w:lang w:val="en-US"/>
              </w:rPr>
              <w:t>Transparency Strategy of the Government of the Republic of</w:t>
            </w:r>
            <w:r w:rsidR="004D1FBD" w:rsidRPr="00B262B0">
              <w:rPr>
                <w:rFonts w:ascii="Times New Roman" w:hAnsi="Times New Roman"/>
                <w:b/>
                <w:bCs/>
                <w:iCs/>
                <w:sz w:val="24"/>
                <w:szCs w:val="24"/>
                <w:lang w:val="en-US"/>
              </w:rPr>
              <w:t xml:space="preserve"> </w:t>
            </w:r>
            <w:r w:rsidR="0067645B" w:rsidRPr="00B262B0">
              <w:rPr>
                <w:rFonts w:ascii="Times New Roman" w:hAnsi="Times New Roman"/>
                <w:b/>
                <w:bCs/>
                <w:sz w:val="24"/>
                <w:szCs w:val="24"/>
                <w:lang w:val="en-US"/>
              </w:rPr>
              <w:t>North Macedonia (2019-2021)</w:t>
            </w:r>
            <w:r w:rsidRPr="00B262B0">
              <w:rPr>
                <w:rFonts w:ascii="Times New Roman" w:hAnsi="Times New Roman"/>
                <w:b/>
                <w:bCs/>
                <w:sz w:val="24"/>
                <w:szCs w:val="24"/>
                <w:lang w:val="en-US"/>
              </w:rPr>
              <w:t xml:space="preserve">; </w:t>
            </w:r>
            <w:r w:rsidRPr="00B262B0">
              <w:rPr>
                <w:rFonts w:ascii="Times New Roman" w:hAnsi="Times New Roman"/>
                <w:sz w:val="24"/>
                <w:szCs w:val="24"/>
              </w:rPr>
              <w:t>which aims</w:t>
            </w:r>
            <w:r w:rsidR="0067645B" w:rsidRPr="00B262B0">
              <w:rPr>
                <w:rFonts w:ascii="Times New Roman" w:hAnsi="Times New Roman"/>
                <w:sz w:val="24"/>
                <w:szCs w:val="24"/>
              </w:rPr>
              <w:t xml:space="preserve"> free access to public information</w:t>
            </w:r>
            <w:r w:rsidRPr="00B262B0">
              <w:rPr>
                <w:rFonts w:ascii="Times New Roman" w:hAnsi="Times New Roman"/>
                <w:sz w:val="24"/>
                <w:szCs w:val="24"/>
              </w:rPr>
              <w:t>. This Action will assist</w:t>
            </w:r>
            <w:r w:rsidR="0067645B" w:rsidRPr="00B262B0">
              <w:rPr>
                <w:rFonts w:ascii="Times New Roman" w:hAnsi="Times New Roman"/>
                <w:sz w:val="24"/>
                <w:szCs w:val="24"/>
              </w:rPr>
              <w:t xml:space="preserve"> the promotion of the right to free access to public information and active transparency; the improvement </w:t>
            </w:r>
            <w:r w:rsidRPr="00B262B0">
              <w:rPr>
                <w:rFonts w:ascii="Times New Roman" w:hAnsi="Times New Roman"/>
                <w:sz w:val="24"/>
                <w:szCs w:val="24"/>
              </w:rPr>
              <w:t xml:space="preserve">of </w:t>
            </w:r>
            <w:r w:rsidR="0067645B" w:rsidRPr="00B262B0">
              <w:rPr>
                <w:rFonts w:ascii="Times New Roman" w:hAnsi="Times New Roman"/>
                <w:sz w:val="24"/>
                <w:szCs w:val="24"/>
              </w:rPr>
              <w:t xml:space="preserve">the government bodies’ administrative practice for implementation of the principle of delegated authority according to Law in procedures on access to information.   </w:t>
            </w:r>
          </w:p>
          <w:p w:rsidR="0072693B" w:rsidRPr="00B262B0" w:rsidRDefault="0072693B" w:rsidP="009D09C9">
            <w:pPr>
              <w:pStyle w:val="ListParagraph"/>
              <w:numPr>
                <w:ilvl w:val="0"/>
                <w:numId w:val="7"/>
              </w:numPr>
              <w:spacing w:line="240" w:lineRule="auto"/>
              <w:jc w:val="both"/>
              <w:rPr>
                <w:rFonts w:ascii="Times New Roman" w:hAnsi="Times New Roman"/>
                <w:sz w:val="24"/>
                <w:szCs w:val="24"/>
              </w:rPr>
            </w:pPr>
            <w:r w:rsidRPr="00B262B0">
              <w:rPr>
                <w:rFonts w:ascii="Times New Roman" w:hAnsi="Times New Roman"/>
                <w:bCs/>
                <w:iCs/>
                <w:sz w:val="24"/>
                <w:szCs w:val="24"/>
              </w:rPr>
              <w:t>The Action will contribute to the implementation of the</w:t>
            </w:r>
            <w:r w:rsidR="004D1FBD" w:rsidRPr="00B262B0">
              <w:rPr>
                <w:rFonts w:ascii="Times New Roman" w:hAnsi="Times New Roman"/>
                <w:bCs/>
                <w:iCs/>
                <w:sz w:val="24"/>
                <w:szCs w:val="24"/>
              </w:rPr>
              <w:t xml:space="preserve"> </w:t>
            </w:r>
            <w:r w:rsidR="006A0165" w:rsidRPr="00B262B0">
              <w:rPr>
                <w:rFonts w:ascii="Times New Roman" w:hAnsi="Times New Roman"/>
                <w:b/>
                <w:iCs/>
                <w:sz w:val="24"/>
                <w:szCs w:val="24"/>
              </w:rPr>
              <w:t>National Strategy for Prevention of Corruption and Conflict of Interest 2020-2024(SCPC</w:t>
            </w:r>
            <w:r w:rsidR="006A0165" w:rsidRPr="00B262B0">
              <w:rPr>
                <w:rFonts w:ascii="Times New Roman" w:hAnsi="Times New Roman"/>
                <w:b/>
                <w:i/>
                <w:sz w:val="24"/>
                <w:szCs w:val="24"/>
              </w:rPr>
              <w:t>)</w:t>
            </w:r>
            <w:r w:rsidRPr="00B262B0">
              <w:rPr>
                <w:rFonts w:ascii="Times New Roman" w:hAnsi="Times New Roman"/>
                <w:b/>
                <w:i/>
                <w:sz w:val="24"/>
                <w:szCs w:val="24"/>
              </w:rPr>
              <w:t xml:space="preserve">, </w:t>
            </w:r>
            <w:r w:rsidRPr="00B262B0">
              <w:rPr>
                <w:rFonts w:ascii="Times New Roman" w:hAnsi="Times New Roman"/>
                <w:bCs/>
                <w:iCs/>
                <w:sz w:val="24"/>
                <w:szCs w:val="24"/>
              </w:rPr>
              <w:t>as it will</w:t>
            </w:r>
            <w:r w:rsidR="004D1FBD" w:rsidRPr="00B262B0">
              <w:rPr>
                <w:rFonts w:ascii="Times New Roman" w:hAnsi="Times New Roman"/>
                <w:bCs/>
                <w:iCs/>
                <w:sz w:val="24"/>
                <w:szCs w:val="24"/>
              </w:rPr>
              <w:t xml:space="preserve"> </w:t>
            </w:r>
            <w:r w:rsidRPr="00B262B0">
              <w:rPr>
                <w:rFonts w:ascii="Times New Roman" w:hAnsi="Times New Roman"/>
                <w:sz w:val="24"/>
                <w:szCs w:val="24"/>
              </w:rPr>
              <w:t xml:space="preserve">increase the transparency, which </w:t>
            </w:r>
            <w:proofErr w:type="gramStart"/>
            <w:r w:rsidR="006A0165" w:rsidRPr="00B262B0">
              <w:rPr>
                <w:rFonts w:ascii="Times New Roman" w:hAnsi="Times New Roman"/>
                <w:sz w:val="24"/>
                <w:szCs w:val="24"/>
              </w:rPr>
              <w:t>is regarded</w:t>
            </w:r>
            <w:proofErr w:type="gramEnd"/>
            <w:r w:rsidR="006A0165" w:rsidRPr="00B262B0">
              <w:rPr>
                <w:rFonts w:ascii="Times New Roman" w:hAnsi="Times New Roman"/>
                <w:sz w:val="24"/>
                <w:szCs w:val="24"/>
              </w:rPr>
              <w:t xml:space="preserve"> as a powerful anti-corruption tool, </w:t>
            </w:r>
            <w:r w:rsidRPr="00B262B0">
              <w:rPr>
                <w:rFonts w:ascii="Times New Roman" w:hAnsi="Times New Roman"/>
                <w:sz w:val="24"/>
                <w:szCs w:val="24"/>
              </w:rPr>
              <w:t>and increase the</w:t>
            </w:r>
            <w:r w:rsidR="006A0165" w:rsidRPr="00B262B0">
              <w:rPr>
                <w:rFonts w:ascii="Times New Roman" w:hAnsi="Times New Roman"/>
                <w:sz w:val="24"/>
                <w:szCs w:val="24"/>
              </w:rPr>
              <w:t xml:space="preserve"> accountab</w:t>
            </w:r>
            <w:r w:rsidRPr="00B262B0">
              <w:rPr>
                <w:rFonts w:ascii="Times New Roman" w:hAnsi="Times New Roman"/>
                <w:sz w:val="24"/>
                <w:szCs w:val="24"/>
              </w:rPr>
              <w:t>ility of the</w:t>
            </w:r>
            <w:r w:rsidR="006A0165" w:rsidRPr="00B262B0">
              <w:rPr>
                <w:rFonts w:ascii="Times New Roman" w:hAnsi="Times New Roman"/>
                <w:sz w:val="24"/>
                <w:szCs w:val="24"/>
              </w:rPr>
              <w:t xml:space="preserve"> governance in the state system and institutions. </w:t>
            </w:r>
          </w:p>
          <w:p w:rsidR="00101250" w:rsidRPr="00B262B0" w:rsidRDefault="0072693B" w:rsidP="009D09C9">
            <w:pPr>
              <w:pStyle w:val="ListParagraph"/>
              <w:numPr>
                <w:ilvl w:val="0"/>
                <w:numId w:val="7"/>
              </w:numPr>
              <w:spacing w:line="240" w:lineRule="auto"/>
              <w:jc w:val="both"/>
              <w:rPr>
                <w:rFonts w:ascii="Times New Roman" w:hAnsi="Times New Roman"/>
                <w:sz w:val="24"/>
                <w:szCs w:val="24"/>
              </w:rPr>
            </w:pPr>
            <w:r w:rsidRPr="00B262B0">
              <w:rPr>
                <w:rFonts w:ascii="Times New Roman" w:hAnsi="Times New Roman"/>
                <w:bCs/>
                <w:iCs/>
                <w:sz w:val="24"/>
                <w:szCs w:val="24"/>
              </w:rPr>
              <w:t>The Action is in full harmony with the</w:t>
            </w:r>
            <w:r w:rsidR="004D1FBD" w:rsidRPr="00B262B0">
              <w:rPr>
                <w:rFonts w:ascii="Times New Roman" w:hAnsi="Times New Roman"/>
                <w:bCs/>
                <w:iCs/>
                <w:sz w:val="24"/>
                <w:szCs w:val="24"/>
              </w:rPr>
              <w:t xml:space="preserve"> </w:t>
            </w:r>
            <w:r w:rsidR="003242F0" w:rsidRPr="00B262B0">
              <w:rPr>
                <w:rFonts w:ascii="Times New Roman" w:hAnsi="Times New Roman"/>
                <w:b/>
                <w:iCs/>
                <w:sz w:val="24"/>
                <w:szCs w:val="24"/>
              </w:rPr>
              <w:t>Open Data Strategy (2018-2020)</w:t>
            </w:r>
            <w:r w:rsidR="00101250" w:rsidRPr="00B262B0">
              <w:rPr>
                <w:rFonts w:ascii="Times New Roman" w:hAnsi="Times New Roman"/>
                <w:b/>
                <w:iCs/>
                <w:sz w:val="24"/>
                <w:szCs w:val="24"/>
              </w:rPr>
              <w:t xml:space="preserve">, </w:t>
            </w:r>
            <w:r w:rsidR="00101250" w:rsidRPr="00B262B0">
              <w:rPr>
                <w:rFonts w:ascii="Times New Roman" w:hAnsi="Times New Roman"/>
                <w:bCs/>
                <w:iCs/>
                <w:sz w:val="24"/>
                <w:szCs w:val="24"/>
              </w:rPr>
              <w:t>which recognize the harmonization with</w:t>
            </w:r>
            <w:r w:rsidR="004D1FBD" w:rsidRPr="00B262B0">
              <w:rPr>
                <w:rFonts w:ascii="Times New Roman" w:hAnsi="Times New Roman"/>
                <w:bCs/>
                <w:iCs/>
                <w:sz w:val="24"/>
                <w:szCs w:val="24"/>
              </w:rPr>
              <w:t xml:space="preserve"> </w:t>
            </w:r>
            <w:r w:rsidR="00101250" w:rsidRPr="00B262B0">
              <w:rPr>
                <w:rFonts w:ascii="Times New Roman" w:hAnsi="Times New Roman"/>
                <w:bCs/>
                <w:iCs/>
                <w:sz w:val="24"/>
                <w:szCs w:val="24"/>
              </w:rPr>
              <w:t>the EU</w:t>
            </w:r>
            <w:r w:rsidR="003242F0" w:rsidRPr="00B262B0">
              <w:rPr>
                <w:rFonts w:ascii="Times New Roman" w:hAnsi="Times New Roman"/>
                <w:sz w:val="24"/>
                <w:szCs w:val="24"/>
              </w:rPr>
              <w:t xml:space="preserve"> Directive 2003/98 / EC on the reuse of public sector information </w:t>
            </w:r>
            <w:r w:rsidR="00101250" w:rsidRPr="00B262B0">
              <w:rPr>
                <w:rFonts w:ascii="Times New Roman" w:hAnsi="Times New Roman"/>
                <w:sz w:val="24"/>
                <w:szCs w:val="24"/>
              </w:rPr>
              <w:t>as a</w:t>
            </w:r>
            <w:r w:rsidR="003242F0" w:rsidRPr="00B262B0">
              <w:rPr>
                <w:rFonts w:ascii="Times New Roman" w:hAnsi="Times New Roman"/>
                <w:sz w:val="24"/>
                <w:szCs w:val="24"/>
              </w:rPr>
              <w:t xml:space="preserve"> strategic measure. In most EU </w:t>
            </w:r>
            <w:proofErr w:type="gramStart"/>
            <w:r w:rsidR="003242F0" w:rsidRPr="00B262B0">
              <w:rPr>
                <w:rFonts w:ascii="Times New Roman" w:hAnsi="Times New Roman"/>
                <w:sz w:val="24"/>
                <w:szCs w:val="24"/>
              </w:rPr>
              <w:t>countries</w:t>
            </w:r>
            <w:proofErr w:type="gramEnd"/>
            <w:r w:rsidR="003242F0" w:rsidRPr="00B262B0">
              <w:rPr>
                <w:rFonts w:ascii="Times New Roman" w:hAnsi="Times New Roman"/>
                <w:sz w:val="24"/>
                <w:szCs w:val="24"/>
              </w:rPr>
              <w:t xml:space="preserve"> this legal obligation is tightly linked to the free access to public information so possible amendments and joined efforts between the Agency and MISA might arise from this project as a result.</w:t>
            </w:r>
          </w:p>
          <w:p w:rsidR="0067645B" w:rsidRPr="00B262B0" w:rsidRDefault="00BE4921" w:rsidP="009D09C9">
            <w:pPr>
              <w:pStyle w:val="ListParagraph"/>
              <w:numPr>
                <w:ilvl w:val="0"/>
                <w:numId w:val="7"/>
              </w:numPr>
              <w:spacing w:line="240" w:lineRule="auto"/>
              <w:jc w:val="both"/>
              <w:rPr>
                <w:rFonts w:ascii="Times New Roman" w:hAnsi="Times New Roman"/>
                <w:sz w:val="24"/>
                <w:szCs w:val="24"/>
              </w:rPr>
            </w:pPr>
            <w:r w:rsidRPr="00B262B0">
              <w:rPr>
                <w:rFonts w:ascii="Times New Roman" w:hAnsi="Times New Roman"/>
                <w:sz w:val="24"/>
                <w:szCs w:val="24"/>
              </w:rPr>
              <w:t>The Action addresses the r</w:t>
            </w:r>
            <w:r w:rsidR="005C1E56" w:rsidRPr="00B262B0">
              <w:rPr>
                <w:rFonts w:ascii="Times New Roman" w:hAnsi="Times New Roman"/>
                <w:sz w:val="24"/>
                <w:szCs w:val="24"/>
              </w:rPr>
              <w:t xml:space="preserve">ecommendations </w:t>
            </w:r>
            <w:r w:rsidRPr="00B262B0">
              <w:rPr>
                <w:rFonts w:ascii="Times New Roman" w:hAnsi="Times New Roman"/>
                <w:sz w:val="24"/>
                <w:szCs w:val="24"/>
              </w:rPr>
              <w:t>of</w:t>
            </w:r>
            <w:r w:rsidR="005C1E56" w:rsidRPr="00B262B0">
              <w:rPr>
                <w:rFonts w:ascii="Times New Roman" w:hAnsi="Times New Roman"/>
                <w:sz w:val="24"/>
                <w:szCs w:val="24"/>
              </w:rPr>
              <w:t xml:space="preserve"> experts noted in the </w:t>
            </w:r>
            <w:r w:rsidR="005C1E56" w:rsidRPr="00B262B0">
              <w:rPr>
                <w:rFonts w:ascii="Times New Roman" w:hAnsi="Times New Roman"/>
                <w:b/>
                <w:bCs/>
                <w:sz w:val="24"/>
                <w:szCs w:val="24"/>
              </w:rPr>
              <w:t>Functional Analysis of the Agency for Protection of the Right to Free Access to Public Information</w:t>
            </w:r>
            <w:r w:rsidR="005C1E56" w:rsidRPr="00B262B0">
              <w:rPr>
                <w:rFonts w:ascii="Times New Roman" w:hAnsi="Times New Roman"/>
                <w:sz w:val="24"/>
                <w:szCs w:val="24"/>
              </w:rPr>
              <w:t xml:space="preserve"> from 2020 (IPA Activity of the project Transparency and Accountability in Public Administration). </w:t>
            </w:r>
            <w:r w:rsidRPr="00B262B0">
              <w:rPr>
                <w:rFonts w:ascii="Times New Roman" w:hAnsi="Times New Roman"/>
                <w:sz w:val="24"/>
                <w:szCs w:val="24"/>
                <w:lang w:val="en-US"/>
              </w:rPr>
              <w:t xml:space="preserve">The Action </w:t>
            </w:r>
            <w:r w:rsidR="005C1E56" w:rsidRPr="00B262B0">
              <w:rPr>
                <w:rFonts w:ascii="Times New Roman" w:hAnsi="Times New Roman"/>
                <w:sz w:val="24"/>
                <w:szCs w:val="24"/>
                <w:lang w:val="en-US"/>
              </w:rPr>
              <w:t>provide</w:t>
            </w:r>
            <w:r w:rsidRPr="00B262B0">
              <w:rPr>
                <w:rFonts w:ascii="Times New Roman" w:hAnsi="Times New Roman"/>
                <w:sz w:val="24"/>
                <w:szCs w:val="24"/>
                <w:lang w:val="en-US"/>
              </w:rPr>
              <w:t>s</w:t>
            </w:r>
            <w:r w:rsidR="005C1E56" w:rsidRPr="00B262B0">
              <w:rPr>
                <w:rFonts w:ascii="Times New Roman" w:hAnsi="Times New Roman"/>
                <w:sz w:val="24"/>
                <w:szCs w:val="24"/>
                <w:lang w:val="en-US"/>
              </w:rPr>
              <w:t xml:space="preserve"> support to the </w:t>
            </w:r>
            <w:r w:rsidRPr="00B262B0">
              <w:rPr>
                <w:rFonts w:ascii="Times New Roman" w:hAnsi="Times New Roman"/>
                <w:sz w:val="24"/>
                <w:szCs w:val="24"/>
                <w:lang w:val="en-US"/>
              </w:rPr>
              <w:t xml:space="preserve">Agency to contribute to the </w:t>
            </w:r>
            <w:r w:rsidR="005C1E56" w:rsidRPr="00B262B0">
              <w:rPr>
                <w:rFonts w:ascii="Times New Roman" w:hAnsi="Times New Roman"/>
                <w:sz w:val="24"/>
                <w:szCs w:val="24"/>
                <w:lang w:val="en-US"/>
              </w:rPr>
              <w:t>Government</w:t>
            </w:r>
            <w:r w:rsidRPr="00B262B0">
              <w:rPr>
                <w:rFonts w:ascii="Times New Roman" w:hAnsi="Times New Roman"/>
                <w:sz w:val="24"/>
                <w:szCs w:val="24"/>
                <w:lang w:val="en-US"/>
              </w:rPr>
              <w:t>’</w:t>
            </w:r>
            <w:r w:rsidR="005C1E56" w:rsidRPr="00B262B0">
              <w:rPr>
                <w:rFonts w:ascii="Times New Roman" w:hAnsi="Times New Roman"/>
                <w:sz w:val="24"/>
                <w:szCs w:val="24"/>
                <w:lang w:val="en-US"/>
              </w:rPr>
              <w:t xml:space="preserve">s strategic goals of achieving transparency and accountability of state bodies and the public administration officers and officials.   </w:t>
            </w:r>
          </w:p>
          <w:p w:rsidR="009D09C9" w:rsidRPr="00B262B0" w:rsidRDefault="009D09C9"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b/>
                <w:bCs/>
                <w:sz w:val="24"/>
                <w:szCs w:val="24"/>
              </w:rPr>
              <w:t xml:space="preserve">Strategic plan of SSO, 2020-2022, </w:t>
            </w:r>
            <w:r w:rsidRPr="00B262B0">
              <w:rPr>
                <w:rFonts w:ascii="Times New Roman" w:hAnsi="Times New Roman"/>
                <w:sz w:val="24"/>
                <w:szCs w:val="24"/>
              </w:rPr>
              <w:t xml:space="preserve">which defines the following objectives: 1. </w:t>
            </w:r>
            <w:r w:rsidRPr="00B262B0">
              <w:rPr>
                <w:rFonts w:ascii="Times New Roman" w:hAnsi="Times New Roman"/>
                <w:iCs/>
                <w:sz w:val="24"/>
                <w:szCs w:val="24"/>
              </w:rPr>
              <w:t xml:space="preserve">Harmonisation of statistics in accordance with the standards of European statistics; 2. Strengthening the </w:t>
            </w:r>
            <w:r w:rsidRPr="00B262B0">
              <w:rPr>
                <w:rFonts w:ascii="Times New Roman" w:hAnsi="Times New Roman"/>
                <w:iCs/>
                <w:sz w:val="24"/>
                <w:szCs w:val="24"/>
              </w:rPr>
              <w:lastRenderedPageBreak/>
              <w:t>coordinating role of the SSO in the national statistical system; 3. Strengthening the cooperation with the providers of data and holders of data sets and with data users and 4. Strengthening the institutional capacity of the SSO.</w:t>
            </w:r>
          </w:p>
          <w:p w:rsidR="009D09C9" w:rsidRPr="00B262B0" w:rsidRDefault="009D09C9"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sz w:val="24"/>
                <w:szCs w:val="24"/>
              </w:rPr>
              <w:t xml:space="preserve">The Action is relevant for the </w:t>
            </w:r>
            <w:r w:rsidRPr="00B262B0">
              <w:rPr>
                <w:rFonts w:ascii="Times New Roman" w:hAnsi="Times New Roman"/>
                <w:b/>
                <w:bCs/>
                <w:sz w:val="24"/>
                <w:szCs w:val="24"/>
              </w:rPr>
              <w:t>2021-2027 Statistical Cooperation Strategy</w:t>
            </w:r>
            <w:r w:rsidRPr="00B262B0">
              <w:rPr>
                <w:rFonts w:ascii="Times New Roman" w:hAnsi="Times New Roman"/>
                <w:sz w:val="24"/>
                <w:szCs w:val="24"/>
              </w:rPr>
              <w:t xml:space="preserve"> with enlargement countries, which is under preparation and intends to provide a framework for developing sustainable and credible statistical systems capable of producing statistics in comply with the EU acquis.</w:t>
            </w:r>
          </w:p>
          <w:p w:rsidR="009D09C9" w:rsidRPr="00B262B0" w:rsidRDefault="009D09C9"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sz w:val="24"/>
                <w:szCs w:val="24"/>
              </w:rPr>
              <w:t xml:space="preserve">The Action is also relevant to the </w:t>
            </w:r>
            <w:r w:rsidRPr="00B262B0">
              <w:rPr>
                <w:rFonts w:ascii="Times New Roman" w:hAnsi="Times New Roman"/>
                <w:b/>
                <w:sz w:val="24"/>
                <w:szCs w:val="24"/>
                <w:lang w:val="en-US"/>
              </w:rPr>
              <w:t>National Strategy for Environment 2017-2027.</w:t>
            </w:r>
          </w:p>
          <w:p w:rsidR="009D09C9" w:rsidRPr="00B262B0" w:rsidRDefault="009D09C9"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sz w:val="24"/>
                <w:szCs w:val="24"/>
              </w:rPr>
              <w:t xml:space="preserve">This action has direct relevance to the </w:t>
            </w:r>
            <w:r w:rsidRPr="00B262B0">
              <w:rPr>
                <w:rFonts w:ascii="Times New Roman" w:hAnsi="Times New Roman"/>
                <w:b/>
                <w:sz w:val="24"/>
                <w:szCs w:val="24"/>
              </w:rPr>
              <w:t>National</w:t>
            </w:r>
            <w:r w:rsidR="004D1FBD" w:rsidRPr="00B262B0">
              <w:rPr>
                <w:rFonts w:ascii="Times New Roman" w:hAnsi="Times New Roman"/>
                <w:b/>
                <w:sz w:val="24"/>
                <w:szCs w:val="24"/>
              </w:rPr>
              <w:t xml:space="preserve"> </w:t>
            </w:r>
            <w:r w:rsidRPr="00B262B0">
              <w:rPr>
                <w:rFonts w:ascii="Times New Roman" w:hAnsi="Times New Roman"/>
                <w:b/>
                <w:sz w:val="24"/>
                <w:szCs w:val="24"/>
              </w:rPr>
              <w:t>Strategy for Health 2020</w:t>
            </w:r>
            <w:r w:rsidRPr="00B262B0">
              <w:rPr>
                <w:rFonts w:ascii="Times New Roman" w:hAnsi="Times New Roman"/>
                <w:sz w:val="24"/>
                <w:szCs w:val="24"/>
              </w:rPr>
              <w:t xml:space="preserve">, its amendment and the Action Plans. </w:t>
            </w:r>
            <w:proofErr w:type="gramStart"/>
            <w:r w:rsidRPr="00B262B0">
              <w:rPr>
                <w:rFonts w:ascii="Times New Roman" w:hAnsi="Times New Roman"/>
                <w:sz w:val="24"/>
                <w:szCs w:val="24"/>
              </w:rPr>
              <w:t>Also</w:t>
            </w:r>
            <w:proofErr w:type="gramEnd"/>
            <w:r w:rsidRPr="00B262B0">
              <w:rPr>
                <w:rFonts w:ascii="Times New Roman" w:hAnsi="Times New Roman"/>
                <w:sz w:val="24"/>
                <w:szCs w:val="24"/>
              </w:rPr>
              <w:t xml:space="preserve">, it is relevant to the </w:t>
            </w:r>
            <w:r w:rsidRPr="00B262B0">
              <w:rPr>
                <w:rFonts w:ascii="Times New Roman" w:hAnsi="Times New Roman"/>
                <w:b/>
                <w:sz w:val="24"/>
                <w:szCs w:val="24"/>
              </w:rPr>
              <w:t>National Strategy for Promotion of Mental Health 2018-2025</w:t>
            </w:r>
            <w:r w:rsidRPr="00B262B0">
              <w:rPr>
                <w:rFonts w:ascii="Times New Roman" w:hAnsi="Times New Roman"/>
                <w:sz w:val="24"/>
                <w:szCs w:val="24"/>
                <w:shd w:val="clear" w:color="auto" w:fill="FFFFFF"/>
              </w:rPr>
              <w:t>.</w:t>
            </w:r>
          </w:p>
          <w:p w:rsidR="009D09C9" w:rsidRPr="00B262B0" w:rsidRDefault="009D09C9" w:rsidP="009D09C9">
            <w:pPr>
              <w:numPr>
                <w:ilvl w:val="0"/>
                <w:numId w:val="7"/>
              </w:numPr>
              <w:spacing w:after="120" w:line="240" w:lineRule="auto"/>
              <w:jc w:val="both"/>
              <w:rPr>
                <w:rFonts w:ascii="Times New Roman" w:hAnsi="Times New Roman"/>
                <w:bCs/>
                <w:sz w:val="24"/>
                <w:szCs w:val="24"/>
              </w:rPr>
            </w:pPr>
            <w:r w:rsidRPr="00B262B0">
              <w:rPr>
                <w:rFonts w:ascii="Times New Roman" w:hAnsi="Times New Roman"/>
                <w:sz w:val="24"/>
                <w:szCs w:val="24"/>
              </w:rPr>
              <w:t xml:space="preserve">The Action supports the implementation of key priorities of NB, defined in the </w:t>
            </w:r>
            <w:r w:rsidRPr="00B262B0">
              <w:rPr>
                <w:rFonts w:ascii="Times New Roman" w:hAnsi="Times New Roman"/>
                <w:b/>
                <w:sz w:val="24"/>
                <w:szCs w:val="24"/>
              </w:rPr>
              <w:t>National Bank Strategic Plan 2019-2021</w:t>
            </w:r>
            <w:r w:rsidRPr="00B262B0">
              <w:rPr>
                <w:rFonts w:ascii="Times New Roman" w:hAnsi="Times New Roman"/>
                <w:bCs/>
                <w:sz w:val="24"/>
                <w:szCs w:val="24"/>
              </w:rPr>
              <w:t xml:space="preserve"> and the </w:t>
            </w:r>
            <w:r w:rsidRPr="00B262B0">
              <w:rPr>
                <w:rFonts w:ascii="Times New Roman" w:hAnsi="Times New Roman"/>
                <w:b/>
                <w:sz w:val="24"/>
                <w:szCs w:val="24"/>
              </w:rPr>
              <w:t>2020 Annual NBRNM Programme</w:t>
            </w:r>
            <w:r w:rsidRPr="00B262B0">
              <w:rPr>
                <w:rFonts w:ascii="Times New Roman" w:hAnsi="Times New Roman"/>
                <w:sz w:val="24"/>
                <w:szCs w:val="24"/>
              </w:rPr>
              <w:t>. In particular, t</w:t>
            </w:r>
            <w:r w:rsidRPr="00B262B0">
              <w:rPr>
                <w:rFonts w:ascii="Times New Roman" w:hAnsi="Times New Roman"/>
                <w:bCs/>
                <w:sz w:val="24"/>
                <w:szCs w:val="24"/>
              </w:rPr>
              <w:t xml:space="preserve">here is a link with three strategic objectives of the </w:t>
            </w:r>
            <w:r w:rsidRPr="00B262B0">
              <w:rPr>
                <w:rFonts w:ascii="Times New Roman" w:hAnsi="Times New Roman"/>
                <w:b/>
                <w:sz w:val="24"/>
                <w:szCs w:val="24"/>
              </w:rPr>
              <w:t>National Bank Strategic Plan 2020-2022</w:t>
            </w:r>
            <w:r w:rsidRPr="00B262B0">
              <w:rPr>
                <w:rFonts w:ascii="Times New Roman" w:hAnsi="Times New Roman"/>
                <w:bCs/>
                <w:sz w:val="24"/>
                <w:szCs w:val="24"/>
              </w:rPr>
              <w:t>:</w:t>
            </w:r>
          </w:p>
          <w:p w:rsidR="009D09C9" w:rsidRPr="00B262B0" w:rsidRDefault="009D09C9" w:rsidP="009D09C9">
            <w:pPr>
              <w:pStyle w:val="ListParagraph"/>
              <w:numPr>
                <w:ilvl w:val="1"/>
                <w:numId w:val="7"/>
              </w:numPr>
              <w:spacing w:line="240" w:lineRule="auto"/>
              <w:jc w:val="both"/>
              <w:rPr>
                <w:rFonts w:ascii="Times New Roman" w:hAnsi="Times New Roman"/>
                <w:sz w:val="24"/>
                <w:szCs w:val="24"/>
                <w:lang w:eastAsia="en-US"/>
              </w:rPr>
            </w:pPr>
            <w:r w:rsidRPr="00B262B0">
              <w:rPr>
                <w:rFonts w:ascii="Times New Roman" w:hAnsi="Times New Roman"/>
                <w:sz w:val="24"/>
                <w:szCs w:val="24"/>
                <w:lang w:eastAsia="en-US"/>
              </w:rPr>
              <w:t>Strategic objective 8: Providing quality statistical data, fully consistent with international and European statistical standards, taking into account the reporting burden and their effective, timely and easy dissemination to users.</w:t>
            </w:r>
          </w:p>
          <w:p w:rsidR="009D09C9" w:rsidRPr="00B262B0" w:rsidRDefault="009D09C9" w:rsidP="009D09C9">
            <w:pPr>
              <w:pStyle w:val="ListParagraph"/>
              <w:numPr>
                <w:ilvl w:val="1"/>
                <w:numId w:val="7"/>
              </w:numPr>
              <w:spacing w:line="240" w:lineRule="auto"/>
              <w:jc w:val="both"/>
              <w:rPr>
                <w:rFonts w:ascii="Times New Roman" w:hAnsi="Times New Roman"/>
                <w:sz w:val="24"/>
                <w:szCs w:val="24"/>
                <w:lang w:eastAsia="en-US"/>
              </w:rPr>
            </w:pPr>
            <w:r w:rsidRPr="00B262B0">
              <w:rPr>
                <w:rFonts w:ascii="Times New Roman" w:hAnsi="Times New Roman"/>
                <w:sz w:val="24"/>
                <w:szCs w:val="24"/>
                <w:lang w:eastAsia="en-US"/>
              </w:rPr>
              <w:t>Strategic objective 9: Preparation of the National Bank for joining and membership in the European System of Central Banks.</w:t>
            </w:r>
          </w:p>
          <w:p w:rsidR="009D09C9" w:rsidRPr="00B262B0" w:rsidRDefault="009D09C9" w:rsidP="009D09C9">
            <w:pPr>
              <w:pStyle w:val="ListParagraph"/>
              <w:numPr>
                <w:ilvl w:val="1"/>
                <w:numId w:val="7"/>
              </w:numPr>
              <w:spacing w:line="240" w:lineRule="auto"/>
              <w:jc w:val="both"/>
              <w:rPr>
                <w:rFonts w:ascii="Times New Roman" w:hAnsi="Times New Roman"/>
                <w:sz w:val="24"/>
                <w:szCs w:val="24"/>
              </w:rPr>
            </w:pPr>
            <w:r w:rsidRPr="00B262B0">
              <w:rPr>
                <w:rFonts w:ascii="Times New Roman" w:hAnsi="Times New Roman"/>
                <w:sz w:val="24"/>
                <w:szCs w:val="24"/>
                <w:lang w:eastAsia="en-US"/>
              </w:rPr>
              <w:t xml:space="preserve">Strategic objective 11: Maintaining </w:t>
            </w:r>
            <w:r w:rsidR="00902D84" w:rsidRPr="00B262B0">
              <w:rPr>
                <w:rFonts w:ascii="Times New Roman" w:hAnsi="Times New Roman"/>
                <w:sz w:val="24"/>
                <w:szCs w:val="24"/>
                <w:lang w:eastAsia="en-US"/>
              </w:rPr>
              <w:t>stables</w:t>
            </w:r>
            <w:r w:rsidRPr="00B262B0">
              <w:rPr>
                <w:rFonts w:ascii="Times New Roman" w:hAnsi="Times New Roman"/>
                <w:sz w:val="24"/>
                <w:szCs w:val="24"/>
                <w:lang w:eastAsia="en-US"/>
              </w:rPr>
              <w:t xml:space="preserve"> information system and its upgrade in accordance with the existing capacities and international standards.</w:t>
            </w:r>
          </w:p>
          <w:p w:rsidR="00902D84" w:rsidRPr="00B262B0" w:rsidRDefault="00902D84" w:rsidP="00AB638C">
            <w:pPr>
              <w:pStyle w:val="ListParagraph"/>
              <w:spacing w:line="240" w:lineRule="auto"/>
              <w:ind w:left="1440"/>
              <w:jc w:val="both"/>
              <w:rPr>
                <w:rFonts w:ascii="Times New Roman" w:hAnsi="Times New Roman"/>
                <w:sz w:val="24"/>
                <w:szCs w:val="24"/>
              </w:rPr>
            </w:pPr>
          </w:p>
          <w:p w:rsidR="00546C8C" w:rsidRPr="00B262B0" w:rsidRDefault="00F10FAD"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sz w:val="24"/>
                <w:szCs w:val="24"/>
              </w:rPr>
              <w:t xml:space="preserve">The Action will also contribute to the implementation of the </w:t>
            </w:r>
            <w:r w:rsidRPr="00B262B0">
              <w:rPr>
                <w:rFonts w:ascii="Times New Roman" w:hAnsi="Times New Roman"/>
                <w:b/>
                <w:bCs/>
                <w:sz w:val="24"/>
                <w:szCs w:val="24"/>
              </w:rPr>
              <w:t>Industrial Strategy 2018 – 2027</w:t>
            </w:r>
            <w:r w:rsidR="00022083" w:rsidRPr="00B262B0">
              <w:rPr>
                <w:rFonts w:ascii="Times New Roman" w:hAnsi="Times New Roman"/>
                <w:b/>
                <w:bCs/>
                <w:sz w:val="24"/>
                <w:szCs w:val="24"/>
              </w:rPr>
              <w:t xml:space="preserve">; </w:t>
            </w:r>
            <w:r w:rsidR="00546C8C" w:rsidRPr="00B262B0">
              <w:rPr>
                <w:rFonts w:ascii="Times New Roman" w:hAnsi="Times New Roman"/>
                <w:b/>
                <w:bCs/>
                <w:sz w:val="24"/>
                <w:szCs w:val="24"/>
              </w:rPr>
              <w:t>and</w:t>
            </w:r>
          </w:p>
          <w:p w:rsidR="00022083" w:rsidRPr="00B262B0" w:rsidRDefault="00546C8C" w:rsidP="009D09C9">
            <w:pPr>
              <w:pStyle w:val="ListParagraph"/>
              <w:numPr>
                <w:ilvl w:val="0"/>
                <w:numId w:val="7"/>
              </w:numPr>
              <w:spacing w:line="240" w:lineRule="auto"/>
              <w:jc w:val="both"/>
              <w:rPr>
                <w:rFonts w:ascii="Times New Roman" w:hAnsi="Times New Roman"/>
                <w:iCs/>
                <w:sz w:val="24"/>
                <w:szCs w:val="24"/>
              </w:rPr>
            </w:pPr>
            <w:r w:rsidRPr="00B262B0">
              <w:rPr>
                <w:rFonts w:ascii="Times New Roman" w:hAnsi="Times New Roman"/>
                <w:sz w:val="24"/>
                <w:szCs w:val="24"/>
              </w:rPr>
              <w:t>The</w:t>
            </w:r>
            <w:r w:rsidR="004D1FBD" w:rsidRPr="00B262B0">
              <w:rPr>
                <w:rFonts w:ascii="Times New Roman" w:hAnsi="Times New Roman"/>
                <w:sz w:val="24"/>
                <w:szCs w:val="24"/>
              </w:rPr>
              <w:t xml:space="preserve"> </w:t>
            </w:r>
            <w:r w:rsidR="00F10FAD" w:rsidRPr="00B262B0">
              <w:rPr>
                <w:rFonts w:ascii="Times New Roman" w:hAnsi="Times New Roman"/>
                <w:b/>
                <w:bCs/>
                <w:sz w:val="24"/>
                <w:szCs w:val="24"/>
              </w:rPr>
              <w:t>Innovation Strategy 2012 – 2020</w:t>
            </w:r>
            <w:r w:rsidR="00022083" w:rsidRPr="00B262B0">
              <w:rPr>
                <w:rFonts w:ascii="Times New Roman" w:hAnsi="Times New Roman"/>
                <w:b/>
                <w:bCs/>
                <w:sz w:val="24"/>
                <w:szCs w:val="24"/>
              </w:rPr>
              <w:t>.</w:t>
            </w:r>
          </w:p>
        </w:tc>
      </w:tr>
      <w:tr w:rsidR="00D92F6C" w:rsidRPr="00B262B0" w:rsidTr="0090686E">
        <w:trPr>
          <w:jc w:val="center"/>
        </w:trPr>
        <w:tc>
          <w:tcPr>
            <w:tcW w:w="534" w:type="dxa"/>
            <w:vMerge/>
            <w:tcBorders>
              <w:left w:val="single" w:sz="4" w:space="0" w:color="auto"/>
              <w:right w:val="single" w:sz="4" w:space="0" w:color="auto"/>
            </w:tcBorders>
          </w:tcPr>
          <w:p w:rsidR="00D92F6C" w:rsidRPr="00B262B0" w:rsidRDefault="00D92F6C" w:rsidP="00392B54">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B262B0" w:rsidRDefault="00D92F6C" w:rsidP="00392B54">
            <w:pPr>
              <w:rPr>
                <w:rFonts w:ascii="Times New Roman" w:hAnsi="Times New Roman"/>
                <w:sz w:val="24"/>
                <w:szCs w:val="24"/>
              </w:rPr>
            </w:pPr>
            <w:r w:rsidRPr="00B262B0">
              <w:rPr>
                <w:rFonts w:ascii="Times New Roman" w:hAnsi="Times New Roman"/>
                <w:sz w:val="24"/>
                <w:szCs w:val="24"/>
              </w:rPr>
              <w:t xml:space="preserve">Coherence </w:t>
            </w:r>
            <w:r w:rsidR="00902D84" w:rsidRPr="00B262B0">
              <w:rPr>
                <w:rFonts w:ascii="Times New Roman" w:hAnsi="Times New Roman"/>
                <w:sz w:val="24"/>
                <w:szCs w:val="24"/>
              </w:rPr>
              <w:t>with the</w:t>
            </w:r>
            <w:r w:rsidRPr="00B262B0">
              <w:rPr>
                <w:rFonts w:ascii="Times New Roman" w:hAnsi="Times New Roman"/>
                <w:sz w:val="24"/>
                <w:szCs w:val="24"/>
              </w:rPr>
              <w:t xml:space="preserve"> Sector Approach</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732040" w:rsidRPr="00B262B0" w:rsidRDefault="00732040" w:rsidP="00732040">
            <w:pPr>
              <w:spacing w:line="240" w:lineRule="auto"/>
              <w:jc w:val="both"/>
              <w:rPr>
                <w:rFonts w:ascii="Times New Roman" w:hAnsi="Times New Roman"/>
                <w:sz w:val="24"/>
                <w:szCs w:val="24"/>
                <w:lang w:bidi="mn-Mong-CN"/>
              </w:rPr>
            </w:pPr>
            <w:r w:rsidRPr="00B262B0">
              <w:rPr>
                <w:rFonts w:ascii="Times New Roman" w:hAnsi="Times New Roman"/>
                <w:sz w:val="24"/>
                <w:szCs w:val="24"/>
                <w:lang w:bidi="mn-Mong-CN"/>
              </w:rPr>
              <w:t xml:space="preserve">North Macedonia has progressed in introducing the Sector Approach since 2017. </w:t>
            </w:r>
          </w:p>
          <w:p w:rsidR="00546C8C" w:rsidRPr="00B262B0" w:rsidRDefault="00732040" w:rsidP="00574CCB">
            <w:pPr>
              <w:spacing w:line="240" w:lineRule="auto"/>
              <w:jc w:val="both"/>
              <w:rPr>
                <w:rFonts w:ascii="Times New Roman" w:hAnsi="Times New Roman"/>
                <w:sz w:val="24"/>
                <w:szCs w:val="24"/>
                <w:lang w:bidi="mn-Mong-CN"/>
              </w:rPr>
            </w:pPr>
            <w:proofErr w:type="gramStart"/>
            <w:r w:rsidRPr="00B262B0">
              <w:rPr>
                <w:rFonts w:ascii="Times New Roman" w:hAnsi="Times New Roman"/>
                <w:sz w:val="24"/>
                <w:szCs w:val="24"/>
                <w:lang w:bidi="mn-Mong-CN"/>
              </w:rPr>
              <w:t>The strategic framework related to good governance is established and includes a number of documents.</w:t>
            </w:r>
            <w:proofErr w:type="gramEnd"/>
            <w:r w:rsidRPr="00B262B0">
              <w:rPr>
                <w:rFonts w:ascii="Times New Roman" w:hAnsi="Times New Roman"/>
                <w:sz w:val="24"/>
                <w:szCs w:val="24"/>
                <w:lang w:bidi="mn-Mong-CN"/>
              </w:rPr>
              <w:t xml:space="preserve"> The main strategies clearly set the long-term objectives and priorities in the sector. The strategic framework in the Thematic Priority good governance is under three</w:t>
            </w:r>
            <w:r w:rsidR="004D1FBD" w:rsidRPr="00B262B0">
              <w:rPr>
                <w:rFonts w:ascii="Times New Roman" w:hAnsi="Times New Roman"/>
                <w:sz w:val="24"/>
                <w:szCs w:val="24"/>
                <w:lang w:bidi="mn-Mong-CN"/>
              </w:rPr>
              <w:t xml:space="preserve"> </w:t>
            </w:r>
            <w:r w:rsidRPr="00B262B0">
              <w:rPr>
                <w:rFonts w:ascii="Times New Roman" w:hAnsi="Times New Roman"/>
                <w:sz w:val="24"/>
                <w:szCs w:val="24"/>
                <w:lang w:bidi="mn-Mong-CN"/>
              </w:rPr>
              <w:t xml:space="preserve">Sector Working Groups (SWG); two of the SWGs – the one on PAR and the other one on PFM - operate </w:t>
            </w:r>
            <w:r w:rsidR="004D1FBD" w:rsidRPr="00B262B0">
              <w:rPr>
                <w:rFonts w:ascii="Times New Roman" w:hAnsi="Times New Roman"/>
                <w:sz w:val="24"/>
                <w:szCs w:val="24"/>
                <w:lang w:bidi="mn-Mong-CN"/>
              </w:rPr>
              <w:t>regularly and smoothly since it</w:t>
            </w:r>
            <w:r w:rsidRPr="00B262B0">
              <w:rPr>
                <w:rFonts w:ascii="Times New Roman" w:hAnsi="Times New Roman"/>
                <w:sz w:val="24"/>
                <w:szCs w:val="24"/>
                <w:lang w:bidi="mn-Mong-CN"/>
              </w:rPr>
              <w:t xml:space="preserve">s establishment in 2017. The SWG on Local and Regional Development started its work in 2019. The SWGs work in an inclusive and participatory manner, platforms to voice the opinion of various donors, relevant state institutions and civil society on how the sector develops, </w:t>
            </w:r>
            <w:r w:rsidRPr="00B262B0">
              <w:rPr>
                <w:rFonts w:ascii="Times New Roman" w:hAnsi="Times New Roman"/>
                <w:sz w:val="24"/>
                <w:szCs w:val="24"/>
                <w:lang w:bidi="mn-Mong-CN"/>
              </w:rPr>
              <w:lastRenderedPageBreak/>
              <w:t xml:space="preserve">how effective the current policies are, how the various donors contribute to the national sector priorities.  </w:t>
            </w:r>
            <w:r w:rsidR="00546C8C" w:rsidRPr="00B262B0">
              <w:rPr>
                <w:rFonts w:ascii="Times New Roman" w:hAnsi="Times New Roman"/>
                <w:sz w:val="24"/>
                <w:szCs w:val="24"/>
                <w:lang w:bidi="mn-Mong-CN"/>
              </w:rPr>
              <w:t xml:space="preserve">It is also relevant to mention that, although </w:t>
            </w:r>
            <w:proofErr w:type="gramStart"/>
            <w:r w:rsidR="00546C8C" w:rsidRPr="00B262B0">
              <w:rPr>
                <w:rFonts w:ascii="Times New Roman" w:hAnsi="Times New Roman"/>
                <w:sz w:val="24"/>
                <w:szCs w:val="24"/>
                <w:lang w:bidi="mn-Mong-CN"/>
              </w:rPr>
              <w:t>Digital transformation is channelled by the Sector Working Group on Public Administration Reform</w:t>
            </w:r>
            <w:proofErr w:type="gramEnd"/>
            <w:r w:rsidR="00546C8C" w:rsidRPr="00B262B0">
              <w:rPr>
                <w:rFonts w:ascii="Times New Roman" w:hAnsi="Times New Roman"/>
                <w:sz w:val="24"/>
                <w:szCs w:val="24"/>
                <w:lang w:bidi="mn-Mong-CN"/>
              </w:rPr>
              <w:t xml:space="preserve">, a Digital Forum has been set up to support the digitalisation and to stimulate the ICT sector. The forum is comprised of representatives of ICT chambers, Universities, the Minister of MISA, the President of the National ICT Council, as well as NGOs working in the ICT field. </w:t>
            </w:r>
          </w:p>
          <w:p w:rsidR="00732040" w:rsidRPr="00B262B0" w:rsidRDefault="00732040" w:rsidP="00732040">
            <w:pPr>
              <w:spacing w:line="240" w:lineRule="auto"/>
              <w:jc w:val="both"/>
              <w:rPr>
                <w:rFonts w:ascii="Times New Roman" w:hAnsi="Times New Roman"/>
                <w:sz w:val="24"/>
                <w:szCs w:val="24"/>
                <w:lang w:bidi="mn-Mong-CN"/>
              </w:rPr>
            </w:pPr>
            <w:r w:rsidRPr="00B262B0">
              <w:rPr>
                <w:rFonts w:ascii="Times New Roman" w:hAnsi="Times New Roman"/>
                <w:sz w:val="24"/>
                <w:szCs w:val="24"/>
                <w:lang w:bidi="mn-Mong-CN"/>
              </w:rPr>
              <w:t xml:space="preserve">In 2020, the development of </w:t>
            </w:r>
            <w:proofErr w:type="gramStart"/>
            <w:r w:rsidRPr="00B262B0">
              <w:rPr>
                <w:rFonts w:ascii="Times New Roman" w:hAnsi="Times New Roman"/>
                <w:sz w:val="24"/>
                <w:szCs w:val="24"/>
                <w:lang w:bidi="mn-Mong-CN"/>
              </w:rPr>
              <w:t>sector performance assessment framework</w:t>
            </w:r>
            <w:proofErr w:type="gramEnd"/>
            <w:r w:rsidRPr="00B262B0">
              <w:rPr>
                <w:rFonts w:ascii="Times New Roman" w:hAnsi="Times New Roman"/>
                <w:sz w:val="24"/>
                <w:szCs w:val="24"/>
                <w:lang w:bidi="mn-Mong-CN"/>
              </w:rPr>
              <w:t xml:space="preserve"> - based on a set of impact and outcome indicators, targets and baseline data - was another significant step taken. Altogether 20+ indicators </w:t>
            </w:r>
            <w:proofErr w:type="gramStart"/>
            <w:r w:rsidRPr="00B262B0">
              <w:rPr>
                <w:rFonts w:ascii="Times New Roman" w:hAnsi="Times New Roman"/>
                <w:sz w:val="24"/>
                <w:szCs w:val="24"/>
                <w:lang w:bidi="mn-Mong-CN"/>
              </w:rPr>
              <w:t>were developed and agreed for the sector by the SWGs and the Government,</w:t>
            </w:r>
            <w:proofErr w:type="gramEnd"/>
            <w:r w:rsidRPr="00B262B0">
              <w:rPr>
                <w:rFonts w:ascii="Times New Roman" w:hAnsi="Times New Roman"/>
                <w:sz w:val="24"/>
                <w:szCs w:val="24"/>
                <w:lang w:bidi="mn-Mong-CN"/>
              </w:rPr>
              <w:t xml:space="preserve"> which define the sector policy of the country for the next period. Moreover, these indicators provide a solid system for measuring the progress in compliance with evidence-based approach in </w:t>
            </w:r>
            <w:proofErr w:type="gramStart"/>
            <w:r w:rsidRPr="00B262B0">
              <w:rPr>
                <w:rFonts w:ascii="Times New Roman" w:hAnsi="Times New Roman"/>
                <w:sz w:val="24"/>
                <w:szCs w:val="24"/>
                <w:lang w:bidi="mn-Mong-CN"/>
              </w:rPr>
              <w:t>policy making</w:t>
            </w:r>
            <w:proofErr w:type="gramEnd"/>
            <w:r w:rsidRPr="00B262B0">
              <w:rPr>
                <w:rFonts w:ascii="Times New Roman" w:hAnsi="Times New Roman"/>
                <w:sz w:val="24"/>
                <w:szCs w:val="24"/>
                <w:lang w:bidi="mn-Mong-CN"/>
              </w:rPr>
              <w:t>.</w:t>
            </w:r>
          </w:p>
          <w:p w:rsidR="00732040" w:rsidRPr="00B262B0" w:rsidRDefault="00732040" w:rsidP="00AB638C">
            <w:pPr>
              <w:spacing w:after="0" w:line="240" w:lineRule="auto"/>
              <w:jc w:val="both"/>
              <w:rPr>
                <w:rFonts w:ascii="Times New Roman" w:hAnsi="Times New Roman"/>
                <w:sz w:val="24"/>
                <w:szCs w:val="24"/>
                <w:lang w:bidi="mn-Mong-CN"/>
              </w:rPr>
            </w:pPr>
            <w:r w:rsidRPr="00B262B0">
              <w:rPr>
                <w:rFonts w:ascii="Times New Roman" w:hAnsi="Times New Roman"/>
                <w:sz w:val="24"/>
                <w:szCs w:val="24"/>
                <w:lang w:bidi="mn-Mong-CN"/>
              </w:rPr>
              <w:t xml:space="preserve">The institutional arrangements are in place to drive and coordinate the public administration reform and the public financial management reform. The sector and donor coordination </w:t>
            </w:r>
            <w:proofErr w:type="gramStart"/>
            <w:r w:rsidRPr="00B262B0">
              <w:rPr>
                <w:rFonts w:ascii="Times New Roman" w:hAnsi="Times New Roman"/>
                <w:sz w:val="24"/>
                <w:szCs w:val="24"/>
                <w:lang w:bidi="mn-Mong-CN"/>
              </w:rPr>
              <w:t>has been ensured in line with the Sector Policy Co-ordination Framework as developed by the SEA and adopted by the government</w:t>
            </w:r>
            <w:proofErr w:type="gramEnd"/>
            <w:r w:rsidRPr="00B262B0">
              <w:rPr>
                <w:rFonts w:ascii="Times New Roman" w:hAnsi="Times New Roman"/>
                <w:sz w:val="24"/>
                <w:szCs w:val="24"/>
                <w:lang w:bidi="mn-Mong-CN"/>
              </w:rPr>
              <w:t xml:space="preserve">. Overall, the institutional set-up is supportive to on-going and planned reforms.  However, the administrative capacity </w:t>
            </w:r>
            <w:proofErr w:type="gramStart"/>
            <w:r w:rsidRPr="00B262B0">
              <w:rPr>
                <w:rFonts w:ascii="Times New Roman" w:hAnsi="Times New Roman"/>
                <w:sz w:val="24"/>
                <w:szCs w:val="24"/>
                <w:lang w:bidi="mn-Mong-CN"/>
              </w:rPr>
              <w:t>should be further strengthened</w:t>
            </w:r>
            <w:proofErr w:type="gramEnd"/>
            <w:r w:rsidRPr="00B262B0">
              <w:rPr>
                <w:rFonts w:ascii="Times New Roman" w:hAnsi="Times New Roman"/>
                <w:sz w:val="24"/>
                <w:szCs w:val="24"/>
                <w:lang w:bidi="mn-Mong-CN"/>
              </w:rPr>
              <w:t xml:space="preserve"> to ensure full implementation of adopted legislation. Lack of staff with adequate competences and involvement in the procedures, satisfactory level of managerial accountability in the decision-making process are some of the key challenges that are to </w:t>
            </w:r>
            <w:proofErr w:type="gramStart"/>
            <w:r w:rsidRPr="00B262B0">
              <w:rPr>
                <w:rFonts w:ascii="Times New Roman" w:hAnsi="Times New Roman"/>
                <w:sz w:val="24"/>
                <w:szCs w:val="24"/>
                <w:lang w:bidi="mn-Mong-CN"/>
              </w:rPr>
              <w:t>be addressed</w:t>
            </w:r>
            <w:proofErr w:type="gramEnd"/>
            <w:r w:rsidRPr="00B262B0">
              <w:rPr>
                <w:rFonts w:ascii="Times New Roman" w:hAnsi="Times New Roman"/>
                <w:sz w:val="24"/>
                <w:szCs w:val="24"/>
                <w:lang w:bidi="mn-Mong-CN"/>
              </w:rPr>
              <w:t xml:space="preserve"> at sector level and through the ongoing public administration reform.</w:t>
            </w:r>
          </w:p>
          <w:p w:rsidR="00902D84" w:rsidRPr="00B262B0" w:rsidRDefault="00902D84" w:rsidP="00AB638C">
            <w:pPr>
              <w:spacing w:after="0" w:line="240" w:lineRule="auto"/>
              <w:jc w:val="both"/>
              <w:rPr>
                <w:rFonts w:ascii="Times New Roman" w:hAnsi="Times New Roman"/>
                <w:sz w:val="24"/>
                <w:szCs w:val="24"/>
                <w:lang w:bidi="mn-Mong-CN"/>
              </w:rPr>
            </w:pPr>
          </w:p>
          <w:p w:rsidR="00776697" w:rsidRPr="00B262B0" w:rsidRDefault="00732040" w:rsidP="00AB638C">
            <w:pPr>
              <w:spacing w:after="0" w:line="240" w:lineRule="auto"/>
              <w:jc w:val="both"/>
              <w:rPr>
                <w:rFonts w:ascii="Times New Roman" w:hAnsi="Times New Roman"/>
                <w:sz w:val="24"/>
                <w:szCs w:val="24"/>
                <w:lang w:bidi="mn-Mong-CN"/>
              </w:rPr>
            </w:pPr>
            <w:r w:rsidRPr="00B262B0">
              <w:rPr>
                <w:rFonts w:ascii="Times New Roman" w:hAnsi="Times New Roman"/>
                <w:sz w:val="24"/>
                <w:szCs w:val="24"/>
                <w:lang w:bidi="mn-Mong-CN"/>
              </w:rPr>
              <w:t>Alongside the strengthening of PAR implementation, the further support to the development of a midterm budget perspective is certainly recommendable, also in order to provide additional support to accountability and good governance in public finance and support enhancing financial management and control.</w:t>
            </w:r>
          </w:p>
        </w:tc>
      </w:tr>
      <w:tr w:rsidR="00D92F6C" w:rsidRPr="00B262B0" w:rsidTr="0090686E">
        <w:trPr>
          <w:jc w:val="center"/>
        </w:trPr>
        <w:tc>
          <w:tcPr>
            <w:tcW w:w="534" w:type="dxa"/>
            <w:vMerge/>
            <w:tcBorders>
              <w:left w:val="single" w:sz="4" w:space="0" w:color="auto"/>
              <w:bottom w:val="single" w:sz="4" w:space="0" w:color="auto"/>
              <w:right w:val="single" w:sz="4" w:space="0" w:color="auto"/>
            </w:tcBorders>
          </w:tcPr>
          <w:p w:rsidR="00D92F6C" w:rsidRPr="00B262B0" w:rsidRDefault="00D92F6C" w:rsidP="00392B54">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B262B0" w:rsidRDefault="00D92F6C" w:rsidP="00392B54">
            <w:pPr>
              <w:rPr>
                <w:rFonts w:ascii="Times New Roman" w:hAnsi="Times New Roman"/>
                <w:sz w:val="24"/>
                <w:szCs w:val="24"/>
              </w:rPr>
            </w:pPr>
            <w:r w:rsidRPr="00B262B0">
              <w:rPr>
                <w:rFonts w:ascii="Times New Roman" w:hAnsi="Times New Roman"/>
                <w:sz w:val="24"/>
                <w:szCs w:val="24"/>
              </w:rPr>
              <w:t>Regional dimension</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D92F6C" w:rsidRPr="00B262B0" w:rsidRDefault="00732040" w:rsidP="00085CAE">
            <w:pPr>
              <w:spacing w:after="120" w:line="240" w:lineRule="auto"/>
              <w:jc w:val="both"/>
              <w:rPr>
                <w:rFonts w:ascii="Times New Roman" w:hAnsi="Times New Roman"/>
                <w:sz w:val="24"/>
                <w:szCs w:val="24"/>
              </w:rPr>
            </w:pPr>
            <w:r w:rsidRPr="00B262B0">
              <w:rPr>
                <w:rFonts w:ascii="Times New Roman" w:hAnsi="Times New Roman"/>
                <w:i/>
                <w:sz w:val="24"/>
                <w:szCs w:val="24"/>
              </w:rPr>
              <w:t>Not applicable</w:t>
            </w:r>
          </w:p>
        </w:tc>
      </w:tr>
      <w:tr w:rsidR="00D92F6C" w:rsidRPr="00B262B0" w:rsidTr="0090686E">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B262B0" w:rsidRDefault="00D92F6C" w:rsidP="00392B54">
            <w:pPr>
              <w:rPr>
                <w:rFonts w:ascii="Times New Roman" w:hAnsi="Times New Roman"/>
                <w:sz w:val="24"/>
                <w:szCs w:val="24"/>
              </w:rPr>
            </w:pPr>
            <w:r w:rsidRPr="00B262B0">
              <w:rPr>
                <w:rFonts w:ascii="Times New Roman" w:hAnsi="Times New Roman"/>
                <w:sz w:val="24"/>
                <w:szCs w:val="24"/>
              </w:rPr>
              <w:t>Indicative budget</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B766E4" w:rsidRPr="00B262B0" w:rsidRDefault="00B766E4" w:rsidP="00392B54">
            <w:pPr>
              <w:spacing w:after="120" w:line="240" w:lineRule="auto"/>
              <w:jc w:val="both"/>
              <w:rPr>
                <w:rFonts w:ascii="Times New Roman" w:hAnsi="Times New Roman"/>
                <w:sz w:val="24"/>
                <w:szCs w:val="24"/>
                <w:lang w:val="en-US"/>
              </w:rPr>
            </w:pPr>
            <w:r w:rsidRPr="00B262B0">
              <w:rPr>
                <w:rFonts w:ascii="Times New Roman" w:hAnsi="Times New Roman"/>
                <w:sz w:val="24"/>
                <w:szCs w:val="24"/>
                <w:lang w:val="de-DE"/>
              </w:rPr>
              <w:t>Total</w:t>
            </w:r>
            <w:r w:rsidR="00B262B0" w:rsidRPr="00B262B0">
              <w:rPr>
                <w:rFonts w:ascii="Times New Roman" w:hAnsi="Times New Roman"/>
                <w:sz w:val="24"/>
                <w:szCs w:val="24"/>
                <w:lang w:val="de-DE"/>
              </w:rPr>
              <w:t xml:space="preserve"> </w:t>
            </w:r>
            <w:proofErr w:type="spellStart"/>
            <w:r w:rsidR="00B262B0" w:rsidRPr="00B262B0">
              <w:rPr>
                <w:rFonts w:ascii="Times New Roman" w:hAnsi="Times New Roman"/>
                <w:sz w:val="24"/>
                <w:szCs w:val="24"/>
                <w:lang w:val="de-DE"/>
              </w:rPr>
              <w:t>budget</w:t>
            </w:r>
            <w:proofErr w:type="spellEnd"/>
            <w:r w:rsidR="00B262B0" w:rsidRPr="00B262B0">
              <w:rPr>
                <w:rFonts w:ascii="Times New Roman" w:hAnsi="Times New Roman"/>
                <w:sz w:val="24"/>
                <w:szCs w:val="24"/>
                <w:lang w:val="de-DE"/>
              </w:rPr>
              <w:t xml:space="preserve">: EUR </w:t>
            </w:r>
            <w:r w:rsidR="00085EB8" w:rsidRPr="00B262B0">
              <w:rPr>
                <w:rFonts w:ascii="Times New Roman" w:hAnsi="Times New Roman"/>
                <w:sz w:val="24"/>
                <w:szCs w:val="24"/>
                <w:lang w:val="de-DE"/>
              </w:rPr>
              <w:t>9,0</w:t>
            </w:r>
            <w:r w:rsidR="00B262B0" w:rsidRPr="00B262B0">
              <w:rPr>
                <w:rFonts w:ascii="Times New Roman" w:hAnsi="Times New Roman"/>
                <w:sz w:val="24"/>
                <w:szCs w:val="24"/>
                <w:lang w:val="de-DE"/>
              </w:rPr>
              <w:t>00,000</w:t>
            </w:r>
          </w:p>
          <w:p w:rsidR="00D92F6C" w:rsidRPr="00B262B0" w:rsidRDefault="00B766E4" w:rsidP="00392B54">
            <w:pPr>
              <w:spacing w:after="120" w:line="240" w:lineRule="auto"/>
              <w:jc w:val="both"/>
              <w:rPr>
                <w:rFonts w:ascii="Times New Roman" w:hAnsi="Times New Roman"/>
                <w:sz w:val="24"/>
                <w:szCs w:val="24"/>
                <w:lang w:val="en-US"/>
              </w:rPr>
            </w:pPr>
            <w:r w:rsidRPr="00B262B0">
              <w:rPr>
                <w:rFonts w:ascii="Times New Roman" w:hAnsi="Times New Roman"/>
                <w:sz w:val="24"/>
                <w:szCs w:val="24"/>
                <w:lang w:val="en-US"/>
              </w:rPr>
              <w:t xml:space="preserve">EU </w:t>
            </w:r>
            <w:r w:rsidR="00B262B0" w:rsidRPr="00B262B0">
              <w:rPr>
                <w:rFonts w:ascii="Times New Roman" w:hAnsi="Times New Roman"/>
                <w:sz w:val="24"/>
                <w:szCs w:val="24"/>
                <w:lang w:val="en-US"/>
              </w:rPr>
              <w:t>funding</w:t>
            </w:r>
            <w:r w:rsidRPr="00B262B0">
              <w:rPr>
                <w:rFonts w:ascii="Times New Roman" w:hAnsi="Times New Roman"/>
                <w:sz w:val="24"/>
                <w:szCs w:val="24"/>
                <w:lang w:val="en-US"/>
              </w:rPr>
              <w:t xml:space="preserve">: </w:t>
            </w:r>
            <w:r w:rsidR="00B262B0" w:rsidRPr="00B262B0">
              <w:rPr>
                <w:rFonts w:ascii="Times New Roman" w:hAnsi="Times New Roman"/>
                <w:sz w:val="24"/>
                <w:szCs w:val="24"/>
                <w:lang w:val="en-US"/>
              </w:rPr>
              <w:t xml:space="preserve">EUR </w:t>
            </w:r>
            <w:r w:rsidR="00346714" w:rsidRPr="00B262B0">
              <w:rPr>
                <w:rFonts w:ascii="Times New Roman" w:hAnsi="Times New Roman"/>
                <w:sz w:val="24"/>
                <w:szCs w:val="24"/>
                <w:lang w:val="en-US"/>
              </w:rPr>
              <w:t>8,0</w:t>
            </w:r>
            <w:r w:rsidR="00B262B0" w:rsidRPr="00B262B0">
              <w:rPr>
                <w:rFonts w:ascii="Times New Roman" w:hAnsi="Times New Roman"/>
                <w:sz w:val="24"/>
                <w:szCs w:val="24"/>
                <w:lang w:val="en-US"/>
              </w:rPr>
              <w:t>00,000</w:t>
            </w:r>
          </w:p>
          <w:p w:rsidR="00364BC0" w:rsidRPr="00B262B0" w:rsidRDefault="00B262B0" w:rsidP="00560A24">
            <w:pPr>
              <w:spacing w:after="120" w:line="240" w:lineRule="auto"/>
              <w:jc w:val="both"/>
              <w:rPr>
                <w:rFonts w:ascii="Times New Roman" w:hAnsi="Times New Roman"/>
                <w:sz w:val="24"/>
                <w:szCs w:val="24"/>
              </w:rPr>
            </w:pPr>
            <w:r w:rsidRPr="00B262B0">
              <w:rPr>
                <w:rFonts w:ascii="Times New Roman" w:hAnsi="Times New Roman"/>
                <w:sz w:val="24"/>
                <w:szCs w:val="24"/>
              </w:rPr>
              <w:t>National funding: EUR 1,000.000</w:t>
            </w:r>
            <w:r w:rsidR="00560A24" w:rsidRPr="00B262B0">
              <w:rPr>
                <w:rFonts w:ascii="Times New Roman" w:hAnsi="Times New Roman"/>
                <w:iCs/>
                <w:sz w:val="24"/>
                <w:szCs w:val="24"/>
              </w:rPr>
              <w:t xml:space="preserve"> </w:t>
            </w:r>
          </w:p>
        </w:tc>
      </w:tr>
      <w:tr w:rsidR="00364BC0" w:rsidRPr="00B262B0" w:rsidTr="0090686E">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364BC0" w:rsidRPr="00B262B0" w:rsidRDefault="00364BC0" w:rsidP="00364BC0">
            <w:pPr>
              <w:rPr>
                <w:rFonts w:ascii="Times New Roman" w:hAnsi="Times New Roman"/>
                <w:sz w:val="24"/>
                <w:szCs w:val="24"/>
              </w:rPr>
            </w:pPr>
            <w:r w:rsidRPr="00B262B0">
              <w:rPr>
                <w:rFonts w:ascii="Times New Roman" w:hAnsi="Times New Roman"/>
                <w:sz w:val="24"/>
                <w:szCs w:val="24"/>
              </w:rPr>
              <w:t>Implementation Modality</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574BC0" w:rsidRPr="00B262B0" w:rsidRDefault="00560A24" w:rsidP="00560A24">
            <w:pPr>
              <w:spacing w:after="120" w:line="240" w:lineRule="auto"/>
              <w:jc w:val="both"/>
              <w:rPr>
                <w:rFonts w:ascii="Times New Roman" w:hAnsi="Times New Roman"/>
                <w:iCs/>
                <w:sz w:val="24"/>
                <w:szCs w:val="24"/>
              </w:rPr>
            </w:pPr>
            <w:r w:rsidRPr="00B262B0">
              <w:rPr>
                <w:rFonts w:ascii="Times New Roman" w:hAnsi="Times New Roman"/>
                <w:iCs/>
                <w:sz w:val="24"/>
                <w:szCs w:val="24"/>
              </w:rPr>
              <w:t xml:space="preserve">The Action </w:t>
            </w:r>
            <w:proofErr w:type="gramStart"/>
            <w:r>
              <w:rPr>
                <w:rFonts w:ascii="Times New Roman" w:hAnsi="Times New Roman"/>
                <w:iCs/>
                <w:sz w:val="24"/>
                <w:szCs w:val="24"/>
              </w:rPr>
              <w:t>will be</w:t>
            </w:r>
            <w:r w:rsidRPr="00B262B0">
              <w:rPr>
                <w:rFonts w:ascii="Times New Roman" w:hAnsi="Times New Roman"/>
                <w:iCs/>
                <w:sz w:val="24"/>
                <w:szCs w:val="24"/>
              </w:rPr>
              <w:t xml:space="preserve"> impl</w:t>
            </w:r>
            <w:r>
              <w:rPr>
                <w:rFonts w:ascii="Times New Roman" w:hAnsi="Times New Roman"/>
                <w:iCs/>
                <w:sz w:val="24"/>
                <w:szCs w:val="24"/>
              </w:rPr>
              <w:t>emented</w:t>
            </w:r>
            <w:proofErr w:type="gramEnd"/>
            <w:r>
              <w:rPr>
                <w:rFonts w:ascii="Times New Roman" w:hAnsi="Times New Roman"/>
                <w:iCs/>
                <w:sz w:val="24"/>
                <w:szCs w:val="24"/>
              </w:rPr>
              <w:t xml:space="preserve"> under Direct Management through procurement (service, supplies) and grants. </w:t>
            </w:r>
            <w:r w:rsidRPr="00B262B0">
              <w:rPr>
                <w:rFonts w:ascii="Times New Roman" w:hAnsi="Times New Roman"/>
                <w:iCs/>
                <w:sz w:val="24"/>
                <w:szCs w:val="24"/>
              </w:rPr>
              <w:t xml:space="preserve"> </w:t>
            </w:r>
          </w:p>
        </w:tc>
      </w:tr>
      <w:tr w:rsidR="00364BC0" w:rsidRPr="00B262B0" w:rsidTr="0090686E">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364BC0" w:rsidRPr="00B262B0" w:rsidRDefault="00364BC0" w:rsidP="00364BC0">
            <w:pPr>
              <w:rPr>
                <w:rFonts w:ascii="Times New Roman" w:hAnsi="Times New Roman"/>
                <w:sz w:val="24"/>
                <w:szCs w:val="24"/>
              </w:rPr>
            </w:pPr>
            <w:r w:rsidRPr="00B262B0">
              <w:rPr>
                <w:rFonts w:ascii="Times New Roman" w:hAnsi="Times New Roman"/>
                <w:sz w:val="24"/>
                <w:szCs w:val="24"/>
              </w:rPr>
              <w:t>Budget Support Readiness (only if the action is implemented through Budget Support)</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364BC0" w:rsidRPr="00B262B0" w:rsidRDefault="00364BC0" w:rsidP="00364BC0">
            <w:pPr>
              <w:spacing w:after="120" w:line="240" w:lineRule="auto"/>
              <w:jc w:val="both"/>
              <w:rPr>
                <w:rFonts w:ascii="Times New Roman" w:hAnsi="Times New Roman"/>
                <w:i/>
                <w:sz w:val="24"/>
                <w:szCs w:val="24"/>
              </w:rPr>
            </w:pPr>
            <w:r w:rsidRPr="00B262B0">
              <w:rPr>
                <w:rFonts w:ascii="Times New Roman" w:hAnsi="Times New Roman"/>
                <w:i/>
                <w:sz w:val="24"/>
                <w:szCs w:val="24"/>
              </w:rPr>
              <w:t>Not applicable</w:t>
            </w:r>
          </w:p>
        </w:tc>
      </w:tr>
    </w:tbl>
    <w:p w:rsidR="00D92F6C" w:rsidRPr="00B262B0" w:rsidRDefault="00D92F6C" w:rsidP="00D92F6C">
      <w:pPr>
        <w:spacing w:after="0" w:line="240" w:lineRule="auto"/>
        <w:jc w:val="both"/>
        <w:rPr>
          <w:rFonts w:ascii="Times New Roman" w:hAnsi="Times New Roman"/>
          <w:i/>
          <w:sz w:val="24"/>
          <w:szCs w:val="24"/>
        </w:rPr>
        <w:sectPr w:rsidR="00D92F6C" w:rsidRPr="00B262B0">
          <w:pgSz w:w="11906" w:h="16838"/>
          <w:pgMar w:top="1440" w:right="1440" w:bottom="1440" w:left="1440" w:header="708" w:footer="708" w:gutter="0"/>
          <w:cols w:space="708"/>
          <w:docGrid w:linePitch="360"/>
        </w:sectPr>
      </w:pPr>
    </w:p>
    <w:p w:rsidR="00D92F6C" w:rsidRPr="00B262B0" w:rsidRDefault="00D92F6C" w:rsidP="00D92F6C">
      <w:pPr>
        <w:rPr>
          <w:rFonts w:ascii="Times New Roman" w:hAnsi="Times New Roman"/>
          <w:bCs/>
          <w:smallCaps/>
          <w:sz w:val="24"/>
          <w:szCs w:val="24"/>
          <w:lang w:val="fr-FR"/>
        </w:rPr>
      </w:pPr>
      <w:bookmarkStart w:id="1" w:name="_Toc33698402"/>
      <w:r w:rsidRPr="00B262B0">
        <w:rPr>
          <w:rFonts w:ascii="Times New Roman" w:hAnsi="Times New Roman"/>
          <w:b/>
          <w:bCs/>
          <w:smallCaps/>
          <w:sz w:val="24"/>
          <w:szCs w:val="24"/>
          <w:lang w:val="fr-FR"/>
        </w:rPr>
        <w:lastRenderedPageBreak/>
        <w:t>LOGICAL FRAMEWORK MATRIX [2 PAGES MAXIMUM]</w:t>
      </w:r>
      <w:bookmarkEnd w:id="1"/>
    </w:p>
    <w:tbl>
      <w:tblPr>
        <w:tblW w:w="1530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967"/>
        <w:gridCol w:w="1440"/>
        <w:gridCol w:w="1440"/>
        <w:gridCol w:w="1350"/>
        <w:gridCol w:w="1584"/>
        <w:gridCol w:w="2126"/>
      </w:tblGrid>
      <w:tr w:rsidR="00820AF3" w:rsidRPr="00B262B0" w:rsidTr="00B62F25">
        <w:trPr>
          <w:trHeight w:val="1145"/>
        </w:trPr>
        <w:tc>
          <w:tcPr>
            <w:tcW w:w="3402" w:type="dxa"/>
            <w:shd w:val="clear" w:color="auto" w:fill="FFFFFF"/>
            <w:vAlign w:val="center"/>
          </w:tcPr>
          <w:p w:rsidR="00820AF3" w:rsidRPr="00B262B0" w:rsidRDefault="00820AF3" w:rsidP="00B62F25">
            <w:pPr>
              <w:shd w:val="clear" w:color="auto" w:fill="FFFFFF"/>
              <w:spacing w:before="100" w:beforeAutospacing="1" w:after="100" w:afterAutospacing="1"/>
              <w:jc w:val="center"/>
              <w:rPr>
                <w:rFonts w:ascii="Times New Roman" w:hAnsi="Times New Roman"/>
                <w:b/>
                <w:sz w:val="24"/>
                <w:szCs w:val="24"/>
              </w:rPr>
            </w:pPr>
            <w:r w:rsidRPr="00B262B0">
              <w:rPr>
                <w:rFonts w:ascii="Times New Roman" w:hAnsi="Times New Roman"/>
                <w:b/>
                <w:sz w:val="24"/>
                <w:szCs w:val="24"/>
              </w:rPr>
              <w:t>OVERALL OBJECTIVE(S) / (IMPACT(S))</w:t>
            </w:r>
          </w:p>
        </w:tc>
        <w:tc>
          <w:tcPr>
            <w:tcW w:w="3967" w:type="dxa"/>
            <w:shd w:val="clear" w:color="auto" w:fill="FFFFFF"/>
            <w:vAlign w:val="center"/>
          </w:tcPr>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OBJECTIVELY VERIFIABLE INDICATORS</w:t>
            </w:r>
          </w:p>
          <w:p w:rsidR="00820AF3" w:rsidRPr="00B262B0" w:rsidRDefault="00820AF3" w:rsidP="00B62F25">
            <w:pPr>
              <w:shd w:val="clear" w:color="auto" w:fill="FFFFFF"/>
              <w:spacing w:after="0"/>
              <w:jc w:val="center"/>
              <w:rPr>
                <w:rFonts w:ascii="Times New Roman" w:hAnsi="Times New Roman"/>
                <w:b/>
                <w:sz w:val="24"/>
                <w:szCs w:val="24"/>
              </w:rPr>
            </w:pPr>
          </w:p>
        </w:tc>
        <w:tc>
          <w:tcPr>
            <w:tcW w:w="1440" w:type="dxa"/>
            <w:shd w:val="clear" w:color="auto" w:fill="FFFFFF"/>
            <w:vAlign w:val="center"/>
          </w:tcPr>
          <w:p w:rsidR="00820AF3" w:rsidRPr="00B262B0" w:rsidRDefault="00820AF3" w:rsidP="00B62F25">
            <w:pPr>
              <w:shd w:val="clear" w:color="auto" w:fill="FFFFFF"/>
              <w:jc w:val="center"/>
              <w:rPr>
                <w:rFonts w:ascii="Times New Roman" w:hAnsi="Times New Roman"/>
                <w:b/>
                <w:sz w:val="24"/>
                <w:szCs w:val="24"/>
              </w:rPr>
            </w:pPr>
            <w:r w:rsidRPr="00B262B0">
              <w:rPr>
                <w:rFonts w:ascii="Times New Roman" w:hAnsi="Times New Roman"/>
                <w:b/>
                <w:sz w:val="24"/>
                <w:szCs w:val="24"/>
              </w:rPr>
              <w:t>BASELINES</w:t>
            </w:r>
          </w:p>
          <w:p w:rsidR="00820AF3" w:rsidRPr="00B262B0" w:rsidRDefault="00820AF3" w:rsidP="00B62F25">
            <w:pPr>
              <w:shd w:val="clear" w:color="auto" w:fill="FFFFFF"/>
              <w:spacing w:after="0"/>
              <w:jc w:val="both"/>
              <w:rPr>
                <w:rFonts w:ascii="Times New Roman" w:hAnsi="Times New Roman"/>
                <w:b/>
                <w:sz w:val="24"/>
                <w:szCs w:val="24"/>
              </w:rPr>
            </w:pPr>
            <w:r w:rsidRPr="00B262B0">
              <w:rPr>
                <w:rFonts w:ascii="Times New Roman" w:hAnsi="Times New Roman"/>
                <w:b/>
                <w:sz w:val="24"/>
                <w:szCs w:val="24"/>
              </w:rPr>
              <w:t>(INCL. VALUE &amp; REFERENCE YEAR</w:t>
            </w:r>
            <w:r w:rsidRPr="00B262B0">
              <w:rPr>
                <w:rStyle w:val="FootnoteReference"/>
                <w:rFonts w:ascii="Times New Roman" w:hAnsi="Times New Roman"/>
                <w:b/>
                <w:sz w:val="24"/>
                <w:szCs w:val="24"/>
              </w:rPr>
              <w:footnoteReference w:id="1"/>
            </w:r>
            <w:r w:rsidRPr="00B262B0">
              <w:rPr>
                <w:rFonts w:ascii="Times New Roman" w:hAnsi="Times New Roman"/>
                <w:b/>
                <w:sz w:val="24"/>
                <w:szCs w:val="24"/>
              </w:rPr>
              <w:t>)</w:t>
            </w:r>
          </w:p>
        </w:tc>
        <w:tc>
          <w:tcPr>
            <w:tcW w:w="1440" w:type="dxa"/>
            <w:shd w:val="clear" w:color="auto" w:fill="FFFFFF"/>
          </w:tcPr>
          <w:p w:rsidR="00820AF3" w:rsidRPr="00B262B0" w:rsidRDefault="00820AF3" w:rsidP="00B62F25">
            <w:pPr>
              <w:shd w:val="clear" w:color="auto" w:fill="FFFFFF"/>
              <w:spacing w:after="0"/>
              <w:jc w:val="center"/>
              <w:rPr>
                <w:rFonts w:ascii="Times New Roman" w:hAnsi="Times New Roman"/>
                <w:b/>
                <w:sz w:val="24"/>
                <w:szCs w:val="24"/>
              </w:rPr>
            </w:pPr>
          </w:p>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MILESTONES</w:t>
            </w:r>
          </w:p>
          <w:p w:rsidR="00820AF3" w:rsidRPr="00B262B0" w:rsidRDefault="00820AF3" w:rsidP="00B62F25">
            <w:pPr>
              <w:shd w:val="clear" w:color="auto" w:fill="FFFFFF"/>
              <w:jc w:val="center"/>
              <w:rPr>
                <w:rFonts w:ascii="Times New Roman" w:hAnsi="Times New Roman"/>
                <w:b/>
                <w:sz w:val="24"/>
                <w:szCs w:val="24"/>
              </w:rPr>
            </w:pPr>
            <w:r w:rsidRPr="00B262B0">
              <w:rPr>
                <w:rFonts w:ascii="Times New Roman" w:hAnsi="Times New Roman"/>
                <w:b/>
                <w:sz w:val="24"/>
                <w:szCs w:val="24"/>
              </w:rPr>
              <w:t>[OPTIONAL]</w:t>
            </w:r>
          </w:p>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(INCL. VALUE &amp; REFERENCE YEAR )</w:t>
            </w:r>
          </w:p>
        </w:tc>
        <w:tc>
          <w:tcPr>
            <w:tcW w:w="1350" w:type="dxa"/>
            <w:shd w:val="clear" w:color="auto" w:fill="FFFFFF"/>
            <w:vAlign w:val="center"/>
          </w:tcPr>
          <w:p w:rsidR="00820AF3" w:rsidRPr="00B262B0" w:rsidRDefault="00820AF3" w:rsidP="00B62F25">
            <w:pPr>
              <w:shd w:val="clear" w:color="auto" w:fill="FFFFFF"/>
              <w:jc w:val="center"/>
              <w:rPr>
                <w:rFonts w:ascii="Times New Roman" w:hAnsi="Times New Roman"/>
                <w:b/>
                <w:sz w:val="24"/>
                <w:szCs w:val="24"/>
              </w:rPr>
            </w:pPr>
            <w:r w:rsidRPr="00B262B0">
              <w:rPr>
                <w:rFonts w:ascii="Times New Roman" w:hAnsi="Times New Roman"/>
                <w:b/>
                <w:sz w:val="24"/>
                <w:szCs w:val="24"/>
              </w:rPr>
              <w:t>TARGETS</w:t>
            </w:r>
          </w:p>
          <w:p w:rsidR="00820AF3" w:rsidRPr="00B262B0" w:rsidRDefault="00820AF3" w:rsidP="00B62F25">
            <w:pPr>
              <w:shd w:val="clear" w:color="auto" w:fill="FFFFFF"/>
              <w:jc w:val="center"/>
              <w:rPr>
                <w:rFonts w:ascii="Times New Roman" w:hAnsi="Times New Roman"/>
                <w:b/>
                <w:sz w:val="24"/>
                <w:szCs w:val="24"/>
              </w:rPr>
            </w:pPr>
            <w:r w:rsidRPr="00B262B0">
              <w:rPr>
                <w:rFonts w:ascii="Times New Roman" w:hAnsi="Times New Roman"/>
                <w:b/>
                <w:sz w:val="24"/>
                <w:szCs w:val="24"/>
              </w:rPr>
              <w:t>(INCL. VALUE &amp; REFERENCE YEAR)</w:t>
            </w:r>
          </w:p>
        </w:tc>
        <w:tc>
          <w:tcPr>
            <w:tcW w:w="1584" w:type="dxa"/>
            <w:shd w:val="clear" w:color="auto" w:fill="FFFFFF"/>
            <w:vAlign w:val="center"/>
          </w:tcPr>
          <w:p w:rsidR="00820AF3" w:rsidRPr="00B262B0" w:rsidRDefault="00820AF3" w:rsidP="00B62F25">
            <w:pPr>
              <w:shd w:val="clear" w:color="auto" w:fill="FFFFFF"/>
              <w:spacing w:after="0"/>
              <w:jc w:val="center"/>
              <w:rPr>
                <w:rFonts w:ascii="Times New Roman" w:hAnsi="Times New Roman"/>
                <w:sz w:val="24"/>
                <w:szCs w:val="24"/>
              </w:rPr>
            </w:pPr>
            <w:r w:rsidRPr="00B262B0">
              <w:rPr>
                <w:rFonts w:ascii="Times New Roman" w:hAnsi="Times New Roman"/>
                <w:b/>
                <w:sz w:val="24"/>
                <w:szCs w:val="24"/>
              </w:rPr>
              <w:t>SOURCES &amp; MEANS OF VERIFICATION</w:t>
            </w:r>
          </w:p>
        </w:tc>
        <w:tc>
          <w:tcPr>
            <w:tcW w:w="2126" w:type="dxa"/>
            <w:vMerge w:val="restart"/>
            <w:tcBorders>
              <w:top w:val="nil"/>
              <w:right w:val="nil"/>
            </w:tcBorders>
            <w:shd w:val="clear" w:color="auto" w:fill="FFFFFF"/>
          </w:tcPr>
          <w:p w:rsidR="00820AF3" w:rsidRPr="00B262B0" w:rsidRDefault="00820AF3" w:rsidP="00B62F25">
            <w:pPr>
              <w:shd w:val="clear" w:color="auto" w:fill="FFFFFF"/>
              <w:spacing w:after="0"/>
              <w:rPr>
                <w:rFonts w:ascii="Times New Roman" w:hAnsi="Times New Roman"/>
                <w:sz w:val="24"/>
                <w:szCs w:val="24"/>
              </w:rPr>
            </w:pPr>
          </w:p>
        </w:tc>
      </w:tr>
      <w:tr w:rsidR="00820AF3" w:rsidRPr="00B262B0" w:rsidTr="00B62F25">
        <w:trPr>
          <w:trHeight w:val="703"/>
        </w:trPr>
        <w:tc>
          <w:tcPr>
            <w:tcW w:w="3402" w:type="dxa"/>
            <w:vMerge w:val="restart"/>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To modernise the Public Administration by strengthening the digital transformation, statistical system and economic governance</w:t>
            </w: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Government effectiveness index</w:t>
            </w:r>
          </w:p>
          <w:p w:rsidR="00820AF3" w:rsidRPr="00B262B0" w:rsidRDefault="00820AF3" w:rsidP="00B62F25">
            <w:pPr>
              <w:shd w:val="clear" w:color="auto" w:fill="FFFFFF"/>
              <w:spacing w:before="60" w:after="0"/>
              <w:rPr>
                <w:rFonts w:ascii="Times New Roman" w:hAnsi="Times New Roman"/>
                <w:sz w:val="24"/>
                <w:szCs w:val="24"/>
              </w:rPr>
            </w:pP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55.77 (2018)</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p>
        </w:tc>
        <w:tc>
          <w:tcPr>
            <w:tcW w:w="1350" w:type="dxa"/>
            <w:shd w:val="clear" w:color="auto" w:fill="FFFFFF"/>
          </w:tcPr>
          <w:p w:rsidR="00820AF3" w:rsidRPr="00B262B0" w:rsidRDefault="00094ABF" w:rsidP="00ED703B">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57-</w:t>
            </w:r>
            <w:r w:rsidR="00D3697B" w:rsidRPr="00B262B0">
              <w:rPr>
                <w:rFonts w:ascii="Times New Roman" w:hAnsi="Times New Roman"/>
                <w:sz w:val="24"/>
                <w:szCs w:val="24"/>
                <w:lang w:val="mk-MK"/>
              </w:rPr>
              <w:t>6</w:t>
            </w:r>
            <w:r w:rsidR="00ED703B" w:rsidRPr="00B262B0">
              <w:rPr>
                <w:rFonts w:ascii="Times New Roman" w:hAnsi="Times New Roman"/>
                <w:sz w:val="24"/>
                <w:szCs w:val="24"/>
                <w:lang w:val="en-US"/>
              </w:rPr>
              <w:t>0</w:t>
            </w:r>
            <w:r w:rsidR="00820AF3" w:rsidRPr="00B262B0">
              <w:rPr>
                <w:rFonts w:ascii="Times New Roman" w:hAnsi="Times New Roman"/>
                <w:sz w:val="24"/>
                <w:szCs w:val="24"/>
              </w:rPr>
              <w:t>(</w:t>
            </w:r>
            <w:r w:rsidR="00D3697B" w:rsidRPr="00B262B0">
              <w:rPr>
                <w:rFonts w:ascii="Times New Roman" w:hAnsi="Times New Roman"/>
                <w:sz w:val="24"/>
                <w:szCs w:val="24"/>
                <w:lang w:val="mk-MK"/>
              </w:rPr>
              <w:t>2025</w:t>
            </w:r>
            <w:r w:rsidR="00820AF3" w:rsidRPr="00B262B0">
              <w:rPr>
                <w:rFonts w:ascii="Times New Roman" w:hAnsi="Times New Roman"/>
                <w:sz w:val="24"/>
                <w:szCs w:val="24"/>
              </w:rPr>
              <w:t>)</w:t>
            </w:r>
          </w:p>
        </w:tc>
        <w:tc>
          <w:tcPr>
            <w:tcW w:w="1584" w:type="dxa"/>
            <w:shd w:val="clear" w:color="auto" w:fill="FFFFFF"/>
          </w:tcPr>
          <w:p w:rsidR="00820AF3" w:rsidRPr="00B262B0" w:rsidRDefault="00B23A4C" w:rsidP="00B62F25">
            <w:pPr>
              <w:spacing w:after="0" w:line="240" w:lineRule="auto"/>
              <w:rPr>
                <w:rFonts w:ascii="Times New Roman" w:hAnsi="Times New Roman"/>
                <w:sz w:val="24"/>
                <w:szCs w:val="24"/>
              </w:rPr>
            </w:pPr>
            <w:hyperlink r:id="rId13" w:history="1">
              <w:r w:rsidR="00820AF3" w:rsidRPr="00B262B0">
                <w:rPr>
                  <w:rStyle w:val="Hyperlink"/>
                  <w:rFonts w:ascii="Times New Roman" w:hAnsi="Times New Roman"/>
                  <w:sz w:val="24"/>
                  <w:szCs w:val="24"/>
                </w:rPr>
                <w:t>http://info.worldbank.org/governance/wgi/Home/Reports</w:t>
              </w:r>
            </w:hyperlink>
          </w:p>
        </w:tc>
        <w:tc>
          <w:tcPr>
            <w:tcW w:w="2126" w:type="dxa"/>
            <w:vMerge/>
            <w:tcBorders>
              <w:right w:val="nil"/>
            </w:tcBorders>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r>
      <w:tr w:rsidR="00820AF3" w:rsidRPr="00B262B0" w:rsidTr="00B62F25">
        <w:trPr>
          <w:trHeight w:val="122"/>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iCs/>
                <w:sz w:val="24"/>
                <w:szCs w:val="24"/>
              </w:rPr>
              <w:t>Trust in Public Administration - Proportion of people tend to trust the Public Administration over population</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iCs/>
                <w:sz w:val="24"/>
                <w:szCs w:val="24"/>
              </w:rPr>
              <w:t>36 % (2019)</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p>
        </w:tc>
        <w:tc>
          <w:tcPr>
            <w:tcW w:w="1350" w:type="dxa"/>
            <w:shd w:val="clear" w:color="auto" w:fill="FFFFFF"/>
          </w:tcPr>
          <w:p w:rsidR="00820AF3" w:rsidRPr="00B262B0" w:rsidRDefault="00094ABF" w:rsidP="000E5232">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40-</w:t>
            </w:r>
            <w:r w:rsidR="000E5232" w:rsidRPr="00B262B0">
              <w:rPr>
                <w:rFonts w:ascii="Times New Roman" w:hAnsi="Times New Roman"/>
                <w:sz w:val="24"/>
                <w:szCs w:val="24"/>
              </w:rPr>
              <w:t>4</w:t>
            </w:r>
            <w:r w:rsidRPr="00B262B0">
              <w:rPr>
                <w:rFonts w:ascii="Times New Roman" w:hAnsi="Times New Roman"/>
                <w:sz w:val="24"/>
                <w:szCs w:val="24"/>
              </w:rPr>
              <w:t>5</w:t>
            </w:r>
            <w:r w:rsidR="00820AF3" w:rsidRPr="00B262B0">
              <w:rPr>
                <w:rFonts w:ascii="Times New Roman" w:hAnsi="Times New Roman"/>
                <w:sz w:val="24"/>
                <w:szCs w:val="24"/>
              </w:rPr>
              <w:t>(</w:t>
            </w:r>
            <w:r w:rsidR="000E5232" w:rsidRPr="00B262B0">
              <w:rPr>
                <w:rFonts w:ascii="Times New Roman" w:hAnsi="Times New Roman"/>
                <w:sz w:val="24"/>
                <w:szCs w:val="24"/>
              </w:rPr>
              <w:t>2025</w:t>
            </w:r>
            <w:r w:rsidR="00820AF3" w:rsidRPr="00B262B0">
              <w:rPr>
                <w:rFonts w:ascii="Times New Roman" w:hAnsi="Times New Roman"/>
                <w:sz w:val="24"/>
                <w:szCs w:val="24"/>
              </w:rPr>
              <w:t>)</w:t>
            </w:r>
          </w:p>
        </w:tc>
        <w:tc>
          <w:tcPr>
            <w:tcW w:w="1584" w:type="dxa"/>
            <w:shd w:val="clear" w:color="auto" w:fill="FFFFFF"/>
          </w:tcPr>
          <w:p w:rsidR="00820AF3" w:rsidRPr="00B262B0" w:rsidRDefault="00820AF3" w:rsidP="00B62F25">
            <w:pPr>
              <w:rPr>
                <w:rFonts w:ascii="Times New Roman" w:hAnsi="Times New Roman"/>
                <w:sz w:val="24"/>
                <w:szCs w:val="24"/>
              </w:rPr>
            </w:pPr>
            <w:r w:rsidRPr="00B262B0">
              <w:rPr>
                <w:rFonts w:ascii="Times New Roman" w:hAnsi="Times New Roman"/>
                <w:sz w:val="24"/>
                <w:szCs w:val="24"/>
              </w:rPr>
              <w:t>Eurobarometer</w:t>
            </w:r>
          </w:p>
        </w:tc>
        <w:tc>
          <w:tcPr>
            <w:tcW w:w="2126" w:type="dxa"/>
            <w:vMerge/>
            <w:tcBorders>
              <w:right w:val="nil"/>
            </w:tcBorders>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r>
      <w:tr w:rsidR="00820AF3" w:rsidRPr="00B262B0" w:rsidTr="00B62F25">
        <w:trPr>
          <w:trHeight w:val="121"/>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iCs/>
                <w:sz w:val="24"/>
                <w:szCs w:val="24"/>
              </w:rPr>
            </w:pPr>
            <w:r w:rsidRPr="00B262B0">
              <w:rPr>
                <w:rFonts w:ascii="Times New Roman" w:hAnsi="Times New Roman"/>
                <w:iCs/>
                <w:sz w:val="24"/>
                <w:szCs w:val="24"/>
              </w:rPr>
              <w:t>Trust Government - Proportion of people tend to trust the Government over population</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iCs/>
                <w:sz w:val="24"/>
                <w:szCs w:val="24"/>
              </w:rPr>
            </w:pPr>
            <w:r w:rsidRPr="00B262B0">
              <w:rPr>
                <w:rFonts w:ascii="Times New Roman" w:hAnsi="Times New Roman"/>
                <w:iCs/>
                <w:sz w:val="24"/>
                <w:szCs w:val="24"/>
              </w:rPr>
              <w:t>33% (2019)</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p>
        </w:tc>
        <w:tc>
          <w:tcPr>
            <w:tcW w:w="1350" w:type="dxa"/>
            <w:shd w:val="clear" w:color="auto" w:fill="FFFFFF"/>
          </w:tcPr>
          <w:p w:rsidR="00820AF3" w:rsidRPr="00B262B0" w:rsidRDefault="00D3697B" w:rsidP="00D3697B">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38</w:t>
            </w:r>
            <w:r w:rsidR="00094ABF" w:rsidRPr="00B262B0">
              <w:rPr>
                <w:rFonts w:ascii="Times New Roman" w:hAnsi="Times New Roman"/>
                <w:sz w:val="24"/>
                <w:szCs w:val="24"/>
              </w:rPr>
              <w:t>-43</w:t>
            </w:r>
            <w:r w:rsidR="00820AF3" w:rsidRPr="00B262B0">
              <w:rPr>
                <w:rFonts w:ascii="Times New Roman" w:hAnsi="Times New Roman"/>
                <w:sz w:val="24"/>
                <w:szCs w:val="24"/>
              </w:rPr>
              <w:t>(</w:t>
            </w:r>
            <w:r w:rsidRPr="00B262B0">
              <w:rPr>
                <w:rFonts w:ascii="Times New Roman" w:hAnsi="Times New Roman"/>
                <w:sz w:val="24"/>
                <w:szCs w:val="24"/>
              </w:rPr>
              <w:t>2025</w:t>
            </w:r>
            <w:r w:rsidR="00820AF3" w:rsidRPr="00B262B0">
              <w:rPr>
                <w:rFonts w:ascii="Times New Roman" w:hAnsi="Times New Roman"/>
                <w:sz w:val="24"/>
                <w:szCs w:val="24"/>
              </w:rPr>
              <w:t>)</w:t>
            </w:r>
          </w:p>
        </w:tc>
        <w:tc>
          <w:tcPr>
            <w:tcW w:w="1584" w:type="dxa"/>
            <w:shd w:val="clear" w:color="auto" w:fill="FFFFFF"/>
          </w:tcPr>
          <w:p w:rsidR="00820AF3" w:rsidRPr="00B262B0" w:rsidRDefault="00820AF3" w:rsidP="00B62F25">
            <w:pPr>
              <w:spacing w:after="0" w:line="240" w:lineRule="auto"/>
              <w:rPr>
                <w:rFonts w:ascii="Times New Roman" w:hAnsi="Times New Roman"/>
                <w:sz w:val="24"/>
                <w:szCs w:val="24"/>
              </w:rPr>
            </w:pPr>
            <w:r w:rsidRPr="00B262B0">
              <w:rPr>
                <w:rFonts w:ascii="Times New Roman" w:hAnsi="Times New Roman"/>
                <w:sz w:val="24"/>
                <w:szCs w:val="24"/>
              </w:rPr>
              <w:t>Eurobarometer</w:t>
            </w:r>
          </w:p>
        </w:tc>
        <w:tc>
          <w:tcPr>
            <w:tcW w:w="2126" w:type="dxa"/>
            <w:vMerge/>
            <w:tcBorders>
              <w:right w:val="nil"/>
            </w:tcBorders>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r>
      <w:tr w:rsidR="00820AF3" w:rsidRPr="00B262B0" w:rsidTr="00B62F25">
        <w:trPr>
          <w:trHeight w:val="189"/>
        </w:trPr>
        <w:tc>
          <w:tcPr>
            <w:tcW w:w="3402" w:type="dxa"/>
            <w:shd w:val="clear" w:color="auto" w:fill="FFFFFF"/>
            <w:vAlign w:val="center"/>
          </w:tcPr>
          <w:p w:rsidR="00820AF3" w:rsidRPr="00B262B0" w:rsidRDefault="00820AF3" w:rsidP="00B62F25">
            <w:pPr>
              <w:numPr>
                <w:ilvl w:val="12"/>
                <w:numId w:val="0"/>
              </w:numPr>
              <w:shd w:val="clear" w:color="auto" w:fill="FFFFFF"/>
              <w:spacing w:before="100" w:beforeAutospacing="1" w:after="100" w:afterAutospacing="1"/>
              <w:jc w:val="center"/>
              <w:rPr>
                <w:rFonts w:ascii="Times New Roman" w:hAnsi="Times New Roman"/>
                <w:sz w:val="24"/>
                <w:szCs w:val="24"/>
              </w:rPr>
            </w:pPr>
            <w:bookmarkStart w:id="2" w:name="_GoBack"/>
            <w:bookmarkEnd w:id="2"/>
            <w:r w:rsidRPr="00B262B0">
              <w:rPr>
                <w:rFonts w:ascii="Times New Roman" w:hAnsi="Times New Roman"/>
                <w:b/>
                <w:sz w:val="24"/>
                <w:szCs w:val="24"/>
              </w:rPr>
              <w:t>SPECIFIC OBJECTIVE(S) / OUTCOME(S)</w:t>
            </w:r>
          </w:p>
        </w:tc>
        <w:tc>
          <w:tcPr>
            <w:tcW w:w="3967" w:type="dxa"/>
            <w:shd w:val="clear" w:color="auto" w:fill="FFFFFF"/>
            <w:vAlign w:val="center"/>
          </w:tcPr>
          <w:p w:rsidR="00820AF3" w:rsidRPr="00B262B0" w:rsidRDefault="00820AF3" w:rsidP="00B62F25">
            <w:pPr>
              <w:shd w:val="clear" w:color="auto" w:fill="FFFFFF"/>
              <w:spacing w:after="0"/>
              <w:jc w:val="center"/>
              <w:rPr>
                <w:rFonts w:ascii="Times New Roman" w:hAnsi="Times New Roman"/>
                <w:sz w:val="24"/>
                <w:szCs w:val="24"/>
              </w:rPr>
            </w:pPr>
            <w:r w:rsidRPr="00B262B0">
              <w:rPr>
                <w:rFonts w:ascii="Times New Roman" w:hAnsi="Times New Roman"/>
                <w:b/>
                <w:sz w:val="24"/>
                <w:szCs w:val="24"/>
              </w:rPr>
              <w:t>OBJECTIVELY VERIFIABLE INDICATORS (*)</w:t>
            </w:r>
          </w:p>
        </w:tc>
        <w:tc>
          <w:tcPr>
            <w:tcW w:w="1440" w:type="dxa"/>
            <w:shd w:val="clear" w:color="auto" w:fill="FFFFFF"/>
            <w:vAlign w:val="center"/>
          </w:tcPr>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BASELINES</w:t>
            </w:r>
          </w:p>
        </w:tc>
        <w:tc>
          <w:tcPr>
            <w:tcW w:w="1440" w:type="dxa"/>
            <w:shd w:val="clear" w:color="auto" w:fill="FFFFFF"/>
            <w:vAlign w:val="center"/>
          </w:tcPr>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MILESTONES</w:t>
            </w:r>
          </w:p>
        </w:tc>
        <w:tc>
          <w:tcPr>
            <w:tcW w:w="1350" w:type="dxa"/>
            <w:shd w:val="clear" w:color="auto" w:fill="FFFFFF"/>
            <w:vAlign w:val="center"/>
          </w:tcPr>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TARGETS</w:t>
            </w:r>
          </w:p>
        </w:tc>
        <w:tc>
          <w:tcPr>
            <w:tcW w:w="1584" w:type="dxa"/>
            <w:shd w:val="clear" w:color="auto" w:fill="FFFFFF"/>
            <w:vAlign w:val="center"/>
          </w:tcPr>
          <w:p w:rsidR="00820AF3" w:rsidRPr="00B262B0" w:rsidRDefault="00820AF3" w:rsidP="00B62F25">
            <w:pPr>
              <w:shd w:val="clear" w:color="auto" w:fill="FFFFFF"/>
              <w:spacing w:after="0"/>
              <w:jc w:val="center"/>
              <w:rPr>
                <w:rFonts w:ascii="Times New Roman" w:hAnsi="Times New Roman"/>
                <w:sz w:val="24"/>
                <w:szCs w:val="24"/>
              </w:rPr>
            </w:pPr>
            <w:r w:rsidRPr="00B262B0">
              <w:rPr>
                <w:rFonts w:ascii="Times New Roman" w:hAnsi="Times New Roman"/>
                <w:b/>
                <w:sz w:val="24"/>
                <w:szCs w:val="24"/>
              </w:rPr>
              <w:t>SOURCES OF VERIFICATION</w:t>
            </w:r>
          </w:p>
        </w:tc>
        <w:tc>
          <w:tcPr>
            <w:tcW w:w="2126" w:type="dxa"/>
            <w:shd w:val="clear" w:color="auto" w:fill="FFFFFF"/>
            <w:vAlign w:val="center"/>
          </w:tcPr>
          <w:p w:rsidR="00820AF3" w:rsidRPr="00B262B0" w:rsidRDefault="00820AF3" w:rsidP="00B62F25">
            <w:pPr>
              <w:numPr>
                <w:ilvl w:val="12"/>
                <w:numId w:val="0"/>
              </w:numPr>
              <w:shd w:val="clear" w:color="auto" w:fill="FFFFFF"/>
              <w:spacing w:after="0"/>
              <w:jc w:val="center"/>
              <w:rPr>
                <w:rFonts w:ascii="Times New Roman" w:hAnsi="Times New Roman"/>
                <w:b/>
                <w:sz w:val="24"/>
                <w:szCs w:val="24"/>
              </w:rPr>
            </w:pPr>
            <w:r w:rsidRPr="00B262B0">
              <w:rPr>
                <w:rFonts w:ascii="Times New Roman" w:hAnsi="Times New Roman"/>
                <w:b/>
                <w:sz w:val="24"/>
                <w:szCs w:val="24"/>
              </w:rPr>
              <w:t>ASSUMPTIONS</w:t>
            </w:r>
          </w:p>
        </w:tc>
      </w:tr>
      <w:tr w:rsidR="00820AF3" w:rsidRPr="00B262B0" w:rsidTr="00B62F25">
        <w:trPr>
          <w:trHeight w:val="500"/>
        </w:trPr>
        <w:tc>
          <w:tcPr>
            <w:tcW w:w="3402" w:type="dxa"/>
            <w:vMerge w:val="restart"/>
            <w:shd w:val="clear" w:color="auto" w:fill="FFFFFF"/>
          </w:tcPr>
          <w:p w:rsidR="00820AF3" w:rsidRPr="00B262B0" w:rsidRDefault="00820AF3" w:rsidP="000F274E">
            <w:pPr>
              <w:shd w:val="clear" w:color="auto" w:fill="FFFFFF"/>
              <w:spacing w:before="60" w:after="0"/>
              <w:jc w:val="both"/>
              <w:rPr>
                <w:rFonts w:ascii="Times New Roman" w:hAnsi="Times New Roman"/>
                <w:sz w:val="24"/>
                <w:szCs w:val="24"/>
              </w:rPr>
            </w:pPr>
            <w:r w:rsidRPr="00B262B0">
              <w:rPr>
                <w:rFonts w:ascii="Times New Roman" w:hAnsi="Times New Roman"/>
                <w:sz w:val="24"/>
                <w:szCs w:val="24"/>
              </w:rPr>
              <w:t xml:space="preserve">1. To </w:t>
            </w:r>
            <w:r w:rsidR="000F274E">
              <w:rPr>
                <w:rFonts w:ascii="Times New Roman" w:hAnsi="Times New Roman"/>
                <w:sz w:val="24"/>
                <w:szCs w:val="24"/>
              </w:rPr>
              <w:t>enhance the digital transformation of the public services</w:t>
            </w:r>
            <w:r w:rsidRPr="00B262B0">
              <w:rPr>
                <w:rFonts w:ascii="Times New Roman" w:hAnsi="Times New Roman"/>
                <w:sz w:val="24"/>
                <w:szCs w:val="24"/>
              </w:rPr>
              <w:t xml:space="preserve"> </w:t>
            </w: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Number of transactions through the interoperability platform (12 months interval)</w:t>
            </w:r>
          </w:p>
        </w:tc>
        <w:tc>
          <w:tcPr>
            <w:tcW w:w="144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lang w:val="mk-MK"/>
              </w:rPr>
              <w:t xml:space="preserve">6.272.698 </w:t>
            </w:r>
            <w:r w:rsidRPr="00B262B0">
              <w:rPr>
                <w:rFonts w:ascii="Times New Roman" w:hAnsi="Times New Roman"/>
                <w:sz w:val="24"/>
                <w:szCs w:val="24"/>
                <w:lang w:val="en-US"/>
              </w:rPr>
              <w:t>(2020) (06.2019 to 06.2020)</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lang w:val="en-US"/>
              </w:rPr>
              <w:t>8.000.000</w:t>
            </w:r>
            <w:r w:rsidR="000F274E">
              <w:rPr>
                <w:rFonts w:ascii="Times New Roman" w:hAnsi="Times New Roman"/>
                <w:sz w:val="24"/>
                <w:szCs w:val="24"/>
                <w:lang w:val="en-US"/>
              </w:rPr>
              <w:t xml:space="preserve"> </w:t>
            </w:r>
            <w:r w:rsidRPr="00B262B0">
              <w:rPr>
                <w:rFonts w:ascii="Times New Roman" w:hAnsi="Times New Roman"/>
                <w:sz w:val="24"/>
                <w:szCs w:val="24"/>
                <w:lang w:val="en-US"/>
              </w:rPr>
              <w:t>(2022)</w:t>
            </w:r>
          </w:p>
        </w:tc>
        <w:tc>
          <w:tcPr>
            <w:tcW w:w="135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10.000.000 (2023)</w:t>
            </w:r>
          </w:p>
        </w:tc>
        <w:tc>
          <w:tcPr>
            <w:tcW w:w="1584" w:type="dxa"/>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r w:rsidRPr="00B262B0">
              <w:rPr>
                <w:rFonts w:ascii="Times New Roman" w:hAnsi="Times New Roman"/>
                <w:sz w:val="24"/>
                <w:szCs w:val="24"/>
              </w:rPr>
              <w:t>MISA Report</w:t>
            </w:r>
          </w:p>
        </w:tc>
        <w:tc>
          <w:tcPr>
            <w:tcW w:w="2126" w:type="dxa"/>
            <w:vMerge w:val="restart"/>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The Government of North Macedonia is committed to modernise the Public </w:t>
            </w:r>
            <w:r w:rsidRPr="00B262B0">
              <w:rPr>
                <w:rFonts w:ascii="Times New Roman" w:hAnsi="Times New Roman"/>
                <w:sz w:val="24"/>
                <w:szCs w:val="24"/>
              </w:rPr>
              <w:lastRenderedPageBreak/>
              <w:t>Administration</w:t>
            </w:r>
          </w:p>
          <w:p w:rsidR="00820AF3" w:rsidRPr="00B262B0" w:rsidRDefault="00820AF3" w:rsidP="00B62F25">
            <w:pPr>
              <w:numPr>
                <w:ilvl w:val="12"/>
                <w:numId w:val="0"/>
              </w:numPr>
              <w:shd w:val="clear" w:color="auto" w:fill="FFFFFF"/>
              <w:spacing w:before="60" w:after="0"/>
              <w:rPr>
                <w:rFonts w:ascii="Times New Roman" w:hAnsi="Times New Roman"/>
                <w:sz w:val="24"/>
                <w:szCs w:val="24"/>
              </w:rPr>
            </w:pPr>
            <w:r w:rsidRPr="00B262B0">
              <w:rPr>
                <w:rFonts w:ascii="Times New Roman" w:hAnsi="Times New Roman"/>
                <w:sz w:val="24"/>
                <w:szCs w:val="24"/>
              </w:rPr>
              <w:t>Government of North Macedonia is fully committed to ensure production of high quality and objective statistics.</w:t>
            </w:r>
          </w:p>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500"/>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Portion of people who have used </w:t>
            </w:r>
            <w:r w:rsidRPr="00B262B0">
              <w:rPr>
                <w:rFonts w:ascii="Times New Roman" w:hAnsi="Times New Roman"/>
                <w:sz w:val="24"/>
                <w:szCs w:val="24"/>
              </w:rPr>
              <w:lastRenderedPageBreak/>
              <w:t>internet for government e-services</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lastRenderedPageBreak/>
              <w:t>4% (2019)</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6% (2023)</w:t>
            </w:r>
          </w:p>
        </w:tc>
        <w:tc>
          <w:tcPr>
            <w:tcW w:w="135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9% (2025)</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 xml:space="preserve">Eurostat indicators on </w:t>
            </w:r>
            <w:r w:rsidRPr="00B262B0">
              <w:rPr>
                <w:rFonts w:ascii="Times New Roman" w:hAnsi="Times New Roman"/>
                <w:sz w:val="24"/>
                <w:szCs w:val="24"/>
              </w:rPr>
              <w:lastRenderedPageBreak/>
              <w:t>Digital skills (16-64, all individuals)</w:t>
            </w:r>
            <w:r w:rsidRPr="00B262B0">
              <w:rPr>
                <w:rStyle w:val="FootnoteReference"/>
                <w:rFonts w:ascii="Times New Roman" w:hAnsi="Times New Roman"/>
                <w:sz w:val="24"/>
                <w:szCs w:val="24"/>
              </w:rPr>
              <w:footnoteReference w:id="2"/>
            </w:r>
          </w:p>
        </w:tc>
        <w:tc>
          <w:tcPr>
            <w:tcW w:w="2126" w:type="dxa"/>
            <w:vMerge/>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440"/>
        </w:trPr>
        <w:tc>
          <w:tcPr>
            <w:tcW w:w="3402" w:type="dxa"/>
            <w:vMerge w:val="restart"/>
            <w:shd w:val="clear" w:color="auto" w:fill="FFFFFF"/>
          </w:tcPr>
          <w:p w:rsidR="00820AF3" w:rsidRPr="00B262B0" w:rsidRDefault="00820AF3" w:rsidP="00560A24">
            <w:pPr>
              <w:shd w:val="clear" w:color="auto" w:fill="FFFFFF"/>
              <w:spacing w:before="60" w:after="0"/>
              <w:jc w:val="both"/>
              <w:rPr>
                <w:rFonts w:ascii="Times New Roman" w:hAnsi="Times New Roman"/>
                <w:bCs/>
                <w:sz w:val="24"/>
                <w:szCs w:val="24"/>
              </w:rPr>
            </w:pPr>
            <w:r w:rsidRPr="00B262B0">
              <w:rPr>
                <w:rFonts w:ascii="Times New Roman" w:hAnsi="Times New Roman"/>
                <w:bCs/>
                <w:sz w:val="24"/>
                <w:szCs w:val="24"/>
                <w:lang w:val="en-US" w:eastAsia="en-US"/>
              </w:rPr>
              <w:t xml:space="preserve">2. To improve the access to public information </w:t>
            </w: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Number of institutions actively submitting reports and transparency data to the Agency </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1,047 (2019)</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p>
        </w:tc>
        <w:tc>
          <w:tcPr>
            <w:tcW w:w="1350" w:type="dxa"/>
            <w:shd w:val="clear" w:color="auto" w:fill="FFFFFF"/>
          </w:tcPr>
          <w:p w:rsidR="00820AF3" w:rsidRPr="00B262B0" w:rsidRDefault="00094ABF"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1,200 - </w:t>
            </w:r>
            <w:r w:rsidR="00820AF3" w:rsidRPr="00B262B0">
              <w:rPr>
                <w:rFonts w:ascii="Times New Roman" w:hAnsi="Times New Roman"/>
                <w:sz w:val="24"/>
                <w:szCs w:val="24"/>
              </w:rPr>
              <w:t>1,300 (2025)</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 xml:space="preserve">Annual Report of the Agency for Protection of the Right to Free Access to Information </w:t>
            </w:r>
          </w:p>
        </w:tc>
        <w:tc>
          <w:tcPr>
            <w:tcW w:w="2126" w:type="dxa"/>
            <w:vMerge/>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439"/>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bCs/>
                <w:sz w:val="24"/>
                <w:szCs w:val="24"/>
                <w:lang w:val="en-US" w:eastAsia="en-US"/>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Percentage of state institutions publishing proactive information on their website under article 10 of the Law on Free Access to Public Information</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68,6% (2019)</w:t>
            </w:r>
          </w:p>
        </w:tc>
        <w:tc>
          <w:tcPr>
            <w:tcW w:w="144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before="60" w:after="0"/>
              <w:jc w:val="center"/>
              <w:rPr>
                <w:rFonts w:ascii="Times New Roman" w:hAnsi="Times New Roman"/>
                <w:sz w:val="24"/>
                <w:szCs w:val="24"/>
              </w:rPr>
            </w:pPr>
            <w:r w:rsidRPr="00B262B0">
              <w:rPr>
                <w:rFonts w:ascii="Times New Roman" w:hAnsi="Times New Roman"/>
                <w:sz w:val="24"/>
                <w:szCs w:val="24"/>
              </w:rPr>
              <w:t>100% (2025)</w:t>
            </w:r>
          </w:p>
        </w:tc>
        <w:tc>
          <w:tcPr>
            <w:tcW w:w="1584" w:type="dxa"/>
            <w:shd w:val="clear" w:color="auto" w:fill="FFFFFF"/>
          </w:tcPr>
          <w:p w:rsidR="00820AF3" w:rsidRPr="00B262B0" w:rsidRDefault="00820AF3" w:rsidP="00B62F25">
            <w:pPr>
              <w:autoSpaceDE w:val="0"/>
              <w:autoSpaceDN w:val="0"/>
              <w:adjustRightInd w:val="0"/>
              <w:spacing w:after="0" w:line="240" w:lineRule="auto"/>
              <w:rPr>
                <w:rFonts w:ascii="Times New Roman" w:hAnsi="Times New Roman"/>
                <w:sz w:val="24"/>
                <w:szCs w:val="24"/>
                <w:lang w:val="en-US"/>
              </w:rPr>
            </w:pPr>
            <w:r w:rsidRPr="00B262B0">
              <w:rPr>
                <w:rFonts w:ascii="Times New Roman" w:hAnsi="Times New Roman"/>
                <w:sz w:val="24"/>
                <w:szCs w:val="24"/>
                <w:lang w:val="en-US"/>
              </w:rPr>
              <w:t xml:space="preserve">Agency Annual and Monitoring reports, </w:t>
            </w:r>
          </w:p>
          <w:p w:rsidR="00820AF3" w:rsidRPr="00B262B0" w:rsidRDefault="00820AF3" w:rsidP="00B62F25">
            <w:pPr>
              <w:autoSpaceDE w:val="0"/>
              <w:autoSpaceDN w:val="0"/>
              <w:adjustRightInd w:val="0"/>
              <w:spacing w:after="0" w:line="240" w:lineRule="auto"/>
              <w:rPr>
                <w:rFonts w:ascii="Times New Roman" w:hAnsi="Times New Roman"/>
                <w:sz w:val="24"/>
                <w:szCs w:val="24"/>
                <w:lang w:val="en-US"/>
              </w:rPr>
            </w:pPr>
            <w:r w:rsidRPr="00B262B0">
              <w:rPr>
                <w:rFonts w:ascii="Times New Roman" w:hAnsi="Times New Roman"/>
                <w:sz w:val="24"/>
                <w:szCs w:val="24"/>
                <w:lang w:val="en-US"/>
              </w:rPr>
              <w:t xml:space="preserve">MISA report on open data </w:t>
            </w:r>
          </w:p>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lang w:val="en-US"/>
              </w:rPr>
              <w:t>Project evaluation report</w:t>
            </w:r>
          </w:p>
        </w:tc>
        <w:tc>
          <w:tcPr>
            <w:tcW w:w="2126" w:type="dxa"/>
            <w:vMerge/>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295"/>
        </w:trPr>
        <w:tc>
          <w:tcPr>
            <w:tcW w:w="3402" w:type="dxa"/>
            <w:vMerge w:val="restart"/>
            <w:shd w:val="clear" w:color="auto" w:fill="FFFFFF"/>
          </w:tcPr>
          <w:p w:rsidR="00820AF3" w:rsidRPr="00B262B0" w:rsidRDefault="00820AF3" w:rsidP="000F274E">
            <w:pPr>
              <w:shd w:val="clear" w:color="auto" w:fill="FFFFFF"/>
              <w:spacing w:before="60" w:after="0"/>
              <w:rPr>
                <w:rFonts w:ascii="Times New Roman" w:hAnsi="Times New Roman"/>
                <w:b/>
                <w:sz w:val="24"/>
                <w:szCs w:val="24"/>
              </w:rPr>
            </w:pPr>
            <w:r w:rsidRPr="00B262B0">
              <w:rPr>
                <w:rFonts w:ascii="Times New Roman" w:hAnsi="Times New Roman"/>
                <w:bCs/>
                <w:sz w:val="24"/>
                <w:szCs w:val="24"/>
                <w:lang w:val="en-US" w:eastAsia="en-US"/>
              </w:rPr>
              <w:t xml:space="preserve">3. To improve the use of statistical and financial data in </w:t>
            </w:r>
            <w:proofErr w:type="gramStart"/>
            <w:r w:rsidR="000F274E">
              <w:rPr>
                <w:rFonts w:ascii="Times New Roman" w:hAnsi="Times New Roman"/>
                <w:bCs/>
                <w:sz w:val="24"/>
                <w:szCs w:val="24"/>
                <w:lang w:val="en-US" w:eastAsia="en-US"/>
              </w:rPr>
              <w:t>crafting</w:t>
            </w:r>
            <w:proofErr w:type="gramEnd"/>
            <w:r w:rsidR="000F274E">
              <w:rPr>
                <w:rFonts w:ascii="Times New Roman" w:hAnsi="Times New Roman"/>
                <w:bCs/>
                <w:sz w:val="24"/>
                <w:szCs w:val="24"/>
                <w:lang w:val="en-US" w:eastAsia="en-US"/>
              </w:rPr>
              <w:t xml:space="preserve"> </w:t>
            </w:r>
            <w:r w:rsidRPr="00B262B0">
              <w:rPr>
                <w:rFonts w:ascii="Times New Roman" w:hAnsi="Times New Roman"/>
                <w:bCs/>
                <w:sz w:val="24"/>
                <w:szCs w:val="24"/>
                <w:lang w:val="en-US" w:eastAsia="en-US"/>
              </w:rPr>
              <w:t xml:space="preserve">policy reforms and </w:t>
            </w:r>
            <w:r w:rsidR="000F274E">
              <w:rPr>
                <w:rFonts w:ascii="Times New Roman" w:hAnsi="Times New Roman"/>
                <w:bCs/>
                <w:sz w:val="24"/>
                <w:szCs w:val="24"/>
                <w:lang w:val="en-US" w:eastAsia="en-US"/>
              </w:rPr>
              <w:t xml:space="preserve">ensuing economic </w:t>
            </w:r>
            <w:r w:rsidRPr="00B262B0">
              <w:rPr>
                <w:rFonts w:ascii="Times New Roman" w:hAnsi="Times New Roman"/>
                <w:bCs/>
                <w:sz w:val="24"/>
                <w:szCs w:val="24"/>
                <w:lang w:val="en-US" w:eastAsia="en-US"/>
              </w:rPr>
              <w:t>stability.</w:t>
            </w: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Percentage of official statistics aligned with the EU </w:t>
            </w:r>
            <w:r w:rsidRPr="00B262B0">
              <w:rPr>
                <w:rFonts w:ascii="Times New Roman" w:hAnsi="Times New Roman"/>
                <w:i/>
                <w:sz w:val="24"/>
                <w:szCs w:val="24"/>
              </w:rPr>
              <w:t>acquis</w:t>
            </w:r>
          </w:p>
        </w:tc>
        <w:tc>
          <w:tcPr>
            <w:tcW w:w="144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67.1% (2019)</w:t>
            </w:r>
          </w:p>
        </w:tc>
        <w:tc>
          <w:tcPr>
            <w:tcW w:w="144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&gt; 95 % (2027)</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SMIS+ Report</w:t>
            </w:r>
          </w:p>
        </w:tc>
        <w:tc>
          <w:tcPr>
            <w:tcW w:w="2126" w:type="dxa"/>
            <w:vMerge/>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295"/>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bCs/>
                <w:sz w:val="24"/>
                <w:szCs w:val="24"/>
                <w:lang w:val="en-US" w:eastAsia="en-US"/>
              </w:rPr>
            </w:pP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Percentage of external statistics of the Central Bank aligned with EU </w:t>
            </w:r>
            <w:r w:rsidRPr="00B262B0">
              <w:rPr>
                <w:rFonts w:ascii="Times New Roman" w:hAnsi="Times New Roman"/>
                <w:i/>
                <w:sz w:val="24"/>
                <w:szCs w:val="24"/>
              </w:rPr>
              <w:t>acquis</w:t>
            </w:r>
          </w:p>
        </w:tc>
        <w:tc>
          <w:tcPr>
            <w:tcW w:w="144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67% (2018)</w:t>
            </w:r>
          </w:p>
        </w:tc>
        <w:tc>
          <w:tcPr>
            <w:tcW w:w="144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&gt; 95 % (2027)</w:t>
            </w:r>
          </w:p>
        </w:tc>
        <w:tc>
          <w:tcPr>
            <w:tcW w:w="1584"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Progress report on the action plan on economic, monetary and financial statistics</w:t>
            </w:r>
          </w:p>
        </w:tc>
        <w:tc>
          <w:tcPr>
            <w:tcW w:w="2126" w:type="dxa"/>
            <w:vMerge/>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295"/>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bCs/>
                <w:sz w:val="24"/>
                <w:szCs w:val="24"/>
                <w:lang w:val="en-US" w:eastAsia="en-US"/>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Time needed to produce the required statistics</w:t>
            </w:r>
          </w:p>
        </w:tc>
        <w:tc>
          <w:tcPr>
            <w:tcW w:w="1440" w:type="dxa"/>
            <w:shd w:val="clear" w:color="auto" w:fill="FFFFFF"/>
          </w:tcPr>
          <w:p w:rsidR="00820AF3" w:rsidRPr="00B262B0" w:rsidRDefault="00820AF3" w:rsidP="00B62F25">
            <w:pPr>
              <w:spacing w:after="0" w:line="240" w:lineRule="auto"/>
              <w:rPr>
                <w:rFonts w:ascii="Times New Roman" w:hAnsi="Times New Roman"/>
                <w:sz w:val="24"/>
                <w:szCs w:val="24"/>
              </w:rPr>
            </w:pPr>
            <w:r w:rsidRPr="00B262B0">
              <w:rPr>
                <w:rFonts w:ascii="Times New Roman" w:hAnsi="Times New Roman"/>
                <w:sz w:val="24"/>
                <w:szCs w:val="24"/>
              </w:rPr>
              <w:t>2635 working hours (2020)</w:t>
            </w:r>
          </w:p>
          <w:p w:rsidR="00820AF3" w:rsidRPr="00B262B0" w:rsidRDefault="00820AF3" w:rsidP="00B62F25">
            <w:pPr>
              <w:shd w:val="clear" w:color="auto" w:fill="FFFFFF"/>
              <w:spacing w:before="60" w:after="0"/>
              <w:jc w:val="center"/>
              <w:rPr>
                <w:rFonts w:ascii="Times New Roman" w:hAnsi="Times New Roman"/>
                <w:sz w:val="24"/>
                <w:szCs w:val="24"/>
              </w:rPr>
            </w:pPr>
          </w:p>
        </w:tc>
        <w:tc>
          <w:tcPr>
            <w:tcW w:w="144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&lt; 573 working hours (2027)</w:t>
            </w:r>
          </w:p>
        </w:tc>
        <w:tc>
          <w:tcPr>
            <w:tcW w:w="1584"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Progress report on the action plan on economic, monetary and financial statistics</w:t>
            </w:r>
          </w:p>
        </w:tc>
        <w:tc>
          <w:tcPr>
            <w:tcW w:w="2126" w:type="dxa"/>
            <w:vMerge/>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295"/>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bCs/>
                <w:sz w:val="24"/>
                <w:szCs w:val="24"/>
                <w:lang w:val="en-US" w:eastAsia="en-US"/>
              </w:rPr>
            </w:pPr>
          </w:p>
        </w:tc>
        <w:tc>
          <w:tcPr>
            <w:tcW w:w="3967"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Standard of payment messages in use</w:t>
            </w:r>
          </w:p>
        </w:tc>
        <w:tc>
          <w:tcPr>
            <w:tcW w:w="1440" w:type="dxa"/>
            <w:shd w:val="clear" w:color="auto" w:fill="FFFFFF"/>
          </w:tcPr>
          <w:p w:rsidR="00820AF3" w:rsidRPr="00B262B0" w:rsidRDefault="00820AF3" w:rsidP="00B62F25">
            <w:pPr>
              <w:spacing w:after="0" w:line="240" w:lineRule="auto"/>
              <w:rPr>
                <w:rFonts w:ascii="Times New Roman" w:hAnsi="Times New Roman"/>
                <w:sz w:val="24"/>
                <w:szCs w:val="24"/>
              </w:rPr>
            </w:pPr>
            <w:r w:rsidRPr="00B262B0">
              <w:rPr>
                <w:rFonts w:ascii="Times New Roman" w:hAnsi="Times New Roman"/>
                <w:sz w:val="24"/>
                <w:szCs w:val="24"/>
              </w:rPr>
              <w:t xml:space="preserve">National </w:t>
            </w:r>
            <w:hyperlink r:id="rId14" w:history="1">
              <w:r w:rsidRPr="00B262B0">
                <w:rPr>
                  <w:rFonts w:ascii="Times New Roman" w:hAnsi="Times New Roman"/>
                  <w:sz w:val="24"/>
                  <w:szCs w:val="24"/>
                </w:rPr>
                <w:t xml:space="preserve">Standard </w:t>
              </w:r>
            </w:hyperlink>
          </w:p>
          <w:p w:rsidR="00820AF3" w:rsidRPr="00B262B0" w:rsidRDefault="00820AF3" w:rsidP="00B62F25">
            <w:pPr>
              <w:shd w:val="clear" w:color="auto" w:fill="FFFFFF"/>
              <w:spacing w:before="60" w:after="0"/>
              <w:rPr>
                <w:rFonts w:ascii="Times New Roman" w:hAnsi="Times New Roman"/>
                <w:sz w:val="24"/>
                <w:szCs w:val="24"/>
              </w:rPr>
            </w:pPr>
          </w:p>
        </w:tc>
        <w:tc>
          <w:tcPr>
            <w:tcW w:w="1440" w:type="dxa"/>
            <w:shd w:val="clear" w:color="auto" w:fill="FFFFFF"/>
          </w:tcPr>
          <w:p w:rsidR="00820AF3" w:rsidRPr="00B262B0" w:rsidRDefault="00D41993" w:rsidP="00D41993">
            <w:pPr>
              <w:shd w:val="clear" w:color="auto" w:fill="FFFFFF"/>
              <w:spacing w:before="60" w:after="0"/>
              <w:rPr>
                <w:rFonts w:ascii="Times New Roman" w:hAnsi="Times New Roman"/>
                <w:sz w:val="24"/>
                <w:szCs w:val="24"/>
              </w:rPr>
            </w:pPr>
            <w:r w:rsidRPr="00B262B0">
              <w:rPr>
                <w:rFonts w:ascii="Times New Roman" w:hAnsi="Times New Roman"/>
                <w:sz w:val="24"/>
                <w:szCs w:val="24"/>
              </w:rPr>
              <w:t>ISO 20022 standard is deployed in test environment (2023)</w:t>
            </w: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ISO 20022 Standard</w:t>
            </w:r>
          </w:p>
          <w:p w:rsidR="00820AF3" w:rsidRPr="00B262B0" w:rsidRDefault="00820AF3" w:rsidP="00B62F25">
            <w:pPr>
              <w:shd w:val="clear" w:color="auto" w:fill="FFFFFF"/>
              <w:spacing w:before="60" w:after="0"/>
              <w:rPr>
                <w:rFonts w:ascii="Times New Roman" w:hAnsi="Times New Roman"/>
                <w:sz w:val="24"/>
                <w:szCs w:val="24"/>
              </w:rPr>
            </w:pPr>
          </w:p>
        </w:tc>
        <w:tc>
          <w:tcPr>
            <w:tcW w:w="1584"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Internal reports, Official site of the National Bank of the Republic of North Macedonia</w:t>
            </w:r>
          </w:p>
        </w:tc>
        <w:tc>
          <w:tcPr>
            <w:tcW w:w="2126" w:type="dxa"/>
            <w:vMerge/>
            <w:shd w:val="clear" w:color="auto" w:fill="FFFFFF"/>
          </w:tcPr>
          <w:p w:rsidR="00820AF3" w:rsidRPr="00B262B0" w:rsidRDefault="00820AF3" w:rsidP="00B62F25">
            <w:pPr>
              <w:numPr>
                <w:ilvl w:val="12"/>
                <w:numId w:val="0"/>
              </w:numPr>
              <w:shd w:val="clear" w:color="auto" w:fill="FFFFFF"/>
              <w:spacing w:before="60" w:after="0"/>
              <w:rPr>
                <w:rFonts w:ascii="Times New Roman" w:hAnsi="Times New Roman"/>
                <w:sz w:val="24"/>
                <w:szCs w:val="24"/>
              </w:rPr>
            </w:pPr>
          </w:p>
        </w:tc>
      </w:tr>
      <w:tr w:rsidR="00820AF3" w:rsidRPr="00B262B0" w:rsidTr="00B62F25">
        <w:trPr>
          <w:trHeight w:val="358"/>
        </w:trPr>
        <w:tc>
          <w:tcPr>
            <w:tcW w:w="3402" w:type="dxa"/>
            <w:shd w:val="clear" w:color="auto" w:fill="FFFFFF"/>
            <w:vAlign w:val="center"/>
          </w:tcPr>
          <w:p w:rsidR="00820AF3" w:rsidRPr="00B262B0" w:rsidRDefault="00820AF3" w:rsidP="00B62F25">
            <w:pPr>
              <w:numPr>
                <w:ilvl w:val="12"/>
                <w:numId w:val="0"/>
              </w:numPr>
              <w:shd w:val="clear" w:color="auto" w:fill="FFFFFF"/>
              <w:spacing w:before="100" w:beforeAutospacing="1" w:after="100" w:afterAutospacing="1"/>
              <w:jc w:val="center"/>
              <w:rPr>
                <w:rFonts w:ascii="Times New Roman" w:hAnsi="Times New Roman"/>
                <w:b/>
                <w:sz w:val="24"/>
                <w:szCs w:val="24"/>
              </w:rPr>
            </w:pPr>
            <w:r w:rsidRPr="00B262B0">
              <w:rPr>
                <w:rFonts w:ascii="Times New Roman" w:hAnsi="Times New Roman"/>
                <w:b/>
                <w:sz w:val="24"/>
                <w:szCs w:val="24"/>
              </w:rPr>
              <w:t>OUTPUTS</w:t>
            </w:r>
          </w:p>
        </w:tc>
        <w:tc>
          <w:tcPr>
            <w:tcW w:w="3967" w:type="dxa"/>
            <w:shd w:val="clear" w:color="auto" w:fill="FFFFFF"/>
            <w:vAlign w:val="center"/>
          </w:tcPr>
          <w:p w:rsidR="00820AF3" w:rsidRPr="00B262B0" w:rsidRDefault="00820AF3" w:rsidP="00B62F25">
            <w:pPr>
              <w:shd w:val="clear" w:color="auto" w:fill="FFFFFF"/>
              <w:spacing w:after="0"/>
              <w:jc w:val="center"/>
              <w:rPr>
                <w:rFonts w:ascii="Times New Roman" w:hAnsi="Times New Roman"/>
                <w:sz w:val="24"/>
                <w:szCs w:val="24"/>
              </w:rPr>
            </w:pPr>
            <w:r w:rsidRPr="00B262B0">
              <w:rPr>
                <w:rFonts w:ascii="Times New Roman" w:hAnsi="Times New Roman"/>
                <w:b/>
                <w:sz w:val="24"/>
                <w:szCs w:val="24"/>
              </w:rPr>
              <w:t>OBJECTIVELY VERIFIABLE INDICATORS (*)</w:t>
            </w:r>
          </w:p>
        </w:tc>
        <w:tc>
          <w:tcPr>
            <w:tcW w:w="1440" w:type="dxa"/>
            <w:shd w:val="clear" w:color="auto" w:fill="FFFFFF"/>
            <w:vAlign w:val="center"/>
          </w:tcPr>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BASELINES</w:t>
            </w:r>
          </w:p>
        </w:tc>
        <w:tc>
          <w:tcPr>
            <w:tcW w:w="1440" w:type="dxa"/>
            <w:shd w:val="clear" w:color="auto" w:fill="FFFFFF"/>
            <w:vAlign w:val="center"/>
          </w:tcPr>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MILESTONES</w:t>
            </w:r>
          </w:p>
        </w:tc>
        <w:tc>
          <w:tcPr>
            <w:tcW w:w="1350" w:type="dxa"/>
            <w:shd w:val="clear" w:color="auto" w:fill="FFFFFF"/>
            <w:vAlign w:val="center"/>
          </w:tcPr>
          <w:p w:rsidR="00820AF3" w:rsidRPr="00B262B0" w:rsidRDefault="00820AF3" w:rsidP="00B62F25">
            <w:pPr>
              <w:shd w:val="clear" w:color="auto" w:fill="FFFFFF"/>
              <w:spacing w:after="0"/>
              <w:jc w:val="center"/>
              <w:rPr>
                <w:rFonts w:ascii="Times New Roman" w:hAnsi="Times New Roman"/>
                <w:b/>
                <w:sz w:val="24"/>
                <w:szCs w:val="24"/>
              </w:rPr>
            </w:pPr>
            <w:r w:rsidRPr="00B262B0">
              <w:rPr>
                <w:rFonts w:ascii="Times New Roman" w:hAnsi="Times New Roman"/>
                <w:b/>
                <w:sz w:val="24"/>
                <w:szCs w:val="24"/>
              </w:rPr>
              <w:t>TARGETS</w:t>
            </w:r>
          </w:p>
        </w:tc>
        <w:tc>
          <w:tcPr>
            <w:tcW w:w="1584" w:type="dxa"/>
            <w:shd w:val="clear" w:color="auto" w:fill="FFFFFF"/>
            <w:vAlign w:val="center"/>
          </w:tcPr>
          <w:p w:rsidR="00820AF3" w:rsidRPr="00B262B0" w:rsidRDefault="00820AF3" w:rsidP="00B62F25">
            <w:pPr>
              <w:shd w:val="clear" w:color="auto" w:fill="FFFFFF"/>
              <w:spacing w:after="0"/>
              <w:jc w:val="center"/>
              <w:rPr>
                <w:rFonts w:ascii="Times New Roman" w:hAnsi="Times New Roman"/>
                <w:sz w:val="24"/>
                <w:szCs w:val="24"/>
              </w:rPr>
            </w:pPr>
            <w:r w:rsidRPr="00B262B0">
              <w:rPr>
                <w:rFonts w:ascii="Times New Roman" w:hAnsi="Times New Roman"/>
                <w:b/>
                <w:sz w:val="24"/>
                <w:szCs w:val="24"/>
              </w:rPr>
              <w:t>SOURCES OF VERIFICATION</w:t>
            </w:r>
          </w:p>
        </w:tc>
        <w:tc>
          <w:tcPr>
            <w:tcW w:w="2126" w:type="dxa"/>
            <w:shd w:val="clear" w:color="auto" w:fill="FFFFFF"/>
            <w:vAlign w:val="center"/>
          </w:tcPr>
          <w:p w:rsidR="00820AF3" w:rsidRPr="00B262B0" w:rsidRDefault="00820AF3" w:rsidP="00B62F25">
            <w:pPr>
              <w:numPr>
                <w:ilvl w:val="12"/>
                <w:numId w:val="0"/>
              </w:numPr>
              <w:shd w:val="clear" w:color="auto" w:fill="FFFFFF"/>
              <w:spacing w:after="0"/>
              <w:jc w:val="center"/>
              <w:rPr>
                <w:rFonts w:ascii="Times New Roman" w:hAnsi="Times New Roman"/>
                <w:b/>
                <w:sz w:val="24"/>
                <w:szCs w:val="24"/>
              </w:rPr>
            </w:pPr>
            <w:r w:rsidRPr="00B262B0">
              <w:rPr>
                <w:rFonts w:ascii="Times New Roman" w:hAnsi="Times New Roman"/>
                <w:b/>
                <w:sz w:val="24"/>
                <w:szCs w:val="24"/>
              </w:rPr>
              <w:t>ASSUMPTIONS</w:t>
            </w:r>
          </w:p>
        </w:tc>
      </w:tr>
      <w:tr w:rsidR="00820AF3" w:rsidRPr="00B262B0" w:rsidTr="00B62F25">
        <w:trPr>
          <w:trHeight w:val="410"/>
        </w:trPr>
        <w:tc>
          <w:tcPr>
            <w:tcW w:w="3402"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1.1 Increased availability of the interoperability platform</w:t>
            </w:r>
          </w:p>
          <w:p w:rsidR="00820AF3" w:rsidRPr="00B262B0" w:rsidRDefault="00820AF3" w:rsidP="00B62F25">
            <w:pPr>
              <w:shd w:val="clear" w:color="auto" w:fill="FFFFFF"/>
              <w:spacing w:before="60" w:after="0"/>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RTO (Recovery Time Objective) and RPO (Recovery Point Objective) for the interoperability platform in accordance with industry best practices for critical infrastructure</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lang w:val="en-US"/>
              </w:rPr>
            </w:pPr>
            <w:r w:rsidRPr="00B262B0">
              <w:rPr>
                <w:rFonts w:ascii="Times New Roman" w:hAnsi="Times New Roman"/>
                <w:sz w:val="24"/>
                <w:szCs w:val="24"/>
                <w:lang w:val="en-US"/>
              </w:rPr>
              <w:t>RTO: 8 hours (2020)</w:t>
            </w:r>
          </w:p>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lang w:val="en-US"/>
              </w:rPr>
              <w:t>RPO: 24 hours (2020)</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lang w:val="en-US"/>
              </w:rPr>
            </w:pPr>
            <w:r w:rsidRPr="00B262B0">
              <w:rPr>
                <w:rFonts w:ascii="Times New Roman" w:hAnsi="Times New Roman"/>
                <w:sz w:val="24"/>
                <w:szCs w:val="24"/>
                <w:lang w:val="en-US"/>
              </w:rPr>
              <w:t>RTO: 2 hours (2022)</w:t>
            </w:r>
          </w:p>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lang w:val="en-US"/>
              </w:rPr>
              <w:t>RPO: 4 hours (2022)</w:t>
            </w:r>
          </w:p>
        </w:tc>
        <w:tc>
          <w:tcPr>
            <w:tcW w:w="1350"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lang w:val="en-US"/>
              </w:rPr>
              <w:t>RTPO: 15 minutes (2023)</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MISA Report (yearly DR test report)</w:t>
            </w:r>
          </w:p>
        </w:tc>
        <w:tc>
          <w:tcPr>
            <w:tcW w:w="2126" w:type="dxa"/>
            <w:vMerge w:val="restart"/>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The supported projects are timely implemented </w:t>
            </w:r>
          </w:p>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 xml:space="preserve">State </w:t>
            </w:r>
            <w:r w:rsidRPr="00B262B0">
              <w:rPr>
                <w:rFonts w:ascii="Times New Roman" w:eastAsia="Calibri" w:hAnsi="Times New Roman"/>
                <w:sz w:val="24"/>
                <w:szCs w:val="24"/>
              </w:rPr>
              <w:t>authorities ready to implement freedom of information regulation</w:t>
            </w:r>
            <w:r w:rsidRPr="00B262B0">
              <w:rPr>
                <w:rFonts w:ascii="Times New Roman" w:hAnsi="Times New Roman"/>
                <w:sz w:val="24"/>
                <w:szCs w:val="24"/>
              </w:rPr>
              <w:t xml:space="preserve"> and legislation</w:t>
            </w:r>
          </w:p>
        </w:tc>
      </w:tr>
      <w:tr w:rsidR="00820AF3" w:rsidRPr="00B262B0" w:rsidTr="00B62F25">
        <w:trPr>
          <w:trHeight w:val="410"/>
        </w:trPr>
        <w:tc>
          <w:tcPr>
            <w:tcW w:w="3402" w:type="dxa"/>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1.2 Increased secure common digital infrastructure</w:t>
            </w: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Number of full packages (Feasibility study, technical specifications and tender dossiers) realised for establishing a secure and reliable Data Centre</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lang w:val="en-US"/>
              </w:rPr>
            </w:pPr>
            <w:r w:rsidRPr="00B262B0">
              <w:rPr>
                <w:rFonts w:ascii="Times New Roman" w:hAnsi="Times New Roman"/>
                <w:sz w:val="24"/>
                <w:szCs w:val="24"/>
                <w:lang w:val="en-US"/>
              </w:rPr>
              <w:t>0 (2020)</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lang w:val="en-US"/>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lang w:val="en-US"/>
              </w:rPr>
            </w:pPr>
            <w:r w:rsidRPr="00B262B0">
              <w:rPr>
                <w:rFonts w:ascii="Times New Roman" w:hAnsi="Times New Roman"/>
                <w:sz w:val="24"/>
                <w:szCs w:val="24"/>
                <w:lang w:val="en-US"/>
              </w:rPr>
              <w:t xml:space="preserve">1 (2023) </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Project report</w:t>
            </w:r>
          </w:p>
        </w:tc>
        <w:tc>
          <w:tcPr>
            <w:tcW w:w="2126" w:type="dxa"/>
            <w:vMerge/>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r>
      <w:tr w:rsidR="00820AF3" w:rsidRPr="00B262B0" w:rsidTr="00B62F25">
        <w:trPr>
          <w:trHeight w:val="410"/>
        </w:trPr>
        <w:tc>
          <w:tcPr>
            <w:tcW w:w="3402" w:type="dxa"/>
            <w:vMerge w:val="restart"/>
            <w:shd w:val="clear" w:color="auto" w:fill="FFFFFF"/>
          </w:tcPr>
          <w:p w:rsidR="00820AF3" w:rsidRPr="00B262B0" w:rsidRDefault="00820AF3" w:rsidP="00B62F25">
            <w:pPr>
              <w:shd w:val="clear" w:color="auto" w:fill="FFFFFF"/>
              <w:spacing w:before="60" w:after="0"/>
              <w:rPr>
                <w:rFonts w:ascii="Times New Roman" w:hAnsi="Times New Roman"/>
                <w:sz w:val="24"/>
                <w:szCs w:val="24"/>
              </w:rPr>
            </w:pPr>
            <w:r w:rsidRPr="00B262B0">
              <w:rPr>
                <w:rFonts w:ascii="Times New Roman" w:hAnsi="Times New Roman"/>
                <w:sz w:val="24"/>
                <w:szCs w:val="24"/>
              </w:rPr>
              <w:t>1.3 Enhanced Public Administration digital skills through the development of e-contents available to civil servant</w:t>
            </w: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Number of e-contents developed</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lang w:val="en-US"/>
              </w:rPr>
            </w:pPr>
            <w:r w:rsidRPr="00B262B0">
              <w:rPr>
                <w:rFonts w:ascii="Times New Roman" w:hAnsi="Times New Roman"/>
                <w:sz w:val="24"/>
                <w:szCs w:val="24"/>
                <w:lang w:val="en-US"/>
              </w:rPr>
              <w:t>0 (2020)</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lang w:val="en-US"/>
              </w:rPr>
            </w:pP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lang w:val="en-US"/>
              </w:rPr>
            </w:pPr>
            <w:r w:rsidRPr="00B262B0">
              <w:rPr>
                <w:rFonts w:ascii="Times New Roman" w:hAnsi="Times New Roman"/>
                <w:sz w:val="24"/>
                <w:szCs w:val="24"/>
                <w:lang w:val="en-US"/>
              </w:rPr>
              <w:t>&gt; 40 (2024)</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Project report</w:t>
            </w:r>
          </w:p>
        </w:tc>
        <w:tc>
          <w:tcPr>
            <w:tcW w:w="2126" w:type="dxa"/>
            <w:vMerge/>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r>
      <w:tr w:rsidR="00820AF3" w:rsidRPr="00B262B0" w:rsidTr="00B62F25">
        <w:trPr>
          <w:trHeight w:val="410"/>
        </w:trPr>
        <w:tc>
          <w:tcPr>
            <w:tcW w:w="3402" w:type="dxa"/>
            <w:vMerge/>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Number of trainees that took the courses, for both generic courses and ICT specific ones</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lang w:val="en-US"/>
              </w:rPr>
            </w:pPr>
            <w:r w:rsidRPr="00B262B0">
              <w:rPr>
                <w:rFonts w:ascii="Times New Roman" w:hAnsi="Times New Roman"/>
                <w:sz w:val="24"/>
                <w:szCs w:val="24"/>
                <w:lang w:val="en-US"/>
              </w:rPr>
              <w:t>0 (2020)</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lang w:val="en-US"/>
              </w:rPr>
            </w:pP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lang w:val="en-US"/>
              </w:rPr>
            </w:pPr>
            <w:r w:rsidRPr="00B262B0">
              <w:rPr>
                <w:rFonts w:ascii="Times New Roman" w:hAnsi="Times New Roman"/>
                <w:sz w:val="24"/>
                <w:szCs w:val="24"/>
                <w:lang w:val="en-US"/>
              </w:rPr>
              <w:t>&gt; 700 (2024)</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Project report</w:t>
            </w:r>
          </w:p>
        </w:tc>
        <w:tc>
          <w:tcPr>
            <w:tcW w:w="2126" w:type="dxa"/>
            <w:vMerge/>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tc>
      </w:tr>
      <w:tr w:rsidR="00820AF3" w:rsidRPr="00B262B0" w:rsidTr="00B62F25">
        <w:trPr>
          <w:trHeight w:val="389"/>
        </w:trPr>
        <w:tc>
          <w:tcPr>
            <w:tcW w:w="3402" w:type="dxa"/>
            <w:vMerge w:val="restart"/>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2.1 Efficiency of the information holders services in the public institutions improved</w:t>
            </w: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Number of State</w:t>
            </w:r>
            <w:r w:rsidRPr="00B262B0">
              <w:rPr>
                <w:rFonts w:ascii="Times New Roman" w:hAnsi="Times New Roman"/>
                <w:sz w:val="24"/>
                <w:szCs w:val="24"/>
                <w:lang w:val="en-US"/>
              </w:rPr>
              <w:t xml:space="preserve"> officials </w:t>
            </w:r>
            <w:r w:rsidRPr="00B262B0">
              <w:rPr>
                <w:rFonts w:ascii="Times New Roman" w:hAnsi="Times New Roman"/>
                <w:sz w:val="24"/>
                <w:szCs w:val="24"/>
              </w:rPr>
              <w:t>trained on</w:t>
            </w:r>
            <w:r w:rsidRPr="00B262B0">
              <w:rPr>
                <w:rFonts w:ascii="Times New Roman" w:hAnsi="Times New Roman"/>
                <w:sz w:val="24"/>
                <w:szCs w:val="24"/>
                <w:lang w:val="en-US"/>
              </w:rPr>
              <w:t xml:space="preserve"> the free access to public information</w:t>
            </w:r>
          </w:p>
        </w:tc>
        <w:tc>
          <w:tcPr>
            <w:tcW w:w="1440" w:type="dxa"/>
            <w:shd w:val="clear" w:color="auto" w:fill="FFFFFF"/>
            <w:vAlign w:val="center"/>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0 (2019)</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1400 (cumulative till 2025)</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Project report</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389"/>
        </w:trPr>
        <w:tc>
          <w:tcPr>
            <w:tcW w:w="3402"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Percentage of</w:t>
            </w:r>
            <w:r w:rsidRPr="00B262B0">
              <w:rPr>
                <w:rFonts w:ascii="Times New Roman" w:hAnsi="Times New Roman"/>
                <w:sz w:val="24"/>
                <w:szCs w:val="24"/>
                <w:lang w:val="en-US"/>
              </w:rPr>
              <w:t xml:space="preserve"> people aware of their rights on access of Public Information</w:t>
            </w:r>
          </w:p>
        </w:tc>
        <w:tc>
          <w:tcPr>
            <w:tcW w:w="1440" w:type="dxa"/>
            <w:shd w:val="clear" w:color="auto" w:fill="FFFFFF"/>
            <w:vAlign w:val="center"/>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0</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lang w:val="en-US"/>
              </w:rPr>
              <w:t>10% of the adult population</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Project report</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389"/>
        </w:trPr>
        <w:tc>
          <w:tcPr>
            <w:tcW w:w="3402"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Number of workshops on local and regional level</w:t>
            </w:r>
          </w:p>
        </w:tc>
        <w:tc>
          <w:tcPr>
            <w:tcW w:w="1440" w:type="dxa"/>
            <w:shd w:val="clear" w:color="auto" w:fill="FFFFFF"/>
            <w:vAlign w:val="center"/>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0</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lang w:val="en-US"/>
              </w:rPr>
              <w:t xml:space="preserve">1400 information holders on local and </w:t>
            </w:r>
            <w:r w:rsidRPr="00B262B0">
              <w:rPr>
                <w:rFonts w:ascii="Times New Roman" w:hAnsi="Times New Roman"/>
                <w:sz w:val="24"/>
                <w:szCs w:val="24"/>
                <w:lang w:val="en-US"/>
              </w:rPr>
              <w:lastRenderedPageBreak/>
              <w:t>central level</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lastRenderedPageBreak/>
              <w:t>Project report</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389"/>
        </w:trPr>
        <w:tc>
          <w:tcPr>
            <w:tcW w:w="3402"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 xml:space="preserve">Number of complaints due to the silence of the Administration </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 xml:space="preserve">677 (2019) </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lang w:val="en-US"/>
              </w:rPr>
            </w:pPr>
            <w:r w:rsidRPr="00B262B0">
              <w:rPr>
                <w:rFonts w:ascii="Times New Roman" w:hAnsi="Times New Roman"/>
                <w:sz w:val="24"/>
                <w:szCs w:val="24"/>
              </w:rPr>
              <w:t>&lt; 150 (2025)</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Project report</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116"/>
        </w:trPr>
        <w:tc>
          <w:tcPr>
            <w:tcW w:w="3402" w:type="dxa"/>
            <w:shd w:val="clear" w:color="auto" w:fill="FFFFFF"/>
          </w:tcPr>
          <w:p w:rsidR="00820AF3" w:rsidRPr="00B262B0" w:rsidRDefault="00820AF3" w:rsidP="000F274E">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 xml:space="preserve">2.2 </w:t>
            </w:r>
            <w:r w:rsidR="000F274E">
              <w:rPr>
                <w:rFonts w:ascii="Times New Roman" w:hAnsi="Times New Roman"/>
                <w:sz w:val="24"/>
                <w:szCs w:val="24"/>
              </w:rPr>
              <w:t>Improved public a</w:t>
            </w:r>
            <w:r w:rsidRPr="00B262B0">
              <w:rPr>
                <w:rFonts w:ascii="Times New Roman" w:hAnsi="Times New Roman"/>
                <w:sz w:val="24"/>
                <w:szCs w:val="24"/>
              </w:rPr>
              <w:t xml:space="preserve">wareness </w:t>
            </w:r>
            <w:r w:rsidR="000F274E">
              <w:rPr>
                <w:rFonts w:ascii="Times New Roman" w:hAnsi="Times New Roman"/>
                <w:sz w:val="24"/>
                <w:szCs w:val="24"/>
              </w:rPr>
              <w:t>on access to information</w:t>
            </w:r>
            <w:r w:rsidRPr="00B262B0">
              <w:rPr>
                <w:rFonts w:ascii="Times New Roman" w:hAnsi="Times New Roman"/>
                <w:sz w:val="24"/>
                <w:szCs w:val="24"/>
              </w:rPr>
              <w:t xml:space="preserve"> </w:t>
            </w: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Number of requests submitted to the information holders</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8,752 (2019)</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20,000 (2024)</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Agency Annual Report</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599"/>
        </w:trPr>
        <w:tc>
          <w:tcPr>
            <w:tcW w:w="3402" w:type="dxa"/>
            <w:vMerge w:val="restart"/>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3.1 Strengthened capacity for production and dissemination of environmental and health statistics</w:t>
            </w: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Percentage of published environmental statistical indicators according to EU Standards</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26% (2019)</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&gt; 40% (2027)</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bCs/>
                <w:sz w:val="24"/>
                <w:szCs w:val="24"/>
              </w:rPr>
            </w:pPr>
            <w:r w:rsidRPr="00B262B0">
              <w:rPr>
                <w:rFonts w:ascii="Times New Roman" w:hAnsi="Times New Roman"/>
                <w:sz w:val="24"/>
                <w:szCs w:val="24"/>
              </w:rPr>
              <w:t>SSO</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599"/>
        </w:trPr>
        <w:tc>
          <w:tcPr>
            <w:tcW w:w="3402"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Percentage of Health statistics data produced and disseminated in accordance to EU standards</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25% (2019)</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&gt; 80% (2027)</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bCs/>
                <w:sz w:val="24"/>
                <w:szCs w:val="24"/>
              </w:rPr>
            </w:pPr>
            <w:r w:rsidRPr="00B262B0">
              <w:rPr>
                <w:rFonts w:ascii="Times New Roman" w:hAnsi="Times New Roman"/>
                <w:sz w:val="24"/>
                <w:szCs w:val="24"/>
              </w:rPr>
              <w:t>SSO</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0F274E">
        <w:trPr>
          <w:trHeight w:val="50"/>
        </w:trPr>
        <w:tc>
          <w:tcPr>
            <w:tcW w:w="3402" w:type="dxa"/>
            <w:vMerge w:val="restart"/>
            <w:shd w:val="clear" w:color="auto" w:fill="FFFFFF"/>
          </w:tcPr>
          <w:p w:rsidR="00820AF3" w:rsidRPr="00B262B0" w:rsidRDefault="00820AF3" w:rsidP="002159E6">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3.2 Strengthened capacity of the Central Bank to deal with external statistics and payment messaging standard</w:t>
            </w: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Percentage of payments compliant with ISO 20022 Standard</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0% (2019)</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100% (2024)</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sz w:val="24"/>
                <w:szCs w:val="24"/>
              </w:rPr>
            </w:pPr>
            <w:r w:rsidRPr="00B262B0">
              <w:rPr>
                <w:rFonts w:ascii="Times New Roman" w:hAnsi="Times New Roman"/>
                <w:bCs/>
                <w:sz w:val="24"/>
                <w:szCs w:val="24"/>
              </w:rPr>
              <w:t>Payment Statistics on the official site of the National Bank</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599"/>
        </w:trPr>
        <w:tc>
          <w:tcPr>
            <w:tcW w:w="3402"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Percentage of reports submitted fully compliant with the DSD requirements</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18% (2019)</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90% (2024)</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bCs/>
                <w:sz w:val="24"/>
                <w:szCs w:val="24"/>
              </w:rPr>
            </w:pPr>
            <w:r w:rsidRPr="00B262B0">
              <w:rPr>
                <w:rFonts w:ascii="Times New Roman" w:hAnsi="Times New Roman"/>
                <w:bCs/>
                <w:sz w:val="24"/>
                <w:szCs w:val="24"/>
              </w:rPr>
              <w:t>Progress report on the action plan on economic, monetary and financial statistics</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599"/>
        </w:trPr>
        <w:tc>
          <w:tcPr>
            <w:tcW w:w="3402"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Number of reports submitted fully compliant with the DSD requirements</w:t>
            </w:r>
          </w:p>
        </w:tc>
        <w:tc>
          <w:tcPr>
            <w:tcW w:w="144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2 (2019)</w:t>
            </w: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jc w:val="center"/>
              <w:rPr>
                <w:rFonts w:ascii="Times New Roman" w:hAnsi="Times New Roman"/>
                <w:sz w:val="24"/>
                <w:szCs w:val="24"/>
              </w:rPr>
            </w:pPr>
            <w:r w:rsidRPr="00B262B0">
              <w:rPr>
                <w:rFonts w:ascii="Times New Roman" w:hAnsi="Times New Roman"/>
                <w:sz w:val="24"/>
                <w:szCs w:val="24"/>
              </w:rPr>
              <w:t>10 (20224)</w:t>
            </w: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bCs/>
                <w:sz w:val="24"/>
                <w:szCs w:val="24"/>
              </w:rPr>
            </w:pPr>
            <w:r w:rsidRPr="00B262B0">
              <w:rPr>
                <w:rFonts w:ascii="Times New Roman" w:hAnsi="Times New Roman"/>
                <w:bCs/>
                <w:sz w:val="24"/>
                <w:szCs w:val="24"/>
              </w:rPr>
              <w:t>Progress report on the action plan on economic, monetary and financial statistics</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599"/>
        </w:trPr>
        <w:tc>
          <w:tcPr>
            <w:tcW w:w="3402"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3967"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Standard of payment messages in use</w:t>
            </w:r>
          </w:p>
          <w:p w:rsidR="00820AF3" w:rsidRPr="00B262B0" w:rsidRDefault="00820AF3" w:rsidP="00B62F25">
            <w:pPr>
              <w:shd w:val="clear" w:color="auto" w:fill="FFFFFF"/>
              <w:spacing w:after="0" w:line="240" w:lineRule="auto"/>
              <w:ind w:left="720"/>
              <w:rPr>
                <w:rFonts w:ascii="Times New Roman" w:hAnsi="Times New Roman"/>
                <w:sz w:val="24"/>
                <w:szCs w:val="24"/>
              </w:rPr>
            </w:pPr>
          </w:p>
          <w:p w:rsidR="00820AF3" w:rsidRPr="00B262B0" w:rsidRDefault="00820AF3" w:rsidP="00B62F25">
            <w:pPr>
              <w:shd w:val="clear" w:color="auto" w:fill="FFFFFF"/>
              <w:spacing w:after="0" w:line="240" w:lineRule="auto"/>
              <w:rPr>
                <w:rFonts w:ascii="Times New Roman" w:hAnsi="Times New Roman"/>
                <w:sz w:val="24"/>
                <w:szCs w:val="24"/>
              </w:rPr>
            </w:pPr>
          </w:p>
        </w:tc>
        <w:tc>
          <w:tcPr>
            <w:tcW w:w="1440" w:type="dxa"/>
            <w:shd w:val="clear" w:color="auto" w:fill="FFFFFF"/>
          </w:tcPr>
          <w:p w:rsidR="00820AF3" w:rsidRPr="00B262B0" w:rsidRDefault="00820AF3" w:rsidP="00B62F25">
            <w:pPr>
              <w:spacing w:after="0" w:line="240" w:lineRule="auto"/>
              <w:rPr>
                <w:rFonts w:ascii="Times New Roman" w:hAnsi="Times New Roman"/>
                <w:sz w:val="24"/>
                <w:szCs w:val="24"/>
              </w:rPr>
            </w:pPr>
            <w:r w:rsidRPr="00B262B0">
              <w:rPr>
                <w:rFonts w:ascii="Times New Roman" w:hAnsi="Times New Roman"/>
                <w:sz w:val="24"/>
                <w:szCs w:val="24"/>
              </w:rPr>
              <w:t xml:space="preserve">National </w:t>
            </w:r>
            <w:hyperlink r:id="rId15" w:history="1">
              <w:r w:rsidRPr="00B262B0">
                <w:rPr>
                  <w:rFonts w:ascii="Times New Roman" w:hAnsi="Times New Roman"/>
                  <w:sz w:val="24"/>
                  <w:szCs w:val="24"/>
                </w:rPr>
                <w:t xml:space="preserve">Standard </w:t>
              </w:r>
            </w:hyperlink>
          </w:p>
          <w:p w:rsidR="00820AF3" w:rsidRPr="00B262B0" w:rsidRDefault="00820AF3" w:rsidP="00B62F25">
            <w:pPr>
              <w:shd w:val="clear" w:color="auto" w:fill="FFFFFF"/>
              <w:spacing w:after="0" w:line="240" w:lineRule="auto"/>
              <w:jc w:val="center"/>
              <w:rPr>
                <w:rFonts w:ascii="Times New Roman" w:hAnsi="Times New Roman"/>
                <w:sz w:val="24"/>
                <w:szCs w:val="24"/>
              </w:rPr>
            </w:pPr>
          </w:p>
        </w:tc>
        <w:tc>
          <w:tcPr>
            <w:tcW w:w="144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c>
          <w:tcPr>
            <w:tcW w:w="1350" w:type="dxa"/>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r w:rsidRPr="00B262B0">
              <w:rPr>
                <w:rFonts w:ascii="Times New Roman" w:hAnsi="Times New Roman"/>
                <w:sz w:val="24"/>
                <w:szCs w:val="24"/>
              </w:rPr>
              <w:t>ISO 20022 Standard</w:t>
            </w:r>
          </w:p>
          <w:p w:rsidR="00820AF3" w:rsidRPr="00B262B0" w:rsidRDefault="00820AF3" w:rsidP="00B62F25">
            <w:pPr>
              <w:shd w:val="clear" w:color="auto" w:fill="FFFFFF"/>
              <w:spacing w:after="0" w:line="240" w:lineRule="auto"/>
              <w:jc w:val="center"/>
              <w:rPr>
                <w:rFonts w:ascii="Times New Roman" w:hAnsi="Times New Roman"/>
                <w:sz w:val="24"/>
                <w:szCs w:val="24"/>
              </w:rPr>
            </w:pPr>
          </w:p>
        </w:tc>
        <w:tc>
          <w:tcPr>
            <w:tcW w:w="1584" w:type="dxa"/>
            <w:shd w:val="clear" w:color="auto" w:fill="FFFFFF"/>
          </w:tcPr>
          <w:p w:rsidR="00820AF3" w:rsidRPr="00B262B0" w:rsidRDefault="00820AF3" w:rsidP="00B62F25">
            <w:pPr>
              <w:numPr>
                <w:ilvl w:val="12"/>
                <w:numId w:val="0"/>
              </w:numPr>
              <w:shd w:val="clear" w:color="auto" w:fill="FFFFFF"/>
              <w:spacing w:after="0" w:line="240" w:lineRule="auto"/>
              <w:rPr>
                <w:rFonts w:ascii="Times New Roman" w:hAnsi="Times New Roman"/>
                <w:bCs/>
                <w:sz w:val="24"/>
                <w:szCs w:val="24"/>
              </w:rPr>
            </w:pPr>
            <w:r w:rsidRPr="00B262B0">
              <w:rPr>
                <w:rFonts w:ascii="Times New Roman" w:hAnsi="Times New Roman"/>
                <w:bCs/>
                <w:sz w:val="24"/>
                <w:szCs w:val="24"/>
              </w:rPr>
              <w:t>Internal reports, Official site of the National Bank of the Republic of North Macedonia</w:t>
            </w:r>
          </w:p>
        </w:tc>
        <w:tc>
          <w:tcPr>
            <w:tcW w:w="2126" w:type="dxa"/>
            <w:vMerge/>
            <w:shd w:val="clear" w:color="auto" w:fill="FFFFFF"/>
          </w:tcPr>
          <w:p w:rsidR="00820AF3" w:rsidRPr="00B262B0" w:rsidRDefault="00820AF3" w:rsidP="00B62F25">
            <w:pPr>
              <w:shd w:val="clear" w:color="auto" w:fill="FFFFFF"/>
              <w:spacing w:after="0" w:line="240" w:lineRule="auto"/>
              <w:rPr>
                <w:rFonts w:ascii="Times New Roman" w:hAnsi="Times New Roman"/>
                <w:sz w:val="24"/>
                <w:szCs w:val="24"/>
              </w:rPr>
            </w:pPr>
          </w:p>
        </w:tc>
      </w:tr>
      <w:tr w:rsidR="00820AF3" w:rsidRPr="00B262B0" w:rsidTr="00B62F25">
        <w:trPr>
          <w:trHeight w:val="332"/>
        </w:trPr>
        <w:tc>
          <w:tcPr>
            <w:tcW w:w="3402" w:type="dxa"/>
            <w:shd w:val="clear" w:color="auto" w:fill="FFFFFF"/>
          </w:tcPr>
          <w:p w:rsidR="00820AF3" w:rsidRPr="00B262B0" w:rsidRDefault="00820AF3" w:rsidP="00B62F25">
            <w:pPr>
              <w:shd w:val="clear" w:color="auto" w:fill="FFFFFF"/>
              <w:autoSpaceDE w:val="0"/>
              <w:autoSpaceDN w:val="0"/>
              <w:adjustRightInd w:val="0"/>
              <w:jc w:val="center"/>
              <w:rPr>
                <w:rFonts w:ascii="Times New Roman" w:hAnsi="Times New Roman"/>
                <w:sz w:val="24"/>
                <w:szCs w:val="24"/>
              </w:rPr>
            </w:pPr>
            <w:r w:rsidRPr="00B262B0">
              <w:rPr>
                <w:rFonts w:ascii="Times New Roman" w:hAnsi="Times New Roman"/>
                <w:b/>
                <w:sz w:val="24"/>
                <w:szCs w:val="24"/>
              </w:rPr>
              <w:lastRenderedPageBreak/>
              <w:t>BROAD ARRANGEMENTS FOR IMPLEMENTATION (IF AVAILABLE)</w:t>
            </w:r>
          </w:p>
        </w:tc>
        <w:tc>
          <w:tcPr>
            <w:tcW w:w="11907" w:type="dxa"/>
            <w:gridSpan w:val="6"/>
            <w:shd w:val="clear" w:color="auto" w:fill="FFFFFF"/>
          </w:tcPr>
          <w:p w:rsidR="00820AF3" w:rsidRPr="00B262B0" w:rsidRDefault="00820AF3" w:rsidP="00B62F25">
            <w:pPr>
              <w:shd w:val="clear" w:color="auto" w:fill="FFFFFF"/>
              <w:spacing w:before="60" w:after="0"/>
              <w:rPr>
                <w:rFonts w:ascii="Times New Roman" w:hAnsi="Times New Roman"/>
                <w:sz w:val="24"/>
                <w:szCs w:val="24"/>
              </w:rPr>
            </w:pPr>
          </w:p>
          <w:p w:rsidR="00820AF3" w:rsidRPr="00B262B0" w:rsidRDefault="000F274E" w:rsidP="00B62F25">
            <w:pPr>
              <w:shd w:val="clear" w:color="auto" w:fill="FFFFFF"/>
              <w:spacing w:before="60" w:after="0"/>
              <w:rPr>
                <w:rFonts w:ascii="Times New Roman" w:hAnsi="Times New Roman"/>
                <w:sz w:val="24"/>
                <w:szCs w:val="24"/>
              </w:rPr>
            </w:pPr>
            <w:r w:rsidRPr="00B262B0">
              <w:rPr>
                <w:rFonts w:ascii="Times New Roman" w:hAnsi="Times New Roman"/>
                <w:iCs/>
                <w:sz w:val="24"/>
                <w:szCs w:val="24"/>
              </w:rPr>
              <w:t xml:space="preserve">The Action </w:t>
            </w:r>
            <w:proofErr w:type="gramStart"/>
            <w:r>
              <w:rPr>
                <w:rFonts w:ascii="Times New Roman" w:hAnsi="Times New Roman"/>
                <w:iCs/>
                <w:sz w:val="24"/>
                <w:szCs w:val="24"/>
              </w:rPr>
              <w:t>will be</w:t>
            </w:r>
            <w:r w:rsidRPr="00B262B0">
              <w:rPr>
                <w:rFonts w:ascii="Times New Roman" w:hAnsi="Times New Roman"/>
                <w:iCs/>
                <w:sz w:val="24"/>
                <w:szCs w:val="24"/>
              </w:rPr>
              <w:t xml:space="preserve"> impl</w:t>
            </w:r>
            <w:r>
              <w:rPr>
                <w:rFonts w:ascii="Times New Roman" w:hAnsi="Times New Roman"/>
                <w:iCs/>
                <w:sz w:val="24"/>
                <w:szCs w:val="24"/>
              </w:rPr>
              <w:t>emented</w:t>
            </w:r>
            <w:proofErr w:type="gramEnd"/>
            <w:r>
              <w:rPr>
                <w:rFonts w:ascii="Times New Roman" w:hAnsi="Times New Roman"/>
                <w:iCs/>
                <w:sz w:val="24"/>
                <w:szCs w:val="24"/>
              </w:rPr>
              <w:t xml:space="preserve"> under Direct Management through procurement (service, supplies) and grants. </w:t>
            </w:r>
            <w:r w:rsidRPr="00B262B0">
              <w:rPr>
                <w:rFonts w:ascii="Times New Roman" w:hAnsi="Times New Roman"/>
                <w:iCs/>
                <w:sz w:val="24"/>
                <w:szCs w:val="24"/>
              </w:rPr>
              <w:t xml:space="preserve"> </w:t>
            </w:r>
          </w:p>
        </w:tc>
      </w:tr>
    </w:tbl>
    <w:p w:rsidR="00E607F2" w:rsidRPr="00B262B0" w:rsidRDefault="00E607F2" w:rsidP="00242F6B">
      <w:pPr>
        <w:rPr>
          <w:rFonts w:ascii="Times New Roman" w:hAnsi="Times New Roman"/>
          <w:sz w:val="24"/>
          <w:szCs w:val="24"/>
        </w:rPr>
      </w:pPr>
    </w:p>
    <w:sectPr w:rsidR="00E607F2" w:rsidRPr="00B262B0" w:rsidSect="00275CA9">
      <w:pgSz w:w="16838" w:h="11906" w:orient="landscape"/>
      <w:pgMar w:top="567" w:right="1440" w:bottom="426" w:left="1440" w:header="708" w:footer="2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CA453F" w16cid:durableId="22A709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AF2" w:rsidRDefault="00503AF2" w:rsidP="00D92F6C">
      <w:pPr>
        <w:spacing w:after="0" w:line="240" w:lineRule="auto"/>
      </w:pPr>
      <w:r>
        <w:separator/>
      </w:r>
    </w:p>
  </w:endnote>
  <w:endnote w:type="continuationSeparator" w:id="0">
    <w:p w:rsidR="00503AF2" w:rsidRDefault="00503AF2"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AF2" w:rsidRDefault="00503AF2" w:rsidP="00D92F6C">
      <w:pPr>
        <w:spacing w:after="0" w:line="240" w:lineRule="auto"/>
      </w:pPr>
      <w:r>
        <w:separator/>
      </w:r>
    </w:p>
  </w:footnote>
  <w:footnote w:type="continuationSeparator" w:id="0">
    <w:p w:rsidR="00503AF2" w:rsidRDefault="00503AF2" w:rsidP="00D92F6C">
      <w:pPr>
        <w:spacing w:after="0" w:line="240" w:lineRule="auto"/>
      </w:pPr>
      <w:r>
        <w:continuationSeparator/>
      </w:r>
    </w:p>
  </w:footnote>
  <w:footnote w:id="1">
    <w:p w:rsidR="00820AF3" w:rsidRPr="003D09A5" w:rsidRDefault="00820AF3" w:rsidP="00820AF3">
      <w:pPr>
        <w:pStyle w:val="FootnoteText"/>
      </w:pPr>
      <w:r>
        <w:rPr>
          <w:rStyle w:val="FootnoteReference"/>
        </w:rPr>
        <w:footnoteRef/>
      </w:r>
      <w:r w:rsidRPr="003D09A5">
        <w:rPr>
          <w:sz w:val="16"/>
          <w:szCs w:val="16"/>
        </w:rPr>
        <w:t>The baseline value may be "0" (i.e. no reference values are available as the Action represents a novelty for the beneficiary) but cannot be left empty or include references such as "N/A" or "will be determined later".</w:t>
      </w:r>
    </w:p>
    <w:p w:rsidR="00820AF3" w:rsidRPr="00042F9A" w:rsidRDefault="00820AF3" w:rsidP="00820AF3">
      <w:pPr>
        <w:pStyle w:val="FootnoteText"/>
      </w:pPr>
    </w:p>
  </w:footnote>
  <w:footnote w:id="2">
    <w:p w:rsidR="00820AF3" w:rsidRPr="00535B39" w:rsidRDefault="00820AF3" w:rsidP="00820AF3">
      <w:pPr>
        <w:pStyle w:val="FootnoteText"/>
        <w:rPr>
          <w:sz w:val="16"/>
          <w:szCs w:val="16"/>
        </w:rPr>
      </w:pPr>
      <w:r w:rsidRPr="00535B39">
        <w:rPr>
          <w:rStyle w:val="FootnoteReference"/>
          <w:sz w:val="16"/>
          <w:szCs w:val="16"/>
        </w:rPr>
        <w:footnoteRef/>
      </w:r>
      <w:hyperlink r:id="rId1" w:history="1">
        <w:r w:rsidRPr="00535B39">
          <w:rPr>
            <w:rStyle w:val="Hyperlink"/>
            <w:sz w:val="16"/>
            <w:szCs w:val="16"/>
          </w:rPr>
          <w:t>https://ec.europa.eu/eurostat/data/database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6303"/>
    <w:multiLevelType w:val="hybridMultilevel"/>
    <w:tmpl w:val="08ACF9F8"/>
    <w:lvl w:ilvl="0" w:tplc="9F507120">
      <w:start w:val="9"/>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55726B"/>
    <w:multiLevelType w:val="hybridMultilevel"/>
    <w:tmpl w:val="6E7AAAEA"/>
    <w:lvl w:ilvl="0" w:tplc="040E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0907D7"/>
    <w:multiLevelType w:val="hybridMultilevel"/>
    <w:tmpl w:val="5406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604A86"/>
    <w:multiLevelType w:val="hybridMultilevel"/>
    <w:tmpl w:val="6930E45E"/>
    <w:lvl w:ilvl="0" w:tplc="90023AA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1E850510"/>
    <w:multiLevelType w:val="hybridMultilevel"/>
    <w:tmpl w:val="AF5CD956"/>
    <w:lvl w:ilvl="0" w:tplc="9F507120">
      <w:start w:val="9"/>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708" w:hanging="360"/>
      </w:pPr>
      <w:rPr>
        <w:rFonts w:ascii="Courier New" w:hAnsi="Courier New" w:cs="Courier New" w:hint="default"/>
      </w:rPr>
    </w:lvl>
    <w:lvl w:ilvl="2" w:tplc="040E0005" w:tentative="1">
      <w:start w:val="1"/>
      <w:numFmt w:val="bullet"/>
      <w:lvlText w:val=""/>
      <w:lvlJc w:val="left"/>
      <w:pPr>
        <w:ind w:left="1428" w:hanging="360"/>
      </w:pPr>
      <w:rPr>
        <w:rFonts w:ascii="Wingdings" w:hAnsi="Wingdings" w:hint="default"/>
      </w:rPr>
    </w:lvl>
    <w:lvl w:ilvl="3" w:tplc="040E0001" w:tentative="1">
      <w:start w:val="1"/>
      <w:numFmt w:val="bullet"/>
      <w:lvlText w:val=""/>
      <w:lvlJc w:val="left"/>
      <w:pPr>
        <w:ind w:left="2148" w:hanging="360"/>
      </w:pPr>
      <w:rPr>
        <w:rFonts w:ascii="Symbol" w:hAnsi="Symbol" w:hint="default"/>
      </w:rPr>
    </w:lvl>
    <w:lvl w:ilvl="4" w:tplc="040E0003" w:tentative="1">
      <w:start w:val="1"/>
      <w:numFmt w:val="bullet"/>
      <w:lvlText w:val="o"/>
      <w:lvlJc w:val="left"/>
      <w:pPr>
        <w:ind w:left="2868" w:hanging="360"/>
      </w:pPr>
      <w:rPr>
        <w:rFonts w:ascii="Courier New" w:hAnsi="Courier New" w:cs="Courier New" w:hint="default"/>
      </w:rPr>
    </w:lvl>
    <w:lvl w:ilvl="5" w:tplc="040E0005" w:tentative="1">
      <w:start w:val="1"/>
      <w:numFmt w:val="bullet"/>
      <w:lvlText w:val=""/>
      <w:lvlJc w:val="left"/>
      <w:pPr>
        <w:ind w:left="3588" w:hanging="360"/>
      </w:pPr>
      <w:rPr>
        <w:rFonts w:ascii="Wingdings" w:hAnsi="Wingdings" w:hint="default"/>
      </w:rPr>
    </w:lvl>
    <w:lvl w:ilvl="6" w:tplc="040E0001" w:tentative="1">
      <w:start w:val="1"/>
      <w:numFmt w:val="bullet"/>
      <w:lvlText w:val=""/>
      <w:lvlJc w:val="left"/>
      <w:pPr>
        <w:ind w:left="4308" w:hanging="360"/>
      </w:pPr>
      <w:rPr>
        <w:rFonts w:ascii="Symbol" w:hAnsi="Symbol" w:hint="default"/>
      </w:rPr>
    </w:lvl>
    <w:lvl w:ilvl="7" w:tplc="040E0003" w:tentative="1">
      <w:start w:val="1"/>
      <w:numFmt w:val="bullet"/>
      <w:lvlText w:val="o"/>
      <w:lvlJc w:val="left"/>
      <w:pPr>
        <w:ind w:left="5028" w:hanging="360"/>
      </w:pPr>
      <w:rPr>
        <w:rFonts w:ascii="Courier New" w:hAnsi="Courier New" w:cs="Courier New" w:hint="default"/>
      </w:rPr>
    </w:lvl>
    <w:lvl w:ilvl="8" w:tplc="040E0005" w:tentative="1">
      <w:start w:val="1"/>
      <w:numFmt w:val="bullet"/>
      <w:lvlText w:val=""/>
      <w:lvlJc w:val="left"/>
      <w:pPr>
        <w:ind w:left="5748" w:hanging="360"/>
      </w:pPr>
      <w:rPr>
        <w:rFonts w:ascii="Wingdings" w:hAnsi="Wingdings" w:hint="default"/>
      </w:rPr>
    </w:lvl>
  </w:abstractNum>
  <w:abstractNum w:abstractNumId="5"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AE80F4B"/>
    <w:multiLevelType w:val="hybridMultilevel"/>
    <w:tmpl w:val="FC1A11D8"/>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BFC7E0C"/>
    <w:multiLevelType w:val="hybridMultilevel"/>
    <w:tmpl w:val="CB921E24"/>
    <w:lvl w:ilvl="0" w:tplc="DC8C60FA">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AE1E49"/>
    <w:multiLevelType w:val="hybridMultilevel"/>
    <w:tmpl w:val="4F0870D0"/>
    <w:lvl w:ilvl="0" w:tplc="DD42ADF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0C51A4"/>
    <w:multiLevelType w:val="hybridMultilevel"/>
    <w:tmpl w:val="39DAC7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053E0A"/>
    <w:multiLevelType w:val="hybridMultilevel"/>
    <w:tmpl w:val="6882B4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AD64551"/>
    <w:multiLevelType w:val="hybridMultilevel"/>
    <w:tmpl w:val="CDEC7F08"/>
    <w:lvl w:ilvl="0" w:tplc="9F507120">
      <w:start w:val="9"/>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B780FF4"/>
    <w:multiLevelType w:val="hybridMultilevel"/>
    <w:tmpl w:val="50E6F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B8F7B9A"/>
    <w:multiLevelType w:val="hybridMultilevel"/>
    <w:tmpl w:val="B08ED4DC"/>
    <w:lvl w:ilvl="0" w:tplc="F9BE792A">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4E48F9"/>
    <w:multiLevelType w:val="hybridMultilevel"/>
    <w:tmpl w:val="D1E4D952"/>
    <w:lvl w:ilvl="0" w:tplc="A72E2F80">
      <w:start w:val="2"/>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042B9C"/>
    <w:multiLevelType w:val="hybridMultilevel"/>
    <w:tmpl w:val="935C9A46"/>
    <w:lvl w:ilvl="0" w:tplc="9F507120">
      <w:start w:val="9"/>
      <w:numFmt w:val="bullet"/>
      <w:lvlText w:val="-"/>
      <w:lvlJc w:val="left"/>
      <w:pPr>
        <w:ind w:left="360" w:hanging="360"/>
      </w:pPr>
      <w:rPr>
        <w:rFonts w:ascii="Times New Roman" w:eastAsia="Times New Roman" w:hAnsi="Times New Roman" w:cs="Times New Roman" w:hint="default"/>
      </w:rPr>
    </w:lvl>
    <w:lvl w:ilvl="1" w:tplc="040E0003">
      <w:start w:val="1"/>
      <w:numFmt w:val="bullet"/>
      <w:lvlText w:val="o"/>
      <w:lvlJc w:val="left"/>
      <w:pPr>
        <w:ind w:left="0" w:hanging="360"/>
      </w:pPr>
      <w:rPr>
        <w:rFonts w:ascii="Courier New" w:hAnsi="Courier New" w:cs="Courier New" w:hint="default"/>
      </w:rPr>
    </w:lvl>
    <w:lvl w:ilvl="2" w:tplc="040E0005" w:tentative="1">
      <w:start w:val="1"/>
      <w:numFmt w:val="bullet"/>
      <w:lvlText w:val=""/>
      <w:lvlJc w:val="left"/>
      <w:pPr>
        <w:ind w:left="720" w:hanging="360"/>
      </w:pPr>
      <w:rPr>
        <w:rFonts w:ascii="Wingdings" w:hAnsi="Wingdings" w:hint="default"/>
      </w:rPr>
    </w:lvl>
    <w:lvl w:ilvl="3" w:tplc="040E0001" w:tentative="1">
      <w:start w:val="1"/>
      <w:numFmt w:val="bullet"/>
      <w:lvlText w:val=""/>
      <w:lvlJc w:val="left"/>
      <w:pPr>
        <w:ind w:left="1440" w:hanging="360"/>
      </w:pPr>
      <w:rPr>
        <w:rFonts w:ascii="Symbol" w:hAnsi="Symbol" w:hint="default"/>
      </w:rPr>
    </w:lvl>
    <w:lvl w:ilvl="4" w:tplc="040E0003" w:tentative="1">
      <w:start w:val="1"/>
      <w:numFmt w:val="bullet"/>
      <w:lvlText w:val="o"/>
      <w:lvlJc w:val="left"/>
      <w:pPr>
        <w:ind w:left="2160" w:hanging="360"/>
      </w:pPr>
      <w:rPr>
        <w:rFonts w:ascii="Courier New" w:hAnsi="Courier New" w:cs="Courier New" w:hint="default"/>
      </w:rPr>
    </w:lvl>
    <w:lvl w:ilvl="5" w:tplc="040E0005" w:tentative="1">
      <w:start w:val="1"/>
      <w:numFmt w:val="bullet"/>
      <w:lvlText w:val=""/>
      <w:lvlJc w:val="left"/>
      <w:pPr>
        <w:ind w:left="2880" w:hanging="360"/>
      </w:pPr>
      <w:rPr>
        <w:rFonts w:ascii="Wingdings" w:hAnsi="Wingdings" w:hint="default"/>
      </w:rPr>
    </w:lvl>
    <w:lvl w:ilvl="6" w:tplc="040E0001" w:tentative="1">
      <w:start w:val="1"/>
      <w:numFmt w:val="bullet"/>
      <w:lvlText w:val=""/>
      <w:lvlJc w:val="left"/>
      <w:pPr>
        <w:ind w:left="3600" w:hanging="360"/>
      </w:pPr>
      <w:rPr>
        <w:rFonts w:ascii="Symbol" w:hAnsi="Symbol" w:hint="default"/>
      </w:rPr>
    </w:lvl>
    <w:lvl w:ilvl="7" w:tplc="040E0003" w:tentative="1">
      <w:start w:val="1"/>
      <w:numFmt w:val="bullet"/>
      <w:lvlText w:val="o"/>
      <w:lvlJc w:val="left"/>
      <w:pPr>
        <w:ind w:left="4320" w:hanging="360"/>
      </w:pPr>
      <w:rPr>
        <w:rFonts w:ascii="Courier New" w:hAnsi="Courier New" w:cs="Courier New" w:hint="default"/>
      </w:rPr>
    </w:lvl>
    <w:lvl w:ilvl="8" w:tplc="040E0005" w:tentative="1">
      <w:start w:val="1"/>
      <w:numFmt w:val="bullet"/>
      <w:lvlText w:val=""/>
      <w:lvlJc w:val="left"/>
      <w:pPr>
        <w:ind w:left="5040" w:hanging="360"/>
      </w:pPr>
      <w:rPr>
        <w:rFonts w:ascii="Wingdings" w:hAnsi="Wingdings" w:hint="default"/>
      </w:rPr>
    </w:lvl>
  </w:abstractNum>
  <w:abstractNum w:abstractNumId="17" w15:restartNumberingAfterBreak="0">
    <w:nsid w:val="603B0470"/>
    <w:multiLevelType w:val="hybridMultilevel"/>
    <w:tmpl w:val="9D00AE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9E6773E"/>
    <w:multiLevelType w:val="hybridMultilevel"/>
    <w:tmpl w:val="533C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14"/>
  </w:num>
  <w:num w:numId="5">
    <w:abstractNumId w:val="10"/>
  </w:num>
  <w:num w:numId="6">
    <w:abstractNumId w:val="15"/>
  </w:num>
  <w:num w:numId="7">
    <w:abstractNumId w:val="11"/>
  </w:num>
  <w:num w:numId="8">
    <w:abstractNumId w:val="6"/>
  </w:num>
  <w:num w:numId="9">
    <w:abstractNumId w:val="13"/>
  </w:num>
  <w:num w:numId="10">
    <w:abstractNumId w:val="17"/>
  </w:num>
  <w:num w:numId="11">
    <w:abstractNumId w:val="0"/>
  </w:num>
  <w:num w:numId="12">
    <w:abstractNumId w:val="1"/>
  </w:num>
  <w:num w:numId="13">
    <w:abstractNumId w:val="12"/>
  </w:num>
  <w:num w:numId="14">
    <w:abstractNumId w:val="8"/>
  </w:num>
  <w:num w:numId="15">
    <w:abstractNumId w:val="4"/>
  </w:num>
  <w:num w:numId="16">
    <w:abstractNumId w:val="16"/>
  </w:num>
  <w:num w:numId="17">
    <w:abstractNumId w:val="18"/>
  </w:num>
  <w:num w:numId="18">
    <w:abstractNumId w:val="2"/>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D92F6C"/>
    <w:rsid w:val="0001223F"/>
    <w:rsid w:val="00013DDE"/>
    <w:rsid w:val="00017A94"/>
    <w:rsid w:val="00022083"/>
    <w:rsid w:val="00023890"/>
    <w:rsid w:val="00024E70"/>
    <w:rsid w:val="000323AF"/>
    <w:rsid w:val="000341E8"/>
    <w:rsid w:val="00035330"/>
    <w:rsid w:val="00041EBE"/>
    <w:rsid w:val="00047E97"/>
    <w:rsid w:val="00054AAF"/>
    <w:rsid w:val="00063D0D"/>
    <w:rsid w:val="00065566"/>
    <w:rsid w:val="000700DC"/>
    <w:rsid w:val="00072145"/>
    <w:rsid w:val="00085CAE"/>
    <w:rsid w:val="00085EB8"/>
    <w:rsid w:val="00094986"/>
    <w:rsid w:val="00094ABF"/>
    <w:rsid w:val="000A1B49"/>
    <w:rsid w:val="000B0A05"/>
    <w:rsid w:val="000C2A47"/>
    <w:rsid w:val="000C304F"/>
    <w:rsid w:val="000C40F6"/>
    <w:rsid w:val="000E4DF4"/>
    <w:rsid w:val="000E5232"/>
    <w:rsid w:val="000F274E"/>
    <w:rsid w:val="000F3AB9"/>
    <w:rsid w:val="000F3EA3"/>
    <w:rsid w:val="000F6716"/>
    <w:rsid w:val="00101250"/>
    <w:rsid w:val="00102499"/>
    <w:rsid w:val="00110106"/>
    <w:rsid w:val="0011034B"/>
    <w:rsid w:val="001113E0"/>
    <w:rsid w:val="00113FF2"/>
    <w:rsid w:val="00137D08"/>
    <w:rsid w:val="00141387"/>
    <w:rsid w:val="00162948"/>
    <w:rsid w:val="00190B4B"/>
    <w:rsid w:val="00193D37"/>
    <w:rsid w:val="001A5FE5"/>
    <w:rsid w:val="001B3624"/>
    <w:rsid w:val="001C41CE"/>
    <w:rsid w:val="001C4D74"/>
    <w:rsid w:val="001C6AAD"/>
    <w:rsid w:val="001D2105"/>
    <w:rsid w:val="001E2201"/>
    <w:rsid w:val="001E2891"/>
    <w:rsid w:val="001E4AE3"/>
    <w:rsid w:val="001F72E8"/>
    <w:rsid w:val="001F7FB8"/>
    <w:rsid w:val="00211934"/>
    <w:rsid w:val="00213201"/>
    <w:rsid w:val="002159E6"/>
    <w:rsid w:val="002423CD"/>
    <w:rsid w:val="00242F6B"/>
    <w:rsid w:val="00252CF5"/>
    <w:rsid w:val="002673EE"/>
    <w:rsid w:val="00275CA9"/>
    <w:rsid w:val="002869C1"/>
    <w:rsid w:val="002942A7"/>
    <w:rsid w:val="002A2029"/>
    <w:rsid w:val="002B7178"/>
    <w:rsid w:val="002C2286"/>
    <w:rsid w:val="002C5CC6"/>
    <w:rsid w:val="002D5D01"/>
    <w:rsid w:val="002F12DA"/>
    <w:rsid w:val="002F47D8"/>
    <w:rsid w:val="003242F0"/>
    <w:rsid w:val="00332619"/>
    <w:rsid w:val="0034110C"/>
    <w:rsid w:val="0034303D"/>
    <w:rsid w:val="00346714"/>
    <w:rsid w:val="003504EB"/>
    <w:rsid w:val="00355E7B"/>
    <w:rsid w:val="00364BC0"/>
    <w:rsid w:val="003661D9"/>
    <w:rsid w:val="0039147D"/>
    <w:rsid w:val="0039248C"/>
    <w:rsid w:val="00392B54"/>
    <w:rsid w:val="00394074"/>
    <w:rsid w:val="0039569C"/>
    <w:rsid w:val="003B0CB7"/>
    <w:rsid w:val="003B0E44"/>
    <w:rsid w:val="003B2CEE"/>
    <w:rsid w:val="003B6597"/>
    <w:rsid w:val="003C3E54"/>
    <w:rsid w:val="003D4019"/>
    <w:rsid w:val="003D4503"/>
    <w:rsid w:val="003E5471"/>
    <w:rsid w:val="003E68B2"/>
    <w:rsid w:val="003E7B92"/>
    <w:rsid w:val="003E7BFB"/>
    <w:rsid w:val="00403374"/>
    <w:rsid w:val="0040482C"/>
    <w:rsid w:val="004048CA"/>
    <w:rsid w:val="004207D4"/>
    <w:rsid w:val="00421025"/>
    <w:rsid w:val="00421065"/>
    <w:rsid w:val="00421F32"/>
    <w:rsid w:val="00423004"/>
    <w:rsid w:val="00431D1F"/>
    <w:rsid w:val="004461F7"/>
    <w:rsid w:val="00451AA5"/>
    <w:rsid w:val="00471D90"/>
    <w:rsid w:val="0048078A"/>
    <w:rsid w:val="00487187"/>
    <w:rsid w:val="00490D27"/>
    <w:rsid w:val="00493559"/>
    <w:rsid w:val="0049555E"/>
    <w:rsid w:val="004A12FE"/>
    <w:rsid w:val="004D1FBD"/>
    <w:rsid w:val="004D7039"/>
    <w:rsid w:val="004E4F80"/>
    <w:rsid w:val="004E6F7A"/>
    <w:rsid w:val="004F6D9B"/>
    <w:rsid w:val="00503AF2"/>
    <w:rsid w:val="005049F7"/>
    <w:rsid w:val="00515EF0"/>
    <w:rsid w:val="005323BF"/>
    <w:rsid w:val="00535B39"/>
    <w:rsid w:val="00536BC7"/>
    <w:rsid w:val="0054002F"/>
    <w:rsid w:val="00546C8C"/>
    <w:rsid w:val="0055451D"/>
    <w:rsid w:val="00560A24"/>
    <w:rsid w:val="00562009"/>
    <w:rsid w:val="00574BC0"/>
    <w:rsid w:val="00574CCB"/>
    <w:rsid w:val="005A6C30"/>
    <w:rsid w:val="005B34CE"/>
    <w:rsid w:val="005B3ACD"/>
    <w:rsid w:val="005C1E56"/>
    <w:rsid w:val="005C4BC7"/>
    <w:rsid w:val="005D0FAD"/>
    <w:rsid w:val="005D2B44"/>
    <w:rsid w:val="005E0741"/>
    <w:rsid w:val="005E1133"/>
    <w:rsid w:val="005F16AF"/>
    <w:rsid w:val="00602EE9"/>
    <w:rsid w:val="00604718"/>
    <w:rsid w:val="00612926"/>
    <w:rsid w:val="0061519A"/>
    <w:rsid w:val="00624E7E"/>
    <w:rsid w:val="00630E96"/>
    <w:rsid w:val="00642B2E"/>
    <w:rsid w:val="00653B41"/>
    <w:rsid w:val="00671715"/>
    <w:rsid w:val="00675F5E"/>
    <w:rsid w:val="0067645B"/>
    <w:rsid w:val="00690119"/>
    <w:rsid w:val="00693DAD"/>
    <w:rsid w:val="006A0165"/>
    <w:rsid w:val="006A347A"/>
    <w:rsid w:val="006A5491"/>
    <w:rsid w:val="006A734E"/>
    <w:rsid w:val="006D06B5"/>
    <w:rsid w:val="006D5E45"/>
    <w:rsid w:val="0070180D"/>
    <w:rsid w:val="0071211F"/>
    <w:rsid w:val="0072693B"/>
    <w:rsid w:val="00732040"/>
    <w:rsid w:val="00737328"/>
    <w:rsid w:val="00747E8B"/>
    <w:rsid w:val="007525DD"/>
    <w:rsid w:val="00752CE5"/>
    <w:rsid w:val="00763A02"/>
    <w:rsid w:val="007646A2"/>
    <w:rsid w:val="00776697"/>
    <w:rsid w:val="007A0C6B"/>
    <w:rsid w:val="007A546B"/>
    <w:rsid w:val="007A5F18"/>
    <w:rsid w:val="007A7208"/>
    <w:rsid w:val="007D123C"/>
    <w:rsid w:val="0080113E"/>
    <w:rsid w:val="0080688F"/>
    <w:rsid w:val="008166B6"/>
    <w:rsid w:val="00816742"/>
    <w:rsid w:val="00820AF3"/>
    <w:rsid w:val="00823EFA"/>
    <w:rsid w:val="00827662"/>
    <w:rsid w:val="008447B8"/>
    <w:rsid w:val="008478EA"/>
    <w:rsid w:val="00850CE2"/>
    <w:rsid w:val="008529F8"/>
    <w:rsid w:val="0087166A"/>
    <w:rsid w:val="00882891"/>
    <w:rsid w:val="00883DA6"/>
    <w:rsid w:val="00883FBF"/>
    <w:rsid w:val="00887CE0"/>
    <w:rsid w:val="00891A53"/>
    <w:rsid w:val="00893071"/>
    <w:rsid w:val="008A1F4F"/>
    <w:rsid w:val="008A4518"/>
    <w:rsid w:val="008E0350"/>
    <w:rsid w:val="008E597A"/>
    <w:rsid w:val="008F0FF1"/>
    <w:rsid w:val="008F1369"/>
    <w:rsid w:val="008F48BD"/>
    <w:rsid w:val="008F7404"/>
    <w:rsid w:val="009025A8"/>
    <w:rsid w:val="00902D84"/>
    <w:rsid w:val="0090686E"/>
    <w:rsid w:val="00912070"/>
    <w:rsid w:val="00912FA0"/>
    <w:rsid w:val="009153C5"/>
    <w:rsid w:val="009311D9"/>
    <w:rsid w:val="00945769"/>
    <w:rsid w:val="009464DA"/>
    <w:rsid w:val="0095049E"/>
    <w:rsid w:val="00956319"/>
    <w:rsid w:val="0096155E"/>
    <w:rsid w:val="0096201F"/>
    <w:rsid w:val="00977BC2"/>
    <w:rsid w:val="0098367A"/>
    <w:rsid w:val="00983772"/>
    <w:rsid w:val="009841F4"/>
    <w:rsid w:val="0099548B"/>
    <w:rsid w:val="009B1522"/>
    <w:rsid w:val="009C05AC"/>
    <w:rsid w:val="009D08A8"/>
    <w:rsid w:val="009D09C9"/>
    <w:rsid w:val="009D0C91"/>
    <w:rsid w:val="009D0FF2"/>
    <w:rsid w:val="009D469B"/>
    <w:rsid w:val="009E02A3"/>
    <w:rsid w:val="009E39AE"/>
    <w:rsid w:val="009E568D"/>
    <w:rsid w:val="009E6FD2"/>
    <w:rsid w:val="009F6618"/>
    <w:rsid w:val="00A223F1"/>
    <w:rsid w:val="00A35472"/>
    <w:rsid w:val="00A407DA"/>
    <w:rsid w:val="00A440AA"/>
    <w:rsid w:val="00A45B57"/>
    <w:rsid w:val="00A460C3"/>
    <w:rsid w:val="00A50494"/>
    <w:rsid w:val="00A57999"/>
    <w:rsid w:val="00A63066"/>
    <w:rsid w:val="00A66D53"/>
    <w:rsid w:val="00A70B2A"/>
    <w:rsid w:val="00A732BD"/>
    <w:rsid w:val="00A80160"/>
    <w:rsid w:val="00A85269"/>
    <w:rsid w:val="00AB483E"/>
    <w:rsid w:val="00AB638C"/>
    <w:rsid w:val="00AC485A"/>
    <w:rsid w:val="00AC7688"/>
    <w:rsid w:val="00AD3F1F"/>
    <w:rsid w:val="00AE4324"/>
    <w:rsid w:val="00AF3C70"/>
    <w:rsid w:val="00AF4B8B"/>
    <w:rsid w:val="00AF5480"/>
    <w:rsid w:val="00B00A68"/>
    <w:rsid w:val="00B052CD"/>
    <w:rsid w:val="00B10991"/>
    <w:rsid w:val="00B262B0"/>
    <w:rsid w:val="00B4633D"/>
    <w:rsid w:val="00B4680B"/>
    <w:rsid w:val="00B5025E"/>
    <w:rsid w:val="00B766E4"/>
    <w:rsid w:val="00B7707D"/>
    <w:rsid w:val="00B82848"/>
    <w:rsid w:val="00B842E7"/>
    <w:rsid w:val="00B864FA"/>
    <w:rsid w:val="00BC0EC8"/>
    <w:rsid w:val="00BC313A"/>
    <w:rsid w:val="00BC3F0F"/>
    <w:rsid w:val="00BD33BE"/>
    <w:rsid w:val="00BE3684"/>
    <w:rsid w:val="00BE4921"/>
    <w:rsid w:val="00C02A18"/>
    <w:rsid w:val="00C108EF"/>
    <w:rsid w:val="00C11DAC"/>
    <w:rsid w:val="00C139A1"/>
    <w:rsid w:val="00C45289"/>
    <w:rsid w:val="00C52EBC"/>
    <w:rsid w:val="00C6016B"/>
    <w:rsid w:val="00C63E7B"/>
    <w:rsid w:val="00C65848"/>
    <w:rsid w:val="00C71ABB"/>
    <w:rsid w:val="00C727D4"/>
    <w:rsid w:val="00C74756"/>
    <w:rsid w:val="00C806CD"/>
    <w:rsid w:val="00C82837"/>
    <w:rsid w:val="00C8334E"/>
    <w:rsid w:val="00CA486B"/>
    <w:rsid w:val="00CC32C5"/>
    <w:rsid w:val="00CC5D27"/>
    <w:rsid w:val="00CE7EED"/>
    <w:rsid w:val="00CF5FDB"/>
    <w:rsid w:val="00D03C17"/>
    <w:rsid w:val="00D22BF3"/>
    <w:rsid w:val="00D34780"/>
    <w:rsid w:val="00D3697B"/>
    <w:rsid w:val="00D41993"/>
    <w:rsid w:val="00D42303"/>
    <w:rsid w:val="00D55721"/>
    <w:rsid w:val="00D63CC8"/>
    <w:rsid w:val="00D71D60"/>
    <w:rsid w:val="00D755B4"/>
    <w:rsid w:val="00D8000B"/>
    <w:rsid w:val="00D82DD8"/>
    <w:rsid w:val="00D913DD"/>
    <w:rsid w:val="00D92F6C"/>
    <w:rsid w:val="00D94257"/>
    <w:rsid w:val="00DA19C5"/>
    <w:rsid w:val="00DA4927"/>
    <w:rsid w:val="00DB2CA8"/>
    <w:rsid w:val="00DB648F"/>
    <w:rsid w:val="00DE1C82"/>
    <w:rsid w:val="00DE30A1"/>
    <w:rsid w:val="00DF1988"/>
    <w:rsid w:val="00E11078"/>
    <w:rsid w:val="00E16831"/>
    <w:rsid w:val="00E219C4"/>
    <w:rsid w:val="00E23781"/>
    <w:rsid w:val="00E24ECA"/>
    <w:rsid w:val="00E27357"/>
    <w:rsid w:val="00E37F1B"/>
    <w:rsid w:val="00E452B8"/>
    <w:rsid w:val="00E45CAE"/>
    <w:rsid w:val="00E5422B"/>
    <w:rsid w:val="00E607F2"/>
    <w:rsid w:val="00E63077"/>
    <w:rsid w:val="00E8170E"/>
    <w:rsid w:val="00E838F5"/>
    <w:rsid w:val="00E83C2A"/>
    <w:rsid w:val="00E866E3"/>
    <w:rsid w:val="00E956B1"/>
    <w:rsid w:val="00E9615B"/>
    <w:rsid w:val="00EA4394"/>
    <w:rsid w:val="00EC7DD2"/>
    <w:rsid w:val="00ED5DBE"/>
    <w:rsid w:val="00ED703B"/>
    <w:rsid w:val="00EE5686"/>
    <w:rsid w:val="00EF5491"/>
    <w:rsid w:val="00EF7EBF"/>
    <w:rsid w:val="00F10FAD"/>
    <w:rsid w:val="00F218F2"/>
    <w:rsid w:val="00F21CAC"/>
    <w:rsid w:val="00F336BF"/>
    <w:rsid w:val="00F360A4"/>
    <w:rsid w:val="00F361B3"/>
    <w:rsid w:val="00F51DE2"/>
    <w:rsid w:val="00F61218"/>
    <w:rsid w:val="00F8011B"/>
    <w:rsid w:val="00F95C12"/>
    <w:rsid w:val="00F97C48"/>
    <w:rsid w:val="00FC701A"/>
    <w:rsid w:val="00FD0D50"/>
    <w:rsid w:val="00FD4E23"/>
    <w:rsid w:val="00FD69C8"/>
    <w:rsid w:val="00FF594D"/>
    <w:rsid w:val="00FF5E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223FBC"/>
  <w15:docId w15:val="{DBC9E0E6-BD40-4F9A-ACDC-2A9825016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fn"/>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fn Char"/>
    <w:link w:val="FootnoteText"/>
    <w:qForma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character" w:styleId="CommentReference">
    <w:name w:val="annotation reference"/>
    <w:basedOn w:val="DefaultParagraphFont"/>
    <w:uiPriority w:val="99"/>
    <w:unhideWhenUsed/>
    <w:rsid w:val="00072145"/>
    <w:rPr>
      <w:sz w:val="16"/>
      <w:szCs w:val="16"/>
    </w:rPr>
  </w:style>
  <w:style w:type="paragraph" w:styleId="CommentText">
    <w:name w:val="annotation text"/>
    <w:aliases w:val="Char Char"/>
    <w:basedOn w:val="Normal"/>
    <w:link w:val="CommentTextChar"/>
    <w:uiPriority w:val="99"/>
    <w:unhideWhenUsed/>
    <w:rsid w:val="00072145"/>
    <w:pPr>
      <w:spacing w:line="240" w:lineRule="auto"/>
    </w:pPr>
    <w:rPr>
      <w:sz w:val="20"/>
      <w:szCs w:val="20"/>
    </w:rPr>
  </w:style>
  <w:style w:type="character" w:customStyle="1" w:styleId="CommentTextChar">
    <w:name w:val="Comment Text Char"/>
    <w:aliases w:val="Char Char Char"/>
    <w:basedOn w:val="DefaultParagraphFont"/>
    <w:link w:val="CommentText"/>
    <w:uiPriority w:val="99"/>
    <w:rsid w:val="00072145"/>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072145"/>
    <w:rPr>
      <w:b/>
      <w:bCs/>
    </w:rPr>
  </w:style>
  <w:style w:type="character" w:customStyle="1" w:styleId="CommentSubjectChar">
    <w:name w:val="Comment Subject Char"/>
    <w:basedOn w:val="CommentTextChar"/>
    <w:link w:val="CommentSubject"/>
    <w:uiPriority w:val="99"/>
    <w:semiHidden/>
    <w:rsid w:val="00072145"/>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0721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145"/>
    <w:rPr>
      <w:rFonts w:ascii="Segoe UI" w:eastAsia="Times New Roman" w:hAnsi="Segoe UI" w:cs="Segoe UI"/>
      <w:sz w:val="18"/>
      <w:szCs w:val="18"/>
      <w:lang w:val="en-GB" w:eastAsia="en-GB"/>
    </w:rPr>
  </w:style>
  <w:style w:type="character" w:styleId="Hyperlink">
    <w:name w:val="Hyperlink"/>
    <w:basedOn w:val="DefaultParagraphFont"/>
    <w:uiPriority w:val="99"/>
    <w:unhideWhenUsed/>
    <w:rsid w:val="00535B39"/>
    <w:rPr>
      <w:color w:val="0563C1" w:themeColor="hyperlink"/>
      <w:u w:val="single"/>
    </w:rPr>
  </w:style>
  <w:style w:type="paragraph" w:styleId="NormalWeb">
    <w:name w:val="Normal (Web)"/>
    <w:basedOn w:val="Normal"/>
    <w:uiPriority w:val="99"/>
    <w:unhideWhenUsed/>
    <w:rsid w:val="00A80160"/>
    <w:pPr>
      <w:spacing w:before="100" w:beforeAutospacing="1" w:after="100" w:afterAutospacing="1" w:line="240" w:lineRule="auto"/>
    </w:pPr>
    <w:rPr>
      <w:rFonts w:ascii="Times New Roman" w:hAnsi="Times New Roman"/>
      <w:sz w:val="24"/>
      <w:szCs w:val="24"/>
    </w:rPr>
  </w:style>
  <w:style w:type="paragraph" w:customStyle="1" w:styleId="doc-ti">
    <w:name w:val="doc-ti"/>
    <w:basedOn w:val="Normal"/>
    <w:rsid w:val="004048CA"/>
    <w:pPr>
      <w:spacing w:before="100" w:beforeAutospacing="1" w:after="100" w:afterAutospacing="1" w:line="240" w:lineRule="auto"/>
    </w:pPr>
    <w:rPr>
      <w:rFonts w:ascii="Times New Roman" w:hAnsi="Times New Roman"/>
      <w:sz w:val="24"/>
      <w:szCs w:val="24"/>
      <w:lang w:val="en-US" w:eastAsia="en-US"/>
    </w:rPr>
  </w:style>
  <w:style w:type="character" w:customStyle="1" w:styleId="UnresolvedMention1">
    <w:name w:val="Unresolved Mention1"/>
    <w:basedOn w:val="DefaultParagraphFont"/>
    <w:uiPriority w:val="99"/>
    <w:semiHidden/>
    <w:unhideWhenUsed/>
    <w:rsid w:val="0067645B"/>
    <w:rPr>
      <w:color w:val="605E5C"/>
      <w:shd w:val="clear" w:color="auto" w:fill="E1DFDD"/>
    </w:rPr>
  </w:style>
  <w:style w:type="table" w:styleId="TableGrid">
    <w:name w:val="Table Grid"/>
    <w:basedOn w:val="TableNormal"/>
    <w:uiPriority w:val="39"/>
    <w:rsid w:val="00574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37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ALL/?uri=CELEX:32015R0359" TargetMode="External"/><Relationship Id="rId13" Type="http://schemas.openxmlformats.org/officeDocument/2006/relationships/hyperlink" Target="http://info.worldbank.org/governance/wgi/Home/Reports"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ur-lex.europa.eu/legal-content/EN/TXT/?qid=1415788173183&amp;uri=CELEX:32013R014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N/TXT/?qid=1415788173183&amp;uri=CELEX:32013R0141" TargetMode="External"/><Relationship Id="rId5" Type="http://schemas.openxmlformats.org/officeDocument/2006/relationships/webSettings" Target="webSettings.xml"/><Relationship Id="rId15" Type="http://schemas.openxmlformats.org/officeDocument/2006/relationships/hyperlink" Target="http://www.nbrm.mk/content/Platni%20sistemi/&#1057;&#1090;&#1072;&#1085;&#1076;&#1072;&#1088;&#1076;_&#1079;&#1072;_&#1085;&#1072;&#1084;&#1077;&#1085;&#1072;&#1090;&#1072;_&#1080;_&#1092;&#1086;&#1088;&#1084;&#1072;&#1090;&#1086;&#1090;_&#1085;&#1072;_&#1087;&#1086;&#1088;&#1072;&#1082;&#1080;&#1090;&#1077;_&#1074;&#1086;_&#1052;&#1048;&#1055;&#1057;_&#1053;&#1086;&#1077;&#1084;&#1074;&#1088;&#1080;_2018.pdf" TargetMode="External"/><Relationship Id="rId10" Type="http://schemas.openxmlformats.org/officeDocument/2006/relationships/hyperlink" Target="http://eur-lex.europa.eu/legal-content/EN/TXT/?qid=1415787949549&amp;uri=CELEX:32011R0349" TargetMode="External"/><Relationship Id="rId4" Type="http://schemas.openxmlformats.org/officeDocument/2006/relationships/settings" Target="settings.xml"/><Relationship Id="rId9" Type="http://schemas.openxmlformats.org/officeDocument/2006/relationships/hyperlink" Target="http://eur-lex.europa.eu/legal-content/EN/TXT/?qid=1415788077405&amp;uri=CELEX:32011R0328" TargetMode="External"/><Relationship Id="rId14" Type="http://schemas.openxmlformats.org/officeDocument/2006/relationships/hyperlink" Target="http://www.nbrm.mk/content/Platni%20sistemi/&#1057;&#1090;&#1072;&#1085;&#1076;&#1072;&#1088;&#1076;_&#1079;&#1072;_&#1085;&#1072;&#1084;&#1077;&#1085;&#1072;&#1090;&#1072;_&#1080;_&#1092;&#1086;&#1088;&#1084;&#1072;&#1090;&#1086;&#1090;_&#1085;&#1072;_&#1087;&#1086;&#1088;&#1072;&#1082;&#1080;&#1090;&#1077;_&#1074;&#1086;_&#1052;&#1048;&#1055;&#1057;_&#1053;&#1086;&#1077;&#1084;&#1074;&#1088;&#1080;_2018.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stat/data/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A32D3-26D0-40F6-B4DF-FB218E86B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4697</Words>
  <Characters>26774</Characters>
  <Application>Microsoft Office Word</Application>
  <DocSecurity>0</DocSecurity>
  <Lines>223</Lines>
  <Paragraphs>62</Paragraphs>
  <ScaleCrop>false</ScaleCrop>
  <HeadingPairs>
    <vt:vector size="6" baseType="variant">
      <vt:variant>
        <vt:lpstr>Title</vt:lpstr>
      </vt:variant>
      <vt:variant>
        <vt:i4>1</vt:i4>
      </vt:variant>
      <vt:variant>
        <vt:lpstr>Cím</vt:lpstr>
      </vt:variant>
      <vt:variant>
        <vt:i4>1</vt:i4>
      </vt:variant>
      <vt:variant>
        <vt:lpstr>Címsorok</vt:lpstr>
      </vt:variant>
      <vt:variant>
        <vt:i4>2</vt:i4>
      </vt:variant>
    </vt:vector>
  </HeadingPairs>
  <TitlesOfParts>
    <vt:vector size="4" baseType="lpstr">
      <vt:lpstr/>
      <vt:lpstr/>
      <vt:lpstr>    ANNEX I – IPA III Action Fiche Template </vt:lpstr>
      <vt:lpstr>    </vt:lpstr>
    </vt:vector>
  </TitlesOfParts>
  <Company>European Commission</Company>
  <LinksUpToDate>false</LinksUpToDate>
  <CharactersWithSpaces>31409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SAVIOLO Andrea (NEAR)</dc:creator>
  <cp:lastModifiedBy>PRODANOVA Donka (EEAS-SKOPJE)</cp:lastModifiedBy>
  <cp:revision>7</cp:revision>
  <dcterms:created xsi:type="dcterms:W3CDTF">2020-07-06T11:32:00Z</dcterms:created>
  <dcterms:modified xsi:type="dcterms:W3CDTF">2020-07-07T12:52:00Z</dcterms:modified>
</cp:coreProperties>
</file>