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2F6C" w:rsidRPr="00A40EC1" w:rsidRDefault="00B10991" w:rsidP="00A40EC1">
      <w:pPr>
        <w:pStyle w:val="Heading2"/>
        <w:rPr>
          <w:rFonts w:ascii="Times New Roman" w:hAnsi="Times New Roman"/>
          <w:b w:val="0"/>
          <w:bCs w:val="0"/>
          <w:smallCaps/>
          <w:color w:val="000000" w:themeColor="text1"/>
          <w:sz w:val="32"/>
          <w:szCs w:val="24"/>
          <w:lang w:val="it-IT"/>
        </w:rPr>
      </w:pPr>
      <w:bookmarkStart w:id="0" w:name="_Toc33714665"/>
      <w:r w:rsidRPr="00E82A5D">
        <w:rPr>
          <w:rFonts w:ascii="Times New Roman" w:hAnsi="Times New Roman"/>
          <w:smallCaps/>
          <w:color w:val="000000" w:themeColor="text1"/>
          <w:sz w:val="32"/>
          <w:szCs w:val="24"/>
          <w:lang w:val="it-IT"/>
        </w:rPr>
        <w:t xml:space="preserve">ANNEX I –IPA III </w:t>
      </w:r>
      <w:r w:rsidR="00D92F6C" w:rsidRPr="00E82A5D">
        <w:rPr>
          <w:rFonts w:ascii="Times New Roman" w:hAnsi="Times New Roman"/>
          <w:smallCaps/>
          <w:color w:val="000000" w:themeColor="text1"/>
          <w:sz w:val="32"/>
          <w:szCs w:val="24"/>
          <w:lang w:val="it-IT"/>
        </w:rPr>
        <w:t>A</w:t>
      </w:r>
      <w:r w:rsidRPr="00E82A5D">
        <w:rPr>
          <w:rFonts w:ascii="Times New Roman" w:hAnsi="Times New Roman"/>
          <w:smallCaps/>
          <w:color w:val="000000" w:themeColor="text1"/>
          <w:sz w:val="32"/>
          <w:szCs w:val="24"/>
          <w:lang w:val="it-IT"/>
        </w:rPr>
        <w:t xml:space="preserve">ction Fiche </w:t>
      </w:r>
      <w:bookmarkEnd w:id="0"/>
    </w:p>
    <w:tbl>
      <w:tblPr>
        <w:tblW w:w="100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2268"/>
        <w:gridCol w:w="7229"/>
      </w:tblGrid>
      <w:tr w:rsidR="00D92F6C" w:rsidRPr="00E82A5D" w:rsidTr="004C6FFC">
        <w:trPr>
          <w:jc w:val="center"/>
        </w:trPr>
        <w:tc>
          <w:tcPr>
            <w:tcW w:w="534" w:type="dxa"/>
            <w:tcBorders>
              <w:top w:val="single" w:sz="4" w:space="0" w:color="auto"/>
              <w:left w:val="single" w:sz="4" w:space="0" w:color="auto"/>
              <w:bottom w:val="single" w:sz="4" w:space="0" w:color="auto"/>
              <w:right w:val="single" w:sz="4" w:space="0" w:color="auto"/>
            </w:tcBorders>
            <w:vAlign w:val="center"/>
          </w:tcPr>
          <w:p w:rsidR="00D92F6C" w:rsidRPr="00E82A5D" w:rsidRDefault="00D92F6C" w:rsidP="004C6FFC">
            <w:pPr>
              <w:spacing w:after="0" w:line="240" w:lineRule="auto"/>
              <w:jc w:val="center"/>
              <w:rPr>
                <w:rFonts w:ascii="Times New Roman" w:hAnsi="Times New Roman"/>
                <w:b/>
                <w:color w:val="000000" w:themeColor="text1"/>
                <w:sz w:val="20"/>
                <w:szCs w:val="20"/>
                <w:lang w:val="it-IT"/>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D92F6C" w:rsidRPr="00E82A5D" w:rsidRDefault="00D92F6C" w:rsidP="006F7403">
            <w:pPr>
              <w:spacing w:after="0" w:line="240" w:lineRule="auto"/>
              <w:jc w:val="center"/>
              <w:rPr>
                <w:rFonts w:ascii="Times New Roman" w:hAnsi="Times New Roman"/>
                <w:color w:val="000000" w:themeColor="text1"/>
              </w:rPr>
            </w:pPr>
            <w:r w:rsidRPr="00E82A5D">
              <w:rPr>
                <w:rFonts w:ascii="Times New Roman" w:hAnsi="Times New Roman"/>
                <w:color w:val="000000" w:themeColor="text1"/>
              </w:rPr>
              <w:t>Indicative title of the Action</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rsidR="00A71069" w:rsidRPr="0039427A" w:rsidRDefault="00A71069" w:rsidP="004C6FFC">
            <w:pPr>
              <w:spacing w:after="0" w:line="240" w:lineRule="auto"/>
              <w:jc w:val="center"/>
              <w:rPr>
                <w:rFonts w:ascii="Times New Roman" w:hAnsi="Times New Roman"/>
                <w:b/>
                <w:bCs/>
                <w:color w:val="000000" w:themeColor="text1"/>
              </w:rPr>
            </w:pPr>
          </w:p>
          <w:p w:rsidR="004C6FFC" w:rsidRDefault="003454A8" w:rsidP="004C3857">
            <w:pPr>
              <w:spacing w:after="0" w:line="240" w:lineRule="auto"/>
              <w:rPr>
                <w:rFonts w:ascii="Times New Roman" w:hAnsi="Times New Roman"/>
                <w:b/>
                <w:bCs/>
                <w:color w:val="000000" w:themeColor="text1"/>
              </w:rPr>
            </w:pPr>
            <w:r w:rsidRPr="0039427A">
              <w:rPr>
                <w:rFonts w:ascii="Times New Roman" w:hAnsi="Times New Roman"/>
                <w:b/>
                <w:bCs/>
                <w:color w:val="000000" w:themeColor="text1"/>
              </w:rPr>
              <w:t xml:space="preserve">EU </w:t>
            </w:r>
            <w:r w:rsidR="00012297">
              <w:rPr>
                <w:rFonts w:ascii="Times New Roman" w:hAnsi="Times New Roman"/>
                <w:b/>
                <w:bCs/>
                <w:color w:val="000000" w:themeColor="text1"/>
              </w:rPr>
              <w:t>for Efficient Judiciary and Enhanced Prevention of Corruption</w:t>
            </w:r>
          </w:p>
          <w:p w:rsidR="00012297" w:rsidRPr="0039427A" w:rsidRDefault="00012297" w:rsidP="00012297">
            <w:pPr>
              <w:spacing w:after="0" w:line="240" w:lineRule="auto"/>
              <w:jc w:val="center"/>
              <w:rPr>
                <w:rFonts w:ascii="Times New Roman" w:hAnsi="Times New Roman"/>
                <w:b/>
                <w:bCs/>
                <w:color w:val="000000" w:themeColor="text1"/>
              </w:rPr>
            </w:pPr>
          </w:p>
        </w:tc>
      </w:tr>
      <w:tr w:rsidR="00D92F6C" w:rsidRPr="00E82A5D" w:rsidTr="006F7403">
        <w:trPr>
          <w:trHeight w:val="357"/>
          <w:jc w:val="center"/>
        </w:trPr>
        <w:tc>
          <w:tcPr>
            <w:tcW w:w="534" w:type="dxa"/>
            <w:vMerge w:val="restart"/>
            <w:tcBorders>
              <w:top w:val="single" w:sz="4" w:space="0" w:color="auto"/>
              <w:left w:val="single" w:sz="4" w:space="0" w:color="auto"/>
              <w:right w:val="single" w:sz="4" w:space="0" w:color="auto"/>
            </w:tcBorders>
            <w:textDirection w:val="btLr"/>
          </w:tcPr>
          <w:p w:rsidR="00D92F6C" w:rsidRPr="00E82A5D" w:rsidRDefault="00D92F6C" w:rsidP="00476031">
            <w:pPr>
              <w:spacing w:after="0" w:line="240" w:lineRule="auto"/>
              <w:ind w:left="113" w:right="113"/>
              <w:rPr>
                <w:rFonts w:ascii="Times New Roman" w:hAnsi="Times New Roman"/>
                <w:color w:val="000000" w:themeColor="text1"/>
              </w:rPr>
            </w:pPr>
            <w:r w:rsidRPr="00E82A5D">
              <w:rPr>
                <w:rFonts w:ascii="Times New Roman" w:hAnsi="Times New Roman"/>
                <w:color w:val="000000" w:themeColor="text1"/>
              </w:rPr>
              <w:t>CRITERIA FOR RELEVANCE ASSESSMENT</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D92F6C" w:rsidRPr="00E82A5D" w:rsidRDefault="00D92F6C" w:rsidP="006F7403">
            <w:pPr>
              <w:spacing w:after="0" w:line="240" w:lineRule="auto"/>
              <w:rPr>
                <w:rFonts w:ascii="Times New Roman" w:hAnsi="Times New Roman"/>
                <w:color w:val="000000" w:themeColor="text1"/>
              </w:rPr>
            </w:pPr>
            <w:r w:rsidRPr="00E82A5D">
              <w:rPr>
                <w:rFonts w:ascii="Times New Roman" w:hAnsi="Times New Roman"/>
                <w:color w:val="000000" w:themeColor="text1"/>
              </w:rPr>
              <w:t>Key thematic priority</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rsidR="00BC759C" w:rsidRPr="0039427A" w:rsidRDefault="00BC759C" w:rsidP="00012297">
            <w:pPr>
              <w:spacing w:after="0" w:line="240" w:lineRule="auto"/>
              <w:rPr>
                <w:rFonts w:ascii="Times New Roman" w:hAnsi="Times New Roman"/>
                <w:b/>
                <w:iCs/>
                <w:color w:val="000000" w:themeColor="text1"/>
              </w:rPr>
            </w:pPr>
            <w:r w:rsidRPr="0039427A">
              <w:rPr>
                <w:rFonts w:ascii="Times New Roman" w:hAnsi="Times New Roman"/>
                <w:b/>
                <w:iCs/>
                <w:color w:val="000000" w:themeColor="text1"/>
              </w:rPr>
              <w:t>WINDOW 1-RULE OF LAW, FUNDAMENTAL RIGHTS AND DEMOCRACY</w:t>
            </w:r>
          </w:p>
          <w:p w:rsidR="00335A5E" w:rsidRPr="0039427A" w:rsidRDefault="00335A5E" w:rsidP="00012297">
            <w:pPr>
              <w:spacing w:after="0" w:line="240" w:lineRule="auto"/>
              <w:ind w:left="1416"/>
              <w:rPr>
                <w:rFonts w:ascii="Times New Roman" w:hAnsi="Times New Roman"/>
                <w:b/>
                <w:i/>
                <w:iCs/>
                <w:color w:val="000000" w:themeColor="text1"/>
              </w:rPr>
            </w:pPr>
          </w:p>
          <w:p w:rsidR="006F7403" w:rsidRPr="0039427A" w:rsidRDefault="00D31BB7" w:rsidP="00012297">
            <w:pPr>
              <w:spacing w:after="0" w:line="240" w:lineRule="auto"/>
              <w:rPr>
                <w:rFonts w:ascii="Times New Roman" w:hAnsi="Times New Roman"/>
                <w:b/>
                <w:i/>
                <w:iCs/>
                <w:color w:val="000000" w:themeColor="text1"/>
              </w:rPr>
            </w:pPr>
            <w:r w:rsidRPr="0039427A">
              <w:rPr>
                <w:rFonts w:ascii="Times New Roman" w:hAnsi="Times New Roman"/>
                <w:b/>
                <w:i/>
                <w:iCs/>
                <w:color w:val="000000" w:themeColor="text1"/>
              </w:rPr>
              <w:t>Thematic Priority 1</w:t>
            </w:r>
            <w:r w:rsidR="00E523C4" w:rsidRPr="0039427A">
              <w:rPr>
                <w:rFonts w:ascii="Times New Roman" w:hAnsi="Times New Roman"/>
                <w:b/>
                <w:i/>
                <w:iCs/>
                <w:color w:val="000000" w:themeColor="text1"/>
              </w:rPr>
              <w:t xml:space="preserve">: </w:t>
            </w:r>
            <w:r w:rsidRPr="0039427A">
              <w:rPr>
                <w:rFonts w:ascii="Times New Roman" w:hAnsi="Times New Roman"/>
                <w:b/>
                <w:i/>
                <w:iCs/>
                <w:color w:val="000000" w:themeColor="text1"/>
              </w:rPr>
              <w:t>JUDICIARY</w:t>
            </w:r>
          </w:p>
          <w:p w:rsidR="00DB4733" w:rsidRPr="0039427A" w:rsidRDefault="0092586F" w:rsidP="00012297">
            <w:pPr>
              <w:spacing w:after="0" w:line="240" w:lineRule="auto"/>
              <w:rPr>
                <w:rFonts w:ascii="Times New Roman" w:hAnsi="Times New Roman"/>
                <w:b/>
                <w:i/>
                <w:iCs/>
                <w:color w:val="000000" w:themeColor="text1"/>
              </w:rPr>
            </w:pPr>
            <w:r w:rsidRPr="0039427A">
              <w:rPr>
                <w:rFonts w:ascii="Times New Roman" w:hAnsi="Times New Roman"/>
                <w:b/>
                <w:i/>
                <w:iCs/>
                <w:color w:val="000000" w:themeColor="text1"/>
              </w:rPr>
              <w:t>Thematic Priority 2: FIGH</w:t>
            </w:r>
            <w:r w:rsidR="00DB4733" w:rsidRPr="0039427A">
              <w:rPr>
                <w:rFonts w:ascii="Times New Roman" w:hAnsi="Times New Roman"/>
                <w:b/>
                <w:i/>
                <w:iCs/>
                <w:color w:val="000000" w:themeColor="text1"/>
              </w:rPr>
              <w:t>T AGAINST CORRUPTION</w:t>
            </w:r>
          </w:p>
        </w:tc>
      </w:tr>
      <w:tr w:rsidR="00D92F6C" w:rsidRPr="00E82A5D" w:rsidTr="00476031">
        <w:trPr>
          <w:jc w:val="center"/>
        </w:trPr>
        <w:tc>
          <w:tcPr>
            <w:tcW w:w="534" w:type="dxa"/>
            <w:vMerge/>
            <w:tcBorders>
              <w:left w:val="single" w:sz="4" w:space="0" w:color="auto"/>
              <w:right w:val="single" w:sz="4" w:space="0" w:color="auto"/>
            </w:tcBorders>
          </w:tcPr>
          <w:p w:rsidR="00D92F6C" w:rsidRPr="00E82A5D" w:rsidRDefault="00D92F6C" w:rsidP="00476031">
            <w:pPr>
              <w:spacing w:after="0"/>
              <w:rPr>
                <w:rFonts w:ascii="Times New Roman" w:hAnsi="Times New Roman"/>
                <w:color w:val="000000" w:themeColor="text1"/>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92F6C" w:rsidRPr="00E82A5D" w:rsidRDefault="00D92F6C" w:rsidP="00476031">
            <w:pPr>
              <w:spacing w:after="0"/>
              <w:rPr>
                <w:rFonts w:ascii="Times New Roman" w:hAnsi="Times New Roman"/>
                <w:color w:val="000000" w:themeColor="text1"/>
              </w:rPr>
            </w:pPr>
            <w:r w:rsidRPr="00E82A5D">
              <w:rPr>
                <w:rFonts w:ascii="Times New Roman" w:hAnsi="Times New Roman"/>
                <w:color w:val="000000" w:themeColor="text1"/>
              </w:rPr>
              <w:t>Links with specific policy instruments of the enlargement process</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7C490A" w:rsidRPr="0039427A" w:rsidRDefault="00B62F89" w:rsidP="007C490A">
            <w:pPr>
              <w:spacing w:before="120" w:after="0" w:line="240" w:lineRule="auto"/>
              <w:jc w:val="both"/>
              <w:rPr>
                <w:rFonts w:ascii="Times New Roman" w:hAnsi="Times New Roman"/>
                <w:color w:val="000000" w:themeColor="text1"/>
              </w:rPr>
            </w:pPr>
            <w:r w:rsidRPr="0039427A">
              <w:rPr>
                <w:rFonts w:ascii="Times New Roman" w:hAnsi="Times New Roman"/>
                <w:color w:val="000000" w:themeColor="text1"/>
              </w:rPr>
              <w:t xml:space="preserve">This Action aims </w:t>
            </w:r>
            <w:r w:rsidR="008114CF" w:rsidRPr="0039427A">
              <w:rPr>
                <w:rFonts w:ascii="Times New Roman" w:hAnsi="Times New Roman"/>
                <w:color w:val="000000" w:themeColor="text1"/>
              </w:rPr>
              <w:t xml:space="preserve">at improving the efficiency of the judicial system </w:t>
            </w:r>
            <w:r w:rsidR="00DB4733" w:rsidRPr="0039427A">
              <w:rPr>
                <w:rFonts w:ascii="Times New Roman" w:hAnsi="Times New Roman"/>
                <w:color w:val="000000" w:themeColor="text1"/>
              </w:rPr>
              <w:t xml:space="preserve">and the capacity of the </w:t>
            </w:r>
            <w:r w:rsidR="00396756" w:rsidRPr="0039427A">
              <w:rPr>
                <w:rFonts w:ascii="Times New Roman" w:hAnsi="Times New Roman"/>
                <w:color w:val="000000" w:themeColor="text1"/>
              </w:rPr>
              <w:t xml:space="preserve">Country to </w:t>
            </w:r>
            <w:r w:rsidR="001249A1" w:rsidRPr="0039427A">
              <w:rPr>
                <w:rFonts w:ascii="Times New Roman" w:hAnsi="Times New Roman"/>
                <w:color w:val="000000" w:themeColor="text1"/>
              </w:rPr>
              <w:t xml:space="preserve">fight </w:t>
            </w:r>
            <w:r w:rsidR="00DB4733" w:rsidRPr="0039427A">
              <w:rPr>
                <w:rFonts w:ascii="Times New Roman" w:hAnsi="Times New Roman"/>
                <w:color w:val="000000" w:themeColor="text1"/>
              </w:rPr>
              <w:t xml:space="preserve"> corruption </w:t>
            </w:r>
            <w:r w:rsidR="007E4F8A" w:rsidRPr="0039427A">
              <w:rPr>
                <w:rFonts w:ascii="Times New Roman" w:hAnsi="Times New Roman"/>
                <w:color w:val="000000" w:themeColor="text1"/>
              </w:rPr>
              <w:t>through:</w:t>
            </w:r>
          </w:p>
          <w:p w:rsidR="00BF71FC" w:rsidRPr="0039427A" w:rsidRDefault="00396756" w:rsidP="00BF71FC">
            <w:pPr>
              <w:pStyle w:val="ListParagraph"/>
              <w:numPr>
                <w:ilvl w:val="0"/>
                <w:numId w:val="21"/>
              </w:numPr>
              <w:spacing w:before="120" w:after="0" w:line="240" w:lineRule="auto"/>
              <w:jc w:val="both"/>
              <w:rPr>
                <w:rFonts w:ascii="Times New Roman" w:hAnsi="Times New Roman"/>
                <w:color w:val="000000" w:themeColor="text1"/>
              </w:rPr>
            </w:pPr>
            <w:r w:rsidRPr="0039427A">
              <w:rPr>
                <w:rFonts w:ascii="Times New Roman" w:hAnsi="Times New Roman"/>
                <w:b/>
                <w:color w:val="000000" w:themeColor="text1"/>
              </w:rPr>
              <w:t>Modernisation of the ICT operational management and infrastructure</w:t>
            </w:r>
            <w:r w:rsidRPr="0039427A">
              <w:rPr>
                <w:rFonts w:ascii="Times New Roman" w:hAnsi="Times New Roman"/>
                <w:color w:val="000000" w:themeColor="text1"/>
              </w:rPr>
              <w:t xml:space="preserve"> in the Judiciary, the public prosecution offices</w:t>
            </w:r>
            <w:r w:rsidR="001251CF" w:rsidRPr="0039427A">
              <w:rPr>
                <w:rFonts w:ascii="Times New Roman" w:hAnsi="Times New Roman"/>
                <w:color w:val="000000" w:themeColor="text1"/>
              </w:rPr>
              <w:t xml:space="preserve"> and</w:t>
            </w:r>
            <w:r w:rsidRPr="0039427A">
              <w:rPr>
                <w:rFonts w:ascii="Times New Roman" w:hAnsi="Times New Roman"/>
                <w:color w:val="000000" w:themeColor="text1"/>
              </w:rPr>
              <w:t xml:space="preserve"> the Constitutional Court</w:t>
            </w:r>
            <w:r w:rsidR="001251CF" w:rsidRPr="0039427A">
              <w:rPr>
                <w:rFonts w:ascii="Times New Roman" w:hAnsi="Times New Roman"/>
                <w:color w:val="000000" w:themeColor="text1"/>
              </w:rPr>
              <w:t>, as well as upgrade</w:t>
            </w:r>
            <w:r w:rsidRPr="0039427A">
              <w:rPr>
                <w:rFonts w:ascii="Times New Roman" w:hAnsi="Times New Roman"/>
                <w:color w:val="000000" w:themeColor="text1"/>
              </w:rPr>
              <w:t xml:space="preserve"> the IT system for collecting and processing statistical data for prevention and </w:t>
            </w:r>
            <w:r w:rsidR="001249A1" w:rsidRPr="0039427A">
              <w:rPr>
                <w:rFonts w:ascii="Times New Roman" w:hAnsi="Times New Roman"/>
                <w:color w:val="000000" w:themeColor="text1"/>
              </w:rPr>
              <w:t xml:space="preserve">repression of </w:t>
            </w:r>
            <w:r w:rsidRPr="0039427A">
              <w:rPr>
                <w:rFonts w:ascii="Times New Roman" w:hAnsi="Times New Roman"/>
                <w:color w:val="000000" w:themeColor="text1"/>
              </w:rPr>
              <w:t>corruption and money laundering (</w:t>
            </w:r>
            <w:proofErr w:type="spellStart"/>
            <w:r w:rsidRPr="0039427A">
              <w:rPr>
                <w:rFonts w:ascii="Times New Roman" w:hAnsi="Times New Roman"/>
                <w:color w:val="000000" w:themeColor="text1"/>
              </w:rPr>
              <w:t>AKstats</w:t>
            </w:r>
            <w:proofErr w:type="spellEnd"/>
            <w:r w:rsidRPr="0039427A">
              <w:rPr>
                <w:rFonts w:ascii="Times New Roman" w:hAnsi="Times New Roman"/>
                <w:color w:val="000000" w:themeColor="text1"/>
              </w:rPr>
              <w:t xml:space="preserve">), and </w:t>
            </w:r>
            <w:r w:rsidR="001251CF" w:rsidRPr="0039427A">
              <w:rPr>
                <w:rFonts w:ascii="Times New Roman" w:hAnsi="Times New Roman"/>
                <w:color w:val="000000" w:themeColor="text1"/>
              </w:rPr>
              <w:t xml:space="preserve">for </w:t>
            </w:r>
            <w:r w:rsidRPr="0039427A">
              <w:rPr>
                <w:rFonts w:ascii="Times New Roman" w:hAnsi="Times New Roman"/>
                <w:color w:val="000000" w:themeColor="text1"/>
              </w:rPr>
              <w:t xml:space="preserve">the State Commission for Prevention of Corruption (SCPC), in line with their respective competences. </w:t>
            </w:r>
          </w:p>
          <w:p w:rsidR="00A40EC1" w:rsidRPr="0039427A" w:rsidRDefault="00A40EC1" w:rsidP="00A40EC1">
            <w:pPr>
              <w:pStyle w:val="ListParagraph"/>
              <w:spacing w:before="120" w:after="0" w:line="240" w:lineRule="auto"/>
              <w:ind w:left="360"/>
              <w:jc w:val="both"/>
              <w:rPr>
                <w:rFonts w:ascii="Times New Roman" w:hAnsi="Times New Roman"/>
                <w:color w:val="000000" w:themeColor="text1"/>
              </w:rPr>
            </w:pPr>
          </w:p>
          <w:p w:rsidR="00A40EC1" w:rsidRPr="0039427A" w:rsidRDefault="007F1055" w:rsidP="00BF71FC">
            <w:pPr>
              <w:pStyle w:val="ListParagraph"/>
              <w:spacing w:before="120" w:after="0" w:line="240" w:lineRule="auto"/>
              <w:ind w:left="360"/>
              <w:jc w:val="both"/>
              <w:rPr>
                <w:rFonts w:ascii="Times New Roman" w:hAnsi="Times New Roman"/>
                <w:color w:val="000000" w:themeColor="text1"/>
              </w:rPr>
            </w:pPr>
            <w:r w:rsidRPr="0039427A">
              <w:rPr>
                <w:rFonts w:ascii="Times New Roman" w:hAnsi="Times New Roman"/>
                <w:color w:val="000000" w:themeColor="text1"/>
              </w:rPr>
              <w:t>The Strategy for Information Communication Technology of Justice Sector calls for centralisation and integration of the judicial information systems, through the development of a new Integrated Court Case Management System (ICCMS) for the Judicial Council and all the courts, and an upgrade of the case management system in the public prosecution offices</w:t>
            </w:r>
            <w:r w:rsidR="00BF71FC" w:rsidRPr="0039427A">
              <w:rPr>
                <w:rFonts w:ascii="Times New Roman" w:hAnsi="Times New Roman"/>
                <w:color w:val="000000" w:themeColor="text1"/>
              </w:rPr>
              <w:t xml:space="preserve"> </w:t>
            </w:r>
            <w:r w:rsidRPr="0039427A">
              <w:rPr>
                <w:rFonts w:ascii="Times New Roman" w:hAnsi="Times New Roman"/>
                <w:color w:val="000000" w:themeColor="text1"/>
              </w:rPr>
              <w:t>facilitating case flow management, exchange of data, accurate reporting and statistics, while ensuring security of data, in line with EU best practices</w:t>
            </w:r>
            <w:r w:rsidR="00BF71FC" w:rsidRPr="0039427A">
              <w:rPr>
                <w:rFonts w:ascii="Times New Roman" w:hAnsi="Times New Roman"/>
                <w:color w:val="000000" w:themeColor="text1"/>
              </w:rPr>
              <w:t xml:space="preserve">. </w:t>
            </w:r>
          </w:p>
          <w:p w:rsidR="00A40EC1" w:rsidRPr="0039427A" w:rsidRDefault="00A40EC1" w:rsidP="00BF71FC">
            <w:pPr>
              <w:pStyle w:val="ListParagraph"/>
              <w:spacing w:before="120" w:after="0" w:line="240" w:lineRule="auto"/>
              <w:ind w:left="360"/>
              <w:jc w:val="both"/>
              <w:rPr>
                <w:rFonts w:ascii="Times New Roman" w:hAnsi="Times New Roman"/>
                <w:color w:val="000000" w:themeColor="text1"/>
              </w:rPr>
            </w:pPr>
          </w:p>
          <w:p w:rsidR="007F1055" w:rsidRPr="0039427A" w:rsidRDefault="007F1055" w:rsidP="00BF71FC">
            <w:pPr>
              <w:pStyle w:val="ListParagraph"/>
              <w:spacing w:before="120" w:after="0" w:line="240" w:lineRule="auto"/>
              <w:ind w:left="360"/>
              <w:jc w:val="both"/>
              <w:rPr>
                <w:rFonts w:ascii="Times New Roman" w:hAnsi="Times New Roman"/>
                <w:color w:val="000000" w:themeColor="text1"/>
              </w:rPr>
            </w:pPr>
            <w:r w:rsidRPr="0039427A">
              <w:rPr>
                <w:rFonts w:ascii="Times New Roman" w:hAnsi="Times New Roman"/>
                <w:color w:val="000000" w:themeColor="text1"/>
              </w:rPr>
              <w:t xml:space="preserve">This component also entails an Integrated Information Management System for the Constitutional court and a modern website allowing for public access to the Court decision database. The elaboration of tailor made </w:t>
            </w:r>
            <w:proofErr w:type="spellStart"/>
            <w:r w:rsidRPr="0039427A">
              <w:rPr>
                <w:rFonts w:ascii="Times New Roman" w:hAnsi="Times New Roman"/>
                <w:color w:val="000000" w:themeColor="text1"/>
              </w:rPr>
              <w:t>softwares</w:t>
            </w:r>
            <w:proofErr w:type="spellEnd"/>
            <w:r w:rsidR="00BF71FC" w:rsidRPr="0039427A">
              <w:rPr>
                <w:rFonts w:ascii="Times New Roman" w:hAnsi="Times New Roman"/>
                <w:color w:val="000000" w:themeColor="text1"/>
              </w:rPr>
              <w:t xml:space="preserve"> </w:t>
            </w:r>
            <w:r w:rsidRPr="0039427A">
              <w:rPr>
                <w:rFonts w:ascii="Times New Roman" w:hAnsi="Times New Roman"/>
                <w:color w:val="000000" w:themeColor="text1"/>
              </w:rPr>
              <w:t>for</w:t>
            </w:r>
            <w:r w:rsidR="00BF71FC" w:rsidRPr="0039427A">
              <w:rPr>
                <w:rFonts w:ascii="Times New Roman" w:hAnsi="Times New Roman"/>
                <w:color w:val="000000" w:themeColor="text1"/>
              </w:rPr>
              <w:t xml:space="preserve"> </w:t>
            </w:r>
            <w:r w:rsidRPr="0039427A">
              <w:rPr>
                <w:rFonts w:ascii="Times New Roman" w:hAnsi="Times New Roman"/>
                <w:color w:val="000000" w:themeColor="text1"/>
              </w:rPr>
              <w:t>the control over property status and conflict of interest, the assets and property declarations of the elected and appointed officials,</w:t>
            </w:r>
            <w:r w:rsidR="00F54CAB" w:rsidRPr="0039427A">
              <w:rPr>
                <w:rFonts w:ascii="Times New Roman" w:hAnsi="Times New Roman"/>
                <w:color w:val="000000" w:themeColor="text1"/>
              </w:rPr>
              <w:t xml:space="preserve"> </w:t>
            </w:r>
            <w:r w:rsidRPr="0039427A">
              <w:rPr>
                <w:rFonts w:ascii="Times New Roman" w:hAnsi="Times New Roman"/>
                <w:color w:val="000000" w:themeColor="text1"/>
              </w:rPr>
              <w:t xml:space="preserve">and to increase the interconnection of the SCPC with the required institutions are also planned, as well as an upgrade of the </w:t>
            </w:r>
            <w:proofErr w:type="spellStart"/>
            <w:r w:rsidRPr="0039427A">
              <w:rPr>
                <w:rFonts w:ascii="Times New Roman" w:hAnsi="Times New Roman"/>
                <w:color w:val="000000" w:themeColor="text1"/>
              </w:rPr>
              <w:t>AKstat</w:t>
            </w:r>
            <w:proofErr w:type="spellEnd"/>
            <w:r w:rsidRPr="0039427A">
              <w:rPr>
                <w:rFonts w:ascii="Times New Roman" w:hAnsi="Times New Roman"/>
                <w:color w:val="000000" w:themeColor="text1"/>
              </w:rPr>
              <w:t xml:space="preserve"> system allowing the exchange of information and data among the various institutions, accurate reporting, and management of statistical data and improved inter-institutional cooperation for prevention and repression of corruption and money laundering.</w:t>
            </w:r>
          </w:p>
          <w:p w:rsidR="00DB4733" w:rsidRPr="0039427A" w:rsidRDefault="00DB4733" w:rsidP="00DB4733">
            <w:pPr>
              <w:pStyle w:val="ListParagraph"/>
              <w:numPr>
                <w:ilvl w:val="0"/>
                <w:numId w:val="21"/>
              </w:numPr>
              <w:spacing w:before="120" w:after="0" w:line="240" w:lineRule="auto"/>
              <w:ind w:left="357" w:hanging="357"/>
              <w:contextualSpacing w:val="0"/>
              <w:jc w:val="both"/>
              <w:rPr>
                <w:rFonts w:ascii="Times New Roman" w:hAnsi="Times New Roman"/>
                <w:color w:val="000000" w:themeColor="text1"/>
              </w:rPr>
            </w:pPr>
            <w:r w:rsidRPr="0039427A">
              <w:rPr>
                <w:rFonts w:ascii="Times New Roman" w:hAnsi="Times New Roman"/>
                <w:b/>
                <w:color w:val="000000" w:themeColor="text1"/>
              </w:rPr>
              <w:t>Strengthening the capacity and efficiency of the Constitutional Court</w:t>
            </w:r>
            <w:r w:rsidR="00BF71FC" w:rsidRPr="0039427A">
              <w:rPr>
                <w:rFonts w:ascii="Times New Roman" w:hAnsi="Times New Roman"/>
                <w:b/>
                <w:color w:val="000000" w:themeColor="text1"/>
              </w:rPr>
              <w:t xml:space="preserve"> </w:t>
            </w:r>
            <w:r w:rsidRPr="0039427A">
              <w:rPr>
                <w:rFonts w:ascii="Times New Roman" w:hAnsi="Times New Roman"/>
                <w:color w:val="000000" w:themeColor="text1"/>
              </w:rPr>
              <w:t xml:space="preserve">to protect the constitutionality, legality and the fundamental </w:t>
            </w:r>
            <w:r w:rsidR="00A40EC1" w:rsidRPr="0039427A">
              <w:rPr>
                <w:rFonts w:ascii="Times New Roman" w:hAnsi="Times New Roman"/>
                <w:color w:val="000000" w:themeColor="text1"/>
              </w:rPr>
              <w:t>rights. This</w:t>
            </w:r>
            <w:r w:rsidRPr="0039427A">
              <w:rPr>
                <w:rFonts w:ascii="Times New Roman" w:hAnsi="Times New Roman"/>
                <w:color w:val="000000" w:themeColor="text1"/>
              </w:rPr>
              <w:t xml:space="preserve"> component will provide support to the Constitutional Court in controlling the constitutionality and legality of adopted normative acts and in protecting fundamental rights</w:t>
            </w:r>
            <w:r w:rsidR="005576FF" w:rsidRPr="0039427A">
              <w:rPr>
                <w:rFonts w:ascii="Times New Roman" w:hAnsi="Times New Roman"/>
                <w:color w:val="000000" w:themeColor="text1"/>
              </w:rPr>
              <w:t xml:space="preserve"> (towards the introduction of the “full” </w:t>
            </w:r>
            <w:r w:rsidR="009D65C6" w:rsidRPr="0039427A">
              <w:rPr>
                <w:rFonts w:ascii="Times New Roman" w:hAnsi="Times New Roman"/>
                <w:color w:val="000000" w:themeColor="text1"/>
              </w:rPr>
              <w:t xml:space="preserve">individual </w:t>
            </w:r>
            <w:r w:rsidR="005576FF" w:rsidRPr="0039427A">
              <w:rPr>
                <w:rFonts w:ascii="Times New Roman" w:hAnsi="Times New Roman"/>
                <w:color w:val="000000" w:themeColor="text1"/>
              </w:rPr>
              <w:t>constitutional complaint)</w:t>
            </w:r>
            <w:r w:rsidRPr="0039427A">
              <w:rPr>
                <w:rFonts w:ascii="Times New Roman" w:hAnsi="Times New Roman"/>
                <w:color w:val="000000" w:themeColor="text1"/>
              </w:rPr>
              <w:t xml:space="preserve">. The action will strengthen the knowledge of judges and employees of the Constitutional Court, </w:t>
            </w:r>
            <w:r w:rsidR="00D71574" w:rsidRPr="0039427A">
              <w:rPr>
                <w:rFonts w:ascii="Times New Roman" w:hAnsi="Times New Roman"/>
                <w:color w:val="000000" w:themeColor="text1"/>
              </w:rPr>
              <w:t xml:space="preserve">will improve the organisational structure and working methods, </w:t>
            </w:r>
            <w:r w:rsidRPr="0039427A">
              <w:rPr>
                <w:rFonts w:ascii="Times New Roman" w:hAnsi="Times New Roman"/>
                <w:color w:val="000000" w:themeColor="text1"/>
              </w:rPr>
              <w:t xml:space="preserve">and will increase </w:t>
            </w:r>
            <w:r w:rsidR="0092586F" w:rsidRPr="0039427A">
              <w:rPr>
                <w:rFonts w:ascii="Times New Roman" w:hAnsi="Times New Roman"/>
                <w:color w:val="000000" w:themeColor="text1"/>
              </w:rPr>
              <w:t xml:space="preserve">its </w:t>
            </w:r>
            <w:r w:rsidRPr="0039427A">
              <w:rPr>
                <w:rFonts w:ascii="Times New Roman" w:hAnsi="Times New Roman"/>
                <w:color w:val="000000" w:themeColor="text1"/>
              </w:rPr>
              <w:t xml:space="preserve">transparency and efficiency. </w:t>
            </w:r>
          </w:p>
          <w:p w:rsidR="0092586F" w:rsidRPr="0039427A" w:rsidRDefault="001249A1" w:rsidP="00DB4733">
            <w:pPr>
              <w:pStyle w:val="ListParagraph"/>
              <w:numPr>
                <w:ilvl w:val="0"/>
                <w:numId w:val="21"/>
              </w:numPr>
              <w:spacing w:before="120" w:after="0" w:line="240" w:lineRule="auto"/>
              <w:ind w:left="357" w:hanging="357"/>
              <w:contextualSpacing w:val="0"/>
              <w:jc w:val="both"/>
              <w:rPr>
                <w:rFonts w:ascii="Times New Roman" w:hAnsi="Times New Roman"/>
                <w:color w:val="000000" w:themeColor="text1"/>
              </w:rPr>
            </w:pPr>
            <w:r w:rsidRPr="0039427A">
              <w:rPr>
                <w:rFonts w:ascii="Times New Roman" w:hAnsi="Times New Roman"/>
                <w:b/>
                <w:color w:val="000000" w:themeColor="text1"/>
              </w:rPr>
              <w:t>Preparation phase for the m</w:t>
            </w:r>
            <w:r w:rsidR="0092586F" w:rsidRPr="0039427A">
              <w:rPr>
                <w:rFonts w:ascii="Times New Roman" w:hAnsi="Times New Roman"/>
                <w:b/>
                <w:color w:val="000000" w:themeColor="text1"/>
              </w:rPr>
              <w:t xml:space="preserve">odernisation of the </w:t>
            </w:r>
            <w:r w:rsidR="00C10FF8" w:rsidRPr="0039427A">
              <w:rPr>
                <w:rFonts w:ascii="Times New Roman" w:hAnsi="Times New Roman"/>
                <w:b/>
                <w:color w:val="000000" w:themeColor="text1"/>
              </w:rPr>
              <w:t xml:space="preserve">premises </w:t>
            </w:r>
            <w:r w:rsidR="00BF71FC" w:rsidRPr="0039427A">
              <w:rPr>
                <w:rFonts w:ascii="Times New Roman" w:hAnsi="Times New Roman"/>
                <w:b/>
                <w:color w:val="000000" w:themeColor="text1"/>
              </w:rPr>
              <w:t xml:space="preserve">of the </w:t>
            </w:r>
            <w:r w:rsidR="0092586F" w:rsidRPr="0039427A">
              <w:rPr>
                <w:rFonts w:ascii="Times New Roman" w:hAnsi="Times New Roman"/>
                <w:b/>
                <w:color w:val="000000" w:themeColor="text1"/>
              </w:rPr>
              <w:t>Academy for Judges and Public Prosecutors</w:t>
            </w:r>
            <w:r w:rsidR="0092586F" w:rsidRPr="0039427A">
              <w:rPr>
                <w:rFonts w:ascii="Times New Roman" w:hAnsi="Times New Roman"/>
                <w:color w:val="000000" w:themeColor="text1"/>
              </w:rPr>
              <w:t xml:space="preserve"> (phase </w:t>
            </w:r>
            <w:proofErr w:type="gramStart"/>
            <w:r w:rsidR="0092586F" w:rsidRPr="0039427A">
              <w:rPr>
                <w:rFonts w:ascii="Times New Roman" w:hAnsi="Times New Roman"/>
                <w:color w:val="000000" w:themeColor="text1"/>
              </w:rPr>
              <w:t>I</w:t>
            </w:r>
            <w:proofErr w:type="gramEnd"/>
            <w:r w:rsidR="0092586F" w:rsidRPr="0039427A">
              <w:rPr>
                <w:rFonts w:ascii="Times New Roman" w:hAnsi="Times New Roman"/>
                <w:color w:val="000000" w:themeColor="text1"/>
              </w:rPr>
              <w:t xml:space="preserve">). This </w:t>
            </w:r>
            <w:r w:rsidR="00335766" w:rsidRPr="0039427A">
              <w:rPr>
                <w:rFonts w:ascii="Times New Roman" w:hAnsi="Times New Roman"/>
                <w:color w:val="000000" w:themeColor="text1"/>
              </w:rPr>
              <w:t>component</w:t>
            </w:r>
            <w:r w:rsidR="0092586F" w:rsidRPr="0039427A">
              <w:rPr>
                <w:rFonts w:ascii="Times New Roman" w:hAnsi="Times New Roman"/>
                <w:color w:val="000000" w:themeColor="text1"/>
              </w:rPr>
              <w:t xml:space="preserve"> will prepare the necessary technical documentation for the modernisation of the premises and the equipment of the Academy to allow adequate training </w:t>
            </w:r>
            <w:r w:rsidR="00BF71FC" w:rsidRPr="0039427A">
              <w:rPr>
                <w:rFonts w:ascii="Times New Roman" w:hAnsi="Times New Roman"/>
                <w:color w:val="000000" w:themeColor="text1"/>
              </w:rPr>
              <w:t>premises</w:t>
            </w:r>
            <w:r w:rsidR="0092586F" w:rsidRPr="0039427A">
              <w:rPr>
                <w:rFonts w:ascii="Times New Roman" w:hAnsi="Times New Roman"/>
                <w:color w:val="000000" w:themeColor="text1"/>
              </w:rPr>
              <w:t xml:space="preserve"> for judges, public prosecutors, judicial and prosecutorial services, and other legal professionals. The Academy for Judges and Public Prosecutors is playing a key role in the process of modernisation of the judiciary towards EU standards and in improving the independence, impartiality and professionalism of the Judiciary.  </w:t>
            </w:r>
          </w:p>
          <w:p w:rsidR="002760C6" w:rsidRPr="0039427A" w:rsidRDefault="00FD2277" w:rsidP="002760C6">
            <w:pPr>
              <w:pStyle w:val="ListParagraph"/>
              <w:numPr>
                <w:ilvl w:val="0"/>
                <w:numId w:val="21"/>
              </w:numPr>
              <w:spacing w:before="120" w:after="0" w:line="240" w:lineRule="auto"/>
              <w:ind w:left="357" w:hanging="357"/>
              <w:contextualSpacing w:val="0"/>
              <w:jc w:val="both"/>
              <w:rPr>
                <w:rFonts w:ascii="Times New Roman" w:hAnsi="Times New Roman"/>
                <w:color w:val="000000" w:themeColor="text1"/>
              </w:rPr>
            </w:pPr>
            <w:r w:rsidRPr="0039427A">
              <w:rPr>
                <w:rFonts w:ascii="Times New Roman" w:hAnsi="Times New Roman"/>
                <w:b/>
                <w:color w:val="000000" w:themeColor="text1"/>
              </w:rPr>
              <w:t xml:space="preserve">Increasing the intolerance of the private sector and </w:t>
            </w:r>
            <w:r w:rsidR="001249A1" w:rsidRPr="0039427A">
              <w:rPr>
                <w:rFonts w:ascii="Times New Roman" w:hAnsi="Times New Roman"/>
                <w:b/>
                <w:color w:val="000000" w:themeColor="text1"/>
              </w:rPr>
              <w:t>citizens</w:t>
            </w:r>
            <w:r w:rsidR="00335766" w:rsidRPr="0039427A">
              <w:rPr>
                <w:rFonts w:ascii="Times New Roman" w:hAnsi="Times New Roman"/>
                <w:b/>
                <w:color w:val="000000" w:themeColor="text1"/>
              </w:rPr>
              <w:t xml:space="preserve"> towards corruption and bribing</w:t>
            </w:r>
            <w:r w:rsidRPr="0039427A">
              <w:rPr>
                <w:rFonts w:ascii="Times New Roman" w:hAnsi="Times New Roman"/>
                <w:color w:val="000000" w:themeColor="text1"/>
              </w:rPr>
              <w:t xml:space="preserve">. </w:t>
            </w:r>
            <w:r w:rsidR="00335766" w:rsidRPr="0039427A">
              <w:rPr>
                <w:rFonts w:ascii="Times New Roman" w:hAnsi="Times New Roman"/>
                <w:color w:val="000000" w:themeColor="text1"/>
              </w:rPr>
              <w:t xml:space="preserve">This will increase the knowledge and awareness of the citizens on the legal obligations of institutions and civil servants and on how to fight the phenomenon of corruption, through available legal and civic means. The civil society </w:t>
            </w:r>
            <w:r w:rsidR="003D2819" w:rsidRPr="0039427A">
              <w:rPr>
                <w:rFonts w:ascii="Times New Roman" w:hAnsi="Times New Roman"/>
                <w:color w:val="000000" w:themeColor="text1"/>
              </w:rPr>
              <w:t xml:space="preserve">organisations </w:t>
            </w:r>
            <w:r w:rsidR="00335766" w:rsidRPr="0039427A">
              <w:rPr>
                <w:rFonts w:ascii="Times New Roman" w:hAnsi="Times New Roman"/>
                <w:color w:val="000000" w:themeColor="text1"/>
              </w:rPr>
              <w:t>will be the main beneficiary of this component.</w:t>
            </w:r>
          </w:p>
          <w:p w:rsidR="00335766" w:rsidRPr="0039427A" w:rsidRDefault="00C10BA0" w:rsidP="002760C6">
            <w:pPr>
              <w:spacing w:before="240" w:after="120" w:line="240" w:lineRule="auto"/>
              <w:jc w:val="both"/>
              <w:rPr>
                <w:rFonts w:ascii="Times New Roman" w:hAnsi="Times New Roman"/>
                <w:color w:val="000000" w:themeColor="text1"/>
              </w:rPr>
            </w:pPr>
            <w:r w:rsidRPr="0039427A">
              <w:rPr>
                <w:rFonts w:ascii="Times New Roman" w:hAnsi="Times New Roman"/>
                <w:color w:val="000000" w:themeColor="text1"/>
              </w:rPr>
              <w:t xml:space="preserve">The Action is designed to contribute to the achievement of the specific objective of the </w:t>
            </w:r>
            <w:r w:rsidR="0071750C" w:rsidRPr="0039427A">
              <w:rPr>
                <w:rFonts w:ascii="Times New Roman" w:hAnsi="Times New Roman"/>
                <w:b/>
                <w:color w:val="000000" w:themeColor="text1"/>
              </w:rPr>
              <w:t>judiciary</w:t>
            </w:r>
            <w:r w:rsidR="00335766" w:rsidRPr="0039427A">
              <w:rPr>
                <w:rFonts w:ascii="Times New Roman" w:hAnsi="Times New Roman"/>
                <w:b/>
                <w:color w:val="000000" w:themeColor="text1"/>
              </w:rPr>
              <w:t xml:space="preserve"> and fight against corruption</w:t>
            </w:r>
            <w:r w:rsidRPr="0039427A">
              <w:rPr>
                <w:rFonts w:ascii="Times New Roman" w:hAnsi="Times New Roman"/>
                <w:color w:val="000000" w:themeColor="text1"/>
              </w:rPr>
              <w:t xml:space="preserve"> within </w:t>
            </w:r>
            <w:r w:rsidRPr="0039427A">
              <w:rPr>
                <w:rFonts w:ascii="Times New Roman" w:hAnsi="Times New Roman"/>
                <w:b/>
                <w:color w:val="000000" w:themeColor="text1"/>
              </w:rPr>
              <w:t>Window 1: Rule of Law, Fundamental Rights and Democracy</w:t>
            </w:r>
            <w:r w:rsidRPr="0039427A">
              <w:rPr>
                <w:rFonts w:ascii="Times New Roman" w:hAnsi="Times New Roman"/>
                <w:color w:val="000000" w:themeColor="text1"/>
              </w:rPr>
              <w:t xml:space="preserve">, which aims </w:t>
            </w:r>
          </w:p>
          <w:p w:rsidR="00C10BA0" w:rsidRPr="0039427A" w:rsidRDefault="00335766" w:rsidP="003C10F1">
            <w:pPr>
              <w:pStyle w:val="ListParagraph"/>
              <w:numPr>
                <w:ilvl w:val="0"/>
                <w:numId w:val="23"/>
              </w:numPr>
              <w:spacing w:before="120" w:after="0" w:line="240" w:lineRule="auto"/>
              <w:ind w:left="357" w:hanging="357"/>
              <w:jc w:val="both"/>
              <w:rPr>
                <w:rFonts w:ascii="Times New Roman" w:hAnsi="Times New Roman"/>
                <w:color w:val="000000" w:themeColor="text1"/>
              </w:rPr>
            </w:pPr>
            <w:r w:rsidRPr="0039427A">
              <w:rPr>
                <w:rFonts w:ascii="Times New Roman" w:hAnsi="Times New Roman"/>
                <w:color w:val="000000" w:themeColor="text1"/>
              </w:rPr>
              <w:t>To</w:t>
            </w:r>
            <w:r w:rsidR="00F54CAB" w:rsidRPr="0039427A">
              <w:rPr>
                <w:rFonts w:ascii="Times New Roman" w:hAnsi="Times New Roman"/>
                <w:color w:val="000000" w:themeColor="text1"/>
              </w:rPr>
              <w:t xml:space="preserve"> </w:t>
            </w:r>
            <w:r w:rsidR="0071750C" w:rsidRPr="0039427A">
              <w:rPr>
                <w:rFonts w:ascii="Times New Roman" w:hAnsi="Times New Roman"/>
                <w:color w:val="000000" w:themeColor="text1"/>
              </w:rPr>
              <w:t>improve the independence, accountability, efficiency and quality of the judicial systems and to improve the professionalization of judges and of the justice system as a whole, including the skills and capacities of officers concerned in the administration of justice.</w:t>
            </w:r>
          </w:p>
          <w:p w:rsidR="00335A5E" w:rsidRPr="0039427A" w:rsidRDefault="00335766" w:rsidP="003C10F1">
            <w:pPr>
              <w:pStyle w:val="ListParagraph"/>
              <w:numPr>
                <w:ilvl w:val="0"/>
                <w:numId w:val="23"/>
              </w:numPr>
              <w:spacing w:before="120" w:after="0" w:line="240" w:lineRule="auto"/>
              <w:ind w:left="357" w:hanging="357"/>
              <w:jc w:val="both"/>
              <w:rPr>
                <w:rFonts w:ascii="Times New Roman" w:hAnsi="Times New Roman"/>
                <w:color w:val="000000" w:themeColor="text1"/>
              </w:rPr>
            </w:pPr>
            <w:r w:rsidRPr="0039427A">
              <w:rPr>
                <w:rFonts w:ascii="Times New Roman" w:hAnsi="Times New Roman"/>
                <w:color w:val="000000" w:themeColor="text1"/>
              </w:rPr>
              <w:t>To establish, and strengthen when existing, track record of investigations, prosecution and conviction of high-level corruption cases.</w:t>
            </w:r>
          </w:p>
          <w:p w:rsidR="00335A5E" w:rsidRPr="0039427A" w:rsidRDefault="00335A5E" w:rsidP="00335A5E">
            <w:pPr>
              <w:pStyle w:val="ListParagraph"/>
              <w:spacing w:before="120" w:after="0" w:line="240" w:lineRule="auto"/>
              <w:ind w:left="357"/>
              <w:jc w:val="both"/>
              <w:rPr>
                <w:rFonts w:ascii="Times New Roman" w:hAnsi="Times New Roman"/>
                <w:color w:val="000000" w:themeColor="text1"/>
              </w:rPr>
            </w:pPr>
          </w:p>
          <w:p w:rsidR="00187C85" w:rsidRPr="0039427A" w:rsidRDefault="008B6830" w:rsidP="00187C85">
            <w:pPr>
              <w:spacing w:after="120" w:line="240" w:lineRule="auto"/>
              <w:jc w:val="both"/>
              <w:rPr>
                <w:rFonts w:ascii="Times New Roman" w:hAnsi="Times New Roman"/>
                <w:color w:val="000000" w:themeColor="text1"/>
              </w:rPr>
            </w:pPr>
            <w:r w:rsidRPr="0039427A">
              <w:rPr>
                <w:rFonts w:ascii="Times New Roman" w:hAnsi="Times New Roman"/>
                <w:color w:val="000000" w:themeColor="text1"/>
              </w:rPr>
              <w:t xml:space="preserve">The proposed Action will contribute to the implementation of the EU </w:t>
            </w:r>
            <w:r w:rsidR="000A470C" w:rsidRPr="0039427A">
              <w:rPr>
                <w:rFonts w:ascii="Times New Roman" w:hAnsi="Times New Roman"/>
                <w:color w:val="000000" w:themeColor="text1"/>
              </w:rPr>
              <w:t>recommendations</w:t>
            </w:r>
            <w:r w:rsidRPr="0039427A">
              <w:rPr>
                <w:rFonts w:ascii="Times New Roman" w:hAnsi="Times New Roman"/>
                <w:color w:val="000000" w:themeColor="text1"/>
              </w:rPr>
              <w:t xml:space="preserve"> under </w:t>
            </w:r>
            <w:r w:rsidRPr="0039427A">
              <w:rPr>
                <w:rFonts w:ascii="Times New Roman" w:hAnsi="Times New Roman"/>
                <w:b/>
                <w:color w:val="000000" w:themeColor="text1"/>
              </w:rPr>
              <w:t>Chapter 2</w:t>
            </w:r>
            <w:r w:rsidR="000A470C" w:rsidRPr="0039427A">
              <w:rPr>
                <w:rFonts w:ascii="Times New Roman" w:hAnsi="Times New Roman"/>
                <w:b/>
                <w:color w:val="000000" w:themeColor="text1"/>
              </w:rPr>
              <w:t>3</w:t>
            </w:r>
            <w:r w:rsidR="00741787" w:rsidRPr="0039427A">
              <w:rPr>
                <w:rFonts w:ascii="Times New Roman" w:hAnsi="Times New Roman"/>
                <w:b/>
                <w:color w:val="000000" w:themeColor="text1"/>
              </w:rPr>
              <w:t xml:space="preserve">: </w:t>
            </w:r>
            <w:r w:rsidR="000A470C" w:rsidRPr="0039427A">
              <w:rPr>
                <w:rFonts w:ascii="Times New Roman" w:hAnsi="Times New Roman"/>
                <w:b/>
                <w:color w:val="000000" w:themeColor="text1"/>
              </w:rPr>
              <w:t>Judiciary and fundamental rights</w:t>
            </w:r>
            <w:r w:rsidR="00F54CAB" w:rsidRPr="0039427A">
              <w:rPr>
                <w:rFonts w:ascii="Times New Roman" w:hAnsi="Times New Roman"/>
                <w:b/>
                <w:color w:val="000000" w:themeColor="text1"/>
              </w:rPr>
              <w:t xml:space="preserve"> </w:t>
            </w:r>
            <w:r w:rsidR="00741787" w:rsidRPr="0039427A">
              <w:rPr>
                <w:rFonts w:ascii="Times New Roman" w:eastAsia="Arial Unicode MS" w:hAnsi="Times New Roman"/>
                <w:b/>
                <w:color w:val="000000" w:themeColor="text1"/>
                <w:lang w:eastAsia="de-DE"/>
              </w:rPr>
              <w:t>(</w:t>
            </w:r>
            <w:r w:rsidR="00296FEE" w:rsidRPr="0039427A">
              <w:rPr>
                <w:rFonts w:ascii="Times New Roman" w:eastAsia="Arial Unicode MS" w:hAnsi="Times New Roman"/>
                <w:b/>
                <w:color w:val="000000" w:themeColor="text1"/>
                <w:lang w:eastAsia="de-DE"/>
              </w:rPr>
              <w:t>COM (</w:t>
            </w:r>
            <w:r w:rsidR="00741787" w:rsidRPr="0039427A">
              <w:rPr>
                <w:rFonts w:ascii="Times New Roman" w:eastAsia="Arial Unicode MS" w:hAnsi="Times New Roman"/>
                <w:b/>
                <w:color w:val="000000" w:themeColor="text1"/>
                <w:lang w:eastAsia="de-DE"/>
              </w:rPr>
              <w:t>2019)260</w:t>
            </w:r>
            <w:r w:rsidR="00741787" w:rsidRPr="0039427A">
              <w:rPr>
                <w:rFonts w:ascii="Times New Roman" w:eastAsia="Arial Unicode MS" w:hAnsi="Times New Roman"/>
                <w:color w:val="000000" w:themeColor="text1"/>
                <w:lang w:eastAsia="de-DE"/>
              </w:rPr>
              <w:t>)</w:t>
            </w:r>
            <w:r w:rsidR="009464D6" w:rsidRPr="0039427A">
              <w:rPr>
                <w:rFonts w:ascii="Times New Roman" w:eastAsia="Arial Unicode MS" w:hAnsi="Times New Roman"/>
                <w:color w:val="000000" w:themeColor="text1"/>
                <w:lang w:eastAsia="de-DE"/>
              </w:rPr>
              <w:t xml:space="preserve"> where</w:t>
            </w:r>
            <w:r w:rsidR="00741787" w:rsidRPr="0039427A">
              <w:rPr>
                <w:rFonts w:ascii="Times New Roman" w:eastAsia="Arial Unicode MS" w:hAnsi="Times New Roman"/>
                <w:color w:val="000000" w:themeColor="text1"/>
                <w:lang w:eastAsia="de-DE"/>
              </w:rPr>
              <w:t xml:space="preserve"> it </w:t>
            </w:r>
            <w:r w:rsidR="009464D6" w:rsidRPr="0039427A">
              <w:rPr>
                <w:rFonts w:ascii="Times New Roman" w:eastAsia="Arial Unicode MS" w:hAnsi="Times New Roman"/>
                <w:color w:val="000000" w:themeColor="text1"/>
                <w:lang w:eastAsia="de-DE"/>
              </w:rPr>
              <w:t xml:space="preserve">is </w:t>
            </w:r>
            <w:r w:rsidR="00741787" w:rsidRPr="0039427A">
              <w:rPr>
                <w:rFonts w:ascii="Times New Roman" w:eastAsia="Arial Unicode MS" w:hAnsi="Times New Roman"/>
                <w:color w:val="000000" w:themeColor="text1"/>
                <w:lang w:eastAsia="de-DE"/>
              </w:rPr>
              <w:t>state</w:t>
            </w:r>
            <w:r w:rsidR="009464D6" w:rsidRPr="0039427A">
              <w:rPr>
                <w:rFonts w:ascii="Times New Roman" w:eastAsia="Arial Unicode MS" w:hAnsi="Times New Roman"/>
                <w:color w:val="000000" w:themeColor="text1"/>
                <w:lang w:eastAsia="de-DE"/>
              </w:rPr>
              <w:t>d</w:t>
            </w:r>
            <w:r w:rsidR="00335A5E" w:rsidRPr="0039427A">
              <w:rPr>
                <w:rFonts w:ascii="Times New Roman" w:eastAsia="Arial Unicode MS" w:hAnsi="Times New Roman"/>
                <w:color w:val="000000" w:themeColor="text1"/>
                <w:lang w:eastAsia="de-DE"/>
              </w:rPr>
              <w:t>, concerning the judiciary,</w:t>
            </w:r>
            <w:r w:rsidR="00741787" w:rsidRPr="0039427A">
              <w:rPr>
                <w:rFonts w:ascii="Times New Roman" w:eastAsia="Arial Unicode MS" w:hAnsi="Times New Roman"/>
                <w:color w:val="000000" w:themeColor="text1"/>
                <w:lang w:eastAsia="de-DE"/>
              </w:rPr>
              <w:t xml:space="preserve"> that </w:t>
            </w:r>
            <w:r w:rsidR="009464D6" w:rsidRPr="0039427A">
              <w:rPr>
                <w:rFonts w:ascii="Times New Roman" w:eastAsia="Arial Unicode MS" w:hAnsi="Times New Roman"/>
                <w:color w:val="000000" w:themeColor="text1"/>
                <w:lang w:eastAsia="de-DE"/>
              </w:rPr>
              <w:t>North Macedonia has s</w:t>
            </w:r>
            <w:r w:rsidR="0071750C" w:rsidRPr="0039427A">
              <w:rPr>
                <w:rFonts w:ascii="Times New Roman" w:eastAsia="Arial Unicode MS" w:hAnsi="Times New Roman"/>
                <w:color w:val="000000" w:themeColor="text1"/>
                <w:lang w:eastAsia="de-DE"/>
              </w:rPr>
              <w:t>ome level of preparation in the judicial system and that there was good progress in addressing</w:t>
            </w:r>
            <w:r w:rsidR="00E6139B" w:rsidRPr="0039427A">
              <w:rPr>
                <w:rFonts w:ascii="Times New Roman" w:eastAsia="Arial Unicode MS" w:hAnsi="Times New Roman"/>
                <w:color w:val="000000" w:themeColor="text1"/>
                <w:lang w:eastAsia="de-DE"/>
              </w:rPr>
              <w:t xml:space="preserve"> the “Urgent Reform Priorities”</w:t>
            </w:r>
            <w:r w:rsidR="00F54CAB" w:rsidRPr="0039427A">
              <w:rPr>
                <w:rFonts w:ascii="Times New Roman" w:eastAsia="Arial Unicode MS" w:hAnsi="Times New Roman"/>
                <w:color w:val="000000" w:themeColor="text1"/>
                <w:lang w:eastAsia="de-DE"/>
              </w:rPr>
              <w:t xml:space="preserve"> </w:t>
            </w:r>
            <w:r w:rsidR="00332633" w:rsidRPr="0039427A">
              <w:rPr>
                <w:rFonts w:ascii="Times New Roman" w:eastAsia="Arial Unicode MS" w:hAnsi="Times New Roman"/>
                <w:color w:val="000000" w:themeColor="text1"/>
                <w:lang w:eastAsia="de-DE"/>
              </w:rPr>
              <w:t xml:space="preserve">and recommendations from the Venice Commission and Senior Experts’ Group on systemic Rule of Law issues. Furthermore, the EC recommends </w:t>
            </w:r>
            <w:r w:rsidR="00F85ECB" w:rsidRPr="0039427A">
              <w:rPr>
                <w:rFonts w:ascii="Times New Roman" w:eastAsia="Arial Unicode MS" w:hAnsi="Times New Roman"/>
                <w:color w:val="000000" w:themeColor="text1"/>
                <w:lang w:eastAsia="de-DE"/>
              </w:rPr>
              <w:t xml:space="preserve">to the country continue implementing the judicial reform strategy, </w:t>
            </w:r>
            <w:r w:rsidR="005E52D4" w:rsidRPr="0039427A">
              <w:rPr>
                <w:rFonts w:ascii="Times New Roman" w:eastAsia="Arial Unicode MS" w:hAnsi="Times New Roman"/>
                <w:color w:val="000000" w:themeColor="text1"/>
                <w:lang w:eastAsia="de-DE"/>
              </w:rPr>
              <w:t xml:space="preserve">prioritising the development of a human resources strategy and improving the automated court case management information system (ACCMIS) to ensure it is fully functional and </w:t>
            </w:r>
            <w:r w:rsidR="00A40EC1" w:rsidRPr="0039427A">
              <w:rPr>
                <w:rFonts w:ascii="Times New Roman" w:eastAsia="Arial Unicode MS" w:hAnsi="Times New Roman"/>
                <w:color w:val="000000" w:themeColor="text1"/>
                <w:lang w:eastAsia="de-DE"/>
              </w:rPr>
              <w:t>reliable. On</w:t>
            </w:r>
            <w:r w:rsidR="00335A5E" w:rsidRPr="0039427A">
              <w:rPr>
                <w:rFonts w:ascii="Times New Roman" w:eastAsia="Arial Unicode MS" w:hAnsi="Times New Roman"/>
                <w:color w:val="000000" w:themeColor="text1"/>
                <w:lang w:eastAsia="de-DE"/>
              </w:rPr>
              <w:t xml:space="preserve"> the fight against corruption, the country has some level of preparation and good progress has been made, through further consolidating its track record on investigating, prosecuting and trying high level corruption cases and by making changes to legislation. T</w:t>
            </w:r>
            <w:r w:rsidR="007F1055" w:rsidRPr="0039427A">
              <w:rPr>
                <w:rFonts w:ascii="Times New Roman" w:eastAsia="Arial Unicode MS" w:hAnsi="Times New Roman"/>
                <w:color w:val="000000" w:themeColor="text1"/>
                <w:lang w:eastAsia="de-DE"/>
              </w:rPr>
              <w:t>he</w:t>
            </w:r>
            <w:r w:rsidR="00F54CAB" w:rsidRPr="0039427A">
              <w:rPr>
                <w:rFonts w:ascii="Times New Roman" w:eastAsia="Arial Unicode MS" w:hAnsi="Times New Roman"/>
                <w:color w:val="000000" w:themeColor="text1"/>
                <w:lang w:eastAsia="de-DE"/>
              </w:rPr>
              <w:t xml:space="preserve"> </w:t>
            </w:r>
            <w:r w:rsidR="00B67893" w:rsidRPr="0039427A">
              <w:rPr>
                <w:rFonts w:ascii="Times New Roman" w:eastAsia="Arial Unicode MS" w:hAnsi="Times New Roman"/>
                <w:color w:val="000000" w:themeColor="text1"/>
                <w:lang w:eastAsia="de-DE"/>
              </w:rPr>
              <w:t>S</w:t>
            </w:r>
            <w:r w:rsidR="00335A5E" w:rsidRPr="0039427A">
              <w:rPr>
                <w:rFonts w:ascii="Times New Roman" w:eastAsia="Arial Unicode MS" w:hAnsi="Times New Roman"/>
                <w:color w:val="000000" w:themeColor="text1"/>
                <w:lang w:eastAsia="de-DE"/>
              </w:rPr>
              <w:t>CP</w:t>
            </w:r>
            <w:r w:rsidR="007F1055" w:rsidRPr="0039427A">
              <w:rPr>
                <w:rFonts w:ascii="Times New Roman" w:eastAsia="Arial Unicode MS" w:hAnsi="Times New Roman"/>
                <w:color w:val="000000" w:themeColor="text1"/>
                <w:lang w:eastAsia="de-DE"/>
              </w:rPr>
              <w:t>C</w:t>
            </w:r>
            <w:r w:rsidR="00F54CAB" w:rsidRPr="0039427A">
              <w:rPr>
                <w:rFonts w:ascii="Times New Roman" w:eastAsia="Arial Unicode MS" w:hAnsi="Times New Roman"/>
                <w:color w:val="000000" w:themeColor="text1"/>
                <w:lang w:eastAsia="de-DE"/>
              </w:rPr>
              <w:t xml:space="preserve"> </w:t>
            </w:r>
            <w:r w:rsidR="00335A5E" w:rsidRPr="0039427A">
              <w:rPr>
                <w:rFonts w:ascii="Times New Roman" w:eastAsia="Arial Unicode MS" w:hAnsi="Times New Roman"/>
                <w:color w:val="000000" w:themeColor="text1"/>
                <w:lang w:eastAsia="de-DE"/>
              </w:rPr>
              <w:t xml:space="preserve">has been vested with additional </w:t>
            </w:r>
            <w:r w:rsidR="009B30BC" w:rsidRPr="0039427A">
              <w:rPr>
                <w:rFonts w:ascii="Times New Roman" w:eastAsia="Arial Unicode MS" w:hAnsi="Times New Roman"/>
                <w:color w:val="000000" w:themeColor="text1"/>
                <w:lang w:eastAsia="de-DE"/>
              </w:rPr>
              <w:t>competences and powers</w:t>
            </w:r>
            <w:r w:rsidR="00335A5E" w:rsidRPr="0039427A">
              <w:rPr>
                <w:rFonts w:ascii="Times New Roman" w:eastAsia="Arial Unicode MS" w:hAnsi="Times New Roman"/>
                <w:color w:val="000000" w:themeColor="text1"/>
                <w:lang w:eastAsia="de-DE"/>
              </w:rPr>
              <w:t xml:space="preserve"> to strengthen its capacity in fighting </w:t>
            </w:r>
            <w:r w:rsidR="009B30BC" w:rsidRPr="0039427A">
              <w:rPr>
                <w:rFonts w:ascii="Times New Roman" w:eastAsia="Arial Unicode MS" w:hAnsi="Times New Roman"/>
                <w:color w:val="000000" w:themeColor="text1"/>
                <w:lang w:eastAsia="de-DE"/>
              </w:rPr>
              <w:t xml:space="preserve">corruption, conflict of </w:t>
            </w:r>
            <w:r w:rsidR="00A40EC1" w:rsidRPr="0039427A">
              <w:rPr>
                <w:rFonts w:ascii="Times New Roman" w:eastAsia="Arial Unicode MS" w:hAnsi="Times New Roman"/>
                <w:color w:val="000000" w:themeColor="text1"/>
                <w:lang w:eastAsia="de-DE"/>
              </w:rPr>
              <w:t>interests, lack</w:t>
            </w:r>
            <w:r w:rsidR="00335A5E" w:rsidRPr="0039427A">
              <w:rPr>
                <w:rFonts w:ascii="Times New Roman" w:eastAsia="Arial Unicode MS" w:hAnsi="Times New Roman"/>
                <w:color w:val="000000" w:themeColor="text1"/>
                <w:lang w:eastAsia="de-DE"/>
              </w:rPr>
              <w:t xml:space="preserve"> of integrity (monitoring the financing of political parties and election campaigns).</w:t>
            </w:r>
            <w:r w:rsidR="00335A5E" w:rsidRPr="0039427A">
              <w:rPr>
                <w:rFonts w:ascii="Times New Roman" w:hAnsi="Times New Roman"/>
                <w:color w:val="000000" w:themeColor="text1"/>
              </w:rPr>
              <w:t xml:space="preserve">In this context, the country should continue to complete and apply its IT systems and, ensure their continuous upgrading and maintenance with a special focus in its interconnection and interoperability with the relevant institutions involved in the fight against corruption. </w:t>
            </w:r>
          </w:p>
          <w:p w:rsidR="00560C40" w:rsidRPr="0039427A" w:rsidRDefault="00560C40" w:rsidP="00187C85">
            <w:pPr>
              <w:spacing w:after="120" w:line="240" w:lineRule="auto"/>
              <w:jc w:val="both"/>
              <w:rPr>
                <w:rFonts w:ascii="Times New Roman" w:eastAsia="Arial Unicode MS" w:hAnsi="Times New Roman"/>
                <w:color w:val="000000" w:themeColor="text1"/>
                <w:lang w:eastAsia="de-DE"/>
              </w:rPr>
            </w:pPr>
            <w:r w:rsidRPr="0039427A">
              <w:rPr>
                <w:rFonts w:ascii="Times New Roman" w:eastAsia="Arial Unicode MS" w:hAnsi="Times New Roman"/>
                <w:color w:val="000000" w:themeColor="text1"/>
                <w:lang w:eastAsia="de-DE"/>
              </w:rPr>
              <w:t xml:space="preserve">Regarding the Commission Communication </w:t>
            </w:r>
            <w:r w:rsidRPr="0039427A">
              <w:rPr>
                <w:rFonts w:ascii="Times New Roman" w:eastAsia="Arial Unicode MS" w:hAnsi="Times New Roman"/>
                <w:b/>
                <w:color w:val="000000" w:themeColor="text1"/>
                <w:lang w:eastAsia="de-DE"/>
              </w:rPr>
              <w:t>"A credible enlargement perspective for and enhanced EU engagement with the Western Balkans" (COM</w:t>
            </w:r>
            <w:r w:rsidR="00F54CAB" w:rsidRPr="0039427A">
              <w:rPr>
                <w:rFonts w:ascii="Times New Roman" w:eastAsia="Arial Unicode MS" w:hAnsi="Times New Roman"/>
                <w:b/>
                <w:color w:val="000000" w:themeColor="text1"/>
                <w:lang w:eastAsia="de-DE"/>
              </w:rPr>
              <w:t xml:space="preserve"> </w:t>
            </w:r>
            <w:r w:rsidRPr="0039427A">
              <w:rPr>
                <w:rFonts w:ascii="Times New Roman" w:eastAsia="Arial Unicode MS" w:hAnsi="Times New Roman"/>
                <w:b/>
                <w:color w:val="000000" w:themeColor="text1"/>
                <w:lang w:eastAsia="de-DE"/>
              </w:rPr>
              <w:t>(2018)65),</w:t>
            </w:r>
            <w:r w:rsidRPr="0039427A">
              <w:rPr>
                <w:rFonts w:ascii="Times New Roman" w:eastAsia="Arial Unicode MS" w:hAnsi="Times New Roman"/>
                <w:color w:val="000000" w:themeColor="text1"/>
                <w:lang w:eastAsia="de-DE"/>
              </w:rPr>
              <w:t xml:space="preserve"> this Action supports its s</w:t>
            </w:r>
            <w:r w:rsidR="00FD2D2B" w:rsidRPr="0039427A">
              <w:rPr>
                <w:rFonts w:ascii="Times New Roman" w:eastAsia="Arial Unicode MS" w:hAnsi="Times New Roman"/>
                <w:color w:val="000000" w:themeColor="text1"/>
                <w:lang w:eastAsia="de-DE"/>
              </w:rPr>
              <w:t>trategic purpose related to the rule of law and the necessity to eliminate the state capture perception</w:t>
            </w:r>
            <w:r w:rsidR="00FF0141" w:rsidRPr="0039427A">
              <w:rPr>
                <w:rFonts w:ascii="Times New Roman" w:eastAsia="Arial Unicode MS" w:hAnsi="Times New Roman"/>
                <w:color w:val="000000" w:themeColor="text1"/>
                <w:lang w:eastAsia="de-DE"/>
              </w:rPr>
              <w:t xml:space="preserve"> The Action is also in line with the objective of the Communication which considers that the independence, quality and efficiency of judicial system must be ensured. The independence of the judiciary and of individual judges is essential to ensure fairness and to hold the executive and legislative branches of government to account. This is the precondition for any democratic society based on the rule of law and for its economic development.</w:t>
            </w:r>
            <w:r w:rsidR="00A40EC1" w:rsidRPr="0039427A">
              <w:rPr>
                <w:rFonts w:ascii="Times New Roman" w:eastAsia="Arial Unicode MS" w:hAnsi="Times New Roman"/>
                <w:color w:val="000000" w:themeColor="text1"/>
                <w:lang w:eastAsia="de-DE"/>
              </w:rPr>
              <w:t xml:space="preserve"> </w:t>
            </w:r>
            <w:r w:rsidR="00335A5E" w:rsidRPr="0039427A">
              <w:rPr>
                <w:rFonts w:ascii="Times New Roman" w:eastAsia="Arial Unicode MS" w:hAnsi="Times New Roman"/>
                <w:color w:val="000000" w:themeColor="text1"/>
                <w:lang w:eastAsia="de-DE"/>
              </w:rPr>
              <w:t xml:space="preserve">As concern corruption, this Action supports </w:t>
            </w:r>
            <w:r w:rsidR="003C10F1" w:rsidRPr="0039427A">
              <w:rPr>
                <w:rFonts w:ascii="Times New Roman" w:eastAsia="Arial Unicode MS" w:hAnsi="Times New Roman"/>
                <w:color w:val="000000" w:themeColor="text1"/>
                <w:lang w:eastAsia="de-DE"/>
              </w:rPr>
              <w:t xml:space="preserve">as well </w:t>
            </w:r>
            <w:r w:rsidR="00335A5E" w:rsidRPr="0039427A">
              <w:rPr>
                <w:rFonts w:ascii="Times New Roman" w:eastAsia="Arial Unicode MS" w:hAnsi="Times New Roman"/>
                <w:color w:val="000000" w:themeColor="text1"/>
                <w:lang w:eastAsia="de-DE"/>
              </w:rPr>
              <w:t>its strategic purpose related to root out corruption and support the existence of strong and independent institutions to prevent and tackle corruption. As well, the action will contribute to the establishment of a concrete and sustained track record in tackling corruption.</w:t>
            </w:r>
          </w:p>
          <w:p w:rsidR="00391215" w:rsidRPr="0039427A" w:rsidRDefault="00C10BA0" w:rsidP="00091409">
            <w:pPr>
              <w:spacing w:before="120" w:after="120" w:line="240" w:lineRule="auto"/>
              <w:jc w:val="both"/>
              <w:rPr>
                <w:rFonts w:ascii="Times New Roman" w:hAnsi="Times New Roman"/>
                <w:color w:val="000000" w:themeColor="text1"/>
              </w:rPr>
            </w:pPr>
            <w:r w:rsidRPr="0039427A">
              <w:rPr>
                <w:rFonts w:ascii="Times New Roman" w:eastAsia="Arial Unicode MS" w:hAnsi="Times New Roman"/>
                <w:color w:val="000000" w:themeColor="text1"/>
                <w:lang w:eastAsia="de-DE"/>
              </w:rPr>
              <w:t>Furthermore, t</w:t>
            </w:r>
            <w:r w:rsidR="004110B4" w:rsidRPr="0039427A">
              <w:rPr>
                <w:rFonts w:ascii="Times New Roman" w:eastAsia="Arial Unicode MS" w:hAnsi="Times New Roman"/>
                <w:color w:val="000000" w:themeColor="text1"/>
                <w:lang w:eastAsia="de-DE"/>
              </w:rPr>
              <w:t xml:space="preserve">his Action will contribute towards the implementation of the </w:t>
            </w:r>
            <w:r w:rsidR="004110B4" w:rsidRPr="0039427A">
              <w:rPr>
                <w:rFonts w:ascii="Times New Roman" w:eastAsia="Arial Unicode MS" w:hAnsi="Times New Roman"/>
                <w:b/>
                <w:color w:val="000000" w:themeColor="text1"/>
                <w:lang w:eastAsia="de-DE"/>
              </w:rPr>
              <w:t>Stabilisati</w:t>
            </w:r>
            <w:r w:rsidR="000921EA" w:rsidRPr="0039427A">
              <w:rPr>
                <w:rFonts w:ascii="Times New Roman" w:eastAsia="Arial Unicode MS" w:hAnsi="Times New Roman"/>
                <w:b/>
                <w:color w:val="000000" w:themeColor="text1"/>
                <w:lang w:eastAsia="de-DE"/>
              </w:rPr>
              <w:t>on and Association Agreement (SA</w:t>
            </w:r>
            <w:r w:rsidR="004110B4" w:rsidRPr="0039427A">
              <w:rPr>
                <w:rFonts w:ascii="Times New Roman" w:eastAsia="Arial Unicode MS" w:hAnsi="Times New Roman"/>
                <w:b/>
                <w:color w:val="000000" w:themeColor="text1"/>
                <w:lang w:eastAsia="de-DE"/>
              </w:rPr>
              <w:t xml:space="preserve">A) </w:t>
            </w:r>
            <w:r w:rsidR="004110B4" w:rsidRPr="0039427A">
              <w:rPr>
                <w:rFonts w:ascii="Times New Roman" w:eastAsia="Arial Unicode MS" w:hAnsi="Times New Roman"/>
                <w:color w:val="000000" w:themeColor="text1"/>
                <w:lang w:eastAsia="de-DE"/>
              </w:rPr>
              <w:t xml:space="preserve">regarding the statements stipulated in </w:t>
            </w:r>
            <w:r w:rsidR="00091409" w:rsidRPr="0039427A">
              <w:rPr>
                <w:rFonts w:ascii="Times New Roman" w:eastAsia="Arial Unicode MS" w:hAnsi="Times New Roman"/>
                <w:color w:val="000000" w:themeColor="text1"/>
                <w:lang w:eastAsia="de-DE"/>
              </w:rPr>
              <w:t xml:space="preserve">article </w:t>
            </w:r>
            <w:r w:rsidR="00137F72" w:rsidRPr="0039427A">
              <w:rPr>
                <w:rFonts w:ascii="Times New Roman" w:eastAsia="Arial Unicode MS" w:hAnsi="Times New Roman"/>
                <w:color w:val="000000" w:themeColor="text1"/>
                <w:lang w:eastAsia="de-DE"/>
              </w:rPr>
              <w:t xml:space="preserve">74 and 78 </w:t>
            </w:r>
            <w:r w:rsidR="00347934" w:rsidRPr="0039427A">
              <w:rPr>
                <w:rFonts w:ascii="Times New Roman" w:eastAsia="Arial Unicode MS" w:hAnsi="Times New Roman"/>
                <w:color w:val="000000" w:themeColor="text1"/>
                <w:lang w:eastAsia="de-DE"/>
              </w:rPr>
              <w:t>concerning the reinforcement of institutions and rule o</w:t>
            </w:r>
            <w:r w:rsidR="000921EA" w:rsidRPr="0039427A">
              <w:rPr>
                <w:rFonts w:ascii="Times New Roman" w:eastAsia="Arial Unicode MS" w:hAnsi="Times New Roman"/>
                <w:color w:val="000000" w:themeColor="text1"/>
                <w:lang w:eastAsia="de-DE"/>
              </w:rPr>
              <w:t>f law</w:t>
            </w:r>
            <w:r w:rsidR="00137F72" w:rsidRPr="0039427A">
              <w:rPr>
                <w:rFonts w:ascii="Times New Roman" w:eastAsia="Arial Unicode MS" w:hAnsi="Times New Roman"/>
                <w:color w:val="000000" w:themeColor="text1"/>
                <w:lang w:eastAsia="de-DE"/>
              </w:rPr>
              <w:t xml:space="preserve"> and the prevention and the combat of crime and other illegal activities, including corruption and illegal economic activities.</w:t>
            </w:r>
            <w:r w:rsidR="000921EA" w:rsidRPr="0039427A">
              <w:rPr>
                <w:rFonts w:ascii="Times New Roman" w:eastAsia="Arial Unicode MS" w:hAnsi="Times New Roman"/>
                <w:color w:val="000000" w:themeColor="text1"/>
                <w:lang w:eastAsia="de-DE"/>
              </w:rPr>
              <w:t xml:space="preserve"> In accordance with the SA</w:t>
            </w:r>
            <w:r w:rsidR="00347934" w:rsidRPr="0039427A">
              <w:rPr>
                <w:rFonts w:ascii="Times New Roman" w:eastAsia="Arial Unicode MS" w:hAnsi="Times New Roman"/>
                <w:color w:val="000000" w:themeColor="text1"/>
                <w:lang w:eastAsia="de-DE"/>
              </w:rPr>
              <w:t xml:space="preserve">A, the cooperation in the field of justice will focus in particular on the independence of the judiciary, the improvement of its effectiveness and training of the legal </w:t>
            </w:r>
            <w:r w:rsidR="00A40EC1" w:rsidRPr="0039427A">
              <w:rPr>
                <w:rFonts w:ascii="Times New Roman" w:eastAsia="Arial Unicode MS" w:hAnsi="Times New Roman"/>
                <w:color w:val="000000" w:themeColor="text1"/>
                <w:lang w:eastAsia="de-DE"/>
              </w:rPr>
              <w:t>professions. Additionally</w:t>
            </w:r>
            <w:r w:rsidR="00091409" w:rsidRPr="0039427A">
              <w:rPr>
                <w:rFonts w:ascii="Times New Roman" w:eastAsia="Arial Unicode MS" w:hAnsi="Times New Roman"/>
                <w:color w:val="000000" w:themeColor="text1"/>
                <w:lang w:eastAsia="de-DE"/>
              </w:rPr>
              <w:t xml:space="preserve">, the </w:t>
            </w:r>
            <w:r w:rsidR="003C1430" w:rsidRPr="0039427A">
              <w:rPr>
                <w:rFonts w:ascii="Times New Roman" w:hAnsi="Times New Roman"/>
                <w:color w:val="000000" w:themeColor="text1"/>
              </w:rPr>
              <w:t xml:space="preserve">action is also in line with </w:t>
            </w:r>
            <w:r w:rsidR="00A40EC1" w:rsidRPr="0039427A">
              <w:rPr>
                <w:rFonts w:ascii="Times New Roman" w:hAnsi="Times New Roman"/>
                <w:color w:val="000000" w:themeColor="text1"/>
              </w:rPr>
              <w:t>some recommendations</w:t>
            </w:r>
            <w:r w:rsidR="005F732A" w:rsidRPr="0039427A">
              <w:rPr>
                <w:rFonts w:ascii="Times New Roman" w:hAnsi="Times New Roman"/>
                <w:color w:val="000000" w:themeColor="text1"/>
              </w:rPr>
              <w:t xml:space="preserve"> of the </w:t>
            </w:r>
            <w:r w:rsidR="00391215" w:rsidRPr="0039427A">
              <w:rPr>
                <w:rFonts w:ascii="Times New Roman" w:hAnsi="Times New Roman"/>
                <w:color w:val="000000" w:themeColor="text1"/>
              </w:rPr>
              <w:t xml:space="preserve">Conclusions of the </w:t>
            </w:r>
            <w:r w:rsidR="00391215" w:rsidRPr="0039427A">
              <w:rPr>
                <w:rFonts w:ascii="Times New Roman" w:hAnsi="Times New Roman"/>
                <w:b/>
                <w:color w:val="000000" w:themeColor="text1"/>
              </w:rPr>
              <w:t>14</w:t>
            </w:r>
            <w:r w:rsidR="00391215" w:rsidRPr="0039427A">
              <w:rPr>
                <w:rFonts w:ascii="Times New Roman" w:hAnsi="Times New Roman"/>
                <w:b/>
                <w:color w:val="000000" w:themeColor="text1"/>
                <w:vertAlign w:val="superscript"/>
              </w:rPr>
              <w:t>th</w:t>
            </w:r>
            <w:r w:rsidR="00391215" w:rsidRPr="0039427A">
              <w:rPr>
                <w:rFonts w:ascii="Times New Roman" w:hAnsi="Times New Roman"/>
                <w:b/>
                <w:color w:val="000000" w:themeColor="text1"/>
              </w:rPr>
              <w:t xml:space="preserve"> meeting of the Subcommittee on Justice and Home Affairs</w:t>
            </w:r>
            <w:r w:rsidR="00550DA9" w:rsidRPr="0039427A">
              <w:rPr>
                <w:rFonts w:ascii="Times New Roman" w:hAnsi="Times New Roman"/>
                <w:color w:val="000000" w:themeColor="text1"/>
              </w:rPr>
              <w:t xml:space="preserve"> of the </w:t>
            </w:r>
            <w:r w:rsidR="0059098D" w:rsidRPr="0039427A">
              <w:rPr>
                <w:rFonts w:ascii="Times New Roman" w:hAnsi="Times New Roman"/>
                <w:b/>
                <w:color w:val="000000" w:themeColor="text1"/>
              </w:rPr>
              <w:t>Stabilisation and Association Agreement (SAA),</w:t>
            </w:r>
            <w:r w:rsidR="0059098D" w:rsidRPr="0039427A">
              <w:rPr>
                <w:rFonts w:ascii="Times New Roman" w:hAnsi="Times New Roman"/>
                <w:color w:val="000000" w:themeColor="text1"/>
              </w:rPr>
              <w:t xml:space="preserve"> held in November 2019, </w:t>
            </w:r>
            <w:r w:rsidR="005F732A" w:rsidRPr="0039427A">
              <w:rPr>
                <w:rFonts w:ascii="Times New Roman" w:hAnsi="Times New Roman"/>
                <w:color w:val="000000" w:themeColor="text1"/>
              </w:rPr>
              <w:t xml:space="preserve">related with the </w:t>
            </w:r>
            <w:r w:rsidR="00E60507" w:rsidRPr="0039427A">
              <w:rPr>
                <w:rFonts w:ascii="Times New Roman" w:hAnsi="Times New Roman"/>
                <w:color w:val="000000" w:themeColor="text1"/>
              </w:rPr>
              <w:t>Judicial reforms</w:t>
            </w:r>
            <w:r w:rsidR="00DF465F" w:rsidRPr="0039427A">
              <w:rPr>
                <w:rFonts w:ascii="Times New Roman" w:hAnsi="Times New Roman"/>
                <w:color w:val="000000" w:themeColor="text1"/>
              </w:rPr>
              <w:t xml:space="preserve"> and Anti-Corruption Policy</w:t>
            </w:r>
            <w:r w:rsidR="00E60507" w:rsidRPr="0039427A">
              <w:rPr>
                <w:rFonts w:ascii="Times New Roman" w:hAnsi="Times New Roman"/>
                <w:color w:val="000000" w:themeColor="text1"/>
              </w:rPr>
              <w:t>:</w:t>
            </w:r>
          </w:p>
          <w:p w:rsidR="00E60507" w:rsidRPr="0039427A" w:rsidRDefault="00E60507" w:rsidP="005F732A">
            <w:pPr>
              <w:pStyle w:val="ListParagraph"/>
              <w:numPr>
                <w:ilvl w:val="0"/>
                <w:numId w:val="11"/>
              </w:numPr>
              <w:spacing w:after="120" w:line="240" w:lineRule="auto"/>
              <w:jc w:val="both"/>
              <w:rPr>
                <w:rFonts w:ascii="Times New Roman" w:hAnsi="Times New Roman"/>
                <w:color w:val="000000" w:themeColor="text1"/>
              </w:rPr>
            </w:pPr>
            <w:r w:rsidRPr="0039427A">
              <w:rPr>
                <w:rFonts w:ascii="Times New Roman" w:hAnsi="Times New Roman"/>
                <w:color w:val="000000" w:themeColor="text1"/>
              </w:rPr>
              <w:t>Finalise inspections of the use of ACCMIS in all courts and communicate the results to the public.</w:t>
            </w:r>
          </w:p>
          <w:p w:rsidR="00187C85" w:rsidRPr="0039427A" w:rsidRDefault="00E60507" w:rsidP="00E60507">
            <w:pPr>
              <w:pStyle w:val="ListParagraph"/>
              <w:numPr>
                <w:ilvl w:val="0"/>
                <w:numId w:val="11"/>
              </w:numPr>
              <w:spacing w:after="120" w:line="240" w:lineRule="auto"/>
              <w:jc w:val="both"/>
              <w:rPr>
                <w:rFonts w:ascii="Times New Roman" w:hAnsi="Times New Roman"/>
                <w:color w:val="000000" w:themeColor="text1"/>
              </w:rPr>
            </w:pPr>
            <w:r w:rsidRPr="0039427A">
              <w:rPr>
                <w:rFonts w:ascii="Times New Roman" w:hAnsi="Times New Roman"/>
                <w:color w:val="000000" w:themeColor="text1"/>
              </w:rPr>
              <w:t>Adopt the draft law on court case management.</w:t>
            </w:r>
          </w:p>
          <w:p w:rsidR="00DF465F" w:rsidRPr="0039427A" w:rsidRDefault="00DF465F" w:rsidP="00DF465F">
            <w:pPr>
              <w:pStyle w:val="ListParagraph"/>
              <w:numPr>
                <w:ilvl w:val="0"/>
                <w:numId w:val="11"/>
              </w:numPr>
              <w:spacing w:after="120" w:line="240" w:lineRule="auto"/>
              <w:jc w:val="both"/>
              <w:rPr>
                <w:rFonts w:ascii="Times New Roman" w:hAnsi="Times New Roman"/>
                <w:color w:val="000000" w:themeColor="text1"/>
              </w:rPr>
            </w:pPr>
            <w:r w:rsidRPr="0039427A">
              <w:rPr>
                <w:rFonts w:ascii="Times New Roman" w:hAnsi="Times New Roman"/>
                <w:color w:val="000000" w:themeColor="text1"/>
              </w:rPr>
              <w:t>Provide full support to the SCPC in performing its tasks and ensure that SCPC has set up its priorities, and has all necessary resources –human, financial, material- to implement its mandate;</w:t>
            </w:r>
          </w:p>
          <w:p w:rsidR="00DF465F" w:rsidRPr="0039427A" w:rsidRDefault="00DF465F" w:rsidP="00DF465F">
            <w:pPr>
              <w:pStyle w:val="ListParagraph"/>
              <w:numPr>
                <w:ilvl w:val="0"/>
                <w:numId w:val="11"/>
              </w:numPr>
              <w:spacing w:after="120" w:line="240" w:lineRule="auto"/>
              <w:jc w:val="both"/>
              <w:rPr>
                <w:rFonts w:ascii="Times New Roman" w:hAnsi="Times New Roman"/>
                <w:color w:val="000000" w:themeColor="text1"/>
              </w:rPr>
            </w:pPr>
            <w:r w:rsidRPr="0039427A">
              <w:rPr>
                <w:rFonts w:ascii="Times New Roman" w:hAnsi="Times New Roman"/>
                <w:color w:val="000000" w:themeColor="text1"/>
              </w:rPr>
              <w:t>Ensure that all institutions respond, in accordance with the law and within legal deadlines, to the SCPC requests and implements its recommendations;</w:t>
            </w:r>
          </w:p>
          <w:p w:rsidR="00DF465F" w:rsidRPr="0039427A" w:rsidRDefault="00DF465F" w:rsidP="00DF465F">
            <w:pPr>
              <w:pStyle w:val="ListParagraph"/>
              <w:numPr>
                <w:ilvl w:val="0"/>
                <w:numId w:val="11"/>
              </w:numPr>
              <w:spacing w:after="120" w:line="240" w:lineRule="auto"/>
              <w:jc w:val="both"/>
              <w:rPr>
                <w:rFonts w:ascii="Times New Roman" w:hAnsi="Times New Roman"/>
                <w:color w:val="000000" w:themeColor="text1"/>
              </w:rPr>
            </w:pPr>
            <w:r w:rsidRPr="0039427A">
              <w:rPr>
                <w:rFonts w:ascii="Times New Roman" w:hAnsi="Times New Roman"/>
                <w:color w:val="000000" w:themeColor="text1"/>
              </w:rPr>
              <w:t>Investigate and ensure systematic and credible follow up to all allegations of nepotism.</w:t>
            </w:r>
          </w:p>
        </w:tc>
      </w:tr>
      <w:tr w:rsidR="00D92F6C" w:rsidRPr="00E82A5D" w:rsidTr="00476031">
        <w:trPr>
          <w:jc w:val="center"/>
        </w:trPr>
        <w:tc>
          <w:tcPr>
            <w:tcW w:w="534" w:type="dxa"/>
            <w:vMerge/>
            <w:tcBorders>
              <w:left w:val="single" w:sz="4" w:space="0" w:color="auto"/>
              <w:right w:val="single" w:sz="4" w:space="0" w:color="auto"/>
            </w:tcBorders>
          </w:tcPr>
          <w:p w:rsidR="00D92F6C" w:rsidRPr="00E82A5D" w:rsidRDefault="00D92F6C" w:rsidP="00476031">
            <w:pPr>
              <w:spacing w:after="0"/>
              <w:rPr>
                <w:rFonts w:ascii="Times New Roman" w:hAnsi="Times New Roman"/>
                <w:color w:val="000000" w:themeColor="text1"/>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92F6C" w:rsidRPr="00E82A5D" w:rsidRDefault="00D92F6C" w:rsidP="00476031">
            <w:pPr>
              <w:spacing w:after="0"/>
              <w:rPr>
                <w:rFonts w:ascii="Times New Roman" w:hAnsi="Times New Roman"/>
                <w:color w:val="000000" w:themeColor="text1"/>
              </w:rPr>
            </w:pPr>
            <w:r w:rsidRPr="00E82A5D">
              <w:rPr>
                <w:rFonts w:ascii="Times New Roman" w:hAnsi="Times New Roman"/>
                <w:color w:val="000000" w:themeColor="text1"/>
              </w:rPr>
              <w:t>Links with national, regional and global strategies</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793149" w:rsidRPr="00E82A5D" w:rsidRDefault="00035874" w:rsidP="00476031">
            <w:pPr>
              <w:spacing w:after="120" w:line="240" w:lineRule="auto"/>
              <w:jc w:val="both"/>
              <w:rPr>
                <w:rFonts w:ascii="Times New Roman" w:eastAsia="Arial Unicode MS" w:hAnsi="Times New Roman"/>
                <w:color w:val="000000" w:themeColor="text1"/>
                <w:lang w:eastAsia="de-DE"/>
              </w:rPr>
            </w:pPr>
            <w:r w:rsidRPr="00E82A5D">
              <w:rPr>
                <w:rFonts w:ascii="Times New Roman" w:eastAsia="Arial Unicode MS" w:hAnsi="Times New Roman"/>
                <w:color w:val="000000" w:themeColor="text1"/>
                <w:lang w:eastAsia="de-DE"/>
              </w:rPr>
              <w:t xml:space="preserve">The proposed Action is in line with </w:t>
            </w:r>
            <w:r w:rsidR="00793149" w:rsidRPr="00E82A5D">
              <w:rPr>
                <w:rFonts w:ascii="Times New Roman" w:eastAsia="Arial Unicode MS" w:hAnsi="Times New Roman"/>
                <w:color w:val="000000" w:themeColor="text1"/>
                <w:lang w:eastAsia="de-DE"/>
              </w:rPr>
              <w:t xml:space="preserve">national, regional and global strategies in the field of </w:t>
            </w:r>
            <w:r w:rsidR="00E60507" w:rsidRPr="00E82A5D">
              <w:rPr>
                <w:rFonts w:ascii="Times New Roman" w:eastAsia="Arial Unicode MS" w:hAnsi="Times New Roman"/>
                <w:color w:val="000000" w:themeColor="text1"/>
                <w:lang w:eastAsia="de-DE"/>
              </w:rPr>
              <w:t>judiciary</w:t>
            </w:r>
            <w:r w:rsidR="00DF465F" w:rsidRPr="00E82A5D">
              <w:rPr>
                <w:rFonts w:ascii="Times New Roman" w:eastAsia="Arial Unicode MS" w:hAnsi="Times New Roman"/>
                <w:color w:val="000000" w:themeColor="text1"/>
                <w:lang w:eastAsia="de-DE"/>
              </w:rPr>
              <w:t xml:space="preserve"> and fight against corruption and will support the implementation of the following strategies:</w:t>
            </w:r>
          </w:p>
          <w:p w:rsidR="005A6D50" w:rsidRPr="00A40EC1" w:rsidRDefault="00577A6A" w:rsidP="00DF465F">
            <w:pPr>
              <w:autoSpaceDE w:val="0"/>
              <w:autoSpaceDN w:val="0"/>
              <w:adjustRightInd w:val="0"/>
              <w:spacing w:before="120" w:after="0" w:line="240" w:lineRule="auto"/>
              <w:jc w:val="both"/>
              <w:rPr>
                <w:rFonts w:ascii="Times New Roman" w:hAnsi="Times New Roman"/>
                <w:color w:val="000000" w:themeColor="text1"/>
                <w:lang w:eastAsia="en-US"/>
              </w:rPr>
            </w:pPr>
            <w:r w:rsidRPr="00E82A5D">
              <w:rPr>
                <w:rFonts w:ascii="Times New Roman" w:eastAsia="Arial Unicode MS" w:hAnsi="Times New Roman"/>
                <w:color w:val="000000" w:themeColor="text1"/>
                <w:lang w:eastAsia="de-DE"/>
              </w:rPr>
              <w:t xml:space="preserve">The Action will support the implementation of the </w:t>
            </w:r>
            <w:r w:rsidR="00B50A1C" w:rsidRPr="00E82A5D">
              <w:rPr>
                <w:rFonts w:ascii="Times New Roman" w:eastAsia="Arial Unicode MS" w:hAnsi="Times New Roman"/>
                <w:b/>
                <w:color w:val="000000" w:themeColor="text1"/>
                <w:lang w:eastAsia="de-DE"/>
              </w:rPr>
              <w:t>Strategy for Reform of the Judicial Sector 2017-2022,</w:t>
            </w:r>
            <w:r w:rsidRPr="00E82A5D">
              <w:rPr>
                <w:rFonts w:ascii="Times New Roman" w:eastAsia="Arial Unicode MS" w:hAnsi="Times New Roman"/>
                <w:color w:val="000000" w:themeColor="text1"/>
                <w:lang w:eastAsia="de-DE"/>
              </w:rPr>
              <w:t xml:space="preserve"> which was prepared </w:t>
            </w:r>
            <w:r w:rsidR="00B50A1C" w:rsidRPr="00E82A5D">
              <w:rPr>
                <w:rFonts w:ascii="Times New Roman" w:eastAsia="Arial Unicode MS" w:hAnsi="Times New Roman"/>
                <w:color w:val="000000" w:themeColor="text1"/>
                <w:lang w:eastAsia="de-DE"/>
              </w:rPr>
              <w:t xml:space="preserve">through a participatory process and with involvement of all relevant stakeholders, including the civil society organisations and international donors. The Strategy reflects the needs of the country and the recommendations and conclusions of the key partners including the European Commission, the European Parliament, the Council of Europe, the Venice Commission and the Senior Experts’ Group on systemic Rule of Law issues. </w:t>
            </w:r>
            <w:r w:rsidR="002669CC" w:rsidRPr="00E82A5D">
              <w:rPr>
                <w:rFonts w:ascii="Times New Roman" w:eastAsia="Arial Unicode MS" w:hAnsi="Times New Roman"/>
                <w:color w:val="000000" w:themeColor="text1"/>
                <w:lang w:eastAsia="de-DE"/>
              </w:rPr>
              <w:t>The Strategy establishes a set relevant objectives as follows</w:t>
            </w:r>
            <w:r w:rsidR="00B50A1C" w:rsidRPr="00E82A5D">
              <w:rPr>
                <w:rFonts w:ascii="Times New Roman" w:eastAsia="Arial Unicode MS" w:hAnsi="Times New Roman"/>
                <w:color w:val="000000" w:themeColor="text1"/>
                <w:lang w:eastAsia="de-DE"/>
              </w:rPr>
              <w:t>:-</w:t>
            </w:r>
            <w:r w:rsidR="00B50A1C" w:rsidRPr="00E82A5D">
              <w:rPr>
                <w:rFonts w:ascii="Times New Roman" w:hAnsi="Times New Roman"/>
                <w:color w:val="000000" w:themeColor="text1"/>
                <w:lang w:eastAsia="en-US"/>
              </w:rPr>
              <w:t>Independence and impartially / Guarantee independence and impartiality in the work of the judiciary and the public prosecutor’s office; -Quality / Provide safeguards for greater uniformity of jurisprudence case law and clarity and predictability of court judgements for greater legal certainty of citizens; -Liability / Guarantee a proper balance between liability and independence of judges and prosecutors and all stakeholders in the judicial system; -Efficiency / Improve judicial efficiency in line with the indicators defined in EU Justice Scoreboard, CEPEJ and other international standards; -Transparency /  Ensure more and better transparency through the access to timely and reliable information on decisions and performance of the judiciary system, accessible to the public in general; -Access to justice / Improve the effective, efficient and sustainable access to justice mechanism, formal or informal, in line with the European and human rights standards.</w:t>
            </w:r>
          </w:p>
          <w:p w:rsidR="00DF465F" w:rsidRPr="00E82A5D" w:rsidRDefault="00DF465F" w:rsidP="00DF465F">
            <w:pPr>
              <w:spacing w:before="120" w:after="0" w:line="240" w:lineRule="auto"/>
              <w:jc w:val="both"/>
              <w:rPr>
                <w:rFonts w:ascii="Times New Roman" w:eastAsia="Arial Unicode MS" w:hAnsi="Times New Roman"/>
                <w:color w:val="000000" w:themeColor="text1"/>
                <w:lang w:eastAsia="de-DE"/>
              </w:rPr>
            </w:pPr>
            <w:r w:rsidRPr="00E82A5D">
              <w:rPr>
                <w:rFonts w:ascii="Times New Roman" w:eastAsia="Arial Unicode MS" w:hAnsi="Times New Roman"/>
                <w:color w:val="000000" w:themeColor="text1"/>
                <w:lang w:eastAsia="de-DE"/>
              </w:rPr>
              <w:t>The</w:t>
            </w:r>
            <w:r w:rsidR="00A40EC1">
              <w:rPr>
                <w:rFonts w:ascii="Times New Roman" w:eastAsia="Arial Unicode MS" w:hAnsi="Times New Roman"/>
                <w:color w:val="000000" w:themeColor="text1"/>
                <w:lang w:eastAsia="de-DE"/>
              </w:rPr>
              <w:t xml:space="preserve"> </w:t>
            </w:r>
            <w:r w:rsidRPr="00E82A5D">
              <w:rPr>
                <w:rFonts w:ascii="Times New Roman" w:eastAsia="Arial Unicode MS" w:hAnsi="Times New Roman"/>
                <w:b/>
                <w:color w:val="000000" w:themeColor="text1"/>
                <w:lang w:eastAsia="de-DE"/>
              </w:rPr>
              <w:t>National Strategy for Prevention of Corruption and Conflict of Interest and Action Plan for 2020-2024</w:t>
            </w:r>
            <w:r w:rsidR="00EB6C3C" w:rsidRPr="00E82A5D">
              <w:rPr>
                <w:rFonts w:ascii="Times New Roman" w:eastAsia="Arial Unicode MS" w:hAnsi="Times New Roman"/>
                <w:color w:val="000000" w:themeColor="text1"/>
                <w:lang w:eastAsia="de-DE"/>
              </w:rPr>
              <w:t>(still to be adopted)</w:t>
            </w:r>
            <w:r w:rsidRPr="00E82A5D">
              <w:rPr>
                <w:rFonts w:ascii="Times New Roman" w:eastAsia="Arial Unicode MS" w:hAnsi="Times New Roman"/>
                <w:color w:val="000000" w:themeColor="text1"/>
                <w:lang w:eastAsia="de-DE"/>
              </w:rPr>
              <w:t xml:space="preserve">, which was prepared in a participatory approach, adopted by the SCPC </w:t>
            </w:r>
            <w:r w:rsidR="001A3642" w:rsidRPr="00E82A5D">
              <w:rPr>
                <w:rFonts w:ascii="Times New Roman" w:eastAsia="Arial Unicode MS" w:hAnsi="Times New Roman"/>
                <w:color w:val="000000" w:themeColor="text1"/>
                <w:lang w:eastAsia="de-DE"/>
              </w:rPr>
              <w:t xml:space="preserve">at the beginning of 2020 </w:t>
            </w:r>
            <w:r w:rsidRPr="00E82A5D">
              <w:rPr>
                <w:rFonts w:ascii="Times New Roman" w:eastAsia="Arial Unicode MS" w:hAnsi="Times New Roman"/>
                <w:color w:val="000000" w:themeColor="text1"/>
                <w:lang w:eastAsia="de-DE"/>
              </w:rPr>
              <w:t>and that should be approved by the new Parliament after the 2020 general elections. The Strategy establishes a set relevant objectives as follows: -increasing the level of political responsibility; -conscious management of political influence in the public sector and prevention of political influence in the work of independent bodies and in the procedures regulated by law; -strengthening the integrity and accountability in the public sector; -implementing the competencies in the public sector in a legal, transparent, ethical, economical, responsible and effective manner; -ensuring the integrity and transparency of employment and human resources policies in the public sector, based on a system of values and quality criteria; -strengthening the supervisory and control mechanisms; -digitization in all sectors of public services; -reduction of corruption in public procurement and in the process of granting grants, subsidies and other state aid; -strengthening the capacities and commitment of the law enforcement bodies, the prosecution and the judiciary in detecting and sanctioning corruption, as well as strengthening the resistance to corruption in their ranks; -supporting transparency and integrity in the private sector; -raising public awareness and conducting anti-corruption education and; -involve civil society and the media in the fight against corruption in society and build personal and professional integrity, including within them.</w:t>
            </w:r>
          </w:p>
          <w:p w:rsidR="00DF465F" w:rsidRPr="00E82A5D" w:rsidRDefault="00DF465F" w:rsidP="00DF465F">
            <w:pPr>
              <w:spacing w:before="120" w:after="0" w:line="240" w:lineRule="auto"/>
              <w:jc w:val="both"/>
              <w:rPr>
                <w:rFonts w:ascii="Times New Roman" w:eastAsia="Arial Unicode MS" w:hAnsi="Times New Roman"/>
                <w:color w:val="000000" w:themeColor="text1"/>
                <w:lang w:eastAsia="de-DE"/>
              </w:rPr>
            </w:pPr>
            <w:r w:rsidRPr="00E82A5D">
              <w:rPr>
                <w:rFonts w:ascii="Times New Roman" w:eastAsia="Arial Unicode MS" w:hAnsi="Times New Roman"/>
                <w:b/>
                <w:color w:val="000000" w:themeColor="text1"/>
                <w:lang w:eastAsia="de-DE"/>
              </w:rPr>
              <w:t xml:space="preserve">Public Administration Reform Strategy 2018-2022, </w:t>
            </w:r>
            <w:r w:rsidRPr="00E82A5D">
              <w:rPr>
                <w:rFonts w:ascii="Times New Roman" w:eastAsia="Arial Unicode MS" w:hAnsi="Times New Roman"/>
                <w:color w:val="000000" w:themeColor="text1"/>
                <w:lang w:eastAsia="de-DE"/>
              </w:rPr>
              <w:t>which priority areas are: policymaking and coordination; -public service and human resources management; -responsibility, accountability and transparency; and –public services and ICT support to administration. The Strategy establishes certain number of specific objectives related with the Action: -enhance integrity and ethics at political and professional level; -enhance transparency of institutions and communication improvement between institutions, citizens and the business community.</w:t>
            </w:r>
          </w:p>
          <w:p w:rsidR="00501C67" w:rsidRPr="00E82A5D" w:rsidRDefault="00FD23DA" w:rsidP="00501C67">
            <w:pPr>
              <w:spacing w:before="120" w:after="0" w:line="240" w:lineRule="auto"/>
              <w:jc w:val="both"/>
              <w:rPr>
                <w:rFonts w:ascii="Times New Roman" w:eastAsia="Arial Unicode MS" w:hAnsi="Times New Roman"/>
                <w:color w:val="000000" w:themeColor="text1"/>
                <w:lang w:eastAsia="de-DE"/>
              </w:rPr>
            </w:pPr>
            <w:r w:rsidRPr="00E82A5D">
              <w:rPr>
                <w:rFonts w:ascii="Times New Roman" w:eastAsia="Arial Unicode MS" w:hAnsi="Times New Roman"/>
                <w:color w:val="000000" w:themeColor="text1"/>
                <w:lang w:eastAsia="de-DE"/>
              </w:rPr>
              <w:t xml:space="preserve">With the Action, North Macedonia will contribute to achieving the recommendations of the </w:t>
            </w:r>
            <w:r w:rsidRPr="00E82A5D">
              <w:rPr>
                <w:rFonts w:ascii="Times New Roman" w:eastAsia="Arial Unicode MS" w:hAnsi="Times New Roman"/>
                <w:b/>
                <w:color w:val="000000" w:themeColor="text1"/>
                <w:lang w:eastAsia="de-DE"/>
              </w:rPr>
              <w:t>Venice Commission of the Council of Europe</w:t>
            </w:r>
            <w:r w:rsidRPr="00E82A5D">
              <w:rPr>
                <w:rFonts w:ascii="Times New Roman" w:eastAsia="Arial Unicode MS" w:hAnsi="Times New Roman"/>
                <w:color w:val="000000" w:themeColor="text1"/>
                <w:lang w:eastAsia="de-DE"/>
              </w:rPr>
              <w:t xml:space="preserve"> on draft legislation or legislation already in force</w:t>
            </w:r>
            <w:r w:rsidR="00CE6C02" w:rsidRPr="00E82A5D">
              <w:rPr>
                <w:rFonts w:ascii="Times New Roman" w:eastAsia="Arial Unicode MS" w:hAnsi="Times New Roman"/>
                <w:color w:val="000000" w:themeColor="text1"/>
                <w:lang w:eastAsia="de-DE"/>
              </w:rPr>
              <w:t xml:space="preserve"> in the judiciary sector, as well as of the Group of State against Corruption </w:t>
            </w:r>
            <w:r w:rsidR="00CE6C02" w:rsidRPr="00E82A5D">
              <w:rPr>
                <w:rFonts w:ascii="Times New Roman" w:eastAsia="Arial Unicode MS" w:hAnsi="Times New Roman"/>
                <w:b/>
                <w:color w:val="000000" w:themeColor="text1"/>
                <w:lang w:eastAsia="de-DE"/>
              </w:rPr>
              <w:t>(GRECO)</w:t>
            </w:r>
            <w:r w:rsidR="00CE6C02" w:rsidRPr="00E82A5D">
              <w:rPr>
                <w:rFonts w:ascii="Times New Roman" w:eastAsia="Arial Unicode MS" w:hAnsi="Times New Roman"/>
                <w:color w:val="000000" w:themeColor="text1"/>
                <w:lang w:eastAsia="de-DE"/>
              </w:rPr>
              <w:t xml:space="preserve"> of the Council of Europe related to the implementation of the legal framework against corruption.</w:t>
            </w:r>
          </w:p>
          <w:p w:rsidR="00501C67" w:rsidRPr="00E82A5D" w:rsidRDefault="00501C67" w:rsidP="00501C67">
            <w:pPr>
              <w:spacing w:before="120" w:after="0" w:line="240" w:lineRule="auto"/>
              <w:jc w:val="both"/>
              <w:rPr>
                <w:rFonts w:ascii="Times New Roman" w:eastAsia="Arial Unicode MS" w:hAnsi="Times New Roman"/>
                <w:color w:val="000000" w:themeColor="text1"/>
                <w:lang w:eastAsia="de-DE"/>
              </w:rPr>
            </w:pPr>
            <w:r w:rsidRPr="00E82A5D">
              <w:rPr>
                <w:rFonts w:ascii="Times New Roman" w:eastAsia="Arial Unicode MS" w:hAnsi="Times New Roman"/>
                <w:color w:val="000000" w:themeColor="text1"/>
                <w:lang w:eastAsia="de-DE"/>
              </w:rPr>
              <w:t xml:space="preserve">With the Action, North Macedonia, as a member of the </w:t>
            </w:r>
            <w:r w:rsidRPr="00E82A5D">
              <w:rPr>
                <w:rFonts w:ascii="Times New Roman" w:eastAsia="Arial Unicode MS" w:hAnsi="Times New Roman"/>
                <w:b/>
                <w:color w:val="000000" w:themeColor="text1"/>
                <w:lang w:eastAsia="de-DE"/>
              </w:rPr>
              <w:t xml:space="preserve">United Nations Convention against Corruption </w:t>
            </w:r>
            <w:r w:rsidRPr="00E82A5D">
              <w:rPr>
                <w:rFonts w:ascii="Times New Roman" w:eastAsia="Arial Unicode MS" w:hAnsi="Times New Roman"/>
                <w:color w:val="000000" w:themeColor="text1"/>
                <w:lang w:eastAsia="de-DE"/>
              </w:rPr>
              <w:t>will contribute to achieving the objectives of the convention related to prevention, investigation and prosecution of corruption established in accordance with the convention.</w:t>
            </w:r>
          </w:p>
          <w:p w:rsidR="00E11A2B" w:rsidRPr="00E82A5D" w:rsidRDefault="0013582C" w:rsidP="00501C67">
            <w:pPr>
              <w:spacing w:before="120" w:after="0" w:line="240" w:lineRule="auto"/>
              <w:jc w:val="both"/>
              <w:rPr>
                <w:rFonts w:ascii="Times New Roman" w:hAnsi="Times New Roman"/>
                <w:iCs/>
                <w:color w:val="000000" w:themeColor="text1"/>
              </w:rPr>
            </w:pPr>
            <w:r w:rsidRPr="00E82A5D">
              <w:rPr>
                <w:rFonts w:ascii="Times New Roman" w:hAnsi="Times New Roman"/>
                <w:color w:val="000000" w:themeColor="text1"/>
              </w:rPr>
              <w:t xml:space="preserve">The Action is contributing to the objectives of </w:t>
            </w:r>
            <w:r w:rsidRPr="00E82A5D">
              <w:rPr>
                <w:rFonts w:ascii="Times New Roman" w:hAnsi="Times New Roman"/>
                <w:b/>
                <w:bCs/>
                <w:color w:val="000000" w:themeColor="text1"/>
              </w:rPr>
              <w:t>United Nation’s 2030</w:t>
            </w:r>
            <w:r w:rsidRPr="00E82A5D">
              <w:rPr>
                <w:rFonts w:ascii="Times New Roman" w:hAnsi="Times New Roman"/>
                <w:b/>
                <w:color w:val="000000" w:themeColor="text1"/>
              </w:rPr>
              <w:t xml:space="preserve"> Agenda for Sustainable Development</w:t>
            </w:r>
            <w:r w:rsidRPr="00E82A5D">
              <w:rPr>
                <w:rFonts w:ascii="Times New Roman" w:hAnsi="Times New Roman"/>
                <w:color w:val="000000" w:themeColor="text1"/>
              </w:rPr>
              <w:t xml:space="preserve">; more specifically, the action contributes to thematic </w:t>
            </w:r>
            <w:r w:rsidRPr="00E82A5D">
              <w:rPr>
                <w:rFonts w:ascii="Times New Roman" w:hAnsi="Times New Roman"/>
                <w:iCs/>
                <w:color w:val="000000" w:themeColor="text1"/>
              </w:rPr>
              <w:t xml:space="preserve">priority </w:t>
            </w:r>
            <w:r w:rsidRPr="00E82A5D">
              <w:rPr>
                <w:rFonts w:ascii="Times New Roman" w:hAnsi="Times New Roman"/>
                <w:b/>
                <w:bCs/>
                <w:iCs/>
                <w:color w:val="000000" w:themeColor="text1"/>
              </w:rPr>
              <w:t>16. Peace, Justice and Strong Institutions.</w:t>
            </w:r>
            <w:r w:rsidR="00FD23DA" w:rsidRPr="00E82A5D">
              <w:rPr>
                <w:rFonts w:ascii="Times New Roman" w:hAnsi="Times New Roman"/>
                <w:iCs/>
                <w:color w:val="000000" w:themeColor="text1"/>
              </w:rPr>
              <w:t xml:space="preserve"> Within its strategic framework through the specific objectives and measures related to access to justice, constitutional justice, good governance, corruption, freedom of expression, etc.</w:t>
            </w:r>
          </w:p>
        </w:tc>
      </w:tr>
      <w:tr w:rsidR="00D92F6C" w:rsidRPr="00E82A5D" w:rsidTr="00476031">
        <w:trPr>
          <w:jc w:val="center"/>
        </w:trPr>
        <w:tc>
          <w:tcPr>
            <w:tcW w:w="534" w:type="dxa"/>
            <w:vMerge/>
            <w:tcBorders>
              <w:left w:val="single" w:sz="4" w:space="0" w:color="auto"/>
              <w:right w:val="single" w:sz="4" w:space="0" w:color="auto"/>
            </w:tcBorders>
          </w:tcPr>
          <w:p w:rsidR="00D92F6C" w:rsidRPr="00E82A5D" w:rsidRDefault="00D92F6C" w:rsidP="00476031">
            <w:pPr>
              <w:rPr>
                <w:rFonts w:ascii="Times New Roman" w:hAnsi="Times New Roman"/>
                <w:color w:val="000000" w:themeColor="text1"/>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92F6C" w:rsidRPr="00E82A5D" w:rsidRDefault="00D92F6C" w:rsidP="00476031">
            <w:pPr>
              <w:rPr>
                <w:rFonts w:ascii="Times New Roman" w:hAnsi="Times New Roman"/>
                <w:color w:val="000000" w:themeColor="text1"/>
              </w:rPr>
            </w:pPr>
            <w:r w:rsidRPr="00E82A5D">
              <w:rPr>
                <w:rFonts w:ascii="Times New Roman" w:hAnsi="Times New Roman"/>
                <w:color w:val="000000" w:themeColor="text1"/>
              </w:rPr>
              <w:t xml:space="preserve">Coherence </w:t>
            </w:r>
            <w:r w:rsidR="00E11A2B" w:rsidRPr="00E82A5D">
              <w:rPr>
                <w:rFonts w:ascii="Times New Roman" w:hAnsi="Times New Roman"/>
                <w:color w:val="000000" w:themeColor="text1"/>
              </w:rPr>
              <w:t>with the</w:t>
            </w:r>
            <w:r w:rsidRPr="00E82A5D">
              <w:rPr>
                <w:rFonts w:ascii="Times New Roman" w:hAnsi="Times New Roman"/>
                <w:color w:val="000000" w:themeColor="text1"/>
              </w:rPr>
              <w:t xml:space="preserve"> Sector Approach</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44068E" w:rsidRPr="00E82A5D" w:rsidRDefault="00E11A2B" w:rsidP="0044068E">
            <w:pPr>
              <w:spacing w:before="120" w:after="60" w:line="240" w:lineRule="auto"/>
              <w:jc w:val="both"/>
              <w:rPr>
                <w:rFonts w:ascii="Times New Roman" w:hAnsi="Times New Roman"/>
                <w:color w:val="000000" w:themeColor="text1"/>
              </w:rPr>
            </w:pPr>
            <w:r w:rsidRPr="00E82A5D">
              <w:rPr>
                <w:rFonts w:ascii="Times New Roman" w:hAnsi="Times New Roman"/>
                <w:color w:val="000000" w:themeColor="text1"/>
              </w:rPr>
              <w:t xml:space="preserve">The Action falls under </w:t>
            </w:r>
            <w:r w:rsidR="0008420D" w:rsidRPr="00E82A5D">
              <w:rPr>
                <w:rFonts w:ascii="Times New Roman" w:hAnsi="Times New Roman"/>
                <w:color w:val="000000" w:themeColor="text1"/>
              </w:rPr>
              <w:t xml:space="preserve">two </w:t>
            </w:r>
            <w:r w:rsidRPr="00E82A5D">
              <w:rPr>
                <w:rFonts w:ascii="Times New Roman" w:hAnsi="Times New Roman"/>
                <w:color w:val="000000" w:themeColor="text1"/>
              </w:rPr>
              <w:t>Sector</w:t>
            </w:r>
            <w:r w:rsidR="0008420D" w:rsidRPr="00E82A5D">
              <w:rPr>
                <w:rFonts w:ascii="Times New Roman" w:hAnsi="Times New Roman"/>
                <w:color w:val="000000" w:themeColor="text1"/>
              </w:rPr>
              <w:t>s</w:t>
            </w:r>
            <w:r w:rsidR="0008420D" w:rsidRPr="00E82A5D">
              <w:rPr>
                <w:rFonts w:ascii="Times New Roman" w:hAnsi="Times New Roman"/>
                <w:b/>
                <w:color w:val="000000" w:themeColor="text1"/>
              </w:rPr>
              <w:t>:</w:t>
            </w:r>
            <w:r w:rsidR="001114DA" w:rsidRPr="00E82A5D">
              <w:rPr>
                <w:rFonts w:ascii="Times New Roman" w:hAnsi="Times New Roman"/>
                <w:b/>
                <w:color w:val="000000" w:themeColor="text1"/>
              </w:rPr>
              <w:t xml:space="preserve"> </w:t>
            </w:r>
            <w:r w:rsidR="00845149" w:rsidRPr="00E82A5D">
              <w:rPr>
                <w:rFonts w:ascii="Times New Roman" w:hAnsi="Times New Roman"/>
                <w:b/>
                <w:color w:val="000000" w:themeColor="text1"/>
              </w:rPr>
              <w:t>Justice and Fundamental Rights</w:t>
            </w:r>
            <w:r w:rsidR="001114DA" w:rsidRPr="00E82A5D">
              <w:rPr>
                <w:rFonts w:ascii="Times New Roman" w:hAnsi="Times New Roman"/>
                <w:b/>
                <w:color w:val="000000" w:themeColor="text1"/>
              </w:rPr>
              <w:t xml:space="preserve"> </w:t>
            </w:r>
            <w:r w:rsidR="00EB6C3C" w:rsidRPr="00E82A5D">
              <w:rPr>
                <w:rFonts w:ascii="Times New Roman" w:hAnsi="Times New Roman"/>
                <w:color w:val="000000" w:themeColor="text1"/>
              </w:rPr>
              <w:t xml:space="preserve">and </w:t>
            </w:r>
            <w:r w:rsidR="00EB6C3C" w:rsidRPr="00E82A5D">
              <w:rPr>
                <w:rFonts w:ascii="Times New Roman" w:hAnsi="Times New Roman"/>
                <w:b/>
                <w:color w:val="000000" w:themeColor="text1"/>
              </w:rPr>
              <w:t>Home Affairs</w:t>
            </w:r>
            <w:r w:rsidR="0044068E" w:rsidRPr="00E82A5D">
              <w:rPr>
                <w:rFonts w:ascii="Times New Roman" w:hAnsi="Times New Roman"/>
                <w:b/>
                <w:color w:val="000000" w:themeColor="text1"/>
              </w:rPr>
              <w:t xml:space="preserve">, </w:t>
            </w:r>
            <w:r w:rsidR="00EB6C3C" w:rsidRPr="00E82A5D">
              <w:rPr>
                <w:rFonts w:ascii="Times New Roman" w:hAnsi="Times New Roman"/>
                <w:color w:val="000000" w:themeColor="text1"/>
              </w:rPr>
              <w:t>although some aspects correspond to the Public Administration Reform sub-sector</w:t>
            </w:r>
            <w:r w:rsidR="00202EE4" w:rsidRPr="00E82A5D">
              <w:rPr>
                <w:rFonts w:ascii="Times New Roman" w:hAnsi="Times New Roman"/>
                <w:color w:val="000000" w:themeColor="text1"/>
              </w:rPr>
              <w:t>. It</w:t>
            </w:r>
            <w:r w:rsidR="0044068E" w:rsidRPr="00E82A5D">
              <w:rPr>
                <w:rFonts w:ascii="Times New Roman" w:hAnsi="Times New Roman"/>
                <w:color w:val="000000" w:themeColor="text1"/>
              </w:rPr>
              <w:t xml:space="preserve"> benefits of </w:t>
            </w:r>
            <w:r w:rsidR="0044068E" w:rsidRPr="00E82A5D">
              <w:rPr>
                <w:rFonts w:ascii="Times New Roman" w:hAnsi="Times New Roman"/>
                <w:b/>
                <w:color w:val="000000" w:themeColor="text1"/>
              </w:rPr>
              <w:t>well-established strategic framework</w:t>
            </w:r>
            <w:r w:rsidR="0044068E" w:rsidRPr="00E82A5D">
              <w:rPr>
                <w:rFonts w:ascii="Times New Roman" w:hAnsi="Times New Roman"/>
                <w:color w:val="000000" w:themeColor="text1"/>
              </w:rPr>
              <w:t xml:space="preserve"> based on</w:t>
            </w:r>
            <w:r w:rsidR="0044068E" w:rsidRPr="00E82A5D">
              <w:rPr>
                <w:rFonts w:ascii="Times New Roman" w:hAnsi="Times New Roman"/>
                <w:color w:val="000000" w:themeColor="text1"/>
                <w:lang w:bidi="mn-Mong-CN"/>
              </w:rPr>
              <w:t xml:space="preserve"> the Justice Reform Strategy</w:t>
            </w:r>
            <w:r w:rsidR="00EB6C3C" w:rsidRPr="00E82A5D">
              <w:rPr>
                <w:rFonts w:ascii="Times New Roman" w:hAnsi="Times New Roman"/>
                <w:color w:val="000000" w:themeColor="text1"/>
                <w:lang w:bidi="mn-Mong-CN"/>
              </w:rPr>
              <w:t xml:space="preserve"> 2017-2022 and the National Strategy for Prevention of Corruption and Conflict of Interest 2020-2024 (to be adopted)</w:t>
            </w:r>
            <w:r w:rsidR="0044068E" w:rsidRPr="00E82A5D">
              <w:rPr>
                <w:rFonts w:ascii="Times New Roman" w:hAnsi="Times New Roman"/>
                <w:color w:val="000000" w:themeColor="text1"/>
                <w:lang w:bidi="mn-Mong-CN"/>
              </w:rPr>
              <w:t xml:space="preserve">. </w:t>
            </w:r>
            <w:r w:rsidR="007C0FCE" w:rsidRPr="00E82A5D">
              <w:rPr>
                <w:rFonts w:ascii="Times New Roman" w:hAnsi="Times New Roman"/>
                <w:color w:val="000000" w:themeColor="text1"/>
                <w:lang w:bidi="mn-Mong-CN"/>
              </w:rPr>
              <w:t xml:space="preserve">Both </w:t>
            </w:r>
            <w:r w:rsidR="0044068E" w:rsidRPr="00E82A5D">
              <w:rPr>
                <w:rFonts w:ascii="Times New Roman" w:hAnsi="Times New Roman"/>
                <w:color w:val="000000" w:themeColor="text1"/>
                <w:lang w:bidi="mn-Mong-CN"/>
              </w:rPr>
              <w:t>Strateg</w:t>
            </w:r>
            <w:r w:rsidR="007C0FCE" w:rsidRPr="00E82A5D">
              <w:rPr>
                <w:rFonts w:ascii="Times New Roman" w:hAnsi="Times New Roman"/>
                <w:color w:val="000000" w:themeColor="text1"/>
                <w:lang w:bidi="mn-Mong-CN"/>
              </w:rPr>
              <w:t>ies</w:t>
            </w:r>
            <w:r w:rsidR="001114DA" w:rsidRPr="00E82A5D">
              <w:rPr>
                <w:rFonts w:ascii="Times New Roman" w:hAnsi="Times New Roman"/>
                <w:color w:val="000000" w:themeColor="text1"/>
                <w:lang w:bidi="mn-Mong-CN"/>
              </w:rPr>
              <w:t xml:space="preserve"> </w:t>
            </w:r>
            <w:r w:rsidR="007C0FCE" w:rsidRPr="00E82A5D">
              <w:rPr>
                <w:rFonts w:ascii="Times New Roman" w:hAnsi="Times New Roman"/>
                <w:color w:val="000000" w:themeColor="text1"/>
                <w:lang w:bidi="mn-Mong-CN"/>
              </w:rPr>
              <w:t xml:space="preserve">were </w:t>
            </w:r>
            <w:r w:rsidR="0044068E" w:rsidRPr="00E82A5D">
              <w:rPr>
                <w:rFonts w:ascii="Times New Roman" w:hAnsi="Times New Roman"/>
                <w:color w:val="000000" w:themeColor="text1"/>
                <w:lang w:bidi="mn-Mong-CN"/>
              </w:rPr>
              <w:t xml:space="preserve">developed in participatory </w:t>
            </w:r>
            <w:r w:rsidR="00202EE4" w:rsidRPr="00E82A5D">
              <w:rPr>
                <w:rFonts w:ascii="Times New Roman" w:hAnsi="Times New Roman"/>
                <w:color w:val="000000" w:themeColor="text1"/>
                <w:lang w:bidi="mn-Mong-CN"/>
              </w:rPr>
              <w:t xml:space="preserve">approach, with involvement of the relevant stakeholders, including donors and civil society organisations, </w:t>
            </w:r>
            <w:r w:rsidR="0044068E" w:rsidRPr="00E82A5D">
              <w:rPr>
                <w:rFonts w:ascii="Times New Roman" w:hAnsi="Times New Roman"/>
                <w:color w:val="000000" w:themeColor="text1"/>
                <w:lang w:bidi="mn-Mong-CN"/>
              </w:rPr>
              <w:t xml:space="preserve">and </w:t>
            </w:r>
            <w:r w:rsidR="00E42F7C" w:rsidRPr="00E82A5D">
              <w:rPr>
                <w:rFonts w:ascii="Times New Roman" w:hAnsi="Times New Roman"/>
                <w:color w:val="000000" w:themeColor="text1"/>
                <w:lang w:bidi="mn-Mong-CN"/>
              </w:rPr>
              <w:t xml:space="preserve">are </w:t>
            </w:r>
            <w:r w:rsidR="0044068E" w:rsidRPr="00E82A5D">
              <w:rPr>
                <w:rFonts w:ascii="Times New Roman" w:hAnsi="Times New Roman"/>
                <w:color w:val="000000" w:themeColor="text1"/>
                <w:lang w:bidi="mn-Mong-CN"/>
              </w:rPr>
              <w:t xml:space="preserve">based on solid data and analysis. </w:t>
            </w:r>
            <w:r w:rsidR="0044068E" w:rsidRPr="00E82A5D">
              <w:rPr>
                <w:rFonts w:ascii="Times New Roman" w:hAnsi="Times New Roman"/>
                <w:b/>
                <w:color w:val="000000" w:themeColor="text1"/>
                <w:lang w:bidi="mn-Mong-CN"/>
              </w:rPr>
              <w:t>An adequate monitoring mechanism</w:t>
            </w:r>
            <w:r w:rsidR="0044068E" w:rsidRPr="00E82A5D">
              <w:rPr>
                <w:rFonts w:ascii="Times New Roman" w:hAnsi="Times New Roman"/>
                <w:color w:val="000000" w:themeColor="text1"/>
                <w:lang w:bidi="mn-Mong-CN"/>
              </w:rPr>
              <w:t xml:space="preserve"> was set with the establishment of the Council for Monitoring the Implementation of the Judicial Reform in 2018.The first report was adopted in January 2019. </w:t>
            </w:r>
            <w:r w:rsidR="00E42F7C" w:rsidRPr="00E82A5D">
              <w:rPr>
                <w:rFonts w:ascii="Times New Roman" w:hAnsi="Times New Roman"/>
                <w:color w:val="000000" w:themeColor="text1"/>
                <w:lang w:bidi="mn-Mong-CN"/>
              </w:rPr>
              <w:t xml:space="preserve">Concerning the National Strategy for Prevention of Corruption and Conflict of Interest, once the Strategy will be </w:t>
            </w:r>
            <w:r w:rsidR="00202EE4" w:rsidRPr="00E82A5D">
              <w:rPr>
                <w:rFonts w:ascii="Times New Roman" w:hAnsi="Times New Roman"/>
                <w:color w:val="000000" w:themeColor="text1"/>
                <w:lang w:bidi="mn-Mong-CN"/>
              </w:rPr>
              <w:t>approved by Parliament</w:t>
            </w:r>
            <w:r w:rsidR="00E42F7C" w:rsidRPr="00E82A5D">
              <w:rPr>
                <w:rFonts w:ascii="Times New Roman" w:hAnsi="Times New Roman"/>
                <w:color w:val="000000" w:themeColor="text1"/>
                <w:lang w:bidi="mn-Mong-CN"/>
              </w:rPr>
              <w:t xml:space="preserve">, a single monitoring mechanism will be established at intra-institutional level. To support the monitoring process, as of </w:t>
            </w:r>
            <w:r w:rsidR="0044068E" w:rsidRPr="00E82A5D">
              <w:rPr>
                <w:rFonts w:ascii="Times New Roman" w:hAnsi="Times New Roman"/>
                <w:color w:val="000000" w:themeColor="text1"/>
                <w:lang w:bidi="mn-Mong-CN"/>
              </w:rPr>
              <w:t xml:space="preserve">2020, </w:t>
            </w:r>
            <w:r w:rsidR="00E42F7C" w:rsidRPr="00E82A5D">
              <w:rPr>
                <w:rFonts w:ascii="Times New Roman" w:hAnsi="Times New Roman"/>
                <w:color w:val="000000" w:themeColor="text1"/>
                <w:lang w:bidi="mn-Mong-CN"/>
              </w:rPr>
              <w:t xml:space="preserve">the country put in place </w:t>
            </w:r>
            <w:r w:rsidR="0044068E" w:rsidRPr="00E82A5D">
              <w:rPr>
                <w:rFonts w:ascii="Times New Roman" w:hAnsi="Times New Roman"/>
                <w:b/>
                <w:bCs/>
                <w:color w:val="000000" w:themeColor="text1"/>
                <w:lang w:bidi="mn-Mong-CN"/>
              </w:rPr>
              <w:t>Performance Assessment Framework (PAF)</w:t>
            </w:r>
            <w:r w:rsidR="0044068E" w:rsidRPr="00E82A5D">
              <w:rPr>
                <w:rFonts w:ascii="Times New Roman" w:hAnsi="Times New Roman"/>
                <w:color w:val="000000" w:themeColor="text1"/>
                <w:lang w:bidi="mn-Mong-CN"/>
              </w:rPr>
              <w:t xml:space="preserve">, </w:t>
            </w:r>
            <w:r w:rsidR="00E42F7C" w:rsidRPr="00E82A5D">
              <w:rPr>
                <w:rFonts w:ascii="Times New Roman" w:hAnsi="Times New Roman"/>
                <w:color w:val="000000" w:themeColor="text1"/>
                <w:lang w:bidi="mn-Mong-CN"/>
              </w:rPr>
              <w:t xml:space="preserve">streamlining the policy objectives, the indicators and the targets. The Action will contribute to meeting different impact and outcome indicators of the established PAF. </w:t>
            </w:r>
          </w:p>
          <w:p w:rsidR="001E31F5" w:rsidRPr="00E82A5D" w:rsidRDefault="0044068E" w:rsidP="001E31F5">
            <w:pPr>
              <w:spacing w:before="120" w:after="0" w:line="240" w:lineRule="auto"/>
              <w:jc w:val="both"/>
              <w:rPr>
                <w:rFonts w:ascii="Times New Roman" w:hAnsi="Times New Roman"/>
                <w:color w:val="000000" w:themeColor="text1"/>
              </w:rPr>
            </w:pPr>
            <w:r w:rsidRPr="00E82A5D">
              <w:rPr>
                <w:rFonts w:ascii="Times New Roman" w:hAnsi="Times New Roman"/>
                <w:color w:val="000000" w:themeColor="text1"/>
              </w:rPr>
              <w:t xml:space="preserve">The </w:t>
            </w:r>
            <w:r w:rsidRPr="00E82A5D">
              <w:rPr>
                <w:rFonts w:ascii="Times New Roman" w:hAnsi="Times New Roman"/>
                <w:b/>
                <w:color w:val="000000" w:themeColor="text1"/>
              </w:rPr>
              <w:t>sector policy dialogue</w:t>
            </w:r>
            <w:r w:rsidRPr="00E82A5D">
              <w:rPr>
                <w:rFonts w:ascii="Times New Roman" w:hAnsi="Times New Roman"/>
                <w:color w:val="000000" w:themeColor="text1"/>
              </w:rPr>
              <w:t xml:space="preserve"> is channelled through the </w:t>
            </w:r>
            <w:r w:rsidR="009857B1" w:rsidRPr="00E82A5D">
              <w:rPr>
                <w:rFonts w:ascii="Times New Roman" w:hAnsi="Times New Roman"/>
                <w:color w:val="000000" w:themeColor="text1"/>
                <w:lang w:bidi="mn-Mong-CN"/>
              </w:rPr>
              <w:t>established S</w:t>
            </w:r>
            <w:r w:rsidRPr="00E82A5D">
              <w:rPr>
                <w:rFonts w:ascii="Times New Roman" w:hAnsi="Times New Roman"/>
                <w:color w:val="000000" w:themeColor="text1"/>
                <w:lang w:bidi="mn-Mong-CN"/>
              </w:rPr>
              <w:t xml:space="preserve">ector </w:t>
            </w:r>
            <w:r w:rsidR="009857B1" w:rsidRPr="00E82A5D">
              <w:rPr>
                <w:rFonts w:ascii="Times New Roman" w:hAnsi="Times New Roman"/>
                <w:color w:val="000000" w:themeColor="text1"/>
                <w:lang w:bidi="mn-Mong-CN"/>
              </w:rPr>
              <w:t>W</w:t>
            </w:r>
            <w:r w:rsidRPr="00E82A5D">
              <w:rPr>
                <w:rFonts w:ascii="Times New Roman" w:hAnsi="Times New Roman"/>
                <w:color w:val="000000" w:themeColor="text1"/>
                <w:lang w:bidi="mn-Mong-CN"/>
              </w:rPr>
              <w:t xml:space="preserve">orking </w:t>
            </w:r>
            <w:r w:rsidR="009857B1" w:rsidRPr="00E82A5D">
              <w:rPr>
                <w:rFonts w:ascii="Times New Roman" w:hAnsi="Times New Roman"/>
                <w:color w:val="000000" w:themeColor="text1"/>
                <w:lang w:bidi="mn-Mong-CN"/>
              </w:rPr>
              <w:t>G</w:t>
            </w:r>
            <w:r w:rsidRPr="00E82A5D">
              <w:rPr>
                <w:rFonts w:ascii="Times New Roman" w:hAnsi="Times New Roman"/>
                <w:color w:val="000000" w:themeColor="text1"/>
                <w:lang w:bidi="mn-Mong-CN"/>
              </w:rPr>
              <w:t>roup</w:t>
            </w:r>
            <w:r w:rsidR="00CD4E99" w:rsidRPr="00E82A5D">
              <w:rPr>
                <w:rFonts w:ascii="Times New Roman" w:hAnsi="Times New Roman"/>
                <w:color w:val="000000" w:themeColor="text1"/>
                <w:lang w:bidi="mn-Mong-CN"/>
              </w:rPr>
              <w:t>s</w:t>
            </w:r>
            <w:r w:rsidRPr="00E82A5D">
              <w:rPr>
                <w:rFonts w:ascii="Times New Roman" w:hAnsi="Times New Roman"/>
                <w:color w:val="000000" w:themeColor="text1"/>
                <w:lang w:bidi="mn-Mong-CN"/>
              </w:rPr>
              <w:t xml:space="preserve"> on Justice </w:t>
            </w:r>
            <w:r w:rsidR="00CD4E99" w:rsidRPr="00E82A5D">
              <w:rPr>
                <w:rFonts w:ascii="Times New Roman" w:hAnsi="Times New Roman"/>
                <w:color w:val="000000" w:themeColor="text1"/>
                <w:lang w:bidi="mn-Mong-CN"/>
              </w:rPr>
              <w:t xml:space="preserve">and Fundamental Rights and Home Affairs </w:t>
            </w:r>
            <w:r w:rsidRPr="00E82A5D">
              <w:rPr>
                <w:rFonts w:ascii="Times New Roman" w:hAnsi="Times New Roman"/>
                <w:color w:val="000000" w:themeColor="text1"/>
                <w:lang w:bidi="mn-Mong-CN"/>
              </w:rPr>
              <w:t>(SWG JUST</w:t>
            </w:r>
            <w:r w:rsidR="00CD4E99" w:rsidRPr="00E82A5D">
              <w:rPr>
                <w:rFonts w:ascii="Times New Roman" w:hAnsi="Times New Roman"/>
                <w:color w:val="000000" w:themeColor="text1"/>
                <w:lang w:bidi="mn-Mong-CN"/>
              </w:rPr>
              <w:t>, HA</w:t>
            </w:r>
            <w:r w:rsidRPr="00E82A5D">
              <w:rPr>
                <w:rFonts w:ascii="Times New Roman" w:hAnsi="Times New Roman"/>
                <w:color w:val="000000" w:themeColor="text1"/>
                <w:lang w:bidi="mn-Mong-CN"/>
              </w:rPr>
              <w:t xml:space="preserve">), which </w:t>
            </w:r>
            <w:r w:rsidR="00CD4E99" w:rsidRPr="00E82A5D">
              <w:rPr>
                <w:rFonts w:ascii="Times New Roman" w:hAnsi="Times New Roman"/>
                <w:color w:val="000000" w:themeColor="text1"/>
                <w:lang w:bidi="mn-Mong-CN"/>
              </w:rPr>
              <w:t xml:space="preserve">are </w:t>
            </w:r>
            <w:r w:rsidRPr="00E82A5D">
              <w:rPr>
                <w:rFonts w:ascii="Times New Roman" w:hAnsi="Times New Roman"/>
                <w:color w:val="000000" w:themeColor="text1"/>
                <w:lang w:bidi="mn-Mong-CN"/>
              </w:rPr>
              <w:t xml:space="preserve">chaired by the Minister of Justice and </w:t>
            </w:r>
            <w:r w:rsidR="00CD4E99" w:rsidRPr="00E82A5D">
              <w:rPr>
                <w:rFonts w:ascii="Times New Roman" w:hAnsi="Times New Roman"/>
                <w:color w:val="000000" w:themeColor="text1"/>
                <w:lang w:bidi="mn-Mong-CN"/>
              </w:rPr>
              <w:t xml:space="preserve">the Minister of Interior, respectively. The SWGs </w:t>
            </w:r>
            <w:r w:rsidRPr="00E82A5D">
              <w:rPr>
                <w:rFonts w:ascii="Times New Roman" w:hAnsi="Times New Roman"/>
                <w:color w:val="000000" w:themeColor="text1"/>
                <w:lang w:bidi="mn-Mong-CN"/>
              </w:rPr>
              <w:t xml:space="preserve">comprise members of all </w:t>
            </w:r>
            <w:r w:rsidR="00CD4E99" w:rsidRPr="00E82A5D">
              <w:rPr>
                <w:rFonts w:ascii="Times New Roman" w:hAnsi="Times New Roman"/>
                <w:color w:val="000000" w:themeColor="text1"/>
                <w:lang w:bidi="mn-Mong-CN"/>
              </w:rPr>
              <w:t>relevant institutions -</w:t>
            </w:r>
            <w:r w:rsidRPr="00E82A5D">
              <w:rPr>
                <w:rFonts w:ascii="Times New Roman" w:hAnsi="Times New Roman"/>
                <w:color w:val="000000" w:themeColor="text1"/>
                <w:lang w:bidi="mn-Mong-CN"/>
              </w:rPr>
              <w:t xml:space="preserve">judiciary institutions, </w:t>
            </w:r>
            <w:r w:rsidR="00CD4E99" w:rsidRPr="00E82A5D">
              <w:rPr>
                <w:rFonts w:ascii="Times New Roman" w:hAnsi="Times New Roman"/>
                <w:color w:val="000000" w:themeColor="text1"/>
                <w:lang w:bidi="mn-Mong-CN"/>
              </w:rPr>
              <w:t xml:space="preserve">MISA, </w:t>
            </w:r>
            <w:proofErr w:type="spellStart"/>
            <w:r w:rsidR="00CD4E99" w:rsidRPr="00E82A5D">
              <w:rPr>
                <w:rFonts w:ascii="Times New Roman" w:hAnsi="Times New Roman"/>
                <w:color w:val="000000" w:themeColor="text1"/>
                <w:lang w:bidi="mn-Mong-CN"/>
              </w:rPr>
              <w:t>MoF</w:t>
            </w:r>
            <w:proofErr w:type="spellEnd"/>
            <w:r w:rsidR="00CD4E99" w:rsidRPr="00E82A5D">
              <w:rPr>
                <w:rFonts w:ascii="Times New Roman" w:hAnsi="Times New Roman"/>
                <w:color w:val="000000" w:themeColor="text1"/>
                <w:lang w:bidi="mn-Mong-CN"/>
              </w:rPr>
              <w:t xml:space="preserve">, agencies and bodies, PPO, SCPC, etc.-, </w:t>
            </w:r>
            <w:r w:rsidRPr="00E82A5D">
              <w:rPr>
                <w:rFonts w:ascii="Times New Roman" w:hAnsi="Times New Roman"/>
                <w:color w:val="000000" w:themeColor="text1"/>
                <w:lang w:bidi="mn-Mong-CN"/>
              </w:rPr>
              <w:t>donors</w:t>
            </w:r>
            <w:r w:rsidR="00CD4E99" w:rsidRPr="00E82A5D">
              <w:rPr>
                <w:rFonts w:ascii="Times New Roman" w:hAnsi="Times New Roman"/>
                <w:color w:val="000000" w:themeColor="text1"/>
                <w:lang w:bidi="mn-Mong-CN"/>
              </w:rPr>
              <w:t>,</w:t>
            </w:r>
            <w:r w:rsidRPr="00E82A5D">
              <w:rPr>
                <w:rFonts w:ascii="Times New Roman" w:hAnsi="Times New Roman"/>
                <w:color w:val="000000" w:themeColor="text1"/>
                <w:lang w:bidi="mn-Mong-CN"/>
              </w:rPr>
              <w:t xml:space="preserve"> international partners and civil society</w:t>
            </w:r>
            <w:r w:rsidR="00CD4E99" w:rsidRPr="00E82A5D">
              <w:rPr>
                <w:rFonts w:ascii="Times New Roman" w:hAnsi="Times New Roman"/>
                <w:color w:val="000000" w:themeColor="text1"/>
                <w:lang w:bidi="mn-Mong-CN"/>
              </w:rPr>
              <w:t xml:space="preserve"> organisations</w:t>
            </w:r>
            <w:r w:rsidRPr="00E82A5D">
              <w:rPr>
                <w:rFonts w:ascii="Times New Roman" w:hAnsi="Times New Roman"/>
                <w:color w:val="000000" w:themeColor="text1"/>
                <w:lang w:bidi="mn-Mong-CN"/>
              </w:rPr>
              <w:t>. The SWG</w:t>
            </w:r>
            <w:r w:rsidR="00CD4E99" w:rsidRPr="00E82A5D">
              <w:rPr>
                <w:rFonts w:ascii="Times New Roman" w:hAnsi="Times New Roman"/>
                <w:color w:val="000000" w:themeColor="text1"/>
                <w:lang w:bidi="mn-Mong-CN"/>
              </w:rPr>
              <w:t>s</w:t>
            </w:r>
            <w:r w:rsidRPr="00E82A5D">
              <w:rPr>
                <w:rFonts w:ascii="Times New Roman" w:hAnsi="Times New Roman"/>
                <w:color w:val="000000" w:themeColor="text1"/>
                <w:lang w:bidi="mn-Mong-CN"/>
              </w:rPr>
              <w:t xml:space="preserve"> operates intensively, in two different formats: decision-making (at least twice per year) and technical (at least once per month).</w:t>
            </w:r>
            <w:r w:rsidR="009D7559" w:rsidRPr="00E82A5D">
              <w:rPr>
                <w:rFonts w:ascii="Times New Roman" w:hAnsi="Times New Roman"/>
                <w:color w:val="000000" w:themeColor="text1"/>
                <w:lang w:bidi="mn-Mong-CN"/>
              </w:rPr>
              <w:t xml:space="preserve"> The SWGs embed the IPA programming but their mandate goes far beyond the use of the EU funds.</w:t>
            </w:r>
            <w:r w:rsidR="00A40EC1">
              <w:rPr>
                <w:rFonts w:ascii="Times New Roman" w:hAnsi="Times New Roman"/>
                <w:color w:val="000000" w:themeColor="text1"/>
                <w:lang w:bidi="mn-Mong-CN"/>
              </w:rPr>
              <w:t xml:space="preserve"> </w:t>
            </w:r>
            <w:r w:rsidR="009857B1" w:rsidRPr="00E82A5D">
              <w:rPr>
                <w:rFonts w:ascii="Times New Roman" w:hAnsi="Times New Roman"/>
                <w:color w:val="000000" w:themeColor="text1"/>
                <w:lang w:bidi="mn-Mong-CN"/>
              </w:rPr>
              <w:t>The SWGs play the role of the country sector dialogue platform channelling the discussions on the national sector priorities and their implementation in an inclusive and participatory manner.</w:t>
            </w:r>
          </w:p>
          <w:p w:rsidR="0048379A" w:rsidRPr="00E82A5D" w:rsidRDefault="009D7559" w:rsidP="0048379A">
            <w:pPr>
              <w:tabs>
                <w:tab w:val="left" w:pos="1418"/>
                <w:tab w:val="left" w:pos="8931"/>
              </w:tabs>
              <w:autoSpaceDE w:val="0"/>
              <w:autoSpaceDN w:val="0"/>
              <w:adjustRightInd w:val="0"/>
              <w:spacing w:before="120" w:after="120" w:line="240" w:lineRule="auto"/>
              <w:ind w:right="-2"/>
              <w:jc w:val="both"/>
              <w:rPr>
                <w:rFonts w:ascii="Times New Roman" w:hAnsi="Times New Roman"/>
                <w:color w:val="000000" w:themeColor="text1"/>
                <w:lang w:bidi="mn-Mong-CN"/>
              </w:rPr>
            </w:pPr>
            <w:r w:rsidRPr="00E82A5D">
              <w:rPr>
                <w:rFonts w:ascii="Times New Roman" w:hAnsi="Times New Roman"/>
                <w:color w:val="000000" w:themeColor="text1"/>
                <w:lang w:bidi="mn-Mong-CN"/>
              </w:rPr>
              <w:t>As regard the judiciary sector, t</w:t>
            </w:r>
            <w:r w:rsidR="00CE6C02" w:rsidRPr="00E82A5D">
              <w:rPr>
                <w:rFonts w:ascii="Times New Roman" w:hAnsi="Times New Roman"/>
                <w:color w:val="000000" w:themeColor="text1"/>
                <w:lang w:bidi="mn-Mong-CN"/>
              </w:rPr>
              <w:t xml:space="preserve">he </w:t>
            </w:r>
            <w:r w:rsidR="00CE6C02" w:rsidRPr="00E82A5D">
              <w:rPr>
                <w:rFonts w:ascii="Times New Roman" w:hAnsi="Times New Roman"/>
                <w:b/>
                <w:color w:val="000000" w:themeColor="text1"/>
                <w:lang w:bidi="mn-Mong-CN"/>
              </w:rPr>
              <w:t>institutional set-up</w:t>
            </w:r>
            <w:r w:rsidR="00CE6C02" w:rsidRPr="00E82A5D">
              <w:rPr>
                <w:rFonts w:ascii="Times New Roman" w:hAnsi="Times New Roman"/>
                <w:color w:val="000000" w:themeColor="text1"/>
                <w:lang w:bidi="mn-Mong-CN"/>
              </w:rPr>
              <w:t xml:space="preserve"> is supportive to </w:t>
            </w:r>
            <w:r w:rsidR="0048379A" w:rsidRPr="00E82A5D">
              <w:rPr>
                <w:rFonts w:ascii="Times New Roman" w:hAnsi="Times New Roman"/>
                <w:color w:val="000000" w:themeColor="text1"/>
                <w:lang w:bidi="mn-Mong-CN"/>
              </w:rPr>
              <w:t xml:space="preserve">the </w:t>
            </w:r>
            <w:r w:rsidR="00CE6C02" w:rsidRPr="00E82A5D">
              <w:rPr>
                <w:rFonts w:ascii="Times New Roman" w:hAnsi="Times New Roman"/>
                <w:color w:val="000000" w:themeColor="text1"/>
                <w:lang w:bidi="mn-Mong-CN"/>
              </w:rPr>
              <w:t>ong</w:t>
            </w:r>
            <w:r w:rsidR="0048379A" w:rsidRPr="00E82A5D">
              <w:rPr>
                <w:rFonts w:ascii="Times New Roman" w:hAnsi="Times New Roman"/>
                <w:color w:val="000000" w:themeColor="text1"/>
                <w:lang w:bidi="mn-Mong-CN"/>
              </w:rPr>
              <w:t>oing and planned sector reforms and the</w:t>
            </w:r>
            <w:r w:rsidR="00CE6C02" w:rsidRPr="00E82A5D">
              <w:rPr>
                <w:rFonts w:ascii="Times New Roman" w:hAnsi="Times New Roman"/>
                <w:color w:val="000000" w:themeColor="text1"/>
                <w:lang w:bidi="mn-Mong-CN"/>
              </w:rPr>
              <w:t xml:space="preserve"> responsibilities allocated to th</w:t>
            </w:r>
            <w:r w:rsidR="0048379A" w:rsidRPr="00E82A5D">
              <w:rPr>
                <w:rFonts w:ascii="Times New Roman" w:hAnsi="Times New Roman"/>
                <w:color w:val="000000" w:themeColor="text1"/>
                <w:lang w:bidi="mn-Mong-CN"/>
              </w:rPr>
              <w:t xml:space="preserve">e relevant national authorities are well defined in the legislative framework. </w:t>
            </w:r>
            <w:r w:rsidR="00CE6C02" w:rsidRPr="00E82A5D">
              <w:rPr>
                <w:rFonts w:ascii="Times New Roman" w:hAnsi="Times New Roman"/>
                <w:color w:val="000000" w:themeColor="text1"/>
                <w:lang w:bidi="mn-Mong-CN"/>
              </w:rPr>
              <w:t xml:space="preserve">However, the national administrative capacity </w:t>
            </w:r>
            <w:r w:rsidR="0048379A" w:rsidRPr="00E82A5D">
              <w:rPr>
                <w:rFonts w:ascii="Times New Roman" w:hAnsi="Times New Roman"/>
                <w:color w:val="000000" w:themeColor="text1"/>
                <w:lang w:bidi="mn-Mong-CN"/>
              </w:rPr>
              <w:t xml:space="preserve">needs to be reinforced to ensure </w:t>
            </w:r>
            <w:r w:rsidR="00CE6C02" w:rsidRPr="00E82A5D">
              <w:rPr>
                <w:rFonts w:ascii="Times New Roman" w:hAnsi="Times New Roman"/>
                <w:color w:val="000000" w:themeColor="text1"/>
                <w:lang w:bidi="mn-Mong-CN"/>
              </w:rPr>
              <w:t xml:space="preserve">the full implementation of the adopted strategies and legislations. </w:t>
            </w:r>
            <w:r w:rsidR="0048379A" w:rsidRPr="00E82A5D">
              <w:rPr>
                <w:rFonts w:ascii="Times New Roman" w:hAnsi="Times New Roman"/>
                <w:color w:val="000000" w:themeColor="text1"/>
                <w:lang w:bidi="mn-Mong-CN"/>
              </w:rPr>
              <w:t>This action will address this need as well.</w:t>
            </w:r>
            <w:r w:rsidRPr="00E82A5D">
              <w:rPr>
                <w:rFonts w:ascii="Times New Roman" w:hAnsi="Times New Roman"/>
                <w:color w:val="000000" w:themeColor="text1"/>
                <w:lang w:bidi="mn-Mong-CN"/>
              </w:rPr>
              <w:t xml:space="preserve"> On</w:t>
            </w:r>
            <w:r w:rsidR="00202EE4" w:rsidRPr="00E82A5D">
              <w:rPr>
                <w:rFonts w:ascii="Times New Roman" w:hAnsi="Times New Roman"/>
                <w:color w:val="000000" w:themeColor="text1"/>
                <w:lang w:bidi="mn-Mong-CN"/>
              </w:rPr>
              <w:t xml:space="preserve"> the</w:t>
            </w:r>
            <w:r w:rsidRPr="00E82A5D">
              <w:rPr>
                <w:rFonts w:ascii="Times New Roman" w:hAnsi="Times New Roman"/>
                <w:color w:val="000000" w:themeColor="text1"/>
                <w:lang w:bidi="mn-Mong-CN"/>
              </w:rPr>
              <w:t xml:space="preserve"> anti-corruption field, the Action will contribute to improving the capacity of the administration to fight against corruption, which </w:t>
            </w:r>
            <w:r w:rsidR="00AA31E5" w:rsidRPr="00E82A5D">
              <w:rPr>
                <w:rFonts w:ascii="Times New Roman" w:hAnsi="Times New Roman"/>
                <w:color w:val="000000" w:themeColor="text1"/>
                <w:lang w:bidi="mn-Mong-CN"/>
              </w:rPr>
              <w:t>still</w:t>
            </w:r>
            <w:r w:rsidRPr="00E82A5D">
              <w:rPr>
                <w:rFonts w:ascii="Times New Roman" w:hAnsi="Times New Roman"/>
                <w:color w:val="000000" w:themeColor="text1"/>
                <w:lang w:bidi="mn-Mong-CN"/>
              </w:rPr>
              <w:t xml:space="preserve"> remains </w:t>
            </w:r>
            <w:r w:rsidR="00AA31E5" w:rsidRPr="00E82A5D">
              <w:rPr>
                <w:rFonts w:ascii="Times New Roman" w:hAnsi="Times New Roman"/>
                <w:color w:val="000000" w:themeColor="text1"/>
                <w:lang w:bidi="mn-Mong-CN"/>
              </w:rPr>
              <w:t>insufficient</w:t>
            </w:r>
            <w:r w:rsidRPr="00E82A5D">
              <w:rPr>
                <w:rFonts w:ascii="Times New Roman" w:hAnsi="Times New Roman"/>
                <w:color w:val="000000" w:themeColor="text1"/>
                <w:lang w:bidi="mn-Mong-CN"/>
              </w:rPr>
              <w:t>.</w:t>
            </w:r>
          </w:p>
          <w:p w:rsidR="002664B1" w:rsidRPr="00E82A5D" w:rsidRDefault="0048379A" w:rsidP="00735547">
            <w:pPr>
              <w:tabs>
                <w:tab w:val="left" w:pos="1418"/>
                <w:tab w:val="left" w:pos="8931"/>
              </w:tabs>
              <w:autoSpaceDE w:val="0"/>
              <w:autoSpaceDN w:val="0"/>
              <w:adjustRightInd w:val="0"/>
              <w:spacing w:before="120" w:after="120" w:line="240" w:lineRule="auto"/>
              <w:ind w:right="-2"/>
              <w:jc w:val="both"/>
              <w:rPr>
                <w:rFonts w:ascii="Times New Roman" w:hAnsi="Times New Roman"/>
                <w:color w:val="000000" w:themeColor="text1"/>
              </w:rPr>
            </w:pPr>
            <w:r w:rsidRPr="00E82A5D">
              <w:rPr>
                <w:rFonts w:ascii="Times New Roman" w:hAnsi="Times New Roman"/>
                <w:color w:val="000000" w:themeColor="text1"/>
              </w:rPr>
              <w:t xml:space="preserve">The </w:t>
            </w:r>
            <w:r w:rsidR="009D7559" w:rsidRPr="00E82A5D">
              <w:rPr>
                <w:rFonts w:ascii="Times New Roman" w:hAnsi="Times New Roman"/>
                <w:color w:val="000000" w:themeColor="text1"/>
              </w:rPr>
              <w:t xml:space="preserve">sector </w:t>
            </w:r>
            <w:r w:rsidR="009D7559" w:rsidRPr="00E82A5D">
              <w:rPr>
                <w:rFonts w:ascii="Times New Roman" w:hAnsi="Times New Roman"/>
                <w:b/>
                <w:color w:val="000000" w:themeColor="text1"/>
              </w:rPr>
              <w:t>policy budgeting</w:t>
            </w:r>
            <w:r w:rsidR="009D7559" w:rsidRPr="00E82A5D">
              <w:rPr>
                <w:rFonts w:ascii="Times New Roman" w:hAnsi="Times New Roman"/>
                <w:color w:val="000000" w:themeColor="text1"/>
              </w:rPr>
              <w:t xml:space="preserve"> needs improvement. </w:t>
            </w:r>
            <w:r w:rsidR="003C4568" w:rsidRPr="00E82A5D">
              <w:rPr>
                <w:rFonts w:ascii="Times New Roman" w:hAnsi="Times New Roman"/>
                <w:color w:val="000000" w:themeColor="text1"/>
              </w:rPr>
              <w:t xml:space="preserve">North Macedonia does not yet benefit from a robust medium-term expenditure framework to anchor the costs for the major reforms and ensure their </w:t>
            </w:r>
            <w:r w:rsidR="005A6C7E" w:rsidRPr="00E82A5D">
              <w:rPr>
                <w:rFonts w:ascii="Times New Roman" w:hAnsi="Times New Roman"/>
                <w:color w:val="000000" w:themeColor="text1"/>
              </w:rPr>
              <w:t>credibility. The</w:t>
            </w:r>
            <w:r w:rsidR="003C4568" w:rsidRPr="00E82A5D">
              <w:rPr>
                <w:rFonts w:ascii="Times New Roman" w:hAnsi="Times New Roman"/>
                <w:color w:val="000000" w:themeColor="text1"/>
              </w:rPr>
              <w:t xml:space="preserve"> </w:t>
            </w:r>
            <w:r w:rsidR="005A6C7E" w:rsidRPr="00E82A5D">
              <w:rPr>
                <w:rFonts w:ascii="Times New Roman" w:hAnsi="Times New Roman"/>
                <w:color w:val="000000" w:themeColor="text1"/>
              </w:rPr>
              <w:t>on-going</w:t>
            </w:r>
            <w:r w:rsidR="003C4568" w:rsidRPr="00E82A5D">
              <w:rPr>
                <w:rFonts w:ascii="Times New Roman" w:hAnsi="Times New Roman"/>
                <w:color w:val="000000" w:themeColor="text1"/>
              </w:rPr>
              <w:t xml:space="preserve"> PFM reform programme is expected to address this issue through the adoption of the new organic budget law, which will allow programme-based budgeting and more stable mid-term expenditure </w:t>
            </w:r>
            <w:r w:rsidR="005A6C7E" w:rsidRPr="00E82A5D">
              <w:rPr>
                <w:rFonts w:ascii="Times New Roman" w:hAnsi="Times New Roman"/>
                <w:color w:val="000000" w:themeColor="text1"/>
              </w:rPr>
              <w:t>framework</w:t>
            </w:r>
            <w:r w:rsidR="005A6C7E" w:rsidRPr="00E82A5D">
              <w:rPr>
                <w:rFonts w:ascii="Times New Roman" w:hAnsi="Times New Roman"/>
                <w:color w:val="000000" w:themeColor="text1"/>
                <w:sz w:val="24"/>
                <w:szCs w:val="24"/>
              </w:rPr>
              <w:t>.</w:t>
            </w:r>
            <w:r w:rsidR="005A6C7E" w:rsidRPr="00E82A5D">
              <w:rPr>
                <w:rFonts w:ascii="Times New Roman" w:hAnsi="Times New Roman"/>
                <w:color w:val="000000" w:themeColor="text1"/>
              </w:rPr>
              <w:t xml:space="preserve"> However</w:t>
            </w:r>
            <w:r w:rsidR="00735547" w:rsidRPr="00E82A5D">
              <w:rPr>
                <w:rFonts w:ascii="Times New Roman" w:hAnsi="Times New Roman"/>
                <w:color w:val="000000" w:themeColor="text1"/>
              </w:rPr>
              <w:t>, this process will require a serious upgrade of the sector capacity to budget sector reforms and finance structural priorities. At present, t</w:t>
            </w:r>
            <w:r w:rsidR="003C4568" w:rsidRPr="00E82A5D">
              <w:rPr>
                <w:rFonts w:ascii="Times New Roman" w:hAnsi="Times New Roman"/>
                <w:color w:val="000000" w:themeColor="text1"/>
              </w:rPr>
              <w:t xml:space="preserve">he </w:t>
            </w:r>
            <w:r w:rsidRPr="00E82A5D">
              <w:rPr>
                <w:rFonts w:ascii="Times New Roman" w:hAnsi="Times New Roman"/>
                <w:color w:val="000000" w:themeColor="text1"/>
              </w:rPr>
              <w:t>budget allocated to the judiciary sector represents 0</w:t>
            </w:r>
            <w:proofErr w:type="gramStart"/>
            <w:r w:rsidRPr="00E82A5D">
              <w:rPr>
                <w:rFonts w:ascii="Times New Roman" w:hAnsi="Times New Roman"/>
                <w:color w:val="000000" w:themeColor="text1"/>
              </w:rPr>
              <w:t>,77</w:t>
            </w:r>
            <w:proofErr w:type="gramEnd"/>
            <w:r w:rsidRPr="00E82A5D">
              <w:rPr>
                <w:rFonts w:ascii="Times New Roman" w:hAnsi="Times New Roman"/>
                <w:color w:val="000000" w:themeColor="text1"/>
              </w:rPr>
              <w:t>% of the state budget for 2020, which shows a slight decrease compared to 2018 and 2019, when the budget allocations reached 0,78</w:t>
            </w:r>
            <w:r w:rsidR="005D1A77" w:rsidRPr="00E82A5D">
              <w:rPr>
                <w:rFonts w:ascii="Times New Roman" w:hAnsi="Times New Roman"/>
                <w:color w:val="000000" w:themeColor="text1"/>
              </w:rPr>
              <w:t>%</w:t>
            </w:r>
            <w:r w:rsidRPr="00E82A5D">
              <w:rPr>
                <w:rFonts w:ascii="Times New Roman" w:hAnsi="Times New Roman"/>
                <w:color w:val="000000" w:themeColor="text1"/>
              </w:rPr>
              <w:t xml:space="preserve"> and 0,89 % </w:t>
            </w:r>
            <w:r w:rsidR="005A6C7E" w:rsidRPr="00E82A5D">
              <w:rPr>
                <w:rFonts w:ascii="Times New Roman" w:hAnsi="Times New Roman"/>
                <w:color w:val="000000" w:themeColor="text1"/>
              </w:rPr>
              <w:t>respectively. On</w:t>
            </w:r>
            <w:r w:rsidR="00735547" w:rsidRPr="00E82A5D">
              <w:rPr>
                <w:rFonts w:ascii="Times New Roman" w:hAnsi="Times New Roman"/>
                <w:color w:val="000000" w:themeColor="text1"/>
              </w:rPr>
              <w:t xml:space="preserve"> anti-corruption, the national budget allocation can only be followed at the level of the budget of the SCPC, which increased from 450,000 Euro in 2018 to 920,000 Euro in 2020, and the budget of the Public Prosecutor, which switched from 12,650,000 Euro in 2018 to 10,730,000 in 2020.</w:t>
            </w:r>
          </w:p>
        </w:tc>
      </w:tr>
      <w:tr w:rsidR="00D92F6C" w:rsidRPr="00E82A5D" w:rsidTr="00476031">
        <w:trPr>
          <w:jc w:val="center"/>
        </w:trPr>
        <w:tc>
          <w:tcPr>
            <w:tcW w:w="534" w:type="dxa"/>
            <w:vMerge/>
            <w:tcBorders>
              <w:left w:val="single" w:sz="4" w:space="0" w:color="auto"/>
              <w:bottom w:val="single" w:sz="4" w:space="0" w:color="auto"/>
              <w:right w:val="single" w:sz="4" w:space="0" w:color="auto"/>
            </w:tcBorders>
          </w:tcPr>
          <w:p w:rsidR="00D92F6C" w:rsidRPr="00E82A5D" w:rsidRDefault="00D92F6C" w:rsidP="00476031">
            <w:pPr>
              <w:rPr>
                <w:rFonts w:ascii="Times New Roman" w:hAnsi="Times New Roman"/>
                <w:color w:val="000000" w:themeColor="text1"/>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92F6C" w:rsidRPr="00E82A5D" w:rsidRDefault="00D92F6C" w:rsidP="00476031">
            <w:pPr>
              <w:rPr>
                <w:rFonts w:ascii="Times New Roman" w:hAnsi="Times New Roman"/>
                <w:color w:val="000000" w:themeColor="text1"/>
              </w:rPr>
            </w:pPr>
            <w:r w:rsidRPr="00E82A5D">
              <w:rPr>
                <w:rFonts w:ascii="Times New Roman" w:hAnsi="Times New Roman"/>
                <w:color w:val="000000" w:themeColor="text1"/>
              </w:rPr>
              <w:t>Regional dimension</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074669" w:rsidRPr="00E82A5D" w:rsidRDefault="001E31F5" w:rsidP="005F5A43">
            <w:pPr>
              <w:spacing w:after="0" w:line="240" w:lineRule="auto"/>
              <w:rPr>
                <w:rFonts w:ascii="Times New Roman" w:hAnsi="Times New Roman"/>
                <w:color w:val="000000" w:themeColor="text1"/>
                <w:lang w:val="en-US" w:eastAsia="en-US"/>
              </w:rPr>
            </w:pPr>
            <w:r w:rsidRPr="00E82A5D">
              <w:rPr>
                <w:rFonts w:ascii="Times New Roman" w:hAnsi="Times New Roman"/>
                <w:color w:val="000000" w:themeColor="text1"/>
                <w:lang w:val="en-US" w:eastAsia="en-US"/>
              </w:rPr>
              <w:t>Not applicable</w:t>
            </w:r>
          </w:p>
        </w:tc>
      </w:tr>
      <w:tr w:rsidR="00D92F6C" w:rsidRPr="00E82A5D" w:rsidTr="00476031">
        <w:trPr>
          <w:jc w:val="center"/>
        </w:trPr>
        <w:tc>
          <w:tcPr>
            <w:tcW w:w="2802" w:type="dxa"/>
            <w:gridSpan w:val="2"/>
            <w:tcBorders>
              <w:top w:val="single" w:sz="4" w:space="0" w:color="auto"/>
              <w:left w:val="single" w:sz="4" w:space="0" w:color="auto"/>
              <w:bottom w:val="single" w:sz="4" w:space="0" w:color="auto"/>
              <w:right w:val="single" w:sz="4" w:space="0" w:color="auto"/>
            </w:tcBorders>
          </w:tcPr>
          <w:p w:rsidR="00D92F6C" w:rsidRPr="0039427A" w:rsidRDefault="00D92F6C" w:rsidP="00476031">
            <w:pPr>
              <w:rPr>
                <w:rFonts w:ascii="Times New Roman" w:hAnsi="Times New Roman"/>
                <w:color w:val="000000" w:themeColor="text1"/>
              </w:rPr>
            </w:pPr>
            <w:r w:rsidRPr="0039427A">
              <w:rPr>
                <w:rFonts w:ascii="Times New Roman" w:hAnsi="Times New Roman"/>
                <w:color w:val="000000" w:themeColor="text1"/>
              </w:rPr>
              <w:t>Indicative budget</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9B6E58" w:rsidRPr="0039427A" w:rsidRDefault="00C6650E" w:rsidP="009B6E58">
            <w:pPr>
              <w:spacing w:after="120" w:line="240" w:lineRule="auto"/>
              <w:jc w:val="both"/>
              <w:rPr>
                <w:rFonts w:ascii="Times New Roman" w:hAnsi="Times New Roman"/>
                <w:iCs/>
                <w:color w:val="000000" w:themeColor="text1"/>
              </w:rPr>
            </w:pPr>
            <w:r w:rsidRPr="0039427A">
              <w:rPr>
                <w:rFonts w:ascii="Times New Roman" w:hAnsi="Times New Roman"/>
                <w:iCs/>
                <w:color w:val="000000" w:themeColor="text1"/>
              </w:rPr>
              <w:t>Total</w:t>
            </w:r>
            <w:r w:rsidR="00EF4101" w:rsidRPr="0039427A">
              <w:rPr>
                <w:rFonts w:ascii="Times New Roman" w:hAnsi="Times New Roman"/>
                <w:iCs/>
                <w:color w:val="000000" w:themeColor="text1"/>
              </w:rPr>
              <w:t>: EUR</w:t>
            </w:r>
            <w:r w:rsidR="001114DA" w:rsidRPr="0039427A">
              <w:rPr>
                <w:rFonts w:ascii="Times New Roman" w:hAnsi="Times New Roman"/>
                <w:iCs/>
                <w:color w:val="000000" w:themeColor="text1"/>
              </w:rPr>
              <w:t xml:space="preserve"> </w:t>
            </w:r>
            <w:r w:rsidR="0039427A">
              <w:rPr>
                <w:rFonts w:ascii="Times New Roman" w:hAnsi="Times New Roman"/>
                <w:iCs/>
                <w:color w:val="000000" w:themeColor="text1"/>
              </w:rPr>
              <w:t>10</w:t>
            </w:r>
            <w:r w:rsidR="001114DA" w:rsidRPr="0039427A">
              <w:rPr>
                <w:rFonts w:ascii="Times New Roman" w:hAnsi="Times New Roman"/>
                <w:iCs/>
                <w:color w:val="000000" w:themeColor="text1"/>
              </w:rPr>
              <w:t xml:space="preserve"> </w:t>
            </w:r>
            <w:r w:rsidR="00B875C5" w:rsidRPr="0039427A">
              <w:rPr>
                <w:rFonts w:ascii="Times New Roman" w:hAnsi="Times New Roman"/>
                <w:iCs/>
                <w:color w:val="000000" w:themeColor="text1"/>
              </w:rPr>
              <w:t xml:space="preserve">million </w:t>
            </w:r>
          </w:p>
          <w:p w:rsidR="00D92F6C" w:rsidRDefault="00C6650E" w:rsidP="00EF4101">
            <w:pPr>
              <w:spacing w:after="120" w:line="240" w:lineRule="auto"/>
              <w:jc w:val="both"/>
              <w:rPr>
                <w:rFonts w:ascii="Times New Roman" w:hAnsi="Times New Roman"/>
                <w:iCs/>
                <w:color w:val="000000" w:themeColor="text1"/>
              </w:rPr>
            </w:pPr>
            <w:r w:rsidRPr="0039427A">
              <w:rPr>
                <w:rFonts w:ascii="Times New Roman" w:hAnsi="Times New Roman"/>
                <w:iCs/>
                <w:color w:val="000000" w:themeColor="text1"/>
              </w:rPr>
              <w:t>EU funding</w:t>
            </w:r>
            <w:r w:rsidR="00EF4101" w:rsidRPr="0039427A">
              <w:rPr>
                <w:rFonts w:ascii="Times New Roman" w:hAnsi="Times New Roman"/>
                <w:iCs/>
                <w:color w:val="000000" w:themeColor="text1"/>
              </w:rPr>
              <w:t>: EUR</w:t>
            </w:r>
            <w:r w:rsidR="001114DA" w:rsidRPr="0039427A">
              <w:rPr>
                <w:rFonts w:ascii="Times New Roman" w:hAnsi="Times New Roman"/>
                <w:iCs/>
                <w:color w:val="000000" w:themeColor="text1"/>
              </w:rPr>
              <w:t xml:space="preserve"> </w:t>
            </w:r>
            <w:r w:rsidR="00C149AF" w:rsidRPr="0039427A">
              <w:rPr>
                <w:rFonts w:ascii="Times New Roman" w:hAnsi="Times New Roman"/>
                <w:iCs/>
                <w:color w:val="000000" w:themeColor="text1"/>
              </w:rPr>
              <w:t>8</w:t>
            </w:r>
            <w:r w:rsidR="0039427A">
              <w:rPr>
                <w:rFonts w:ascii="Times New Roman" w:hAnsi="Times New Roman"/>
                <w:iCs/>
                <w:color w:val="000000" w:themeColor="text1"/>
              </w:rPr>
              <w:t>,5</w:t>
            </w:r>
            <w:r w:rsidR="001114DA" w:rsidRPr="0039427A">
              <w:rPr>
                <w:rFonts w:ascii="Times New Roman" w:hAnsi="Times New Roman"/>
                <w:iCs/>
                <w:color w:val="000000" w:themeColor="text1"/>
              </w:rPr>
              <w:t xml:space="preserve"> </w:t>
            </w:r>
            <w:r w:rsidR="00EF4101" w:rsidRPr="0039427A">
              <w:rPr>
                <w:rFonts w:ascii="Times New Roman" w:hAnsi="Times New Roman"/>
                <w:iCs/>
                <w:color w:val="000000" w:themeColor="text1"/>
              </w:rPr>
              <w:t>million</w:t>
            </w:r>
          </w:p>
          <w:p w:rsidR="00EF4101" w:rsidRPr="0039427A" w:rsidRDefault="00C149AF" w:rsidP="00FF6CD6">
            <w:pPr>
              <w:spacing w:after="120" w:line="240" w:lineRule="auto"/>
              <w:jc w:val="both"/>
              <w:rPr>
                <w:rFonts w:ascii="Times New Roman" w:hAnsi="Times New Roman"/>
                <w:i/>
                <w:color w:val="000000" w:themeColor="text1"/>
              </w:rPr>
            </w:pPr>
            <w:r w:rsidRPr="0039427A">
              <w:rPr>
                <w:rFonts w:ascii="Times New Roman" w:hAnsi="Times New Roman"/>
                <w:iCs/>
                <w:color w:val="000000" w:themeColor="text1"/>
              </w:rPr>
              <w:t xml:space="preserve">National </w:t>
            </w:r>
            <w:r w:rsidR="00FF6CD6">
              <w:rPr>
                <w:rFonts w:ascii="Times New Roman" w:hAnsi="Times New Roman"/>
                <w:iCs/>
                <w:color w:val="000000" w:themeColor="text1"/>
              </w:rPr>
              <w:t>co-financing</w:t>
            </w:r>
            <w:r w:rsidR="00EF4101" w:rsidRPr="0039427A">
              <w:rPr>
                <w:rFonts w:ascii="Times New Roman" w:hAnsi="Times New Roman"/>
                <w:iCs/>
                <w:color w:val="000000" w:themeColor="text1"/>
              </w:rPr>
              <w:t>:</w:t>
            </w:r>
            <w:r w:rsidRPr="0039427A">
              <w:rPr>
                <w:rFonts w:ascii="Times New Roman" w:hAnsi="Times New Roman"/>
                <w:iCs/>
                <w:color w:val="000000" w:themeColor="text1"/>
              </w:rPr>
              <w:t xml:space="preserve"> </w:t>
            </w:r>
            <w:r w:rsidR="00EF4101" w:rsidRPr="0039427A">
              <w:rPr>
                <w:rFonts w:ascii="Times New Roman" w:hAnsi="Times New Roman"/>
                <w:iCs/>
                <w:color w:val="000000" w:themeColor="text1"/>
              </w:rPr>
              <w:t>EUR</w:t>
            </w:r>
            <w:r w:rsidR="001114DA" w:rsidRPr="0039427A">
              <w:rPr>
                <w:rFonts w:ascii="Times New Roman" w:hAnsi="Times New Roman"/>
                <w:iCs/>
                <w:color w:val="000000" w:themeColor="text1"/>
              </w:rPr>
              <w:t xml:space="preserve"> </w:t>
            </w:r>
            <w:r w:rsidR="00EF4101" w:rsidRPr="0039427A">
              <w:rPr>
                <w:rFonts w:ascii="Times New Roman" w:hAnsi="Times New Roman"/>
                <w:iCs/>
                <w:color w:val="000000" w:themeColor="text1"/>
              </w:rPr>
              <w:t>1</w:t>
            </w:r>
            <w:r w:rsidR="00396756" w:rsidRPr="0039427A">
              <w:rPr>
                <w:rFonts w:ascii="Times New Roman" w:hAnsi="Times New Roman"/>
                <w:iCs/>
                <w:color w:val="000000" w:themeColor="text1"/>
              </w:rPr>
              <w:t>,</w:t>
            </w:r>
            <w:r w:rsidR="0039427A">
              <w:rPr>
                <w:rFonts w:ascii="Times New Roman" w:hAnsi="Times New Roman"/>
                <w:iCs/>
                <w:color w:val="000000" w:themeColor="text1"/>
              </w:rPr>
              <w:t>5</w:t>
            </w:r>
            <w:r w:rsidR="001A14D7" w:rsidRPr="0039427A">
              <w:rPr>
                <w:rFonts w:ascii="Times New Roman" w:hAnsi="Times New Roman"/>
                <w:iCs/>
                <w:color w:val="000000" w:themeColor="text1"/>
              </w:rPr>
              <w:t xml:space="preserve"> </w:t>
            </w:r>
            <w:r w:rsidR="00EF4101" w:rsidRPr="0039427A">
              <w:rPr>
                <w:rFonts w:ascii="Times New Roman" w:hAnsi="Times New Roman"/>
                <w:iCs/>
                <w:color w:val="000000" w:themeColor="text1"/>
              </w:rPr>
              <w:t>million</w:t>
            </w:r>
            <w:r w:rsidR="00B93284" w:rsidRPr="0039427A">
              <w:rPr>
                <w:rFonts w:ascii="Times New Roman" w:hAnsi="Times New Roman"/>
                <w:iCs/>
                <w:color w:val="000000" w:themeColor="text1"/>
              </w:rPr>
              <w:t xml:space="preserve"> (including EUR 100,000 provided by the grant beneficiaries)</w:t>
            </w:r>
          </w:p>
        </w:tc>
      </w:tr>
      <w:tr w:rsidR="00D92F6C" w:rsidRPr="00E82A5D" w:rsidTr="00476031">
        <w:trPr>
          <w:jc w:val="center"/>
        </w:trPr>
        <w:tc>
          <w:tcPr>
            <w:tcW w:w="2802" w:type="dxa"/>
            <w:gridSpan w:val="2"/>
            <w:tcBorders>
              <w:top w:val="single" w:sz="4" w:space="0" w:color="auto"/>
              <w:left w:val="single" w:sz="4" w:space="0" w:color="auto"/>
              <w:bottom w:val="single" w:sz="4" w:space="0" w:color="auto"/>
              <w:right w:val="single" w:sz="4" w:space="0" w:color="auto"/>
            </w:tcBorders>
          </w:tcPr>
          <w:p w:rsidR="00D92F6C" w:rsidRPr="0039427A" w:rsidRDefault="00D92F6C" w:rsidP="00476031">
            <w:pPr>
              <w:rPr>
                <w:rFonts w:ascii="Times New Roman" w:hAnsi="Times New Roman"/>
                <w:color w:val="000000" w:themeColor="text1"/>
              </w:rPr>
            </w:pPr>
            <w:r w:rsidRPr="0039427A">
              <w:rPr>
                <w:rFonts w:ascii="Times New Roman" w:hAnsi="Times New Roman"/>
                <w:color w:val="000000" w:themeColor="text1"/>
              </w:rPr>
              <w:t>Implementation Modality</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EF4101" w:rsidRPr="0039427A" w:rsidRDefault="00C6650E" w:rsidP="00EF4101">
            <w:pPr>
              <w:spacing w:after="120" w:line="240" w:lineRule="auto"/>
              <w:jc w:val="both"/>
              <w:rPr>
                <w:rFonts w:ascii="Times New Roman" w:hAnsi="Times New Roman"/>
                <w:b/>
                <w:bCs/>
                <w:iCs/>
                <w:color w:val="000000" w:themeColor="text1"/>
              </w:rPr>
            </w:pPr>
            <w:r w:rsidRPr="0039427A">
              <w:rPr>
                <w:rFonts w:ascii="Times New Roman" w:hAnsi="Times New Roman"/>
                <w:iCs/>
                <w:color w:val="000000" w:themeColor="text1"/>
              </w:rPr>
              <w:t xml:space="preserve">The Action </w:t>
            </w:r>
            <w:r w:rsidR="00EF4101" w:rsidRPr="0039427A">
              <w:rPr>
                <w:rFonts w:ascii="Times New Roman" w:hAnsi="Times New Roman"/>
                <w:iCs/>
                <w:color w:val="000000" w:themeColor="text1"/>
              </w:rPr>
              <w:t>will be</w:t>
            </w:r>
            <w:r w:rsidRPr="0039427A">
              <w:rPr>
                <w:rFonts w:ascii="Times New Roman" w:hAnsi="Times New Roman"/>
                <w:iCs/>
                <w:color w:val="000000" w:themeColor="text1"/>
              </w:rPr>
              <w:t xml:space="preserve"> implemented under </w:t>
            </w:r>
            <w:r w:rsidRPr="0039427A">
              <w:rPr>
                <w:rFonts w:ascii="Times New Roman" w:hAnsi="Times New Roman"/>
                <w:b/>
                <w:bCs/>
                <w:iCs/>
                <w:color w:val="000000" w:themeColor="text1"/>
              </w:rPr>
              <w:t>Direct Management</w:t>
            </w:r>
            <w:r w:rsidR="00C149AF" w:rsidRPr="0039427A">
              <w:rPr>
                <w:rFonts w:ascii="Times New Roman" w:hAnsi="Times New Roman"/>
                <w:b/>
                <w:bCs/>
                <w:iCs/>
                <w:color w:val="000000" w:themeColor="text1"/>
              </w:rPr>
              <w:t xml:space="preserve"> </w:t>
            </w:r>
            <w:r w:rsidR="00EF4101" w:rsidRPr="0039427A">
              <w:rPr>
                <w:rFonts w:ascii="Times New Roman" w:hAnsi="Times New Roman"/>
                <w:bCs/>
                <w:iCs/>
                <w:color w:val="000000" w:themeColor="text1"/>
              </w:rPr>
              <w:t>through</w:t>
            </w:r>
            <w:r w:rsidR="00EF4101" w:rsidRPr="0039427A">
              <w:rPr>
                <w:rFonts w:ascii="Times New Roman" w:hAnsi="Times New Roman"/>
                <w:b/>
                <w:bCs/>
                <w:iCs/>
                <w:color w:val="000000" w:themeColor="text1"/>
              </w:rPr>
              <w:t>:</w:t>
            </w:r>
          </w:p>
          <w:p w:rsidR="001B02B9" w:rsidRPr="0039427A" w:rsidRDefault="00EF4101" w:rsidP="000E1DFC">
            <w:pPr>
              <w:pStyle w:val="ListParagraph"/>
              <w:numPr>
                <w:ilvl w:val="0"/>
                <w:numId w:val="22"/>
              </w:numPr>
              <w:spacing w:after="120" w:line="240" w:lineRule="auto"/>
              <w:jc w:val="both"/>
              <w:rPr>
                <w:rFonts w:ascii="Times New Roman" w:hAnsi="Times New Roman"/>
                <w:i/>
                <w:color w:val="000000" w:themeColor="text1"/>
              </w:rPr>
            </w:pPr>
            <w:r w:rsidRPr="0039427A">
              <w:rPr>
                <w:rFonts w:ascii="Times New Roman" w:hAnsi="Times New Roman"/>
                <w:b/>
                <w:iCs/>
                <w:color w:val="000000" w:themeColor="text1"/>
              </w:rPr>
              <w:t>Procurement</w:t>
            </w:r>
            <w:r w:rsidRPr="0039427A">
              <w:rPr>
                <w:rFonts w:ascii="Times New Roman" w:hAnsi="Times New Roman"/>
                <w:iCs/>
                <w:color w:val="000000" w:themeColor="text1"/>
              </w:rPr>
              <w:t>, which</w:t>
            </w:r>
            <w:r w:rsidR="00E82A5D" w:rsidRPr="0039427A">
              <w:rPr>
                <w:rFonts w:ascii="Times New Roman" w:hAnsi="Times New Roman"/>
                <w:iCs/>
                <w:color w:val="000000" w:themeColor="text1"/>
              </w:rPr>
              <w:t xml:space="preserve"> </w:t>
            </w:r>
            <w:r w:rsidR="00C6650E" w:rsidRPr="0039427A">
              <w:rPr>
                <w:rFonts w:ascii="Times New Roman" w:hAnsi="Times New Roman"/>
                <w:iCs/>
                <w:color w:val="000000" w:themeColor="text1"/>
              </w:rPr>
              <w:t xml:space="preserve">entails </w:t>
            </w:r>
            <w:r w:rsidR="0039427A">
              <w:rPr>
                <w:rFonts w:ascii="Times New Roman" w:hAnsi="Times New Roman"/>
                <w:iCs/>
                <w:color w:val="000000" w:themeColor="text1"/>
              </w:rPr>
              <w:t>around five+</w:t>
            </w:r>
            <w:r w:rsidR="001A14D7" w:rsidRPr="0039427A">
              <w:rPr>
                <w:rFonts w:ascii="Times New Roman" w:hAnsi="Times New Roman"/>
                <w:iCs/>
                <w:color w:val="000000" w:themeColor="text1"/>
              </w:rPr>
              <w:t xml:space="preserve"> </w:t>
            </w:r>
            <w:r w:rsidRPr="0039427A">
              <w:rPr>
                <w:rFonts w:ascii="Times New Roman" w:hAnsi="Times New Roman"/>
                <w:iCs/>
                <w:color w:val="000000" w:themeColor="text1"/>
              </w:rPr>
              <w:t xml:space="preserve">service and supply contracts </w:t>
            </w:r>
          </w:p>
          <w:p w:rsidR="000E1DFC" w:rsidRPr="0039427A" w:rsidRDefault="000E1DFC" w:rsidP="000E1DFC">
            <w:pPr>
              <w:pStyle w:val="ListParagraph"/>
              <w:numPr>
                <w:ilvl w:val="0"/>
                <w:numId w:val="22"/>
              </w:numPr>
              <w:spacing w:after="120" w:line="240" w:lineRule="auto"/>
              <w:jc w:val="both"/>
              <w:rPr>
                <w:rFonts w:ascii="Times New Roman" w:hAnsi="Times New Roman"/>
                <w:i/>
                <w:color w:val="000000" w:themeColor="text1"/>
              </w:rPr>
            </w:pPr>
            <w:r w:rsidRPr="0039427A">
              <w:rPr>
                <w:rFonts w:ascii="Times New Roman" w:hAnsi="Times New Roman"/>
                <w:b/>
                <w:iCs/>
                <w:color w:val="000000" w:themeColor="text1"/>
              </w:rPr>
              <w:t>Grant,</w:t>
            </w:r>
            <w:r w:rsidR="00A64215">
              <w:rPr>
                <w:rFonts w:ascii="Times New Roman" w:hAnsi="Times New Roman"/>
                <w:b/>
                <w:iCs/>
                <w:color w:val="000000" w:themeColor="text1"/>
              </w:rPr>
              <w:t xml:space="preserve"> </w:t>
            </w:r>
            <w:bookmarkStart w:id="1" w:name="_GoBack"/>
            <w:bookmarkEnd w:id="1"/>
            <w:r w:rsidR="00B93284" w:rsidRPr="0039427A">
              <w:rPr>
                <w:rFonts w:ascii="Times New Roman" w:hAnsi="Times New Roman"/>
                <w:bCs/>
                <w:iCs/>
                <w:color w:val="000000" w:themeColor="text1"/>
              </w:rPr>
              <w:t>1 call for proposals</w:t>
            </w:r>
          </w:p>
        </w:tc>
      </w:tr>
      <w:tr w:rsidR="00D92F6C" w:rsidRPr="00E82A5D" w:rsidTr="00476031">
        <w:trPr>
          <w:jc w:val="center"/>
        </w:trPr>
        <w:tc>
          <w:tcPr>
            <w:tcW w:w="2802" w:type="dxa"/>
            <w:gridSpan w:val="2"/>
            <w:tcBorders>
              <w:top w:val="single" w:sz="4" w:space="0" w:color="auto"/>
              <w:left w:val="single" w:sz="4" w:space="0" w:color="auto"/>
              <w:bottom w:val="single" w:sz="4" w:space="0" w:color="auto"/>
              <w:right w:val="single" w:sz="4" w:space="0" w:color="auto"/>
            </w:tcBorders>
          </w:tcPr>
          <w:p w:rsidR="00D92F6C" w:rsidRPr="00E82A5D" w:rsidRDefault="00D92F6C" w:rsidP="007A1353">
            <w:pPr>
              <w:rPr>
                <w:rFonts w:ascii="Times New Roman" w:hAnsi="Times New Roman"/>
                <w:color w:val="000000" w:themeColor="text1"/>
              </w:rPr>
            </w:pPr>
            <w:r w:rsidRPr="00E82A5D">
              <w:rPr>
                <w:rFonts w:ascii="Times New Roman" w:hAnsi="Times New Roman"/>
                <w:color w:val="000000" w:themeColor="text1"/>
              </w:rPr>
              <w:t xml:space="preserve">Budget Support Readiness </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D92F6C" w:rsidRPr="00E82A5D" w:rsidRDefault="00AD107F" w:rsidP="00476031">
            <w:pPr>
              <w:spacing w:after="120" w:line="240" w:lineRule="auto"/>
              <w:jc w:val="both"/>
              <w:rPr>
                <w:rFonts w:ascii="Times New Roman" w:hAnsi="Times New Roman"/>
                <w:i/>
                <w:color w:val="000000" w:themeColor="text1"/>
              </w:rPr>
            </w:pPr>
            <w:r w:rsidRPr="00E82A5D">
              <w:rPr>
                <w:rFonts w:ascii="Times New Roman" w:hAnsi="Times New Roman"/>
                <w:iCs/>
                <w:color w:val="000000" w:themeColor="text1"/>
              </w:rPr>
              <w:t>Not applicable</w:t>
            </w:r>
          </w:p>
        </w:tc>
      </w:tr>
    </w:tbl>
    <w:p w:rsidR="00D92F6C" w:rsidRPr="00E82A5D" w:rsidRDefault="00D92F6C" w:rsidP="00D92F6C">
      <w:pPr>
        <w:spacing w:after="0" w:line="240" w:lineRule="auto"/>
        <w:jc w:val="both"/>
        <w:rPr>
          <w:rFonts w:ascii="Times New Roman" w:hAnsi="Times New Roman"/>
          <w:i/>
          <w:color w:val="000000" w:themeColor="text1"/>
          <w:sz w:val="20"/>
          <w:szCs w:val="20"/>
        </w:rPr>
        <w:sectPr w:rsidR="00D92F6C" w:rsidRPr="00E82A5D">
          <w:pgSz w:w="11906" w:h="16838"/>
          <w:pgMar w:top="1440" w:right="1440" w:bottom="1440" w:left="1440" w:header="708" w:footer="708" w:gutter="0"/>
          <w:cols w:space="708"/>
          <w:docGrid w:linePitch="360"/>
        </w:sectPr>
      </w:pPr>
    </w:p>
    <w:p w:rsidR="00D92F6C" w:rsidRPr="00E82A5D" w:rsidRDefault="00D92F6C" w:rsidP="00D92F6C">
      <w:pPr>
        <w:rPr>
          <w:rFonts w:ascii="Times New Roman" w:hAnsi="Times New Roman"/>
          <w:bCs/>
          <w:smallCaps/>
          <w:color w:val="000000" w:themeColor="text1"/>
          <w:lang w:val="fr-FR"/>
        </w:rPr>
      </w:pPr>
      <w:bookmarkStart w:id="2" w:name="_Toc33698402"/>
      <w:r w:rsidRPr="00E82A5D">
        <w:rPr>
          <w:rFonts w:ascii="Times New Roman" w:hAnsi="Times New Roman"/>
          <w:b/>
          <w:bCs/>
          <w:smallCaps/>
          <w:color w:val="000000" w:themeColor="text1"/>
          <w:sz w:val="24"/>
          <w:szCs w:val="20"/>
          <w:lang w:val="fr-FR"/>
        </w:rPr>
        <w:t xml:space="preserve">LOGICAL FRAMEWORK MATRIX </w:t>
      </w:r>
      <w:bookmarkEnd w:id="2"/>
    </w:p>
    <w:tbl>
      <w:tblPr>
        <w:tblW w:w="15309"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70" w:type="dxa"/>
          <w:right w:w="70" w:type="dxa"/>
        </w:tblCellMar>
        <w:tblLook w:val="0000" w:firstRow="0" w:lastRow="0" w:firstColumn="0" w:lastColumn="0" w:noHBand="0" w:noVBand="0"/>
      </w:tblPr>
      <w:tblGrid>
        <w:gridCol w:w="3401"/>
        <w:gridCol w:w="3968"/>
        <w:gridCol w:w="1440"/>
        <w:gridCol w:w="1260"/>
        <w:gridCol w:w="1530"/>
        <w:gridCol w:w="1584"/>
        <w:gridCol w:w="2126"/>
      </w:tblGrid>
      <w:tr w:rsidR="001F75A2" w:rsidRPr="00E82A5D" w:rsidTr="0009576A">
        <w:trPr>
          <w:trHeight w:val="1145"/>
        </w:trPr>
        <w:tc>
          <w:tcPr>
            <w:tcW w:w="3401" w:type="dxa"/>
            <w:shd w:val="clear" w:color="auto" w:fill="FFFFFF"/>
            <w:vAlign w:val="center"/>
          </w:tcPr>
          <w:p w:rsidR="001F75A2" w:rsidRPr="00E82A5D" w:rsidRDefault="001F75A2" w:rsidP="0009576A">
            <w:pPr>
              <w:shd w:val="clear" w:color="auto" w:fill="FFFFFF"/>
              <w:spacing w:before="100" w:beforeAutospacing="1" w:after="100" w:afterAutospacing="1"/>
              <w:jc w:val="center"/>
              <w:rPr>
                <w:rFonts w:ascii="Times New Roman" w:hAnsi="Times New Roman"/>
                <w:b/>
                <w:color w:val="000000" w:themeColor="text1"/>
                <w:sz w:val="16"/>
                <w:szCs w:val="16"/>
              </w:rPr>
            </w:pPr>
            <w:r w:rsidRPr="00E82A5D">
              <w:rPr>
                <w:rFonts w:ascii="Times New Roman" w:hAnsi="Times New Roman"/>
                <w:b/>
                <w:color w:val="000000" w:themeColor="text1"/>
                <w:sz w:val="16"/>
                <w:szCs w:val="16"/>
              </w:rPr>
              <w:t>OVERALL OBJECTIVE(S) / (IMPACT(S))</w:t>
            </w:r>
          </w:p>
        </w:tc>
        <w:tc>
          <w:tcPr>
            <w:tcW w:w="3968" w:type="dxa"/>
            <w:shd w:val="clear" w:color="auto" w:fill="FFFFFF"/>
            <w:vAlign w:val="center"/>
          </w:tcPr>
          <w:p w:rsidR="001F75A2" w:rsidRPr="00E82A5D" w:rsidRDefault="001F75A2" w:rsidP="0009576A">
            <w:pPr>
              <w:shd w:val="clear" w:color="auto" w:fill="FFFFFF"/>
              <w:spacing w:after="0"/>
              <w:jc w:val="center"/>
              <w:rPr>
                <w:rFonts w:ascii="Times New Roman" w:hAnsi="Times New Roman"/>
                <w:b/>
                <w:color w:val="000000" w:themeColor="text1"/>
                <w:sz w:val="16"/>
                <w:szCs w:val="16"/>
              </w:rPr>
            </w:pPr>
            <w:r w:rsidRPr="00E82A5D">
              <w:rPr>
                <w:rFonts w:ascii="Times New Roman" w:hAnsi="Times New Roman"/>
                <w:b/>
                <w:color w:val="000000" w:themeColor="text1"/>
                <w:sz w:val="16"/>
                <w:szCs w:val="16"/>
              </w:rPr>
              <w:t>OBJECTIVELY VERIFIABLE INDICATORS</w:t>
            </w:r>
          </w:p>
          <w:p w:rsidR="001F75A2" w:rsidRPr="00E82A5D" w:rsidRDefault="001F75A2" w:rsidP="0009576A">
            <w:pPr>
              <w:shd w:val="clear" w:color="auto" w:fill="FFFFFF"/>
              <w:spacing w:after="0"/>
              <w:jc w:val="center"/>
              <w:rPr>
                <w:rFonts w:ascii="Times New Roman" w:hAnsi="Times New Roman"/>
                <w:b/>
                <w:color w:val="000000" w:themeColor="text1"/>
                <w:sz w:val="16"/>
                <w:szCs w:val="16"/>
              </w:rPr>
            </w:pPr>
            <w:r w:rsidRPr="00E82A5D">
              <w:rPr>
                <w:rFonts w:ascii="Times New Roman" w:hAnsi="Times New Roman"/>
                <w:color w:val="000000" w:themeColor="text1"/>
                <w:sz w:val="16"/>
                <w:szCs w:val="16"/>
              </w:rPr>
              <w:t>Quantitative and/or qualitative variables providing a simple and reliable mean to measure the achievement of the corresponding expected result (i.e. outputs, outcomes, impacts). Indicators should have a clear measurement unit and be formulated in a neutral way.</w:t>
            </w:r>
          </w:p>
        </w:tc>
        <w:tc>
          <w:tcPr>
            <w:tcW w:w="1440" w:type="dxa"/>
            <w:shd w:val="clear" w:color="auto" w:fill="FFFFFF"/>
            <w:vAlign w:val="center"/>
          </w:tcPr>
          <w:p w:rsidR="001F75A2" w:rsidRPr="00E82A5D" w:rsidRDefault="001F75A2" w:rsidP="0009576A">
            <w:pPr>
              <w:shd w:val="clear" w:color="auto" w:fill="FFFFFF"/>
              <w:jc w:val="center"/>
              <w:rPr>
                <w:rFonts w:ascii="Times New Roman" w:hAnsi="Times New Roman"/>
                <w:b/>
                <w:color w:val="000000" w:themeColor="text1"/>
                <w:sz w:val="16"/>
                <w:szCs w:val="16"/>
              </w:rPr>
            </w:pPr>
            <w:r w:rsidRPr="00E82A5D">
              <w:rPr>
                <w:rFonts w:ascii="Times New Roman" w:hAnsi="Times New Roman"/>
                <w:b/>
                <w:color w:val="000000" w:themeColor="text1"/>
                <w:sz w:val="16"/>
                <w:szCs w:val="16"/>
              </w:rPr>
              <w:t>BASELINES</w:t>
            </w:r>
          </w:p>
          <w:p w:rsidR="001F75A2" w:rsidRPr="00E82A5D" w:rsidRDefault="001F75A2" w:rsidP="0009576A">
            <w:pPr>
              <w:shd w:val="clear" w:color="auto" w:fill="FFFFFF"/>
              <w:spacing w:after="0"/>
              <w:jc w:val="both"/>
              <w:rPr>
                <w:rFonts w:ascii="Times New Roman" w:hAnsi="Times New Roman"/>
                <w:b/>
                <w:color w:val="000000" w:themeColor="text1"/>
                <w:sz w:val="16"/>
                <w:szCs w:val="16"/>
              </w:rPr>
            </w:pPr>
            <w:r w:rsidRPr="00E82A5D">
              <w:rPr>
                <w:rFonts w:ascii="Times New Roman" w:hAnsi="Times New Roman"/>
                <w:b/>
                <w:color w:val="000000" w:themeColor="text1"/>
                <w:sz w:val="16"/>
                <w:szCs w:val="16"/>
              </w:rPr>
              <w:t>(INCL. VALUE &amp; REFERENCE YEAR</w:t>
            </w:r>
            <w:r w:rsidRPr="00E82A5D">
              <w:rPr>
                <w:rStyle w:val="FootnoteReference"/>
                <w:rFonts w:ascii="Times New Roman" w:hAnsi="Times New Roman"/>
                <w:b/>
                <w:color w:val="000000" w:themeColor="text1"/>
                <w:sz w:val="16"/>
                <w:szCs w:val="16"/>
              </w:rPr>
              <w:footnoteReference w:id="1"/>
            </w:r>
            <w:r w:rsidRPr="00E82A5D">
              <w:rPr>
                <w:rFonts w:ascii="Times New Roman" w:hAnsi="Times New Roman"/>
                <w:b/>
                <w:color w:val="000000" w:themeColor="text1"/>
                <w:sz w:val="16"/>
                <w:szCs w:val="16"/>
              </w:rPr>
              <w:t>)</w:t>
            </w:r>
          </w:p>
        </w:tc>
        <w:tc>
          <w:tcPr>
            <w:tcW w:w="1260" w:type="dxa"/>
            <w:shd w:val="clear" w:color="auto" w:fill="FFFFFF"/>
          </w:tcPr>
          <w:p w:rsidR="001F75A2" w:rsidRPr="00E82A5D" w:rsidRDefault="001F75A2" w:rsidP="0009576A">
            <w:pPr>
              <w:shd w:val="clear" w:color="auto" w:fill="FFFFFF"/>
              <w:spacing w:after="0"/>
              <w:jc w:val="center"/>
              <w:rPr>
                <w:rFonts w:ascii="Times New Roman" w:hAnsi="Times New Roman"/>
                <w:b/>
                <w:color w:val="000000" w:themeColor="text1"/>
                <w:sz w:val="16"/>
                <w:szCs w:val="16"/>
              </w:rPr>
            </w:pPr>
          </w:p>
          <w:p w:rsidR="001F75A2" w:rsidRPr="00E82A5D" w:rsidRDefault="001F75A2" w:rsidP="0009576A">
            <w:pPr>
              <w:shd w:val="clear" w:color="auto" w:fill="FFFFFF"/>
              <w:spacing w:after="0"/>
              <w:jc w:val="center"/>
              <w:rPr>
                <w:rFonts w:ascii="Times New Roman" w:hAnsi="Times New Roman"/>
                <w:b/>
                <w:color w:val="000000" w:themeColor="text1"/>
                <w:sz w:val="16"/>
                <w:szCs w:val="16"/>
              </w:rPr>
            </w:pPr>
            <w:r w:rsidRPr="00E82A5D">
              <w:rPr>
                <w:rFonts w:ascii="Times New Roman" w:hAnsi="Times New Roman"/>
                <w:b/>
                <w:color w:val="000000" w:themeColor="text1"/>
                <w:sz w:val="16"/>
                <w:szCs w:val="16"/>
              </w:rPr>
              <w:t>MILESTONES</w:t>
            </w:r>
          </w:p>
          <w:p w:rsidR="001F75A2" w:rsidRPr="00E82A5D" w:rsidRDefault="001F75A2" w:rsidP="0009576A">
            <w:pPr>
              <w:shd w:val="clear" w:color="auto" w:fill="FFFFFF"/>
              <w:jc w:val="center"/>
              <w:rPr>
                <w:rFonts w:ascii="Times New Roman" w:hAnsi="Times New Roman"/>
                <w:b/>
                <w:color w:val="000000" w:themeColor="text1"/>
                <w:sz w:val="16"/>
                <w:szCs w:val="16"/>
              </w:rPr>
            </w:pPr>
            <w:r w:rsidRPr="00E82A5D">
              <w:rPr>
                <w:rFonts w:ascii="Times New Roman" w:hAnsi="Times New Roman"/>
                <w:b/>
                <w:color w:val="000000" w:themeColor="text1"/>
                <w:sz w:val="16"/>
                <w:szCs w:val="16"/>
              </w:rPr>
              <w:t>[OPTIONAL]</w:t>
            </w:r>
          </w:p>
          <w:p w:rsidR="001F75A2" w:rsidRPr="00E82A5D" w:rsidRDefault="001F75A2" w:rsidP="0009576A">
            <w:pPr>
              <w:shd w:val="clear" w:color="auto" w:fill="FFFFFF"/>
              <w:spacing w:after="0"/>
              <w:jc w:val="center"/>
              <w:rPr>
                <w:rFonts w:ascii="Times New Roman" w:hAnsi="Times New Roman"/>
                <w:b/>
                <w:color w:val="000000" w:themeColor="text1"/>
                <w:sz w:val="16"/>
                <w:szCs w:val="16"/>
              </w:rPr>
            </w:pPr>
            <w:r w:rsidRPr="00E82A5D">
              <w:rPr>
                <w:rFonts w:ascii="Times New Roman" w:hAnsi="Times New Roman"/>
                <w:b/>
                <w:color w:val="000000" w:themeColor="text1"/>
                <w:sz w:val="16"/>
                <w:szCs w:val="16"/>
              </w:rPr>
              <w:t>(INCL. VALUE &amp; REFERENCE YEAR )</w:t>
            </w:r>
          </w:p>
        </w:tc>
        <w:tc>
          <w:tcPr>
            <w:tcW w:w="1530" w:type="dxa"/>
            <w:shd w:val="clear" w:color="auto" w:fill="FFFFFF"/>
            <w:vAlign w:val="center"/>
          </w:tcPr>
          <w:p w:rsidR="001F75A2" w:rsidRPr="00E82A5D" w:rsidRDefault="001F75A2" w:rsidP="0009576A">
            <w:pPr>
              <w:shd w:val="clear" w:color="auto" w:fill="FFFFFF"/>
              <w:jc w:val="center"/>
              <w:rPr>
                <w:rFonts w:ascii="Times New Roman" w:hAnsi="Times New Roman"/>
                <w:b/>
                <w:color w:val="000000" w:themeColor="text1"/>
                <w:sz w:val="16"/>
                <w:szCs w:val="16"/>
              </w:rPr>
            </w:pPr>
            <w:r w:rsidRPr="00E82A5D">
              <w:rPr>
                <w:rFonts w:ascii="Times New Roman" w:hAnsi="Times New Roman"/>
                <w:b/>
                <w:color w:val="000000" w:themeColor="text1"/>
                <w:sz w:val="16"/>
                <w:szCs w:val="16"/>
              </w:rPr>
              <w:t>TARGETS</w:t>
            </w:r>
          </w:p>
          <w:p w:rsidR="001F75A2" w:rsidRPr="00E82A5D" w:rsidRDefault="001F75A2" w:rsidP="0009576A">
            <w:pPr>
              <w:shd w:val="clear" w:color="auto" w:fill="FFFFFF"/>
              <w:jc w:val="center"/>
              <w:rPr>
                <w:rFonts w:ascii="Times New Roman" w:hAnsi="Times New Roman"/>
                <w:b/>
                <w:color w:val="000000" w:themeColor="text1"/>
                <w:sz w:val="16"/>
                <w:szCs w:val="16"/>
              </w:rPr>
            </w:pPr>
            <w:r w:rsidRPr="00E82A5D">
              <w:rPr>
                <w:rFonts w:ascii="Times New Roman" w:hAnsi="Times New Roman"/>
                <w:b/>
                <w:color w:val="000000" w:themeColor="text1"/>
                <w:sz w:val="16"/>
                <w:szCs w:val="16"/>
              </w:rPr>
              <w:t>(INCL. VALUE &amp; REFERENCE YEAR)</w:t>
            </w:r>
          </w:p>
        </w:tc>
        <w:tc>
          <w:tcPr>
            <w:tcW w:w="1584" w:type="dxa"/>
            <w:shd w:val="clear" w:color="auto" w:fill="FFFFFF"/>
            <w:vAlign w:val="center"/>
          </w:tcPr>
          <w:p w:rsidR="001F75A2" w:rsidRPr="00E82A5D" w:rsidRDefault="001F75A2" w:rsidP="0009576A">
            <w:pPr>
              <w:shd w:val="clear" w:color="auto" w:fill="FFFFFF"/>
              <w:spacing w:after="0"/>
              <w:jc w:val="center"/>
              <w:rPr>
                <w:rFonts w:ascii="Times New Roman" w:hAnsi="Times New Roman"/>
                <w:color w:val="000000" w:themeColor="text1"/>
                <w:sz w:val="16"/>
                <w:szCs w:val="16"/>
              </w:rPr>
            </w:pPr>
            <w:r w:rsidRPr="00E82A5D">
              <w:rPr>
                <w:rFonts w:ascii="Times New Roman" w:hAnsi="Times New Roman"/>
                <w:b/>
                <w:color w:val="000000" w:themeColor="text1"/>
                <w:sz w:val="16"/>
                <w:szCs w:val="16"/>
              </w:rPr>
              <w:t>SOURCES &amp; MEANS OF VERIFICATION</w:t>
            </w:r>
          </w:p>
        </w:tc>
        <w:tc>
          <w:tcPr>
            <w:tcW w:w="2126" w:type="dxa"/>
            <w:vMerge w:val="restart"/>
            <w:tcBorders>
              <w:top w:val="nil"/>
              <w:right w:val="nil"/>
            </w:tcBorders>
            <w:shd w:val="clear" w:color="auto" w:fill="FFFFFF"/>
          </w:tcPr>
          <w:p w:rsidR="001F75A2" w:rsidRPr="00E82A5D" w:rsidRDefault="001F75A2" w:rsidP="0009576A">
            <w:pPr>
              <w:shd w:val="clear" w:color="auto" w:fill="FFFFFF"/>
              <w:spacing w:after="0"/>
              <w:rPr>
                <w:rFonts w:ascii="Times New Roman" w:hAnsi="Times New Roman"/>
                <w:color w:val="000000" w:themeColor="text1"/>
                <w:sz w:val="16"/>
                <w:szCs w:val="16"/>
              </w:rPr>
            </w:pPr>
          </w:p>
        </w:tc>
      </w:tr>
      <w:tr w:rsidR="001F75A2" w:rsidRPr="00E82A5D" w:rsidTr="0009576A">
        <w:trPr>
          <w:trHeight w:val="1061"/>
        </w:trPr>
        <w:tc>
          <w:tcPr>
            <w:tcW w:w="3401" w:type="dxa"/>
            <w:vMerge w:val="restart"/>
            <w:shd w:val="clear" w:color="auto" w:fill="FFFFFF"/>
          </w:tcPr>
          <w:p w:rsidR="001F75A2" w:rsidRPr="00E82A5D" w:rsidRDefault="001F75A2" w:rsidP="0009576A">
            <w:pPr>
              <w:shd w:val="clear" w:color="auto" w:fill="FFFFFF"/>
              <w:spacing w:after="0" w:line="240" w:lineRule="auto"/>
              <w:rPr>
                <w:rFonts w:ascii="Times New Roman" w:hAnsi="Times New Roman"/>
                <w:b/>
                <w:color w:val="000000" w:themeColor="text1"/>
                <w:sz w:val="16"/>
                <w:szCs w:val="16"/>
              </w:rPr>
            </w:pPr>
            <w:r w:rsidRPr="00E82A5D">
              <w:rPr>
                <w:rFonts w:ascii="Times New Roman" w:hAnsi="Times New Roman"/>
                <w:b/>
                <w:color w:val="000000" w:themeColor="text1"/>
                <w:sz w:val="16"/>
                <w:szCs w:val="16"/>
              </w:rPr>
              <w:t>OVERALL OBJECTIVE:</w:t>
            </w:r>
          </w:p>
          <w:p w:rsidR="001F75A2" w:rsidRPr="00E82A5D" w:rsidRDefault="001F75A2" w:rsidP="0009576A">
            <w:pPr>
              <w:shd w:val="clear" w:color="auto" w:fill="FFFFFF"/>
              <w:spacing w:after="0" w:line="240" w:lineRule="auto"/>
              <w:rPr>
                <w:rFonts w:ascii="Times New Roman" w:hAnsi="Times New Roman"/>
                <w:color w:val="000000" w:themeColor="text1"/>
                <w:sz w:val="16"/>
                <w:szCs w:val="16"/>
              </w:rPr>
            </w:pPr>
            <w:r w:rsidRPr="00E82A5D">
              <w:rPr>
                <w:rFonts w:ascii="Times New Roman" w:hAnsi="Times New Roman"/>
                <w:color w:val="000000" w:themeColor="text1"/>
                <w:sz w:val="16"/>
                <w:szCs w:val="16"/>
              </w:rPr>
              <w:t>To strengthen Rule of Law</w:t>
            </w:r>
          </w:p>
          <w:p w:rsidR="001F75A2" w:rsidRPr="00E82A5D" w:rsidRDefault="001F75A2" w:rsidP="0009576A">
            <w:pPr>
              <w:shd w:val="clear" w:color="auto" w:fill="FFFFFF"/>
              <w:spacing w:after="0" w:line="240" w:lineRule="auto"/>
              <w:rPr>
                <w:rFonts w:ascii="Times New Roman" w:hAnsi="Times New Roman"/>
                <w:color w:val="000000" w:themeColor="text1"/>
                <w:sz w:val="16"/>
                <w:szCs w:val="16"/>
              </w:rPr>
            </w:pPr>
          </w:p>
        </w:tc>
        <w:tc>
          <w:tcPr>
            <w:tcW w:w="3968" w:type="dxa"/>
            <w:shd w:val="clear" w:color="auto" w:fill="FFFFFF"/>
          </w:tcPr>
          <w:p w:rsidR="001F75A2" w:rsidRPr="00E82A5D" w:rsidRDefault="001F75A2" w:rsidP="0009576A">
            <w:pPr>
              <w:shd w:val="clear" w:color="auto" w:fill="FFFFFF"/>
              <w:spacing w:after="0" w:line="240" w:lineRule="auto"/>
              <w:rPr>
                <w:rFonts w:ascii="Times New Roman" w:hAnsi="Times New Roman"/>
                <w:color w:val="000000" w:themeColor="text1"/>
                <w:sz w:val="16"/>
                <w:szCs w:val="16"/>
              </w:rPr>
            </w:pPr>
            <w:r w:rsidRPr="00E82A5D">
              <w:rPr>
                <w:rFonts w:ascii="Times New Roman" w:eastAsiaTheme="minorHAnsi" w:hAnsi="Times New Roman"/>
                <w:color w:val="000000" w:themeColor="text1"/>
                <w:sz w:val="16"/>
                <w:szCs w:val="16"/>
                <w:lang w:eastAsia="en-US"/>
              </w:rPr>
              <w:t xml:space="preserve">Readiness of North Macedonia as regards compliance with European standards on the functioning of the judiciary (chapter 23) (independence and impartiality, accountability, professionalism and competence, quality and efficiency of the justice system) </w:t>
            </w:r>
          </w:p>
        </w:tc>
        <w:tc>
          <w:tcPr>
            <w:tcW w:w="1440" w:type="dxa"/>
            <w:shd w:val="clear" w:color="auto" w:fill="FFFFFF"/>
          </w:tcPr>
          <w:p w:rsidR="001F75A2" w:rsidRPr="00E82A5D" w:rsidRDefault="001F75A2" w:rsidP="0009576A">
            <w:pPr>
              <w:shd w:val="clear" w:color="auto" w:fill="FFFFFF"/>
              <w:spacing w:after="0" w:line="240" w:lineRule="auto"/>
              <w:rPr>
                <w:rFonts w:ascii="Times New Roman" w:eastAsiaTheme="minorHAnsi" w:hAnsi="Times New Roman"/>
                <w:color w:val="000000" w:themeColor="text1"/>
                <w:sz w:val="16"/>
                <w:szCs w:val="16"/>
                <w:lang w:eastAsia="en-US"/>
              </w:rPr>
            </w:pPr>
            <w:r w:rsidRPr="00E82A5D">
              <w:rPr>
                <w:rFonts w:ascii="Times New Roman" w:eastAsiaTheme="minorHAnsi" w:hAnsi="Times New Roman"/>
                <w:color w:val="000000" w:themeColor="text1"/>
                <w:sz w:val="16"/>
                <w:szCs w:val="16"/>
                <w:lang w:eastAsia="en-US"/>
              </w:rPr>
              <w:t>Some level of preparation (2018)</w:t>
            </w:r>
          </w:p>
          <w:p w:rsidR="001F75A2" w:rsidRPr="00E82A5D" w:rsidRDefault="001F75A2" w:rsidP="0009576A">
            <w:pPr>
              <w:shd w:val="clear" w:color="auto" w:fill="FFFFFF"/>
              <w:spacing w:after="0" w:line="240" w:lineRule="auto"/>
              <w:rPr>
                <w:rFonts w:ascii="Times New Roman" w:hAnsi="Times New Roman"/>
                <w:color w:val="000000" w:themeColor="text1"/>
                <w:sz w:val="16"/>
                <w:szCs w:val="16"/>
              </w:rPr>
            </w:pPr>
          </w:p>
        </w:tc>
        <w:tc>
          <w:tcPr>
            <w:tcW w:w="1260" w:type="dxa"/>
            <w:shd w:val="clear" w:color="auto" w:fill="FFFFFF"/>
          </w:tcPr>
          <w:p w:rsidR="001F75A2" w:rsidRPr="00E82A5D" w:rsidRDefault="001F75A2" w:rsidP="0009576A">
            <w:pPr>
              <w:shd w:val="clear" w:color="auto" w:fill="FFFFFF"/>
              <w:spacing w:after="0" w:line="240" w:lineRule="auto"/>
              <w:rPr>
                <w:rFonts w:ascii="Times New Roman" w:hAnsi="Times New Roman"/>
                <w:color w:val="000000" w:themeColor="text1"/>
                <w:sz w:val="16"/>
                <w:szCs w:val="16"/>
              </w:rPr>
            </w:pPr>
          </w:p>
        </w:tc>
        <w:tc>
          <w:tcPr>
            <w:tcW w:w="1530" w:type="dxa"/>
            <w:shd w:val="clear" w:color="auto" w:fill="FFFFFF"/>
          </w:tcPr>
          <w:p w:rsidR="001F75A2" w:rsidRPr="00E82A5D" w:rsidRDefault="001F75A2" w:rsidP="0009576A">
            <w:pPr>
              <w:shd w:val="clear" w:color="auto" w:fill="FFFFFF"/>
              <w:spacing w:after="0" w:line="240" w:lineRule="auto"/>
              <w:rPr>
                <w:rFonts w:ascii="Times New Roman" w:eastAsiaTheme="minorHAnsi" w:hAnsi="Times New Roman"/>
                <w:color w:val="000000" w:themeColor="text1"/>
                <w:sz w:val="16"/>
                <w:szCs w:val="16"/>
                <w:lang w:eastAsia="en-US"/>
              </w:rPr>
            </w:pPr>
            <w:r w:rsidRPr="00E82A5D">
              <w:rPr>
                <w:rFonts w:ascii="Times New Roman" w:eastAsiaTheme="minorHAnsi" w:hAnsi="Times New Roman"/>
                <w:color w:val="000000" w:themeColor="text1"/>
                <w:sz w:val="16"/>
                <w:szCs w:val="16"/>
                <w:lang w:eastAsia="en-US"/>
              </w:rPr>
              <w:t>Fully prepared (2027)</w:t>
            </w:r>
          </w:p>
          <w:p w:rsidR="001F75A2" w:rsidRPr="00E82A5D" w:rsidRDefault="001F75A2" w:rsidP="0009576A">
            <w:pPr>
              <w:shd w:val="clear" w:color="auto" w:fill="FFFFFF"/>
              <w:spacing w:after="0" w:line="240" w:lineRule="auto"/>
              <w:rPr>
                <w:rFonts w:ascii="Times New Roman" w:hAnsi="Times New Roman"/>
                <w:color w:val="000000" w:themeColor="text1"/>
                <w:sz w:val="16"/>
                <w:szCs w:val="16"/>
              </w:rPr>
            </w:pPr>
          </w:p>
          <w:p w:rsidR="001F75A2" w:rsidRPr="00E82A5D" w:rsidRDefault="001F75A2" w:rsidP="0009576A">
            <w:pPr>
              <w:shd w:val="clear" w:color="auto" w:fill="FFFFFF"/>
              <w:spacing w:after="0" w:line="240" w:lineRule="auto"/>
              <w:rPr>
                <w:rFonts w:ascii="Times New Roman" w:hAnsi="Times New Roman"/>
                <w:color w:val="000000" w:themeColor="text1"/>
                <w:sz w:val="16"/>
                <w:szCs w:val="16"/>
              </w:rPr>
            </w:pPr>
          </w:p>
        </w:tc>
        <w:tc>
          <w:tcPr>
            <w:tcW w:w="1584" w:type="dxa"/>
            <w:shd w:val="clear" w:color="auto" w:fill="FFFFFF"/>
          </w:tcPr>
          <w:p w:rsidR="001F75A2" w:rsidRPr="00E82A5D" w:rsidRDefault="001F75A2" w:rsidP="0009576A">
            <w:pPr>
              <w:numPr>
                <w:ilvl w:val="12"/>
                <w:numId w:val="0"/>
              </w:numPr>
              <w:shd w:val="clear" w:color="auto" w:fill="FFFFFF"/>
              <w:spacing w:after="0" w:line="240" w:lineRule="auto"/>
              <w:rPr>
                <w:rFonts w:ascii="Times New Roman" w:hAnsi="Times New Roman"/>
                <w:color w:val="000000" w:themeColor="text1"/>
                <w:sz w:val="16"/>
                <w:szCs w:val="16"/>
              </w:rPr>
            </w:pPr>
            <w:r w:rsidRPr="00E82A5D">
              <w:rPr>
                <w:rFonts w:ascii="Times New Roman" w:hAnsi="Times New Roman"/>
                <w:color w:val="000000" w:themeColor="text1"/>
                <w:sz w:val="16"/>
                <w:szCs w:val="16"/>
              </w:rPr>
              <w:t>EC annual reports</w:t>
            </w:r>
          </w:p>
          <w:p w:rsidR="001F75A2" w:rsidRPr="00E82A5D" w:rsidRDefault="001F75A2" w:rsidP="0009576A">
            <w:pPr>
              <w:numPr>
                <w:ilvl w:val="12"/>
                <w:numId w:val="0"/>
              </w:numPr>
              <w:shd w:val="clear" w:color="auto" w:fill="FFFFFF"/>
              <w:spacing w:after="0" w:line="240" w:lineRule="auto"/>
              <w:rPr>
                <w:rFonts w:ascii="Times New Roman" w:hAnsi="Times New Roman"/>
                <w:color w:val="000000" w:themeColor="text1"/>
                <w:sz w:val="16"/>
                <w:szCs w:val="16"/>
              </w:rPr>
            </w:pPr>
          </w:p>
        </w:tc>
        <w:tc>
          <w:tcPr>
            <w:tcW w:w="2126" w:type="dxa"/>
            <w:vMerge/>
            <w:tcBorders>
              <w:right w:val="nil"/>
            </w:tcBorders>
            <w:shd w:val="clear" w:color="auto" w:fill="FFFFFF"/>
          </w:tcPr>
          <w:p w:rsidR="001F75A2" w:rsidRPr="00E82A5D" w:rsidRDefault="001F75A2" w:rsidP="0009576A">
            <w:pPr>
              <w:shd w:val="clear" w:color="auto" w:fill="FFFFFF"/>
              <w:spacing w:after="0" w:line="240" w:lineRule="auto"/>
              <w:rPr>
                <w:rFonts w:ascii="Times New Roman" w:hAnsi="Times New Roman"/>
                <w:color w:val="000000" w:themeColor="text1"/>
                <w:sz w:val="16"/>
                <w:szCs w:val="16"/>
              </w:rPr>
            </w:pPr>
          </w:p>
        </w:tc>
      </w:tr>
      <w:tr w:rsidR="001F75A2" w:rsidRPr="00E82A5D" w:rsidTr="0009576A">
        <w:trPr>
          <w:trHeight w:val="350"/>
        </w:trPr>
        <w:tc>
          <w:tcPr>
            <w:tcW w:w="3401" w:type="dxa"/>
            <w:vMerge/>
            <w:shd w:val="clear" w:color="auto" w:fill="FFFFFF"/>
          </w:tcPr>
          <w:p w:rsidR="001F75A2" w:rsidRPr="00E82A5D" w:rsidRDefault="001F75A2" w:rsidP="0009576A">
            <w:pPr>
              <w:shd w:val="clear" w:color="auto" w:fill="FFFFFF"/>
              <w:spacing w:after="0" w:line="240" w:lineRule="auto"/>
              <w:rPr>
                <w:rFonts w:ascii="Times New Roman" w:hAnsi="Times New Roman"/>
                <w:b/>
                <w:color w:val="000000" w:themeColor="text1"/>
                <w:sz w:val="16"/>
                <w:szCs w:val="16"/>
              </w:rPr>
            </w:pPr>
          </w:p>
        </w:tc>
        <w:tc>
          <w:tcPr>
            <w:tcW w:w="3968" w:type="dxa"/>
            <w:shd w:val="clear" w:color="auto" w:fill="FFFFFF"/>
          </w:tcPr>
          <w:p w:rsidR="001F75A2" w:rsidRPr="00E82A5D" w:rsidRDefault="001F75A2" w:rsidP="0009576A">
            <w:pPr>
              <w:shd w:val="clear" w:color="auto" w:fill="FFFFFF"/>
              <w:spacing w:after="0" w:line="240" w:lineRule="auto"/>
              <w:rPr>
                <w:rFonts w:ascii="Times New Roman" w:eastAsiaTheme="minorHAnsi" w:hAnsi="Times New Roman"/>
                <w:color w:val="000000" w:themeColor="text1"/>
                <w:sz w:val="16"/>
                <w:szCs w:val="16"/>
                <w:lang w:eastAsia="en-US"/>
              </w:rPr>
            </w:pPr>
            <w:r w:rsidRPr="00E82A5D">
              <w:rPr>
                <w:rFonts w:ascii="Times New Roman" w:eastAsiaTheme="minorHAnsi" w:hAnsi="Times New Roman"/>
                <w:color w:val="000000" w:themeColor="text1"/>
                <w:sz w:val="16"/>
                <w:szCs w:val="16"/>
                <w:lang w:eastAsia="en-US"/>
              </w:rPr>
              <w:t>Corruption perceptions Index</w:t>
            </w:r>
          </w:p>
          <w:p w:rsidR="001F75A2" w:rsidRPr="00E82A5D" w:rsidRDefault="001F75A2" w:rsidP="0009576A">
            <w:pPr>
              <w:shd w:val="clear" w:color="auto" w:fill="FFFFFF"/>
              <w:spacing w:after="0" w:line="240" w:lineRule="auto"/>
              <w:rPr>
                <w:rFonts w:ascii="Times New Roman" w:eastAsiaTheme="minorHAnsi" w:hAnsi="Times New Roman"/>
                <w:color w:val="000000" w:themeColor="text1"/>
                <w:sz w:val="16"/>
                <w:szCs w:val="16"/>
                <w:lang w:eastAsia="en-US"/>
              </w:rPr>
            </w:pPr>
          </w:p>
        </w:tc>
        <w:tc>
          <w:tcPr>
            <w:tcW w:w="1440" w:type="dxa"/>
            <w:shd w:val="clear" w:color="auto" w:fill="FFFFFF"/>
          </w:tcPr>
          <w:p w:rsidR="001F75A2" w:rsidRPr="00E82A5D" w:rsidRDefault="001F75A2" w:rsidP="0009576A">
            <w:pPr>
              <w:shd w:val="clear" w:color="auto" w:fill="FFFFFF"/>
              <w:spacing w:after="0" w:line="240" w:lineRule="auto"/>
              <w:rPr>
                <w:rFonts w:ascii="Times New Roman" w:eastAsiaTheme="minorHAnsi" w:hAnsi="Times New Roman"/>
                <w:color w:val="000000" w:themeColor="text1"/>
                <w:sz w:val="16"/>
                <w:szCs w:val="16"/>
                <w:lang w:eastAsia="en-US"/>
              </w:rPr>
            </w:pPr>
            <w:r w:rsidRPr="00E82A5D">
              <w:rPr>
                <w:rFonts w:ascii="Times New Roman" w:eastAsiaTheme="minorHAnsi" w:hAnsi="Times New Roman"/>
                <w:color w:val="000000" w:themeColor="text1"/>
                <w:sz w:val="16"/>
                <w:szCs w:val="16"/>
                <w:lang w:eastAsia="en-US"/>
              </w:rPr>
              <w:t>35 (2019)</w:t>
            </w:r>
          </w:p>
        </w:tc>
        <w:tc>
          <w:tcPr>
            <w:tcW w:w="1260" w:type="dxa"/>
            <w:shd w:val="clear" w:color="auto" w:fill="FFFFFF"/>
          </w:tcPr>
          <w:p w:rsidR="001F75A2" w:rsidRPr="00E82A5D" w:rsidRDefault="001F75A2" w:rsidP="0009576A">
            <w:pPr>
              <w:shd w:val="clear" w:color="auto" w:fill="FFFFFF"/>
              <w:spacing w:after="0" w:line="240" w:lineRule="auto"/>
              <w:rPr>
                <w:rFonts w:ascii="Times New Roman" w:hAnsi="Times New Roman"/>
                <w:color w:val="000000" w:themeColor="text1"/>
                <w:sz w:val="16"/>
                <w:szCs w:val="16"/>
              </w:rPr>
            </w:pPr>
          </w:p>
        </w:tc>
        <w:tc>
          <w:tcPr>
            <w:tcW w:w="1530" w:type="dxa"/>
            <w:shd w:val="clear" w:color="auto" w:fill="FFFFFF"/>
          </w:tcPr>
          <w:p w:rsidR="001F75A2" w:rsidRPr="00E82A5D" w:rsidRDefault="001F75A2" w:rsidP="0009576A">
            <w:pPr>
              <w:shd w:val="clear" w:color="auto" w:fill="FFFFFF"/>
              <w:spacing w:after="0" w:line="240" w:lineRule="auto"/>
              <w:rPr>
                <w:rFonts w:ascii="Times New Roman" w:eastAsiaTheme="minorHAnsi" w:hAnsi="Times New Roman"/>
                <w:color w:val="000000" w:themeColor="text1"/>
                <w:sz w:val="16"/>
                <w:szCs w:val="16"/>
                <w:lang w:eastAsia="en-US"/>
              </w:rPr>
            </w:pPr>
          </w:p>
        </w:tc>
        <w:tc>
          <w:tcPr>
            <w:tcW w:w="1584" w:type="dxa"/>
            <w:shd w:val="clear" w:color="auto" w:fill="FFFFFF"/>
          </w:tcPr>
          <w:p w:rsidR="001F75A2" w:rsidRPr="00E82A5D" w:rsidRDefault="001F75A2" w:rsidP="0009576A">
            <w:pPr>
              <w:numPr>
                <w:ilvl w:val="12"/>
                <w:numId w:val="0"/>
              </w:numPr>
              <w:shd w:val="clear" w:color="auto" w:fill="FFFFFF"/>
              <w:spacing w:after="0" w:line="240" w:lineRule="auto"/>
              <w:rPr>
                <w:rFonts w:ascii="Times New Roman" w:hAnsi="Times New Roman"/>
                <w:color w:val="000000" w:themeColor="text1"/>
                <w:sz w:val="16"/>
                <w:szCs w:val="16"/>
              </w:rPr>
            </w:pPr>
            <w:r w:rsidRPr="00E82A5D">
              <w:rPr>
                <w:rFonts w:ascii="Times New Roman" w:hAnsi="Times New Roman"/>
                <w:color w:val="000000" w:themeColor="text1"/>
                <w:sz w:val="16"/>
                <w:szCs w:val="16"/>
              </w:rPr>
              <w:t>Transparency International</w:t>
            </w:r>
          </w:p>
        </w:tc>
        <w:tc>
          <w:tcPr>
            <w:tcW w:w="2126" w:type="dxa"/>
            <w:vMerge/>
            <w:tcBorders>
              <w:right w:val="nil"/>
            </w:tcBorders>
            <w:shd w:val="clear" w:color="auto" w:fill="FFFFFF"/>
          </w:tcPr>
          <w:p w:rsidR="001F75A2" w:rsidRPr="00E82A5D" w:rsidRDefault="001F75A2" w:rsidP="0009576A">
            <w:pPr>
              <w:shd w:val="clear" w:color="auto" w:fill="FFFFFF"/>
              <w:spacing w:after="0" w:line="240" w:lineRule="auto"/>
              <w:rPr>
                <w:rFonts w:ascii="Times New Roman" w:hAnsi="Times New Roman"/>
                <w:color w:val="000000" w:themeColor="text1"/>
                <w:sz w:val="16"/>
                <w:szCs w:val="16"/>
              </w:rPr>
            </w:pPr>
          </w:p>
        </w:tc>
      </w:tr>
      <w:tr w:rsidR="001F75A2" w:rsidRPr="00E82A5D" w:rsidTr="0009576A">
        <w:trPr>
          <w:trHeight w:val="233"/>
        </w:trPr>
        <w:tc>
          <w:tcPr>
            <w:tcW w:w="3401" w:type="dxa"/>
            <w:vMerge/>
            <w:shd w:val="clear" w:color="auto" w:fill="FFFFFF"/>
          </w:tcPr>
          <w:p w:rsidR="001F75A2" w:rsidRPr="00E82A5D" w:rsidRDefault="001F75A2" w:rsidP="0009576A">
            <w:pPr>
              <w:shd w:val="clear" w:color="auto" w:fill="FFFFFF"/>
              <w:spacing w:after="0" w:line="240" w:lineRule="auto"/>
              <w:rPr>
                <w:rFonts w:ascii="Times New Roman" w:hAnsi="Times New Roman"/>
                <w:b/>
                <w:color w:val="000000" w:themeColor="text1"/>
                <w:sz w:val="16"/>
                <w:szCs w:val="16"/>
              </w:rPr>
            </w:pPr>
          </w:p>
        </w:tc>
        <w:tc>
          <w:tcPr>
            <w:tcW w:w="3968" w:type="dxa"/>
            <w:shd w:val="clear" w:color="auto" w:fill="FFFFFF"/>
          </w:tcPr>
          <w:p w:rsidR="001F75A2" w:rsidRPr="00E82A5D" w:rsidRDefault="001F75A2" w:rsidP="0009576A">
            <w:pPr>
              <w:shd w:val="clear" w:color="auto" w:fill="FFFFFF"/>
              <w:spacing w:after="0" w:line="240" w:lineRule="auto"/>
              <w:rPr>
                <w:rFonts w:ascii="Times New Roman" w:eastAsiaTheme="minorHAnsi" w:hAnsi="Times New Roman"/>
                <w:color w:val="000000" w:themeColor="text1"/>
                <w:sz w:val="16"/>
                <w:szCs w:val="16"/>
                <w:lang w:eastAsia="en-US"/>
              </w:rPr>
            </w:pPr>
            <w:r w:rsidRPr="00E82A5D">
              <w:rPr>
                <w:rFonts w:ascii="Times New Roman" w:eastAsiaTheme="minorHAnsi" w:hAnsi="Times New Roman"/>
                <w:color w:val="000000" w:themeColor="text1"/>
                <w:sz w:val="16"/>
                <w:szCs w:val="16"/>
                <w:lang w:eastAsia="en-US"/>
              </w:rPr>
              <w:t>Rule of Law Index-Corruption</w:t>
            </w:r>
          </w:p>
        </w:tc>
        <w:tc>
          <w:tcPr>
            <w:tcW w:w="1440" w:type="dxa"/>
            <w:shd w:val="clear" w:color="auto" w:fill="FFFFFF"/>
          </w:tcPr>
          <w:p w:rsidR="001F75A2" w:rsidRPr="00E82A5D" w:rsidRDefault="001F75A2" w:rsidP="0009576A">
            <w:pPr>
              <w:shd w:val="clear" w:color="auto" w:fill="FFFFFF"/>
              <w:spacing w:after="0" w:line="240" w:lineRule="auto"/>
              <w:rPr>
                <w:rFonts w:ascii="Times New Roman" w:eastAsiaTheme="minorHAnsi" w:hAnsi="Times New Roman"/>
                <w:color w:val="000000" w:themeColor="text1"/>
                <w:sz w:val="16"/>
                <w:szCs w:val="16"/>
                <w:lang w:eastAsia="en-US"/>
              </w:rPr>
            </w:pPr>
            <w:r w:rsidRPr="00E82A5D">
              <w:rPr>
                <w:rFonts w:ascii="Times New Roman" w:eastAsiaTheme="minorHAnsi" w:hAnsi="Times New Roman"/>
                <w:color w:val="000000" w:themeColor="text1"/>
                <w:sz w:val="16"/>
                <w:szCs w:val="16"/>
                <w:lang w:eastAsia="en-US"/>
              </w:rPr>
              <w:t>0.44 (2020)</w:t>
            </w:r>
          </w:p>
        </w:tc>
        <w:tc>
          <w:tcPr>
            <w:tcW w:w="1260" w:type="dxa"/>
            <w:shd w:val="clear" w:color="auto" w:fill="FFFFFF"/>
          </w:tcPr>
          <w:p w:rsidR="001F75A2" w:rsidRPr="00E82A5D" w:rsidRDefault="001F75A2" w:rsidP="0009576A">
            <w:pPr>
              <w:shd w:val="clear" w:color="auto" w:fill="FFFFFF"/>
              <w:spacing w:after="0" w:line="240" w:lineRule="auto"/>
              <w:rPr>
                <w:rFonts w:ascii="Times New Roman" w:hAnsi="Times New Roman"/>
                <w:color w:val="000000" w:themeColor="text1"/>
                <w:sz w:val="16"/>
                <w:szCs w:val="16"/>
              </w:rPr>
            </w:pPr>
          </w:p>
        </w:tc>
        <w:tc>
          <w:tcPr>
            <w:tcW w:w="1530" w:type="dxa"/>
            <w:shd w:val="clear" w:color="auto" w:fill="FFFFFF"/>
          </w:tcPr>
          <w:p w:rsidR="001F75A2" w:rsidRPr="00E82A5D" w:rsidRDefault="001F75A2" w:rsidP="0009576A">
            <w:pPr>
              <w:shd w:val="clear" w:color="auto" w:fill="FFFFFF"/>
              <w:spacing w:after="0" w:line="240" w:lineRule="auto"/>
              <w:rPr>
                <w:rFonts w:ascii="Times New Roman" w:eastAsiaTheme="minorHAnsi" w:hAnsi="Times New Roman"/>
                <w:color w:val="000000" w:themeColor="text1"/>
                <w:sz w:val="16"/>
                <w:szCs w:val="16"/>
                <w:lang w:eastAsia="en-US"/>
              </w:rPr>
            </w:pPr>
          </w:p>
        </w:tc>
        <w:tc>
          <w:tcPr>
            <w:tcW w:w="1584" w:type="dxa"/>
            <w:shd w:val="clear" w:color="auto" w:fill="FFFFFF"/>
          </w:tcPr>
          <w:p w:rsidR="001F75A2" w:rsidRPr="00E82A5D" w:rsidRDefault="001F75A2" w:rsidP="0009576A">
            <w:pPr>
              <w:numPr>
                <w:ilvl w:val="12"/>
                <w:numId w:val="0"/>
              </w:numPr>
              <w:shd w:val="clear" w:color="auto" w:fill="FFFFFF"/>
              <w:spacing w:after="0" w:line="240" w:lineRule="auto"/>
              <w:rPr>
                <w:rFonts w:ascii="Times New Roman" w:hAnsi="Times New Roman"/>
                <w:color w:val="000000" w:themeColor="text1"/>
                <w:sz w:val="16"/>
                <w:szCs w:val="16"/>
              </w:rPr>
            </w:pPr>
            <w:r w:rsidRPr="00E82A5D">
              <w:rPr>
                <w:rFonts w:ascii="Times New Roman" w:hAnsi="Times New Roman"/>
                <w:color w:val="000000" w:themeColor="text1"/>
                <w:sz w:val="16"/>
                <w:szCs w:val="16"/>
              </w:rPr>
              <w:t>World Justice Project</w:t>
            </w:r>
          </w:p>
        </w:tc>
        <w:tc>
          <w:tcPr>
            <w:tcW w:w="2126" w:type="dxa"/>
            <w:vMerge/>
            <w:tcBorders>
              <w:right w:val="nil"/>
            </w:tcBorders>
            <w:shd w:val="clear" w:color="auto" w:fill="FFFFFF"/>
          </w:tcPr>
          <w:p w:rsidR="001F75A2" w:rsidRPr="00E82A5D" w:rsidRDefault="001F75A2" w:rsidP="0009576A">
            <w:pPr>
              <w:shd w:val="clear" w:color="auto" w:fill="FFFFFF"/>
              <w:spacing w:after="0" w:line="240" w:lineRule="auto"/>
              <w:rPr>
                <w:rFonts w:ascii="Times New Roman" w:hAnsi="Times New Roman"/>
                <w:color w:val="000000" w:themeColor="text1"/>
                <w:sz w:val="16"/>
                <w:szCs w:val="16"/>
              </w:rPr>
            </w:pPr>
          </w:p>
        </w:tc>
      </w:tr>
      <w:tr w:rsidR="001F75A2" w:rsidRPr="00E82A5D" w:rsidTr="0009576A">
        <w:trPr>
          <w:trHeight w:val="189"/>
        </w:trPr>
        <w:tc>
          <w:tcPr>
            <w:tcW w:w="3401" w:type="dxa"/>
            <w:shd w:val="clear" w:color="auto" w:fill="FFFFFF"/>
          </w:tcPr>
          <w:p w:rsidR="001F75A2" w:rsidRPr="00E82A5D" w:rsidRDefault="001F75A2" w:rsidP="0009576A">
            <w:pPr>
              <w:numPr>
                <w:ilvl w:val="12"/>
                <w:numId w:val="0"/>
              </w:numPr>
              <w:shd w:val="clear" w:color="auto" w:fill="FFFFFF"/>
              <w:spacing w:after="0" w:line="240" w:lineRule="auto"/>
              <w:jc w:val="center"/>
              <w:rPr>
                <w:rFonts w:ascii="Times New Roman" w:hAnsi="Times New Roman"/>
                <w:color w:val="000000" w:themeColor="text1"/>
                <w:sz w:val="16"/>
                <w:szCs w:val="16"/>
              </w:rPr>
            </w:pPr>
            <w:r w:rsidRPr="00E82A5D">
              <w:rPr>
                <w:rFonts w:ascii="Times New Roman" w:hAnsi="Times New Roman"/>
                <w:b/>
                <w:color w:val="000000" w:themeColor="text1"/>
                <w:sz w:val="16"/>
                <w:szCs w:val="16"/>
              </w:rPr>
              <w:t>SPECIFIC OBJECTIVE(S) / OUTCOME(S)</w:t>
            </w:r>
          </w:p>
        </w:tc>
        <w:tc>
          <w:tcPr>
            <w:tcW w:w="3968" w:type="dxa"/>
            <w:shd w:val="clear" w:color="auto" w:fill="FFFFFF"/>
          </w:tcPr>
          <w:p w:rsidR="001F75A2" w:rsidRPr="00E82A5D" w:rsidRDefault="001F75A2" w:rsidP="0009576A">
            <w:pPr>
              <w:shd w:val="clear" w:color="auto" w:fill="FFFFFF"/>
              <w:spacing w:after="0" w:line="240" w:lineRule="auto"/>
              <w:jc w:val="center"/>
              <w:rPr>
                <w:rFonts w:ascii="Times New Roman" w:hAnsi="Times New Roman"/>
                <w:color w:val="000000" w:themeColor="text1"/>
                <w:sz w:val="16"/>
                <w:szCs w:val="16"/>
              </w:rPr>
            </w:pPr>
            <w:r w:rsidRPr="00E82A5D">
              <w:rPr>
                <w:rFonts w:ascii="Times New Roman" w:hAnsi="Times New Roman"/>
                <w:b/>
                <w:color w:val="000000" w:themeColor="text1"/>
                <w:sz w:val="16"/>
                <w:szCs w:val="16"/>
              </w:rPr>
              <w:t>OBJECTIVELY VERIFIABLE INDICATORS (*)</w:t>
            </w:r>
          </w:p>
        </w:tc>
        <w:tc>
          <w:tcPr>
            <w:tcW w:w="1440" w:type="dxa"/>
            <w:shd w:val="clear" w:color="auto" w:fill="FFFFFF"/>
          </w:tcPr>
          <w:p w:rsidR="001F75A2" w:rsidRPr="00E82A5D" w:rsidRDefault="001F75A2" w:rsidP="0009576A">
            <w:pPr>
              <w:shd w:val="clear" w:color="auto" w:fill="FFFFFF"/>
              <w:spacing w:after="0" w:line="240" w:lineRule="auto"/>
              <w:jc w:val="center"/>
              <w:rPr>
                <w:rFonts w:ascii="Times New Roman" w:hAnsi="Times New Roman"/>
                <w:b/>
                <w:color w:val="000000" w:themeColor="text1"/>
                <w:sz w:val="16"/>
                <w:szCs w:val="16"/>
              </w:rPr>
            </w:pPr>
            <w:r w:rsidRPr="00E82A5D">
              <w:rPr>
                <w:rFonts w:ascii="Times New Roman" w:hAnsi="Times New Roman"/>
                <w:b/>
                <w:color w:val="000000" w:themeColor="text1"/>
                <w:sz w:val="16"/>
                <w:szCs w:val="16"/>
              </w:rPr>
              <w:t>BASELINES</w:t>
            </w:r>
          </w:p>
          <w:p w:rsidR="001F75A2" w:rsidRPr="00E82A5D" w:rsidRDefault="001F75A2" w:rsidP="0009576A">
            <w:pPr>
              <w:shd w:val="clear" w:color="auto" w:fill="FFFFFF"/>
              <w:spacing w:after="0" w:line="240" w:lineRule="auto"/>
              <w:ind w:left="-352"/>
              <w:jc w:val="center"/>
              <w:rPr>
                <w:rFonts w:ascii="Times New Roman" w:hAnsi="Times New Roman"/>
                <w:b/>
                <w:color w:val="000000" w:themeColor="text1"/>
                <w:sz w:val="16"/>
                <w:szCs w:val="16"/>
              </w:rPr>
            </w:pPr>
          </w:p>
        </w:tc>
        <w:tc>
          <w:tcPr>
            <w:tcW w:w="1260" w:type="dxa"/>
            <w:shd w:val="clear" w:color="auto" w:fill="FFFFFF"/>
          </w:tcPr>
          <w:p w:rsidR="001F75A2" w:rsidRPr="00E82A5D" w:rsidRDefault="001F75A2" w:rsidP="0009576A">
            <w:pPr>
              <w:shd w:val="clear" w:color="auto" w:fill="FFFFFF"/>
              <w:spacing w:after="0" w:line="240" w:lineRule="auto"/>
              <w:jc w:val="center"/>
              <w:rPr>
                <w:rFonts w:ascii="Times New Roman" w:hAnsi="Times New Roman"/>
                <w:b/>
                <w:color w:val="000000" w:themeColor="text1"/>
                <w:sz w:val="16"/>
                <w:szCs w:val="16"/>
              </w:rPr>
            </w:pPr>
            <w:r w:rsidRPr="00E82A5D">
              <w:rPr>
                <w:rFonts w:ascii="Times New Roman" w:hAnsi="Times New Roman"/>
                <w:b/>
                <w:color w:val="000000" w:themeColor="text1"/>
                <w:sz w:val="16"/>
                <w:szCs w:val="16"/>
              </w:rPr>
              <w:t>MILESTONES</w:t>
            </w:r>
          </w:p>
          <w:p w:rsidR="001F75A2" w:rsidRPr="00E82A5D" w:rsidRDefault="001F75A2" w:rsidP="0009576A">
            <w:pPr>
              <w:shd w:val="clear" w:color="auto" w:fill="FFFFFF"/>
              <w:spacing w:after="0" w:line="240" w:lineRule="auto"/>
              <w:jc w:val="center"/>
              <w:rPr>
                <w:rFonts w:ascii="Times New Roman" w:hAnsi="Times New Roman"/>
                <w:b/>
                <w:color w:val="000000" w:themeColor="text1"/>
                <w:sz w:val="16"/>
                <w:szCs w:val="16"/>
              </w:rPr>
            </w:pPr>
          </w:p>
        </w:tc>
        <w:tc>
          <w:tcPr>
            <w:tcW w:w="1530" w:type="dxa"/>
            <w:shd w:val="clear" w:color="auto" w:fill="FFFFFF"/>
          </w:tcPr>
          <w:p w:rsidR="001F75A2" w:rsidRPr="00E82A5D" w:rsidRDefault="001F75A2" w:rsidP="0009576A">
            <w:pPr>
              <w:shd w:val="clear" w:color="auto" w:fill="FFFFFF"/>
              <w:spacing w:after="0" w:line="240" w:lineRule="auto"/>
              <w:jc w:val="center"/>
              <w:rPr>
                <w:rFonts w:ascii="Times New Roman" w:hAnsi="Times New Roman"/>
                <w:b/>
                <w:color w:val="000000" w:themeColor="text1"/>
                <w:sz w:val="16"/>
                <w:szCs w:val="16"/>
              </w:rPr>
            </w:pPr>
            <w:r w:rsidRPr="00E82A5D">
              <w:rPr>
                <w:rFonts w:ascii="Times New Roman" w:hAnsi="Times New Roman"/>
                <w:b/>
                <w:color w:val="000000" w:themeColor="text1"/>
                <w:sz w:val="16"/>
                <w:szCs w:val="16"/>
              </w:rPr>
              <w:t>TARGETS</w:t>
            </w:r>
          </w:p>
          <w:p w:rsidR="001F75A2" w:rsidRPr="00E82A5D" w:rsidRDefault="001F75A2" w:rsidP="0009576A">
            <w:pPr>
              <w:shd w:val="clear" w:color="auto" w:fill="FFFFFF"/>
              <w:spacing w:after="0" w:line="240" w:lineRule="auto"/>
              <w:jc w:val="center"/>
              <w:rPr>
                <w:rFonts w:ascii="Times New Roman" w:hAnsi="Times New Roman"/>
                <w:b/>
                <w:color w:val="000000" w:themeColor="text1"/>
                <w:sz w:val="16"/>
                <w:szCs w:val="16"/>
              </w:rPr>
            </w:pPr>
          </w:p>
        </w:tc>
        <w:tc>
          <w:tcPr>
            <w:tcW w:w="1584" w:type="dxa"/>
            <w:shd w:val="clear" w:color="auto" w:fill="FFFFFF"/>
          </w:tcPr>
          <w:p w:rsidR="001F75A2" w:rsidRPr="00E82A5D" w:rsidRDefault="001F75A2" w:rsidP="0009576A">
            <w:pPr>
              <w:shd w:val="clear" w:color="auto" w:fill="FFFFFF"/>
              <w:spacing w:after="0" w:line="240" w:lineRule="auto"/>
              <w:jc w:val="center"/>
              <w:rPr>
                <w:rFonts w:ascii="Times New Roman" w:hAnsi="Times New Roman"/>
                <w:color w:val="000000" w:themeColor="text1"/>
                <w:sz w:val="16"/>
                <w:szCs w:val="16"/>
              </w:rPr>
            </w:pPr>
            <w:r w:rsidRPr="00E82A5D">
              <w:rPr>
                <w:rFonts w:ascii="Times New Roman" w:hAnsi="Times New Roman"/>
                <w:b/>
                <w:color w:val="000000" w:themeColor="text1"/>
                <w:sz w:val="16"/>
                <w:szCs w:val="16"/>
              </w:rPr>
              <w:t>SOURCES OF VERIFICATION</w:t>
            </w:r>
          </w:p>
        </w:tc>
        <w:tc>
          <w:tcPr>
            <w:tcW w:w="2126" w:type="dxa"/>
            <w:shd w:val="clear" w:color="auto" w:fill="FFFFFF"/>
          </w:tcPr>
          <w:p w:rsidR="001F75A2" w:rsidRPr="00E82A5D" w:rsidRDefault="001F75A2" w:rsidP="0009576A">
            <w:pPr>
              <w:numPr>
                <w:ilvl w:val="12"/>
                <w:numId w:val="0"/>
              </w:numPr>
              <w:shd w:val="clear" w:color="auto" w:fill="FFFFFF"/>
              <w:spacing w:after="0" w:line="240" w:lineRule="auto"/>
              <w:jc w:val="center"/>
              <w:rPr>
                <w:rFonts w:ascii="Times New Roman" w:hAnsi="Times New Roman"/>
                <w:b/>
                <w:color w:val="000000" w:themeColor="text1"/>
                <w:sz w:val="16"/>
                <w:szCs w:val="16"/>
              </w:rPr>
            </w:pPr>
            <w:r w:rsidRPr="00E82A5D">
              <w:rPr>
                <w:rFonts w:ascii="Times New Roman" w:hAnsi="Times New Roman"/>
                <w:b/>
                <w:color w:val="000000" w:themeColor="text1"/>
                <w:sz w:val="16"/>
                <w:szCs w:val="16"/>
              </w:rPr>
              <w:t>ASSUMPTIONS</w:t>
            </w:r>
          </w:p>
        </w:tc>
      </w:tr>
      <w:tr w:rsidR="001F75A2" w:rsidRPr="00E82A5D" w:rsidTr="0009576A">
        <w:trPr>
          <w:trHeight w:val="889"/>
        </w:trPr>
        <w:tc>
          <w:tcPr>
            <w:tcW w:w="3401" w:type="dxa"/>
            <w:vMerge w:val="restart"/>
            <w:shd w:val="clear" w:color="auto" w:fill="FFFFFF"/>
          </w:tcPr>
          <w:p w:rsidR="001F75A2" w:rsidRPr="00E82A5D" w:rsidRDefault="001F75A2" w:rsidP="0009576A">
            <w:pPr>
              <w:shd w:val="clear" w:color="auto" w:fill="FFFFFF"/>
              <w:spacing w:before="60" w:after="0"/>
              <w:rPr>
                <w:rFonts w:ascii="Times New Roman" w:hAnsi="Times New Roman"/>
                <w:color w:val="000000" w:themeColor="text1"/>
                <w:sz w:val="16"/>
                <w:szCs w:val="16"/>
              </w:rPr>
            </w:pPr>
            <w:r w:rsidRPr="00E82A5D">
              <w:rPr>
                <w:rFonts w:ascii="Times New Roman" w:hAnsi="Times New Roman"/>
                <w:color w:val="000000" w:themeColor="text1"/>
                <w:sz w:val="16"/>
                <w:szCs w:val="16"/>
              </w:rPr>
              <w:t xml:space="preserve">To improve the efficiency of the justice </w:t>
            </w:r>
            <w:r w:rsidR="00B62852" w:rsidRPr="00E82A5D">
              <w:rPr>
                <w:rFonts w:ascii="Times New Roman" w:hAnsi="Times New Roman"/>
                <w:color w:val="000000" w:themeColor="text1"/>
                <w:sz w:val="16"/>
                <w:szCs w:val="16"/>
              </w:rPr>
              <w:t xml:space="preserve">system and </w:t>
            </w:r>
            <w:r w:rsidR="007D241E" w:rsidRPr="00E82A5D">
              <w:rPr>
                <w:rFonts w:ascii="Times New Roman" w:hAnsi="Times New Roman"/>
                <w:color w:val="000000" w:themeColor="text1"/>
                <w:sz w:val="16"/>
                <w:szCs w:val="16"/>
              </w:rPr>
              <w:t xml:space="preserve"> the efficiency of prevention and </w:t>
            </w:r>
            <w:r w:rsidRPr="00E82A5D">
              <w:rPr>
                <w:rFonts w:ascii="Times New Roman" w:hAnsi="Times New Roman"/>
                <w:color w:val="000000" w:themeColor="text1"/>
                <w:sz w:val="16"/>
                <w:szCs w:val="16"/>
              </w:rPr>
              <w:t xml:space="preserve"> the fight against corruption</w:t>
            </w:r>
          </w:p>
          <w:p w:rsidR="001F75A2" w:rsidRPr="00E82A5D" w:rsidRDefault="001F75A2" w:rsidP="0009576A">
            <w:pPr>
              <w:shd w:val="clear" w:color="auto" w:fill="FFFFFF"/>
              <w:spacing w:before="60" w:after="0"/>
              <w:rPr>
                <w:rFonts w:ascii="Times New Roman" w:hAnsi="Times New Roman"/>
                <w:color w:val="000000" w:themeColor="text1"/>
                <w:sz w:val="16"/>
                <w:szCs w:val="16"/>
              </w:rPr>
            </w:pPr>
          </w:p>
          <w:p w:rsidR="001F75A2" w:rsidRPr="00E82A5D" w:rsidRDefault="001F75A2" w:rsidP="0009576A">
            <w:pPr>
              <w:shd w:val="clear" w:color="auto" w:fill="FFFFFF"/>
              <w:spacing w:before="60" w:after="0"/>
              <w:rPr>
                <w:rFonts w:ascii="Times New Roman" w:hAnsi="Times New Roman"/>
                <w:color w:val="000000" w:themeColor="text1"/>
                <w:sz w:val="16"/>
                <w:szCs w:val="16"/>
              </w:rPr>
            </w:pPr>
          </w:p>
          <w:p w:rsidR="001F75A2" w:rsidRPr="00E82A5D" w:rsidRDefault="001F75A2" w:rsidP="0009576A">
            <w:pPr>
              <w:shd w:val="clear" w:color="auto" w:fill="FFFFFF"/>
              <w:spacing w:after="0" w:line="240" w:lineRule="auto"/>
              <w:rPr>
                <w:rFonts w:ascii="Times New Roman" w:hAnsi="Times New Roman"/>
                <w:color w:val="000000" w:themeColor="text1"/>
                <w:sz w:val="16"/>
                <w:szCs w:val="16"/>
                <w:lang w:val="en-US"/>
              </w:rPr>
            </w:pPr>
          </w:p>
        </w:tc>
        <w:tc>
          <w:tcPr>
            <w:tcW w:w="3968" w:type="dxa"/>
            <w:shd w:val="clear" w:color="auto" w:fill="FFFFFF"/>
          </w:tcPr>
          <w:p w:rsidR="001F75A2" w:rsidRPr="00E82A5D" w:rsidRDefault="001F75A2" w:rsidP="0009576A">
            <w:pPr>
              <w:shd w:val="clear" w:color="auto" w:fill="FFFFFF"/>
              <w:spacing w:before="60" w:after="0"/>
              <w:rPr>
                <w:rFonts w:ascii="Times New Roman" w:eastAsiaTheme="minorHAnsi" w:hAnsi="Times New Roman"/>
                <w:color w:val="000000" w:themeColor="text1"/>
                <w:sz w:val="16"/>
                <w:szCs w:val="16"/>
                <w:lang w:eastAsia="en-US"/>
              </w:rPr>
            </w:pPr>
            <w:r w:rsidRPr="00E82A5D">
              <w:rPr>
                <w:rFonts w:ascii="Times New Roman" w:eastAsiaTheme="minorHAnsi" w:hAnsi="Times New Roman"/>
                <w:color w:val="000000" w:themeColor="text1"/>
                <w:sz w:val="16"/>
                <w:szCs w:val="16"/>
                <w:lang w:eastAsia="en-US"/>
              </w:rPr>
              <w:t>Trust in courts and judiciary</w:t>
            </w:r>
          </w:p>
          <w:p w:rsidR="001F75A2" w:rsidRPr="00E82A5D" w:rsidRDefault="001F75A2" w:rsidP="0009576A">
            <w:pPr>
              <w:shd w:val="clear" w:color="auto" w:fill="FFFFFF"/>
              <w:spacing w:after="0" w:line="240" w:lineRule="auto"/>
              <w:rPr>
                <w:rFonts w:ascii="Times New Roman" w:hAnsi="Times New Roman"/>
                <w:color w:val="000000" w:themeColor="text1"/>
                <w:sz w:val="16"/>
                <w:szCs w:val="16"/>
              </w:rPr>
            </w:pPr>
          </w:p>
        </w:tc>
        <w:tc>
          <w:tcPr>
            <w:tcW w:w="1440" w:type="dxa"/>
            <w:shd w:val="clear" w:color="auto" w:fill="FFFFFF"/>
          </w:tcPr>
          <w:p w:rsidR="001F75A2" w:rsidRPr="00E82A5D" w:rsidRDefault="001F75A2" w:rsidP="0009576A">
            <w:pPr>
              <w:shd w:val="clear" w:color="auto" w:fill="FFFFFF"/>
              <w:spacing w:after="0" w:line="240" w:lineRule="auto"/>
              <w:rPr>
                <w:rFonts w:ascii="Times New Roman" w:hAnsi="Times New Roman"/>
                <w:color w:val="000000" w:themeColor="text1"/>
                <w:sz w:val="16"/>
                <w:szCs w:val="16"/>
              </w:rPr>
            </w:pPr>
            <w:r w:rsidRPr="00E82A5D">
              <w:rPr>
                <w:rFonts w:ascii="Times New Roman" w:hAnsi="Times New Roman"/>
                <w:color w:val="000000" w:themeColor="text1"/>
                <w:sz w:val="16"/>
                <w:szCs w:val="16"/>
              </w:rPr>
              <w:t>Totally distrust: 18%</w:t>
            </w:r>
          </w:p>
          <w:p w:rsidR="001F75A2" w:rsidRPr="00E82A5D" w:rsidRDefault="001F75A2" w:rsidP="0009576A">
            <w:pPr>
              <w:shd w:val="clear" w:color="auto" w:fill="FFFFFF"/>
              <w:spacing w:after="0" w:line="240" w:lineRule="auto"/>
              <w:rPr>
                <w:rFonts w:ascii="Times New Roman" w:hAnsi="Times New Roman"/>
                <w:color w:val="000000" w:themeColor="text1"/>
                <w:sz w:val="16"/>
                <w:szCs w:val="16"/>
              </w:rPr>
            </w:pPr>
            <w:r w:rsidRPr="00E82A5D">
              <w:rPr>
                <w:rFonts w:ascii="Times New Roman" w:hAnsi="Times New Roman"/>
                <w:color w:val="000000" w:themeColor="text1"/>
                <w:sz w:val="16"/>
                <w:szCs w:val="16"/>
              </w:rPr>
              <w:t>Tend not to trust: 33%</w:t>
            </w:r>
          </w:p>
          <w:p w:rsidR="001F75A2" w:rsidRPr="00E82A5D" w:rsidRDefault="001F75A2" w:rsidP="0009576A">
            <w:pPr>
              <w:shd w:val="clear" w:color="auto" w:fill="FFFFFF"/>
              <w:spacing w:after="0" w:line="240" w:lineRule="auto"/>
              <w:rPr>
                <w:rFonts w:ascii="Times New Roman" w:hAnsi="Times New Roman"/>
                <w:color w:val="000000" w:themeColor="text1"/>
                <w:sz w:val="16"/>
                <w:szCs w:val="16"/>
              </w:rPr>
            </w:pPr>
            <w:r w:rsidRPr="00E82A5D">
              <w:rPr>
                <w:rFonts w:ascii="Times New Roman" w:hAnsi="Times New Roman"/>
                <w:color w:val="000000" w:themeColor="text1"/>
                <w:sz w:val="16"/>
                <w:szCs w:val="16"/>
              </w:rPr>
              <w:t>Tend to trust: 37%</w:t>
            </w:r>
          </w:p>
          <w:p w:rsidR="001F75A2" w:rsidRPr="00E82A5D" w:rsidRDefault="001F75A2" w:rsidP="0009576A">
            <w:pPr>
              <w:shd w:val="clear" w:color="auto" w:fill="FFFFFF"/>
              <w:spacing w:after="0" w:line="240" w:lineRule="auto"/>
              <w:rPr>
                <w:rFonts w:ascii="Times New Roman" w:hAnsi="Times New Roman"/>
                <w:color w:val="000000" w:themeColor="text1"/>
                <w:sz w:val="16"/>
                <w:szCs w:val="16"/>
              </w:rPr>
            </w:pPr>
            <w:r w:rsidRPr="00E82A5D">
              <w:rPr>
                <w:rFonts w:ascii="Times New Roman" w:hAnsi="Times New Roman"/>
                <w:color w:val="000000" w:themeColor="text1"/>
                <w:sz w:val="16"/>
                <w:szCs w:val="16"/>
              </w:rPr>
              <w:t>Totally trust: 5%</w:t>
            </w:r>
          </w:p>
          <w:p w:rsidR="001F75A2" w:rsidRPr="00E82A5D" w:rsidRDefault="001F75A2" w:rsidP="0009576A">
            <w:pPr>
              <w:shd w:val="clear" w:color="auto" w:fill="FFFFFF"/>
              <w:spacing w:after="0" w:line="240" w:lineRule="auto"/>
              <w:rPr>
                <w:rFonts w:ascii="Times New Roman" w:hAnsi="Times New Roman"/>
                <w:color w:val="000000" w:themeColor="text1"/>
                <w:sz w:val="16"/>
                <w:szCs w:val="16"/>
              </w:rPr>
            </w:pPr>
            <w:r w:rsidRPr="00E82A5D">
              <w:rPr>
                <w:rFonts w:ascii="Times New Roman" w:hAnsi="Times New Roman"/>
                <w:color w:val="000000" w:themeColor="text1"/>
                <w:sz w:val="16"/>
                <w:szCs w:val="16"/>
              </w:rPr>
              <w:t>(2019)</w:t>
            </w:r>
          </w:p>
        </w:tc>
        <w:tc>
          <w:tcPr>
            <w:tcW w:w="1260" w:type="dxa"/>
            <w:shd w:val="clear" w:color="auto" w:fill="FFFFFF"/>
          </w:tcPr>
          <w:p w:rsidR="001F75A2" w:rsidRPr="00E82A5D" w:rsidRDefault="001F75A2" w:rsidP="0009576A">
            <w:pPr>
              <w:shd w:val="clear" w:color="auto" w:fill="FFFFFF"/>
              <w:spacing w:after="0" w:line="240" w:lineRule="auto"/>
              <w:rPr>
                <w:rFonts w:ascii="Times New Roman" w:hAnsi="Times New Roman"/>
                <w:color w:val="000000" w:themeColor="text1"/>
                <w:sz w:val="16"/>
                <w:szCs w:val="16"/>
              </w:rPr>
            </w:pPr>
          </w:p>
        </w:tc>
        <w:tc>
          <w:tcPr>
            <w:tcW w:w="1530" w:type="dxa"/>
            <w:shd w:val="clear" w:color="auto" w:fill="FFFFFF"/>
          </w:tcPr>
          <w:p w:rsidR="001F75A2" w:rsidRPr="00E82A5D" w:rsidRDefault="001F75A2" w:rsidP="0009576A">
            <w:pPr>
              <w:shd w:val="clear" w:color="auto" w:fill="FFFFFF"/>
              <w:spacing w:after="0" w:line="240" w:lineRule="auto"/>
              <w:rPr>
                <w:rFonts w:ascii="Times New Roman" w:hAnsi="Times New Roman"/>
                <w:color w:val="000000" w:themeColor="text1"/>
                <w:sz w:val="16"/>
                <w:szCs w:val="16"/>
              </w:rPr>
            </w:pPr>
            <w:r w:rsidRPr="00E82A5D">
              <w:rPr>
                <w:rFonts w:ascii="Times New Roman" w:hAnsi="Times New Roman"/>
                <w:color w:val="000000" w:themeColor="text1"/>
                <w:sz w:val="16"/>
                <w:szCs w:val="16"/>
              </w:rPr>
              <w:t>Totally distrust: XXX%</w:t>
            </w:r>
          </w:p>
          <w:p w:rsidR="001F75A2" w:rsidRPr="00E82A5D" w:rsidRDefault="001F75A2" w:rsidP="0009576A">
            <w:pPr>
              <w:shd w:val="clear" w:color="auto" w:fill="FFFFFF"/>
              <w:spacing w:after="0" w:line="240" w:lineRule="auto"/>
              <w:rPr>
                <w:rFonts w:ascii="Times New Roman" w:hAnsi="Times New Roman"/>
                <w:color w:val="000000" w:themeColor="text1"/>
                <w:sz w:val="16"/>
                <w:szCs w:val="16"/>
              </w:rPr>
            </w:pPr>
            <w:r w:rsidRPr="00E82A5D">
              <w:rPr>
                <w:rFonts w:ascii="Times New Roman" w:hAnsi="Times New Roman"/>
                <w:color w:val="000000" w:themeColor="text1"/>
                <w:sz w:val="16"/>
                <w:szCs w:val="16"/>
              </w:rPr>
              <w:t>Tend not to trust: XXX%</w:t>
            </w:r>
          </w:p>
          <w:p w:rsidR="001F75A2" w:rsidRPr="00E82A5D" w:rsidRDefault="001F75A2" w:rsidP="0009576A">
            <w:pPr>
              <w:shd w:val="clear" w:color="auto" w:fill="FFFFFF"/>
              <w:spacing w:after="0" w:line="240" w:lineRule="auto"/>
              <w:rPr>
                <w:rFonts w:ascii="Times New Roman" w:hAnsi="Times New Roman"/>
                <w:color w:val="000000" w:themeColor="text1"/>
                <w:sz w:val="16"/>
                <w:szCs w:val="16"/>
              </w:rPr>
            </w:pPr>
            <w:r w:rsidRPr="00E82A5D">
              <w:rPr>
                <w:rFonts w:ascii="Times New Roman" w:hAnsi="Times New Roman"/>
                <w:color w:val="000000" w:themeColor="text1"/>
                <w:sz w:val="16"/>
                <w:szCs w:val="16"/>
              </w:rPr>
              <w:t>Tend to trust: XXX%</w:t>
            </w:r>
          </w:p>
          <w:p w:rsidR="001F75A2" w:rsidRPr="00E82A5D" w:rsidRDefault="001F75A2" w:rsidP="0009576A">
            <w:pPr>
              <w:shd w:val="clear" w:color="auto" w:fill="FFFFFF"/>
              <w:spacing w:after="0" w:line="240" w:lineRule="auto"/>
              <w:rPr>
                <w:rFonts w:ascii="Times New Roman" w:hAnsi="Times New Roman"/>
                <w:color w:val="000000" w:themeColor="text1"/>
                <w:sz w:val="16"/>
                <w:szCs w:val="16"/>
              </w:rPr>
            </w:pPr>
            <w:r w:rsidRPr="00E82A5D">
              <w:rPr>
                <w:rFonts w:ascii="Times New Roman" w:hAnsi="Times New Roman"/>
                <w:color w:val="000000" w:themeColor="text1"/>
                <w:sz w:val="16"/>
                <w:szCs w:val="16"/>
              </w:rPr>
              <w:t>Totally trust: XX%</w:t>
            </w:r>
          </w:p>
          <w:p w:rsidR="001F75A2" w:rsidRPr="00E82A5D" w:rsidRDefault="001F75A2" w:rsidP="0009576A">
            <w:pPr>
              <w:shd w:val="clear" w:color="auto" w:fill="FFFFFF"/>
              <w:spacing w:after="0" w:line="240" w:lineRule="auto"/>
              <w:rPr>
                <w:rFonts w:ascii="Times New Roman" w:hAnsi="Times New Roman"/>
                <w:color w:val="000000" w:themeColor="text1"/>
                <w:sz w:val="16"/>
                <w:szCs w:val="16"/>
              </w:rPr>
            </w:pPr>
            <w:r w:rsidRPr="00E82A5D">
              <w:rPr>
                <w:rFonts w:ascii="Times New Roman" w:hAnsi="Times New Roman"/>
                <w:color w:val="000000" w:themeColor="text1"/>
                <w:sz w:val="16"/>
                <w:szCs w:val="16"/>
              </w:rPr>
              <w:t>(2024)</w:t>
            </w:r>
          </w:p>
        </w:tc>
        <w:tc>
          <w:tcPr>
            <w:tcW w:w="1584" w:type="dxa"/>
            <w:shd w:val="clear" w:color="auto" w:fill="FFFFFF"/>
          </w:tcPr>
          <w:p w:rsidR="001F75A2" w:rsidRPr="00E82A5D" w:rsidRDefault="001F75A2" w:rsidP="0009576A">
            <w:pPr>
              <w:numPr>
                <w:ilvl w:val="12"/>
                <w:numId w:val="0"/>
              </w:numPr>
              <w:shd w:val="clear" w:color="auto" w:fill="FFFFFF"/>
              <w:spacing w:after="0" w:line="240" w:lineRule="auto"/>
              <w:rPr>
                <w:rFonts w:ascii="Times New Roman" w:hAnsi="Times New Roman"/>
                <w:color w:val="000000" w:themeColor="text1"/>
                <w:sz w:val="16"/>
                <w:szCs w:val="16"/>
              </w:rPr>
            </w:pPr>
            <w:r w:rsidRPr="00E82A5D">
              <w:rPr>
                <w:rFonts w:ascii="Times New Roman" w:hAnsi="Times New Roman"/>
                <w:color w:val="000000" w:themeColor="text1"/>
                <w:sz w:val="16"/>
                <w:szCs w:val="16"/>
              </w:rPr>
              <w:t>Balkan Public Barometer</w:t>
            </w:r>
            <w:r w:rsidR="009B30BC" w:rsidRPr="00E82A5D">
              <w:rPr>
                <w:rFonts w:ascii="Times New Roman" w:hAnsi="Times New Roman"/>
                <w:color w:val="000000" w:themeColor="text1"/>
                <w:sz w:val="16"/>
                <w:szCs w:val="16"/>
              </w:rPr>
              <w:t xml:space="preserve"> of Regional Cooperation Council </w:t>
            </w:r>
          </w:p>
        </w:tc>
        <w:tc>
          <w:tcPr>
            <w:tcW w:w="2126" w:type="dxa"/>
            <w:vMerge w:val="restart"/>
            <w:shd w:val="clear" w:color="auto" w:fill="FFFFFF"/>
          </w:tcPr>
          <w:p w:rsidR="001F75A2" w:rsidRPr="00E82A5D" w:rsidRDefault="001F75A2" w:rsidP="0009576A">
            <w:pPr>
              <w:numPr>
                <w:ilvl w:val="12"/>
                <w:numId w:val="0"/>
              </w:numPr>
              <w:shd w:val="clear" w:color="auto" w:fill="FFFFFF"/>
              <w:spacing w:after="0" w:line="240" w:lineRule="auto"/>
              <w:rPr>
                <w:rFonts w:ascii="Times New Roman" w:hAnsi="Times New Roman"/>
                <w:color w:val="000000" w:themeColor="text1"/>
                <w:sz w:val="16"/>
                <w:szCs w:val="16"/>
              </w:rPr>
            </w:pPr>
            <w:r w:rsidRPr="00E82A5D">
              <w:rPr>
                <w:rFonts w:ascii="Times New Roman" w:hAnsi="Times New Roman"/>
                <w:color w:val="000000" w:themeColor="text1"/>
                <w:sz w:val="16"/>
                <w:szCs w:val="16"/>
              </w:rPr>
              <w:t>Government of North Macedonia is committed and ready to implement reform needed to achieve the required standards in justice and home affairs area.</w:t>
            </w:r>
          </w:p>
        </w:tc>
      </w:tr>
      <w:tr w:rsidR="001F75A2" w:rsidRPr="00E82A5D" w:rsidTr="0009576A">
        <w:trPr>
          <w:trHeight w:val="206"/>
        </w:trPr>
        <w:tc>
          <w:tcPr>
            <w:tcW w:w="3401" w:type="dxa"/>
            <w:vMerge/>
            <w:shd w:val="clear" w:color="auto" w:fill="FFFFFF"/>
          </w:tcPr>
          <w:p w:rsidR="001F75A2" w:rsidRPr="00E82A5D" w:rsidRDefault="001F75A2" w:rsidP="0009576A">
            <w:pPr>
              <w:shd w:val="clear" w:color="auto" w:fill="FFFFFF"/>
              <w:spacing w:before="60" w:after="0"/>
              <w:rPr>
                <w:rFonts w:ascii="Times New Roman" w:hAnsi="Times New Roman"/>
                <w:color w:val="000000" w:themeColor="text1"/>
                <w:sz w:val="16"/>
                <w:szCs w:val="16"/>
              </w:rPr>
            </w:pPr>
          </w:p>
        </w:tc>
        <w:tc>
          <w:tcPr>
            <w:tcW w:w="3968" w:type="dxa"/>
            <w:shd w:val="clear" w:color="auto" w:fill="FFFFFF"/>
          </w:tcPr>
          <w:p w:rsidR="001F75A2" w:rsidRPr="00E82A5D" w:rsidRDefault="001F75A2" w:rsidP="0009576A">
            <w:pPr>
              <w:spacing w:after="0" w:line="240" w:lineRule="auto"/>
              <w:rPr>
                <w:rFonts w:ascii="Times New Roman" w:hAnsi="Times New Roman"/>
                <w:color w:val="000000" w:themeColor="text1"/>
                <w:sz w:val="16"/>
                <w:szCs w:val="16"/>
                <w:lang w:eastAsia="en-US"/>
              </w:rPr>
            </w:pPr>
            <w:r w:rsidRPr="00E82A5D">
              <w:rPr>
                <w:rFonts w:ascii="Times New Roman" w:hAnsi="Times New Roman"/>
                <w:color w:val="000000" w:themeColor="text1"/>
                <w:sz w:val="16"/>
                <w:szCs w:val="16"/>
              </w:rPr>
              <w:t>Disposition time (average of 1</w:t>
            </w:r>
            <w:r w:rsidRPr="00E82A5D">
              <w:rPr>
                <w:rFonts w:ascii="Times New Roman" w:hAnsi="Times New Roman"/>
                <w:color w:val="000000" w:themeColor="text1"/>
                <w:sz w:val="16"/>
                <w:szCs w:val="16"/>
                <w:vertAlign w:val="superscript"/>
              </w:rPr>
              <w:t>st</w:t>
            </w:r>
            <w:r w:rsidRPr="00E82A5D">
              <w:rPr>
                <w:rFonts w:ascii="Times New Roman" w:hAnsi="Times New Roman"/>
                <w:color w:val="000000" w:themeColor="text1"/>
                <w:sz w:val="16"/>
                <w:szCs w:val="16"/>
              </w:rPr>
              <w:t xml:space="preserve">, second and highest instance for </w:t>
            </w:r>
            <w:r w:rsidRPr="00E82A5D">
              <w:rPr>
                <w:rFonts w:ascii="Times New Roman" w:hAnsi="Times New Roman"/>
                <w:color w:val="000000" w:themeColor="text1"/>
                <w:sz w:val="16"/>
                <w:szCs w:val="16"/>
                <w:lang w:eastAsia="en-US"/>
              </w:rPr>
              <w:t>Civil and commercial litigious cases, Administrative, and Criminal Justice)</w:t>
            </w:r>
          </w:p>
          <w:p w:rsidR="001F75A2" w:rsidRPr="00E82A5D" w:rsidRDefault="001F75A2" w:rsidP="0009576A">
            <w:pPr>
              <w:shd w:val="clear" w:color="auto" w:fill="FFFFFF"/>
              <w:spacing w:after="0" w:line="240" w:lineRule="auto"/>
              <w:rPr>
                <w:rFonts w:ascii="Times New Roman" w:hAnsi="Times New Roman"/>
                <w:color w:val="000000" w:themeColor="text1"/>
                <w:sz w:val="16"/>
                <w:szCs w:val="16"/>
              </w:rPr>
            </w:pPr>
          </w:p>
        </w:tc>
        <w:tc>
          <w:tcPr>
            <w:tcW w:w="1440" w:type="dxa"/>
            <w:shd w:val="clear" w:color="auto" w:fill="FFFFFF"/>
          </w:tcPr>
          <w:p w:rsidR="001F75A2" w:rsidRPr="00E82A5D" w:rsidRDefault="001F75A2" w:rsidP="0009576A">
            <w:pPr>
              <w:shd w:val="clear" w:color="auto" w:fill="FFFFFF"/>
              <w:spacing w:after="0" w:line="240" w:lineRule="auto"/>
              <w:rPr>
                <w:rFonts w:ascii="Times New Roman" w:hAnsi="Times New Roman"/>
                <w:color w:val="000000" w:themeColor="text1"/>
                <w:sz w:val="16"/>
                <w:szCs w:val="16"/>
              </w:rPr>
            </w:pPr>
            <w:r w:rsidRPr="00E82A5D">
              <w:rPr>
                <w:rFonts w:ascii="Times New Roman" w:hAnsi="Times New Roman"/>
                <w:color w:val="000000" w:themeColor="text1"/>
                <w:sz w:val="16"/>
                <w:szCs w:val="16"/>
              </w:rPr>
              <w:t>213 days (2016)</w:t>
            </w:r>
          </w:p>
        </w:tc>
        <w:tc>
          <w:tcPr>
            <w:tcW w:w="1260" w:type="dxa"/>
            <w:shd w:val="clear" w:color="auto" w:fill="FFFFFF"/>
          </w:tcPr>
          <w:p w:rsidR="001F75A2" w:rsidRPr="00E82A5D" w:rsidRDefault="001F75A2" w:rsidP="0009576A">
            <w:pPr>
              <w:shd w:val="clear" w:color="auto" w:fill="FFFFFF"/>
              <w:spacing w:after="0" w:line="240" w:lineRule="auto"/>
              <w:rPr>
                <w:rFonts w:ascii="Times New Roman" w:hAnsi="Times New Roman"/>
                <w:color w:val="000000" w:themeColor="text1"/>
                <w:sz w:val="16"/>
                <w:szCs w:val="16"/>
              </w:rPr>
            </w:pPr>
          </w:p>
        </w:tc>
        <w:tc>
          <w:tcPr>
            <w:tcW w:w="1530" w:type="dxa"/>
            <w:shd w:val="clear" w:color="auto" w:fill="FFFFFF"/>
          </w:tcPr>
          <w:p w:rsidR="001F75A2" w:rsidRPr="00E82A5D" w:rsidRDefault="00CB2C73" w:rsidP="00CB2C73">
            <w:pPr>
              <w:shd w:val="clear" w:color="auto" w:fill="FFFFFF"/>
              <w:spacing w:after="0" w:line="240" w:lineRule="auto"/>
              <w:rPr>
                <w:rFonts w:ascii="Times New Roman" w:hAnsi="Times New Roman"/>
                <w:color w:val="000000" w:themeColor="text1"/>
                <w:sz w:val="16"/>
                <w:szCs w:val="16"/>
              </w:rPr>
            </w:pPr>
            <w:r w:rsidRPr="00E82A5D">
              <w:rPr>
                <w:rFonts w:ascii="Times New Roman" w:hAnsi="Times New Roman"/>
                <w:color w:val="000000" w:themeColor="text1"/>
                <w:sz w:val="16"/>
                <w:szCs w:val="16"/>
              </w:rPr>
              <w:t>150</w:t>
            </w:r>
            <w:r w:rsidR="001F75A2" w:rsidRPr="00E82A5D">
              <w:rPr>
                <w:rFonts w:ascii="Times New Roman" w:hAnsi="Times New Roman"/>
                <w:color w:val="000000" w:themeColor="text1"/>
                <w:sz w:val="16"/>
                <w:szCs w:val="16"/>
              </w:rPr>
              <w:t>(2027)</w:t>
            </w:r>
          </w:p>
        </w:tc>
        <w:tc>
          <w:tcPr>
            <w:tcW w:w="1584" w:type="dxa"/>
            <w:shd w:val="clear" w:color="auto" w:fill="FFFFFF"/>
          </w:tcPr>
          <w:p w:rsidR="001F75A2" w:rsidRPr="00E82A5D" w:rsidRDefault="001F75A2" w:rsidP="0009576A">
            <w:pPr>
              <w:numPr>
                <w:ilvl w:val="12"/>
                <w:numId w:val="0"/>
              </w:numPr>
              <w:shd w:val="clear" w:color="auto" w:fill="FFFFFF"/>
              <w:spacing w:after="0" w:line="240" w:lineRule="auto"/>
              <w:rPr>
                <w:rFonts w:ascii="Times New Roman" w:hAnsi="Times New Roman"/>
                <w:color w:val="000000" w:themeColor="text1"/>
                <w:sz w:val="16"/>
                <w:szCs w:val="16"/>
              </w:rPr>
            </w:pPr>
            <w:r w:rsidRPr="00E82A5D">
              <w:rPr>
                <w:rFonts w:ascii="Times New Roman" w:hAnsi="Times New Roman"/>
                <w:color w:val="000000" w:themeColor="text1"/>
                <w:sz w:val="16"/>
                <w:szCs w:val="16"/>
              </w:rPr>
              <w:t>Judicial Council Statistical Report</w:t>
            </w:r>
          </w:p>
        </w:tc>
        <w:tc>
          <w:tcPr>
            <w:tcW w:w="2126" w:type="dxa"/>
            <w:vMerge/>
            <w:shd w:val="clear" w:color="auto" w:fill="FFFFFF"/>
          </w:tcPr>
          <w:p w:rsidR="001F75A2" w:rsidRPr="00E82A5D" w:rsidRDefault="001F75A2" w:rsidP="0009576A">
            <w:pPr>
              <w:numPr>
                <w:ilvl w:val="12"/>
                <w:numId w:val="0"/>
              </w:numPr>
              <w:shd w:val="clear" w:color="auto" w:fill="FFFFFF"/>
              <w:spacing w:after="0" w:line="240" w:lineRule="auto"/>
              <w:rPr>
                <w:rFonts w:ascii="Times New Roman" w:hAnsi="Times New Roman"/>
                <w:color w:val="000000" w:themeColor="text1"/>
                <w:sz w:val="16"/>
                <w:szCs w:val="16"/>
              </w:rPr>
            </w:pPr>
          </w:p>
        </w:tc>
      </w:tr>
      <w:tr w:rsidR="001F75A2" w:rsidRPr="00E82A5D" w:rsidTr="0009576A">
        <w:trPr>
          <w:trHeight w:val="566"/>
        </w:trPr>
        <w:tc>
          <w:tcPr>
            <w:tcW w:w="3401" w:type="dxa"/>
            <w:vMerge/>
            <w:shd w:val="clear" w:color="auto" w:fill="FFFFFF"/>
          </w:tcPr>
          <w:p w:rsidR="001F75A2" w:rsidRPr="00E82A5D" w:rsidRDefault="001F75A2" w:rsidP="0009576A">
            <w:pPr>
              <w:shd w:val="clear" w:color="auto" w:fill="FFFFFF"/>
              <w:spacing w:before="60" w:after="0"/>
              <w:rPr>
                <w:rFonts w:ascii="Times New Roman" w:hAnsi="Times New Roman"/>
                <w:color w:val="000000" w:themeColor="text1"/>
                <w:sz w:val="16"/>
                <w:szCs w:val="16"/>
              </w:rPr>
            </w:pPr>
          </w:p>
        </w:tc>
        <w:tc>
          <w:tcPr>
            <w:tcW w:w="3968" w:type="dxa"/>
            <w:shd w:val="clear" w:color="auto" w:fill="FFFFFF"/>
          </w:tcPr>
          <w:p w:rsidR="001F75A2" w:rsidRPr="00E82A5D" w:rsidRDefault="00A03C24" w:rsidP="00A03C24">
            <w:pPr>
              <w:shd w:val="clear" w:color="auto" w:fill="FFFFFF"/>
              <w:spacing w:after="0" w:line="240" w:lineRule="auto"/>
              <w:rPr>
                <w:rFonts w:ascii="Times New Roman" w:hAnsi="Times New Roman"/>
                <w:color w:val="000000" w:themeColor="text1"/>
                <w:sz w:val="16"/>
                <w:szCs w:val="16"/>
              </w:rPr>
            </w:pPr>
            <w:r w:rsidRPr="00E82A5D">
              <w:rPr>
                <w:rFonts w:ascii="Times New Roman" w:hAnsi="Times New Roman"/>
                <w:color w:val="000000" w:themeColor="text1"/>
                <w:sz w:val="16"/>
                <w:szCs w:val="16"/>
              </w:rPr>
              <w:t>Number of cases initiated based on the verification of assets declaration and conflict of interests</w:t>
            </w:r>
            <w:r w:rsidR="00BD396A" w:rsidRPr="00E82A5D">
              <w:rPr>
                <w:rFonts w:ascii="Times New Roman" w:hAnsi="Times New Roman"/>
                <w:color w:val="000000" w:themeColor="text1"/>
                <w:sz w:val="16"/>
                <w:szCs w:val="16"/>
              </w:rPr>
              <w:t xml:space="preserve"> by SCPC</w:t>
            </w:r>
          </w:p>
        </w:tc>
        <w:tc>
          <w:tcPr>
            <w:tcW w:w="1440" w:type="dxa"/>
            <w:shd w:val="clear" w:color="auto" w:fill="FFFFFF"/>
          </w:tcPr>
          <w:p w:rsidR="001F75A2" w:rsidRPr="00E82A5D" w:rsidRDefault="00A03C24" w:rsidP="007F1055">
            <w:pPr>
              <w:shd w:val="clear" w:color="auto" w:fill="FFFFFF"/>
              <w:spacing w:after="0" w:line="240" w:lineRule="auto"/>
              <w:rPr>
                <w:rFonts w:ascii="Times New Roman" w:hAnsi="Times New Roman"/>
                <w:color w:val="000000" w:themeColor="text1"/>
                <w:sz w:val="16"/>
                <w:szCs w:val="16"/>
              </w:rPr>
            </w:pPr>
            <w:r w:rsidRPr="00E82A5D">
              <w:rPr>
                <w:rFonts w:ascii="Times New Roman" w:hAnsi="Times New Roman"/>
                <w:color w:val="000000" w:themeColor="text1"/>
                <w:sz w:val="16"/>
                <w:szCs w:val="16"/>
              </w:rPr>
              <w:t xml:space="preserve"> 0 </w:t>
            </w:r>
            <w:r w:rsidR="007F1055" w:rsidRPr="00E82A5D">
              <w:rPr>
                <w:rFonts w:ascii="Times New Roman" w:hAnsi="Times New Roman"/>
                <w:color w:val="000000" w:themeColor="text1"/>
                <w:sz w:val="16"/>
                <w:szCs w:val="16"/>
              </w:rPr>
              <w:t>(</w:t>
            </w:r>
            <w:r w:rsidRPr="00E82A5D">
              <w:rPr>
                <w:rFonts w:ascii="Times New Roman" w:hAnsi="Times New Roman"/>
                <w:color w:val="000000" w:themeColor="text1"/>
                <w:sz w:val="16"/>
                <w:szCs w:val="16"/>
              </w:rPr>
              <w:t>201</w:t>
            </w:r>
            <w:r w:rsidR="007F1055" w:rsidRPr="00E82A5D">
              <w:rPr>
                <w:rFonts w:ascii="Times New Roman" w:hAnsi="Times New Roman"/>
                <w:color w:val="000000" w:themeColor="text1"/>
                <w:sz w:val="16"/>
                <w:szCs w:val="16"/>
              </w:rPr>
              <w:t>8)</w:t>
            </w:r>
          </w:p>
        </w:tc>
        <w:tc>
          <w:tcPr>
            <w:tcW w:w="1260" w:type="dxa"/>
            <w:shd w:val="clear" w:color="auto" w:fill="FFFFFF"/>
          </w:tcPr>
          <w:p w:rsidR="001F75A2" w:rsidRPr="00E82A5D" w:rsidRDefault="001F75A2" w:rsidP="0009576A">
            <w:pPr>
              <w:shd w:val="clear" w:color="auto" w:fill="FFFFFF"/>
              <w:spacing w:after="0" w:line="240" w:lineRule="auto"/>
              <w:rPr>
                <w:rFonts w:ascii="Times New Roman" w:hAnsi="Times New Roman"/>
                <w:color w:val="000000" w:themeColor="text1"/>
                <w:sz w:val="16"/>
                <w:szCs w:val="16"/>
              </w:rPr>
            </w:pPr>
          </w:p>
        </w:tc>
        <w:tc>
          <w:tcPr>
            <w:tcW w:w="1530" w:type="dxa"/>
            <w:shd w:val="clear" w:color="auto" w:fill="FFFFFF"/>
          </w:tcPr>
          <w:p w:rsidR="001F75A2" w:rsidRPr="00E82A5D" w:rsidRDefault="00A03C24" w:rsidP="0009576A">
            <w:pPr>
              <w:shd w:val="clear" w:color="auto" w:fill="FFFFFF"/>
              <w:spacing w:after="0" w:line="240" w:lineRule="auto"/>
              <w:rPr>
                <w:rFonts w:ascii="Times New Roman" w:hAnsi="Times New Roman"/>
                <w:color w:val="000000" w:themeColor="text1"/>
                <w:sz w:val="16"/>
                <w:szCs w:val="16"/>
              </w:rPr>
            </w:pPr>
            <w:r w:rsidRPr="00E82A5D">
              <w:rPr>
                <w:rFonts w:ascii="Times New Roman" w:hAnsi="Times New Roman"/>
                <w:color w:val="000000" w:themeColor="text1"/>
                <w:sz w:val="16"/>
                <w:szCs w:val="16"/>
              </w:rPr>
              <w:t xml:space="preserve"> 10 </w:t>
            </w:r>
            <w:r w:rsidR="007F1055" w:rsidRPr="00E82A5D">
              <w:rPr>
                <w:rFonts w:ascii="Times New Roman" w:hAnsi="Times New Roman"/>
                <w:color w:val="000000" w:themeColor="text1"/>
                <w:sz w:val="16"/>
                <w:szCs w:val="16"/>
              </w:rPr>
              <w:t>(</w:t>
            </w:r>
            <w:r w:rsidRPr="00E82A5D">
              <w:rPr>
                <w:rFonts w:ascii="Times New Roman" w:hAnsi="Times New Roman"/>
                <w:color w:val="000000" w:themeColor="text1"/>
                <w:sz w:val="16"/>
                <w:szCs w:val="16"/>
              </w:rPr>
              <w:t>2020</w:t>
            </w:r>
            <w:r w:rsidR="007F1055" w:rsidRPr="00E82A5D">
              <w:rPr>
                <w:rFonts w:ascii="Times New Roman" w:hAnsi="Times New Roman"/>
                <w:color w:val="000000" w:themeColor="text1"/>
                <w:sz w:val="16"/>
                <w:szCs w:val="16"/>
              </w:rPr>
              <w:t>)</w:t>
            </w:r>
          </w:p>
        </w:tc>
        <w:tc>
          <w:tcPr>
            <w:tcW w:w="1584" w:type="dxa"/>
            <w:shd w:val="clear" w:color="auto" w:fill="FFFFFF"/>
          </w:tcPr>
          <w:p w:rsidR="001F75A2" w:rsidRPr="00E82A5D" w:rsidRDefault="00A03C24" w:rsidP="0009576A">
            <w:pPr>
              <w:numPr>
                <w:ilvl w:val="12"/>
                <w:numId w:val="0"/>
              </w:numPr>
              <w:shd w:val="clear" w:color="auto" w:fill="FFFFFF"/>
              <w:spacing w:after="0" w:line="240" w:lineRule="auto"/>
              <w:rPr>
                <w:rFonts w:ascii="Times New Roman" w:hAnsi="Times New Roman"/>
                <w:color w:val="000000" w:themeColor="text1"/>
                <w:sz w:val="16"/>
                <w:szCs w:val="16"/>
              </w:rPr>
            </w:pPr>
            <w:r w:rsidRPr="00E82A5D">
              <w:rPr>
                <w:rFonts w:ascii="Times New Roman" w:hAnsi="Times New Roman"/>
                <w:color w:val="000000" w:themeColor="text1"/>
                <w:sz w:val="16"/>
                <w:szCs w:val="16"/>
              </w:rPr>
              <w:t xml:space="preserve"> Annual Report of SCPC</w:t>
            </w:r>
          </w:p>
        </w:tc>
        <w:tc>
          <w:tcPr>
            <w:tcW w:w="2126" w:type="dxa"/>
            <w:vMerge/>
            <w:shd w:val="clear" w:color="auto" w:fill="FFFFFF"/>
          </w:tcPr>
          <w:p w:rsidR="001F75A2" w:rsidRPr="00E82A5D" w:rsidRDefault="001F75A2" w:rsidP="0009576A">
            <w:pPr>
              <w:numPr>
                <w:ilvl w:val="12"/>
                <w:numId w:val="0"/>
              </w:numPr>
              <w:shd w:val="clear" w:color="auto" w:fill="FFFFFF"/>
              <w:spacing w:after="0" w:line="240" w:lineRule="auto"/>
              <w:rPr>
                <w:rFonts w:ascii="Times New Roman" w:hAnsi="Times New Roman"/>
                <w:color w:val="000000" w:themeColor="text1"/>
                <w:sz w:val="16"/>
                <w:szCs w:val="16"/>
              </w:rPr>
            </w:pPr>
          </w:p>
        </w:tc>
      </w:tr>
      <w:tr w:rsidR="001F75A2" w:rsidRPr="00E82A5D" w:rsidTr="0009576A">
        <w:trPr>
          <w:trHeight w:val="358"/>
        </w:trPr>
        <w:tc>
          <w:tcPr>
            <w:tcW w:w="3401" w:type="dxa"/>
            <w:shd w:val="clear" w:color="auto" w:fill="FFFFFF"/>
          </w:tcPr>
          <w:p w:rsidR="001F75A2" w:rsidRPr="00E82A5D" w:rsidRDefault="001F75A2" w:rsidP="0009576A">
            <w:pPr>
              <w:numPr>
                <w:ilvl w:val="12"/>
                <w:numId w:val="0"/>
              </w:numPr>
              <w:shd w:val="clear" w:color="auto" w:fill="FFFFFF"/>
              <w:spacing w:after="0" w:line="240" w:lineRule="auto"/>
              <w:jc w:val="center"/>
              <w:rPr>
                <w:rFonts w:ascii="Times New Roman" w:hAnsi="Times New Roman"/>
                <w:b/>
                <w:color w:val="000000" w:themeColor="text1"/>
                <w:sz w:val="16"/>
                <w:szCs w:val="16"/>
              </w:rPr>
            </w:pPr>
            <w:r w:rsidRPr="00E82A5D">
              <w:rPr>
                <w:rFonts w:ascii="Times New Roman" w:hAnsi="Times New Roman"/>
                <w:b/>
                <w:color w:val="000000" w:themeColor="text1"/>
                <w:sz w:val="16"/>
                <w:szCs w:val="16"/>
              </w:rPr>
              <w:t>OUTPUTS</w:t>
            </w:r>
          </w:p>
        </w:tc>
        <w:tc>
          <w:tcPr>
            <w:tcW w:w="3968" w:type="dxa"/>
            <w:shd w:val="clear" w:color="auto" w:fill="FFFFFF"/>
          </w:tcPr>
          <w:p w:rsidR="001F75A2" w:rsidRPr="00E82A5D" w:rsidRDefault="001F75A2" w:rsidP="0009576A">
            <w:pPr>
              <w:shd w:val="clear" w:color="auto" w:fill="FFFFFF"/>
              <w:spacing w:after="0" w:line="240" w:lineRule="auto"/>
              <w:jc w:val="center"/>
              <w:rPr>
                <w:rFonts w:ascii="Times New Roman" w:hAnsi="Times New Roman"/>
                <w:color w:val="000000" w:themeColor="text1"/>
                <w:sz w:val="16"/>
                <w:szCs w:val="16"/>
              </w:rPr>
            </w:pPr>
            <w:r w:rsidRPr="00E82A5D">
              <w:rPr>
                <w:rFonts w:ascii="Times New Roman" w:hAnsi="Times New Roman"/>
                <w:b/>
                <w:color w:val="000000" w:themeColor="text1"/>
                <w:sz w:val="16"/>
                <w:szCs w:val="16"/>
              </w:rPr>
              <w:t>OBJECTIVELY VERIFIABLE INDICATORS (*)</w:t>
            </w:r>
          </w:p>
        </w:tc>
        <w:tc>
          <w:tcPr>
            <w:tcW w:w="1440" w:type="dxa"/>
            <w:shd w:val="clear" w:color="auto" w:fill="FFFFFF"/>
          </w:tcPr>
          <w:p w:rsidR="001F75A2" w:rsidRPr="00E82A5D" w:rsidRDefault="001F75A2" w:rsidP="0009576A">
            <w:pPr>
              <w:shd w:val="clear" w:color="auto" w:fill="FFFFFF"/>
              <w:spacing w:after="0" w:line="240" w:lineRule="auto"/>
              <w:jc w:val="center"/>
              <w:rPr>
                <w:rFonts w:ascii="Times New Roman" w:hAnsi="Times New Roman"/>
                <w:b/>
                <w:color w:val="000000" w:themeColor="text1"/>
                <w:sz w:val="16"/>
                <w:szCs w:val="16"/>
              </w:rPr>
            </w:pPr>
            <w:r w:rsidRPr="00E82A5D">
              <w:rPr>
                <w:rFonts w:ascii="Times New Roman" w:hAnsi="Times New Roman"/>
                <w:b/>
                <w:color w:val="000000" w:themeColor="text1"/>
                <w:sz w:val="16"/>
                <w:szCs w:val="16"/>
              </w:rPr>
              <w:t>BASELINES</w:t>
            </w:r>
          </w:p>
          <w:p w:rsidR="001F75A2" w:rsidRPr="00E82A5D" w:rsidRDefault="001F75A2" w:rsidP="0009576A">
            <w:pPr>
              <w:shd w:val="clear" w:color="auto" w:fill="FFFFFF"/>
              <w:spacing w:after="0" w:line="240" w:lineRule="auto"/>
              <w:ind w:left="-352"/>
              <w:jc w:val="center"/>
              <w:rPr>
                <w:rFonts w:ascii="Times New Roman" w:hAnsi="Times New Roman"/>
                <w:b/>
                <w:color w:val="000000" w:themeColor="text1"/>
                <w:sz w:val="16"/>
                <w:szCs w:val="16"/>
              </w:rPr>
            </w:pPr>
          </w:p>
        </w:tc>
        <w:tc>
          <w:tcPr>
            <w:tcW w:w="1260" w:type="dxa"/>
            <w:shd w:val="clear" w:color="auto" w:fill="FFFFFF"/>
          </w:tcPr>
          <w:p w:rsidR="001F75A2" w:rsidRPr="00E82A5D" w:rsidRDefault="001F75A2" w:rsidP="0009576A">
            <w:pPr>
              <w:shd w:val="clear" w:color="auto" w:fill="FFFFFF"/>
              <w:spacing w:after="0" w:line="240" w:lineRule="auto"/>
              <w:jc w:val="center"/>
              <w:rPr>
                <w:rFonts w:ascii="Times New Roman" w:hAnsi="Times New Roman"/>
                <w:b/>
                <w:color w:val="000000" w:themeColor="text1"/>
                <w:sz w:val="16"/>
                <w:szCs w:val="16"/>
              </w:rPr>
            </w:pPr>
            <w:r w:rsidRPr="00E82A5D">
              <w:rPr>
                <w:rFonts w:ascii="Times New Roman" w:hAnsi="Times New Roman"/>
                <w:b/>
                <w:color w:val="000000" w:themeColor="text1"/>
                <w:sz w:val="16"/>
                <w:szCs w:val="16"/>
              </w:rPr>
              <w:t>MILESTONES</w:t>
            </w:r>
          </w:p>
          <w:p w:rsidR="001F75A2" w:rsidRPr="00E82A5D" w:rsidRDefault="001F75A2" w:rsidP="0009576A">
            <w:pPr>
              <w:shd w:val="clear" w:color="auto" w:fill="FFFFFF"/>
              <w:spacing w:after="0" w:line="240" w:lineRule="auto"/>
              <w:jc w:val="center"/>
              <w:rPr>
                <w:rFonts w:ascii="Times New Roman" w:hAnsi="Times New Roman"/>
                <w:b/>
                <w:color w:val="000000" w:themeColor="text1"/>
                <w:sz w:val="16"/>
                <w:szCs w:val="16"/>
              </w:rPr>
            </w:pPr>
          </w:p>
        </w:tc>
        <w:tc>
          <w:tcPr>
            <w:tcW w:w="1530" w:type="dxa"/>
            <w:shd w:val="clear" w:color="auto" w:fill="FFFFFF"/>
          </w:tcPr>
          <w:p w:rsidR="001F75A2" w:rsidRPr="00E82A5D" w:rsidRDefault="001F75A2" w:rsidP="0009576A">
            <w:pPr>
              <w:shd w:val="clear" w:color="auto" w:fill="FFFFFF"/>
              <w:spacing w:after="0" w:line="240" w:lineRule="auto"/>
              <w:jc w:val="center"/>
              <w:rPr>
                <w:rFonts w:ascii="Times New Roman" w:hAnsi="Times New Roman"/>
                <w:b/>
                <w:color w:val="000000" w:themeColor="text1"/>
                <w:sz w:val="16"/>
                <w:szCs w:val="16"/>
              </w:rPr>
            </w:pPr>
            <w:r w:rsidRPr="00E82A5D">
              <w:rPr>
                <w:rFonts w:ascii="Times New Roman" w:hAnsi="Times New Roman"/>
                <w:b/>
                <w:color w:val="000000" w:themeColor="text1"/>
                <w:sz w:val="16"/>
                <w:szCs w:val="16"/>
              </w:rPr>
              <w:t>TARGETS</w:t>
            </w:r>
          </w:p>
          <w:p w:rsidR="001F75A2" w:rsidRPr="00E82A5D" w:rsidRDefault="001F75A2" w:rsidP="0009576A">
            <w:pPr>
              <w:shd w:val="clear" w:color="auto" w:fill="FFFFFF"/>
              <w:spacing w:after="0" w:line="240" w:lineRule="auto"/>
              <w:jc w:val="center"/>
              <w:rPr>
                <w:rFonts w:ascii="Times New Roman" w:hAnsi="Times New Roman"/>
                <w:b/>
                <w:color w:val="000000" w:themeColor="text1"/>
                <w:sz w:val="16"/>
                <w:szCs w:val="16"/>
              </w:rPr>
            </w:pPr>
          </w:p>
        </w:tc>
        <w:tc>
          <w:tcPr>
            <w:tcW w:w="1584" w:type="dxa"/>
            <w:shd w:val="clear" w:color="auto" w:fill="FFFFFF"/>
          </w:tcPr>
          <w:p w:rsidR="001F75A2" w:rsidRPr="00E82A5D" w:rsidRDefault="001F75A2" w:rsidP="0009576A">
            <w:pPr>
              <w:shd w:val="clear" w:color="auto" w:fill="FFFFFF"/>
              <w:spacing w:after="0" w:line="240" w:lineRule="auto"/>
              <w:jc w:val="center"/>
              <w:rPr>
                <w:rFonts w:ascii="Times New Roman" w:hAnsi="Times New Roman"/>
                <w:color w:val="000000" w:themeColor="text1"/>
                <w:sz w:val="16"/>
                <w:szCs w:val="16"/>
              </w:rPr>
            </w:pPr>
            <w:r w:rsidRPr="00E82A5D">
              <w:rPr>
                <w:rFonts w:ascii="Times New Roman" w:hAnsi="Times New Roman"/>
                <w:b/>
                <w:color w:val="000000" w:themeColor="text1"/>
                <w:sz w:val="16"/>
                <w:szCs w:val="16"/>
              </w:rPr>
              <w:t>SOURCES OF VERIFICATION</w:t>
            </w:r>
          </w:p>
        </w:tc>
        <w:tc>
          <w:tcPr>
            <w:tcW w:w="2126" w:type="dxa"/>
            <w:shd w:val="clear" w:color="auto" w:fill="FFFFFF"/>
          </w:tcPr>
          <w:p w:rsidR="001F75A2" w:rsidRPr="00E82A5D" w:rsidRDefault="001F75A2" w:rsidP="0009576A">
            <w:pPr>
              <w:numPr>
                <w:ilvl w:val="12"/>
                <w:numId w:val="0"/>
              </w:numPr>
              <w:shd w:val="clear" w:color="auto" w:fill="FFFFFF"/>
              <w:spacing w:after="0" w:line="240" w:lineRule="auto"/>
              <w:jc w:val="center"/>
              <w:rPr>
                <w:rFonts w:ascii="Times New Roman" w:hAnsi="Times New Roman"/>
                <w:b/>
                <w:color w:val="000000" w:themeColor="text1"/>
                <w:sz w:val="16"/>
                <w:szCs w:val="16"/>
              </w:rPr>
            </w:pPr>
            <w:r w:rsidRPr="00E82A5D">
              <w:rPr>
                <w:rFonts w:ascii="Times New Roman" w:hAnsi="Times New Roman"/>
                <w:b/>
                <w:color w:val="000000" w:themeColor="text1"/>
                <w:sz w:val="16"/>
                <w:szCs w:val="16"/>
              </w:rPr>
              <w:t>ASSUMPTIONS</w:t>
            </w:r>
          </w:p>
        </w:tc>
      </w:tr>
      <w:tr w:rsidR="001F75A2" w:rsidRPr="00E82A5D" w:rsidTr="0009576A">
        <w:trPr>
          <w:trHeight w:val="154"/>
        </w:trPr>
        <w:tc>
          <w:tcPr>
            <w:tcW w:w="3401" w:type="dxa"/>
            <w:vMerge w:val="restart"/>
            <w:shd w:val="clear" w:color="auto" w:fill="FFFFFF"/>
          </w:tcPr>
          <w:p w:rsidR="001F75A2" w:rsidRPr="00E82A5D" w:rsidRDefault="001F75A2" w:rsidP="0009576A">
            <w:pPr>
              <w:shd w:val="clear" w:color="auto" w:fill="FFFFFF"/>
              <w:spacing w:after="0" w:line="240" w:lineRule="auto"/>
              <w:rPr>
                <w:rFonts w:ascii="Times New Roman" w:hAnsi="Times New Roman"/>
                <w:b/>
                <w:color w:val="000000" w:themeColor="text1"/>
                <w:sz w:val="16"/>
                <w:szCs w:val="16"/>
              </w:rPr>
            </w:pPr>
            <w:r w:rsidRPr="00E82A5D">
              <w:rPr>
                <w:rFonts w:ascii="Times New Roman" w:hAnsi="Times New Roman"/>
                <w:b/>
                <w:color w:val="000000" w:themeColor="text1"/>
                <w:sz w:val="16"/>
                <w:szCs w:val="16"/>
              </w:rPr>
              <w:t xml:space="preserve">Output 1 </w:t>
            </w:r>
          </w:p>
          <w:p w:rsidR="001F75A2" w:rsidRPr="00E82A5D" w:rsidRDefault="001F75A2" w:rsidP="0009576A">
            <w:pPr>
              <w:shd w:val="clear" w:color="auto" w:fill="FFFFFF"/>
              <w:spacing w:after="0" w:line="240" w:lineRule="auto"/>
              <w:rPr>
                <w:rFonts w:ascii="Times New Roman" w:hAnsi="Times New Roman"/>
                <w:color w:val="000000" w:themeColor="text1"/>
                <w:sz w:val="16"/>
                <w:szCs w:val="16"/>
              </w:rPr>
            </w:pPr>
            <w:r w:rsidRPr="00E82A5D">
              <w:rPr>
                <w:rFonts w:ascii="Times New Roman" w:hAnsi="Times New Roman"/>
                <w:color w:val="000000" w:themeColor="text1"/>
                <w:sz w:val="16"/>
                <w:szCs w:val="16"/>
              </w:rPr>
              <w:t>Operational</w:t>
            </w:r>
            <w:r w:rsidR="00F85FA5" w:rsidRPr="00E82A5D">
              <w:rPr>
                <w:rFonts w:ascii="Times New Roman" w:hAnsi="Times New Roman"/>
                <w:color w:val="000000" w:themeColor="text1"/>
                <w:sz w:val="16"/>
                <w:szCs w:val="16"/>
              </w:rPr>
              <w:t xml:space="preserve"> ICT</w:t>
            </w:r>
            <w:r w:rsidRPr="00E82A5D">
              <w:rPr>
                <w:rFonts w:ascii="Times New Roman" w:hAnsi="Times New Roman"/>
                <w:color w:val="000000" w:themeColor="text1"/>
                <w:sz w:val="16"/>
                <w:szCs w:val="16"/>
              </w:rPr>
              <w:t xml:space="preserve"> management and infrastructure in the Judiciary and Anticorruption sector modernised</w:t>
            </w:r>
          </w:p>
        </w:tc>
        <w:tc>
          <w:tcPr>
            <w:tcW w:w="3968" w:type="dxa"/>
            <w:shd w:val="clear" w:color="auto" w:fill="FFFFFF"/>
          </w:tcPr>
          <w:p w:rsidR="00A23604" w:rsidRPr="00E82A5D" w:rsidRDefault="001F75A2" w:rsidP="00AA2707">
            <w:pPr>
              <w:numPr>
                <w:ilvl w:val="12"/>
                <w:numId w:val="0"/>
              </w:numPr>
              <w:shd w:val="clear" w:color="auto" w:fill="FFFFFF"/>
              <w:spacing w:after="0" w:line="240" w:lineRule="auto"/>
              <w:rPr>
                <w:rFonts w:ascii="Times New Roman" w:hAnsi="Times New Roman"/>
                <w:color w:val="000000" w:themeColor="text1"/>
                <w:sz w:val="16"/>
                <w:szCs w:val="16"/>
              </w:rPr>
            </w:pPr>
            <w:r w:rsidRPr="00E82A5D">
              <w:rPr>
                <w:rFonts w:ascii="Times New Roman" w:hAnsi="Times New Roman"/>
                <w:color w:val="000000" w:themeColor="text1"/>
                <w:sz w:val="16"/>
                <w:szCs w:val="16"/>
              </w:rPr>
              <w:t xml:space="preserve">Number of Courts connected to the new </w:t>
            </w:r>
            <w:r w:rsidR="00AA2707" w:rsidRPr="00E82A5D">
              <w:rPr>
                <w:rFonts w:ascii="Times New Roman" w:hAnsi="Times New Roman"/>
                <w:color w:val="000000" w:themeColor="text1"/>
                <w:sz w:val="16"/>
                <w:szCs w:val="16"/>
              </w:rPr>
              <w:t>Integrated Court Case Management System</w:t>
            </w:r>
          </w:p>
        </w:tc>
        <w:tc>
          <w:tcPr>
            <w:tcW w:w="1440" w:type="dxa"/>
            <w:shd w:val="clear" w:color="auto" w:fill="FFFFFF"/>
          </w:tcPr>
          <w:p w:rsidR="001F75A2" w:rsidRPr="00E82A5D" w:rsidRDefault="001F75A2" w:rsidP="0009576A">
            <w:pPr>
              <w:numPr>
                <w:ilvl w:val="12"/>
                <w:numId w:val="0"/>
              </w:numPr>
              <w:shd w:val="clear" w:color="auto" w:fill="FFFFFF"/>
              <w:spacing w:after="0" w:line="240" w:lineRule="auto"/>
              <w:rPr>
                <w:rFonts w:ascii="Times New Roman" w:hAnsi="Times New Roman"/>
                <w:color w:val="000000" w:themeColor="text1"/>
                <w:sz w:val="16"/>
                <w:szCs w:val="16"/>
              </w:rPr>
            </w:pPr>
            <w:r w:rsidRPr="00E82A5D">
              <w:rPr>
                <w:rFonts w:ascii="Times New Roman" w:hAnsi="Times New Roman"/>
                <w:color w:val="000000" w:themeColor="text1"/>
                <w:sz w:val="16"/>
                <w:szCs w:val="16"/>
              </w:rPr>
              <w:t>0 (2020)</w:t>
            </w:r>
          </w:p>
        </w:tc>
        <w:tc>
          <w:tcPr>
            <w:tcW w:w="1260" w:type="dxa"/>
            <w:shd w:val="clear" w:color="auto" w:fill="FFFFFF"/>
          </w:tcPr>
          <w:p w:rsidR="001F75A2" w:rsidRPr="00E82A5D" w:rsidRDefault="001F75A2" w:rsidP="0009576A">
            <w:pPr>
              <w:numPr>
                <w:ilvl w:val="12"/>
                <w:numId w:val="0"/>
              </w:numPr>
              <w:shd w:val="clear" w:color="auto" w:fill="FFFFFF"/>
              <w:spacing w:after="0" w:line="240" w:lineRule="auto"/>
              <w:rPr>
                <w:rFonts w:ascii="Times New Roman" w:hAnsi="Times New Roman"/>
                <w:color w:val="000000" w:themeColor="text1"/>
                <w:sz w:val="16"/>
                <w:szCs w:val="16"/>
              </w:rPr>
            </w:pPr>
          </w:p>
        </w:tc>
        <w:tc>
          <w:tcPr>
            <w:tcW w:w="1530" w:type="dxa"/>
            <w:shd w:val="clear" w:color="auto" w:fill="FFFFFF"/>
          </w:tcPr>
          <w:p w:rsidR="001F75A2" w:rsidRPr="00E82A5D" w:rsidRDefault="001F75A2" w:rsidP="0009576A">
            <w:pPr>
              <w:numPr>
                <w:ilvl w:val="12"/>
                <w:numId w:val="0"/>
              </w:numPr>
              <w:shd w:val="clear" w:color="auto" w:fill="FFFFFF"/>
              <w:spacing w:after="0" w:line="240" w:lineRule="auto"/>
              <w:rPr>
                <w:rFonts w:ascii="Times New Roman" w:hAnsi="Times New Roman"/>
                <w:color w:val="000000" w:themeColor="text1"/>
                <w:sz w:val="16"/>
                <w:szCs w:val="16"/>
              </w:rPr>
            </w:pPr>
            <w:r w:rsidRPr="00E82A5D">
              <w:rPr>
                <w:rFonts w:ascii="Times New Roman" w:hAnsi="Times New Roman"/>
                <w:color w:val="000000" w:themeColor="text1"/>
                <w:sz w:val="16"/>
                <w:szCs w:val="16"/>
              </w:rPr>
              <w:t>All the Courts (2024)</w:t>
            </w:r>
          </w:p>
        </w:tc>
        <w:tc>
          <w:tcPr>
            <w:tcW w:w="1584" w:type="dxa"/>
            <w:shd w:val="clear" w:color="auto" w:fill="FFFFFF"/>
          </w:tcPr>
          <w:p w:rsidR="001F75A2" w:rsidRPr="00E82A5D" w:rsidRDefault="007F1055" w:rsidP="0009576A">
            <w:pPr>
              <w:numPr>
                <w:ilvl w:val="12"/>
                <w:numId w:val="0"/>
              </w:numPr>
              <w:shd w:val="clear" w:color="auto" w:fill="FFFFFF"/>
              <w:spacing w:after="0" w:line="240" w:lineRule="auto"/>
              <w:rPr>
                <w:rFonts w:ascii="Times New Roman" w:hAnsi="Times New Roman"/>
                <w:color w:val="000000" w:themeColor="text1"/>
                <w:sz w:val="16"/>
                <w:szCs w:val="16"/>
              </w:rPr>
            </w:pPr>
            <w:r w:rsidRPr="00E82A5D">
              <w:rPr>
                <w:rFonts w:ascii="Times New Roman" w:hAnsi="Times New Roman"/>
                <w:color w:val="000000" w:themeColor="text1"/>
                <w:sz w:val="16"/>
                <w:szCs w:val="16"/>
              </w:rPr>
              <w:t>Project</w:t>
            </w:r>
            <w:r w:rsidR="001F75A2" w:rsidRPr="00E82A5D">
              <w:rPr>
                <w:rFonts w:ascii="Times New Roman" w:hAnsi="Times New Roman"/>
                <w:color w:val="000000" w:themeColor="text1"/>
                <w:sz w:val="16"/>
                <w:szCs w:val="16"/>
              </w:rPr>
              <w:t xml:space="preserve"> report</w:t>
            </w:r>
          </w:p>
        </w:tc>
        <w:tc>
          <w:tcPr>
            <w:tcW w:w="2126" w:type="dxa"/>
            <w:vMerge w:val="restart"/>
            <w:shd w:val="clear" w:color="auto" w:fill="FFFFFF"/>
          </w:tcPr>
          <w:p w:rsidR="001F75A2" w:rsidRPr="00E82A5D" w:rsidRDefault="001F75A2" w:rsidP="0009576A">
            <w:pPr>
              <w:shd w:val="clear" w:color="auto" w:fill="FFFFFF"/>
              <w:spacing w:after="0" w:line="240" w:lineRule="auto"/>
              <w:rPr>
                <w:rFonts w:ascii="Times New Roman" w:hAnsi="Times New Roman"/>
                <w:color w:val="000000" w:themeColor="text1"/>
                <w:sz w:val="16"/>
                <w:szCs w:val="16"/>
              </w:rPr>
            </w:pPr>
            <w:r w:rsidRPr="00E82A5D">
              <w:rPr>
                <w:rFonts w:ascii="Times New Roman" w:hAnsi="Times New Roman"/>
                <w:color w:val="000000" w:themeColor="text1"/>
                <w:sz w:val="16"/>
                <w:szCs w:val="16"/>
              </w:rPr>
              <w:t>There is a strong support for the sector reforms as well as public interest in the progress of reforms</w:t>
            </w:r>
          </w:p>
          <w:p w:rsidR="001F75A2" w:rsidRPr="00E82A5D" w:rsidRDefault="001F75A2" w:rsidP="0009576A">
            <w:pPr>
              <w:shd w:val="clear" w:color="auto" w:fill="FFFFFF"/>
              <w:spacing w:after="0" w:line="240" w:lineRule="auto"/>
              <w:rPr>
                <w:rFonts w:ascii="Times New Roman" w:hAnsi="Times New Roman"/>
                <w:color w:val="000000" w:themeColor="text1"/>
                <w:sz w:val="16"/>
                <w:szCs w:val="16"/>
              </w:rPr>
            </w:pPr>
          </w:p>
          <w:p w:rsidR="001F75A2" w:rsidRPr="00E82A5D" w:rsidRDefault="001F75A2" w:rsidP="0009576A">
            <w:pPr>
              <w:shd w:val="clear" w:color="auto" w:fill="FFFFFF"/>
              <w:spacing w:after="0" w:line="240" w:lineRule="auto"/>
              <w:rPr>
                <w:rFonts w:ascii="Times New Roman" w:hAnsi="Times New Roman"/>
                <w:color w:val="000000" w:themeColor="text1"/>
                <w:sz w:val="16"/>
                <w:szCs w:val="16"/>
              </w:rPr>
            </w:pPr>
            <w:r w:rsidRPr="00E82A5D">
              <w:rPr>
                <w:rFonts w:ascii="Times New Roman" w:hAnsi="Times New Roman"/>
                <w:color w:val="000000" w:themeColor="text1"/>
                <w:sz w:val="16"/>
                <w:szCs w:val="16"/>
              </w:rPr>
              <w:t xml:space="preserve">The country allocated </w:t>
            </w:r>
            <w:r w:rsidR="00C000A9" w:rsidRPr="00E82A5D">
              <w:rPr>
                <w:rFonts w:ascii="Times New Roman" w:hAnsi="Times New Roman"/>
                <w:color w:val="000000" w:themeColor="text1"/>
                <w:sz w:val="16"/>
                <w:szCs w:val="16"/>
              </w:rPr>
              <w:t xml:space="preserve">timely </w:t>
            </w:r>
            <w:r w:rsidRPr="00E82A5D">
              <w:rPr>
                <w:rFonts w:ascii="Times New Roman" w:hAnsi="Times New Roman"/>
                <w:color w:val="000000" w:themeColor="text1"/>
                <w:sz w:val="16"/>
                <w:szCs w:val="16"/>
              </w:rPr>
              <w:t>the necessary human, operational and budgetary resources</w:t>
            </w:r>
          </w:p>
          <w:p w:rsidR="001F75A2" w:rsidRPr="00E82A5D" w:rsidRDefault="001F75A2" w:rsidP="0009576A">
            <w:pPr>
              <w:shd w:val="clear" w:color="auto" w:fill="FFFFFF"/>
              <w:spacing w:after="0" w:line="240" w:lineRule="auto"/>
              <w:rPr>
                <w:rFonts w:ascii="Times New Roman" w:hAnsi="Times New Roman"/>
                <w:color w:val="000000" w:themeColor="text1"/>
                <w:sz w:val="16"/>
                <w:szCs w:val="16"/>
              </w:rPr>
            </w:pPr>
          </w:p>
          <w:p w:rsidR="001F75A2" w:rsidRPr="00E82A5D" w:rsidRDefault="001F75A2" w:rsidP="0009576A">
            <w:pPr>
              <w:shd w:val="clear" w:color="auto" w:fill="FFFFFF"/>
              <w:spacing w:after="0" w:line="240" w:lineRule="auto"/>
              <w:rPr>
                <w:rFonts w:ascii="Times New Roman" w:hAnsi="Times New Roman"/>
                <w:color w:val="000000" w:themeColor="text1"/>
                <w:sz w:val="16"/>
                <w:szCs w:val="16"/>
              </w:rPr>
            </w:pPr>
            <w:r w:rsidRPr="00E82A5D">
              <w:rPr>
                <w:rFonts w:ascii="Times New Roman" w:hAnsi="Times New Roman"/>
                <w:color w:val="000000" w:themeColor="text1"/>
                <w:sz w:val="16"/>
                <w:szCs w:val="16"/>
              </w:rPr>
              <w:t>Effective cooperation and coordination between all relevant institutions</w:t>
            </w:r>
          </w:p>
          <w:p w:rsidR="00C000A9" w:rsidRPr="00E82A5D" w:rsidRDefault="00C000A9" w:rsidP="0009576A">
            <w:pPr>
              <w:shd w:val="clear" w:color="auto" w:fill="FFFFFF"/>
              <w:spacing w:after="0" w:line="240" w:lineRule="auto"/>
              <w:rPr>
                <w:rFonts w:ascii="Times New Roman" w:hAnsi="Times New Roman"/>
                <w:color w:val="000000" w:themeColor="text1"/>
                <w:sz w:val="16"/>
                <w:szCs w:val="16"/>
              </w:rPr>
            </w:pPr>
          </w:p>
          <w:p w:rsidR="001E71C9" w:rsidRPr="00E82A5D" w:rsidRDefault="00C000A9" w:rsidP="0009576A">
            <w:pPr>
              <w:shd w:val="clear" w:color="auto" w:fill="FFFFFF"/>
              <w:spacing w:after="0" w:line="240" w:lineRule="auto"/>
              <w:rPr>
                <w:rFonts w:ascii="Times New Roman" w:hAnsi="Times New Roman"/>
                <w:color w:val="000000" w:themeColor="text1"/>
                <w:sz w:val="16"/>
                <w:szCs w:val="16"/>
              </w:rPr>
            </w:pPr>
            <w:r w:rsidRPr="00E82A5D">
              <w:rPr>
                <w:rFonts w:ascii="Times New Roman" w:hAnsi="Times New Roman"/>
                <w:color w:val="000000" w:themeColor="text1"/>
                <w:sz w:val="16"/>
                <w:szCs w:val="16"/>
              </w:rPr>
              <w:t>Key state institutions take responsibility for timely implementation of all necessary legal, procedural and organizational changes necessary for implementation of the new ICT systems</w:t>
            </w:r>
            <w:r w:rsidR="00492385" w:rsidRPr="00E82A5D">
              <w:rPr>
                <w:rFonts w:ascii="Times New Roman" w:hAnsi="Times New Roman"/>
                <w:color w:val="000000" w:themeColor="text1"/>
                <w:sz w:val="16"/>
                <w:szCs w:val="16"/>
              </w:rPr>
              <w:t xml:space="preserve">. </w:t>
            </w:r>
            <w:r w:rsidR="007F1055" w:rsidRPr="00E82A5D">
              <w:rPr>
                <w:rFonts w:ascii="Times New Roman" w:hAnsi="Times New Roman"/>
                <w:color w:val="000000" w:themeColor="text1"/>
                <w:sz w:val="16"/>
                <w:szCs w:val="16"/>
              </w:rPr>
              <w:t>Ownership and object of the potential construction site defined and cleared</w:t>
            </w:r>
          </w:p>
          <w:p w:rsidR="001E71C9" w:rsidRPr="00E82A5D" w:rsidRDefault="001E71C9">
            <w:pPr>
              <w:shd w:val="clear" w:color="auto" w:fill="FFFFFF"/>
              <w:spacing w:after="0" w:line="240" w:lineRule="auto"/>
              <w:rPr>
                <w:rFonts w:ascii="Times New Roman" w:hAnsi="Times New Roman"/>
                <w:color w:val="000000" w:themeColor="text1"/>
                <w:sz w:val="16"/>
                <w:szCs w:val="16"/>
              </w:rPr>
            </w:pPr>
          </w:p>
        </w:tc>
      </w:tr>
      <w:tr w:rsidR="001F75A2" w:rsidRPr="00E82A5D" w:rsidTr="0009576A">
        <w:trPr>
          <w:trHeight w:val="154"/>
        </w:trPr>
        <w:tc>
          <w:tcPr>
            <w:tcW w:w="3401" w:type="dxa"/>
            <w:vMerge/>
            <w:shd w:val="clear" w:color="auto" w:fill="FFFFFF"/>
          </w:tcPr>
          <w:p w:rsidR="001F75A2" w:rsidRPr="00E82A5D" w:rsidRDefault="001F75A2" w:rsidP="0009576A">
            <w:pPr>
              <w:shd w:val="clear" w:color="auto" w:fill="FFFFFF"/>
              <w:spacing w:after="0" w:line="240" w:lineRule="auto"/>
              <w:rPr>
                <w:rFonts w:ascii="Times New Roman" w:hAnsi="Times New Roman"/>
                <w:b/>
                <w:color w:val="000000" w:themeColor="text1"/>
                <w:sz w:val="16"/>
                <w:szCs w:val="16"/>
              </w:rPr>
            </w:pPr>
          </w:p>
        </w:tc>
        <w:tc>
          <w:tcPr>
            <w:tcW w:w="3968" w:type="dxa"/>
            <w:shd w:val="clear" w:color="auto" w:fill="FFFFFF"/>
          </w:tcPr>
          <w:p w:rsidR="001F75A2" w:rsidRPr="00E82A5D" w:rsidRDefault="001F75A2" w:rsidP="0009576A">
            <w:pPr>
              <w:numPr>
                <w:ilvl w:val="12"/>
                <w:numId w:val="0"/>
              </w:numPr>
              <w:shd w:val="clear" w:color="auto" w:fill="FFFFFF"/>
              <w:spacing w:after="0" w:line="240" w:lineRule="auto"/>
              <w:rPr>
                <w:rFonts w:ascii="Times New Roman" w:hAnsi="Times New Roman"/>
                <w:color w:val="000000" w:themeColor="text1"/>
                <w:sz w:val="16"/>
                <w:szCs w:val="16"/>
              </w:rPr>
            </w:pPr>
            <w:r w:rsidRPr="00E82A5D">
              <w:rPr>
                <w:rFonts w:ascii="Times New Roman" w:hAnsi="Times New Roman"/>
                <w:color w:val="000000" w:themeColor="text1"/>
                <w:sz w:val="16"/>
                <w:szCs w:val="16"/>
              </w:rPr>
              <w:t xml:space="preserve">Number of Judges </w:t>
            </w:r>
            <w:r w:rsidR="00CD6A36" w:rsidRPr="00E82A5D">
              <w:rPr>
                <w:rFonts w:ascii="Times New Roman" w:hAnsi="Times New Roman"/>
                <w:color w:val="000000" w:themeColor="text1"/>
                <w:sz w:val="16"/>
                <w:szCs w:val="16"/>
              </w:rPr>
              <w:t xml:space="preserve">and professional staff </w:t>
            </w:r>
            <w:r w:rsidR="00A23604">
              <w:rPr>
                <w:rFonts w:ascii="Times New Roman" w:hAnsi="Times New Roman"/>
                <w:color w:val="000000" w:themeColor="text1"/>
                <w:sz w:val="16"/>
                <w:szCs w:val="16"/>
              </w:rPr>
              <w:t xml:space="preserve"> </w:t>
            </w:r>
            <w:r w:rsidRPr="00E82A5D">
              <w:rPr>
                <w:rFonts w:ascii="Times New Roman" w:hAnsi="Times New Roman"/>
                <w:color w:val="000000" w:themeColor="text1"/>
                <w:sz w:val="16"/>
                <w:szCs w:val="16"/>
              </w:rPr>
              <w:t xml:space="preserve">of </w:t>
            </w:r>
            <w:r w:rsidR="00A23604">
              <w:rPr>
                <w:rFonts w:ascii="Times New Roman" w:hAnsi="Times New Roman"/>
                <w:color w:val="000000" w:themeColor="text1"/>
                <w:sz w:val="16"/>
                <w:szCs w:val="16"/>
              </w:rPr>
              <w:t xml:space="preserve"> </w:t>
            </w:r>
            <w:r w:rsidRPr="00E82A5D">
              <w:rPr>
                <w:rFonts w:ascii="Times New Roman" w:hAnsi="Times New Roman"/>
                <w:color w:val="000000" w:themeColor="text1"/>
                <w:sz w:val="16"/>
                <w:szCs w:val="16"/>
              </w:rPr>
              <w:t>the Constitutional Court using the new Software</w:t>
            </w:r>
          </w:p>
        </w:tc>
        <w:tc>
          <w:tcPr>
            <w:tcW w:w="1440" w:type="dxa"/>
            <w:shd w:val="clear" w:color="auto" w:fill="FFFFFF"/>
          </w:tcPr>
          <w:p w:rsidR="001F75A2" w:rsidRPr="00E82A5D" w:rsidRDefault="001F75A2" w:rsidP="0009576A">
            <w:pPr>
              <w:numPr>
                <w:ilvl w:val="12"/>
                <w:numId w:val="0"/>
              </w:numPr>
              <w:shd w:val="clear" w:color="auto" w:fill="FFFFFF"/>
              <w:spacing w:after="0" w:line="240" w:lineRule="auto"/>
              <w:rPr>
                <w:rFonts w:ascii="Times New Roman" w:hAnsi="Times New Roman"/>
                <w:color w:val="000000" w:themeColor="text1"/>
                <w:sz w:val="16"/>
                <w:szCs w:val="16"/>
              </w:rPr>
            </w:pPr>
            <w:r w:rsidRPr="00E82A5D">
              <w:rPr>
                <w:rFonts w:ascii="Times New Roman" w:hAnsi="Times New Roman"/>
                <w:color w:val="000000" w:themeColor="text1"/>
                <w:sz w:val="16"/>
                <w:szCs w:val="16"/>
              </w:rPr>
              <w:t>0 (2020)</w:t>
            </w:r>
          </w:p>
        </w:tc>
        <w:tc>
          <w:tcPr>
            <w:tcW w:w="1260" w:type="dxa"/>
            <w:shd w:val="clear" w:color="auto" w:fill="FFFFFF"/>
          </w:tcPr>
          <w:p w:rsidR="001F75A2" w:rsidRPr="00E82A5D" w:rsidRDefault="001F75A2" w:rsidP="0009576A">
            <w:pPr>
              <w:numPr>
                <w:ilvl w:val="12"/>
                <w:numId w:val="0"/>
              </w:numPr>
              <w:shd w:val="clear" w:color="auto" w:fill="FFFFFF"/>
              <w:spacing w:after="0" w:line="240" w:lineRule="auto"/>
              <w:rPr>
                <w:rFonts w:ascii="Times New Roman" w:hAnsi="Times New Roman"/>
                <w:color w:val="000000" w:themeColor="text1"/>
                <w:sz w:val="16"/>
                <w:szCs w:val="16"/>
              </w:rPr>
            </w:pPr>
          </w:p>
        </w:tc>
        <w:tc>
          <w:tcPr>
            <w:tcW w:w="1530" w:type="dxa"/>
            <w:shd w:val="clear" w:color="auto" w:fill="FFFFFF"/>
          </w:tcPr>
          <w:p w:rsidR="001F75A2" w:rsidRPr="00E82A5D" w:rsidRDefault="00CD5834" w:rsidP="0009576A">
            <w:pPr>
              <w:numPr>
                <w:ilvl w:val="12"/>
                <w:numId w:val="0"/>
              </w:numPr>
              <w:shd w:val="clear" w:color="auto" w:fill="FFFFFF"/>
              <w:spacing w:after="0" w:line="240" w:lineRule="auto"/>
              <w:rPr>
                <w:rFonts w:ascii="Times New Roman" w:hAnsi="Times New Roman"/>
                <w:color w:val="000000" w:themeColor="text1"/>
                <w:sz w:val="16"/>
                <w:szCs w:val="16"/>
              </w:rPr>
            </w:pPr>
            <w:r w:rsidRPr="00E82A5D">
              <w:rPr>
                <w:rFonts w:ascii="Times New Roman" w:hAnsi="Times New Roman"/>
                <w:color w:val="000000" w:themeColor="text1"/>
                <w:sz w:val="16"/>
                <w:szCs w:val="16"/>
              </w:rPr>
              <w:t xml:space="preserve">30 </w:t>
            </w:r>
            <w:r w:rsidR="001F75A2" w:rsidRPr="00E82A5D">
              <w:rPr>
                <w:rFonts w:ascii="Times New Roman" w:hAnsi="Times New Roman"/>
                <w:color w:val="000000" w:themeColor="text1"/>
                <w:sz w:val="16"/>
                <w:szCs w:val="16"/>
              </w:rPr>
              <w:t>(2024)</w:t>
            </w:r>
          </w:p>
        </w:tc>
        <w:tc>
          <w:tcPr>
            <w:tcW w:w="1584" w:type="dxa"/>
            <w:shd w:val="clear" w:color="auto" w:fill="FFFFFF"/>
          </w:tcPr>
          <w:p w:rsidR="001F75A2" w:rsidRPr="00E82A5D" w:rsidRDefault="00CD6A36" w:rsidP="0009576A">
            <w:pPr>
              <w:numPr>
                <w:ilvl w:val="12"/>
                <w:numId w:val="0"/>
              </w:numPr>
              <w:shd w:val="clear" w:color="auto" w:fill="FFFFFF"/>
              <w:spacing w:after="0" w:line="240" w:lineRule="auto"/>
              <w:rPr>
                <w:rFonts w:ascii="Times New Roman" w:hAnsi="Times New Roman"/>
                <w:color w:val="000000" w:themeColor="text1"/>
                <w:sz w:val="16"/>
                <w:szCs w:val="16"/>
              </w:rPr>
            </w:pPr>
            <w:r w:rsidRPr="00E82A5D">
              <w:rPr>
                <w:rFonts w:ascii="Times New Roman" w:hAnsi="Times New Roman"/>
                <w:color w:val="000000" w:themeColor="text1"/>
                <w:sz w:val="16"/>
                <w:szCs w:val="16"/>
              </w:rPr>
              <w:t>Project</w:t>
            </w:r>
            <w:r w:rsidR="001F75A2" w:rsidRPr="00E82A5D">
              <w:rPr>
                <w:rFonts w:ascii="Times New Roman" w:hAnsi="Times New Roman"/>
                <w:color w:val="000000" w:themeColor="text1"/>
                <w:sz w:val="16"/>
                <w:szCs w:val="16"/>
              </w:rPr>
              <w:t xml:space="preserve"> Report</w:t>
            </w:r>
          </w:p>
        </w:tc>
        <w:tc>
          <w:tcPr>
            <w:tcW w:w="2126" w:type="dxa"/>
            <w:vMerge/>
            <w:shd w:val="clear" w:color="auto" w:fill="FFFFFF"/>
          </w:tcPr>
          <w:p w:rsidR="001F75A2" w:rsidRPr="00E82A5D" w:rsidRDefault="001F75A2" w:rsidP="0009576A">
            <w:pPr>
              <w:shd w:val="clear" w:color="auto" w:fill="FFFFFF"/>
              <w:spacing w:after="0" w:line="240" w:lineRule="auto"/>
              <w:rPr>
                <w:rFonts w:ascii="Times New Roman" w:hAnsi="Times New Roman"/>
                <w:color w:val="000000" w:themeColor="text1"/>
                <w:sz w:val="16"/>
                <w:szCs w:val="16"/>
              </w:rPr>
            </w:pPr>
          </w:p>
        </w:tc>
      </w:tr>
      <w:tr w:rsidR="001F75A2" w:rsidRPr="00E82A5D" w:rsidTr="0009576A">
        <w:trPr>
          <w:trHeight w:val="154"/>
        </w:trPr>
        <w:tc>
          <w:tcPr>
            <w:tcW w:w="3401" w:type="dxa"/>
            <w:vMerge/>
            <w:shd w:val="clear" w:color="auto" w:fill="FFFFFF"/>
          </w:tcPr>
          <w:p w:rsidR="001F75A2" w:rsidRPr="00E82A5D" w:rsidRDefault="001F75A2" w:rsidP="0009576A">
            <w:pPr>
              <w:shd w:val="clear" w:color="auto" w:fill="FFFFFF"/>
              <w:spacing w:after="0" w:line="240" w:lineRule="auto"/>
              <w:rPr>
                <w:rFonts w:ascii="Times New Roman" w:hAnsi="Times New Roman"/>
                <w:b/>
                <w:color w:val="000000" w:themeColor="text1"/>
                <w:sz w:val="16"/>
                <w:szCs w:val="16"/>
              </w:rPr>
            </w:pPr>
          </w:p>
        </w:tc>
        <w:tc>
          <w:tcPr>
            <w:tcW w:w="3968" w:type="dxa"/>
            <w:shd w:val="clear" w:color="auto" w:fill="FFFFFF"/>
          </w:tcPr>
          <w:p w:rsidR="001F75A2" w:rsidRPr="00E82A5D" w:rsidRDefault="001F75A2" w:rsidP="0009576A">
            <w:pPr>
              <w:numPr>
                <w:ilvl w:val="12"/>
                <w:numId w:val="0"/>
              </w:numPr>
              <w:shd w:val="clear" w:color="auto" w:fill="FFFFFF"/>
              <w:spacing w:after="0" w:line="240" w:lineRule="auto"/>
              <w:rPr>
                <w:rFonts w:ascii="Times New Roman" w:hAnsi="Times New Roman"/>
                <w:color w:val="000000" w:themeColor="text1"/>
                <w:sz w:val="16"/>
                <w:szCs w:val="16"/>
              </w:rPr>
            </w:pPr>
            <w:r w:rsidRPr="00E82A5D">
              <w:rPr>
                <w:rFonts w:ascii="Times New Roman" w:hAnsi="Times New Roman"/>
                <w:color w:val="000000" w:themeColor="text1"/>
                <w:sz w:val="16"/>
                <w:szCs w:val="16"/>
              </w:rPr>
              <w:t>Number of institutions and authorities exchanging</w:t>
            </w:r>
            <w:r w:rsidR="00A23604">
              <w:rPr>
                <w:rFonts w:ascii="Times New Roman" w:hAnsi="Times New Roman"/>
                <w:color w:val="000000" w:themeColor="text1"/>
                <w:sz w:val="16"/>
                <w:szCs w:val="16"/>
              </w:rPr>
              <w:t xml:space="preserve"> </w:t>
            </w:r>
            <w:r w:rsidRPr="00E82A5D">
              <w:rPr>
                <w:rFonts w:ascii="Times New Roman" w:hAnsi="Times New Roman"/>
                <w:color w:val="000000" w:themeColor="text1"/>
                <w:sz w:val="16"/>
                <w:szCs w:val="16"/>
              </w:rPr>
              <w:t xml:space="preserve"> relevant information with the SCPC </w:t>
            </w:r>
          </w:p>
        </w:tc>
        <w:tc>
          <w:tcPr>
            <w:tcW w:w="1440" w:type="dxa"/>
            <w:shd w:val="clear" w:color="auto" w:fill="FFFFFF"/>
          </w:tcPr>
          <w:p w:rsidR="001F75A2" w:rsidRPr="00E82A5D" w:rsidRDefault="00AA2707" w:rsidP="0009576A">
            <w:pPr>
              <w:numPr>
                <w:ilvl w:val="12"/>
                <w:numId w:val="0"/>
              </w:numPr>
              <w:shd w:val="clear" w:color="auto" w:fill="FFFFFF"/>
              <w:spacing w:after="0" w:line="240" w:lineRule="auto"/>
              <w:rPr>
                <w:rFonts w:ascii="Times New Roman" w:hAnsi="Times New Roman"/>
                <w:color w:val="000000" w:themeColor="text1"/>
                <w:sz w:val="16"/>
                <w:szCs w:val="16"/>
              </w:rPr>
            </w:pPr>
            <w:r w:rsidRPr="00E82A5D">
              <w:rPr>
                <w:rFonts w:ascii="Times New Roman" w:hAnsi="Times New Roman"/>
                <w:color w:val="000000" w:themeColor="text1"/>
                <w:sz w:val="16"/>
                <w:szCs w:val="16"/>
              </w:rPr>
              <w:t>10</w:t>
            </w:r>
            <w:r w:rsidR="001F75A2" w:rsidRPr="00E82A5D">
              <w:rPr>
                <w:rFonts w:ascii="Times New Roman" w:hAnsi="Times New Roman"/>
                <w:color w:val="000000" w:themeColor="text1"/>
                <w:sz w:val="16"/>
                <w:szCs w:val="16"/>
              </w:rPr>
              <w:t>(2019)</w:t>
            </w:r>
          </w:p>
        </w:tc>
        <w:tc>
          <w:tcPr>
            <w:tcW w:w="1260" w:type="dxa"/>
            <w:shd w:val="clear" w:color="auto" w:fill="FFFFFF"/>
          </w:tcPr>
          <w:p w:rsidR="001F75A2" w:rsidRPr="00E82A5D" w:rsidRDefault="001F75A2" w:rsidP="0009576A">
            <w:pPr>
              <w:numPr>
                <w:ilvl w:val="12"/>
                <w:numId w:val="0"/>
              </w:numPr>
              <w:shd w:val="clear" w:color="auto" w:fill="FFFFFF"/>
              <w:spacing w:after="0" w:line="240" w:lineRule="auto"/>
              <w:rPr>
                <w:rFonts w:ascii="Times New Roman" w:hAnsi="Times New Roman"/>
                <w:color w:val="000000" w:themeColor="text1"/>
                <w:sz w:val="16"/>
                <w:szCs w:val="16"/>
              </w:rPr>
            </w:pPr>
          </w:p>
        </w:tc>
        <w:tc>
          <w:tcPr>
            <w:tcW w:w="1530" w:type="dxa"/>
            <w:shd w:val="clear" w:color="auto" w:fill="FFFFFF"/>
          </w:tcPr>
          <w:p w:rsidR="001F75A2" w:rsidRPr="00E82A5D" w:rsidRDefault="001F75A2" w:rsidP="0009576A">
            <w:pPr>
              <w:numPr>
                <w:ilvl w:val="12"/>
                <w:numId w:val="0"/>
              </w:numPr>
              <w:shd w:val="clear" w:color="auto" w:fill="FFFFFF"/>
              <w:spacing w:after="0" w:line="240" w:lineRule="auto"/>
              <w:rPr>
                <w:rFonts w:ascii="Times New Roman" w:hAnsi="Times New Roman"/>
                <w:color w:val="000000" w:themeColor="text1"/>
                <w:sz w:val="16"/>
                <w:szCs w:val="16"/>
              </w:rPr>
            </w:pPr>
            <w:r w:rsidRPr="00E82A5D">
              <w:rPr>
                <w:rFonts w:ascii="Times New Roman" w:hAnsi="Times New Roman"/>
                <w:color w:val="000000" w:themeColor="text1"/>
                <w:sz w:val="16"/>
                <w:szCs w:val="16"/>
              </w:rPr>
              <w:t>22 (2024)</w:t>
            </w:r>
          </w:p>
        </w:tc>
        <w:tc>
          <w:tcPr>
            <w:tcW w:w="1584" w:type="dxa"/>
            <w:shd w:val="clear" w:color="auto" w:fill="FFFFFF"/>
          </w:tcPr>
          <w:p w:rsidR="001F75A2" w:rsidRPr="00E82A5D" w:rsidRDefault="001F75A2" w:rsidP="0009576A">
            <w:pPr>
              <w:numPr>
                <w:ilvl w:val="12"/>
                <w:numId w:val="0"/>
              </w:numPr>
              <w:shd w:val="clear" w:color="auto" w:fill="FFFFFF"/>
              <w:spacing w:after="0" w:line="240" w:lineRule="auto"/>
              <w:rPr>
                <w:rFonts w:ascii="Times New Roman" w:hAnsi="Times New Roman"/>
                <w:color w:val="000000" w:themeColor="text1"/>
                <w:sz w:val="16"/>
                <w:szCs w:val="16"/>
              </w:rPr>
            </w:pPr>
            <w:r w:rsidRPr="00E82A5D">
              <w:rPr>
                <w:rFonts w:ascii="Times New Roman" w:hAnsi="Times New Roman"/>
                <w:color w:val="000000" w:themeColor="text1"/>
                <w:sz w:val="16"/>
                <w:szCs w:val="16"/>
              </w:rPr>
              <w:t>SCPC Report</w:t>
            </w:r>
          </w:p>
        </w:tc>
        <w:tc>
          <w:tcPr>
            <w:tcW w:w="2126" w:type="dxa"/>
            <w:vMerge/>
            <w:shd w:val="clear" w:color="auto" w:fill="FFFFFF"/>
          </w:tcPr>
          <w:p w:rsidR="001F75A2" w:rsidRPr="00E82A5D" w:rsidRDefault="001F75A2" w:rsidP="0009576A">
            <w:pPr>
              <w:shd w:val="clear" w:color="auto" w:fill="FFFFFF"/>
              <w:spacing w:after="0" w:line="240" w:lineRule="auto"/>
              <w:rPr>
                <w:rFonts w:ascii="Times New Roman" w:hAnsi="Times New Roman"/>
                <w:color w:val="000000" w:themeColor="text1"/>
                <w:sz w:val="16"/>
                <w:szCs w:val="16"/>
              </w:rPr>
            </w:pPr>
          </w:p>
        </w:tc>
      </w:tr>
      <w:tr w:rsidR="001F75A2" w:rsidRPr="00E82A5D" w:rsidTr="0009576A">
        <w:trPr>
          <w:trHeight w:val="154"/>
        </w:trPr>
        <w:tc>
          <w:tcPr>
            <w:tcW w:w="3401" w:type="dxa"/>
            <w:vMerge/>
            <w:shd w:val="clear" w:color="auto" w:fill="FFFFFF"/>
          </w:tcPr>
          <w:p w:rsidR="001F75A2" w:rsidRPr="00E82A5D" w:rsidRDefault="001F75A2" w:rsidP="0009576A">
            <w:pPr>
              <w:shd w:val="clear" w:color="auto" w:fill="FFFFFF"/>
              <w:spacing w:after="0" w:line="240" w:lineRule="auto"/>
              <w:rPr>
                <w:rFonts w:ascii="Times New Roman" w:hAnsi="Times New Roman"/>
                <w:b/>
                <w:color w:val="000000" w:themeColor="text1"/>
                <w:sz w:val="16"/>
                <w:szCs w:val="16"/>
              </w:rPr>
            </w:pPr>
          </w:p>
        </w:tc>
        <w:tc>
          <w:tcPr>
            <w:tcW w:w="3968" w:type="dxa"/>
            <w:shd w:val="clear" w:color="auto" w:fill="FFFFFF"/>
          </w:tcPr>
          <w:p w:rsidR="001F75A2" w:rsidRPr="00E82A5D" w:rsidRDefault="001F75A2" w:rsidP="0009576A">
            <w:pPr>
              <w:numPr>
                <w:ilvl w:val="12"/>
                <w:numId w:val="0"/>
              </w:numPr>
              <w:shd w:val="clear" w:color="auto" w:fill="FFFFFF"/>
              <w:spacing w:after="0" w:line="240" w:lineRule="auto"/>
              <w:rPr>
                <w:rFonts w:ascii="Times New Roman" w:hAnsi="Times New Roman"/>
                <w:color w:val="000000" w:themeColor="text1"/>
                <w:sz w:val="16"/>
                <w:szCs w:val="16"/>
              </w:rPr>
            </w:pPr>
            <w:r w:rsidRPr="00E82A5D">
              <w:rPr>
                <w:rFonts w:ascii="Times New Roman" w:hAnsi="Times New Roman"/>
                <w:color w:val="000000" w:themeColor="text1"/>
                <w:sz w:val="16"/>
                <w:szCs w:val="16"/>
              </w:rPr>
              <w:t>Number of Prosecutor Offices connected with the improved software</w:t>
            </w:r>
          </w:p>
        </w:tc>
        <w:tc>
          <w:tcPr>
            <w:tcW w:w="1440" w:type="dxa"/>
            <w:shd w:val="clear" w:color="auto" w:fill="FFFFFF"/>
          </w:tcPr>
          <w:p w:rsidR="001F75A2" w:rsidRPr="00E82A5D" w:rsidRDefault="001F75A2" w:rsidP="0009576A">
            <w:pPr>
              <w:numPr>
                <w:ilvl w:val="12"/>
                <w:numId w:val="0"/>
              </w:numPr>
              <w:shd w:val="clear" w:color="auto" w:fill="FFFFFF"/>
              <w:spacing w:after="0" w:line="240" w:lineRule="auto"/>
              <w:rPr>
                <w:rFonts w:ascii="Times New Roman" w:hAnsi="Times New Roman"/>
                <w:color w:val="000000" w:themeColor="text1"/>
                <w:sz w:val="16"/>
                <w:szCs w:val="16"/>
              </w:rPr>
            </w:pPr>
            <w:r w:rsidRPr="00E82A5D">
              <w:rPr>
                <w:rFonts w:ascii="Times New Roman" w:hAnsi="Times New Roman"/>
                <w:color w:val="000000" w:themeColor="text1"/>
                <w:sz w:val="16"/>
                <w:szCs w:val="16"/>
              </w:rPr>
              <w:t>0 (2020)</w:t>
            </w:r>
          </w:p>
        </w:tc>
        <w:tc>
          <w:tcPr>
            <w:tcW w:w="1260" w:type="dxa"/>
            <w:shd w:val="clear" w:color="auto" w:fill="FFFFFF"/>
          </w:tcPr>
          <w:p w:rsidR="001F75A2" w:rsidRPr="00E82A5D" w:rsidRDefault="001F75A2" w:rsidP="0009576A">
            <w:pPr>
              <w:numPr>
                <w:ilvl w:val="12"/>
                <w:numId w:val="0"/>
              </w:numPr>
              <w:shd w:val="clear" w:color="auto" w:fill="FFFFFF"/>
              <w:spacing w:after="0" w:line="240" w:lineRule="auto"/>
              <w:rPr>
                <w:rFonts w:ascii="Times New Roman" w:hAnsi="Times New Roman"/>
                <w:color w:val="000000" w:themeColor="text1"/>
                <w:sz w:val="16"/>
                <w:szCs w:val="16"/>
              </w:rPr>
            </w:pPr>
          </w:p>
        </w:tc>
        <w:tc>
          <w:tcPr>
            <w:tcW w:w="1530" w:type="dxa"/>
            <w:shd w:val="clear" w:color="auto" w:fill="FFFFFF"/>
          </w:tcPr>
          <w:p w:rsidR="001F75A2" w:rsidRPr="00E82A5D" w:rsidRDefault="001F75A2" w:rsidP="00406848">
            <w:pPr>
              <w:numPr>
                <w:ilvl w:val="12"/>
                <w:numId w:val="0"/>
              </w:numPr>
              <w:shd w:val="clear" w:color="auto" w:fill="FFFFFF"/>
              <w:spacing w:after="0" w:line="240" w:lineRule="auto"/>
              <w:rPr>
                <w:rFonts w:ascii="Times New Roman" w:hAnsi="Times New Roman"/>
                <w:color w:val="000000" w:themeColor="text1"/>
                <w:sz w:val="16"/>
                <w:szCs w:val="16"/>
              </w:rPr>
            </w:pPr>
            <w:r w:rsidRPr="00E82A5D">
              <w:rPr>
                <w:rFonts w:ascii="Times New Roman" w:hAnsi="Times New Roman"/>
                <w:color w:val="000000" w:themeColor="text1"/>
                <w:sz w:val="16"/>
                <w:szCs w:val="16"/>
              </w:rPr>
              <w:t xml:space="preserve">All the </w:t>
            </w:r>
            <w:r w:rsidR="00CD6A36" w:rsidRPr="00E82A5D">
              <w:rPr>
                <w:rFonts w:ascii="Times New Roman" w:hAnsi="Times New Roman"/>
                <w:color w:val="000000" w:themeColor="text1"/>
                <w:sz w:val="16"/>
                <w:szCs w:val="16"/>
              </w:rPr>
              <w:t>Pu</w:t>
            </w:r>
            <w:r w:rsidR="00406848" w:rsidRPr="00E82A5D">
              <w:rPr>
                <w:rFonts w:ascii="Times New Roman" w:hAnsi="Times New Roman"/>
                <w:color w:val="000000" w:themeColor="text1"/>
                <w:sz w:val="16"/>
                <w:szCs w:val="16"/>
              </w:rPr>
              <w:t>bl</w:t>
            </w:r>
            <w:r w:rsidR="00CD6A36" w:rsidRPr="00E82A5D">
              <w:rPr>
                <w:rFonts w:ascii="Times New Roman" w:hAnsi="Times New Roman"/>
                <w:color w:val="000000" w:themeColor="text1"/>
                <w:sz w:val="16"/>
                <w:szCs w:val="16"/>
              </w:rPr>
              <w:t xml:space="preserve">ic </w:t>
            </w:r>
            <w:r w:rsidRPr="00E82A5D">
              <w:rPr>
                <w:rFonts w:ascii="Times New Roman" w:hAnsi="Times New Roman"/>
                <w:color w:val="000000" w:themeColor="text1"/>
                <w:sz w:val="16"/>
                <w:szCs w:val="16"/>
              </w:rPr>
              <w:t>Prosecutor Offices (2024)</w:t>
            </w:r>
          </w:p>
        </w:tc>
        <w:tc>
          <w:tcPr>
            <w:tcW w:w="1584" w:type="dxa"/>
            <w:shd w:val="clear" w:color="auto" w:fill="FFFFFF"/>
          </w:tcPr>
          <w:p w:rsidR="001F75A2" w:rsidRPr="00E82A5D" w:rsidRDefault="007F1055" w:rsidP="0009576A">
            <w:pPr>
              <w:numPr>
                <w:ilvl w:val="12"/>
                <w:numId w:val="0"/>
              </w:numPr>
              <w:shd w:val="clear" w:color="auto" w:fill="FFFFFF"/>
              <w:spacing w:after="0" w:line="240" w:lineRule="auto"/>
              <w:rPr>
                <w:rFonts w:ascii="Times New Roman" w:hAnsi="Times New Roman"/>
                <w:color w:val="000000" w:themeColor="text1"/>
                <w:sz w:val="16"/>
                <w:szCs w:val="16"/>
              </w:rPr>
            </w:pPr>
            <w:r w:rsidRPr="00E82A5D">
              <w:rPr>
                <w:rFonts w:ascii="Times New Roman" w:hAnsi="Times New Roman"/>
                <w:color w:val="000000" w:themeColor="text1"/>
                <w:sz w:val="16"/>
                <w:szCs w:val="16"/>
              </w:rPr>
              <w:t>Project report</w:t>
            </w:r>
          </w:p>
        </w:tc>
        <w:tc>
          <w:tcPr>
            <w:tcW w:w="2126" w:type="dxa"/>
            <w:vMerge/>
            <w:shd w:val="clear" w:color="auto" w:fill="FFFFFF"/>
          </w:tcPr>
          <w:p w:rsidR="001F75A2" w:rsidRPr="00E82A5D" w:rsidRDefault="001F75A2" w:rsidP="0009576A">
            <w:pPr>
              <w:shd w:val="clear" w:color="auto" w:fill="FFFFFF"/>
              <w:spacing w:after="0" w:line="240" w:lineRule="auto"/>
              <w:rPr>
                <w:rFonts w:ascii="Times New Roman" w:hAnsi="Times New Roman"/>
                <w:color w:val="000000" w:themeColor="text1"/>
                <w:sz w:val="16"/>
                <w:szCs w:val="16"/>
              </w:rPr>
            </w:pPr>
          </w:p>
        </w:tc>
      </w:tr>
      <w:tr w:rsidR="001F75A2" w:rsidRPr="00E82A5D" w:rsidTr="0009576A">
        <w:trPr>
          <w:trHeight w:val="154"/>
        </w:trPr>
        <w:tc>
          <w:tcPr>
            <w:tcW w:w="3401" w:type="dxa"/>
            <w:vMerge/>
            <w:shd w:val="clear" w:color="auto" w:fill="FFFFFF"/>
          </w:tcPr>
          <w:p w:rsidR="001F75A2" w:rsidRPr="00E82A5D" w:rsidRDefault="001F75A2" w:rsidP="0009576A">
            <w:pPr>
              <w:shd w:val="clear" w:color="auto" w:fill="FFFFFF"/>
              <w:spacing w:after="0" w:line="240" w:lineRule="auto"/>
              <w:rPr>
                <w:rFonts w:ascii="Times New Roman" w:hAnsi="Times New Roman"/>
                <w:b/>
                <w:color w:val="000000" w:themeColor="text1"/>
                <w:sz w:val="16"/>
                <w:szCs w:val="16"/>
              </w:rPr>
            </w:pPr>
          </w:p>
        </w:tc>
        <w:tc>
          <w:tcPr>
            <w:tcW w:w="3968" w:type="dxa"/>
            <w:shd w:val="clear" w:color="auto" w:fill="FFFFFF"/>
          </w:tcPr>
          <w:p w:rsidR="001F75A2" w:rsidRPr="00E82A5D" w:rsidRDefault="001F75A2" w:rsidP="009D65C6">
            <w:pPr>
              <w:numPr>
                <w:ilvl w:val="12"/>
                <w:numId w:val="0"/>
              </w:numPr>
              <w:shd w:val="clear" w:color="auto" w:fill="FFFFFF"/>
              <w:spacing w:after="0" w:line="240" w:lineRule="auto"/>
              <w:rPr>
                <w:rFonts w:ascii="Times New Roman" w:hAnsi="Times New Roman"/>
                <w:color w:val="000000" w:themeColor="text1"/>
                <w:sz w:val="16"/>
                <w:szCs w:val="16"/>
              </w:rPr>
            </w:pPr>
            <w:r w:rsidRPr="00E82A5D">
              <w:rPr>
                <w:rFonts w:ascii="Times New Roman" w:hAnsi="Times New Roman"/>
                <w:color w:val="000000" w:themeColor="text1"/>
                <w:sz w:val="16"/>
                <w:szCs w:val="16"/>
              </w:rPr>
              <w:t xml:space="preserve">Number of Institutions </w:t>
            </w:r>
            <w:r w:rsidR="00421781" w:rsidRPr="00E82A5D">
              <w:rPr>
                <w:rFonts w:ascii="Times New Roman" w:hAnsi="Times New Roman"/>
                <w:color w:val="000000" w:themeColor="text1"/>
                <w:sz w:val="16"/>
                <w:szCs w:val="16"/>
              </w:rPr>
              <w:t>connected</w:t>
            </w:r>
            <w:r w:rsidRPr="00E82A5D">
              <w:rPr>
                <w:rFonts w:ascii="Times New Roman" w:hAnsi="Times New Roman"/>
                <w:color w:val="000000" w:themeColor="text1"/>
                <w:sz w:val="16"/>
                <w:szCs w:val="16"/>
              </w:rPr>
              <w:t xml:space="preserve"> to the new </w:t>
            </w:r>
            <w:proofErr w:type="spellStart"/>
            <w:r w:rsidRPr="00E82A5D">
              <w:rPr>
                <w:rFonts w:ascii="Times New Roman" w:hAnsi="Times New Roman"/>
                <w:color w:val="000000" w:themeColor="text1"/>
                <w:sz w:val="16"/>
                <w:szCs w:val="16"/>
              </w:rPr>
              <w:t>AKStat</w:t>
            </w:r>
            <w:proofErr w:type="spellEnd"/>
          </w:p>
        </w:tc>
        <w:tc>
          <w:tcPr>
            <w:tcW w:w="1440" w:type="dxa"/>
            <w:shd w:val="clear" w:color="auto" w:fill="FFFFFF"/>
          </w:tcPr>
          <w:p w:rsidR="001F75A2" w:rsidRPr="00E82A5D" w:rsidRDefault="001F75A2" w:rsidP="0009576A">
            <w:pPr>
              <w:numPr>
                <w:ilvl w:val="12"/>
                <w:numId w:val="0"/>
              </w:numPr>
              <w:shd w:val="clear" w:color="auto" w:fill="FFFFFF"/>
              <w:spacing w:after="0" w:line="240" w:lineRule="auto"/>
              <w:rPr>
                <w:rFonts w:ascii="Times New Roman" w:hAnsi="Times New Roman"/>
                <w:color w:val="000000" w:themeColor="text1"/>
                <w:sz w:val="16"/>
                <w:szCs w:val="16"/>
              </w:rPr>
            </w:pPr>
            <w:r w:rsidRPr="00E82A5D">
              <w:rPr>
                <w:rFonts w:ascii="Times New Roman" w:hAnsi="Times New Roman"/>
                <w:color w:val="000000" w:themeColor="text1"/>
                <w:sz w:val="16"/>
                <w:szCs w:val="16"/>
              </w:rPr>
              <w:t>0 (2020)</w:t>
            </w:r>
          </w:p>
        </w:tc>
        <w:tc>
          <w:tcPr>
            <w:tcW w:w="1260" w:type="dxa"/>
            <w:shd w:val="clear" w:color="auto" w:fill="FFFFFF"/>
          </w:tcPr>
          <w:p w:rsidR="001F75A2" w:rsidRPr="00E82A5D" w:rsidRDefault="001F75A2" w:rsidP="0009576A">
            <w:pPr>
              <w:numPr>
                <w:ilvl w:val="12"/>
                <w:numId w:val="0"/>
              </w:numPr>
              <w:shd w:val="clear" w:color="auto" w:fill="FFFFFF"/>
              <w:spacing w:after="0" w:line="240" w:lineRule="auto"/>
              <w:rPr>
                <w:rFonts w:ascii="Times New Roman" w:hAnsi="Times New Roman"/>
                <w:color w:val="000000" w:themeColor="text1"/>
                <w:sz w:val="16"/>
                <w:szCs w:val="16"/>
              </w:rPr>
            </w:pPr>
          </w:p>
        </w:tc>
        <w:tc>
          <w:tcPr>
            <w:tcW w:w="1530" w:type="dxa"/>
            <w:shd w:val="clear" w:color="auto" w:fill="FFFFFF"/>
          </w:tcPr>
          <w:p w:rsidR="001F75A2" w:rsidRPr="00E82A5D" w:rsidRDefault="009B2332" w:rsidP="0009576A">
            <w:pPr>
              <w:numPr>
                <w:ilvl w:val="12"/>
                <w:numId w:val="0"/>
              </w:numPr>
              <w:shd w:val="clear" w:color="auto" w:fill="FFFFFF"/>
              <w:spacing w:after="0" w:line="240" w:lineRule="auto"/>
              <w:rPr>
                <w:rFonts w:ascii="Times New Roman" w:hAnsi="Times New Roman"/>
                <w:color w:val="000000" w:themeColor="text1"/>
                <w:sz w:val="16"/>
                <w:szCs w:val="16"/>
              </w:rPr>
            </w:pPr>
            <w:r w:rsidRPr="00E82A5D">
              <w:rPr>
                <w:rFonts w:ascii="Times New Roman" w:hAnsi="Times New Roman"/>
                <w:color w:val="000000" w:themeColor="text1"/>
                <w:sz w:val="16"/>
                <w:szCs w:val="16"/>
              </w:rPr>
              <w:t xml:space="preserve">47 </w:t>
            </w:r>
            <w:r w:rsidR="001F75A2" w:rsidRPr="00E82A5D">
              <w:rPr>
                <w:rFonts w:ascii="Times New Roman" w:hAnsi="Times New Roman"/>
                <w:color w:val="000000" w:themeColor="text1"/>
                <w:sz w:val="16"/>
                <w:szCs w:val="16"/>
              </w:rPr>
              <w:t>(2024)</w:t>
            </w:r>
          </w:p>
        </w:tc>
        <w:tc>
          <w:tcPr>
            <w:tcW w:w="1584" w:type="dxa"/>
            <w:shd w:val="clear" w:color="auto" w:fill="FFFFFF"/>
          </w:tcPr>
          <w:p w:rsidR="001F75A2" w:rsidRPr="00E82A5D" w:rsidRDefault="007F1055" w:rsidP="0009576A">
            <w:pPr>
              <w:numPr>
                <w:ilvl w:val="12"/>
                <w:numId w:val="0"/>
              </w:numPr>
              <w:shd w:val="clear" w:color="auto" w:fill="FFFFFF"/>
              <w:spacing w:after="0" w:line="240" w:lineRule="auto"/>
              <w:rPr>
                <w:rFonts w:ascii="Times New Roman" w:hAnsi="Times New Roman"/>
                <w:color w:val="000000" w:themeColor="text1"/>
                <w:sz w:val="16"/>
                <w:szCs w:val="16"/>
              </w:rPr>
            </w:pPr>
            <w:r w:rsidRPr="00E82A5D">
              <w:rPr>
                <w:rFonts w:ascii="Times New Roman" w:hAnsi="Times New Roman"/>
                <w:color w:val="000000" w:themeColor="text1"/>
                <w:sz w:val="16"/>
                <w:szCs w:val="16"/>
              </w:rPr>
              <w:t>Project report</w:t>
            </w:r>
          </w:p>
        </w:tc>
        <w:tc>
          <w:tcPr>
            <w:tcW w:w="2126" w:type="dxa"/>
            <w:vMerge/>
            <w:shd w:val="clear" w:color="auto" w:fill="FFFFFF"/>
          </w:tcPr>
          <w:p w:rsidR="001F75A2" w:rsidRPr="00E82A5D" w:rsidRDefault="001F75A2" w:rsidP="0009576A">
            <w:pPr>
              <w:shd w:val="clear" w:color="auto" w:fill="FFFFFF"/>
              <w:spacing w:after="0" w:line="240" w:lineRule="auto"/>
              <w:rPr>
                <w:rFonts w:ascii="Times New Roman" w:hAnsi="Times New Roman"/>
                <w:color w:val="000000" w:themeColor="text1"/>
                <w:sz w:val="16"/>
                <w:szCs w:val="16"/>
              </w:rPr>
            </w:pPr>
          </w:p>
        </w:tc>
      </w:tr>
      <w:tr w:rsidR="001F75A2" w:rsidRPr="00E82A5D" w:rsidTr="0009576A">
        <w:trPr>
          <w:trHeight w:val="154"/>
        </w:trPr>
        <w:tc>
          <w:tcPr>
            <w:tcW w:w="3401" w:type="dxa"/>
            <w:vMerge/>
            <w:shd w:val="clear" w:color="auto" w:fill="FFFFFF"/>
          </w:tcPr>
          <w:p w:rsidR="001F75A2" w:rsidRPr="00E82A5D" w:rsidRDefault="001F75A2" w:rsidP="0009576A">
            <w:pPr>
              <w:shd w:val="clear" w:color="auto" w:fill="FFFFFF"/>
              <w:spacing w:after="0" w:line="240" w:lineRule="auto"/>
              <w:rPr>
                <w:rFonts w:ascii="Times New Roman" w:hAnsi="Times New Roman"/>
                <w:b/>
                <w:color w:val="000000" w:themeColor="text1"/>
                <w:sz w:val="16"/>
                <w:szCs w:val="16"/>
              </w:rPr>
            </w:pPr>
          </w:p>
        </w:tc>
        <w:tc>
          <w:tcPr>
            <w:tcW w:w="3968" w:type="dxa"/>
            <w:shd w:val="clear" w:color="auto" w:fill="FFFFFF"/>
          </w:tcPr>
          <w:p w:rsidR="001F75A2" w:rsidRPr="00E82A5D" w:rsidRDefault="001F75A2" w:rsidP="0009576A">
            <w:pPr>
              <w:numPr>
                <w:ilvl w:val="12"/>
                <w:numId w:val="0"/>
              </w:numPr>
              <w:shd w:val="clear" w:color="auto" w:fill="FFFFFF"/>
              <w:spacing w:after="0" w:line="240" w:lineRule="auto"/>
              <w:rPr>
                <w:rFonts w:ascii="Times New Roman" w:hAnsi="Times New Roman"/>
                <w:color w:val="000000" w:themeColor="text1"/>
                <w:sz w:val="16"/>
                <w:szCs w:val="16"/>
              </w:rPr>
            </w:pPr>
            <w:r w:rsidRPr="00E82A5D">
              <w:rPr>
                <w:rFonts w:ascii="Times New Roman" w:hAnsi="Times New Roman"/>
                <w:color w:val="000000" w:themeColor="text1"/>
                <w:sz w:val="16"/>
                <w:szCs w:val="16"/>
              </w:rPr>
              <w:t>Number of Judges and Prosecutors trained to use the new software</w:t>
            </w:r>
          </w:p>
        </w:tc>
        <w:tc>
          <w:tcPr>
            <w:tcW w:w="1440" w:type="dxa"/>
            <w:shd w:val="clear" w:color="auto" w:fill="FFFFFF"/>
          </w:tcPr>
          <w:p w:rsidR="001F75A2" w:rsidRPr="00E82A5D" w:rsidRDefault="001F75A2" w:rsidP="0009576A">
            <w:pPr>
              <w:numPr>
                <w:ilvl w:val="12"/>
                <w:numId w:val="0"/>
              </w:numPr>
              <w:shd w:val="clear" w:color="auto" w:fill="FFFFFF"/>
              <w:spacing w:after="0" w:line="240" w:lineRule="auto"/>
              <w:rPr>
                <w:rFonts w:ascii="Times New Roman" w:hAnsi="Times New Roman"/>
                <w:color w:val="000000" w:themeColor="text1"/>
                <w:sz w:val="16"/>
                <w:szCs w:val="16"/>
              </w:rPr>
            </w:pPr>
            <w:r w:rsidRPr="00E82A5D">
              <w:rPr>
                <w:rFonts w:ascii="Times New Roman" w:hAnsi="Times New Roman"/>
                <w:color w:val="000000" w:themeColor="text1"/>
                <w:sz w:val="16"/>
                <w:szCs w:val="16"/>
              </w:rPr>
              <w:t>0 (2020)</w:t>
            </w:r>
          </w:p>
        </w:tc>
        <w:tc>
          <w:tcPr>
            <w:tcW w:w="1260" w:type="dxa"/>
            <w:shd w:val="clear" w:color="auto" w:fill="FFFFFF"/>
          </w:tcPr>
          <w:p w:rsidR="001F75A2" w:rsidRPr="00E82A5D" w:rsidRDefault="001F75A2" w:rsidP="0009576A">
            <w:pPr>
              <w:numPr>
                <w:ilvl w:val="12"/>
                <w:numId w:val="0"/>
              </w:numPr>
              <w:shd w:val="clear" w:color="auto" w:fill="FFFFFF"/>
              <w:spacing w:after="0" w:line="240" w:lineRule="auto"/>
              <w:rPr>
                <w:rFonts w:ascii="Times New Roman" w:hAnsi="Times New Roman"/>
                <w:color w:val="000000" w:themeColor="text1"/>
                <w:sz w:val="16"/>
                <w:szCs w:val="16"/>
              </w:rPr>
            </w:pPr>
          </w:p>
        </w:tc>
        <w:tc>
          <w:tcPr>
            <w:tcW w:w="1530" w:type="dxa"/>
            <w:shd w:val="clear" w:color="auto" w:fill="FFFFFF"/>
          </w:tcPr>
          <w:p w:rsidR="001F75A2" w:rsidRPr="00E82A5D" w:rsidRDefault="00CD6A36" w:rsidP="0009576A">
            <w:pPr>
              <w:numPr>
                <w:ilvl w:val="12"/>
                <w:numId w:val="0"/>
              </w:numPr>
              <w:shd w:val="clear" w:color="auto" w:fill="FFFFFF"/>
              <w:spacing w:after="0" w:line="240" w:lineRule="auto"/>
              <w:rPr>
                <w:rFonts w:ascii="Times New Roman" w:hAnsi="Times New Roman"/>
                <w:color w:val="000000" w:themeColor="text1"/>
                <w:sz w:val="16"/>
                <w:szCs w:val="16"/>
              </w:rPr>
            </w:pPr>
            <w:r w:rsidRPr="00E82A5D">
              <w:rPr>
                <w:rFonts w:ascii="Times New Roman" w:hAnsi="Times New Roman"/>
                <w:color w:val="000000" w:themeColor="text1"/>
                <w:sz w:val="16"/>
                <w:szCs w:val="16"/>
              </w:rPr>
              <w:t xml:space="preserve">1000 </w:t>
            </w:r>
            <w:r w:rsidR="001F75A2" w:rsidRPr="00E82A5D">
              <w:rPr>
                <w:rFonts w:ascii="Times New Roman" w:hAnsi="Times New Roman"/>
                <w:color w:val="000000" w:themeColor="text1"/>
                <w:sz w:val="16"/>
                <w:szCs w:val="16"/>
              </w:rPr>
              <w:t>(2024)</w:t>
            </w:r>
          </w:p>
        </w:tc>
        <w:tc>
          <w:tcPr>
            <w:tcW w:w="1584" w:type="dxa"/>
            <w:shd w:val="clear" w:color="auto" w:fill="FFFFFF"/>
          </w:tcPr>
          <w:p w:rsidR="001F75A2" w:rsidRPr="00E82A5D" w:rsidRDefault="001F75A2" w:rsidP="0009576A">
            <w:pPr>
              <w:numPr>
                <w:ilvl w:val="12"/>
                <w:numId w:val="0"/>
              </w:numPr>
              <w:shd w:val="clear" w:color="auto" w:fill="FFFFFF"/>
              <w:spacing w:after="0" w:line="240" w:lineRule="auto"/>
              <w:rPr>
                <w:rFonts w:ascii="Times New Roman" w:hAnsi="Times New Roman"/>
                <w:color w:val="000000" w:themeColor="text1"/>
                <w:sz w:val="16"/>
                <w:szCs w:val="16"/>
              </w:rPr>
            </w:pPr>
            <w:r w:rsidRPr="00E82A5D">
              <w:rPr>
                <w:rFonts w:ascii="Times New Roman" w:hAnsi="Times New Roman"/>
                <w:color w:val="000000" w:themeColor="text1"/>
                <w:sz w:val="16"/>
                <w:szCs w:val="16"/>
              </w:rPr>
              <w:t xml:space="preserve">Judicial Council report plus </w:t>
            </w:r>
            <w:r w:rsidR="00432E8E" w:rsidRPr="00E82A5D">
              <w:rPr>
                <w:rFonts w:ascii="Times New Roman" w:hAnsi="Times New Roman"/>
                <w:color w:val="000000" w:themeColor="text1"/>
                <w:sz w:val="16"/>
                <w:szCs w:val="16"/>
              </w:rPr>
              <w:t xml:space="preserve">Public </w:t>
            </w:r>
            <w:r w:rsidRPr="00E82A5D">
              <w:rPr>
                <w:rFonts w:ascii="Times New Roman" w:hAnsi="Times New Roman"/>
                <w:color w:val="000000" w:themeColor="text1"/>
                <w:sz w:val="16"/>
                <w:szCs w:val="16"/>
              </w:rPr>
              <w:t>Prosecutor Council report</w:t>
            </w:r>
          </w:p>
          <w:p w:rsidR="00432E8E" w:rsidRPr="00E82A5D" w:rsidRDefault="00432E8E" w:rsidP="0009576A">
            <w:pPr>
              <w:numPr>
                <w:ilvl w:val="12"/>
                <w:numId w:val="0"/>
              </w:numPr>
              <w:shd w:val="clear" w:color="auto" w:fill="FFFFFF"/>
              <w:spacing w:after="0" w:line="240" w:lineRule="auto"/>
              <w:rPr>
                <w:rFonts w:ascii="Times New Roman" w:hAnsi="Times New Roman"/>
                <w:color w:val="000000" w:themeColor="text1"/>
                <w:sz w:val="16"/>
                <w:szCs w:val="16"/>
              </w:rPr>
            </w:pPr>
            <w:r w:rsidRPr="00E82A5D">
              <w:rPr>
                <w:rFonts w:ascii="Times New Roman" w:hAnsi="Times New Roman"/>
                <w:color w:val="000000" w:themeColor="text1"/>
                <w:sz w:val="16"/>
                <w:szCs w:val="16"/>
              </w:rPr>
              <w:t>Project report</w:t>
            </w:r>
          </w:p>
        </w:tc>
        <w:tc>
          <w:tcPr>
            <w:tcW w:w="2126" w:type="dxa"/>
            <w:vMerge/>
            <w:shd w:val="clear" w:color="auto" w:fill="FFFFFF"/>
          </w:tcPr>
          <w:p w:rsidR="001F75A2" w:rsidRPr="00E82A5D" w:rsidRDefault="001F75A2" w:rsidP="0009576A">
            <w:pPr>
              <w:shd w:val="clear" w:color="auto" w:fill="FFFFFF"/>
              <w:spacing w:after="0" w:line="240" w:lineRule="auto"/>
              <w:rPr>
                <w:rFonts w:ascii="Times New Roman" w:hAnsi="Times New Roman"/>
                <w:color w:val="000000" w:themeColor="text1"/>
                <w:sz w:val="16"/>
                <w:szCs w:val="16"/>
              </w:rPr>
            </w:pPr>
          </w:p>
        </w:tc>
      </w:tr>
      <w:tr w:rsidR="001F75A2" w:rsidRPr="00E82A5D" w:rsidTr="0009576A">
        <w:trPr>
          <w:trHeight w:val="154"/>
        </w:trPr>
        <w:tc>
          <w:tcPr>
            <w:tcW w:w="3401" w:type="dxa"/>
            <w:vMerge/>
            <w:shd w:val="clear" w:color="auto" w:fill="FFFFFF"/>
          </w:tcPr>
          <w:p w:rsidR="001F75A2" w:rsidRPr="00E82A5D" w:rsidRDefault="001F75A2" w:rsidP="0009576A">
            <w:pPr>
              <w:shd w:val="clear" w:color="auto" w:fill="FFFFFF"/>
              <w:spacing w:after="0" w:line="240" w:lineRule="auto"/>
              <w:rPr>
                <w:rFonts w:ascii="Times New Roman" w:hAnsi="Times New Roman"/>
                <w:b/>
                <w:color w:val="000000" w:themeColor="text1"/>
                <w:sz w:val="16"/>
                <w:szCs w:val="16"/>
              </w:rPr>
            </w:pPr>
          </w:p>
        </w:tc>
        <w:tc>
          <w:tcPr>
            <w:tcW w:w="3968" w:type="dxa"/>
            <w:shd w:val="clear" w:color="auto" w:fill="FFFFFF"/>
          </w:tcPr>
          <w:p w:rsidR="001F75A2" w:rsidRPr="00E82A5D" w:rsidRDefault="001F75A2" w:rsidP="00AA2707">
            <w:pPr>
              <w:numPr>
                <w:ilvl w:val="12"/>
                <w:numId w:val="0"/>
              </w:numPr>
              <w:shd w:val="clear" w:color="auto" w:fill="FFFFFF"/>
              <w:spacing w:after="0" w:line="240" w:lineRule="auto"/>
              <w:rPr>
                <w:rFonts w:ascii="Times New Roman" w:hAnsi="Times New Roman"/>
                <w:color w:val="000000" w:themeColor="text1"/>
                <w:sz w:val="16"/>
                <w:szCs w:val="16"/>
              </w:rPr>
            </w:pPr>
            <w:r w:rsidRPr="00E82A5D">
              <w:rPr>
                <w:rFonts w:ascii="Times New Roman" w:hAnsi="Times New Roman"/>
                <w:color w:val="000000" w:themeColor="text1"/>
                <w:sz w:val="16"/>
                <w:szCs w:val="16"/>
              </w:rPr>
              <w:t xml:space="preserve">Number of </w:t>
            </w:r>
            <w:r w:rsidR="00CD6A36" w:rsidRPr="00E82A5D">
              <w:rPr>
                <w:rFonts w:ascii="Times New Roman" w:hAnsi="Times New Roman"/>
                <w:color w:val="000000" w:themeColor="text1"/>
                <w:sz w:val="16"/>
                <w:szCs w:val="16"/>
              </w:rPr>
              <w:t xml:space="preserve">court and Public Prosecution Office professional staff </w:t>
            </w:r>
            <w:r w:rsidRPr="00E82A5D">
              <w:rPr>
                <w:rFonts w:ascii="Times New Roman" w:hAnsi="Times New Roman"/>
                <w:color w:val="000000" w:themeColor="text1"/>
                <w:sz w:val="16"/>
                <w:szCs w:val="16"/>
              </w:rPr>
              <w:t>trained</w:t>
            </w:r>
            <w:r w:rsidR="00A23604">
              <w:rPr>
                <w:rFonts w:ascii="Times New Roman" w:hAnsi="Times New Roman"/>
                <w:color w:val="000000" w:themeColor="text1"/>
                <w:sz w:val="16"/>
                <w:szCs w:val="16"/>
              </w:rPr>
              <w:t xml:space="preserve"> </w:t>
            </w:r>
            <w:r w:rsidRPr="00E82A5D">
              <w:rPr>
                <w:rFonts w:ascii="Times New Roman" w:hAnsi="Times New Roman"/>
                <w:color w:val="000000" w:themeColor="text1"/>
                <w:sz w:val="16"/>
                <w:szCs w:val="16"/>
              </w:rPr>
              <w:t xml:space="preserve"> to use the new software</w:t>
            </w:r>
          </w:p>
        </w:tc>
        <w:tc>
          <w:tcPr>
            <w:tcW w:w="1440" w:type="dxa"/>
            <w:shd w:val="clear" w:color="auto" w:fill="FFFFFF"/>
          </w:tcPr>
          <w:p w:rsidR="001F75A2" w:rsidRPr="00E82A5D" w:rsidRDefault="001F75A2" w:rsidP="0009576A">
            <w:pPr>
              <w:numPr>
                <w:ilvl w:val="12"/>
                <w:numId w:val="0"/>
              </w:numPr>
              <w:shd w:val="clear" w:color="auto" w:fill="FFFFFF"/>
              <w:spacing w:after="0" w:line="240" w:lineRule="auto"/>
              <w:rPr>
                <w:rFonts w:ascii="Times New Roman" w:hAnsi="Times New Roman"/>
                <w:color w:val="000000" w:themeColor="text1"/>
                <w:sz w:val="16"/>
                <w:szCs w:val="16"/>
              </w:rPr>
            </w:pPr>
            <w:r w:rsidRPr="00E82A5D">
              <w:rPr>
                <w:rFonts w:ascii="Times New Roman" w:hAnsi="Times New Roman"/>
                <w:color w:val="000000" w:themeColor="text1"/>
                <w:sz w:val="16"/>
                <w:szCs w:val="16"/>
              </w:rPr>
              <w:t>0 (2020)</w:t>
            </w:r>
          </w:p>
        </w:tc>
        <w:tc>
          <w:tcPr>
            <w:tcW w:w="1260" w:type="dxa"/>
            <w:shd w:val="clear" w:color="auto" w:fill="FFFFFF"/>
          </w:tcPr>
          <w:p w:rsidR="001F75A2" w:rsidRPr="00E82A5D" w:rsidRDefault="001F75A2" w:rsidP="0009576A">
            <w:pPr>
              <w:numPr>
                <w:ilvl w:val="12"/>
                <w:numId w:val="0"/>
              </w:numPr>
              <w:shd w:val="clear" w:color="auto" w:fill="FFFFFF"/>
              <w:spacing w:after="0" w:line="240" w:lineRule="auto"/>
              <w:rPr>
                <w:rFonts w:ascii="Times New Roman" w:hAnsi="Times New Roman"/>
                <w:color w:val="000000" w:themeColor="text1"/>
                <w:sz w:val="16"/>
                <w:szCs w:val="16"/>
              </w:rPr>
            </w:pPr>
          </w:p>
        </w:tc>
        <w:tc>
          <w:tcPr>
            <w:tcW w:w="1530" w:type="dxa"/>
            <w:shd w:val="clear" w:color="auto" w:fill="FFFFFF"/>
          </w:tcPr>
          <w:p w:rsidR="001F75A2" w:rsidRPr="00E82A5D" w:rsidRDefault="001F75A2" w:rsidP="0009576A">
            <w:pPr>
              <w:numPr>
                <w:ilvl w:val="12"/>
                <w:numId w:val="0"/>
              </w:numPr>
              <w:shd w:val="clear" w:color="auto" w:fill="FFFFFF"/>
              <w:spacing w:after="0" w:line="240" w:lineRule="auto"/>
              <w:rPr>
                <w:rFonts w:ascii="Times New Roman" w:hAnsi="Times New Roman"/>
                <w:color w:val="000000" w:themeColor="text1"/>
                <w:sz w:val="16"/>
                <w:szCs w:val="16"/>
              </w:rPr>
            </w:pPr>
            <w:r w:rsidRPr="00E82A5D">
              <w:rPr>
                <w:rFonts w:ascii="Times New Roman" w:hAnsi="Times New Roman"/>
                <w:color w:val="000000" w:themeColor="text1"/>
                <w:sz w:val="16"/>
                <w:szCs w:val="16"/>
              </w:rPr>
              <w:t>500 (2024)</w:t>
            </w:r>
          </w:p>
        </w:tc>
        <w:tc>
          <w:tcPr>
            <w:tcW w:w="1584" w:type="dxa"/>
            <w:shd w:val="clear" w:color="auto" w:fill="FFFFFF"/>
          </w:tcPr>
          <w:p w:rsidR="001F75A2" w:rsidRPr="00E82A5D" w:rsidRDefault="001F75A2" w:rsidP="0009576A">
            <w:pPr>
              <w:numPr>
                <w:ilvl w:val="12"/>
                <w:numId w:val="0"/>
              </w:numPr>
              <w:shd w:val="clear" w:color="auto" w:fill="FFFFFF"/>
              <w:spacing w:after="0" w:line="240" w:lineRule="auto"/>
              <w:rPr>
                <w:rFonts w:ascii="Times New Roman" w:hAnsi="Times New Roman"/>
                <w:color w:val="000000" w:themeColor="text1"/>
                <w:sz w:val="16"/>
                <w:szCs w:val="16"/>
              </w:rPr>
            </w:pPr>
            <w:r w:rsidRPr="00E82A5D">
              <w:rPr>
                <w:rFonts w:ascii="Times New Roman" w:hAnsi="Times New Roman"/>
                <w:color w:val="000000" w:themeColor="text1"/>
                <w:sz w:val="16"/>
                <w:szCs w:val="16"/>
              </w:rPr>
              <w:t xml:space="preserve">Judicial Council report plus </w:t>
            </w:r>
            <w:r w:rsidR="00432E8E" w:rsidRPr="00E82A5D">
              <w:rPr>
                <w:rFonts w:ascii="Times New Roman" w:hAnsi="Times New Roman"/>
                <w:color w:val="000000" w:themeColor="text1"/>
                <w:sz w:val="16"/>
                <w:szCs w:val="16"/>
              </w:rPr>
              <w:t xml:space="preserve">Public </w:t>
            </w:r>
            <w:r w:rsidRPr="00E82A5D">
              <w:rPr>
                <w:rFonts w:ascii="Times New Roman" w:hAnsi="Times New Roman"/>
                <w:color w:val="000000" w:themeColor="text1"/>
                <w:sz w:val="16"/>
                <w:szCs w:val="16"/>
              </w:rPr>
              <w:t>Prosecutor Council report</w:t>
            </w:r>
          </w:p>
          <w:p w:rsidR="00432E8E" w:rsidRPr="00E82A5D" w:rsidRDefault="00432E8E" w:rsidP="0009576A">
            <w:pPr>
              <w:numPr>
                <w:ilvl w:val="12"/>
                <w:numId w:val="0"/>
              </w:numPr>
              <w:shd w:val="clear" w:color="auto" w:fill="FFFFFF"/>
              <w:spacing w:after="0" w:line="240" w:lineRule="auto"/>
              <w:rPr>
                <w:rFonts w:ascii="Times New Roman" w:hAnsi="Times New Roman"/>
                <w:color w:val="000000" w:themeColor="text1"/>
                <w:sz w:val="16"/>
                <w:szCs w:val="16"/>
              </w:rPr>
            </w:pPr>
            <w:r w:rsidRPr="00E82A5D">
              <w:rPr>
                <w:rFonts w:ascii="Times New Roman" w:hAnsi="Times New Roman"/>
                <w:color w:val="000000" w:themeColor="text1"/>
                <w:sz w:val="16"/>
                <w:szCs w:val="16"/>
              </w:rPr>
              <w:t>Project report</w:t>
            </w:r>
          </w:p>
        </w:tc>
        <w:tc>
          <w:tcPr>
            <w:tcW w:w="2126" w:type="dxa"/>
            <w:vMerge/>
            <w:shd w:val="clear" w:color="auto" w:fill="FFFFFF"/>
          </w:tcPr>
          <w:p w:rsidR="001F75A2" w:rsidRPr="00E82A5D" w:rsidRDefault="001F75A2" w:rsidP="0009576A">
            <w:pPr>
              <w:shd w:val="clear" w:color="auto" w:fill="FFFFFF"/>
              <w:spacing w:after="0" w:line="240" w:lineRule="auto"/>
              <w:rPr>
                <w:rFonts w:ascii="Times New Roman" w:hAnsi="Times New Roman"/>
                <w:color w:val="000000" w:themeColor="text1"/>
                <w:sz w:val="16"/>
                <w:szCs w:val="16"/>
              </w:rPr>
            </w:pPr>
          </w:p>
        </w:tc>
      </w:tr>
      <w:tr w:rsidR="0054507E" w:rsidRPr="00E82A5D" w:rsidTr="0009576A">
        <w:trPr>
          <w:trHeight w:val="154"/>
        </w:trPr>
        <w:tc>
          <w:tcPr>
            <w:tcW w:w="3401" w:type="dxa"/>
            <w:shd w:val="clear" w:color="auto" w:fill="FFFFFF"/>
          </w:tcPr>
          <w:p w:rsidR="0054507E" w:rsidRPr="00E82A5D" w:rsidRDefault="0054507E" w:rsidP="0009576A">
            <w:pPr>
              <w:shd w:val="clear" w:color="auto" w:fill="FFFFFF"/>
              <w:spacing w:after="0" w:line="240" w:lineRule="auto"/>
              <w:rPr>
                <w:rFonts w:ascii="Times New Roman" w:hAnsi="Times New Roman"/>
                <w:b/>
                <w:color w:val="000000" w:themeColor="text1"/>
                <w:sz w:val="16"/>
                <w:szCs w:val="16"/>
              </w:rPr>
            </w:pPr>
          </w:p>
        </w:tc>
        <w:tc>
          <w:tcPr>
            <w:tcW w:w="3968" w:type="dxa"/>
            <w:shd w:val="clear" w:color="auto" w:fill="FFFFFF"/>
          </w:tcPr>
          <w:p w:rsidR="0054507E" w:rsidRPr="00E82A5D" w:rsidRDefault="0054507E" w:rsidP="00AA2707">
            <w:pPr>
              <w:numPr>
                <w:ilvl w:val="12"/>
                <w:numId w:val="0"/>
              </w:numPr>
              <w:shd w:val="clear" w:color="auto" w:fill="FFFFFF"/>
              <w:spacing w:after="0" w:line="240" w:lineRule="auto"/>
              <w:rPr>
                <w:rFonts w:ascii="Times New Roman" w:hAnsi="Times New Roman"/>
                <w:color w:val="000000" w:themeColor="text1"/>
                <w:sz w:val="16"/>
                <w:szCs w:val="16"/>
              </w:rPr>
            </w:pPr>
            <w:r w:rsidRPr="00E82A5D">
              <w:rPr>
                <w:rFonts w:ascii="Times New Roman" w:hAnsi="Times New Roman"/>
                <w:color w:val="000000" w:themeColor="text1"/>
                <w:sz w:val="16"/>
                <w:szCs w:val="16"/>
              </w:rPr>
              <w:t>Number of logs/people using the court website</w:t>
            </w:r>
          </w:p>
        </w:tc>
        <w:tc>
          <w:tcPr>
            <w:tcW w:w="1440" w:type="dxa"/>
            <w:shd w:val="clear" w:color="auto" w:fill="FFFFFF"/>
          </w:tcPr>
          <w:p w:rsidR="0054507E" w:rsidRPr="00E82A5D" w:rsidRDefault="0054507E" w:rsidP="0009576A">
            <w:pPr>
              <w:numPr>
                <w:ilvl w:val="12"/>
                <w:numId w:val="0"/>
              </w:numPr>
              <w:shd w:val="clear" w:color="auto" w:fill="FFFFFF"/>
              <w:spacing w:after="0" w:line="240" w:lineRule="auto"/>
              <w:rPr>
                <w:rFonts w:ascii="Times New Roman" w:hAnsi="Times New Roman"/>
                <w:color w:val="000000" w:themeColor="text1"/>
                <w:sz w:val="16"/>
                <w:szCs w:val="16"/>
              </w:rPr>
            </w:pPr>
            <w:r w:rsidRPr="00E82A5D">
              <w:rPr>
                <w:rFonts w:ascii="Times New Roman" w:hAnsi="Times New Roman"/>
                <w:color w:val="000000" w:themeColor="text1"/>
                <w:sz w:val="16"/>
                <w:szCs w:val="16"/>
              </w:rPr>
              <w:t>0 (2020)</w:t>
            </w:r>
          </w:p>
        </w:tc>
        <w:tc>
          <w:tcPr>
            <w:tcW w:w="1260" w:type="dxa"/>
            <w:shd w:val="clear" w:color="auto" w:fill="FFFFFF"/>
          </w:tcPr>
          <w:p w:rsidR="0054507E" w:rsidRPr="00E82A5D" w:rsidRDefault="0054507E" w:rsidP="0009576A">
            <w:pPr>
              <w:numPr>
                <w:ilvl w:val="12"/>
                <w:numId w:val="0"/>
              </w:numPr>
              <w:shd w:val="clear" w:color="auto" w:fill="FFFFFF"/>
              <w:spacing w:after="0" w:line="240" w:lineRule="auto"/>
              <w:rPr>
                <w:rFonts w:ascii="Times New Roman" w:hAnsi="Times New Roman"/>
                <w:color w:val="000000" w:themeColor="text1"/>
                <w:sz w:val="16"/>
                <w:szCs w:val="16"/>
              </w:rPr>
            </w:pPr>
          </w:p>
        </w:tc>
        <w:tc>
          <w:tcPr>
            <w:tcW w:w="1530" w:type="dxa"/>
            <w:shd w:val="clear" w:color="auto" w:fill="FFFFFF"/>
          </w:tcPr>
          <w:p w:rsidR="0054507E" w:rsidRPr="00E82A5D" w:rsidRDefault="0054507E" w:rsidP="0009576A">
            <w:pPr>
              <w:numPr>
                <w:ilvl w:val="12"/>
                <w:numId w:val="0"/>
              </w:numPr>
              <w:shd w:val="clear" w:color="auto" w:fill="FFFFFF"/>
              <w:spacing w:after="0" w:line="240" w:lineRule="auto"/>
              <w:rPr>
                <w:rFonts w:ascii="Times New Roman" w:hAnsi="Times New Roman"/>
                <w:color w:val="000000" w:themeColor="text1"/>
                <w:sz w:val="16"/>
                <w:szCs w:val="16"/>
              </w:rPr>
            </w:pPr>
            <w:r w:rsidRPr="00E82A5D">
              <w:rPr>
                <w:rFonts w:ascii="Times New Roman" w:hAnsi="Times New Roman"/>
                <w:color w:val="000000" w:themeColor="text1"/>
                <w:sz w:val="16"/>
                <w:szCs w:val="16"/>
              </w:rPr>
              <w:t>&gt; 300 (2020)</w:t>
            </w:r>
          </w:p>
        </w:tc>
        <w:tc>
          <w:tcPr>
            <w:tcW w:w="1584" w:type="dxa"/>
            <w:shd w:val="clear" w:color="auto" w:fill="FFFFFF"/>
          </w:tcPr>
          <w:p w:rsidR="0054507E" w:rsidRPr="00E82A5D" w:rsidRDefault="0054507E" w:rsidP="0009576A">
            <w:pPr>
              <w:numPr>
                <w:ilvl w:val="12"/>
                <w:numId w:val="0"/>
              </w:numPr>
              <w:shd w:val="clear" w:color="auto" w:fill="FFFFFF"/>
              <w:spacing w:after="0" w:line="240" w:lineRule="auto"/>
              <w:rPr>
                <w:rFonts w:ascii="Times New Roman" w:hAnsi="Times New Roman"/>
                <w:color w:val="000000" w:themeColor="text1"/>
                <w:sz w:val="16"/>
                <w:szCs w:val="16"/>
              </w:rPr>
            </w:pPr>
            <w:r w:rsidRPr="00E82A5D">
              <w:rPr>
                <w:rFonts w:ascii="Times New Roman" w:hAnsi="Times New Roman"/>
                <w:color w:val="000000" w:themeColor="text1"/>
                <w:sz w:val="16"/>
                <w:szCs w:val="16"/>
              </w:rPr>
              <w:t>Constitutional Court website</w:t>
            </w:r>
          </w:p>
          <w:p w:rsidR="00432E8E" w:rsidRPr="00E82A5D" w:rsidRDefault="00432E8E" w:rsidP="0009576A">
            <w:pPr>
              <w:numPr>
                <w:ilvl w:val="12"/>
                <w:numId w:val="0"/>
              </w:numPr>
              <w:shd w:val="clear" w:color="auto" w:fill="FFFFFF"/>
              <w:spacing w:after="0" w:line="240" w:lineRule="auto"/>
              <w:rPr>
                <w:rFonts w:ascii="Times New Roman" w:hAnsi="Times New Roman"/>
                <w:color w:val="000000" w:themeColor="text1"/>
                <w:sz w:val="16"/>
                <w:szCs w:val="16"/>
              </w:rPr>
            </w:pPr>
            <w:r w:rsidRPr="00E82A5D">
              <w:rPr>
                <w:rFonts w:ascii="Times New Roman" w:hAnsi="Times New Roman"/>
                <w:color w:val="000000" w:themeColor="text1"/>
                <w:sz w:val="16"/>
                <w:szCs w:val="16"/>
              </w:rPr>
              <w:t>Project report</w:t>
            </w:r>
          </w:p>
        </w:tc>
        <w:tc>
          <w:tcPr>
            <w:tcW w:w="2126" w:type="dxa"/>
            <w:vMerge/>
            <w:shd w:val="clear" w:color="auto" w:fill="FFFFFF"/>
          </w:tcPr>
          <w:p w:rsidR="0054507E" w:rsidRPr="00E82A5D" w:rsidRDefault="0054507E" w:rsidP="0009576A">
            <w:pPr>
              <w:shd w:val="clear" w:color="auto" w:fill="FFFFFF"/>
              <w:spacing w:after="0" w:line="240" w:lineRule="auto"/>
              <w:rPr>
                <w:rFonts w:ascii="Times New Roman" w:hAnsi="Times New Roman"/>
                <w:color w:val="000000" w:themeColor="text1"/>
                <w:sz w:val="16"/>
                <w:szCs w:val="16"/>
              </w:rPr>
            </w:pPr>
          </w:p>
        </w:tc>
      </w:tr>
      <w:tr w:rsidR="0054507E" w:rsidRPr="00E82A5D" w:rsidTr="0009576A">
        <w:trPr>
          <w:trHeight w:val="514"/>
        </w:trPr>
        <w:tc>
          <w:tcPr>
            <w:tcW w:w="3401" w:type="dxa"/>
            <w:vMerge w:val="restart"/>
            <w:shd w:val="clear" w:color="auto" w:fill="FFFFFF"/>
          </w:tcPr>
          <w:p w:rsidR="0054507E" w:rsidRPr="00E82A5D" w:rsidRDefault="0054507E" w:rsidP="0009576A">
            <w:pPr>
              <w:shd w:val="clear" w:color="auto" w:fill="FFFFFF"/>
              <w:spacing w:after="0" w:line="240" w:lineRule="auto"/>
              <w:rPr>
                <w:rFonts w:ascii="Times New Roman" w:hAnsi="Times New Roman"/>
                <w:b/>
                <w:color w:val="000000" w:themeColor="text1"/>
                <w:sz w:val="16"/>
                <w:szCs w:val="16"/>
              </w:rPr>
            </w:pPr>
            <w:r w:rsidRPr="00E82A5D">
              <w:rPr>
                <w:rFonts w:ascii="Times New Roman" w:hAnsi="Times New Roman"/>
                <w:b/>
                <w:color w:val="000000" w:themeColor="text1"/>
                <w:sz w:val="16"/>
                <w:szCs w:val="16"/>
              </w:rPr>
              <w:t>Output 2</w:t>
            </w:r>
          </w:p>
          <w:p w:rsidR="0054507E" w:rsidRPr="00E82A5D" w:rsidRDefault="0054507E" w:rsidP="0009576A">
            <w:pPr>
              <w:shd w:val="clear" w:color="auto" w:fill="FFFFFF"/>
              <w:spacing w:after="0" w:line="240" w:lineRule="auto"/>
              <w:rPr>
                <w:rFonts w:ascii="Times New Roman" w:hAnsi="Times New Roman"/>
                <w:color w:val="000000" w:themeColor="text1"/>
                <w:sz w:val="16"/>
                <w:szCs w:val="16"/>
              </w:rPr>
            </w:pPr>
            <w:r w:rsidRPr="00E82A5D">
              <w:rPr>
                <w:rFonts w:ascii="Times New Roman" w:hAnsi="Times New Roman"/>
                <w:color w:val="000000" w:themeColor="text1"/>
                <w:sz w:val="16"/>
                <w:szCs w:val="16"/>
              </w:rPr>
              <w:t xml:space="preserve">Strengthened capacities of the Constitutional Court to control the constitutionality and legality of adopted normative acts and in protecting fundamental rights </w:t>
            </w:r>
          </w:p>
        </w:tc>
        <w:tc>
          <w:tcPr>
            <w:tcW w:w="3968" w:type="dxa"/>
            <w:shd w:val="clear" w:color="auto" w:fill="FFFFFF"/>
          </w:tcPr>
          <w:p w:rsidR="0054507E" w:rsidRPr="00E82A5D" w:rsidRDefault="0054507E" w:rsidP="0009576A">
            <w:pPr>
              <w:shd w:val="clear" w:color="auto" w:fill="FFFFFF"/>
              <w:spacing w:after="0" w:line="240" w:lineRule="auto"/>
              <w:rPr>
                <w:rFonts w:ascii="Times New Roman" w:hAnsi="Times New Roman"/>
                <w:color w:val="000000" w:themeColor="text1"/>
                <w:sz w:val="16"/>
                <w:szCs w:val="16"/>
              </w:rPr>
            </w:pPr>
            <w:r w:rsidRPr="00E82A5D">
              <w:rPr>
                <w:rFonts w:ascii="Times New Roman" w:hAnsi="Times New Roman"/>
                <w:color w:val="000000" w:themeColor="text1"/>
                <w:sz w:val="16"/>
                <w:szCs w:val="16"/>
              </w:rPr>
              <w:t xml:space="preserve">Rules of procedure of the Constitutional court amended after internal organisation </w:t>
            </w:r>
            <w:r w:rsidR="00A23604">
              <w:rPr>
                <w:rFonts w:ascii="Times New Roman" w:hAnsi="Times New Roman"/>
                <w:color w:val="000000" w:themeColor="text1"/>
                <w:sz w:val="16"/>
                <w:szCs w:val="16"/>
              </w:rPr>
              <w:t xml:space="preserve"> </w:t>
            </w:r>
            <w:r w:rsidRPr="00E82A5D">
              <w:rPr>
                <w:rFonts w:ascii="Times New Roman" w:hAnsi="Times New Roman"/>
                <w:color w:val="000000" w:themeColor="text1"/>
                <w:sz w:val="16"/>
                <w:szCs w:val="16"/>
              </w:rPr>
              <w:t>improved</w:t>
            </w:r>
          </w:p>
          <w:p w:rsidR="0054507E" w:rsidRPr="00E82A5D" w:rsidRDefault="0054507E" w:rsidP="0009576A">
            <w:pPr>
              <w:numPr>
                <w:ilvl w:val="12"/>
                <w:numId w:val="0"/>
              </w:numPr>
              <w:shd w:val="clear" w:color="auto" w:fill="FFFFFF"/>
              <w:spacing w:after="0" w:line="240" w:lineRule="auto"/>
              <w:rPr>
                <w:rFonts w:ascii="Times New Roman" w:hAnsi="Times New Roman"/>
                <w:color w:val="000000" w:themeColor="text1"/>
                <w:sz w:val="16"/>
                <w:szCs w:val="16"/>
              </w:rPr>
            </w:pPr>
          </w:p>
        </w:tc>
        <w:tc>
          <w:tcPr>
            <w:tcW w:w="1440" w:type="dxa"/>
            <w:shd w:val="clear" w:color="auto" w:fill="FFFFFF"/>
          </w:tcPr>
          <w:p w:rsidR="0054507E" w:rsidRPr="00E82A5D" w:rsidRDefault="0054507E" w:rsidP="0009576A">
            <w:pPr>
              <w:numPr>
                <w:ilvl w:val="12"/>
                <w:numId w:val="0"/>
              </w:numPr>
              <w:shd w:val="clear" w:color="auto" w:fill="FFFFFF"/>
              <w:spacing w:after="0" w:line="240" w:lineRule="auto"/>
              <w:rPr>
                <w:rFonts w:ascii="Times New Roman" w:hAnsi="Times New Roman"/>
                <w:color w:val="000000" w:themeColor="text1"/>
                <w:sz w:val="16"/>
                <w:szCs w:val="16"/>
              </w:rPr>
            </w:pPr>
            <w:r w:rsidRPr="00E82A5D">
              <w:rPr>
                <w:rFonts w:ascii="Times New Roman" w:hAnsi="Times New Roman"/>
                <w:color w:val="000000" w:themeColor="text1"/>
                <w:sz w:val="16"/>
                <w:szCs w:val="16"/>
              </w:rPr>
              <w:t>0 (2020)</w:t>
            </w:r>
          </w:p>
        </w:tc>
        <w:tc>
          <w:tcPr>
            <w:tcW w:w="1260" w:type="dxa"/>
            <w:shd w:val="clear" w:color="auto" w:fill="FFFFFF"/>
          </w:tcPr>
          <w:p w:rsidR="0054507E" w:rsidRPr="00E82A5D" w:rsidRDefault="0054507E" w:rsidP="0009576A">
            <w:pPr>
              <w:numPr>
                <w:ilvl w:val="12"/>
                <w:numId w:val="0"/>
              </w:numPr>
              <w:shd w:val="clear" w:color="auto" w:fill="FFFFFF"/>
              <w:spacing w:after="0" w:line="240" w:lineRule="auto"/>
              <w:rPr>
                <w:rFonts w:ascii="Times New Roman" w:hAnsi="Times New Roman"/>
                <w:color w:val="000000" w:themeColor="text1"/>
                <w:sz w:val="16"/>
                <w:szCs w:val="16"/>
              </w:rPr>
            </w:pPr>
          </w:p>
        </w:tc>
        <w:tc>
          <w:tcPr>
            <w:tcW w:w="1530" w:type="dxa"/>
            <w:shd w:val="clear" w:color="auto" w:fill="FFFFFF"/>
          </w:tcPr>
          <w:p w:rsidR="0054507E" w:rsidRPr="00E82A5D" w:rsidRDefault="0054507E" w:rsidP="0009576A">
            <w:pPr>
              <w:shd w:val="clear" w:color="auto" w:fill="FFFFFF"/>
              <w:spacing w:after="0" w:line="240" w:lineRule="auto"/>
              <w:rPr>
                <w:rFonts w:ascii="Times New Roman" w:hAnsi="Times New Roman"/>
                <w:color w:val="000000" w:themeColor="text1"/>
                <w:sz w:val="16"/>
                <w:szCs w:val="16"/>
              </w:rPr>
            </w:pPr>
            <w:r w:rsidRPr="00E82A5D">
              <w:rPr>
                <w:rFonts w:ascii="Times New Roman" w:hAnsi="Times New Roman"/>
                <w:color w:val="000000" w:themeColor="text1"/>
                <w:sz w:val="16"/>
                <w:szCs w:val="16"/>
              </w:rPr>
              <w:t>1 (2024)</w:t>
            </w:r>
          </w:p>
          <w:p w:rsidR="0054507E" w:rsidRPr="00E82A5D" w:rsidRDefault="0054507E" w:rsidP="0009576A">
            <w:pPr>
              <w:numPr>
                <w:ilvl w:val="12"/>
                <w:numId w:val="0"/>
              </w:numPr>
              <w:shd w:val="clear" w:color="auto" w:fill="FFFFFF"/>
              <w:spacing w:after="0" w:line="240" w:lineRule="auto"/>
              <w:rPr>
                <w:rFonts w:ascii="Times New Roman" w:hAnsi="Times New Roman"/>
                <w:color w:val="000000" w:themeColor="text1"/>
                <w:sz w:val="16"/>
                <w:szCs w:val="16"/>
              </w:rPr>
            </w:pPr>
          </w:p>
        </w:tc>
        <w:tc>
          <w:tcPr>
            <w:tcW w:w="1584" w:type="dxa"/>
            <w:shd w:val="clear" w:color="auto" w:fill="FFFFFF"/>
          </w:tcPr>
          <w:p w:rsidR="0054507E" w:rsidRPr="00E82A5D" w:rsidRDefault="0054507E" w:rsidP="0009576A">
            <w:pPr>
              <w:numPr>
                <w:ilvl w:val="12"/>
                <w:numId w:val="0"/>
              </w:numPr>
              <w:shd w:val="clear" w:color="auto" w:fill="FFFFFF"/>
              <w:spacing w:after="0" w:line="240" w:lineRule="auto"/>
              <w:rPr>
                <w:rFonts w:ascii="Times New Roman" w:hAnsi="Times New Roman"/>
                <w:color w:val="000000" w:themeColor="text1"/>
                <w:sz w:val="16"/>
                <w:szCs w:val="16"/>
              </w:rPr>
            </w:pPr>
            <w:r w:rsidRPr="00E82A5D">
              <w:rPr>
                <w:rFonts w:ascii="Times New Roman" w:hAnsi="Times New Roman"/>
                <w:color w:val="000000" w:themeColor="text1"/>
                <w:sz w:val="16"/>
                <w:szCs w:val="16"/>
              </w:rPr>
              <w:t>Project reports</w:t>
            </w:r>
          </w:p>
          <w:p w:rsidR="0054507E" w:rsidRPr="00E82A5D" w:rsidRDefault="0054507E" w:rsidP="0009576A">
            <w:pPr>
              <w:numPr>
                <w:ilvl w:val="12"/>
                <w:numId w:val="0"/>
              </w:numPr>
              <w:shd w:val="clear" w:color="auto" w:fill="FFFFFF"/>
              <w:spacing w:after="0" w:line="240" w:lineRule="auto"/>
              <w:rPr>
                <w:rFonts w:ascii="Times New Roman" w:hAnsi="Times New Roman"/>
                <w:color w:val="000000" w:themeColor="text1"/>
                <w:sz w:val="16"/>
                <w:szCs w:val="16"/>
              </w:rPr>
            </w:pPr>
          </w:p>
        </w:tc>
        <w:tc>
          <w:tcPr>
            <w:tcW w:w="2126" w:type="dxa"/>
            <w:vMerge/>
            <w:shd w:val="clear" w:color="auto" w:fill="FFFFFF"/>
          </w:tcPr>
          <w:p w:rsidR="0054507E" w:rsidRPr="00E82A5D" w:rsidRDefault="0054507E" w:rsidP="0009576A">
            <w:pPr>
              <w:shd w:val="clear" w:color="auto" w:fill="FFFFFF"/>
              <w:spacing w:after="0" w:line="240" w:lineRule="auto"/>
              <w:rPr>
                <w:rFonts w:ascii="Times New Roman" w:hAnsi="Times New Roman"/>
                <w:color w:val="000000" w:themeColor="text1"/>
                <w:sz w:val="16"/>
                <w:szCs w:val="16"/>
              </w:rPr>
            </w:pPr>
          </w:p>
        </w:tc>
      </w:tr>
      <w:tr w:rsidR="0054507E" w:rsidRPr="00E82A5D" w:rsidTr="0009576A">
        <w:trPr>
          <w:trHeight w:val="513"/>
        </w:trPr>
        <w:tc>
          <w:tcPr>
            <w:tcW w:w="3401" w:type="dxa"/>
            <w:vMerge/>
            <w:shd w:val="clear" w:color="auto" w:fill="FFFFFF"/>
          </w:tcPr>
          <w:p w:rsidR="0054507E" w:rsidRPr="00E82A5D" w:rsidRDefault="0054507E" w:rsidP="0009576A">
            <w:pPr>
              <w:shd w:val="clear" w:color="auto" w:fill="FFFFFF"/>
              <w:spacing w:after="0" w:line="240" w:lineRule="auto"/>
              <w:rPr>
                <w:rFonts w:ascii="Times New Roman" w:hAnsi="Times New Roman"/>
                <w:b/>
                <w:color w:val="000000" w:themeColor="text1"/>
                <w:sz w:val="16"/>
                <w:szCs w:val="16"/>
              </w:rPr>
            </w:pPr>
          </w:p>
        </w:tc>
        <w:tc>
          <w:tcPr>
            <w:tcW w:w="3968" w:type="dxa"/>
            <w:shd w:val="clear" w:color="auto" w:fill="FFFFFF"/>
          </w:tcPr>
          <w:p w:rsidR="0054507E" w:rsidRPr="00E82A5D" w:rsidRDefault="0054507E" w:rsidP="0009576A">
            <w:pPr>
              <w:shd w:val="clear" w:color="auto" w:fill="FFFFFF"/>
              <w:spacing w:after="0" w:line="240" w:lineRule="auto"/>
              <w:rPr>
                <w:rFonts w:ascii="Times New Roman" w:hAnsi="Times New Roman"/>
                <w:color w:val="000000" w:themeColor="text1"/>
                <w:sz w:val="16"/>
                <w:szCs w:val="16"/>
              </w:rPr>
            </w:pPr>
            <w:r w:rsidRPr="00E82A5D">
              <w:rPr>
                <w:rFonts w:ascii="Times New Roman" w:hAnsi="Times New Roman"/>
                <w:color w:val="000000" w:themeColor="text1"/>
                <w:sz w:val="16"/>
                <w:szCs w:val="16"/>
              </w:rPr>
              <w:t xml:space="preserve">Number of judges </w:t>
            </w:r>
            <w:r w:rsidR="00F120A5" w:rsidRPr="00E82A5D">
              <w:rPr>
                <w:rFonts w:ascii="Times New Roman" w:hAnsi="Times New Roman"/>
                <w:color w:val="000000" w:themeColor="text1"/>
                <w:sz w:val="16"/>
                <w:szCs w:val="16"/>
              </w:rPr>
              <w:t>and</w:t>
            </w:r>
            <w:r w:rsidRPr="00E82A5D">
              <w:rPr>
                <w:rFonts w:ascii="Times New Roman" w:hAnsi="Times New Roman"/>
                <w:color w:val="000000" w:themeColor="text1"/>
                <w:sz w:val="16"/>
                <w:szCs w:val="16"/>
              </w:rPr>
              <w:t xml:space="preserve"> professional staff trained </w:t>
            </w:r>
          </w:p>
          <w:p w:rsidR="0054507E" w:rsidRPr="00E82A5D" w:rsidRDefault="0054507E" w:rsidP="0009576A">
            <w:pPr>
              <w:numPr>
                <w:ilvl w:val="12"/>
                <w:numId w:val="0"/>
              </w:numPr>
              <w:shd w:val="clear" w:color="auto" w:fill="FFFFFF"/>
              <w:spacing w:after="0" w:line="240" w:lineRule="auto"/>
              <w:rPr>
                <w:rFonts w:ascii="Times New Roman" w:hAnsi="Times New Roman"/>
                <w:color w:val="000000" w:themeColor="text1"/>
                <w:sz w:val="16"/>
                <w:szCs w:val="16"/>
              </w:rPr>
            </w:pPr>
          </w:p>
        </w:tc>
        <w:tc>
          <w:tcPr>
            <w:tcW w:w="1440" w:type="dxa"/>
            <w:shd w:val="clear" w:color="auto" w:fill="FFFFFF"/>
          </w:tcPr>
          <w:p w:rsidR="0054507E" w:rsidRPr="00E82A5D" w:rsidRDefault="0054507E" w:rsidP="0009576A">
            <w:pPr>
              <w:shd w:val="clear" w:color="auto" w:fill="FFFFFF"/>
              <w:spacing w:after="0" w:line="240" w:lineRule="auto"/>
              <w:rPr>
                <w:rFonts w:ascii="Times New Roman" w:hAnsi="Times New Roman"/>
                <w:color w:val="000000" w:themeColor="text1"/>
                <w:sz w:val="16"/>
                <w:szCs w:val="16"/>
              </w:rPr>
            </w:pPr>
            <w:r w:rsidRPr="00E82A5D">
              <w:rPr>
                <w:rFonts w:ascii="Times New Roman" w:hAnsi="Times New Roman"/>
                <w:color w:val="000000" w:themeColor="text1"/>
                <w:sz w:val="16"/>
                <w:szCs w:val="16"/>
              </w:rPr>
              <w:t>0 (2020)</w:t>
            </w:r>
          </w:p>
          <w:p w:rsidR="0054507E" w:rsidRPr="00E82A5D" w:rsidRDefault="0054507E" w:rsidP="0009576A">
            <w:pPr>
              <w:numPr>
                <w:ilvl w:val="12"/>
                <w:numId w:val="0"/>
              </w:numPr>
              <w:shd w:val="clear" w:color="auto" w:fill="FFFFFF"/>
              <w:spacing w:after="0" w:line="240" w:lineRule="auto"/>
              <w:rPr>
                <w:rFonts w:ascii="Times New Roman" w:hAnsi="Times New Roman"/>
                <w:color w:val="000000" w:themeColor="text1"/>
                <w:sz w:val="16"/>
                <w:szCs w:val="16"/>
              </w:rPr>
            </w:pPr>
          </w:p>
        </w:tc>
        <w:tc>
          <w:tcPr>
            <w:tcW w:w="1260" w:type="dxa"/>
            <w:shd w:val="clear" w:color="auto" w:fill="FFFFFF"/>
          </w:tcPr>
          <w:p w:rsidR="0054507E" w:rsidRPr="00E82A5D" w:rsidRDefault="0054507E" w:rsidP="0009576A">
            <w:pPr>
              <w:numPr>
                <w:ilvl w:val="12"/>
                <w:numId w:val="0"/>
              </w:numPr>
              <w:shd w:val="clear" w:color="auto" w:fill="FFFFFF"/>
              <w:spacing w:after="0" w:line="240" w:lineRule="auto"/>
              <w:rPr>
                <w:rFonts w:ascii="Times New Roman" w:hAnsi="Times New Roman"/>
                <w:color w:val="000000" w:themeColor="text1"/>
                <w:sz w:val="16"/>
                <w:szCs w:val="16"/>
              </w:rPr>
            </w:pPr>
          </w:p>
        </w:tc>
        <w:tc>
          <w:tcPr>
            <w:tcW w:w="1530" w:type="dxa"/>
            <w:shd w:val="clear" w:color="auto" w:fill="FFFFFF"/>
          </w:tcPr>
          <w:p w:rsidR="0054507E" w:rsidRPr="00E82A5D" w:rsidRDefault="0054507E" w:rsidP="0009576A">
            <w:pPr>
              <w:shd w:val="clear" w:color="auto" w:fill="FFFFFF"/>
              <w:spacing w:after="0" w:line="240" w:lineRule="auto"/>
              <w:rPr>
                <w:rFonts w:ascii="Times New Roman" w:hAnsi="Times New Roman"/>
                <w:color w:val="000000" w:themeColor="text1"/>
                <w:sz w:val="16"/>
                <w:szCs w:val="16"/>
              </w:rPr>
            </w:pPr>
            <w:r w:rsidRPr="00E82A5D">
              <w:rPr>
                <w:rFonts w:ascii="Times New Roman" w:hAnsi="Times New Roman"/>
                <w:color w:val="000000" w:themeColor="text1"/>
                <w:sz w:val="16"/>
                <w:szCs w:val="16"/>
              </w:rPr>
              <w:t>&gt;30 (2024)</w:t>
            </w:r>
          </w:p>
          <w:p w:rsidR="0054507E" w:rsidRPr="00E82A5D" w:rsidRDefault="0054507E" w:rsidP="0009576A">
            <w:pPr>
              <w:numPr>
                <w:ilvl w:val="12"/>
                <w:numId w:val="0"/>
              </w:numPr>
              <w:shd w:val="clear" w:color="auto" w:fill="FFFFFF"/>
              <w:spacing w:after="0" w:line="240" w:lineRule="auto"/>
              <w:rPr>
                <w:rFonts w:ascii="Times New Roman" w:hAnsi="Times New Roman"/>
                <w:color w:val="000000" w:themeColor="text1"/>
                <w:sz w:val="16"/>
                <w:szCs w:val="16"/>
              </w:rPr>
            </w:pPr>
          </w:p>
        </w:tc>
        <w:tc>
          <w:tcPr>
            <w:tcW w:w="1584" w:type="dxa"/>
            <w:shd w:val="clear" w:color="auto" w:fill="FFFFFF"/>
          </w:tcPr>
          <w:p w:rsidR="0054507E" w:rsidRPr="00E82A5D" w:rsidRDefault="0054507E" w:rsidP="0009576A">
            <w:pPr>
              <w:numPr>
                <w:ilvl w:val="12"/>
                <w:numId w:val="0"/>
              </w:numPr>
              <w:shd w:val="clear" w:color="auto" w:fill="FFFFFF"/>
              <w:spacing w:after="0" w:line="240" w:lineRule="auto"/>
              <w:rPr>
                <w:rFonts w:ascii="Times New Roman" w:hAnsi="Times New Roman"/>
                <w:color w:val="000000" w:themeColor="text1"/>
                <w:sz w:val="16"/>
                <w:szCs w:val="16"/>
              </w:rPr>
            </w:pPr>
            <w:r w:rsidRPr="00E82A5D">
              <w:rPr>
                <w:rFonts w:ascii="Times New Roman" w:hAnsi="Times New Roman"/>
                <w:color w:val="000000" w:themeColor="text1"/>
                <w:sz w:val="16"/>
                <w:szCs w:val="16"/>
              </w:rPr>
              <w:t>Project reports</w:t>
            </w:r>
          </w:p>
          <w:p w:rsidR="0054507E" w:rsidRPr="00E82A5D" w:rsidRDefault="0054507E" w:rsidP="0009576A">
            <w:pPr>
              <w:numPr>
                <w:ilvl w:val="12"/>
                <w:numId w:val="0"/>
              </w:numPr>
              <w:shd w:val="clear" w:color="auto" w:fill="FFFFFF"/>
              <w:spacing w:after="0" w:line="240" w:lineRule="auto"/>
              <w:rPr>
                <w:rFonts w:ascii="Times New Roman" w:hAnsi="Times New Roman"/>
                <w:color w:val="000000" w:themeColor="text1"/>
                <w:sz w:val="16"/>
                <w:szCs w:val="16"/>
              </w:rPr>
            </w:pPr>
          </w:p>
        </w:tc>
        <w:tc>
          <w:tcPr>
            <w:tcW w:w="2126" w:type="dxa"/>
            <w:vMerge/>
            <w:shd w:val="clear" w:color="auto" w:fill="FFFFFF"/>
          </w:tcPr>
          <w:p w:rsidR="0054507E" w:rsidRPr="00E82A5D" w:rsidRDefault="0054507E" w:rsidP="0009576A">
            <w:pPr>
              <w:shd w:val="clear" w:color="auto" w:fill="FFFFFF"/>
              <w:spacing w:after="0" w:line="240" w:lineRule="auto"/>
              <w:rPr>
                <w:rFonts w:ascii="Times New Roman" w:hAnsi="Times New Roman"/>
                <w:color w:val="000000" w:themeColor="text1"/>
                <w:sz w:val="16"/>
                <w:szCs w:val="16"/>
              </w:rPr>
            </w:pPr>
          </w:p>
        </w:tc>
      </w:tr>
      <w:tr w:rsidR="0054507E" w:rsidRPr="00E82A5D" w:rsidTr="0054507E">
        <w:trPr>
          <w:trHeight w:val="992"/>
        </w:trPr>
        <w:tc>
          <w:tcPr>
            <w:tcW w:w="3401" w:type="dxa"/>
            <w:shd w:val="clear" w:color="auto" w:fill="FFFFFF"/>
          </w:tcPr>
          <w:p w:rsidR="0054507E" w:rsidRPr="00E82A5D" w:rsidRDefault="0054507E" w:rsidP="0009576A">
            <w:pPr>
              <w:shd w:val="clear" w:color="auto" w:fill="FFFFFF"/>
              <w:spacing w:after="0" w:line="240" w:lineRule="auto"/>
              <w:rPr>
                <w:rFonts w:ascii="Times New Roman" w:hAnsi="Times New Roman"/>
                <w:b/>
                <w:color w:val="000000" w:themeColor="text1"/>
                <w:sz w:val="16"/>
                <w:szCs w:val="16"/>
              </w:rPr>
            </w:pPr>
            <w:r w:rsidRPr="00E82A5D">
              <w:rPr>
                <w:rFonts w:ascii="Times New Roman" w:hAnsi="Times New Roman"/>
                <w:b/>
                <w:color w:val="000000" w:themeColor="text1"/>
                <w:sz w:val="16"/>
                <w:szCs w:val="16"/>
              </w:rPr>
              <w:t>Output 3</w:t>
            </w:r>
          </w:p>
          <w:p w:rsidR="0054507E" w:rsidRPr="00E82A5D" w:rsidRDefault="0054507E" w:rsidP="0009576A">
            <w:pPr>
              <w:shd w:val="clear" w:color="auto" w:fill="FFFFFF"/>
              <w:spacing w:after="0" w:line="240" w:lineRule="auto"/>
              <w:rPr>
                <w:rFonts w:ascii="Times New Roman" w:hAnsi="Times New Roman"/>
                <w:color w:val="000000" w:themeColor="text1"/>
                <w:sz w:val="16"/>
                <w:szCs w:val="16"/>
              </w:rPr>
            </w:pPr>
            <w:r w:rsidRPr="00E82A5D">
              <w:rPr>
                <w:rFonts w:ascii="Times New Roman" w:hAnsi="Times New Roman"/>
                <w:color w:val="000000" w:themeColor="text1"/>
                <w:sz w:val="16"/>
                <w:szCs w:val="16"/>
              </w:rPr>
              <w:t xml:space="preserve">Prepared technical documentation to improve the training </w:t>
            </w:r>
            <w:r w:rsidR="00F120A5" w:rsidRPr="00E82A5D">
              <w:rPr>
                <w:rFonts w:ascii="Times New Roman" w:hAnsi="Times New Roman"/>
                <w:color w:val="000000" w:themeColor="text1"/>
                <w:sz w:val="16"/>
                <w:szCs w:val="16"/>
              </w:rPr>
              <w:t xml:space="preserve"> premises </w:t>
            </w:r>
            <w:r w:rsidRPr="00E82A5D">
              <w:rPr>
                <w:rFonts w:ascii="Times New Roman" w:hAnsi="Times New Roman"/>
                <w:color w:val="000000" w:themeColor="text1"/>
                <w:sz w:val="16"/>
                <w:szCs w:val="16"/>
              </w:rPr>
              <w:t xml:space="preserve">for judges, prosecutors and legal professionals in the Academy for Judges and Public Prosecutors </w:t>
            </w:r>
          </w:p>
        </w:tc>
        <w:tc>
          <w:tcPr>
            <w:tcW w:w="3968" w:type="dxa"/>
            <w:shd w:val="clear" w:color="auto" w:fill="FFFFFF"/>
          </w:tcPr>
          <w:p w:rsidR="0054507E" w:rsidRPr="00E82A5D" w:rsidRDefault="0054507E" w:rsidP="0009576A">
            <w:pPr>
              <w:pStyle w:val="BodyText"/>
              <w:jc w:val="both"/>
              <w:rPr>
                <w:rFonts w:ascii="Times New Roman" w:hAnsi="Times New Roman" w:cs="Times New Roman"/>
                <w:color w:val="000000" w:themeColor="text1"/>
                <w:sz w:val="16"/>
                <w:szCs w:val="16"/>
              </w:rPr>
            </w:pPr>
          </w:p>
          <w:p w:rsidR="0054507E" w:rsidRPr="00E82A5D" w:rsidRDefault="0054507E" w:rsidP="0009576A">
            <w:pPr>
              <w:pStyle w:val="BodyText"/>
              <w:jc w:val="both"/>
              <w:rPr>
                <w:rFonts w:ascii="Times New Roman" w:hAnsi="Times New Roman" w:cs="Times New Roman"/>
                <w:color w:val="000000" w:themeColor="text1"/>
                <w:sz w:val="16"/>
                <w:szCs w:val="16"/>
              </w:rPr>
            </w:pPr>
            <w:r w:rsidRPr="00E82A5D">
              <w:rPr>
                <w:rFonts w:ascii="Times New Roman" w:hAnsi="Times New Roman" w:cs="Times New Roman"/>
                <w:color w:val="000000" w:themeColor="text1"/>
                <w:sz w:val="16"/>
                <w:szCs w:val="16"/>
              </w:rPr>
              <w:t>Full tender dossier for the construction of the Academy ready</w:t>
            </w:r>
          </w:p>
        </w:tc>
        <w:tc>
          <w:tcPr>
            <w:tcW w:w="1440" w:type="dxa"/>
            <w:shd w:val="clear" w:color="auto" w:fill="FFFFFF"/>
          </w:tcPr>
          <w:p w:rsidR="0054507E" w:rsidRPr="00E82A5D" w:rsidRDefault="0054507E" w:rsidP="0009576A">
            <w:pPr>
              <w:shd w:val="clear" w:color="auto" w:fill="FFFFFF"/>
              <w:spacing w:after="0" w:line="240" w:lineRule="auto"/>
              <w:rPr>
                <w:rFonts w:ascii="Times New Roman" w:hAnsi="Times New Roman"/>
                <w:color w:val="000000" w:themeColor="text1"/>
                <w:sz w:val="16"/>
                <w:szCs w:val="16"/>
              </w:rPr>
            </w:pPr>
          </w:p>
          <w:p w:rsidR="0054507E" w:rsidRPr="00E82A5D" w:rsidRDefault="0054507E" w:rsidP="0009576A">
            <w:pPr>
              <w:shd w:val="clear" w:color="auto" w:fill="FFFFFF"/>
              <w:spacing w:after="0" w:line="240" w:lineRule="auto"/>
              <w:rPr>
                <w:rFonts w:ascii="Times New Roman" w:hAnsi="Times New Roman"/>
                <w:color w:val="000000" w:themeColor="text1"/>
                <w:sz w:val="16"/>
                <w:szCs w:val="16"/>
              </w:rPr>
            </w:pPr>
            <w:r w:rsidRPr="00E82A5D">
              <w:rPr>
                <w:rFonts w:ascii="Times New Roman" w:hAnsi="Times New Roman"/>
                <w:color w:val="000000" w:themeColor="text1"/>
                <w:sz w:val="16"/>
                <w:szCs w:val="16"/>
              </w:rPr>
              <w:t>0 (2020)</w:t>
            </w:r>
          </w:p>
          <w:p w:rsidR="0054507E" w:rsidRPr="00E82A5D" w:rsidRDefault="0054507E" w:rsidP="0009576A">
            <w:pPr>
              <w:shd w:val="clear" w:color="auto" w:fill="FFFFFF"/>
              <w:spacing w:after="0" w:line="240" w:lineRule="auto"/>
              <w:rPr>
                <w:rFonts w:ascii="Times New Roman" w:hAnsi="Times New Roman"/>
                <w:color w:val="000000" w:themeColor="text1"/>
                <w:sz w:val="16"/>
                <w:szCs w:val="16"/>
              </w:rPr>
            </w:pPr>
          </w:p>
        </w:tc>
        <w:tc>
          <w:tcPr>
            <w:tcW w:w="1260" w:type="dxa"/>
            <w:shd w:val="clear" w:color="auto" w:fill="FFFFFF"/>
          </w:tcPr>
          <w:p w:rsidR="0054507E" w:rsidRPr="00E82A5D" w:rsidRDefault="0054507E" w:rsidP="0009576A">
            <w:pPr>
              <w:shd w:val="clear" w:color="auto" w:fill="FFFFFF"/>
              <w:spacing w:after="0" w:line="240" w:lineRule="auto"/>
              <w:rPr>
                <w:rFonts w:ascii="Times New Roman" w:hAnsi="Times New Roman"/>
                <w:color w:val="000000" w:themeColor="text1"/>
                <w:sz w:val="16"/>
                <w:szCs w:val="16"/>
              </w:rPr>
            </w:pPr>
          </w:p>
        </w:tc>
        <w:tc>
          <w:tcPr>
            <w:tcW w:w="1530" w:type="dxa"/>
            <w:shd w:val="clear" w:color="auto" w:fill="FFFFFF"/>
          </w:tcPr>
          <w:p w:rsidR="0054507E" w:rsidRPr="00E82A5D" w:rsidRDefault="0054507E" w:rsidP="0009576A">
            <w:pPr>
              <w:shd w:val="clear" w:color="auto" w:fill="FFFFFF"/>
              <w:spacing w:after="0" w:line="240" w:lineRule="auto"/>
              <w:rPr>
                <w:rFonts w:ascii="Times New Roman" w:hAnsi="Times New Roman"/>
                <w:color w:val="000000" w:themeColor="text1"/>
                <w:sz w:val="16"/>
                <w:szCs w:val="16"/>
              </w:rPr>
            </w:pPr>
          </w:p>
          <w:p w:rsidR="0054507E" w:rsidRPr="00E82A5D" w:rsidRDefault="0054507E" w:rsidP="0009576A">
            <w:pPr>
              <w:shd w:val="clear" w:color="auto" w:fill="FFFFFF"/>
              <w:spacing w:after="0" w:line="240" w:lineRule="auto"/>
              <w:rPr>
                <w:rFonts w:ascii="Times New Roman" w:hAnsi="Times New Roman"/>
                <w:color w:val="000000" w:themeColor="text1"/>
                <w:sz w:val="16"/>
                <w:szCs w:val="16"/>
              </w:rPr>
            </w:pPr>
            <w:r w:rsidRPr="00E82A5D">
              <w:rPr>
                <w:rFonts w:ascii="Times New Roman" w:hAnsi="Times New Roman"/>
                <w:color w:val="000000" w:themeColor="text1"/>
                <w:sz w:val="16"/>
                <w:szCs w:val="16"/>
              </w:rPr>
              <w:t>1 (2023)</w:t>
            </w:r>
          </w:p>
        </w:tc>
        <w:tc>
          <w:tcPr>
            <w:tcW w:w="1584" w:type="dxa"/>
            <w:shd w:val="clear" w:color="auto" w:fill="FFFFFF"/>
          </w:tcPr>
          <w:p w:rsidR="0054507E" w:rsidRPr="00E82A5D" w:rsidRDefault="0054507E" w:rsidP="0009576A">
            <w:pPr>
              <w:spacing w:after="0" w:line="240" w:lineRule="auto"/>
              <w:rPr>
                <w:rFonts w:ascii="Times New Roman" w:hAnsi="Times New Roman"/>
                <w:color w:val="000000" w:themeColor="text1"/>
                <w:sz w:val="16"/>
                <w:szCs w:val="16"/>
                <w:lang w:val="en-US"/>
              </w:rPr>
            </w:pPr>
          </w:p>
          <w:p w:rsidR="0054507E" w:rsidRPr="00E82A5D" w:rsidRDefault="0054507E" w:rsidP="0009576A">
            <w:pPr>
              <w:spacing w:after="0" w:line="240" w:lineRule="auto"/>
              <w:rPr>
                <w:rFonts w:ascii="Times New Roman" w:hAnsi="Times New Roman"/>
                <w:color w:val="000000" w:themeColor="text1"/>
                <w:sz w:val="16"/>
                <w:szCs w:val="16"/>
                <w:lang w:val="en-US"/>
              </w:rPr>
            </w:pPr>
          </w:p>
          <w:p w:rsidR="0054507E" w:rsidRPr="00E82A5D" w:rsidRDefault="0054507E" w:rsidP="0009576A">
            <w:pPr>
              <w:numPr>
                <w:ilvl w:val="12"/>
                <w:numId w:val="0"/>
              </w:numPr>
              <w:shd w:val="clear" w:color="auto" w:fill="FFFFFF"/>
              <w:spacing w:after="0" w:line="240" w:lineRule="auto"/>
              <w:rPr>
                <w:rFonts w:ascii="Times New Roman" w:hAnsi="Times New Roman"/>
                <w:color w:val="000000" w:themeColor="text1"/>
                <w:sz w:val="16"/>
                <w:szCs w:val="16"/>
              </w:rPr>
            </w:pPr>
            <w:r w:rsidRPr="00E82A5D">
              <w:rPr>
                <w:rFonts w:ascii="Times New Roman" w:hAnsi="Times New Roman"/>
                <w:color w:val="000000" w:themeColor="text1"/>
                <w:sz w:val="16"/>
                <w:szCs w:val="16"/>
                <w:lang w:val="en-US"/>
              </w:rPr>
              <w:t>Project reports</w:t>
            </w:r>
          </w:p>
        </w:tc>
        <w:tc>
          <w:tcPr>
            <w:tcW w:w="2126" w:type="dxa"/>
            <w:vMerge/>
            <w:shd w:val="clear" w:color="auto" w:fill="FFFFFF"/>
          </w:tcPr>
          <w:p w:rsidR="0054507E" w:rsidRPr="00E82A5D" w:rsidRDefault="0054507E" w:rsidP="0009576A">
            <w:pPr>
              <w:shd w:val="clear" w:color="auto" w:fill="FFFFFF"/>
              <w:spacing w:after="0" w:line="240" w:lineRule="auto"/>
              <w:rPr>
                <w:rFonts w:ascii="Times New Roman" w:hAnsi="Times New Roman"/>
                <w:color w:val="000000" w:themeColor="text1"/>
                <w:sz w:val="16"/>
                <w:szCs w:val="16"/>
              </w:rPr>
            </w:pPr>
          </w:p>
        </w:tc>
      </w:tr>
      <w:tr w:rsidR="0054507E" w:rsidRPr="00E82A5D" w:rsidTr="0009576A">
        <w:trPr>
          <w:trHeight w:val="719"/>
        </w:trPr>
        <w:tc>
          <w:tcPr>
            <w:tcW w:w="3401" w:type="dxa"/>
            <w:vMerge w:val="restart"/>
            <w:shd w:val="clear" w:color="auto" w:fill="FFFFFF"/>
          </w:tcPr>
          <w:p w:rsidR="007F1055" w:rsidRPr="00E82A5D" w:rsidRDefault="007F1055" w:rsidP="007F1055">
            <w:pPr>
              <w:numPr>
                <w:ilvl w:val="12"/>
                <w:numId w:val="0"/>
              </w:numPr>
              <w:shd w:val="clear" w:color="auto" w:fill="FFFFFF"/>
              <w:spacing w:after="0" w:line="240" w:lineRule="auto"/>
              <w:rPr>
                <w:rFonts w:ascii="Times New Roman" w:hAnsi="Times New Roman"/>
                <w:b/>
                <w:bCs/>
                <w:color w:val="000000" w:themeColor="text1"/>
                <w:sz w:val="16"/>
                <w:szCs w:val="16"/>
              </w:rPr>
            </w:pPr>
            <w:r w:rsidRPr="00E82A5D">
              <w:rPr>
                <w:rFonts w:ascii="Times New Roman" w:hAnsi="Times New Roman"/>
                <w:b/>
                <w:bCs/>
                <w:color w:val="000000" w:themeColor="text1"/>
                <w:sz w:val="16"/>
                <w:szCs w:val="16"/>
              </w:rPr>
              <w:t>Output 4</w:t>
            </w:r>
          </w:p>
          <w:p w:rsidR="0054507E" w:rsidRPr="00E82A5D" w:rsidRDefault="007F1055" w:rsidP="007F1055">
            <w:pPr>
              <w:numPr>
                <w:ilvl w:val="12"/>
                <w:numId w:val="0"/>
              </w:numPr>
              <w:shd w:val="clear" w:color="auto" w:fill="FFFFFF"/>
              <w:spacing w:after="0" w:line="240" w:lineRule="auto"/>
              <w:rPr>
                <w:rFonts w:ascii="Times New Roman" w:hAnsi="Times New Roman"/>
                <w:color w:val="000000" w:themeColor="text1"/>
                <w:sz w:val="16"/>
                <w:szCs w:val="16"/>
              </w:rPr>
            </w:pPr>
            <w:r w:rsidRPr="00E82A5D">
              <w:rPr>
                <w:rFonts w:ascii="Times New Roman" w:hAnsi="Times New Roman"/>
                <w:color w:val="000000" w:themeColor="text1"/>
                <w:sz w:val="16"/>
                <w:szCs w:val="16"/>
              </w:rPr>
              <w:t>Raised public intolerance to corruption</w:t>
            </w:r>
          </w:p>
        </w:tc>
        <w:tc>
          <w:tcPr>
            <w:tcW w:w="3968" w:type="dxa"/>
            <w:shd w:val="clear" w:color="auto" w:fill="FFFFFF"/>
          </w:tcPr>
          <w:p w:rsidR="0054507E" w:rsidRPr="00E82A5D" w:rsidRDefault="0054507E" w:rsidP="007647D6">
            <w:pPr>
              <w:numPr>
                <w:ilvl w:val="12"/>
                <w:numId w:val="0"/>
              </w:numPr>
              <w:shd w:val="clear" w:color="auto" w:fill="FFFFFF"/>
              <w:spacing w:after="0" w:line="240" w:lineRule="auto"/>
              <w:rPr>
                <w:rFonts w:ascii="Times New Roman" w:hAnsi="Times New Roman"/>
                <w:color w:val="000000" w:themeColor="text1"/>
                <w:sz w:val="16"/>
                <w:szCs w:val="16"/>
              </w:rPr>
            </w:pPr>
            <w:r w:rsidRPr="00E82A5D">
              <w:rPr>
                <w:rFonts w:ascii="Times New Roman" w:hAnsi="Times New Roman"/>
                <w:color w:val="000000" w:themeColor="text1"/>
                <w:sz w:val="16"/>
                <w:szCs w:val="16"/>
              </w:rPr>
              <w:t>Number of trained people from private sector (sex disaggregated) on how to detect, prevent and fight corruption</w:t>
            </w:r>
          </w:p>
        </w:tc>
        <w:tc>
          <w:tcPr>
            <w:tcW w:w="1440" w:type="dxa"/>
            <w:shd w:val="clear" w:color="auto" w:fill="FFFFFF"/>
          </w:tcPr>
          <w:p w:rsidR="0054507E" w:rsidRPr="00E82A5D" w:rsidRDefault="0054507E" w:rsidP="0009576A">
            <w:pPr>
              <w:numPr>
                <w:ilvl w:val="12"/>
                <w:numId w:val="0"/>
              </w:numPr>
              <w:shd w:val="clear" w:color="auto" w:fill="FFFFFF"/>
              <w:spacing w:after="0" w:line="240" w:lineRule="auto"/>
              <w:rPr>
                <w:rFonts w:ascii="Times New Roman" w:hAnsi="Times New Roman"/>
                <w:color w:val="000000" w:themeColor="text1"/>
                <w:sz w:val="16"/>
                <w:szCs w:val="16"/>
              </w:rPr>
            </w:pPr>
            <w:r w:rsidRPr="00E82A5D">
              <w:rPr>
                <w:rFonts w:ascii="Times New Roman" w:hAnsi="Times New Roman"/>
                <w:color w:val="000000" w:themeColor="text1"/>
                <w:sz w:val="16"/>
                <w:szCs w:val="16"/>
              </w:rPr>
              <w:t>0 (2020)</w:t>
            </w:r>
          </w:p>
        </w:tc>
        <w:tc>
          <w:tcPr>
            <w:tcW w:w="1260" w:type="dxa"/>
            <w:shd w:val="clear" w:color="auto" w:fill="FFFFFF"/>
          </w:tcPr>
          <w:p w:rsidR="0054507E" w:rsidRPr="00E82A5D" w:rsidRDefault="0054507E" w:rsidP="0009576A">
            <w:pPr>
              <w:numPr>
                <w:ilvl w:val="12"/>
                <w:numId w:val="0"/>
              </w:numPr>
              <w:shd w:val="clear" w:color="auto" w:fill="FFFFFF"/>
              <w:spacing w:after="0" w:line="240" w:lineRule="auto"/>
              <w:rPr>
                <w:rFonts w:ascii="Times New Roman" w:hAnsi="Times New Roman"/>
                <w:color w:val="000000" w:themeColor="text1"/>
                <w:sz w:val="16"/>
                <w:szCs w:val="16"/>
              </w:rPr>
            </w:pPr>
          </w:p>
        </w:tc>
        <w:tc>
          <w:tcPr>
            <w:tcW w:w="1530" w:type="dxa"/>
            <w:shd w:val="clear" w:color="auto" w:fill="FFFFFF"/>
          </w:tcPr>
          <w:p w:rsidR="0054507E" w:rsidRPr="00E82A5D" w:rsidRDefault="0054507E" w:rsidP="0009576A">
            <w:pPr>
              <w:numPr>
                <w:ilvl w:val="12"/>
                <w:numId w:val="0"/>
              </w:numPr>
              <w:shd w:val="clear" w:color="auto" w:fill="FFFFFF"/>
              <w:spacing w:after="0" w:line="240" w:lineRule="auto"/>
              <w:rPr>
                <w:rFonts w:ascii="Times New Roman" w:hAnsi="Times New Roman"/>
                <w:color w:val="000000" w:themeColor="text1"/>
                <w:sz w:val="16"/>
                <w:szCs w:val="16"/>
              </w:rPr>
            </w:pPr>
            <w:r w:rsidRPr="00E82A5D">
              <w:rPr>
                <w:rFonts w:ascii="Times New Roman" w:hAnsi="Times New Roman"/>
                <w:color w:val="000000" w:themeColor="text1"/>
                <w:sz w:val="16"/>
                <w:szCs w:val="16"/>
              </w:rPr>
              <w:t>150 (2024)</w:t>
            </w:r>
          </w:p>
        </w:tc>
        <w:tc>
          <w:tcPr>
            <w:tcW w:w="1584" w:type="dxa"/>
            <w:shd w:val="clear" w:color="auto" w:fill="FFFFFF"/>
          </w:tcPr>
          <w:p w:rsidR="0054507E" w:rsidRPr="00E82A5D" w:rsidRDefault="0054507E" w:rsidP="0009576A">
            <w:pPr>
              <w:numPr>
                <w:ilvl w:val="12"/>
                <w:numId w:val="0"/>
              </w:numPr>
              <w:shd w:val="clear" w:color="auto" w:fill="FFFFFF"/>
              <w:spacing w:after="0" w:line="240" w:lineRule="auto"/>
              <w:rPr>
                <w:rFonts w:ascii="Times New Roman" w:hAnsi="Times New Roman"/>
                <w:color w:val="000000" w:themeColor="text1"/>
                <w:sz w:val="16"/>
                <w:szCs w:val="16"/>
              </w:rPr>
            </w:pPr>
            <w:r w:rsidRPr="00E82A5D">
              <w:rPr>
                <w:rFonts w:ascii="Times New Roman" w:hAnsi="Times New Roman"/>
                <w:color w:val="000000" w:themeColor="text1"/>
                <w:sz w:val="16"/>
                <w:szCs w:val="16"/>
              </w:rPr>
              <w:t>Projects report</w:t>
            </w:r>
          </w:p>
        </w:tc>
        <w:tc>
          <w:tcPr>
            <w:tcW w:w="2126" w:type="dxa"/>
            <w:vMerge/>
            <w:shd w:val="clear" w:color="auto" w:fill="FFFFFF"/>
          </w:tcPr>
          <w:p w:rsidR="0054507E" w:rsidRPr="00E82A5D" w:rsidRDefault="0054507E" w:rsidP="0009576A">
            <w:pPr>
              <w:shd w:val="clear" w:color="auto" w:fill="FFFFFF"/>
              <w:spacing w:after="0" w:line="240" w:lineRule="auto"/>
              <w:rPr>
                <w:rFonts w:ascii="Times New Roman" w:hAnsi="Times New Roman"/>
                <w:color w:val="000000" w:themeColor="text1"/>
                <w:sz w:val="16"/>
                <w:szCs w:val="16"/>
              </w:rPr>
            </w:pPr>
          </w:p>
        </w:tc>
      </w:tr>
      <w:tr w:rsidR="0054507E" w:rsidRPr="00E82A5D" w:rsidTr="0009576A">
        <w:trPr>
          <w:trHeight w:val="440"/>
        </w:trPr>
        <w:tc>
          <w:tcPr>
            <w:tcW w:w="3401" w:type="dxa"/>
            <w:vMerge/>
            <w:shd w:val="clear" w:color="auto" w:fill="FFFFFF"/>
          </w:tcPr>
          <w:p w:rsidR="0054507E" w:rsidRPr="00E82A5D" w:rsidRDefault="0054507E" w:rsidP="0009576A">
            <w:pPr>
              <w:numPr>
                <w:ilvl w:val="12"/>
                <w:numId w:val="0"/>
              </w:numPr>
              <w:shd w:val="clear" w:color="auto" w:fill="FFFFFF"/>
              <w:spacing w:after="0" w:line="240" w:lineRule="auto"/>
              <w:rPr>
                <w:rFonts w:ascii="Times New Roman" w:hAnsi="Times New Roman"/>
                <w:color w:val="000000" w:themeColor="text1"/>
                <w:sz w:val="16"/>
                <w:szCs w:val="16"/>
              </w:rPr>
            </w:pPr>
          </w:p>
        </w:tc>
        <w:tc>
          <w:tcPr>
            <w:tcW w:w="3968" w:type="dxa"/>
            <w:shd w:val="clear" w:color="auto" w:fill="FFFFFF"/>
          </w:tcPr>
          <w:p w:rsidR="0054507E" w:rsidRPr="00E82A5D" w:rsidRDefault="0054507E" w:rsidP="007647D6">
            <w:pPr>
              <w:numPr>
                <w:ilvl w:val="12"/>
                <w:numId w:val="0"/>
              </w:numPr>
              <w:shd w:val="clear" w:color="auto" w:fill="FFFFFF"/>
              <w:spacing w:after="0" w:line="240" w:lineRule="auto"/>
              <w:rPr>
                <w:rFonts w:ascii="Times New Roman" w:hAnsi="Times New Roman"/>
                <w:color w:val="000000" w:themeColor="text1"/>
                <w:sz w:val="16"/>
                <w:szCs w:val="16"/>
              </w:rPr>
            </w:pPr>
            <w:r w:rsidRPr="00E82A5D">
              <w:rPr>
                <w:rFonts w:ascii="Times New Roman" w:hAnsi="Times New Roman"/>
                <w:color w:val="000000" w:themeColor="text1"/>
                <w:sz w:val="16"/>
                <w:szCs w:val="16"/>
              </w:rPr>
              <w:t>Number of people covered by public awareness activities for corruption prevention</w:t>
            </w:r>
          </w:p>
        </w:tc>
        <w:tc>
          <w:tcPr>
            <w:tcW w:w="1440" w:type="dxa"/>
            <w:shd w:val="clear" w:color="auto" w:fill="FFFFFF"/>
          </w:tcPr>
          <w:p w:rsidR="0054507E" w:rsidRPr="00E82A5D" w:rsidRDefault="0054507E" w:rsidP="0009576A">
            <w:pPr>
              <w:numPr>
                <w:ilvl w:val="12"/>
                <w:numId w:val="0"/>
              </w:numPr>
              <w:shd w:val="clear" w:color="auto" w:fill="FFFFFF"/>
              <w:spacing w:after="0" w:line="240" w:lineRule="auto"/>
              <w:rPr>
                <w:rFonts w:ascii="Times New Roman" w:hAnsi="Times New Roman"/>
                <w:color w:val="000000" w:themeColor="text1"/>
                <w:sz w:val="16"/>
                <w:szCs w:val="16"/>
              </w:rPr>
            </w:pPr>
            <w:r w:rsidRPr="00E82A5D">
              <w:rPr>
                <w:rFonts w:ascii="Times New Roman" w:hAnsi="Times New Roman"/>
                <w:color w:val="000000" w:themeColor="text1"/>
                <w:sz w:val="16"/>
                <w:szCs w:val="16"/>
              </w:rPr>
              <w:t>0 (2020)</w:t>
            </w:r>
          </w:p>
        </w:tc>
        <w:tc>
          <w:tcPr>
            <w:tcW w:w="1260" w:type="dxa"/>
            <w:shd w:val="clear" w:color="auto" w:fill="FFFFFF"/>
          </w:tcPr>
          <w:p w:rsidR="0054507E" w:rsidRPr="00E82A5D" w:rsidRDefault="0054507E" w:rsidP="0009576A">
            <w:pPr>
              <w:numPr>
                <w:ilvl w:val="12"/>
                <w:numId w:val="0"/>
              </w:numPr>
              <w:shd w:val="clear" w:color="auto" w:fill="FFFFFF"/>
              <w:spacing w:after="0" w:line="240" w:lineRule="auto"/>
              <w:rPr>
                <w:rFonts w:ascii="Times New Roman" w:hAnsi="Times New Roman"/>
                <w:color w:val="000000" w:themeColor="text1"/>
                <w:sz w:val="16"/>
                <w:szCs w:val="16"/>
              </w:rPr>
            </w:pPr>
          </w:p>
        </w:tc>
        <w:tc>
          <w:tcPr>
            <w:tcW w:w="1530" w:type="dxa"/>
            <w:shd w:val="clear" w:color="auto" w:fill="FFFFFF"/>
          </w:tcPr>
          <w:p w:rsidR="0054507E" w:rsidRPr="00E82A5D" w:rsidRDefault="0054507E" w:rsidP="0009576A">
            <w:pPr>
              <w:numPr>
                <w:ilvl w:val="12"/>
                <w:numId w:val="0"/>
              </w:numPr>
              <w:shd w:val="clear" w:color="auto" w:fill="FFFFFF"/>
              <w:spacing w:after="0" w:line="240" w:lineRule="auto"/>
              <w:rPr>
                <w:rFonts w:ascii="Times New Roman" w:hAnsi="Times New Roman"/>
                <w:color w:val="000000" w:themeColor="text1"/>
                <w:sz w:val="16"/>
                <w:szCs w:val="16"/>
              </w:rPr>
            </w:pPr>
            <w:r w:rsidRPr="00E82A5D">
              <w:rPr>
                <w:rFonts w:ascii="Times New Roman" w:hAnsi="Times New Roman"/>
                <w:color w:val="000000" w:themeColor="text1"/>
                <w:sz w:val="16"/>
                <w:szCs w:val="16"/>
              </w:rPr>
              <w:t>10,000 (2024)</w:t>
            </w:r>
          </w:p>
        </w:tc>
        <w:tc>
          <w:tcPr>
            <w:tcW w:w="1584" w:type="dxa"/>
            <w:shd w:val="clear" w:color="auto" w:fill="FFFFFF"/>
          </w:tcPr>
          <w:p w:rsidR="0054507E" w:rsidRPr="00E82A5D" w:rsidRDefault="0054507E" w:rsidP="0009576A">
            <w:pPr>
              <w:numPr>
                <w:ilvl w:val="12"/>
                <w:numId w:val="0"/>
              </w:numPr>
              <w:shd w:val="clear" w:color="auto" w:fill="FFFFFF"/>
              <w:spacing w:after="0" w:line="240" w:lineRule="auto"/>
              <w:rPr>
                <w:rFonts w:ascii="Times New Roman" w:hAnsi="Times New Roman"/>
                <w:color w:val="000000" w:themeColor="text1"/>
                <w:sz w:val="16"/>
                <w:szCs w:val="16"/>
              </w:rPr>
            </w:pPr>
            <w:r w:rsidRPr="00E82A5D">
              <w:rPr>
                <w:rFonts w:ascii="Times New Roman" w:hAnsi="Times New Roman"/>
                <w:color w:val="000000" w:themeColor="text1"/>
                <w:sz w:val="16"/>
                <w:szCs w:val="16"/>
              </w:rPr>
              <w:t>Projects report</w:t>
            </w:r>
          </w:p>
        </w:tc>
        <w:tc>
          <w:tcPr>
            <w:tcW w:w="2126" w:type="dxa"/>
            <w:vMerge/>
            <w:shd w:val="clear" w:color="auto" w:fill="FFFFFF"/>
          </w:tcPr>
          <w:p w:rsidR="0054507E" w:rsidRPr="00E82A5D" w:rsidRDefault="0054507E" w:rsidP="0009576A">
            <w:pPr>
              <w:shd w:val="clear" w:color="auto" w:fill="FFFFFF"/>
              <w:spacing w:after="0" w:line="240" w:lineRule="auto"/>
              <w:rPr>
                <w:rFonts w:ascii="Times New Roman" w:hAnsi="Times New Roman"/>
                <w:color w:val="000000" w:themeColor="text1"/>
                <w:sz w:val="16"/>
                <w:szCs w:val="16"/>
              </w:rPr>
            </w:pPr>
          </w:p>
        </w:tc>
      </w:tr>
      <w:tr w:rsidR="0054507E" w:rsidRPr="00E82A5D" w:rsidTr="0009576A">
        <w:trPr>
          <w:trHeight w:val="332"/>
        </w:trPr>
        <w:tc>
          <w:tcPr>
            <w:tcW w:w="3401" w:type="dxa"/>
            <w:shd w:val="clear" w:color="auto" w:fill="FFFFFF"/>
          </w:tcPr>
          <w:p w:rsidR="0054507E" w:rsidRPr="00E82A5D" w:rsidRDefault="0054507E" w:rsidP="0009576A">
            <w:pPr>
              <w:shd w:val="clear" w:color="auto" w:fill="FFFFFF"/>
              <w:autoSpaceDE w:val="0"/>
              <w:autoSpaceDN w:val="0"/>
              <w:adjustRightInd w:val="0"/>
              <w:spacing w:after="0" w:line="240" w:lineRule="auto"/>
              <w:jc w:val="center"/>
              <w:rPr>
                <w:rFonts w:ascii="Times New Roman" w:hAnsi="Times New Roman"/>
                <w:color w:val="000000" w:themeColor="text1"/>
                <w:sz w:val="16"/>
                <w:szCs w:val="16"/>
              </w:rPr>
            </w:pPr>
            <w:r w:rsidRPr="00E82A5D">
              <w:rPr>
                <w:rFonts w:ascii="Times New Roman" w:hAnsi="Times New Roman"/>
                <w:b/>
                <w:color w:val="000000" w:themeColor="text1"/>
                <w:sz w:val="16"/>
                <w:szCs w:val="16"/>
              </w:rPr>
              <w:t>BROAD ARRANGEMENTS FOR IMPLEMENTATION (IF AVAILABLE)</w:t>
            </w:r>
          </w:p>
        </w:tc>
        <w:tc>
          <w:tcPr>
            <w:tcW w:w="11908" w:type="dxa"/>
            <w:gridSpan w:val="6"/>
            <w:shd w:val="clear" w:color="auto" w:fill="FFFFFF"/>
          </w:tcPr>
          <w:p w:rsidR="0054507E" w:rsidRPr="00E82A5D" w:rsidRDefault="0054507E" w:rsidP="0009576A">
            <w:pPr>
              <w:shd w:val="clear" w:color="auto" w:fill="FFFFFF"/>
              <w:spacing w:after="0" w:line="240" w:lineRule="auto"/>
              <w:rPr>
                <w:rFonts w:ascii="Times New Roman" w:hAnsi="Times New Roman"/>
                <w:color w:val="000000" w:themeColor="text1"/>
                <w:sz w:val="16"/>
                <w:szCs w:val="16"/>
              </w:rPr>
            </w:pPr>
            <w:r w:rsidRPr="00E82A5D">
              <w:rPr>
                <w:rFonts w:ascii="Times New Roman" w:hAnsi="Times New Roman"/>
                <w:color w:val="000000" w:themeColor="text1"/>
                <w:sz w:val="16"/>
                <w:szCs w:val="16"/>
              </w:rPr>
              <w:t>Direct management</w:t>
            </w:r>
          </w:p>
        </w:tc>
      </w:tr>
    </w:tbl>
    <w:p w:rsidR="00E607F2" w:rsidRPr="00E82A5D" w:rsidRDefault="00E607F2" w:rsidP="006A5247">
      <w:pPr>
        <w:rPr>
          <w:rFonts w:ascii="Times New Roman" w:hAnsi="Times New Roman"/>
          <w:color w:val="000000" w:themeColor="text1"/>
        </w:rPr>
      </w:pPr>
    </w:p>
    <w:p w:rsidR="00E70524" w:rsidRPr="00E82A5D" w:rsidRDefault="00E70524">
      <w:pPr>
        <w:rPr>
          <w:rFonts w:ascii="Times New Roman" w:hAnsi="Times New Roman"/>
          <w:color w:val="000000" w:themeColor="text1"/>
        </w:rPr>
      </w:pPr>
    </w:p>
    <w:sectPr w:rsidR="00E70524" w:rsidRPr="00E82A5D" w:rsidSect="00275CA9">
      <w:pgSz w:w="16838" w:h="11906" w:orient="landscape"/>
      <w:pgMar w:top="567" w:right="1440" w:bottom="426" w:left="1440" w:header="708" w:footer="201"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2818D6F" w16cid:durableId="22A0565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5266" w:rsidRDefault="00B45266" w:rsidP="00D92F6C">
      <w:pPr>
        <w:spacing w:after="0" w:line="240" w:lineRule="auto"/>
      </w:pPr>
      <w:r>
        <w:separator/>
      </w:r>
    </w:p>
  </w:endnote>
  <w:endnote w:type="continuationSeparator" w:id="0">
    <w:p w:rsidR="00B45266" w:rsidRDefault="00B45266" w:rsidP="00D92F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unga">
    <w:altName w:val="Courier New"/>
    <w:panose1 w:val="00000400000000000000"/>
    <w:charset w:val="01"/>
    <w:family w:val="roman"/>
    <w:notTrueType/>
    <w:pitch w:val="variable"/>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5266" w:rsidRDefault="00B45266" w:rsidP="00D92F6C">
      <w:pPr>
        <w:spacing w:after="0" w:line="240" w:lineRule="auto"/>
      </w:pPr>
      <w:r>
        <w:separator/>
      </w:r>
    </w:p>
  </w:footnote>
  <w:footnote w:type="continuationSeparator" w:id="0">
    <w:p w:rsidR="00B45266" w:rsidRDefault="00B45266" w:rsidP="00D92F6C">
      <w:pPr>
        <w:spacing w:after="0" w:line="240" w:lineRule="auto"/>
      </w:pPr>
      <w:r>
        <w:continuationSeparator/>
      </w:r>
    </w:p>
  </w:footnote>
  <w:footnote w:id="1">
    <w:p w:rsidR="0009576A" w:rsidRPr="003D09A5" w:rsidRDefault="0009576A" w:rsidP="001F75A2">
      <w:pPr>
        <w:pStyle w:val="FootnoteText"/>
      </w:pPr>
      <w:r>
        <w:rPr>
          <w:rStyle w:val="FootnoteReference"/>
        </w:rPr>
        <w:footnoteRef/>
      </w:r>
      <w:r w:rsidRPr="003D09A5">
        <w:rPr>
          <w:sz w:val="16"/>
          <w:szCs w:val="16"/>
        </w:rPr>
        <w:t>The baseline value may be "0" (i.e. no reference values are available as the Action represents a novelty for the beneficiary) but cannot be left empty or include references such as "N/A" or "will be determined later".</w:t>
      </w:r>
    </w:p>
    <w:p w:rsidR="0009576A" w:rsidRPr="00042F9A" w:rsidRDefault="0009576A" w:rsidP="001F75A2">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0"/>
    <w:multiLevelType w:val="singleLevel"/>
    <w:tmpl w:val="00000010"/>
    <w:name w:val="WW8Num17"/>
    <w:lvl w:ilvl="0">
      <w:start w:val="1"/>
      <w:numFmt w:val="bullet"/>
      <w:lvlText w:val=""/>
      <w:lvlJc w:val="left"/>
      <w:pPr>
        <w:tabs>
          <w:tab w:val="num" w:pos="0"/>
        </w:tabs>
        <w:ind w:left="360" w:hanging="360"/>
      </w:pPr>
      <w:rPr>
        <w:rFonts w:ascii="Wingdings" w:hAnsi="Wingdings" w:cs="Wingdings"/>
        <w:sz w:val="22"/>
        <w:szCs w:val="22"/>
      </w:rPr>
    </w:lvl>
  </w:abstractNum>
  <w:abstractNum w:abstractNumId="1" w15:restartNumberingAfterBreak="0">
    <w:nsid w:val="086D708F"/>
    <w:multiLevelType w:val="hybridMultilevel"/>
    <w:tmpl w:val="188E6FC2"/>
    <w:lvl w:ilvl="0" w:tplc="8898C73E">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93465F"/>
    <w:multiLevelType w:val="hybridMultilevel"/>
    <w:tmpl w:val="C854C6A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0D0A6D14"/>
    <w:multiLevelType w:val="hybridMultilevel"/>
    <w:tmpl w:val="ACB88DB8"/>
    <w:lvl w:ilvl="0" w:tplc="18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ind w:left="1800" w:hanging="360"/>
      </w:pPr>
      <w:rPr>
        <w:rFonts w:ascii="Courier New" w:hAnsi="Courier New" w:cs="Times New Roman"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Times New Roman"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Times New Roman" w:hint="default"/>
      </w:rPr>
    </w:lvl>
    <w:lvl w:ilvl="8" w:tplc="04090005">
      <w:start w:val="1"/>
      <w:numFmt w:val="bullet"/>
      <w:lvlText w:val=""/>
      <w:lvlJc w:val="left"/>
      <w:pPr>
        <w:ind w:left="6840" w:hanging="360"/>
      </w:pPr>
      <w:rPr>
        <w:rFonts w:ascii="Wingdings" w:hAnsi="Wingdings" w:hint="default"/>
      </w:rPr>
    </w:lvl>
  </w:abstractNum>
  <w:abstractNum w:abstractNumId="4" w15:restartNumberingAfterBreak="0">
    <w:nsid w:val="0F8E6677"/>
    <w:multiLevelType w:val="hybridMultilevel"/>
    <w:tmpl w:val="1EBEEAC4"/>
    <w:lvl w:ilvl="0" w:tplc="62D05E8C">
      <w:start w:val="2019"/>
      <w:numFmt w:val="bullet"/>
      <w:lvlText w:val="-"/>
      <w:lvlJc w:val="left"/>
      <w:pPr>
        <w:ind w:left="720" w:hanging="360"/>
      </w:pPr>
      <w:rPr>
        <w:rFonts w:ascii="Arial" w:eastAsia="Times New Roman" w:hAnsi="Arial" w:cs="Arial" w:hint="default"/>
        <w:b w:val="0"/>
        <w:color w:val="auto"/>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007819"/>
    <w:multiLevelType w:val="hybridMultilevel"/>
    <w:tmpl w:val="2946E67A"/>
    <w:lvl w:ilvl="0" w:tplc="04090001">
      <w:start w:val="1"/>
      <w:numFmt w:val="bullet"/>
      <w:lvlText w:val=""/>
      <w:lvlJc w:val="left"/>
      <w:pPr>
        <w:tabs>
          <w:tab w:val="num" w:pos="650"/>
        </w:tabs>
        <w:ind w:left="650" w:hanging="360"/>
      </w:pPr>
      <w:rPr>
        <w:rFonts w:ascii="Symbol" w:hAnsi="Symbol" w:hint="default"/>
      </w:rPr>
    </w:lvl>
    <w:lvl w:ilvl="1" w:tplc="04090003">
      <w:start w:val="1"/>
      <w:numFmt w:val="bullet"/>
      <w:lvlText w:val="o"/>
      <w:lvlJc w:val="left"/>
      <w:pPr>
        <w:tabs>
          <w:tab w:val="num" w:pos="1370"/>
        </w:tabs>
        <w:ind w:left="1370" w:hanging="360"/>
      </w:pPr>
      <w:rPr>
        <w:rFonts w:ascii="Courier New" w:hAnsi="Courier New" w:cs="Times New Roman" w:hint="default"/>
      </w:rPr>
    </w:lvl>
    <w:lvl w:ilvl="2" w:tplc="04090005">
      <w:start w:val="1"/>
      <w:numFmt w:val="bullet"/>
      <w:lvlText w:val=""/>
      <w:lvlJc w:val="left"/>
      <w:pPr>
        <w:tabs>
          <w:tab w:val="num" w:pos="2090"/>
        </w:tabs>
        <w:ind w:left="2090" w:hanging="360"/>
      </w:pPr>
      <w:rPr>
        <w:rFonts w:ascii="Wingdings" w:hAnsi="Wingdings" w:hint="default"/>
      </w:rPr>
    </w:lvl>
    <w:lvl w:ilvl="3" w:tplc="04090001">
      <w:start w:val="1"/>
      <w:numFmt w:val="bullet"/>
      <w:lvlText w:val=""/>
      <w:lvlJc w:val="left"/>
      <w:pPr>
        <w:tabs>
          <w:tab w:val="num" w:pos="2810"/>
        </w:tabs>
        <w:ind w:left="2810" w:hanging="360"/>
      </w:pPr>
      <w:rPr>
        <w:rFonts w:ascii="Symbol" w:hAnsi="Symbol" w:hint="default"/>
      </w:rPr>
    </w:lvl>
    <w:lvl w:ilvl="4" w:tplc="04090003">
      <w:start w:val="1"/>
      <w:numFmt w:val="bullet"/>
      <w:lvlText w:val="o"/>
      <w:lvlJc w:val="left"/>
      <w:pPr>
        <w:tabs>
          <w:tab w:val="num" w:pos="3530"/>
        </w:tabs>
        <w:ind w:left="3530" w:hanging="360"/>
      </w:pPr>
      <w:rPr>
        <w:rFonts w:ascii="Courier New" w:hAnsi="Courier New" w:cs="Times New Roman" w:hint="default"/>
      </w:rPr>
    </w:lvl>
    <w:lvl w:ilvl="5" w:tplc="04090005">
      <w:start w:val="1"/>
      <w:numFmt w:val="bullet"/>
      <w:lvlText w:val=""/>
      <w:lvlJc w:val="left"/>
      <w:pPr>
        <w:tabs>
          <w:tab w:val="num" w:pos="4250"/>
        </w:tabs>
        <w:ind w:left="4250" w:hanging="360"/>
      </w:pPr>
      <w:rPr>
        <w:rFonts w:ascii="Wingdings" w:hAnsi="Wingdings" w:hint="default"/>
      </w:rPr>
    </w:lvl>
    <w:lvl w:ilvl="6" w:tplc="04090001">
      <w:start w:val="1"/>
      <w:numFmt w:val="bullet"/>
      <w:lvlText w:val=""/>
      <w:lvlJc w:val="left"/>
      <w:pPr>
        <w:tabs>
          <w:tab w:val="num" w:pos="4970"/>
        </w:tabs>
        <w:ind w:left="4970" w:hanging="360"/>
      </w:pPr>
      <w:rPr>
        <w:rFonts w:ascii="Symbol" w:hAnsi="Symbol" w:hint="default"/>
      </w:rPr>
    </w:lvl>
    <w:lvl w:ilvl="7" w:tplc="04090003">
      <w:start w:val="1"/>
      <w:numFmt w:val="bullet"/>
      <w:lvlText w:val="o"/>
      <w:lvlJc w:val="left"/>
      <w:pPr>
        <w:tabs>
          <w:tab w:val="num" w:pos="5690"/>
        </w:tabs>
        <w:ind w:left="5690" w:hanging="360"/>
      </w:pPr>
      <w:rPr>
        <w:rFonts w:ascii="Courier New" w:hAnsi="Courier New" w:cs="Times New Roman" w:hint="default"/>
      </w:rPr>
    </w:lvl>
    <w:lvl w:ilvl="8" w:tplc="04090005">
      <w:start w:val="1"/>
      <w:numFmt w:val="bullet"/>
      <w:lvlText w:val=""/>
      <w:lvlJc w:val="left"/>
      <w:pPr>
        <w:tabs>
          <w:tab w:val="num" w:pos="6410"/>
        </w:tabs>
        <w:ind w:left="6410" w:hanging="360"/>
      </w:pPr>
      <w:rPr>
        <w:rFonts w:ascii="Wingdings" w:hAnsi="Wingdings" w:hint="default"/>
      </w:rPr>
    </w:lvl>
  </w:abstractNum>
  <w:abstractNum w:abstractNumId="6" w15:restartNumberingAfterBreak="0">
    <w:nsid w:val="163F1334"/>
    <w:multiLevelType w:val="hybridMultilevel"/>
    <w:tmpl w:val="90741FF6"/>
    <w:lvl w:ilvl="0" w:tplc="08D4EB9E">
      <w:start w:val="3"/>
      <w:numFmt w:val="bullet"/>
      <w:lvlText w:val="-"/>
      <w:lvlJc w:val="left"/>
      <w:pPr>
        <w:ind w:left="720" w:hanging="360"/>
      </w:pPr>
      <w:rPr>
        <w:rFonts w:ascii="Arial" w:eastAsia="Arial Unicode MS"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16261CF"/>
    <w:multiLevelType w:val="hybridMultilevel"/>
    <w:tmpl w:val="D9E49596"/>
    <w:lvl w:ilvl="0" w:tplc="DE8884C4">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523D36"/>
    <w:multiLevelType w:val="multilevel"/>
    <w:tmpl w:val="8B28E0D6"/>
    <w:lvl w:ilvl="0">
      <w:start w:val="1"/>
      <w:numFmt w:val="decimal"/>
      <w:lvlText w:val="%1."/>
      <w:lvlJc w:val="left"/>
      <w:pPr>
        <w:ind w:left="360" w:hanging="360"/>
      </w:pPr>
      <w:rPr>
        <w:rFonts w:hint="default"/>
      </w:rPr>
    </w:lvl>
    <w:lvl w:ilvl="1">
      <w:start w:val="1"/>
      <w:numFmt w:val="decimal"/>
      <w:lvlText w:val="%2."/>
      <w:lvlJc w:val="left"/>
      <w:pPr>
        <w:ind w:left="359" w:hanging="435"/>
      </w:pPr>
      <w:rPr>
        <w:rFonts w:hint="default"/>
        <w:color w:val="auto"/>
      </w:rPr>
    </w:lvl>
    <w:lvl w:ilvl="2">
      <w:start w:val="1"/>
      <w:numFmt w:val="decimal"/>
      <w:isLgl/>
      <w:lvlText w:val="%1.%2.%3."/>
      <w:lvlJc w:val="left"/>
      <w:pPr>
        <w:ind w:left="1134" w:hanging="720"/>
      </w:pPr>
      <w:rPr>
        <w:rFonts w:hint="default"/>
      </w:rPr>
    </w:lvl>
    <w:lvl w:ilvl="3">
      <w:start w:val="1"/>
      <w:numFmt w:val="decimal"/>
      <w:isLgl/>
      <w:lvlText w:val="%1.%2.%3.%4."/>
      <w:lvlJc w:val="left"/>
      <w:pPr>
        <w:ind w:left="1341" w:hanging="720"/>
      </w:pPr>
      <w:rPr>
        <w:rFonts w:hint="default"/>
      </w:rPr>
    </w:lvl>
    <w:lvl w:ilvl="4">
      <w:start w:val="1"/>
      <w:numFmt w:val="decimal"/>
      <w:isLgl/>
      <w:lvlText w:val="%1.%2.%3.%4.%5."/>
      <w:lvlJc w:val="left"/>
      <w:pPr>
        <w:ind w:left="1908" w:hanging="1080"/>
      </w:pPr>
      <w:rPr>
        <w:rFonts w:hint="default"/>
      </w:rPr>
    </w:lvl>
    <w:lvl w:ilvl="5">
      <w:start w:val="1"/>
      <w:numFmt w:val="decimal"/>
      <w:isLgl/>
      <w:lvlText w:val="%1.%2.%3.%4.%5.%6."/>
      <w:lvlJc w:val="left"/>
      <w:pPr>
        <w:ind w:left="2115" w:hanging="1080"/>
      </w:pPr>
      <w:rPr>
        <w:rFonts w:hint="default"/>
      </w:rPr>
    </w:lvl>
    <w:lvl w:ilvl="6">
      <w:start w:val="1"/>
      <w:numFmt w:val="decimal"/>
      <w:isLgl/>
      <w:lvlText w:val="%1.%2.%3.%4.%5.%6.%7."/>
      <w:lvlJc w:val="left"/>
      <w:pPr>
        <w:ind w:left="2682" w:hanging="1440"/>
      </w:pPr>
      <w:rPr>
        <w:rFonts w:hint="default"/>
      </w:rPr>
    </w:lvl>
    <w:lvl w:ilvl="7">
      <w:start w:val="1"/>
      <w:numFmt w:val="decimal"/>
      <w:isLgl/>
      <w:lvlText w:val="%1.%2.%3.%4.%5.%6.%7.%8."/>
      <w:lvlJc w:val="left"/>
      <w:pPr>
        <w:ind w:left="2889" w:hanging="1440"/>
      </w:pPr>
      <w:rPr>
        <w:rFonts w:hint="default"/>
      </w:rPr>
    </w:lvl>
    <w:lvl w:ilvl="8">
      <w:start w:val="1"/>
      <w:numFmt w:val="decimal"/>
      <w:isLgl/>
      <w:lvlText w:val="%1.%2.%3.%4.%5.%6.%7.%8.%9."/>
      <w:lvlJc w:val="left"/>
      <w:pPr>
        <w:ind w:left="3456" w:hanging="1800"/>
      </w:pPr>
      <w:rPr>
        <w:rFonts w:hint="default"/>
      </w:rPr>
    </w:lvl>
  </w:abstractNum>
  <w:abstractNum w:abstractNumId="9" w15:restartNumberingAfterBreak="0">
    <w:nsid w:val="23FC21AF"/>
    <w:multiLevelType w:val="hybridMultilevel"/>
    <w:tmpl w:val="D514E406"/>
    <w:lvl w:ilvl="0" w:tplc="04090001">
      <w:start w:val="1"/>
      <w:numFmt w:val="bullet"/>
      <w:lvlText w:val=""/>
      <w:lvlJc w:val="left"/>
      <w:pPr>
        <w:tabs>
          <w:tab w:val="num" w:pos="650"/>
        </w:tabs>
        <w:ind w:left="650" w:hanging="360"/>
      </w:pPr>
      <w:rPr>
        <w:rFonts w:ascii="Symbol" w:hAnsi="Symbol" w:hint="default"/>
      </w:rPr>
    </w:lvl>
    <w:lvl w:ilvl="1" w:tplc="04090003">
      <w:start w:val="1"/>
      <w:numFmt w:val="bullet"/>
      <w:lvlText w:val="o"/>
      <w:lvlJc w:val="left"/>
      <w:pPr>
        <w:tabs>
          <w:tab w:val="num" w:pos="1370"/>
        </w:tabs>
        <w:ind w:left="1370" w:hanging="360"/>
      </w:pPr>
      <w:rPr>
        <w:rFonts w:ascii="Courier New" w:hAnsi="Courier New" w:cs="Courier New" w:hint="default"/>
      </w:rPr>
    </w:lvl>
    <w:lvl w:ilvl="2" w:tplc="04090005">
      <w:start w:val="1"/>
      <w:numFmt w:val="bullet"/>
      <w:lvlText w:val=""/>
      <w:lvlJc w:val="left"/>
      <w:pPr>
        <w:tabs>
          <w:tab w:val="num" w:pos="2090"/>
        </w:tabs>
        <w:ind w:left="2090" w:hanging="360"/>
      </w:pPr>
      <w:rPr>
        <w:rFonts w:ascii="Wingdings" w:hAnsi="Wingdings" w:hint="default"/>
      </w:rPr>
    </w:lvl>
    <w:lvl w:ilvl="3" w:tplc="04090001">
      <w:start w:val="1"/>
      <w:numFmt w:val="bullet"/>
      <w:lvlText w:val=""/>
      <w:lvlJc w:val="left"/>
      <w:pPr>
        <w:tabs>
          <w:tab w:val="num" w:pos="2810"/>
        </w:tabs>
        <w:ind w:left="2810" w:hanging="360"/>
      </w:pPr>
      <w:rPr>
        <w:rFonts w:ascii="Symbol" w:hAnsi="Symbol" w:hint="default"/>
      </w:rPr>
    </w:lvl>
    <w:lvl w:ilvl="4" w:tplc="04090003">
      <w:start w:val="1"/>
      <w:numFmt w:val="bullet"/>
      <w:lvlText w:val="o"/>
      <w:lvlJc w:val="left"/>
      <w:pPr>
        <w:tabs>
          <w:tab w:val="num" w:pos="3530"/>
        </w:tabs>
        <w:ind w:left="3530" w:hanging="360"/>
      </w:pPr>
      <w:rPr>
        <w:rFonts w:ascii="Courier New" w:hAnsi="Courier New" w:cs="Courier New" w:hint="default"/>
      </w:rPr>
    </w:lvl>
    <w:lvl w:ilvl="5" w:tplc="04090005">
      <w:start w:val="1"/>
      <w:numFmt w:val="bullet"/>
      <w:lvlText w:val=""/>
      <w:lvlJc w:val="left"/>
      <w:pPr>
        <w:tabs>
          <w:tab w:val="num" w:pos="4250"/>
        </w:tabs>
        <w:ind w:left="4250" w:hanging="360"/>
      </w:pPr>
      <w:rPr>
        <w:rFonts w:ascii="Wingdings" w:hAnsi="Wingdings" w:hint="default"/>
      </w:rPr>
    </w:lvl>
    <w:lvl w:ilvl="6" w:tplc="04090001">
      <w:start w:val="1"/>
      <w:numFmt w:val="bullet"/>
      <w:lvlText w:val=""/>
      <w:lvlJc w:val="left"/>
      <w:pPr>
        <w:tabs>
          <w:tab w:val="num" w:pos="4970"/>
        </w:tabs>
        <w:ind w:left="4970" w:hanging="360"/>
      </w:pPr>
      <w:rPr>
        <w:rFonts w:ascii="Symbol" w:hAnsi="Symbol" w:hint="default"/>
      </w:rPr>
    </w:lvl>
    <w:lvl w:ilvl="7" w:tplc="04090003">
      <w:start w:val="1"/>
      <w:numFmt w:val="bullet"/>
      <w:lvlText w:val="o"/>
      <w:lvlJc w:val="left"/>
      <w:pPr>
        <w:tabs>
          <w:tab w:val="num" w:pos="5690"/>
        </w:tabs>
        <w:ind w:left="5690" w:hanging="360"/>
      </w:pPr>
      <w:rPr>
        <w:rFonts w:ascii="Courier New" w:hAnsi="Courier New" w:cs="Courier New" w:hint="default"/>
      </w:rPr>
    </w:lvl>
    <w:lvl w:ilvl="8" w:tplc="04090005">
      <w:start w:val="1"/>
      <w:numFmt w:val="bullet"/>
      <w:lvlText w:val=""/>
      <w:lvlJc w:val="left"/>
      <w:pPr>
        <w:tabs>
          <w:tab w:val="num" w:pos="6410"/>
        </w:tabs>
        <w:ind w:left="6410" w:hanging="360"/>
      </w:pPr>
      <w:rPr>
        <w:rFonts w:ascii="Wingdings" w:hAnsi="Wingdings" w:hint="default"/>
      </w:rPr>
    </w:lvl>
  </w:abstractNum>
  <w:abstractNum w:abstractNumId="10" w15:restartNumberingAfterBreak="0">
    <w:nsid w:val="274425DA"/>
    <w:multiLevelType w:val="hybridMultilevel"/>
    <w:tmpl w:val="C85A986C"/>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1" w15:restartNumberingAfterBreak="0">
    <w:nsid w:val="292106F1"/>
    <w:multiLevelType w:val="hybridMultilevel"/>
    <w:tmpl w:val="1C2C31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7771362"/>
    <w:multiLevelType w:val="hybridMultilevel"/>
    <w:tmpl w:val="AB763BB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2F85E0A"/>
    <w:multiLevelType w:val="hybridMultilevel"/>
    <w:tmpl w:val="DC38E5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4C21572"/>
    <w:multiLevelType w:val="hybridMultilevel"/>
    <w:tmpl w:val="72965246"/>
    <w:lvl w:ilvl="0" w:tplc="FFFFFFFF">
      <w:start w:val="1"/>
      <w:numFmt w:val="bullet"/>
      <w:lvlText w:val="-"/>
      <w:lvlJc w:val="left"/>
      <w:pPr>
        <w:tabs>
          <w:tab w:val="num" w:pos="720"/>
        </w:tabs>
        <w:ind w:left="720" w:hanging="360"/>
      </w:pPr>
      <w:rPr>
        <w:rFonts w:ascii="Times New Roman" w:eastAsia="Arial Unicode MS" w:hAnsi="Times New Roman" w:cs="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4C71B8B"/>
    <w:multiLevelType w:val="hybridMultilevel"/>
    <w:tmpl w:val="CD2A81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55880033"/>
    <w:multiLevelType w:val="hybridMultilevel"/>
    <w:tmpl w:val="CA92BDD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56A77E92"/>
    <w:multiLevelType w:val="hybridMultilevel"/>
    <w:tmpl w:val="42480F0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0C11613"/>
    <w:multiLevelType w:val="hybridMultilevel"/>
    <w:tmpl w:val="36D620E0"/>
    <w:lvl w:ilvl="0" w:tplc="F440F78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10E1C09"/>
    <w:multiLevelType w:val="multilevel"/>
    <w:tmpl w:val="58FE7C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43F1E75"/>
    <w:multiLevelType w:val="hybridMultilevel"/>
    <w:tmpl w:val="57DAD4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6C93FA8"/>
    <w:multiLevelType w:val="hybridMultilevel"/>
    <w:tmpl w:val="09A8F69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77A5656"/>
    <w:multiLevelType w:val="hybridMultilevel"/>
    <w:tmpl w:val="E0A6DE4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0"/>
  </w:num>
  <w:num w:numId="3">
    <w:abstractNumId w:val="1"/>
  </w:num>
  <w:num w:numId="4">
    <w:abstractNumId w:val="2"/>
  </w:num>
  <w:num w:numId="5">
    <w:abstractNumId w:val="15"/>
  </w:num>
  <w:num w:numId="6">
    <w:abstractNumId w:val="4"/>
  </w:num>
  <w:num w:numId="7">
    <w:abstractNumId w:val="11"/>
  </w:num>
  <w:num w:numId="8">
    <w:abstractNumId w:val="18"/>
  </w:num>
  <w:num w:numId="9">
    <w:abstractNumId w:val="6"/>
  </w:num>
  <w:num w:numId="10">
    <w:abstractNumId w:val="22"/>
  </w:num>
  <w:num w:numId="11">
    <w:abstractNumId w:val="7"/>
  </w:num>
  <w:num w:numId="12">
    <w:abstractNumId w:val="8"/>
  </w:num>
  <w:num w:numId="13">
    <w:abstractNumId w:val="19"/>
  </w:num>
  <w:num w:numId="14">
    <w:abstractNumId w:val="14"/>
  </w:num>
  <w:num w:numId="15">
    <w:abstractNumId w:val="9"/>
  </w:num>
  <w:num w:numId="16">
    <w:abstractNumId w:val="5"/>
  </w:num>
  <w:num w:numId="17">
    <w:abstractNumId w:val="3"/>
  </w:num>
  <w:num w:numId="18">
    <w:abstractNumId w:val="21"/>
  </w:num>
  <w:num w:numId="19">
    <w:abstractNumId w:val="0"/>
  </w:num>
  <w:num w:numId="20">
    <w:abstractNumId w:val="17"/>
  </w:num>
  <w:num w:numId="21">
    <w:abstractNumId w:val="16"/>
  </w:num>
  <w:num w:numId="22">
    <w:abstractNumId w:val="20"/>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
  <w:docVars>
    <w:docVar w:name="LW_DocType" w:val="NORMAL"/>
  </w:docVars>
  <w:rsids>
    <w:rsidRoot w:val="00D92F6C"/>
    <w:rsid w:val="00005F23"/>
    <w:rsid w:val="00012297"/>
    <w:rsid w:val="0003291A"/>
    <w:rsid w:val="00035874"/>
    <w:rsid w:val="0004402B"/>
    <w:rsid w:val="00047FEC"/>
    <w:rsid w:val="00050A0D"/>
    <w:rsid w:val="00051C9A"/>
    <w:rsid w:val="0006006D"/>
    <w:rsid w:val="00066FA2"/>
    <w:rsid w:val="00070472"/>
    <w:rsid w:val="00074669"/>
    <w:rsid w:val="000841C6"/>
    <w:rsid w:val="0008420D"/>
    <w:rsid w:val="00091409"/>
    <w:rsid w:val="000921EA"/>
    <w:rsid w:val="000949E9"/>
    <w:rsid w:val="0009576A"/>
    <w:rsid w:val="000A470C"/>
    <w:rsid w:val="000A75B1"/>
    <w:rsid w:val="000C25DE"/>
    <w:rsid w:val="000C3D05"/>
    <w:rsid w:val="000C601A"/>
    <w:rsid w:val="000C69BE"/>
    <w:rsid w:val="000E058D"/>
    <w:rsid w:val="000E1DFC"/>
    <w:rsid w:val="000F0D22"/>
    <w:rsid w:val="000F6CBF"/>
    <w:rsid w:val="000F6E56"/>
    <w:rsid w:val="0010002F"/>
    <w:rsid w:val="001071FD"/>
    <w:rsid w:val="00111109"/>
    <w:rsid w:val="001114DA"/>
    <w:rsid w:val="00113D18"/>
    <w:rsid w:val="001249A1"/>
    <w:rsid w:val="001251CF"/>
    <w:rsid w:val="00131B39"/>
    <w:rsid w:val="0013582C"/>
    <w:rsid w:val="00137F72"/>
    <w:rsid w:val="001470DE"/>
    <w:rsid w:val="001544FA"/>
    <w:rsid w:val="0016591C"/>
    <w:rsid w:val="00171A3A"/>
    <w:rsid w:val="00176D2A"/>
    <w:rsid w:val="0018632C"/>
    <w:rsid w:val="00187C85"/>
    <w:rsid w:val="001963DD"/>
    <w:rsid w:val="001A14D7"/>
    <w:rsid w:val="001A3642"/>
    <w:rsid w:val="001A5379"/>
    <w:rsid w:val="001A7DA8"/>
    <w:rsid w:val="001B02B9"/>
    <w:rsid w:val="001B3624"/>
    <w:rsid w:val="001C25DF"/>
    <w:rsid w:val="001C31CA"/>
    <w:rsid w:val="001C55D6"/>
    <w:rsid w:val="001C7E52"/>
    <w:rsid w:val="001E116D"/>
    <w:rsid w:val="001E31F5"/>
    <w:rsid w:val="001E4289"/>
    <w:rsid w:val="001E479E"/>
    <w:rsid w:val="001E71C9"/>
    <w:rsid w:val="001F1325"/>
    <w:rsid w:val="001F4126"/>
    <w:rsid w:val="001F75A2"/>
    <w:rsid w:val="00200390"/>
    <w:rsid w:val="00200E7F"/>
    <w:rsid w:val="00202EE4"/>
    <w:rsid w:val="002075B8"/>
    <w:rsid w:val="0022273A"/>
    <w:rsid w:val="00223C4C"/>
    <w:rsid w:val="002264DA"/>
    <w:rsid w:val="00236708"/>
    <w:rsid w:val="002412C8"/>
    <w:rsid w:val="00242DA8"/>
    <w:rsid w:val="00245D59"/>
    <w:rsid w:val="00245F5D"/>
    <w:rsid w:val="00246332"/>
    <w:rsid w:val="0025011C"/>
    <w:rsid w:val="00254AB8"/>
    <w:rsid w:val="00254F64"/>
    <w:rsid w:val="00260EE2"/>
    <w:rsid w:val="00262710"/>
    <w:rsid w:val="00263549"/>
    <w:rsid w:val="00263A0F"/>
    <w:rsid w:val="00264597"/>
    <w:rsid w:val="002664B1"/>
    <w:rsid w:val="002669CC"/>
    <w:rsid w:val="002741F1"/>
    <w:rsid w:val="00275CA9"/>
    <w:rsid w:val="002760C6"/>
    <w:rsid w:val="0028288B"/>
    <w:rsid w:val="002837AE"/>
    <w:rsid w:val="002878D2"/>
    <w:rsid w:val="00290399"/>
    <w:rsid w:val="00296FEE"/>
    <w:rsid w:val="002A2A0A"/>
    <w:rsid w:val="002B13ED"/>
    <w:rsid w:val="002B20EB"/>
    <w:rsid w:val="002B2A48"/>
    <w:rsid w:val="002B2F2A"/>
    <w:rsid w:val="002C7AA5"/>
    <w:rsid w:val="002D36E6"/>
    <w:rsid w:val="002D41BF"/>
    <w:rsid w:val="002D41C6"/>
    <w:rsid w:val="002E5124"/>
    <w:rsid w:val="002E6861"/>
    <w:rsid w:val="002F27D9"/>
    <w:rsid w:val="002F45E7"/>
    <w:rsid w:val="002F4A98"/>
    <w:rsid w:val="002F6F9D"/>
    <w:rsid w:val="00326F34"/>
    <w:rsid w:val="00332633"/>
    <w:rsid w:val="00335766"/>
    <w:rsid w:val="00335A5E"/>
    <w:rsid w:val="00340975"/>
    <w:rsid w:val="00343DB4"/>
    <w:rsid w:val="003454A8"/>
    <w:rsid w:val="0034726F"/>
    <w:rsid w:val="00347934"/>
    <w:rsid w:val="00350AFB"/>
    <w:rsid w:val="00373085"/>
    <w:rsid w:val="00391215"/>
    <w:rsid w:val="003925CE"/>
    <w:rsid w:val="0039427A"/>
    <w:rsid w:val="0039429B"/>
    <w:rsid w:val="00396756"/>
    <w:rsid w:val="00396C0B"/>
    <w:rsid w:val="003A552E"/>
    <w:rsid w:val="003C10F1"/>
    <w:rsid w:val="003C1430"/>
    <w:rsid w:val="003C1BD6"/>
    <w:rsid w:val="003C4568"/>
    <w:rsid w:val="003C64A0"/>
    <w:rsid w:val="003D02B1"/>
    <w:rsid w:val="003D1B1E"/>
    <w:rsid w:val="003D1C5F"/>
    <w:rsid w:val="003D264E"/>
    <w:rsid w:val="003D2819"/>
    <w:rsid w:val="003D58A8"/>
    <w:rsid w:val="003D6CBA"/>
    <w:rsid w:val="003E4927"/>
    <w:rsid w:val="003E6F2A"/>
    <w:rsid w:val="003F0559"/>
    <w:rsid w:val="003F7587"/>
    <w:rsid w:val="003F7755"/>
    <w:rsid w:val="00401BE0"/>
    <w:rsid w:val="00404826"/>
    <w:rsid w:val="00406848"/>
    <w:rsid w:val="004110B4"/>
    <w:rsid w:val="00413F12"/>
    <w:rsid w:val="00420281"/>
    <w:rsid w:val="00421781"/>
    <w:rsid w:val="004232C7"/>
    <w:rsid w:val="00432E8E"/>
    <w:rsid w:val="00436EDC"/>
    <w:rsid w:val="0044051C"/>
    <w:rsid w:val="0044068E"/>
    <w:rsid w:val="00454752"/>
    <w:rsid w:val="00463EAF"/>
    <w:rsid w:val="00473720"/>
    <w:rsid w:val="00476031"/>
    <w:rsid w:val="0048379A"/>
    <w:rsid w:val="00492385"/>
    <w:rsid w:val="004A3531"/>
    <w:rsid w:val="004A4F61"/>
    <w:rsid w:val="004B7C58"/>
    <w:rsid w:val="004C3857"/>
    <w:rsid w:val="004C6F5A"/>
    <w:rsid w:val="004C6FFC"/>
    <w:rsid w:val="004D411D"/>
    <w:rsid w:val="004E448D"/>
    <w:rsid w:val="004F0DB6"/>
    <w:rsid w:val="004F6D9B"/>
    <w:rsid w:val="00501C67"/>
    <w:rsid w:val="005061D9"/>
    <w:rsid w:val="0050659E"/>
    <w:rsid w:val="00511EB3"/>
    <w:rsid w:val="00513464"/>
    <w:rsid w:val="005144BB"/>
    <w:rsid w:val="0051450C"/>
    <w:rsid w:val="005146E2"/>
    <w:rsid w:val="00521902"/>
    <w:rsid w:val="00533498"/>
    <w:rsid w:val="0054507E"/>
    <w:rsid w:val="00550DA9"/>
    <w:rsid w:val="005576FF"/>
    <w:rsid w:val="00560C40"/>
    <w:rsid w:val="005640EC"/>
    <w:rsid w:val="00577A6A"/>
    <w:rsid w:val="00580322"/>
    <w:rsid w:val="0058681F"/>
    <w:rsid w:val="0058713B"/>
    <w:rsid w:val="0059098D"/>
    <w:rsid w:val="00592C91"/>
    <w:rsid w:val="00595099"/>
    <w:rsid w:val="005A1414"/>
    <w:rsid w:val="005A6C7E"/>
    <w:rsid w:val="005A6D50"/>
    <w:rsid w:val="005B0288"/>
    <w:rsid w:val="005B328F"/>
    <w:rsid w:val="005C255A"/>
    <w:rsid w:val="005C4FAD"/>
    <w:rsid w:val="005D1A77"/>
    <w:rsid w:val="005D296D"/>
    <w:rsid w:val="005D4B7A"/>
    <w:rsid w:val="005E52D4"/>
    <w:rsid w:val="005F0B88"/>
    <w:rsid w:val="005F1841"/>
    <w:rsid w:val="005F5A43"/>
    <w:rsid w:val="005F732A"/>
    <w:rsid w:val="006009FB"/>
    <w:rsid w:val="006131D0"/>
    <w:rsid w:val="006151F9"/>
    <w:rsid w:val="0062118D"/>
    <w:rsid w:val="00623B87"/>
    <w:rsid w:val="006267F6"/>
    <w:rsid w:val="00627C1E"/>
    <w:rsid w:val="00635993"/>
    <w:rsid w:val="00635DF6"/>
    <w:rsid w:val="00647406"/>
    <w:rsid w:val="00654FC2"/>
    <w:rsid w:val="00661468"/>
    <w:rsid w:val="00664D03"/>
    <w:rsid w:val="006675BB"/>
    <w:rsid w:val="0066795B"/>
    <w:rsid w:val="0067421E"/>
    <w:rsid w:val="00675EE0"/>
    <w:rsid w:val="006813CA"/>
    <w:rsid w:val="0068514B"/>
    <w:rsid w:val="00686C2E"/>
    <w:rsid w:val="006A5247"/>
    <w:rsid w:val="006B43BC"/>
    <w:rsid w:val="006B790E"/>
    <w:rsid w:val="006C16BB"/>
    <w:rsid w:val="006D1308"/>
    <w:rsid w:val="006D439F"/>
    <w:rsid w:val="006E3668"/>
    <w:rsid w:val="006E4DE6"/>
    <w:rsid w:val="006F4218"/>
    <w:rsid w:val="006F5366"/>
    <w:rsid w:val="006F7403"/>
    <w:rsid w:val="006F7E36"/>
    <w:rsid w:val="00700B70"/>
    <w:rsid w:val="007078E2"/>
    <w:rsid w:val="00713D1C"/>
    <w:rsid w:val="0071750C"/>
    <w:rsid w:val="00721782"/>
    <w:rsid w:val="007221B2"/>
    <w:rsid w:val="007227CB"/>
    <w:rsid w:val="00726A64"/>
    <w:rsid w:val="00735547"/>
    <w:rsid w:val="007363D9"/>
    <w:rsid w:val="00741787"/>
    <w:rsid w:val="00747EFA"/>
    <w:rsid w:val="00756C31"/>
    <w:rsid w:val="007647D6"/>
    <w:rsid w:val="00775409"/>
    <w:rsid w:val="0077780E"/>
    <w:rsid w:val="00784084"/>
    <w:rsid w:val="00793149"/>
    <w:rsid w:val="007946B4"/>
    <w:rsid w:val="007A0CAB"/>
    <w:rsid w:val="007A1353"/>
    <w:rsid w:val="007A60C7"/>
    <w:rsid w:val="007A700C"/>
    <w:rsid w:val="007B412B"/>
    <w:rsid w:val="007B482E"/>
    <w:rsid w:val="007B7391"/>
    <w:rsid w:val="007C0FCE"/>
    <w:rsid w:val="007C490A"/>
    <w:rsid w:val="007C7937"/>
    <w:rsid w:val="007C7948"/>
    <w:rsid w:val="007D08A8"/>
    <w:rsid w:val="007D241E"/>
    <w:rsid w:val="007D7993"/>
    <w:rsid w:val="007E4F8A"/>
    <w:rsid w:val="007E4FE3"/>
    <w:rsid w:val="007F1055"/>
    <w:rsid w:val="00800ED0"/>
    <w:rsid w:val="008052C7"/>
    <w:rsid w:val="008105FD"/>
    <w:rsid w:val="008114CF"/>
    <w:rsid w:val="00813A44"/>
    <w:rsid w:val="008143F9"/>
    <w:rsid w:val="00823FEA"/>
    <w:rsid w:val="00827EDF"/>
    <w:rsid w:val="008341DC"/>
    <w:rsid w:val="00834263"/>
    <w:rsid w:val="00845149"/>
    <w:rsid w:val="00847041"/>
    <w:rsid w:val="008563C7"/>
    <w:rsid w:val="00895557"/>
    <w:rsid w:val="0089752E"/>
    <w:rsid w:val="00897983"/>
    <w:rsid w:val="008A0213"/>
    <w:rsid w:val="008A0DBE"/>
    <w:rsid w:val="008A2CAE"/>
    <w:rsid w:val="008B325A"/>
    <w:rsid w:val="008B6830"/>
    <w:rsid w:val="008C634B"/>
    <w:rsid w:val="008D3CC1"/>
    <w:rsid w:val="008E1388"/>
    <w:rsid w:val="008E294C"/>
    <w:rsid w:val="008E43F4"/>
    <w:rsid w:val="008E4E35"/>
    <w:rsid w:val="008E63D4"/>
    <w:rsid w:val="008F4BD8"/>
    <w:rsid w:val="008F6288"/>
    <w:rsid w:val="009065CB"/>
    <w:rsid w:val="0091087B"/>
    <w:rsid w:val="0091452A"/>
    <w:rsid w:val="0092586F"/>
    <w:rsid w:val="009274BA"/>
    <w:rsid w:val="00930DA2"/>
    <w:rsid w:val="00931D8E"/>
    <w:rsid w:val="009338FF"/>
    <w:rsid w:val="009464D6"/>
    <w:rsid w:val="00965DB0"/>
    <w:rsid w:val="00966CB0"/>
    <w:rsid w:val="00967245"/>
    <w:rsid w:val="00974B55"/>
    <w:rsid w:val="00976273"/>
    <w:rsid w:val="00983CC7"/>
    <w:rsid w:val="009857B1"/>
    <w:rsid w:val="00986C54"/>
    <w:rsid w:val="00994B64"/>
    <w:rsid w:val="00997482"/>
    <w:rsid w:val="009A0452"/>
    <w:rsid w:val="009A0CCB"/>
    <w:rsid w:val="009A1E9B"/>
    <w:rsid w:val="009A3268"/>
    <w:rsid w:val="009B2332"/>
    <w:rsid w:val="009B30BC"/>
    <w:rsid w:val="009B65FF"/>
    <w:rsid w:val="009B6E58"/>
    <w:rsid w:val="009D65C6"/>
    <w:rsid w:val="009D7559"/>
    <w:rsid w:val="009E39AE"/>
    <w:rsid w:val="009F2864"/>
    <w:rsid w:val="00A03C24"/>
    <w:rsid w:val="00A03FBC"/>
    <w:rsid w:val="00A04502"/>
    <w:rsid w:val="00A0473B"/>
    <w:rsid w:val="00A04C81"/>
    <w:rsid w:val="00A12102"/>
    <w:rsid w:val="00A1226A"/>
    <w:rsid w:val="00A23604"/>
    <w:rsid w:val="00A35528"/>
    <w:rsid w:val="00A40EC1"/>
    <w:rsid w:val="00A42DAB"/>
    <w:rsid w:val="00A52120"/>
    <w:rsid w:val="00A57D82"/>
    <w:rsid w:val="00A64215"/>
    <w:rsid w:val="00A71069"/>
    <w:rsid w:val="00A77AE1"/>
    <w:rsid w:val="00A8404E"/>
    <w:rsid w:val="00A86C7A"/>
    <w:rsid w:val="00A86DE4"/>
    <w:rsid w:val="00A919E7"/>
    <w:rsid w:val="00A91EEA"/>
    <w:rsid w:val="00A92EE5"/>
    <w:rsid w:val="00A93F95"/>
    <w:rsid w:val="00A94060"/>
    <w:rsid w:val="00A97A85"/>
    <w:rsid w:val="00AA2707"/>
    <w:rsid w:val="00AA31E5"/>
    <w:rsid w:val="00AB25DF"/>
    <w:rsid w:val="00AB363C"/>
    <w:rsid w:val="00AB6295"/>
    <w:rsid w:val="00AD107F"/>
    <w:rsid w:val="00AD3013"/>
    <w:rsid w:val="00AE0A7A"/>
    <w:rsid w:val="00AE49EA"/>
    <w:rsid w:val="00AF1505"/>
    <w:rsid w:val="00AF6420"/>
    <w:rsid w:val="00B03D94"/>
    <w:rsid w:val="00B10991"/>
    <w:rsid w:val="00B23443"/>
    <w:rsid w:val="00B24F10"/>
    <w:rsid w:val="00B3010F"/>
    <w:rsid w:val="00B4246A"/>
    <w:rsid w:val="00B45266"/>
    <w:rsid w:val="00B508CD"/>
    <w:rsid w:val="00B50A1C"/>
    <w:rsid w:val="00B62852"/>
    <w:rsid w:val="00B62F89"/>
    <w:rsid w:val="00B63AA0"/>
    <w:rsid w:val="00B64614"/>
    <w:rsid w:val="00B67893"/>
    <w:rsid w:val="00B71D9A"/>
    <w:rsid w:val="00B7643C"/>
    <w:rsid w:val="00B770F1"/>
    <w:rsid w:val="00B85ECA"/>
    <w:rsid w:val="00B86736"/>
    <w:rsid w:val="00B875C5"/>
    <w:rsid w:val="00B93284"/>
    <w:rsid w:val="00B9362F"/>
    <w:rsid w:val="00BA03D6"/>
    <w:rsid w:val="00BA05EE"/>
    <w:rsid w:val="00BA1069"/>
    <w:rsid w:val="00BA2012"/>
    <w:rsid w:val="00BB059D"/>
    <w:rsid w:val="00BB1F1D"/>
    <w:rsid w:val="00BB36A8"/>
    <w:rsid w:val="00BC4A10"/>
    <w:rsid w:val="00BC759C"/>
    <w:rsid w:val="00BD0A18"/>
    <w:rsid w:val="00BD1EB4"/>
    <w:rsid w:val="00BD396A"/>
    <w:rsid w:val="00BD7109"/>
    <w:rsid w:val="00BE43DB"/>
    <w:rsid w:val="00BE645C"/>
    <w:rsid w:val="00BE7159"/>
    <w:rsid w:val="00BF71FC"/>
    <w:rsid w:val="00C000A9"/>
    <w:rsid w:val="00C06140"/>
    <w:rsid w:val="00C10BA0"/>
    <w:rsid w:val="00C10FF8"/>
    <w:rsid w:val="00C11AD7"/>
    <w:rsid w:val="00C11F3B"/>
    <w:rsid w:val="00C13698"/>
    <w:rsid w:val="00C149AF"/>
    <w:rsid w:val="00C20BAA"/>
    <w:rsid w:val="00C20F05"/>
    <w:rsid w:val="00C258AE"/>
    <w:rsid w:val="00C311D0"/>
    <w:rsid w:val="00C37B53"/>
    <w:rsid w:val="00C41A1B"/>
    <w:rsid w:val="00C44C91"/>
    <w:rsid w:val="00C461DB"/>
    <w:rsid w:val="00C6650E"/>
    <w:rsid w:val="00C6734E"/>
    <w:rsid w:val="00C74A8F"/>
    <w:rsid w:val="00C91C5D"/>
    <w:rsid w:val="00C97199"/>
    <w:rsid w:val="00CA3B43"/>
    <w:rsid w:val="00CB2C73"/>
    <w:rsid w:val="00CB4016"/>
    <w:rsid w:val="00CB77D7"/>
    <w:rsid w:val="00CC072D"/>
    <w:rsid w:val="00CC0A7E"/>
    <w:rsid w:val="00CC0D73"/>
    <w:rsid w:val="00CD4E99"/>
    <w:rsid w:val="00CD5834"/>
    <w:rsid w:val="00CD6A36"/>
    <w:rsid w:val="00CE2CB3"/>
    <w:rsid w:val="00CE6353"/>
    <w:rsid w:val="00CE6C02"/>
    <w:rsid w:val="00CF15E0"/>
    <w:rsid w:val="00CF65E1"/>
    <w:rsid w:val="00D009B6"/>
    <w:rsid w:val="00D00A19"/>
    <w:rsid w:val="00D012DF"/>
    <w:rsid w:val="00D233D3"/>
    <w:rsid w:val="00D31BB7"/>
    <w:rsid w:val="00D35252"/>
    <w:rsid w:val="00D352E2"/>
    <w:rsid w:val="00D54CCB"/>
    <w:rsid w:val="00D54F5F"/>
    <w:rsid w:val="00D578BD"/>
    <w:rsid w:val="00D65293"/>
    <w:rsid w:val="00D67E8A"/>
    <w:rsid w:val="00D71574"/>
    <w:rsid w:val="00D71FE2"/>
    <w:rsid w:val="00D7351B"/>
    <w:rsid w:val="00D844E4"/>
    <w:rsid w:val="00D92F6C"/>
    <w:rsid w:val="00D94235"/>
    <w:rsid w:val="00DA1E7F"/>
    <w:rsid w:val="00DA2D73"/>
    <w:rsid w:val="00DA4F53"/>
    <w:rsid w:val="00DB4733"/>
    <w:rsid w:val="00DB473F"/>
    <w:rsid w:val="00DC205E"/>
    <w:rsid w:val="00DC3861"/>
    <w:rsid w:val="00DC48DE"/>
    <w:rsid w:val="00DF0BB4"/>
    <w:rsid w:val="00DF128A"/>
    <w:rsid w:val="00DF465F"/>
    <w:rsid w:val="00E03CF1"/>
    <w:rsid w:val="00E07415"/>
    <w:rsid w:val="00E1065D"/>
    <w:rsid w:val="00E11A2B"/>
    <w:rsid w:val="00E27327"/>
    <w:rsid w:val="00E33583"/>
    <w:rsid w:val="00E34BE2"/>
    <w:rsid w:val="00E4208A"/>
    <w:rsid w:val="00E42F7C"/>
    <w:rsid w:val="00E5046E"/>
    <w:rsid w:val="00E523C4"/>
    <w:rsid w:val="00E60507"/>
    <w:rsid w:val="00E607F2"/>
    <w:rsid w:val="00E6139B"/>
    <w:rsid w:val="00E63735"/>
    <w:rsid w:val="00E64314"/>
    <w:rsid w:val="00E70524"/>
    <w:rsid w:val="00E80528"/>
    <w:rsid w:val="00E82A5D"/>
    <w:rsid w:val="00E93532"/>
    <w:rsid w:val="00E93B92"/>
    <w:rsid w:val="00EB17DD"/>
    <w:rsid w:val="00EB195C"/>
    <w:rsid w:val="00EB6C3C"/>
    <w:rsid w:val="00EB6D5D"/>
    <w:rsid w:val="00EC29C1"/>
    <w:rsid w:val="00EC3EDA"/>
    <w:rsid w:val="00ED15D6"/>
    <w:rsid w:val="00ED6728"/>
    <w:rsid w:val="00EE537D"/>
    <w:rsid w:val="00EE6866"/>
    <w:rsid w:val="00EE70CC"/>
    <w:rsid w:val="00EF037B"/>
    <w:rsid w:val="00EF4101"/>
    <w:rsid w:val="00EF41CC"/>
    <w:rsid w:val="00F120A5"/>
    <w:rsid w:val="00F17ACD"/>
    <w:rsid w:val="00F22A75"/>
    <w:rsid w:val="00F23D1F"/>
    <w:rsid w:val="00F46D18"/>
    <w:rsid w:val="00F51A94"/>
    <w:rsid w:val="00F54CAB"/>
    <w:rsid w:val="00F73AB3"/>
    <w:rsid w:val="00F76F3E"/>
    <w:rsid w:val="00F8033D"/>
    <w:rsid w:val="00F80F53"/>
    <w:rsid w:val="00F85199"/>
    <w:rsid w:val="00F85ECB"/>
    <w:rsid w:val="00F85FA5"/>
    <w:rsid w:val="00F97DF5"/>
    <w:rsid w:val="00FA29A4"/>
    <w:rsid w:val="00FA404E"/>
    <w:rsid w:val="00FA5AD8"/>
    <w:rsid w:val="00FC7128"/>
    <w:rsid w:val="00FD2277"/>
    <w:rsid w:val="00FD23DA"/>
    <w:rsid w:val="00FD2D2B"/>
    <w:rsid w:val="00FD4812"/>
    <w:rsid w:val="00FF0141"/>
    <w:rsid w:val="00FF1545"/>
    <w:rsid w:val="00FF6CD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3D5BA008"/>
  <w15:docId w15:val="{73B27EEE-8645-4BE0-BF1A-BB7B1DA0E8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3735"/>
    <w:pPr>
      <w:spacing w:after="200" w:line="276" w:lineRule="auto"/>
    </w:pPr>
    <w:rPr>
      <w:rFonts w:ascii="Calibri" w:eastAsia="Times New Roman" w:hAnsi="Calibri" w:cs="Times New Roman"/>
      <w:lang w:val="en-GB" w:eastAsia="en-GB"/>
    </w:rPr>
  </w:style>
  <w:style w:type="paragraph" w:styleId="Heading2">
    <w:name w:val="heading 2"/>
    <w:basedOn w:val="Normal"/>
    <w:next w:val="Normal"/>
    <w:link w:val="Heading2Char"/>
    <w:uiPriority w:val="9"/>
    <w:unhideWhenUsed/>
    <w:qFormat/>
    <w:rsid w:val="00D92F6C"/>
    <w:pPr>
      <w:keepNext/>
      <w:keepLines/>
      <w:spacing w:before="200" w:after="0"/>
      <w:outlineLvl w:val="1"/>
    </w:pPr>
    <w:rPr>
      <w:rFonts w:ascii="Cambria" w:hAnsi="Cambria"/>
      <w:b/>
      <w:bCs/>
      <w:color w:val="2DA2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92F6C"/>
    <w:rPr>
      <w:rFonts w:ascii="Cambria" w:eastAsia="Times New Roman" w:hAnsi="Cambria" w:cs="Times New Roman"/>
      <w:b/>
      <w:bCs/>
      <w:color w:val="2DA2BF"/>
      <w:sz w:val="26"/>
      <w:szCs w:val="26"/>
    </w:rPr>
  </w:style>
  <w:style w:type="paragraph" w:styleId="Footer">
    <w:name w:val="footer"/>
    <w:basedOn w:val="Normal"/>
    <w:link w:val="FooterChar"/>
    <w:uiPriority w:val="99"/>
    <w:rsid w:val="00D92F6C"/>
    <w:pPr>
      <w:tabs>
        <w:tab w:val="center" w:pos="4535"/>
        <w:tab w:val="right" w:pos="9071"/>
        <w:tab w:val="right" w:pos="9921"/>
      </w:tabs>
      <w:spacing w:before="360" w:after="0"/>
      <w:ind w:left="-850" w:right="-850"/>
    </w:pPr>
    <w:rPr>
      <w:rFonts w:ascii="Tunga" w:eastAsia="Arial Unicode MS" w:hAnsi="Tunga"/>
      <w:lang w:eastAsia="de-DE"/>
    </w:rPr>
  </w:style>
  <w:style w:type="character" w:customStyle="1" w:styleId="FooterChar">
    <w:name w:val="Footer Char"/>
    <w:basedOn w:val="DefaultParagraphFont"/>
    <w:link w:val="Footer"/>
    <w:uiPriority w:val="99"/>
    <w:rsid w:val="00D92F6C"/>
    <w:rPr>
      <w:rFonts w:ascii="Tunga" w:eastAsia="Arial Unicode MS" w:hAnsi="Tunga" w:cs="Times New Roman"/>
      <w:lang w:eastAsia="de-DE"/>
    </w:rPr>
  </w:style>
  <w:style w:type="character" w:styleId="FootnoteReference">
    <w:name w:val="footnote reference"/>
    <w:aliases w:val="BVI fnr,ftref, BVI fnr,Error-Fußnotenzeichen5,Error-Fußnotenzeichen6,Error-Fußnotenzeichen3,Footnote Reference1,Error-Fu?notenzeichen5,Error-Fu?notenzeichen6,Error-Fu?notenzeichen3,referencia nota al pie,Ref,de nota al pie,16 Point,R"/>
    <w:link w:val="BVIfnrChar1CharCharChar"/>
    <w:uiPriority w:val="99"/>
    <w:qFormat/>
    <w:rsid w:val="00D92F6C"/>
    <w:rPr>
      <w:vertAlign w:val="superscript"/>
    </w:rPr>
  </w:style>
  <w:style w:type="paragraph" w:styleId="FootnoteText">
    <w:name w:val="footnote text"/>
    <w:aliases w:val="Footnote Text Char Char Char,Footnote Text Char Char,Fußnote,Footnote,Footnote Text Char1 Char,Footnote Text Char1 Char Char Char,Footnote Text Char Char Char Char Char,Footnote Text Char1 Char1 Char,Fußnotentextf, Char"/>
    <w:basedOn w:val="Normal"/>
    <w:link w:val="FootnoteTextChar1"/>
    <w:qFormat/>
    <w:rsid w:val="00D92F6C"/>
    <w:pPr>
      <w:spacing w:after="0"/>
      <w:ind w:left="720" w:hanging="720"/>
    </w:pPr>
    <w:rPr>
      <w:sz w:val="20"/>
      <w:szCs w:val="20"/>
    </w:rPr>
  </w:style>
  <w:style w:type="character" w:customStyle="1" w:styleId="FootnoteTextChar">
    <w:name w:val="Footnote Text Char"/>
    <w:basedOn w:val="DefaultParagraphFont"/>
    <w:uiPriority w:val="99"/>
    <w:semiHidden/>
    <w:rsid w:val="00D92F6C"/>
    <w:rPr>
      <w:rFonts w:ascii="Calibri" w:eastAsia="Times New Roman" w:hAnsi="Calibri" w:cs="Times New Roman"/>
      <w:sz w:val="20"/>
      <w:szCs w:val="20"/>
      <w:lang w:val="en-GB" w:eastAsia="en-GB"/>
    </w:rPr>
  </w:style>
  <w:style w:type="paragraph" w:styleId="Header">
    <w:name w:val="header"/>
    <w:basedOn w:val="Normal"/>
    <w:link w:val="HeaderChar"/>
    <w:uiPriority w:val="99"/>
    <w:rsid w:val="00D92F6C"/>
    <w:pPr>
      <w:tabs>
        <w:tab w:val="right" w:pos="9071"/>
      </w:tabs>
    </w:pPr>
  </w:style>
  <w:style w:type="character" w:customStyle="1" w:styleId="HeaderChar">
    <w:name w:val="Header Char"/>
    <w:basedOn w:val="DefaultParagraphFont"/>
    <w:link w:val="Header"/>
    <w:uiPriority w:val="99"/>
    <w:rsid w:val="00D92F6C"/>
    <w:rPr>
      <w:rFonts w:ascii="Calibri" w:eastAsia="Times New Roman" w:hAnsi="Calibri" w:cs="Times New Roman"/>
      <w:lang w:val="en-GB" w:eastAsia="en-GB"/>
    </w:rPr>
  </w:style>
  <w:style w:type="paragraph" w:styleId="ListParagraph">
    <w:name w:val="List Paragraph"/>
    <w:aliases w:val="Bullet point,Table of contents numbered,Colorful List - Accent 11,List Paragraph2,Light Grid - Accent 31,Akapit z listą BS,Bullet1,List Paragraph in table,PROVERE 1,Table/Figure Heading,Dot pt,F5 List Paragraph,List Paragraph1,No Spacing1"/>
    <w:basedOn w:val="Normal"/>
    <w:link w:val="ListParagraphChar"/>
    <w:uiPriority w:val="99"/>
    <w:qFormat/>
    <w:rsid w:val="00D92F6C"/>
    <w:pPr>
      <w:ind w:left="720"/>
      <w:contextualSpacing/>
    </w:pPr>
  </w:style>
  <w:style w:type="character" w:customStyle="1" w:styleId="FootnoteTextChar1">
    <w:name w:val="Footnote Text Char1"/>
    <w:aliases w:val="Footnote Text Char Char Char Char,Footnote Text Char Char Char1,Fußnote Char,Footnote Char,Footnote Text Char1 Char Char,Footnote Text Char1 Char Char Char Char,Footnote Text Char Char Char Char Char Char,Fußnotentextf Char"/>
    <w:link w:val="FootnoteText"/>
    <w:rsid w:val="00D92F6C"/>
    <w:rPr>
      <w:rFonts w:ascii="Calibri" w:eastAsia="Times New Roman" w:hAnsi="Calibri" w:cs="Times New Roman"/>
      <w:sz w:val="20"/>
      <w:szCs w:val="20"/>
      <w:lang w:val="en-GB" w:eastAsia="en-GB"/>
    </w:rPr>
  </w:style>
  <w:style w:type="paragraph" w:customStyle="1" w:styleId="BVIfnrChar1CharCharChar">
    <w:name w:val="BVI fnr Char1 Char Char Char"/>
    <w:aliases w:val="BVI fnr Car Car Char1 Char Char Char,BVI fnr Car Char1 Char Char Char,BVI fnr Car Car Car Car Char Char1 Char Char"/>
    <w:basedOn w:val="Normal"/>
    <w:link w:val="FootnoteReference"/>
    <w:uiPriority w:val="99"/>
    <w:rsid w:val="00D92F6C"/>
    <w:pPr>
      <w:spacing w:before="120" w:after="160" w:line="240" w:lineRule="exact"/>
      <w:jc w:val="both"/>
    </w:pPr>
    <w:rPr>
      <w:rFonts w:asciiTheme="minorHAnsi" w:eastAsiaTheme="minorHAnsi" w:hAnsiTheme="minorHAnsi" w:cstheme="minorBidi"/>
      <w:vertAlign w:val="superscript"/>
      <w:lang w:val="fr-BE" w:eastAsia="en-US"/>
    </w:rPr>
  </w:style>
  <w:style w:type="character" w:customStyle="1" w:styleId="ListParagraphChar">
    <w:name w:val="List Paragraph Char"/>
    <w:aliases w:val="Bullet point Char,Table of contents numbered Char,Colorful List - Accent 11 Char,List Paragraph2 Char,Light Grid - Accent 31 Char,Akapit z listą BS Char,Bullet1 Char,List Paragraph in table Char,PROVERE 1 Char,Dot pt Char"/>
    <w:link w:val="ListParagraph"/>
    <w:uiPriority w:val="99"/>
    <w:qFormat/>
    <w:locked/>
    <w:rsid w:val="00D92F6C"/>
    <w:rPr>
      <w:rFonts w:ascii="Calibri" w:eastAsia="Times New Roman" w:hAnsi="Calibri" w:cs="Times New Roman"/>
      <w:lang w:val="en-GB" w:eastAsia="en-GB"/>
    </w:rPr>
  </w:style>
  <w:style w:type="paragraph" w:customStyle="1" w:styleId="Default">
    <w:name w:val="Default"/>
    <w:rsid w:val="003D1B1E"/>
    <w:pPr>
      <w:autoSpaceDE w:val="0"/>
      <w:autoSpaceDN w:val="0"/>
      <w:adjustRightInd w:val="0"/>
      <w:spacing w:after="0" w:line="240" w:lineRule="auto"/>
    </w:pPr>
    <w:rPr>
      <w:rFonts w:ascii="Times New Roman" w:eastAsia="Calibri" w:hAnsi="Times New Roman" w:cs="Times New Roman"/>
      <w:color w:val="000000"/>
      <w:sz w:val="24"/>
      <w:szCs w:val="24"/>
      <w:lang w:val="mk-MK" w:eastAsia="mk-MK"/>
    </w:rPr>
  </w:style>
  <w:style w:type="paragraph" w:styleId="EndnoteText">
    <w:name w:val="endnote text"/>
    <w:basedOn w:val="Normal"/>
    <w:link w:val="EndnoteTextChar"/>
    <w:uiPriority w:val="99"/>
    <w:semiHidden/>
    <w:unhideWhenUsed/>
    <w:rsid w:val="007E4FE3"/>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E4FE3"/>
    <w:rPr>
      <w:rFonts w:ascii="Calibri" w:eastAsia="Times New Roman" w:hAnsi="Calibri" w:cs="Times New Roman"/>
      <w:sz w:val="20"/>
      <w:szCs w:val="20"/>
      <w:lang w:val="en-GB" w:eastAsia="en-GB"/>
    </w:rPr>
  </w:style>
  <w:style w:type="character" w:styleId="EndnoteReference">
    <w:name w:val="endnote reference"/>
    <w:basedOn w:val="DefaultParagraphFont"/>
    <w:uiPriority w:val="99"/>
    <w:semiHidden/>
    <w:unhideWhenUsed/>
    <w:rsid w:val="007E4FE3"/>
    <w:rPr>
      <w:vertAlign w:val="superscript"/>
    </w:rPr>
  </w:style>
  <w:style w:type="paragraph" w:customStyle="1" w:styleId="Titreobjet">
    <w:name w:val="Titre objet"/>
    <w:basedOn w:val="Normal"/>
    <w:next w:val="Normal"/>
    <w:rsid w:val="00F46D18"/>
    <w:pPr>
      <w:spacing w:before="180" w:after="180" w:line="240" w:lineRule="auto"/>
      <w:jc w:val="center"/>
    </w:pPr>
    <w:rPr>
      <w:rFonts w:ascii="Times New Roman" w:eastAsia="Calibri" w:hAnsi="Times New Roman"/>
      <w:b/>
      <w:sz w:val="24"/>
    </w:rPr>
  </w:style>
  <w:style w:type="paragraph" w:customStyle="1" w:styleId="Typeacteprincipal">
    <w:name w:val="Type acte principal"/>
    <w:basedOn w:val="Normal"/>
    <w:next w:val="Objetacteprincipal"/>
    <w:rsid w:val="00F46D18"/>
    <w:pPr>
      <w:spacing w:after="240" w:line="240" w:lineRule="auto"/>
      <w:jc w:val="center"/>
    </w:pPr>
    <w:rPr>
      <w:rFonts w:ascii="Times New Roman" w:eastAsia="Calibri" w:hAnsi="Times New Roman"/>
      <w:b/>
      <w:sz w:val="24"/>
    </w:rPr>
  </w:style>
  <w:style w:type="paragraph" w:customStyle="1" w:styleId="Accompagnant">
    <w:name w:val="Accompagnant"/>
    <w:basedOn w:val="Normal"/>
    <w:next w:val="Typeacteprincipal"/>
    <w:rsid w:val="00F46D18"/>
    <w:pPr>
      <w:spacing w:before="180" w:after="240" w:line="240" w:lineRule="auto"/>
      <w:jc w:val="center"/>
    </w:pPr>
    <w:rPr>
      <w:rFonts w:ascii="Times New Roman" w:eastAsia="Calibri" w:hAnsi="Times New Roman"/>
      <w:b/>
      <w:sz w:val="24"/>
    </w:rPr>
  </w:style>
  <w:style w:type="paragraph" w:customStyle="1" w:styleId="Objetacteprincipal">
    <w:name w:val="Objet acte principal"/>
    <w:basedOn w:val="Normal"/>
    <w:next w:val="Normal"/>
    <w:rsid w:val="00F46D18"/>
    <w:pPr>
      <w:spacing w:after="360" w:line="240" w:lineRule="auto"/>
      <w:jc w:val="center"/>
    </w:pPr>
    <w:rPr>
      <w:rFonts w:ascii="Times New Roman" w:eastAsia="Calibri" w:hAnsi="Times New Roman"/>
      <w:b/>
      <w:sz w:val="24"/>
    </w:rPr>
  </w:style>
  <w:style w:type="paragraph" w:styleId="BalloonText">
    <w:name w:val="Balloon Text"/>
    <w:basedOn w:val="Normal"/>
    <w:link w:val="BalloonTextChar"/>
    <w:uiPriority w:val="99"/>
    <w:semiHidden/>
    <w:unhideWhenUsed/>
    <w:rsid w:val="00BA20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2012"/>
    <w:rPr>
      <w:rFonts w:ascii="Tahoma" w:eastAsia="Times New Roman" w:hAnsi="Tahoma" w:cs="Tahoma"/>
      <w:sz w:val="16"/>
      <w:szCs w:val="16"/>
      <w:lang w:val="en-GB" w:eastAsia="en-GB"/>
    </w:rPr>
  </w:style>
  <w:style w:type="character" w:styleId="CommentReference">
    <w:name w:val="annotation reference"/>
    <w:basedOn w:val="DefaultParagraphFont"/>
    <w:uiPriority w:val="99"/>
    <w:unhideWhenUsed/>
    <w:rsid w:val="0004402B"/>
    <w:rPr>
      <w:sz w:val="16"/>
      <w:szCs w:val="16"/>
    </w:rPr>
  </w:style>
  <w:style w:type="paragraph" w:styleId="CommentText">
    <w:name w:val="annotation text"/>
    <w:aliases w:val="Char Char"/>
    <w:basedOn w:val="Normal"/>
    <w:link w:val="CommentTextChar"/>
    <w:uiPriority w:val="99"/>
    <w:unhideWhenUsed/>
    <w:rsid w:val="0004402B"/>
    <w:pPr>
      <w:spacing w:line="240" w:lineRule="auto"/>
    </w:pPr>
    <w:rPr>
      <w:sz w:val="20"/>
      <w:szCs w:val="20"/>
    </w:rPr>
  </w:style>
  <w:style w:type="character" w:customStyle="1" w:styleId="CommentTextChar">
    <w:name w:val="Comment Text Char"/>
    <w:aliases w:val="Char Char Char"/>
    <w:basedOn w:val="DefaultParagraphFont"/>
    <w:link w:val="CommentText"/>
    <w:uiPriority w:val="99"/>
    <w:rsid w:val="0004402B"/>
    <w:rPr>
      <w:rFonts w:ascii="Calibri" w:eastAsia="Times New Roman" w:hAnsi="Calibri" w:cs="Times New Roman"/>
      <w:sz w:val="20"/>
      <w:szCs w:val="20"/>
      <w:lang w:val="en-GB" w:eastAsia="en-GB"/>
    </w:rPr>
  </w:style>
  <w:style w:type="paragraph" w:styleId="CommentSubject">
    <w:name w:val="annotation subject"/>
    <w:basedOn w:val="CommentText"/>
    <w:next w:val="CommentText"/>
    <w:link w:val="CommentSubjectChar"/>
    <w:uiPriority w:val="99"/>
    <w:semiHidden/>
    <w:unhideWhenUsed/>
    <w:rsid w:val="0004402B"/>
    <w:rPr>
      <w:b/>
      <w:bCs/>
    </w:rPr>
  </w:style>
  <w:style w:type="character" w:customStyle="1" w:styleId="CommentSubjectChar">
    <w:name w:val="Comment Subject Char"/>
    <w:basedOn w:val="CommentTextChar"/>
    <w:link w:val="CommentSubject"/>
    <w:uiPriority w:val="99"/>
    <w:semiHidden/>
    <w:rsid w:val="0004402B"/>
    <w:rPr>
      <w:rFonts w:ascii="Calibri" w:eastAsia="Times New Roman" w:hAnsi="Calibri" w:cs="Times New Roman"/>
      <w:b/>
      <w:bCs/>
      <w:sz w:val="20"/>
      <w:szCs w:val="20"/>
      <w:lang w:val="en-GB" w:eastAsia="en-GB"/>
    </w:rPr>
  </w:style>
  <w:style w:type="paragraph" w:customStyle="1" w:styleId="Char2CharCharCharCharCharCharCharCharChar">
    <w:name w:val="Char2 Char Char Char Char Char Char Char Char Char"/>
    <w:basedOn w:val="Normal"/>
    <w:rsid w:val="00784084"/>
    <w:pPr>
      <w:spacing w:after="160" w:line="240" w:lineRule="exact"/>
    </w:pPr>
    <w:rPr>
      <w:rFonts w:ascii="Tahoma" w:hAnsi="Tahoma"/>
      <w:sz w:val="20"/>
      <w:szCs w:val="20"/>
      <w:lang w:val="en-US" w:eastAsia="en-US"/>
    </w:rPr>
  </w:style>
  <w:style w:type="paragraph" w:styleId="NoSpacing">
    <w:name w:val="No Spacing"/>
    <w:qFormat/>
    <w:rsid w:val="00931D8E"/>
    <w:pPr>
      <w:spacing w:after="0" w:line="240" w:lineRule="auto"/>
    </w:pPr>
    <w:rPr>
      <w:rFonts w:ascii="Calibri" w:eastAsia="Times New Roman" w:hAnsi="Calibri" w:cs="Times New Roman"/>
      <w:lang w:val="en-IE"/>
    </w:rPr>
  </w:style>
  <w:style w:type="paragraph" w:styleId="BodyText">
    <w:name w:val="Body Text"/>
    <w:basedOn w:val="Normal"/>
    <w:link w:val="BodyTextChar"/>
    <w:uiPriority w:val="1"/>
    <w:qFormat/>
    <w:rsid w:val="00CA3B43"/>
    <w:pPr>
      <w:widowControl w:val="0"/>
      <w:autoSpaceDE w:val="0"/>
      <w:autoSpaceDN w:val="0"/>
      <w:spacing w:after="0" w:line="240" w:lineRule="auto"/>
    </w:pPr>
    <w:rPr>
      <w:rFonts w:eastAsia="Calibri" w:cs="Calibri"/>
      <w:lang w:val="en-US" w:eastAsia="en-US"/>
    </w:rPr>
  </w:style>
  <w:style w:type="character" w:customStyle="1" w:styleId="BodyTextChar">
    <w:name w:val="Body Text Char"/>
    <w:basedOn w:val="DefaultParagraphFont"/>
    <w:link w:val="BodyText"/>
    <w:uiPriority w:val="1"/>
    <w:rsid w:val="00CA3B43"/>
    <w:rPr>
      <w:rFonts w:ascii="Calibri" w:eastAsia="Calibri" w:hAnsi="Calibri" w:cs="Calibri"/>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972527">
      <w:bodyDiv w:val="1"/>
      <w:marLeft w:val="0"/>
      <w:marRight w:val="0"/>
      <w:marTop w:val="0"/>
      <w:marBottom w:val="0"/>
      <w:divBdr>
        <w:top w:val="none" w:sz="0" w:space="0" w:color="auto"/>
        <w:left w:val="none" w:sz="0" w:space="0" w:color="auto"/>
        <w:bottom w:val="none" w:sz="0" w:space="0" w:color="auto"/>
        <w:right w:val="none" w:sz="0" w:space="0" w:color="auto"/>
      </w:divBdr>
    </w:div>
    <w:div w:id="203637741">
      <w:bodyDiv w:val="1"/>
      <w:marLeft w:val="0"/>
      <w:marRight w:val="0"/>
      <w:marTop w:val="0"/>
      <w:marBottom w:val="0"/>
      <w:divBdr>
        <w:top w:val="none" w:sz="0" w:space="0" w:color="auto"/>
        <w:left w:val="none" w:sz="0" w:space="0" w:color="auto"/>
        <w:bottom w:val="none" w:sz="0" w:space="0" w:color="auto"/>
        <w:right w:val="none" w:sz="0" w:space="0" w:color="auto"/>
      </w:divBdr>
    </w:div>
    <w:div w:id="232934481">
      <w:bodyDiv w:val="1"/>
      <w:marLeft w:val="0"/>
      <w:marRight w:val="0"/>
      <w:marTop w:val="0"/>
      <w:marBottom w:val="0"/>
      <w:divBdr>
        <w:top w:val="none" w:sz="0" w:space="0" w:color="auto"/>
        <w:left w:val="none" w:sz="0" w:space="0" w:color="auto"/>
        <w:bottom w:val="none" w:sz="0" w:space="0" w:color="auto"/>
        <w:right w:val="none" w:sz="0" w:space="0" w:color="auto"/>
      </w:divBdr>
      <w:divsChild>
        <w:div w:id="1219973113">
          <w:marLeft w:val="0"/>
          <w:marRight w:val="0"/>
          <w:marTop w:val="0"/>
          <w:marBottom w:val="120"/>
          <w:divBdr>
            <w:top w:val="none" w:sz="0" w:space="0" w:color="auto"/>
            <w:left w:val="none" w:sz="0" w:space="0" w:color="auto"/>
            <w:bottom w:val="none" w:sz="0" w:space="0" w:color="auto"/>
            <w:right w:val="none" w:sz="0" w:space="0" w:color="auto"/>
          </w:divBdr>
        </w:div>
        <w:div w:id="649863894">
          <w:marLeft w:val="0"/>
          <w:marRight w:val="0"/>
          <w:marTop w:val="0"/>
          <w:marBottom w:val="0"/>
          <w:divBdr>
            <w:top w:val="none" w:sz="0" w:space="0" w:color="auto"/>
            <w:left w:val="none" w:sz="0" w:space="0" w:color="auto"/>
            <w:bottom w:val="none" w:sz="0" w:space="0" w:color="auto"/>
            <w:right w:val="none" w:sz="0" w:space="0" w:color="auto"/>
          </w:divBdr>
        </w:div>
      </w:divsChild>
    </w:div>
    <w:div w:id="234053863">
      <w:bodyDiv w:val="1"/>
      <w:marLeft w:val="0"/>
      <w:marRight w:val="0"/>
      <w:marTop w:val="0"/>
      <w:marBottom w:val="0"/>
      <w:divBdr>
        <w:top w:val="none" w:sz="0" w:space="0" w:color="auto"/>
        <w:left w:val="none" w:sz="0" w:space="0" w:color="auto"/>
        <w:bottom w:val="none" w:sz="0" w:space="0" w:color="auto"/>
        <w:right w:val="none" w:sz="0" w:space="0" w:color="auto"/>
      </w:divBdr>
    </w:div>
    <w:div w:id="517695841">
      <w:bodyDiv w:val="1"/>
      <w:marLeft w:val="0"/>
      <w:marRight w:val="0"/>
      <w:marTop w:val="0"/>
      <w:marBottom w:val="0"/>
      <w:divBdr>
        <w:top w:val="none" w:sz="0" w:space="0" w:color="auto"/>
        <w:left w:val="none" w:sz="0" w:space="0" w:color="auto"/>
        <w:bottom w:val="none" w:sz="0" w:space="0" w:color="auto"/>
        <w:right w:val="none" w:sz="0" w:space="0" w:color="auto"/>
      </w:divBdr>
    </w:div>
    <w:div w:id="532965825">
      <w:bodyDiv w:val="1"/>
      <w:marLeft w:val="0"/>
      <w:marRight w:val="0"/>
      <w:marTop w:val="0"/>
      <w:marBottom w:val="0"/>
      <w:divBdr>
        <w:top w:val="none" w:sz="0" w:space="0" w:color="auto"/>
        <w:left w:val="none" w:sz="0" w:space="0" w:color="auto"/>
        <w:bottom w:val="none" w:sz="0" w:space="0" w:color="auto"/>
        <w:right w:val="none" w:sz="0" w:space="0" w:color="auto"/>
      </w:divBdr>
    </w:div>
    <w:div w:id="606929480">
      <w:bodyDiv w:val="1"/>
      <w:marLeft w:val="0"/>
      <w:marRight w:val="0"/>
      <w:marTop w:val="0"/>
      <w:marBottom w:val="0"/>
      <w:divBdr>
        <w:top w:val="none" w:sz="0" w:space="0" w:color="auto"/>
        <w:left w:val="none" w:sz="0" w:space="0" w:color="auto"/>
        <w:bottom w:val="none" w:sz="0" w:space="0" w:color="auto"/>
        <w:right w:val="none" w:sz="0" w:space="0" w:color="auto"/>
      </w:divBdr>
    </w:div>
    <w:div w:id="612785356">
      <w:bodyDiv w:val="1"/>
      <w:marLeft w:val="0"/>
      <w:marRight w:val="0"/>
      <w:marTop w:val="0"/>
      <w:marBottom w:val="0"/>
      <w:divBdr>
        <w:top w:val="none" w:sz="0" w:space="0" w:color="auto"/>
        <w:left w:val="none" w:sz="0" w:space="0" w:color="auto"/>
        <w:bottom w:val="none" w:sz="0" w:space="0" w:color="auto"/>
        <w:right w:val="none" w:sz="0" w:space="0" w:color="auto"/>
      </w:divBdr>
      <w:divsChild>
        <w:div w:id="257715901">
          <w:marLeft w:val="0"/>
          <w:marRight w:val="0"/>
          <w:marTop w:val="240"/>
          <w:marBottom w:val="280"/>
          <w:divBdr>
            <w:top w:val="none" w:sz="0" w:space="0" w:color="auto"/>
            <w:left w:val="none" w:sz="0" w:space="0" w:color="auto"/>
            <w:bottom w:val="none" w:sz="0" w:space="0" w:color="auto"/>
            <w:right w:val="none" w:sz="0" w:space="0" w:color="auto"/>
          </w:divBdr>
        </w:div>
        <w:div w:id="21975978">
          <w:marLeft w:val="0"/>
          <w:marRight w:val="0"/>
          <w:marTop w:val="280"/>
          <w:marBottom w:val="0"/>
          <w:divBdr>
            <w:top w:val="none" w:sz="0" w:space="0" w:color="auto"/>
            <w:left w:val="none" w:sz="0" w:space="0" w:color="auto"/>
            <w:bottom w:val="none" w:sz="0" w:space="0" w:color="auto"/>
            <w:right w:val="none" w:sz="0" w:space="0" w:color="auto"/>
          </w:divBdr>
        </w:div>
        <w:div w:id="1341617268">
          <w:marLeft w:val="0"/>
          <w:marRight w:val="0"/>
          <w:marTop w:val="240"/>
          <w:marBottom w:val="280"/>
          <w:divBdr>
            <w:top w:val="none" w:sz="0" w:space="0" w:color="auto"/>
            <w:left w:val="none" w:sz="0" w:space="0" w:color="auto"/>
            <w:bottom w:val="none" w:sz="0" w:space="0" w:color="auto"/>
            <w:right w:val="none" w:sz="0" w:space="0" w:color="auto"/>
          </w:divBdr>
        </w:div>
      </w:divsChild>
    </w:div>
    <w:div w:id="628440992">
      <w:bodyDiv w:val="1"/>
      <w:marLeft w:val="0"/>
      <w:marRight w:val="0"/>
      <w:marTop w:val="0"/>
      <w:marBottom w:val="0"/>
      <w:divBdr>
        <w:top w:val="none" w:sz="0" w:space="0" w:color="auto"/>
        <w:left w:val="none" w:sz="0" w:space="0" w:color="auto"/>
        <w:bottom w:val="none" w:sz="0" w:space="0" w:color="auto"/>
        <w:right w:val="none" w:sz="0" w:space="0" w:color="auto"/>
      </w:divBdr>
    </w:div>
    <w:div w:id="841092185">
      <w:bodyDiv w:val="1"/>
      <w:marLeft w:val="0"/>
      <w:marRight w:val="0"/>
      <w:marTop w:val="0"/>
      <w:marBottom w:val="0"/>
      <w:divBdr>
        <w:top w:val="none" w:sz="0" w:space="0" w:color="auto"/>
        <w:left w:val="none" w:sz="0" w:space="0" w:color="auto"/>
        <w:bottom w:val="none" w:sz="0" w:space="0" w:color="auto"/>
        <w:right w:val="none" w:sz="0" w:space="0" w:color="auto"/>
      </w:divBdr>
    </w:div>
    <w:div w:id="958338994">
      <w:bodyDiv w:val="1"/>
      <w:marLeft w:val="0"/>
      <w:marRight w:val="0"/>
      <w:marTop w:val="0"/>
      <w:marBottom w:val="0"/>
      <w:divBdr>
        <w:top w:val="none" w:sz="0" w:space="0" w:color="auto"/>
        <w:left w:val="none" w:sz="0" w:space="0" w:color="auto"/>
        <w:bottom w:val="none" w:sz="0" w:space="0" w:color="auto"/>
        <w:right w:val="none" w:sz="0" w:space="0" w:color="auto"/>
      </w:divBdr>
    </w:div>
    <w:div w:id="1005785443">
      <w:bodyDiv w:val="1"/>
      <w:marLeft w:val="0"/>
      <w:marRight w:val="0"/>
      <w:marTop w:val="0"/>
      <w:marBottom w:val="0"/>
      <w:divBdr>
        <w:top w:val="none" w:sz="0" w:space="0" w:color="auto"/>
        <w:left w:val="none" w:sz="0" w:space="0" w:color="auto"/>
        <w:bottom w:val="none" w:sz="0" w:space="0" w:color="auto"/>
        <w:right w:val="none" w:sz="0" w:space="0" w:color="auto"/>
      </w:divBdr>
      <w:divsChild>
        <w:div w:id="1403795406">
          <w:marLeft w:val="0"/>
          <w:marRight w:val="0"/>
          <w:marTop w:val="280"/>
          <w:marBottom w:val="0"/>
          <w:divBdr>
            <w:top w:val="none" w:sz="0" w:space="0" w:color="auto"/>
            <w:left w:val="none" w:sz="0" w:space="0" w:color="auto"/>
            <w:bottom w:val="none" w:sz="0" w:space="0" w:color="auto"/>
            <w:right w:val="none" w:sz="0" w:space="0" w:color="auto"/>
          </w:divBdr>
        </w:div>
        <w:div w:id="1669358117">
          <w:marLeft w:val="0"/>
          <w:marRight w:val="0"/>
          <w:marTop w:val="280"/>
          <w:marBottom w:val="0"/>
          <w:divBdr>
            <w:top w:val="none" w:sz="0" w:space="0" w:color="auto"/>
            <w:left w:val="none" w:sz="0" w:space="0" w:color="auto"/>
            <w:bottom w:val="none" w:sz="0" w:space="0" w:color="auto"/>
            <w:right w:val="none" w:sz="0" w:space="0" w:color="auto"/>
          </w:divBdr>
        </w:div>
      </w:divsChild>
    </w:div>
    <w:div w:id="1283685133">
      <w:bodyDiv w:val="1"/>
      <w:marLeft w:val="0"/>
      <w:marRight w:val="0"/>
      <w:marTop w:val="0"/>
      <w:marBottom w:val="0"/>
      <w:divBdr>
        <w:top w:val="none" w:sz="0" w:space="0" w:color="auto"/>
        <w:left w:val="none" w:sz="0" w:space="0" w:color="auto"/>
        <w:bottom w:val="none" w:sz="0" w:space="0" w:color="auto"/>
        <w:right w:val="none" w:sz="0" w:space="0" w:color="auto"/>
      </w:divBdr>
    </w:div>
    <w:div w:id="1327660966">
      <w:bodyDiv w:val="1"/>
      <w:marLeft w:val="0"/>
      <w:marRight w:val="0"/>
      <w:marTop w:val="0"/>
      <w:marBottom w:val="0"/>
      <w:divBdr>
        <w:top w:val="none" w:sz="0" w:space="0" w:color="auto"/>
        <w:left w:val="none" w:sz="0" w:space="0" w:color="auto"/>
        <w:bottom w:val="none" w:sz="0" w:space="0" w:color="auto"/>
        <w:right w:val="none" w:sz="0" w:space="0" w:color="auto"/>
      </w:divBdr>
    </w:div>
    <w:div w:id="1381592108">
      <w:bodyDiv w:val="1"/>
      <w:marLeft w:val="0"/>
      <w:marRight w:val="0"/>
      <w:marTop w:val="0"/>
      <w:marBottom w:val="0"/>
      <w:divBdr>
        <w:top w:val="none" w:sz="0" w:space="0" w:color="auto"/>
        <w:left w:val="none" w:sz="0" w:space="0" w:color="auto"/>
        <w:bottom w:val="none" w:sz="0" w:space="0" w:color="auto"/>
        <w:right w:val="none" w:sz="0" w:space="0" w:color="auto"/>
      </w:divBdr>
    </w:div>
    <w:div w:id="1391155135">
      <w:bodyDiv w:val="1"/>
      <w:marLeft w:val="0"/>
      <w:marRight w:val="0"/>
      <w:marTop w:val="0"/>
      <w:marBottom w:val="0"/>
      <w:divBdr>
        <w:top w:val="none" w:sz="0" w:space="0" w:color="auto"/>
        <w:left w:val="none" w:sz="0" w:space="0" w:color="auto"/>
        <w:bottom w:val="none" w:sz="0" w:space="0" w:color="auto"/>
        <w:right w:val="none" w:sz="0" w:space="0" w:color="auto"/>
      </w:divBdr>
    </w:div>
    <w:div w:id="1484664512">
      <w:bodyDiv w:val="1"/>
      <w:marLeft w:val="0"/>
      <w:marRight w:val="0"/>
      <w:marTop w:val="0"/>
      <w:marBottom w:val="0"/>
      <w:divBdr>
        <w:top w:val="none" w:sz="0" w:space="0" w:color="auto"/>
        <w:left w:val="none" w:sz="0" w:space="0" w:color="auto"/>
        <w:bottom w:val="none" w:sz="0" w:space="0" w:color="auto"/>
        <w:right w:val="none" w:sz="0" w:space="0" w:color="auto"/>
      </w:divBdr>
    </w:div>
    <w:div w:id="1607349915">
      <w:bodyDiv w:val="1"/>
      <w:marLeft w:val="0"/>
      <w:marRight w:val="0"/>
      <w:marTop w:val="0"/>
      <w:marBottom w:val="0"/>
      <w:divBdr>
        <w:top w:val="none" w:sz="0" w:space="0" w:color="auto"/>
        <w:left w:val="none" w:sz="0" w:space="0" w:color="auto"/>
        <w:bottom w:val="none" w:sz="0" w:space="0" w:color="auto"/>
        <w:right w:val="none" w:sz="0" w:space="0" w:color="auto"/>
      </w:divBdr>
    </w:div>
    <w:div w:id="1698777629">
      <w:bodyDiv w:val="1"/>
      <w:marLeft w:val="0"/>
      <w:marRight w:val="0"/>
      <w:marTop w:val="0"/>
      <w:marBottom w:val="0"/>
      <w:divBdr>
        <w:top w:val="none" w:sz="0" w:space="0" w:color="auto"/>
        <w:left w:val="none" w:sz="0" w:space="0" w:color="auto"/>
        <w:bottom w:val="none" w:sz="0" w:space="0" w:color="auto"/>
        <w:right w:val="none" w:sz="0" w:space="0" w:color="auto"/>
      </w:divBdr>
    </w:div>
    <w:div w:id="1825124623">
      <w:bodyDiv w:val="1"/>
      <w:marLeft w:val="0"/>
      <w:marRight w:val="0"/>
      <w:marTop w:val="0"/>
      <w:marBottom w:val="0"/>
      <w:divBdr>
        <w:top w:val="none" w:sz="0" w:space="0" w:color="auto"/>
        <w:left w:val="none" w:sz="0" w:space="0" w:color="auto"/>
        <w:bottom w:val="none" w:sz="0" w:space="0" w:color="auto"/>
        <w:right w:val="none" w:sz="0" w:space="0" w:color="auto"/>
      </w:divBdr>
    </w:div>
    <w:div w:id="1900096077">
      <w:bodyDiv w:val="1"/>
      <w:marLeft w:val="0"/>
      <w:marRight w:val="0"/>
      <w:marTop w:val="0"/>
      <w:marBottom w:val="0"/>
      <w:divBdr>
        <w:top w:val="none" w:sz="0" w:space="0" w:color="auto"/>
        <w:left w:val="none" w:sz="0" w:space="0" w:color="auto"/>
        <w:bottom w:val="none" w:sz="0" w:space="0" w:color="auto"/>
        <w:right w:val="none" w:sz="0" w:space="0" w:color="auto"/>
      </w:divBdr>
    </w:div>
    <w:div w:id="1942756497">
      <w:bodyDiv w:val="1"/>
      <w:marLeft w:val="0"/>
      <w:marRight w:val="0"/>
      <w:marTop w:val="0"/>
      <w:marBottom w:val="0"/>
      <w:divBdr>
        <w:top w:val="none" w:sz="0" w:space="0" w:color="auto"/>
        <w:left w:val="none" w:sz="0" w:space="0" w:color="auto"/>
        <w:bottom w:val="none" w:sz="0" w:space="0" w:color="auto"/>
        <w:right w:val="none" w:sz="0" w:space="0" w:color="auto"/>
      </w:divBdr>
    </w:div>
    <w:div w:id="1953323910">
      <w:bodyDiv w:val="1"/>
      <w:marLeft w:val="0"/>
      <w:marRight w:val="0"/>
      <w:marTop w:val="0"/>
      <w:marBottom w:val="0"/>
      <w:divBdr>
        <w:top w:val="none" w:sz="0" w:space="0" w:color="auto"/>
        <w:left w:val="none" w:sz="0" w:space="0" w:color="auto"/>
        <w:bottom w:val="none" w:sz="0" w:space="0" w:color="auto"/>
        <w:right w:val="none" w:sz="0" w:space="0" w:color="auto"/>
      </w:divBdr>
      <w:divsChild>
        <w:div w:id="1454709080">
          <w:marLeft w:val="0"/>
          <w:marRight w:val="0"/>
          <w:marTop w:val="280"/>
          <w:marBottom w:val="280"/>
          <w:divBdr>
            <w:top w:val="none" w:sz="0" w:space="0" w:color="auto"/>
            <w:left w:val="none" w:sz="0" w:space="0" w:color="auto"/>
            <w:bottom w:val="none" w:sz="0" w:space="0" w:color="auto"/>
            <w:right w:val="none" w:sz="0" w:space="0" w:color="auto"/>
          </w:divBdr>
        </w:div>
        <w:div w:id="1454446737">
          <w:marLeft w:val="0"/>
          <w:marRight w:val="0"/>
          <w:marTop w:val="280"/>
          <w:marBottom w:val="280"/>
          <w:divBdr>
            <w:top w:val="none" w:sz="0" w:space="0" w:color="auto"/>
            <w:left w:val="none" w:sz="0" w:space="0" w:color="auto"/>
            <w:bottom w:val="none" w:sz="0" w:space="0" w:color="auto"/>
            <w:right w:val="none" w:sz="0" w:space="0" w:color="auto"/>
          </w:divBdr>
        </w:div>
      </w:divsChild>
    </w:div>
    <w:div w:id="2093382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89CF15115B254438B72036D0DB6B8E3" ma:contentTypeVersion="0" ma:contentTypeDescription="Create a new document." ma:contentTypeScope="" ma:versionID="6b99e1834085a207847516c83d9c8f9f">
  <xsd:schema xmlns:xsd="http://www.w3.org/2001/XMLSchema" xmlns:xs="http://www.w3.org/2001/XMLSchema" xmlns:p="http://schemas.microsoft.com/office/2006/metadata/properties" targetNamespace="http://schemas.microsoft.com/office/2006/metadata/properties" ma:root="true" ma:fieldsID="55780e068fda866f9b450b89e46cd8a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86309C-1DFF-4F2F-99B0-A7099A2BD0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7F378FE-EC44-4998-98F1-631B9E8C197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E345D20-526F-4D06-89F8-DB4FC3D648BE}">
  <ds:schemaRefs>
    <ds:schemaRef ds:uri="http://schemas.microsoft.com/sharepoint/v3/contenttype/forms"/>
  </ds:schemaRefs>
</ds:datastoreItem>
</file>

<file path=customXml/itemProps4.xml><?xml version="1.0" encoding="utf-8"?>
<ds:datastoreItem xmlns:ds="http://schemas.openxmlformats.org/officeDocument/2006/customXml" ds:itemID="{EC47AC0E-4A05-45C0-9CC0-A5C3105BC3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8</Pages>
  <Words>3258</Words>
  <Characters>19488</Characters>
  <Application>Microsoft Office Word</Application>
  <DocSecurity>0</DocSecurity>
  <Lines>885</Lines>
  <Paragraphs>315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22431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SAVIOLO Andrea (NEAR)</dc:creator>
  <cp:lastModifiedBy>PRODANOVA Donka (EEAS-SKOPJE)</cp:lastModifiedBy>
  <cp:revision>20</cp:revision>
  <dcterms:created xsi:type="dcterms:W3CDTF">2020-06-29T16:25:00Z</dcterms:created>
  <dcterms:modified xsi:type="dcterms:W3CDTF">2020-07-07T10:10:00Z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0x010100689CF15115B254438B72036D0DB6B8E3</vt:lpwstr>
  </property>
  <property fmtid="{D5CDD505-2E9C-101B-9397-08002B2CF9AE}" pid="3" name="IsMyDocuments">
    <vt:bool>true</vt:bool>
  </property>
</Properties>
</file>