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1C227F" w14:textId="521FC882" w:rsidR="00D92F6C" w:rsidRPr="000B67C2" w:rsidRDefault="00B10991" w:rsidP="00D92F6C">
      <w:pPr>
        <w:pStyle w:val="Heading2"/>
        <w:rPr>
          <w:rFonts w:ascii="Times New Roman" w:hAnsi="Times New Roman"/>
          <w:b w:val="0"/>
          <w:bCs w:val="0"/>
          <w:smallCaps/>
          <w:sz w:val="22"/>
          <w:szCs w:val="22"/>
          <w:lang w:val="it-IT"/>
        </w:rPr>
      </w:pPr>
      <w:bookmarkStart w:id="0" w:name="_Toc33714665"/>
      <w:r w:rsidRPr="000B67C2">
        <w:rPr>
          <w:rFonts w:ascii="Times New Roman" w:hAnsi="Times New Roman"/>
          <w:smallCaps/>
          <w:color w:val="auto"/>
          <w:sz w:val="22"/>
          <w:szCs w:val="22"/>
          <w:lang w:val="it-IT"/>
        </w:rPr>
        <w:t xml:space="preserve">ANNEX I –IPA III </w:t>
      </w:r>
      <w:r w:rsidR="00D92F6C" w:rsidRPr="000B67C2">
        <w:rPr>
          <w:rFonts w:ascii="Times New Roman" w:hAnsi="Times New Roman"/>
          <w:smallCaps/>
          <w:color w:val="auto"/>
          <w:sz w:val="22"/>
          <w:szCs w:val="22"/>
          <w:lang w:val="it-IT"/>
        </w:rPr>
        <w:t>A</w:t>
      </w:r>
      <w:r w:rsidRPr="000B67C2">
        <w:rPr>
          <w:rFonts w:ascii="Times New Roman" w:hAnsi="Times New Roman"/>
          <w:smallCaps/>
          <w:color w:val="auto"/>
          <w:sz w:val="22"/>
          <w:szCs w:val="22"/>
          <w:lang w:val="it-IT"/>
        </w:rPr>
        <w:t xml:space="preserve">ction Fiche </w:t>
      </w:r>
      <w:bookmarkEnd w:id="0"/>
    </w:p>
    <w:p w14:paraId="16642C8B" w14:textId="77777777" w:rsidR="00D92F6C" w:rsidRPr="000B67C2" w:rsidRDefault="00D92F6C" w:rsidP="00D92F6C">
      <w:pPr>
        <w:keepNext/>
        <w:keepLines/>
        <w:spacing w:before="200" w:after="0"/>
        <w:outlineLvl w:val="1"/>
        <w:rPr>
          <w:rFonts w:ascii="Times New Roman" w:hAnsi="Times New Roman"/>
          <w:b/>
          <w:bCs/>
          <w:smallCaps/>
          <w:lang w:val="it-IT"/>
        </w:rPr>
      </w:pPr>
    </w:p>
    <w:tbl>
      <w:tblPr>
        <w:tblW w:w="10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268"/>
        <w:gridCol w:w="7229"/>
      </w:tblGrid>
      <w:tr w:rsidR="00D92F6C" w:rsidRPr="000B67C2" w14:paraId="531D8DC9" w14:textId="77777777" w:rsidTr="00E45289">
        <w:trPr>
          <w:jc w:val="center"/>
        </w:trPr>
        <w:tc>
          <w:tcPr>
            <w:tcW w:w="534" w:type="dxa"/>
            <w:tcBorders>
              <w:top w:val="single" w:sz="4" w:space="0" w:color="auto"/>
              <w:left w:val="single" w:sz="4" w:space="0" w:color="auto"/>
              <w:bottom w:val="single" w:sz="4" w:space="0" w:color="auto"/>
              <w:right w:val="single" w:sz="4" w:space="0" w:color="auto"/>
            </w:tcBorders>
          </w:tcPr>
          <w:p w14:paraId="1C0D9223" w14:textId="77777777" w:rsidR="00D92F6C" w:rsidRPr="000B67C2" w:rsidRDefault="00D92F6C" w:rsidP="00E45289">
            <w:pPr>
              <w:spacing w:after="0" w:line="240" w:lineRule="auto"/>
              <w:rPr>
                <w:rFonts w:ascii="Times New Roman" w:hAnsi="Times New Roman"/>
                <w:b/>
                <w:lang w:val="it-IT"/>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FAC00B0" w14:textId="77777777" w:rsidR="00D92F6C" w:rsidRPr="000B67C2" w:rsidRDefault="00D92F6C" w:rsidP="00E45289">
            <w:pPr>
              <w:spacing w:after="0" w:line="240" w:lineRule="auto"/>
              <w:jc w:val="center"/>
              <w:rPr>
                <w:rFonts w:ascii="Times New Roman" w:hAnsi="Times New Roman"/>
              </w:rPr>
            </w:pPr>
            <w:r w:rsidRPr="000B67C2">
              <w:rPr>
                <w:rFonts w:ascii="Times New Roman" w:hAnsi="Times New Roman"/>
              </w:rPr>
              <w:t>Indicative title of the Action</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14A32DB7" w14:textId="77777777" w:rsidR="00D92F6C" w:rsidRPr="000B67C2" w:rsidRDefault="003454A8" w:rsidP="00E45289">
            <w:pPr>
              <w:spacing w:after="0" w:line="240" w:lineRule="auto"/>
              <w:jc w:val="center"/>
              <w:rPr>
                <w:rFonts w:ascii="Times New Roman" w:hAnsi="Times New Roman"/>
                <w:b/>
                <w:bCs/>
              </w:rPr>
            </w:pPr>
            <w:r w:rsidRPr="000B67C2">
              <w:rPr>
                <w:rFonts w:ascii="Times New Roman" w:hAnsi="Times New Roman"/>
                <w:b/>
                <w:bCs/>
              </w:rPr>
              <w:t xml:space="preserve">EU </w:t>
            </w:r>
            <w:r w:rsidR="00E45289" w:rsidRPr="000B67C2">
              <w:rPr>
                <w:rFonts w:ascii="Times New Roman" w:hAnsi="Times New Roman"/>
                <w:b/>
                <w:bCs/>
              </w:rPr>
              <w:t xml:space="preserve">FOR GREEN GROWTH </w:t>
            </w:r>
          </w:p>
        </w:tc>
      </w:tr>
      <w:tr w:rsidR="00D92F6C" w:rsidRPr="000B67C2" w14:paraId="77CC931B" w14:textId="77777777" w:rsidTr="00E45289">
        <w:trPr>
          <w:jc w:val="center"/>
        </w:trPr>
        <w:tc>
          <w:tcPr>
            <w:tcW w:w="534" w:type="dxa"/>
            <w:vMerge w:val="restart"/>
            <w:tcBorders>
              <w:top w:val="single" w:sz="4" w:space="0" w:color="auto"/>
              <w:left w:val="single" w:sz="4" w:space="0" w:color="auto"/>
              <w:right w:val="single" w:sz="4" w:space="0" w:color="auto"/>
            </w:tcBorders>
            <w:textDirection w:val="btLr"/>
          </w:tcPr>
          <w:p w14:paraId="2FD53CB9" w14:textId="77777777" w:rsidR="00D92F6C" w:rsidRPr="000B67C2" w:rsidRDefault="00D92F6C" w:rsidP="00E45289">
            <w:pPr>
              <w:spacing w:after="0" w:line="240" w:lineRule="auto"/>
              <w:ind w:left="113" w:right="113"/>
              <w:rPr>
                <w:rFonts w:ascii="Times New Roman" w:hAnsi="Times New Roman"/>
              </w:rPr>
            </w:pPr>
            <w:r w:rsidRPr="000B67C2">
              <w:rPr>
                <w:rFonts w:ascii="Times New Roman" w:hAnsi="Times New Roman"/>
              </w:rPr>
              <w:t>CRITERIA FOR RELEVANCE ASSESSMENT</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28763D8" w14:textId="77777777" w:rsidR="00D92F6C" w:rsidRPr="000B67C2" w:rsidRDefault="00D92F6C" w:rsidP="00E45289">
            <w:pPr>
              <w:spacing w:after="0" w:line="240" w:lineRule="auto"/>
              <w:jc w:val="center"/>
              <w:rPr>
                <w:rFonts w:ascii="Times New Roman" w:hAnsi="Times New Roman"/>
              </w:rPr>
            </w:pPr>
            <w:r w:rsidRPr="000B67C2">
              <w:rPr>
                <w:rFonts w:ascii="Times New Roman" w:hAnsi="Times New Roman"/>
              </w:rPr>
              <w:t>Key thematic priority</w:t>
            </w:r>
          </w:p>
          <w:p w14:paraId="3F0E18C1" w14:textId="77777777" w:rsidR="00D92F6C" w:rsidRPr="000B67C2" w:rsidRDefault="00D92F6C" w:rsidP="00E45289">
            <w:pPr>
              <w:spacing w:after="0" w:line="240" w:lineRule="auto"/>
              <w:jc w:val="center"/>
              <w:rPr>
                <w:rFonts w:ascii="Times New Roman" w:hAnsi="Times New Roman"/>
                <w:i/>
              </w:rPr>
            </w:pP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1AD8824D" w14:textId="77777777" w:rsidR="006267F6" w:rsidRPr="000B67C2" w:rsidRDefault="00E45289" w:rsidP="00E523C4">
            <w:pPr>
              <w:spacing w:after="120" w:line="240" w:lineRule="auto"/>
              <w:jc w:val="both"/>
              <w:rPr>
                <w:rFonts w:ascii="Times New Roman" w:eastAsia="Arial Unicode MS" w:hAnsi="Times New Roman"/>
                <w:b/>
                <w:lang w:eastAsia="de-DE"/>
              </w:rPr>
            </w:pPr>
            <w:r w:rsidRPr="000B67C2">
              <w:rPr>
                <w:rFonts w:ascii="Times New Roman" w:eastAsia="Arial Unicode MS" w:hAnsi="Times New Roman"/>
                <w:b/>
                <w:lang w:eastAsia="de-DE"/>
              </w:rPr>
              <w:t>WINDOW 4: COMPETITIVENESS AND INCLUSIVE GROWTH</w:t>
            </w:r>
          </w:p>
          <w:p w14:paraId="7F0B83CF" w14:textId="77777777" w:rsidR="003454A8" w:rsidRPr="000B67C2" w:rsidRDefault="00E523C4" w:rsidP="00E45289">
            <w:pPr>
              <w:spacing w:after="0"/>
              <w:jc w:val="center"/>
              <w:rPr>
                <w:rFonts w:ascii="Times New Roman" w:hAnsi="Times New Roman"/>
                <w:b/>
                <w:iCs/>
              </w:rPr>
            </w:pPr>
            <w:r w:rsidRPr="000B67C2">
              <w:rPr>
                <w:rFonts w:ascii="Times New Roman" w:hAnsi="Times New Roman"/>
                <w:b/>
                <w:iCs/>
              </w:rPr>
              <w:t>Thematic Priority 2: Private sector development, trade, research and innovation</w:t>
            </w:r>
          </w:p>
        </w:tc>
      </w:tr>
      <w:tr w:rsidR="00D92F6C" w:rsidRPr="000B67C2" w14:paraId="014BAE45" w14:textId="77777777" w:rsidTr="00E45289">
        <w:trPr>
          <w:jc w:val="center"/>
        </w:trPr>
        <w:tc>
          <w:tcPr>
            <w:tcW w:w="534" w:type="dxa"/>
            <w:vMerge/>
            <w:tcBorders>
              <w:left w:val="single" w:sz="4" w:space="0" w:color="auto"/>
              <w:right w:val="single" w:sz="4" w:space="0" w:color="auto"/>
            </w:tcBorders>
          </w:tcPr>
          <w:p w14:paraId="7E347D33" w14:textId="77777777" w:rsidR="00D92F6C" w:rsidRPr="000B67C2" w:rsidRDefault="00D92F6C" w:rsidP="00E45289">
            <w:pPr>
              <w:spacing w:after="0"/>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3EB3FA40" w14:textId="77777777" w:rsidR="00D92F6C" w:rsidRPr="000B67C2" w:rsidRDefault="00D92F6C" w:rsidP="00E45289">
            <w:pPr>
              <w:spacing w:after="0"/>
              <w:rPr>
                <w:rFonts w:ascii="Times New Roman" w:hAnsi="Times New Roman"/>
              </w:rPr>
            </w:pPr>
            <w:r w:rsidRPr="000B67C2">
              <w:rPr>
                <w:rFonts w:ascii="Times New Roman" w:hAnsi="Times New Roman"/>
              </w:rPr>
              <w:t>Links with specific policy instruments of the enlargement process</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64518D6C" w14:textId="0110CD7B" w:rsidR="00E45289" w:rsidRPr="000B67C2" w:rsidRDefault="008B6830" w:rsidP="0035153C">
            <w:pPr>
              <w:spacing w:after="120" w:line="240" w:lineRule="auto"/>
              <w:jc w:val="both"/>
              <w:rPr>
                <w:rFonts w:ascii="Times New Roman" w:hAnsi="Times New Roman"/>
                <w:i/>
              </w:rPr>
            </w:pPr>
            <w:r w:rsidRPr="000B67C2">
              <w:rPr>
                <w:rFonts w:ascii="Times New Roman" w:hAnsi="Times New Roman"/>
              </w:rPr>
              <w:t xml:space="preserve">The Action will </w:t>
            </w:r>
            <w:r w:rsidR="00E45289" w:rsidRPr="000B67C2">
              <w:rPr>
                <w:rFonts w:ascii="Times New Roman" w:hAnsi="Times New Roman"/>
              </w:rPr>
              <w:t xml:space="preserve">improve the competitiveness of the </w:t>
            </w:r>
            <w:r w:rsidR="00523537" w:rsidRPr="000B67C2">
              <w:rPr>
                <w:rFonts w:ascii="Times New Roman" w:hAnsi="Times New Roman"/>
              </w:rPr>
              <w:t xml:space="preserve">North </w:t>
            </w:r>
            <w:r w:rsidR="00DE5B9D" w:rsidRPr="000B67C2">
              <w:rPr>
                <w:rFonts w:ascii="Times New Roman" w:hAnsi="Times New Roman"/>
              </w:rPr>
              <w:t>Macedonian economy</w:t>
            </w:r>
            <w:r w:rsidR="00E45289" w:rsidRPr="000B67C2">
              <w:rPr>
                <w:rFonts w:ascii="Times New Roman" w:hAnsi="Times New Roman"/>
              </w:rPr>
              <w:t xml:space="preserve">, through </w:t>
            </w:r>
            <w:r w:rsidR="006742A7" w:rsidRPr="000B67C2">
              <w:rPr>
                <w:rFonts w:ascii="Times New Roman" w:hAnsi="Times New Roman"/>
              </w:rPr>
              <w:t xml:space="preserve">boosting </w:t>
            </w:r>
            <w:r w:rsidR="00E45289" w:rsidRPr="000B67C2">
              <w:rPr>
                <w:rFonts w:ascii="Times New Roman" w:hAnsi="Times New Roman"/>
              </w:rPr>
              <w:t xml:space="preserve">the </w:t>
            </w:r>
            <w:r w:rsidR="006742A7" w:rsidRPr="000B67C2">
              <w:rPr>
                <w:rFonts w:ascii="Times New Roman" w:hAnsi="Times New Roman"/>
              </w:rPr>
              <w:t xml:space="preserve">innovation capacity of the </w:t>
            </w:r>
            <w:r w:rsidR="00054A6D">
              <w:rPr>
                <w:rFonts w:ascii="Times New Roman" w:hAnsi="Times New Roman"/>
              </w:rPr>
              <w:t>enterprises</w:t>
            </w:r>
            <w:r w:rsidR="00DE5B9D" w:rsidRPr="000B67C2">
              <w:rPr>
                <w:rFonts w:ascii="Times New Roman" w:hAnsi="Times New Roman"/>
              </w:rPr>
              <w:t xml:space="preserve">, </w:t>
            </w:r>
            <w:r w:rsidR="006742A7" w:rsidRPr="000B67C2">
              <w:rPr>
                <w:rFonts w:ascii="Times New Roman" w:hAnsi="Times New Roman"/>
              </w:rPr>
              <w:t xml:space="preserve">supporting their </w:t>
            </w:r>
            <w:r w:rsidR="00227B1C" w:rsidRPr="000B67C2">
              <w:rPr>
                <w:rFonts w:ascii="Times New Roman" w:hAnsi="Times New Roman"/>
              </w:rPr>
              <w:t>transition to climate neutral economy</w:t>
            </w:r>
            <w:r w:rsidR="00C23772" w:rsidRPr="000B67C2">
              <w:rPr>
                <w:rFonts w:ascii="Times New Roman" w:hAnsi="Times New Roman"/>
              </w:rPr>
              <w:t xml:space="preserve"> and </w:t>
            </w:r>
            <w:r w:rsidR="005A14C0" w:rsidRPr="000B67C2">
              <w:rPr>
                <w:rFonts w:ascii="Times New Roman" w:hAnsi="Times New Roman"/>
              </w:rPr>
              <w:t>facilitating</w:t>
            </w:r>
            <w:r w:rsidR="00C23772" w:rsidRPr="000B67C2">
              <w:rPr>
                <w:rFonts w:ascii="Times New Roman" w:hAnsi="Times New Roman"/>
              </w:rPr>
              <w:t xml:space="preserve"> the implementation of EU standards</w:t>
            </w:r>
            <w:r w:rsidR="00227B1C" w:rsidRPr="000B67C2">
              <w:rPr>
                <w:rFonts w:ascii="Times New Roman" w:hAnsi="Times New Roman"/>
              </w:rPr>
              <w:t>.</w:t>
            </w:r>
            <w:r w:rsidR="00E45289" w:rsidRPr="000B67C2">
              <w:rPr>
                <w:rFonts w:ascii="Times New Roman" w:hAnsi="Times New Roman"/>
              </w:rPr>
              <w:t xml:space="preserve"> I</w:t>
            </w:r>
            <w:r w:rsidR="00A509BD" w:rsidRPr="000B67C2">
              <w:rPr>
                <w:rFonts w:ascii="Times New Roman" w:hAnsi="Times New Roman"/>
              </w:rPr>
              <w:t xml:space="preserve">t </w:t>
            </w:r>
            <w:r w:rsidR="00227B1C" w:rsidRPr="000B67C2">
              <w:rPr>
                <w:rFonts w:ascii="Times New Roman" w:hAnsi="Times New Roman"/>
              </w:rPr>
              <w:t>will</w:t>
            </w:r>
            <w:r w:rsidR="00C23772" w:rsidRPr="000B67C2">
              <w:rPr>
                <w:rFonts w:ascii="Times New Roman" w:hAnsi="Times New Roman"/>
              </w:rPr>
              <w:t xml:space="preserve"> </w:t>
            </w:r>
            <w:r w:rsidR="00227B1C" w:rsidRPr="000B67C2">
              <w:rPr>
                <w:rFonts w:ascii="Times New Roman" w:hAnsi="Times New Roman"/>
              </w:rPr>
              <w:t xml:space="preserve">provide grant </w:t>
            </w:r>
            <w:r w:rsidR="004A28A3" w:rsidRPr="000B67C2">
              <w:rPr>
                <w:rFonts w:ascii="Times New Roman" w:hAnsi="Times New Roman"/>
              </w:rPr>
              <w:t>co-</w:t>
            </w:r>
            <w:r w:rsidR="00227B1C" w:rsidRPr="000B67C2">
              <w:rPr>
                <w:rFonts w:ascii="Times New Roman" w:hAnsi="Times New Roman"/>
              </w:rPr>
              <w:t xml:space="preserve">funding for </w:t>
            </w:r>
            <w:r w:rsidR="00523537" w:rsidRPr="000B67C2">
              <w:rPr>
                <w:rFonts w:ascii="Times New Roman" w:hAnsi="Times New Roman"/>
              </w:rPr>
              <w:t xml:space="preserve">North </w:t>
            </w:r>
            <w:r w:rsidR="00227B1C" w:rsidRPr="000B67C2">
              <w:rPr>
                <w:rFonts w:ascii="Times New Roman" w:hAnsi="Times New Roman"/>
              </w:rPr>
              <w:t>Macedonian enterprises</w:t>
            </w:r>
            <w:r w:rsidR="00A509BD" w:rsidRPr="000B67C2">
              <w:rPr>
                <w:rFonts w:ascii="Times New Roman" w:hAnsi="Times New Roman"/>
              </w:rPr>
              <w:t xml:space="preserve"> working for </w:t>
            </w:r>
            <w:r w:rsidR="005A14C0" w:rsidRPr="000B67C2">
              <w:rPr>
                <w:rFonts w:ascii="Times New Roman" w:hAnsi="Times New Roman"/>
              </w:rPr>
              <w:t xml:space="preserve">industrial innovation and </w:t>
            </w:r>
            <w:r w:rsidR="00A509BD" w:rsidRPr="000B67C2">
              <w:rPr>
                <w:rFonts w:ascii="Times New Roman" w:hAnsi="Times New Roman"/>
              </w:rPr>
              <w:t xml:space="preserve">circular economy, clean buildings, energy and mobility, sustainable land use and nature, </w:t>
            </w:r>
            <w:r w:rsidR="00227B1C" w:rsidRPr="000B67C2">
              <w:rPr>
                <w:rFonts w:ascii="Times New Roman" w:hAnsi="Times New Roman"/>
              </w:rPr>
              <w:t>and</w:t>
            </w:r>
            <w:r w:rsidR="00C23772" w:rsidRPr="000B67C2">
              <w:rPr>
                <w:rFonts w:ascii="Times New Roman" w:hAnsi="Times New Roman"/>
              </w:rPr>
              <w:t xml:space="preserve"> </w:t>
            </w:r>
            <w:r w:rsidR="005A14C0" w:rsidRPr="000B67C2">
              <w:rPr>
                <w:rFonts w:ascii="Times New Roman" w:hAnsi="Times New Roman"/>
              </w:rPr>
              <w:t xml:space="preserve">willing to apply </w:t>
            </w:r>
            <w:r w:rsidR="00C23772" w:rsidRPr="000B67C2">
              <w:rPr>
                <w:rFonts w:ascii="Times New Roman" w:hAnsi="Times New Roman"/>
              </w:rPr>
              <w:t xml:space="preserve">the EU internal market standards. The Action will also </w:t>
            </w:r>
            <w:r w:rsidR="004A28A3" w:rsidRPr="000B67C2">
              <w:rPr>
                <w:rFonts w:ascii="Times New Roman" w:hAnsi="Times New Roman"/>
              </w:rPr>
              <w:t>strengthen</w:t>
            </w:r>
            <w:r w:rsidR="00227B1C" w:rsidRPr="000B67C2">
              <w:rPr>
                <w:rFonts w:ascii="Times New Roman" w:hAnsi="Times New Roman"/>
              </w:rPr>
              <w:t xml:space="preserve"> the capacity of the</w:t>
            </w:r>
            <w:r w:rsidR="00A509BD" w:rsidRPr="000B67C2">
              <w:rPr>
                <w:rFonts w:ascii="Times New Roman" w:hAnsi="Times New Roman"/>
              </w:rPr>
              <w:t xml:space="preserve"> national Fu</w:t>
            </w:r>
            <w:r w:rsidR="0044764D" w:rsidRPr="000B67C2">
              <w:rPr>
                <w:rFonts w:ascii="Times New Roman" w:hAnsi="Times New Roman"/>
              </w:rPr>
              <w:t>n</w:t>
            </w:r>
            <w:r w:rsidR="00A509BD" w:rsidRPr="000B67C2">
              <w:rPr>
                <w:rFonts w:ascii="Times New Roman" w:hAnsi="Times New Roman"/>
              </w:rPr>
              <w:t>d for Innovation to serve as a driver of the green recovery.</w:t>
            </w:r>
            <w:r w:rsidR="00C23772" w:rsidRPr="000B67C2">
              <w:rPr>
                <w:rFonts w:ascii="Times New Roman" w:hAnsi="Times New Roman"/>
              </w:rPr>
              <w:t xml:space="preserve"> </w:t>
            </w:r>
            <w:r w:rsidR="00227B1C" w:rsidRPr="000B67C2">
              <w:rPr>
                <w:rFonts w:ascii="Times New Roman" w:hAnsi="Times New Roman"/>
              </w:rPr>
              <w:t xml:space="preserve">The </w:t>
            </w:r>
            <w:r w:rsidR="00C23772" w:rsidRPr="000B67C2">
              <w:rPr>
                <w:rFonts w:ascii="Times New Roman" w:hAnsi="Times New Roman"/>
              </w:rPr>
              <w:t xml:space="preserve">EU </w:t>
            </w:r>
            <w:r w:rsidR="005A14C0" w:rsidRPr="000B67C2">
              <w:rPr>
                <w:rFonts w:ascii="Times New Roman" w:hAnsi="Times New Roman"/>
              </w:rPr>
              <w:t xml:space="preserve">investment </w:t>
            </w:r>
            <w:r w:rsidR="00227B1C" w:rsidRPr="000B67C2">
              <w:rPr>
                <w:rFonts w:ascii="Times New Roman" w:hAnsi="Times New Roman"/>
              </w:rPr>
              <w:t>will s</w:t>
            </w:r>
            <w:r w:rsidR="00E45289" w:rsidRPr="000B67C2">
              <w:rPr>
                <w:rFonts w:ascii="Times New Roman" w:hAnsi="Times New Roman"/>
              </w:rPr>
              <w:t xml:space="preserve">upport the implementation of the EU </w:t>
            </w:r>
            <w:r w:rsidR="00E45289" w:rsidRPr="000B67C2">
              <w:rPr>
                <w:rFonts w:ascii="Times New Roman" w:hAnsi="Times New Roman"/>
                <w:i/>
              </w:rPr>
              <w:t>Acquis</w:t>
            </w:r>
            <w:r w:rsidR="00E45289" w:rsidRPr="000B67C2">
              <w:rPr>
                <w:rFonts w:ascii="Times New Roman" w:hAnsi="Times New Roman"/>
              </w:rPr>
              <w:t xml:space="preserve"> under </w:t>
            </w:r>
            <w:r w:rsidR="00C23772" w:rsidRPr="000B67C2">
              <w:rPr>
                <w:rFonts w:ascii="Times New Roman" w:hAnsi="Times New Roman"/>
              </w:rPr>
              <w:t>Chapter 1</w:t>
            </w:r>
            <w:r w:rsidR="005A14C0" w:rsidRPr="000B67C2">
              <w:rPr>
                <w:rFonts w:ascii="Times New Roman" w:hAnsi="Times New Roman"/>
              </w:rPr>
              <w:t>:</w:t>
            </w:r>
            <w:r w:rsidR="00C23772" w:rsidRPr="000B67C2">
              <w:rPr>
                <w:rFonts w:ascii="Times New Roman" w:hAnsi="Times New Roman"/>
              </w:rPr>
              <w:t xml:space="preserve"> Free movement of goods, Chapter 2: Free movement of services, </w:t>
            </w:r>
            <w:r w:rsidR="00E45289" w:rsidRPr="000B67C2">
              <w:rPr>
                <w:rFonts w:ascii="Times New Roman" w:hAnsi="Times New Roman"/>
              </w:rPr>
              <w:t xml:space="preserve">Chapter 20: Enterprises and Industrial Policy; Chapter 25: Science, Research and Innovation </w:t>
            </w:r>
            <w:r w:rsidR="005A14C0" w:rsidRPr="000B67C2">
              <w:rPr>
                <w:rFonts w:ascii="Times New Roman" w:hAnsi="Times New Roman"/>
              </w:rPr>
              <w:t>and Chapter 27: Environment.</w:t>
            </w:r>
          </w:p>
          <w:p w14:paraId="7300E2D1" w14:textId="77777777" w:rsidR="00E45289" w:rsidRPr="000B67C2" w:rsidRDefault="00E45289" w:rsidP="002A39A3">
            <w:pPr>
              <w:pStyle w:val="ListParagraph"/>
              <w:spacing w:after="120" w:line="240" w:lineRule="auto"/>
              <w:jc w:val="both"/>
              <w:rPr>
                <w:rFonts w:ascii="Times New Roman" w:hAnsi="Times New Roman"/>
                <w:i/>
              </w:rPr>
            </w:pPr>
          </w:p>
          <w:p w14:paraId="44271EF5" w14:textId="228EEB40" w:rsidR="00AE1664" w:rsidRPr="000B67C2" w:rsidRDefault="00E45289" w:rsidP="00187C85">
            <w:pPr>
              <w:spacing w:after="120" w:line="240" w:lineRule="auto"/>
              <w:jc w:val="both"/>
              <w:rPr>
                <w:rFonts w:ascii="Times New Roman" w:eastAsia="Arial Unicode MS" w:hAnsi="Times New Roman"/>
                <w:lang w:eastAsia="de-DE"/>
              </w:rPr>
            </w:pPr>
            <w:r w:rsidRPr="000B67C2">
              <w:rPr>
                <w:rFonts w:ascii="Times New Roman" w:hAnsi="Times New Roman"/>
              </w:rPr>
              <w:t xml:space="preserve">The Action </w:t>
            </w:r>
            <w:r w:rsidR="00EC0E7D" w:rsidRPr="000B67C2">
              <w:rPr>
                <w:rFonts w:ascii="Times New Roman" w:hAnsi="Times New Roman"/>
              </w:rPr>
              <w:t>will</w:t>
            </w:r>
            <w:r w:rsidRPr="000B67C2">
              <w:rPr>
                <w:rFonts w:ascii="Times New Roman" w:hAnsi="Times New Roman"/>
              </w:rPr>
              <w:t xml:space="preserve"> contribute to </w:t>
            </w:r>
            <w:r w:rsidR="00EC0E7D" w:rsidRPr="000B67C2">
              <w:rPr>
                <w:rFonts w:ascii="Times New Roman" w:hAnsi="Times New Roman"/>
              </w:rPr>
              <w:t xml:space="preserve">addressing the recommendations of the </w:t>
            </w:r>
            <w:r w:rsidR="00C110BB" w:rsidRPr="000B67C2">
              <w:rPr>
                <w:rFonts w:ascii="Times New Roman" w:hAnsi="Times New Roman"/>
              </w:rPr>
              <w:t xml:space="preserve"> </w:t>
            </w:r>
            <w:r w:rsidR="00741787" w:rsidRPr="000B67C2">
              <w:rPr>
                <w:rFonts w:ascii="Times New Roman" w:eastAsia="Arial Unicode MS" w:hAnsi="Times New Roman"/>
                <w:b/>
                <w:lang w:eastAsia="de-DE"/>
              </w:rPr>
              <w:t>2019</w:t>
            </w:r>
            <w:r w:rsidR="00C110BB" w:rsidRPr="000B67C2">
              <w:rPr>
                <w:rFonts w:ascii="Times New Roman" w:eastAsia="Arial Unicode MS" w:hAnsi="Times New Roman"/>
                <w:b/>
                <w:lang w:eastAsia="de-DE"/>
              </w:rPr>
              <w:t xml:space="preserve"> </w:t>
            </w:r>
            <w:r w:rsidR="00741787" w:rsidRPr="000B67C2">
              <w:rPr>
                <w:rFonts w:ascii="Times New Roman" w:eastAsia="Arial Unicode MS" w:hAnsi="Times New Roman"/>
                <w:b/>
                <w:lang w:eastAsia="de-DE"/>
              </w:rPr>
              <w:t>Commission</w:t>
            </w:r>
            <w:r w:rsidR="00C110BB" w:rsidRPr="000B67C2">
              <w:rPr>
                <w:rFonts w:ascii="Times New Roman" w:eastAsia="Arial Unicode MS" w:hAnsi="Times New Roman"/>
                <w:b/>
                <w:lang w:eastAsia="de-DE"/>
              </w:rPr>
              <w:t xml:space="preserve"> </w:t>
            </w:r>
            <w:r w:rsidR="00741787" w:rsidRPr="000B67C2">
              <w:rPr>
                <w:rFonts w:ascii="Times New Roman" w:eastAsia="Arial Unicode MS" w:hAnsi="Times New Roman"/>
                <w:b/>
                <w:lang w:eastAsia="de-DE"/>
              </w:rPr>
              <w:t xml:space="preserve">Report on </w:t>
            </w:r>
            <w:r w:rsidR="00174022">
              <w:rPr>
                <w:rFonts w:ascii="Times New Roman" w:eastAsia="Arial Unicode MS" w:hAnsi="Times New Roman"/>
                <w:b/>
                <w:lang w:eastAsia="de-DE"/>
              </w:rPr>
              <w:t>North Macedonia</w:t>
            </w:r>
            <w:r w:rsidR="00174022">
              <w:rPr>
                <w:rStyle w:val="FootnoteReference"/>
                <w:rFonts w:ascii="Times New Roman" w:eastAsia="Arial Unicode MS" w:hAnsi="Times New Roman"/>
                <w:b/>
                <w:lang w:eastAsia="de-DE"/>
              </w:rPr>
              <w:footnoteReference w:id="1"/>
            </w:r>
            <w:r w:rsidR="00EC0E7D" w:rsidRPr="000B67C2">
              <w:rPr>
                <w:rFonts w:ascii="Times New Roman" w:eastAsia="Arial Unicode MS" w:hAnsi="Times New Roman"/>
                <w:lang w:eastAsia="de-DE"/>
              </w:rPr>
              <w:t xml:space="preserve"> by investing in </w:t>
            </w:r>
            <w:r w:rsidR="00AE1664" w:rsidRPr="000B67C2">
              <w:rPr>
                <w:rFonts w:ascii="Times New Roman" w:eastAsia="Arial Unicode MS" w:hAnsi="Times New Roman"/>
                <w:lang w:eastAsia="de-DE"/>
              </w:rPr>
              <w:t>systematic, sustained effort to raise skills in domestic companies</w:t>
            </w:r>
            <w:r w:rsidR="00EC0E7D" w:rsidRPr="000B67C2">
              <w:rPr>
                <w:rFonts w:ascii="Times New Roman" w:eastAsia="Arial Unicode MS" w:hAnsi="Times New Roman"/>
                <w:lang w:eastAsia="de-DE"/>
              </w:rPr>
              <w:t xml:space="preserve">, upgrade the </w:t>
            </w:r>
            <w:r w:rsidR="00AE1664" w:rsidRPr="000B67C2">
              <w:rPr>
                <w:rFonts w:ascii="Times New Roman" w:eastAsia="Arial Unicode MS" w:hAnsi="Times New Roman"/>
                <w:lang w:eastAsia="de-DE"/>
              </w:rPr>
              <w:t>methods and technologies</w:t>
            </w:r>
            <w:r w:rsidR="00EC0E7D" w:rsidRPr="000B67C2">
              <w:rPr>
                <w:rFonts w:ascii="Times New Roman" w:eastAsia="Arial Unicode MS" w:hAnsi="Times New Roman"/>
                <w:lang w:eastAsia="de-DE"/>
              </w:rPr>
              <w:t>, and support</w:t>
            </w:r>
            <w:r w:rsidR="00AE1664" w:rsidRPr="000B67C2">
              <w:rPr>
                <w:rFonts w:ascii="Times New Roman" w:eastAsia="Arial Unicode MS" w:hAnsi="Times New Roman"/>
                <w:lang w:eastAsia="de-DE"/>
              </w:rPr>
              <w:t xml:space="preserve"> a smart </w:t>
            </w:r>
            <w:r w:rsidR="00EC0E7D" w:rsidRPr="000B67C2">
              <w:rPr>
                <w:rFonts w:ascii="Times New Roman" w:eastAsia="Arial Unicode MS" w:hAnsi="Times New Roman"/>
                <w:lang w:eastAsia="de-DE"/>
              </w:rPr>
              <w:t>economy based on</w:t>
            </w:r>
            <w:r w:rsidR="00AE1664" w:rsidRPr="000B67C2">
              <w:rPr>
                <w:rFonts w:ascii="Times New Roman" w:eastAsia="Arial Unicode MS" w:hAnsi="Times New Roman"/>
                <w:lang w:eastAsia="de-DE"/>
              </w:rPr>
              <w:t xml:space="preserve"> national research and innovation strategies and policies.</w:t>
            </w:r>
          </w:p>
          <w:p w14:paraId="2BDB74D2" w14:textId="2BEC22EB" w:rsidR="00B7225B" w:rsidRPr="000B67C2" w:rsidRDefault="00EC0E7D" w:rsidP="002A39A3">
            <w:pPr>
              <w:spacing w:after="120" w:line="240" w:lineRule="auto"/>
              <w:jc w:val="both"/>
              <w:rPr>
                <w:rFonts w:ascii="Times New Roman" w:hAnsi="Times New Roman"/>
              </w:rPr>
            </w:pPr>
            <w:r w:rsidRPr="000B67C2">
              <w:rPr>
                <w:rFonts w:ascii="Times New Roman" w:hAnsi="Times New Roman"/>
              </w:rPr>
              <w:t>In line with the</w:t>
            </w:r>
            <w:r w:rsidR="00B7225B" w:rsidRPr="000B67C2">
              <w:rPr>
                <w:rFonts w:ascii="Times New Roman" w:hAnsi="Times New Roman"/>
              </w:rPr>
              <w:t xml:space="preserve"> Commission Communication </w:t>
            </w:r>
            <w:r w:rsidR="00B7225B" w:rsidRPr="000B67C2">
              <w:rPr>
                <w:rFonts w:ascii="Times New Roman" w:hAnsi="Times New Roman"/>
                <w:b/>
              </w:rPr>
              <w:t>“A credible enlargement perspective for and enhanced EU engagement with the Western Balkans”</w:t>
            </w:r>
            <w:r w:rsidR="00174022">
              <w:rPr>
                <w:rStyle w:val="FootnoteReference"/>
                <w:rFonts w:ascii="Times New Roman" w:hAnsi="Times New Roman"/>
                <w:b/>
              </w:rPr>
              <w:footnoteReference w:id="2"/>
            </w:r>
            <w:r w:rsidR="00B7225B" w:rsidRPr="000B67C2">
              <w:rPr>
                <w:rFonts w:ascii="Times New Roman" w:hAnsi="Times New Roman"/>
                <w:b/>
              </w:rPr>
              <w:t>,</w:t>
            </w:r>
            <w:r w:rsidR="00B7225B" w:rsidRPr="000B67C2">
              <w:rPr>
                <w:rFonts w:ascii="Times New Roman" w:hAnsi="Times New Roman"/>
              </w:rPr>
              <w:t xml:space="preserve"> this Action </w:t>
            </w:r>
            <w:r w:rsidR="00C13A88" w:rsidRPr="000B67C2">
              <w:rPr>
                <w:rFonts w:ascii="Times New Roman" w:hAnsi="Times New Roman"/>
              </w:rPr>
              <w:t xml:space="preserve">will </w:t>
            </w:r>
            <w:r w:rsidR="00B7225B" w:rsidRPr="000B67C2">
              <w:rPr>
                <w:rFonts w:ascii="Times New Roman" w:hAnsi="Times New Roman"/>
              </w:rPr>
              <w:t xml:space="preserve">support for socio-economic development, </w:t>
            </w:r>
            <w:r w:rsidR="00C13A88" w:rsidRPr="000B67C2">
              <w:rPr>
                <w:rFonts w:ascii="Times New Roman" w:hAnsi="Times New Roman"/>
              </w:rPr>
              <w:t>by crowding in funds for the transition to a more sustainable</w:t>
            </w:r>
            <w:r w:rsidR="00B7225B" w:rsidRPr="000B67C2">
              <w:rPr>
                <w:rFonts w:ascii="Times New Roman" w:hAnsi="Times New Roman"/>
              </w:rPr>
              <w:t xml:space="preserve"> private sector. </w:t>
            </w:r>
            <w:r w:rsidR="00C13A88" w:rsidRPr="000B67C2">
              <w:rPr>
                <w:rFonts w:ascii="Times New Roman" w:hAnsi="Times New Roman"/>
              </w:rPr>
              <w:t>Focus will be put on</w:t>
            </w:r>
            <w:r w:rsidR="00515908" w:rsidRPr="000B67C2">
              <w:rPr>
                <w:rFonts w:ascii="Times New Roman" w:eastAsia="Arial Unicode MS" w:hAnsi="Times New Roman"/>
                <w:lang w:eastAsia="de-DE"/>
              </w:rPr>
              <w:t xml:space="preserve"> competitiveness of the region’s economies </w:t>
            </w:r>
            <w:r w:rsidR="00C13A88" w:rsidRPr="000B67C2">
              <w:rPr>
                <w:rFonts w:ascii="Times New Roman" w:eastAsia="Arial Unicode MS" w:hAnsi="Times New Roman"/>
                <w:lang w:eastAsia="de-DE"/>
              </w:rPr>
              <w:t>by improving</w:t>
            </w:r>
            <w:r w:rsidR="008A78B6" w:rsidRPr="000B67C2">
              <w:rPr>
                <w:rFonts w:ascii="Times New Roman" w:hAnsi="Times New Roman"/>
              </w:rPr>
              <w:t xml:space="preserve"> the access to finance and </w:t>
            </w:r>
            <w:r w:rsidR="00C13A88" w:rsidRPr="000B67C2">
              <w:rPr>
                <w:rFonts w:ascii="Times New Roman" w:hAnsi="Times New Roman"/>
              </w:rPr>
              <w:t xml:space="preserve">boosting </w:t>
            </w:r>
            <w:r w:rsidR="008A78B6" w:rsidRPr="000B67C2">
              <w:rPr>
                <w:rFonts w:ascii="Times New Roman" w:hAnsi="Times New Roman"/>
              </w:rPr>
              <w:t>the growth potential of small and medium-sized enterprises.</w:t>
            </w:r>
          </w:p>
          <w:p w14:paraId="51DE5863" w14:textId="58E57C5B" w:rsidR="00D334D2" w:rsidRPr="000B67C2" w:rsidRDefault="00C13A88" w:rsidP="00187C85">
            <w:pPr>
              <w:spacing w:after="0" w:line="240" w:lineRule="auto"/>
              <w:contextualSpacing/>
              <w:jc w:val="both"/>
              <w:rPr>
                <w:rFonts w:ascii="Times New Roman" w:hAnsi="Times New Roman"/>
              </w:rPr>
            </w:pPr>
            <w:r w:rsidRPr="000B67C2">
              <w:rPr>
                <w:rFonts w:ascii="Times New Roman" w:hAnsi="Times New Roman"/>
              </w:rPr>
              <w:t>The</w:t>
            </w:r>
            <w:r w:rsidR="008A78B6" w:rsidRPr="000B67C2">
              <w:rPr>
                <w:rFonts w:ascii="Times New Roman" w:hAnsi="Times New Roman"/>
              </w:rPr>
              <w:t xml:space="preserve"> Action will </w:t>
            </w:r>
            <w:r w:rsidRPr="000B67C2">
              <w:rPr>
                <w:rFonts w:ascii="Times New Roman" w:hAnsi="Times New Roman"/>
              </w:rPr>
              <w:t xml:space="preserve">significantly </w:t>
            </w:r>
            <w:r w:rsidR="008A78B6" w:rsidRPr="000B67C2">
              <w:rPr>
                <w:rFonts w:ascii="Times New Roman" w:hAnsi="Times New Roman"/>
              </w:rPr>
              <w:t xml:space="preserve">contribute towards the implementation of the </w:t>
            </w:r>
            <w:r w:rsidR="008A78B6" w:rsidRPr="000B67C2">
              <w:rPr>
                <w:rFonts w:ascii="Times New Roman" w:hAnsi="Times New Roman"/>
                <w:b/>
              </w:rPr>
              <w:t>Stabilisation and Association Agreement (SAA)</w:t>
            </w:r>
            <w:r w:rsidR="008A78B6" w:rsidRPr="000B67C2">
              <w:rPr>
                <w:rFonts w:ascii="Times New Roman" w:hAnsi="Times New Roman"/>
              </w:rPr>
              <w:t xml:space="preserve"> </w:t>
            </w:r>
            <w:r w:rsidRPr="000B67C2">
              <w:rPr>
                <w:rFonts w:ascii="Times New Roman" w:hAnsi="Times New Roman"/>
              </w:rPr>
              <w:t xml:space="preserve">through promotion of the implementation of the internal market </w:t>
            </w:r>
            <w:r w:rsidR="00054A6D" w:rsidRPr="000B67C2">
              <w:rPr>
                <w:rFonts w:ascii="Times New Roman" w:hAnsi="Times New Roman"/>
              </w:rPr>
              <w:t>standards and</w:t>
            </w:r>
            <w:r w:rsidRPr="000B67C2">
              <w:rPr>
                <w:rFonts w:ascii="Times New Roman" w:hAnsi="Times New Roman"/>
              </w:rPr>
              <w:t xml:space="preserve"> investing in </w:t>
            </w:r>
            <w:r w:rsidR="00B17581" w:rsidRPr="000B67C2">
              <w:rPr>
                <w:rFonts w:ascii="Times New Roman" w:hAnsi="Times New Roman"/>
              </w:rPr>
              <w:t xml:space="preserve">small and medium-sized enterprises (SMEs). </w:t>
            </w:r>
          </w:p>
          <w:p w14:paraId="25216E22" w14:textId="77777777" w:rsidR="00D334D2" w:rsidRPr="000B67C2" w:rsidRDefault="00D334D2" w:rsidP="00187C85">
            <w:pPr>
              <w:spacing w:after="0" w:line="240" w:lineRule="auto"/>
              <w:contextualSpacing/>
              <w:jc w:val="both"/>
              <w:rPr>
                <w:rFonts w:ascii="Times New Roman" w:hAnsi="Times New Roman"/>
              </w:rPr>
            </w:pPr>
          </w:p>
          <w:p w14:paraId="0D9D296C" w14:textId="6A322B19" w:rsidR="008A78B6" w:rsidRPr="000B67C2" w:rsidRDefault="00C13A88" w:rsidP="00187C85">
            <w:pPr>
              <w:spacing w:after="0" w:line="240" w:lineRule="auto"/>
              <w:contextualSpacing/>
              <w:jc w:val="both"/>
              <w:rPr>
                <w:rFonts w:ascii="Times New Roman" w:hAnsi="Times New Roman"/>
              </w:rPr>
            </w:pPr>
            <w:r w:rsidRPr="000B67C2">
              <w:rPr>
                <w:rFonts w:ascii="Times New Roman" w:hAnsi="Times New Roman"/>
              </w:rPr>
              <w:lastRenderedPageBreak/>
              <w:t>T</w:t>
            </w:r>
            <w:r w:rsidR="00B17581" w:rsidRPr="000B67C2">
              <w:rPr>
                <w:rFonts w:ascii="Times New Roman" w:hAnsi="Times New Roman"/>
              </w:rPr>
              <w:t xml:space="preserve">he Action </w:t>
            </w:r>
            <w:r w:rsidRPr="000B67C2">
              <w:rPr>
                <w:rFonts w:ascii="Times New Roman" w:hAnsi="Times New Roman"/>
              </w:rPr>
              <w:t>addresses</w:t>
            </w:r>
            <w:r w:rsidR="00B17581" w:rsidRPr="000B67C2">
              <w:rPr>
                <w:rFonts w:ascii="Times New Roman" w:hAnsi="Times New Roman"/>
              </w:rPr>
              <w:t xml:space="preserve"> recommendations of the Conclusions of the 16</w:t>
            </w:r>
            <w:r w:rsidR="00B17581" w:rsidRPr="000B67C2">
              <w:rPr>
                <w:rFonts w:ascii="Times New Roman" w:hAnsi="Times New Roman"/>
                <w:vertAlign w:val="superscript"/>
              </w:rPr>
              <w:t>th</w:t>
            </w:r>
            <w:r w:rsidR="00B17581" w:rsidRPr="000B67C2">
              <w:rPr>
                <w:rFonts w:ascii="Times New Roman" w:hAnsi="Times New Roman"/>
              </w:rPr>
              <w:t xml:space="preserve"> meeting of the Subcommittee on Innovation, Information Society and Social Policy of the SAA, held in March 2020</w:t>
            </w:r>
            <w:r w:rsidR="00D334D2" w:rsidRPr="000B67C2">
              <w:rPr>
                <w:rFonts w:ascii="Times New Roman" w:hAnsi="Times New Roman"/>
              </w:rPr>
              <w:t>, as follows</w:t>
            </w:r>
            <w:r w:rsidR="00B17581" w:rsidRPr="000B67C2">
              <w:rPr>
                <w:rFonts w:ascii="Times New Roman" w:hAnsi="Times New Roman"/>
              </w:rPr>
              <w:t>:</w:t>
            </w:r>
          </w:p>
          <w:p w14:paraId="0F5A8615" w14:textId="77777777" w:rsidR="00B17581" w:rsidRPr="000B67C2" w:rsidRDefault="00B17581" w:rsidP="002A39A3">
            <w:pPr>
              <w:pStyle w:val="ListParagraph"/>
              <w:numPr>
                <w:ilvl w:val="0"/>
                <w:numId w:val="19"/>
              </w:numPr>
              <w:spacing w:after="0" w:line="240" w:lineRule="auto"/>
              <w:jc w:val="both"/>
              <w:rPr>
                <w:rFonts w:ascii="Times New Roman" w:hAnsi="Times New Roman"/>
              </w:rPr>
            </w:pPr>
            <w:r w:rsidRPr="000B67C2">
              <w:rPr>
                <w:rFonts w:ascii="Times New Roman" w:hAnsi="Times New Roman"/>
              </w:rPr>
              <w:t>The national authorities will strengthen investments in research and innovation beyond 0.36% of GDP. The national authorities will continue to encourage private investments in research and innovation.</w:t>
            </w:r>
          </w:p>
          <w:p w14:paraId="1ED68C80" w14:textId="77777777" w:rsidR="00B17581" w:rsidRPr="000B67C2" w:rsidRDefault="00B17581" w:rsidP="002A39A3">
            <w:pPr>
              <w:pStyle w:val="ListParagraph"/>
              <w:numPr>
                <w:ilvl w:val="0"/>
                <w:numId w:val="19"/>
              </w:numPr>
              <w:spacing w:after="0" w:line="240" w:lineRule="auto"/>
              <w:jc w:val="both"/>
              <w:rPr>
                <w:rFonts w:ascii="Times New Roman" w:hAnsi="Times New Roman"/>
              </w:rPr>
            </w:pPr>
            <w:r w:rsidRPr="000B67C2">
              <w:rPr>
                <w:rFonts w:ascii="Times New Roman" w:hAnsi="Times New Roman"/>
              </w:rPr>
              <w:t>The national authorities will take urgent measures to identify problems and improve Horizon 2020 performance.</w:t>
            </w:r>
          </w:p>
          <w:p w14:paraId="73F10B4E" w14:textId="76C47E02" w:rsidR="00187C85" w:rsidRPr="000B67C2" w:rsidRDefault="00B17581" w:rsidP="0035153C">
            <w:pPr>
              <w:pStyle w:val="ListParagraph"/>
              <w:numPr>
                <w:ilvl w:val="0"/>
                <w:numId w:val="19"/>
              </w:numPr>
              <w:spacing w:after="0" w:line="240" w:lineRule="auto"/>
              <w:jc w:val="both"/>
              <w:rPr>
                <w:rFonts w:ascii="Times New Roman" w:eastAsiaTheme="minorEastAsia" w:hAnsi="Times New Roman"/>
                <w:i/>
              </w:rPr>
            </w:pPr>
            <w:r w:rsidRPr="000B67C2">
              <w:rPr>
                <w:rFonts w:ascii="Times New Roman" w:hAnsi="Times New Roman"/>
              </w:rPr>
              <w:t>The national authorities</w:t>
            </w:r>
            <w:r w:rsidR="00D4441B" w:rsidRPr="000B67C2">
              <w:rPr>
                <w:rFonts w:ascii="Times New Roman" w:hAnsi="Times New Roman"/>
              </w:rPr>
              <w:t xml:space="preserve"> will intensify the work on developing a Smart Specialisation Strategy.</w:t>
            </w:r>
          </w:p>
        </w:tc>
      </w:tr>
      <w:tr w:rsidR="00D92F6C" w:rsidRPr="000B67C2" w14:paraId="6175A057" w14:textId="77777777" w:rsidTr="00E45289">
        <w:trPr>
          <w:jc w:val="center"/>
        </w:trPr>
        <w:tc>
          <w:tcPr>
            <w:tcW w:w="534" w:type="dxa"/>
            <w:vMerge/>
            <w:tcBorders>
              <w:left w:val="single" w:sz="4" w:space="0" w:color="auto"/>
              <w:right w:val="single" w:sz="4" w:space="0" w:color="auto"/>
            </w:tcBorders>
          </w:tcPr>
          <w:p w14:paraId="4F693527" w14:textId="77777777" w:rsidR="00D92F6C" w:rsidRPr="000B67C2" w:rsidRDefault="00D92F6C" w:rsidP="00E45289">
            <w:pPr>
              <w:spacing w:after="0"/>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1228F9D4" w14:textId="77777777" w:rsidR="00D92F6C" w:rsidRPr="000B67C2" w:rsidRDefault="00D92F6C" w:rsidP="00E45289">
            <w:pPr>
              <w:spacing w:after="0"/>
              <w:rPr>
                <w:rFonts w:ascii="Times New Roman" w:hAnsi="Times New Roman"/>
              </w:rPr>
            </w:pPr>
            <w:r w:rsidRPr="000B67C2">
              <w:rPr>
                <w:rFonts w:ascii="Times New Roman" w:hAnsi="Times New Roman"/>
              </w:rPr>
              <w:t>Links with national, regional and global strategies</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48C429B9" w14:textId="2A461562" w:rsidR="00F0454D" w:rsidRPr="000B67C2" w:rsidRDefault="00A02075">
            <w:pPr>
              <w:spacing w:before="120" w:after="120" w:line="240" w:lineRule="auto"/>
              <w:jc w:val="both"/>
              <w:rPr>
                <w:rFonts w:ascii="Times New Roman" w:eastAsia="Arial Unicode MS" w:hAnsi="Times New Roman"/>
                <w:lang w:eastAsia="de-DE"/>
              </w:rPr>
            </w:pPr>
            <w:r w:rsidRPr="000B67C2">
              <w:rPr>
                <w:rFonts w:ascii="Times New Roman" w:eastAsia="Arial Unicode MS" w:hAnsi="Times New Roman"/>
                <w:lang w:eastAsia="de-DE"/>
              </w:rPr>
              <w:t>The Action is line with the national, regional and global strategies in the field of private sector development, trade, research and innovation</w:t>
            </w:r>
            <w:r w:rsidR="00D334D2" w:rsidRPr="000B67C2">
              <w:rPr>
                <w:rFonts w:ascii="Times New Roman" w:eastAsia="Arial Unicode MS" w:hAnsi="Times New Roman"/>
                <w:lang w:eastAsia="de-DE"/>
              </w:rPr>
              <w:t>, namely:</w:t>
            </w:r>
          </w:p>
          <w:p w14:paraId="5D7D1766" w14:textId="6C44CA5F" w:rsidR="00D334D2" w:rsidRPr="000B67C2" w:rsidRDefault="00D334D2" w:rsidP="00D334D2">
            <w:pPr>
              <w:pStyle w:val="ListParagraph"/>
              <w:numPr>
                <w:ilvl w:val="0"/>
                <w:numId w:val="19"/>
              </w:numPr>
              <w:spacing w:before="120" w:after="120" w:line="240" w:lineRule="auto"/>
              <w:contextualSpacing w:val="0"/>
              <w:jc w:val="both"/>
              <w:rPr>
                <w:rFonts w:ascii="Times New Roman" w:eastAsia="Arial Unicode MS" w:hAnsi="Times New Roman"/>
                <w:lang w:eastAsia="de-DE"/>
              </w:rPr>
            </w:pPr>
            <w:r w:rsidRPr="000B67C2">
              <w:rPr>
                <w:rFonts w:ascii="Times New Roman" w:eastAsia="Arial Unicode MS" w:hAnsi="Times New Roman"/>
                <w:b/>
                <w:lang w:eastAsia="de-DE"/>
              </w:rPr>
              <w:t xml:space="preserve">Economic Reform Programme (ERP) 2020-2022, </w:t>
            </w:r>
            <w:r w:rsidRPr="000B67C2">
              <w:rPr>
                <w:rFonts w:ascii="Times New Roman" w:eastAsia="Arial Unicode MS" w:hAnsi="Times New Roman"/>
                <w:lang w:eastAsia="de-DE"/>
              </w:rPr>
              <w:t>which defines 16 measures,</w:t>
            </w:r>
            <w:r w:rsidRPr="000B67C2">
              <w:rPr>
                <w:rFonts w:ascii="Times New Roman" w:hAnsi="Times New Roman"/>
                <w:lang w:val="en" w:bidi="mn-Mong-CN"/>
              </w:rPr>
              <w:t xml:space="preserve"> related to structural reforms, including business environment and reduction of informal economy, R&amp;D&amp;I and trade related reforms</w:t>
            </w:r>
            <w:r w:rsidRPr="000B67C2">
              <w:rPr>
                <w:rFonts w:ascii="Times New Roman" w:hAnsi="Times New Roman"/>
                <w:bCs/>
                <w:lang w:val="en" w:bidi="mn-Mong-CN"/>
              </w:rPr>
              <w:t xml:space="preserve"> </w:t>
            </w:r>
            <w:r w:rsidRPr="000B67C2">
              <w:rPr>
                <w:rFonts w:ascii="Times New Roman" w:hAnsi="Times New Roman"/>
                <w:lang w:val="en" w:bidi="mn-Mong-CN"/>
              </w:rPr>
              <w:t>in order to support the growth and competitiveness of the country. The ERP is a key strategic document presenting the national economic policy of the country and the agenda of key structural reforms and measures. The Programme is in line with the EU Strategy for fast, sustainable and comprehensive economic development “Europe 2020”, as well as the related SEE 2020 Strategy “Jobs and Prosperity in a European Perspective” of the Regional Cooperation Council.</w:t>
            </w:r>
          </w:p>
          <w:p w14:paraId="2C2CF51B" w14:textId="734654A8" w:rsidR="00995354" w:rsidRPr="000B67C2" w:rsidRDefault="00995354" w:rsidP="00995354">
            <w:pPr>
              <w:pStyle w:val="ListParagraph"/>
              <w:numPr>
                <w:ilvl w:val="0"/>
                <w:numId w:val="19"/>
              </w:numPr>
              <w:spacing w:before="120" w:after="120" w:line="240" w:lineRule="auto"/>
              <w:contextualSpacing w:val="0"/>
              <w:jc w:val="both"/>
              <w:rPr>
                <w:rFonts w:ascii="Times New Roman" w:eastAsia="Arial Unicode MS" w:hAnsi="Times New Roman"/>
                <w:lang w:eastAsia="de-DE"/>
              </w:rPr>
            </w:pPr>
            <w:r w:rsidRPr="000B67C2">
              <w:rPr>
                <w:rFonts w:ascii="Times New Roman" w:eastAsia="Arial Unicode MS" w:hAnsi="Times New Roman"/>
                <w:b/>
                <w:lang w:eastAsia="de-DE"/>
              </w:rPr>
              <w:t xml:space="preserve">Economic Growth Plan 2018-2022, </w:t>
            </w:r>
            <w:r w:rsidRPr="000B67C2">
              <w:rPr>
                <w:rFonts w:ascii="Times New Roman" w:eastAsia="Arial Unicode MS" w:hAnsi="Times New Roman"/>
                <w:lang w:eastAsia="de-DE"/>
              </w:rPr>
              <w:t>which</w:t>
            </w:r>
            <w:r w:rsidRPr="000B67C2">
              <w:rPr>
                <w:rFonts w:ascii="Times New Roman" w:eastAsia="Arial Unicode MS" w:hAnsi="Times New Roman"/>
                <w:b/>
                <w:lang w:eastAsia="de-DE"/>
              </w:rPr>
              <w:t xml:space="preserve"> </w:t>
            </w:r>
            <w:r w:rsidRPr="000B67C2">
              <w:rPr>
                <w:rFonts w:ascii="Times New Roman" w:eastAsia="Arial Unicode MS" w:hAnsi="Times New Roman"/>
                <w:lang w:eastAsia="de-DE"/>
              </w:rPr>
              <w:t>defines the path for further economic development through increasing employment, efficiency, productivity and competitiveness of the private sector; increase of exports and regional economic cooperation, based on principles of neutrality, non-discrimination and equal treatment of domestic and foreign investors.</w:t>
            </w:r>
          </w:p>
          <w:p w14:paraId="00367701" w14:textId="44B0A48F" w:rsidR="00D334D2" w:rsidRPr="000B67C2" w:rsidRDefault="00A02075" w:rsidP="00995354">
            <w:pPr>
              <w:pStyle w:val="ListParagraph"/>
              <w:numPr>
                <w:ilvl w:val="0"/>
                <w:numId w:val="19"/>
              </w:numPr>
              <w:spacing w:before="120" w:after="120" w:line="240" w:lineRule="auto"/>
              <w:contextualSpacing w:val="0"/>
              <w:jc w:val="both"/>
              <w:rPr>
                <w:rFonts w:ascii="Times New Roman" w:eastAsia="Arial Unicode MS" w:hAnsi="Times New Roman"/>
                <w:b/>
                <w:lang w:eastAsia="de-DE"/>
              </w:rPr>
            </w:pPr>
            <w:r w:rsidRPr="000B67C2">
              <w:rPr>
                <w:rFonts w:ascii="Times New Roman" w:eastAsia="Arial Unicode MS" w:hAnsi="Times New Roman"/>
                <w:b/>
                <w:lang w:eastAsia="de-DE"/>
              </w:rPr>
              <w:t>Strategy for Competitiveness 2016-2020</w:t>
            </w:r>
            <w:r w:rsidR="00D334D2" w:rsidRPr="000B67C2">
              <w:rPr>
                <w:rFonts w:ascii="Times New Roman" w:eastAsia="Arial Unicode MS" w:hAnsi="Times New Roman"/>
                <w:lang w:eastAsia="de-DE"/>
              </w:rPr>
              <w:t xml:space="preserve"> and </w:t>
            </w:r>
            <w:r w:rsidR="00F0454D" w:rsidRPr="000B67C2">
              <w:rPr>
                <w:rFonts w:ascii="Times New Roman" w:eastAsia="Arial Unicode MS" w:hAnsi="Times New Roman"/>
                <w:b/>
                <w:lang w:eastAsia="de-DE"/>
              </w:rPr>
              <w:t>Innovation Strategy</w:t>
            </w:r>
            <w:r w:rsidR="005561C0" w:rsidRPr="000B67C2">
              <w:rPr>
                <w:rFonts w:ascii="Times New Roman" w:eastAsia="Arial Unicode MS" w:hAnsi="Times New Roman"/>
                <w:b/>
                <w:lang w:eastAsia="de-DE"/>
              </w:rPr>
              <w:t xml:space="preserve"> of the Republic of North Macedonia 2012-2020. </w:t>
            </w:r>
            <w:r w:rsidR="00D334D2" w:rsidRPr="000B67C2">
              <w:rPr>
                <w:rFonts w:ascii="Times New Roman" w:eastAsia="Arial Unicode MS" w:hAnsi="Times New Roman"/>
                <w:lang w:eastAsia="de-DE"/>
              </w:rPr>
              <w:t>Although outgoing, these strategies define the country’s goals and objectives, which will be transferred to the next generation of competitiveness strategy (under preparation) and upgraded to include the green recovery of economy after COVID19.</w:t>
            </w:r>
          </w:p>
          <w:p w14:paraId="6BA13A27" w14:textId="633D0337" w:rsidR="00206F6D" w:rsidRPr="000B67C2" w:rsidRDefault="00206F6D" w:rsidP="0035153C">
            <w:pPr>
              <w:pStyle w:val="ListParagraph"/>
              <w:numPr>
                <w:ilvl w:val="0"/>
                <w:numId w:val="19"/>
              </w:numPr>
              <w:spacing w:before="120" w:after="120" w:line="240" w:lineRule="auto"/>
              <w:contextualSpacing w:val="0"/>
              <w:jc w:val="both"/>
              <w:rPr>
                <w:rFonts w:ascii="Times New Roman" w:eastAsia="Arial Unicode MS" w:hAnsi="Times New Roman"/>
                <w:b/>
                <w:lang w:eastAsia="de-DE"/>
              </w:rPr>
            </w:pPr>
            <w:r w:rsidRPr="000B67C2">
              <w:rPr>
                <w:rFonts w:ascii="Times New Roman" w:eastAsia="Arial Unicode MS" w:hAnsi="Times New Roman"/>
                <w:b/>
                <w:lang w:eastAsia="de-DE"/>
              </w:rPr>
              <w:t xml:space="preserve">National Small and Medium Enterprise Strategy 2018-2023. </w:t>
            </w:r>
            <w:r w:rsidRPr="000B67C2">
              <w:rPr>
                <w:rFonts w:ascii="Times New Roman" w:eastAsia="Arial Unicode MS" w:hAnsi="Times New Roman"/>
                <w:lang w:eastAsia="de-DE"/>
              </w:rPr>
              <w:t>This</w:t>
            </w:r>
            <w:r w:rsidRPr="000B67C2">
              <w:rPr>
                <w:rFonts w:ascii="Times New Roman" w:eastAsia="Arial Unicode MS" w:hAnsi="Times New Roman"/>
                <w:b/>
                <w:lang w:eastAsia="de-DE"/>
              </w:rPr>
              <w:t xml:space="preserve"> </w:t>
            </w:r>
            <w:r w:rsidRPr="000B67C2">
              <w:rPr>
                <w:rFonts w:ascii="Times New Roman" w:eastAsia="Arial Unicode MS" w:hAnsi="Times New Roman"/>
                <w:lang w:eastAsia="de-DE"/>
              </w:rPr>
              <w:t xml:space="preserve">Strategy establishes a framework for public, private and civil society actors to collaborate in </w:t>
            </w:r>
            <w:r w:rsidR="000731BB" w:rsidRPr="000B67C2">
              <w:rPr>
                <w:rFonts w:ascii="Times New Roman" w:eastAsia="Arial Unicode MS" w:hAnsi="Times New Roman"/>
                <w:lang w:eastAsia="de-DE"/>
              </w:rPr>
              <w:t xml:space="preserve">improving the competitiveness and innovation in the SMEs. </w:t>
            </w:r>
            <w:r w:rsidRPr="000B67C2">
              <w:rPr>
                <w:rFonts w:ascii="Times New Roman" w:eastAsia="Arial Unicode MS" w:hAnsi="Times New Roman"/>
                <w:lang w:eastAsia="de-DE"/>
              </w:rPr>
              <w:t xml:space="preserve"> The SME Strategy </w:t>
            </w:r>
            <w:r w:rsidR="000731BB" w:rsidRPr="000B67C2">
              <w:rPr>
                <w:rFonts w:ascii="Times New Roman" w:eastAsia="Arial Unicode MS" w:hAnsi="Times New Roman"/>
                <w:lang w:eastAsia="de-DE"/>
              </w:rPr>
              <w:t>encompasses</w:t>
            </w:r>
            <w:r w:rsidRPr="000B67C2">
              <w:rPr>
                <w:rFonts w:ascii="Times New Roman" w:eastAsia="Arial Unicode MS" w:hAnsi="Times New Roman"/>
                <w:lang w:eastAsia="de-DE"/>
              </w:rPr>
              <w:t xml:space="preserve"> three Strategic Objectives: -Strategic Objective 1-Conducive Business Environment: to create a conducive business environment in which entrepreneurship and investment is encouraged; -Strategic Objective 2-Enhance and improve SME growth opportunities: to help SMEs in North Macedonia to become highly productive and competitive participants in European and other </w:t>
            </w:r>
            <w:r w:rsidR="00A37BEF" w:rsidRPr="000B67C2">
              <w:rPr>
                <w:rFonts w:ascii="Times New Roman" w:eastAsia="Arial Unicode MS" w:hAnsi="Times New Roman"/>
                <w:lang w:eastAsia="de-DE"/>
              </w:rPr>
              <w:t>international markets; -Strategic Objective 3-Dynamic Entrepreneurship and Innovation Ecosystem: to drive Macedonian’s economic competitiveness through a more enhancing the entrepreneurial and innovative capacities of the SMEs.</w:t>
            </w:r>
          </w:p>
          <w:p w14:paraId="0C691AED" w14:textId="3BF11D18" w:rsidR="00EF2DB1" w:rsidRPr="000B67C2" w:rsidRDefault="00EF2DB1" w:rsidP="0035153C">
            <w:pPr>
              <w:pStyle w:val="ListParagraph"/>
              <w:numPr>
                <w:ilvl w:val="0"/>
                <w:numId w:val="19"/>
              </w:numPr>
              <w:spacing w:before="120" w:after="120" w:line="240" w:lineRule="auto"/>
              <w:contextualSpacing w:val="0"/>
              <w:jc w:val="both"/>
              <w:rPr>
                <w:rFonts w:ascii="Times New Roman" w:eastAsia="Arial Unicode MS" w:hAnsi="Times New Roman"/>
                <w:lang w:eastAsia="de-DE"/>
              </w:rPr>
            </w:pPr>
            <w:r w:rsidRPr="000B67C2">
              <w:rPr>
                <w:rFonts w:ascii="Times New Roman" w:eastAsia="Arial Unicode MS" w:hAnsi="Times New Roman"/>
                <w:b/>
                <w:lang w:eastAsia="de-DE"/>
              </w:rPr>
              <w:lastRenderedPageBreak/>
              <w:t xml:space="preserve">Industrial Strategy with a focus on the Manufacturing Sector 2018-2027. </w:t>
            </w:r>
            <w:r w:rsidRPr="000B67C2">
              <w:rPr>
                <w:rFonts w:ascii="Times New Roman" w:eastAsia="Arial Unicode MS" w:hAnsi="Times New Roman"/>
                <w:lang w:eastAsia="de-DE"/>
              </w:rPr>
              <w:t xml:space="preserve">The Strategy </w:t>
            </w:r>
            <w:r w:rsidR="00995354" w:rsidRPr="000B67C2">
              <w:rPr>
                <w:rFonts w:ascii="Times New Roman" w:eastAsia="Arial Unicode MS" w:hAnsi="Times New Roman"/>
                <w:lang w:eastAsia="de-DE"/>
              </w:rPr>
              <w:t>defines the measures</w:t>
            </w:r>
            <w:r w:rsidRPr="000B67C2">
              <w:rPr>
                <w:rFonts w:ascii="Times New Roman" w:eastAsia="Arial Unicode MS" w:hAnsi="Times New Roman"/>
                <w:lang w:eastAsia="de-DE"/>
              </w:rPr>
              <w:t xml:space="preserve"> to promote industrialisation by stimulating the growth and development of the manufacturing sector in order to boost productivity, create good jobs, raise incomes and strengthen human capital, while addressing the challenges of the circular economy. This is to be achieved through: - </w:t>
            </w:r>
            <w:r w:rsidR="00995354" w:rsidRPr="000B67C2">
              <w:rPr>
                <w:rFonts w:ascii="Times New Roman" w:eastAsia="Arial Unicode MS" w:hAnsi="Times New Roman"/>
                <w:lang w:eastAsia="de-DE"/>
              </w:rPr>
              <w:t xml:space="preserve">Reinforcing </w:t>
            </w:r>
            <w:r w:rsidRPr="000B67C2">
              <w:rPr>
                <w:rFonts w:ascii="Times New Roman" w:eastAsia="Arial Unicode MS" w:hAnsi="Times New Roman"/>
                <w:lang w:eastAsia="de-DE"/>
              </w:rPr>
              <w:t>the manufacturing foundation; - Rais</w:t>
            </w:r>
            <w:r w:rsidR="00995354" w:rsidRPr="000B67C2">
              <w:rPr>
                <w:rFonts w:ascii="Times New Roman" w:eastAsia="Arial Unicode MS" w:hAnsi="Times New Roman"/>
                <w:lang w:eastAsia="de-DE"/>
              </w:rPr>
              <w:t>ing</w:t>
            </w:r>
            <w:r w:rsidRPr="000B67C2">
              <w:rPr>
                <w:rFonts w:ascii="Times New Roman" w:eastAsia="Arial Unicode MS" w:hAnsi="Times New Roman"/>
                <w:lang w:eastAsia="de-DE"/>
              </w:rPr>
              <w:t xml:space="preserve"> manufacturing productivity, innovation and technology transfer; - Catalys</w:t>
            </w:r>
            <w:r w:rsidR="00995354" w:rsidRPr="000B67C2">
              <w:rPr>
                <w:rFonts w:ascii="Times New Roman" w:eastAsia="Arial Unicode MS" w:hAnsi="Times New Roman"/>
                <w:lang w:eastAsia="de-DE"/>
              </w:rPr>
              <w:t>ing</w:t>
            </w:r>
            <w:r w:rsidRPr="000B67C2">
              <w:rPr>
                <w:rFonts w:ascii="Times New Roman" w:eastAsia="Arial Unicode MS" w:hAnsi="Times New Roman"/>
                <w:lang w:eastAsia="de-DE"/>
              </w:rPr>
              <w:t xml:space="preserve"> green industry/manufacturing; -Stimulat</w:t>
            </w:r>
            <w:r w:rsidR="00995354" w:rsidRPr="000B67C2">
              <w:rPr>
                <w:rFonts w:ascii="Times New Roman" w:eastAsia="Arial Unicode MS" w:hAnsi="Times New Roman"/>
                <w:lang w:eastAsia="de-DE"/>
              </w:rPr>
              <w:t xml:space="preserve">ing </w:t>
            </w:r>
            <w:r w:rsidRPr="000B67C2">
              <w:rPr>
                <w:rFonts w:ascii="Times New Roman" w:eastAsia="Arial Unicode MS" w:hAnsi="Times New Roman"/>
                <w:lang w:eastAsia="de-DE"/>
              </w:rPr>
              <w:t>manufacturing export and – Build</w:t>
            </w:r>
            <w:r w:rsidR="00995354" w:rsidRPr="000B67C2">
              <w:rPr>
                <w:rFonts w:ascii="Times New Roman" w:eastAsia="Arial Unicode MS" w:hAnsi="Times New Roman"/>
                <w:lang w:eastAsia="de-DE"/>
              </w:rPr>
              <w:t>ing</w:t>
            </w:r>
            <w:r w:rsidRPr="000B67C2">
              <w:rPr>
                <w:rFonts w:ascii="Times New Roman" w:eastAsia="Arial Unicode MS" w:hAnsi="Times New Roman"/>
                <w:lang w:eastAsia="de-DE"/>
              </w:rPr>
              <w:t xml:space="preserve"> a learning manufacturing sector.</w:t>
            </w:r>
          </w:p>
          <w:p w14:paraId="2071167C" w14:textId="7681C677" w:rsidR="00DB54B6" w:rsidRPr="000B67C2" w:rsidRDefault="00DB54B6" w:rsidP="0035153C">
            <w:pPr>
              <w:pStyle w:val="ListParagraph"/>
              <w:numPr>
                <w:ilvl w:val="0"/>
                <w:numId w:val="19"/>
              </w:numPr>
              <w:spacing w:before="120" w:after="120" w:line="240" w:lineRule="auto"/>
              <w:contextualSpacing w:val="0"/>
              <w:jc w:val="both"/>
              <w:rPr>
                <w:rFonts w:ascii="Times New Roman" w:eastAsia="Arial Unicode MS" w:hAnsi="Times New Roman"/>
                <w:lang w:eastAsia="de-DE"/>
              </w:rPr>
            </w:pPr>
            <w:r w:rsidRPr="000B67C2">
              <w:rPr>
                <w:rFonts w:ascii="Times New Roman" w:eastAsia="Arial Unicode MS" w:hAnsi="Times New Roman"/>
                <w:b/>
                <w:lang w:eastAsia="de-DE"/>
              </w:rPr>
              <w:t>Strategy of Women Entrepreneurship Development 2019-2023</w:t>
            </w:r>
            <w:r w:rsidRPr="000B67C2">
              <w:rPr>
                <w:rFonts w:ascii="Times New Roman" w:eastAsia="Arial Unicode MS" w:hAnsi="Times New Roman"/>
                <w:lang w:eastAsia="de-DE"/>
              </w:rPr>
              <w:t xml:space="preserve">. The overall objective aims at economic strengthening of women, by creating favourable business climate and providing support to the development of their entrepreneurial potential, which would contribute to the development of existing and opening new enterprises, creating new jobs and thus, strengthening the entire economy. </w:t>
            </w:r>
            <w:r w:rsidR="00995354" w:rsidRPr="000B67C2">
              <w:rPr>
                <w:rFonts w:ascii="Times New Roman" w:eastAsia="Arial Unicode MS" w:hAnsi="Times New Roman"/>
                <w:lang w:eastAsia="de-DE"/>
              </w:rPr>
              <w:t>The action will treat women-led businesses with a special attention.</w:t>
            </w:r>
          </w:p>
          <w:p w14:paraId="7A12F71B" w14:textId="41E81CFD" w:rsidR="002C1F71" w:rsidRPr="000B67C2" w:rsidRDefault="001143D9">
            <w:pPr>
              <w:spacing w:before="120" w:after="120" w:line="240" w:lineRule="auto"/>
              <w:jc w:val="both"/>
              <w:rPr>
                <w:rFonts w:ascii="Times New Roman" w:eastAsia="Arial Unicode MS" w:hAnsi="Times New Roman"/>
                <w:lang w:eastAsia="de-DE"/>
              </w:rPr>
            </w:pPr>
            <w:r w:rsidRPr="000B67C2">
              <w:rPr>
                <w:rFonts w:ascii="Times New Roman" w:eastAsia="Arial Unicode MS" w:hAnsi="Times New Roman"/>
                <w:lang w:eastAsia="de-DE"/>
              </w:rPr>
              <w:t>The Action will also contribute to the following European strategic documents:</w:t>
            </w:r>
          </w:p>
          <w:p w14:paraId="76ABAE4D" w14:textId="13B1E9B3" w:rsidR="00A36419" w:rsidRPr="000B67C2" w:rsidRDefault="00A36419" w:rsidP="00A36419">
            <w:pPr>
              <w:pStyle w:val="ListParagraph"/>
              <w:numPr>
                <w:ilvl w:val="0"/>
                <w:numId w:val="20"/>
              </w:numPr>
              <w:spacing w:before="120" w:after="120" w:line="240" w:lineRule="auto"/>
              <w:contextualSpacing w:val="0"/>
              <w:jc w:val="both"/>
              <w:rPr>
                <w:rFonts w:ascii="Times New Roman" w:hAnsi="Times New Roman"/>
                <w:iCs/>
              </w:rPr>
            </w:pPr>
            <w:r w:rsidRPr="000B67C2">
              <w:rPr>
                <w:rFonts w:ascii="Times New Roman" w:hAnsi="Times New Roman"/>
                <w:b/>
              </w:rPr>
              <w:t>The European Green Deal</w:t>
            </w:r>
            <w:r w:rsidRPr="000B67C2">
              <w:rPr>
                <w:rFonts w:ascii="Times New Roman" w:hAnsi="Times New Roman"/>
              </w:rPr>
              <w:t xml:space="preserve"> has served as a key source of inspiration for this Action, which reflects the principle, objectives and the measures of EU policy but at national level. In Line with this visionary document, the Action aims to put the Macedonia economy and society on a more sustainable path; to </w:t>
            </w:r>
            <w:r w:rsidR="006C3FD7" w:rsidRPr="000B67C2">
              <w:rPr>
                <w:rFonts w:ascii="Times New Roman" w:hAnsi="Times New Roman"/>
              </w:rPr>
              <w:t xml:space="preserve">make the </w:t>
            </w:r>
            <w:r w:rsidRPr="000B67C2">
              <w:rPr>
                <w:rFonts w:ascii="Times New Roman" w:hAnsi="Times New Roman"/>
              </w:rPr>
              <w:t xml:space="preserve">industries </w:t>
            </w:r>
            <w:r w:rsidR="006C3FD7" w:rsidRPr="000B67C2">
              <w:rPr>
                <w:rFonts w:ascii="Times New Roman" w:hAnsi="Times New Roman"/>
              </w:rPr>
              <w:t>more climate friendly and support the shift to</w:t>
            </w:r>
            <w:r w:rsidRPr="000B67C2">
              <w:rPr>
                <w:rFonts w:ascii="Times New Roman" w:hAnsi="Times New Roman"/>
              </w:rPr>
              <w:t xml:space="preserve"> clean</w:t>
            </w:r>
            <w:r w:rsidR="006C3FD7" w:rsidRPr="000B67C2">
              <w:rPr>
                <w:rFonts w:ascii="Times New Roman" w:hAnsi="Times New Roman"/>
              </w:rPr>
              <w:t xml:space="preserve">er technologies. Similar to the </w:t>
            </w:r>
            <w:r w:rsidRPr="000B67C2">
              <w:rPr>
                <w:rFonts w:ascii="Times New Roman" w:hAnsi="Times New Roman"/>
              </w:rPr>
              <w:t>Green Deal</w:t>
            </w:r>
            <w:r w:rsidR="006C3FD7" w:rsidRPr="000B67C2">
              <w:rPr>
                <w:rFonts w:ascii="Times New Roman" w:hAnsi="Times New Roman"/>
              </w:rPr>
              <w:t>, this Action is expected to</w:t>
            </w:r>
            <w:r w:rsidRPr="000B67C2">
              <w:rPr>
                <w:rFonts w:ascii="Times New Roman" w:hAnsi="Times New Roman"/>
              </w:rPr>
              <w:t xml:space="preserve"> contribute to the decarbonisation and modernization of industry, to the use of low-emission technologies, </w:t>
            </w:r>
            <w:r w:rsidRPr="000B67C2">
              <w:rPr>
                <w:rFonts w:ascii="Times New Roman" w:hAnsi="Times New Roman"/>
                <w:shd w:val="clear" w:color="auto" w:fill="FFFFFF"/>
              </w:rPr>
              <w:t xml:space="preserve">and to </w:t>
            </w:r>
            <w:r w:rsidR="006C3FD7" w:rsidRPr="000B67C2">
              <w:rPr>
                <w:rFonts w:ascii="Times New Roman" w:hAnsi="Times New Roman"/>
                <w:shd w:val="clear" w:color="auto" w:fill="FFFFFF"/>
              </w:rPr>
              <w:t>a boost of the circular economy</w:t>
            </w:r>
            <w:r w:rsidRPr="000B67C2">
              <w:rPr>
                <w:rFonts w:ascii="Times New Roman" w:hAnsi="Times New Roman"/>
                <w:shd w:val="clear" w:color="auto" w:fill="FFFFFF"/>
              </w:rPr>
              <w:t xml:space="preserve">. </w:t>
            </w:r>
          </w:p>
          <w:p w14:paraId="00ACFC31" w14:textId="22DFB4E3" w:rsidR="001143D9" w:rsidRPr="000B67C2" w:rsidRDefault="001143D9" w:rsidP="0035153C">
            <w:pPr>
              <w:pStyle w:val="ListParagraph"/>
              <w:numPr>
                <w:ilvl w:val="0"/>
                <w:numId w:val="20"/>
              </w:numPr>
              <w:spacing w:before="120" w:after="120" w:line="240" w:lineRule="auto"/>
              <w:contextualSpacing w:val="0"/>
              <w:jc w:val="both"/>
              <w:rPr>
                <w:rFonts w:ascii="Times New Roman" w:eastAsia="Arial Unicode MS" w:hAnsi="Times New Roman"/>
                <w:lang w:eastAsia="de-DE"/>
              </w:rPr>
            </w:pPr>
            <w:r w:rsidRPr="000B67C2">
              <w:rPr>
                <w:rFonts w:ascii="Times New Roman" w:eastAsia="Arial Unicode MS" w:hAnsi="Times New Roman"/>
                <w:b/>
                <w:lang w:eastAsia="de-DE"/>
              </w:rPr>
              <w:t>A renewed European Agenda for Research and Innovation-Europe’s chance to shape its future</w:t>
            </w:r>
            <w:r w:rsidR="00995354" w:rsidRPr="000B67C2">
              <w:rPr>
                <w:rStyle w:val="FootnoteReference"/>
                <w:rFonts w:ascii="Times New Roman" w:eastAsia="Arial Unicode MS" w:hAnsi="Times New Roman"/>
                <w:b/>
                <w:lang w:eastAsia="de-DE"/>
              </w:rPr>
              <w:footnoteReference w:id="3"/>
            </w:r>
            <w:r w:rsidR="00995354" w:rsidRPr="000B67C2">
              <w:rPr>
                <w:rFonts w:ascii="Times New Roman" w:eastAsia="Arial Unicode MS" w:hAnsi="Times New Roman"/>
                <w:b/>
                <w:lang w:eastAsia="de-DE"/>
              </w:rPr>
              <w:t xml:space="preserve">, </w:t>
            </w:r>
            <w:r w:rsidR="00E149D8" w:rsidRPr="000B67C2">
              <w:rPr>
                <w:rFonts w:ascii="Times New Roman" w:eastAsia="Arial Unicode MS" w:hAnsi="Times New Roman"/>
                <w:lang w:eastAsia="de-DE"/>
              </w:rPr>
              <w:t xml:space="preserve">which presents the roadmap for the EU in the next few years for the innovation sector. The Agenda </w:t>
            </w:r>
            <w:r w:rsidR="00550B1F" w:rsidRPr="000B67C2">
              <w:rPr>
                <w:rFonts w:ascii="Times New Roman" w:eastAsia="Arial Unicode MS" w:hAnsi="Times New Roman"/>
                <w:lang w:eastAsia="de-DE"/>
              </w:rPr>
              <w:t xml:space="preserve">addresses the investment </w:t>
            </w:r>
            <w:r w:rsidR="005B1BE1" w:rsidRPr="000B67C2">
              <w:rPr>
                <w:rFonts w:ascii="Times New Roman" w:eastAsia="Arial Unicode MS" w:hAnsi="Times New Roman"/>
                <w:lang w:eastAsia="de-DE"/>
              </w:rPr>
              <w:t>deficit</w:t>
            </w:r>
            <w:r w:rsidR="00550B1F" w:rsidRPr="000B67C2">
              <w:rPr>
                <w:rFonts w:ascii="Times New Roman" w:eastAsia="Arial Unicode MS" w:hAnsi="Times New Roman"/>
                <w:lang w:eastAsia="de-DE"/>
              </w:rPr>
              <w:t xml:space="preserve"> of</w:t>
            </w:r>
            <w:r w:rsidR="00E149D8" w:rsidRPr="000B67C2">
              <w:rPr>
                <w:rFonts w:ascii="Times New Roman" w:eastAsia="Arial Unicode MS" w:hAnsi="Times New Roman"/>
                <w:lang w:eastAsia="de-DE"/>
              </w:rPr>
              <w:t xml:space="preserve"> the EU companies</w:t>
            </w:r>
            <w:r w:rsidR="005B1BE1" w:rsidRPr="000B67C2">
              <w:rPr>
                <w:rFonts w:ascii="Times New Roman" w:eastAsia="Arial Unicode MS" w:hAnsi="Times New Roman"/>
                <w:lang w:eastAsia="de-DE"/>
              </w:rPr>
              <w:t>, which</w:t>
            </w:r>
            <w:r w:rsidR="00E149D8" w:rsidRPr="000B67C2">
              <w:rPr>
                <w:rFonts w:ascii="Times New Roman" w:eastAsia="Arial Unicode MS" w:hAnsi="Times New Roman"/>
                <w:lang w:eastAsia="de-DE"/>
              </w:rPr>
              <w:t xml:space="preserve"> spend less on innovation than their competitors; </w:t>
            </w:r>
            <w:r w:rsidR="005B1BE1" w:rsidRPr="000B67C2">
              <w:rPr>
                <w:rFonts w:ascii="Times New Roman" w:eastAsia="Arial Unicode MS" w:hAnsi="Times New Roman"/>
                <w:lang w:eastAsia="de-DE"/>
              </w:rPr>
              <w:t xml:space="preserve">the level of entrepreneurship, </w:t>
            </w:r>
            <w:r w:rsidR="00B2199E" w:rsidRPr="000B67C2">
              <w:rPr>
                <w:rFonts w:ascii="Times New Roman" w:eastAsia="Arial Unicode MS" w:hAnsi="Times New Roman"/>
                <w:lang w:eastAsia="de-DE"/>
              </w:rPr>
              <w:t>venture capital and the average size of funds in Europe</w:t>
            </w:r>
            <w:r w:rsidR="005B1BE1" w:rsidRPr="000B67C2">
              <w:rPr>
                <w:rFonts w:ascii="Times New Roman" w:eastAsia="Arial Unicode MS" w:hAnsi="Times New Roman"/>
                <w:lang w:eastAsia="de-DE"/>
              </w:rPr>
              <w:t>, which are</w:t>
            </w:r>
            <w:r w:rsidR="00B2199E" w:rsidRPr="000B67C2">
              <w:rPr>
                <w:rFonts w:ascii="Times New Roman" w:eastAsia="Arial Unicode MS" w:hAnsi="Times New Roman"/>
                <w:lang w:eastAsia="de-DE"/>
              </w:rPr>
              <w:t xml:space="preserve"> too small to allow the European start-ups to become big companies; the R&amp;D intensity</w:t>
            </w:r>
            <w:r w:rsidR="005B1BE1" w:rsidRPr="000B67C2">
              <w:rPr>
                <w:rFonts w:ascii="Times New Roman" w:eastAsia="Arial Unicode MS" w:hAnsi="Times New Roman"/>
                <w:lang w:eastAsia="de-DE"/>
              </w:rPr>
              <w:t>, which</w:t>
            </w:r>
            <w:r w:rsidR="00B2199E" w:rsidRPr="000B67C2">
              <w:rPr>
                <w:rFonts w:ascii="Times New Roman" w:eastAsia="Arial Unicode MS" w:hAnsi="Times New Roman"/>
                <w:lang w:eastAsia="de-DE"/>
              </w:rPr>
              <w:t xml:space="preserve"> is still uneven among the EU regions</w:t>
            </w:r>
            <w:r w:rsidR="005B1BE1" w:rsidRPr="000B67C2">
              <w:rPr>
                <w:rFonts w:ascii="Times New Roman" w:eastAsia="Arial Unicode MS" w:hAnsi="Times New Roman"/>
                <w:lang w:eastAsia="de-DE"/>
              </w:rPr>
              <w:t xml:space="preserve">, the still insufficient level of digitalisation due to lack of adequate digital skills of </w:t>
            </w:r>
            <w:r w:rsidR="00B2199E" w:rsidRPr="000B67C2">
              <w:rPr>
                <w:rFonts w:ascii="Times New Roman" w:eastAsia="Arial Unicode MS" w:hAnsi="Times New Roman"/>
                <w:lang w:eastAsia="de-DE"/>
              </w:rPr>
              <w:t>40% of the workforce in Europe.</w:t>
            </w:r>
            <w:r w:rsidR="005B1BE1" w:rsidRPr="000B67C2">
              <w:rPr>
                <w:rFonts w:ascii="Times New Roman" w:eastAsia="Arial Unicode MS" w:hAnsi="Times New Roman"/>
                <w:lang w:eastAsia="de-DE"/>
              </w:rPr>
              <w:t xml:space="preserve"> These needs at EU level have been analysed in Macedonian context and appropriate measures are being designed in the new generation of competitiveness strategy in North Macedonia. The Action is a part of these measures. </w:t>
            </w:r>
          </w:p>
          <w:p w14:paraId="2790F4DA" w14:textId="3036BC7D" w:rsidR="00B2199E" w:rsidRPr="000B67C2" w:rsidRDefault="00B2199E" w:rsidP="0035153C">
            <w:pPr>
              <w:pStyle w:val="ListParagraph"/>
              <w:numPr>
                <w:ilvl w:val="0"/>
                <w:numId w:val="20"/>
              </w:numPr>
              <w:spacing w:before="120" w:after="120" w:line="240" w:lineRule="auto"/>
              <w:contextualSpacing w:val="0"/>
              <w:jc w:val="both"/>
              <w:rPr>
                <w:rFonts w:ascii="Times New Roman" w:eastAsia="Arial Unicode MS" w:hAnsi="Times New Roman"/>
                <w:b/>
                <w:lang w:eastAsia="de-DE"/>
              </w:rPr>
            </w:pPr>
            <w:r w:rsidRPr="000B67C2">
              <w:rPr>
                <w:rFonts w:ascii="Times New Roman" w:eastAsia="Arial Unicode MS" w:hAnsi="Times New Roman"/>
                <w:b/>
                <w:lang w:eastAsia="de-DE"/>
              </w:rPr>
              <w:lastRenderedPageBreak/>
              <w:t>A New Industrial Strategy for Europe</w:t>
            </w:r>
            <w:r w:rsidR="005B1BE1" w:rsidRPr="000B67C2">
              <w:rPr>
                <w:rStyle w:val="FootnoteReference"/>
                <w:rFonts w:ascii="Times New Roman" w:eastAsia="Arial Unicode MS" w:hAnsi="Times New Roman"/>
                <w:b/>
                <w:lang w:eastAsia="de-DE"/>
              </w:rPr>
              <w:footnoteReference w:id="4"/>
            </w:r>
            <w:r w:rsidR="005B1BE1" w:rsidRPr="000B67C2">
              <w:rPr>
                <w:rFonts w:ascii="Times New Roman" w:eastAsia="Arial Unicode MS" w:hAnsi="Times New Roman"/>
                <w:b/>
                <w:lang w:eastAsia="de-DE"/>
              </w:rPr>
              <w:t xml:space="preserve">, </w:t>
            </w:r>
            <w:r w:rsidR="005B1BE1" w:rsidRPr="000B67C2">
              <w:rPr>
                <w:rFonts w:ascii="Times New Roman" w:eastAsia="Arial Unicode MS" w:hAnsi="Times New Roman"/>
                <w:lang w:eastAsia="de-DE"/>
              </w:rPr>
              <w:t>which</w:t>
            </w:r>
            <w:r w:rsidR="005B1BE1" w:rsidRPr="000B67C2">
              <w:rPr>
                <w:rFonts w:ascii="Times New Roman" w:eastAsia="Arial Unicode MS" w:hAnsi="Times New Roman"/>
                <w:b/>
                <w:lang w:eastAsia="de-DE"/>
              </w:rPr>
              <w:t xml:space="preserve"> </w:t>
            </w:r>
            <w:r w:rsidRPr="000B67C2">
              <w:rPr>
                <w:rFonts w:ascii="Times New Roman" w:eastAsia="Arial Unicode MS" w:hAnsi="Times New Roman"/>
                <w:lang w:eastAsia="de-DE"/>
              </w:rPr>
              <w:t xml:space="preserve">aims to </w:t>
            </w:r>
            <w:r w:rsidR="00446AD1" w:rsidRPr="000B67C2">
              <w:rPr>
                <w:rFonts w:ascii="Times New Roman" w:eastAsia="Arial Unicode MS" w:hAnsi="Times New Roman"/>
                <w:lang w:eastAsia="de-DE"/>
              </w:rPr>
              <w:t xml:space="preserve">boost </w:t>
            </w:r>
            <w:r w:rsidRPr="000B67C2">
              <w:rPr>
                <w:rFonts w:ascii="Times New Roman" w:eastAsia="Arial Unicode MS" w:hAnsi="Times New Roman"/>
                <w:lang w:eastAsia="de-DE"/>
              </w:rPr>
              <w:t xml:space="preserve">Europe’s competitiveness </w:t>
            </w:r>
            <w:r w:rsidR="00446AD1" w:rsidRPr="000B67C2">
              <w:rPr>
                <w:rFonts w:ascii="Times New Roman" w:eastAsia="Arial Unicode MS" w:hAnsi="Times New Roman"/>
                <w:lang w:eastAsia="de-DE"/>
              </w:rPr>
              <w:t xml:space="preserve">through reducing </w:t>
            </w:r>
            <w:r w:rsidRPr="000B67C2">
              <w:rPr>
                <w:rFonts w:ascii="Times New Roman" w:eastAsia="Arial Unicode MS" w:hAnsi="Times New Roman"/>
                <w:lang w:eastAsia="de-DE"/>
              </w:rPr>
              <w:t>red tape</w:t>
            </w:r>
            <w:r w:rsidR="00446AD1" w:rsidRPr="000B67C2">
              <w:rPr>
                <w:rFonts w:ascii="Times New Roman" w:eastAsia="Arial Unicode MS" w:hAnsi="Times New Roman"/>
                <w:lang w:eastAsia="de-DE"/>
              </w:rPr>
              <w:t xml:space="preserve">, increasing the </w:t>
            </w:r>
            <w:r w:rsidRPr="000B67C2">
              <w:rPr>
                <w:rFonts w:ascii="Times New Roman" w:eastAsia="Arial Unicode MS" w:hAnsi="Times New Roman"/>
                <w:lang w:eastAsia="de-DE"/>
              </w:rPr>
              <w:t xml:space="preserve">access financing and </w:t>
            </w:r>
            <w:r w:rsidR="00446AD1" w:rsidRPr="000B67C2">
              <w:rPr>
                <w:rFonts w:ascii="Times New Roman" w:eastAsia="Arial Unicode MS" w:hAnsi="Times New Roman"/>
                <w:lang w:eastAsia="de-DE"/>
              </w:rPr>
              <w:t>investing in</w:t>
            </w:r>
            <w:r w:rsidR="006F50DA" w:rsidRPr="000B67C2">
              <w:rPr>
                <w:rFonts w:ascii="Times New Roman" w:eastAsia="Arial Unicode MS" w:hAnsi="Times New Roman"/>
                <w:lang w:eastAsia="de-DE"/>
              </w:rPr>
              <w:t xml:space="preserve"> digital and green transitions.</w:t>
            </w:r>
            <w:r w:rsidR="00446AD1" w:rsidRPr="000B67C2">
              <w:rPr>
                <w:rFonts w:ascii="Times New Roman" w:eastAsia="Arial Unicode MS" w:hAnsi="Times New Roman"/>
                <w:lang w:eastAsia="de-DE"/>
              </w:rPr>
              <w:t xml:space="preserve"> These measures have shaped the Action.</w:t>
            </w:r>
          </w:p>
          <w:p w14:paraId="0F05828B" w14:textId="3F6A68B5" w:rsidR="007E3813" w:rsidRPr="000B67C2" w:rsidRDefault="006F50DA" w:rsidP="0035153C">
            <w:pPr>
              <w:pStyle w:val="ListParagraph"/>
              <w:numPr>
                <w:ilvl w:val="0"/>
                <w:numId w:val="20"/>
              </w:numPr>
              <w:spacing w:before="120" w:after="120" w:line="240" w:lineRule="auto"/>
              <w:contextualSpacing w:val="0"/>
              <w:jc w:val="both"/>
              <w:rPr>
                <w:rFonts w:ascii="Times New Roman" w:hAnsi="Times New Roman"/>
              </w:rPr>
            </w:pPr>
            <w:r w:rsidRPr="000B67C2">
              <w:rPr>
                <w:rFonts w:ascii="Times New Roman" w:eastAsia="Arial Unicode MS" w:hAnsi="Times New Roman"/>
                <w:b/>
                <w:lang w:eastAsia="de-DE"/>
              </w:rPr>
              <w:t>South East Europe 2020 Strategy</w:t>
            </w:r>
            <w:r w:rsidRPr="000B67C2">
              <w:rPr>
                <w:rFonts w:ascii="Times New Roman" w:eastAsia="Arial Unicode MS" w:hAnsi="Times New Roman"/>
                <w:lang w:eastAsia="de-DE"/>
              </w:rPr>
              <w:t xml:space="preserve">, </w:t>
            </w:r>
            <w:r w:rsidR="00446AD1" w:rsidRPr="000B67C2">
              <w:rPr>
                <w:rFonts w:ascii="Times New Roman" w:eastAsia="Arial Unicode MS" w:hAnsi="Times New Roman"/>
                <w:lang w:eastAsia="de-DE"/>
              </w:rPr>
              <w:t>which maps on the need for</w:t>
            </w:r>
            <w:r w:rsidRPr="000B67C2">
              <w:rPr>
                <w:rFonts w:ascii="Times New Roman" w:hAnsi="Times New Roman"/>
              </w:rPr>
              <w:t xml:space="preserve"> </w:t>
            </w:r>
            <w:r w:rsidR="00A36419" w:rsidRPr="000B67C2">
              <w:rPr>
                <w:rFonts w:ascii="Times New Roman" w:hAnsi="Times New Roman"/>
              </w:rPr>
              <w:t>smart growth</w:t>
            </w:r>
            <w:r w:rsidR="00446AD1" w:rsidRPr="000B67C2">
              <w:rPr>
                <w:rFonts w:ascii="Times New Roman" w:hAnsi="Times New Roman"/>
              </w:rPr>
              <w:t xml:space="preserve">, </w:t>
            </w:r>
            <w:r w:rsidRPr="000B67C2">
              <w:rPr>
                <w:rFonts w:ascii="Times New Roman" w:hAnsi="Times New Roman"/>
              </w:rPr>
              <w:t xml:space="preserve"> driven by knowledge and innovation and based on its human capital</w:t>
            </w:r>
            <w:r w:rsidR="00446AD1" w:rsidRPr="000B67C2">
              <w:rPr>
                <w:rFonts w:ascii="Times New Roman" w:hAnsi="Times New Roman"/>
              </w:rPr>
              <w:t xml:space="preserve"> and d</w:t>
            </w:r>
            <w:r w:rsidRPr="000B67C2">
              <w:rPr>
                <w:rFonts w:ascii="Times New Roman" w:hAnsi="Times New Roman"/>
              </w:rPr>
              <w:t>igital</w:t>
            </w:r>
            <w:r w:rsidR="00A36419" w:rsidRPr="000B67C2">
              <w:rPr>
                <w:rFonts w:ascii="Times New Roman" w:hAnsi="Times New Roman"/>
              </w:rPr>
              <w:t xml:space="preserve">isation, has served as a source of inspiration for this Action, which </w:t>
            </w:r>
            <w:r w:rsidR="00446AD1" w:rsidRPr="000B67C2">
              <w:rPr>
                <w:rFonts w:ascii="Times New Roman" w:hAnsi="Times New Roman"/>
              </w:rPr>
              <w:t xml:space="preserve"> </w:t>
            </w:r>
            <w:r w:rsidR="00A36419" w:rsidRPr="000B67C2">
              <w:rPr>
                <w:rFonts w:ascii="Times New Roman" w:hAnsi="Times New Roman"/>
              </w:rPr>
              <w:t xml:space="preserve">is fully in line with </w:t>
            </w:r>
            <w:r w:rsidRPr="000B67C2">
              <w:rPr>
                <w:rFonts w:ascii="Times New Roman" w:hAnsi="Times New Roman"/>
              </w:rPr>
              <w:t>the</w:t>
            </w:r>
            <w:r w:rsidR="00A36419" w:rsidRPr="000B67C2">
              <w:rPr>
                <w:rFonts w:ascii="Times New Roman" w:hAnsi="Times New Roman"/>
              </w:rPr>
              <w:t xml:space="preserve"> objectives to use</w:t>
            </w:r>
            <w:r w:rsidRPr="000B67C2">
              <w:rPr>
                <w:rFonts w:ascii="Times New Roman" w:hAnsi="Times New Roman"/>
              </w:rPr>
              <w:t xml:space="preserve"> Information and Communications Technologies to spur innovation, economic growth, regional competitiveness and improved quality of life</w:t>
            </w:r>
            <w:r w:rsidR="00A36419" w:rsidRPr="000B67C2">
              <w:rPr>
                <w:rFonts w:ascii="Times New Roman" w:hAnsi="Times New Roman"/>
              </w:rPr>
              <w:t xml:space="preserve">, and support the gradual shift to a </w:t>
            </w:r>
            <w:r w:rsidRPr="000B67C2">
              <w:rPr>
                <w:rFonts w:ascii="Times New Roman" w:hAnsi="Times New Roman"/>
              </w:rPr>
              <w:t xml:space="preserve"> </w:t>
            </w:r>
            <w:r w:rsidR="00A36419" w:rsidRPr="000B67C2">
              <w:rPr>
                <w:rFonts w:ascii="Times New Roman" w:hAnsi="Times New Roman"/>
              </w:rPr>
              <w:t xml:space="preserve">sustainable economy, based on </w:t>
            </w:r>
            <w:r w:rsidRPr="000B67C2">
              <w:rPr>
                <w:rFonts w:ascii="Times New Roman" w:hAnsi="Times New Roman"/>
              </w:rPr>
              <w:t>sustainable and accessible transport and energy infrastructure, a competitive economic base and a resource efficien</w:t>
            </w:r>
            <w:r w:rsidR="00A36419" w:rsidRPr="000B67C2">
              <w:rPr>
                <w:rFonts w:ascii="Times New Roman" w:hAnsi="Times New Roman"/>
              </w:rPr>
              <w:t>cy</w:t>
            </w:r>
            <w:r w:rsidR="00C71392" w:rsidRPr="000B67C2">
              <w:rPr>
                <w:rFonts w:ascii="Times New Roman" w:hAnsi="Times New Roman"/>
              </w:rPr>
              <w:t>.</w:t>
            </w:r>
          </w:p>
          <w:p w14:paraId="0BF36355" w14:textId="55E1616C" w:rsidR="00167E70" w:rsidRPr="000B67C2" w:rsidRDefault="00167E70" w:rsidP="0035153C">
            <w:pPr>
              <w:pStyle w:val="ListParagraph"/>
              <w:numPr>
                <w:ilvl w:val="0"/>
                <w:numId w:val="20"/>
              </w:numPr>
              <w:spacing w:before="120" w:after="120" w:line="240" w:lineRule="auto"/>
              <w:contextualSpacing w:val="0"/>
              <w:jc w:val="both"/>
              <w:rPr>
                <w:rFonts w:ascii="Times New Roman" w:hAnsi="Times New Roman"/>
                <w:iCs/>
              </w:rPr>
            </w:pPr>
            <w:r w:rsidRPr="000B67C2">
              <w:rPr>
                <w:rFonts w:ascii="Times New Roman" w:hAnsi="Times New Roman"/>
                <w:b/>
                <w:iCs/>
              </w:rPr>
              <w:t>The EU Circular Economy Action Plan</w:t>
            </w:r>
            <w:r w:rsidRPr="000B67C2">
              <w:rPr>
                <w:rFonts w:ascii="Times New Roman" w:hAnsi="Times New Roman"/>
                <w:iCs/>
              </w:rPr>
              <w:t xml:space="preserve"> aims to accelerate the transition towards a more green growth economic models and strive to reduce the consumption footprint and double the circular materials use rate. </w:t>
            </w:r>
            <w:r w:rsidR="006C3FD7" w:rsidRPr="000B67C2">
              <w:rPr>
                <w:rFonts w:ascii="Times New Roman" w:hAnsi="Times New Roman"/>
                <w:iCs/>
              </w:rPr>
              <w:t xml:space="preserve">The Action is in line with these objectives through investing </w:t>
            </w:r>
            <w:r w:rsidR="00054A6D" w:rsidRPr="000B67C2">
              <w:rPr>
                <w:rFonts w:ascii="Times New Roman" w:hAnsi="Times New Roman"/>
                <w:iCs/>
              </w:rPr>
              <w:t>in more</w:t>
            </w:r>
            <w:r w:rsidRPr="000B67C2">
              <w:rPr>
                <w:rFonts w:ascii="Times New Roman" w:hAnsi="Times New Roman"/>
                <w:iCs/>
              </w:rPr>
              <w:t xml:space="preserve"> sustainable economic systems, high-quality, safe and affordable products</w:t>
            </w:r>
            <w:r w:rsidR="006C3FD7" w:rsidRPr="000B67C2">
              <w:rPr>
                <w:rFonts w:ascii="Times New Roman" w:hAnsi="Times New Roman"/>
                <w:iCs/>
              </w:rPr>
              <w:t xml:space="preserve"> and using </w:t>
            </w:r>
            <w:r w:rsidRPr="000B67C2">
              <w:rPr>
                <w:rFonts w:ascii="Times New Roman" w:hAnsi="Times New Roman"/>
                <w:iCs/>
              </w:rPr>
              <w:t xml:space="preserve">the potential of the digital technologies. </w:t>
            </w:r>
          </w:p>
          <w:p w14:paraId="479CB26B" w14:textId="167987E7" w:rsidR="00074669" w:rsidRPr="000B67C2" w:rsidRDefault="00C71392" w:rsidP="0035153C">
            <w:pPr>
              <w:pStyle w:val="ListParagraph"/>
              <w:numPr>
                <w:ilvl w:val="0"/>
                <w:numId w:val="20"/>
              </w:numPr>
              <w:spacing w:before="120" w:after="120" w:line="240" w:lineRule="auto"/>
              <w:contextualSpacing w:val="0"/>
              <w:jc w:val="both"/>
              <w:rPr>
                <w:rFonts w:ascii="Times New Roman" w:hAnsi="Times New Roman"/>
              </w:rPr>
            </w:pPr>
            <w:r w:rsidRPr="000B67C2">
              <w:rPr>
                <w:rFonts w:ascii="Times New Roman" w:hAnsi="Times New Roman"/>
              </w:rPr>
              <w:t xml:space="preserve">The Action is contributing to the objectives of </w:t>
            </w:r>
            <w:r w:rsidR="002A39A3" w:rsidRPr="000B67C2">
              <w:rPr>
                <w:rFonts w:ascii="Times New Roman" w:hAnsi="Times New Roman"/>
                <w:color w:val="000000" w:themeColor="text1"/>
              </w:rPr>
              <w:t>the</w:t>
            </w:r>
            <w:r w:rsidR="007E3813" w:rsidRPr="000B67C2">
              <w:rPr>
                <w:rFonts w:ascii="Times New Roman" w:hAnsi="Times New Roman"/>
                <w:color w:val="000000" w:themeColor="text1"/>
              </w:rPr>
              <w:t xml:space="preserve"> </w:t>
            </w:r>
            <w:r w:rsidR="007E3813" w:rsidRPr="000B67C2">
              <w:rPr>
                <w:rFonts w:ascii="Times New Roman" w:hAnsi="Times New Roman"/>
                <w:b/>
                <w:bCs/>
                <w:color w:val="000000" w:themeColor="text1"/>
              </w:rPr>
              <w:t>United Nation’s 2030</w:t>
            </w:r>
            <w:r w:rsidR="007E3813" w:rsidRPr="000B67C2">
              <w:rPr>
                <w:rFonts w:ascii="Times New Roman" w:hAnsi="Times New Roman"/>
                <w:b/>
                <w:color w:val="000000" w:themeColor="text1"/>
              </w:rPr>
              <w:t xml:space="preserve"> Agenda for Sustainable Development</w:t>
            </w:r>
            <w:r w:rsidR="007E3813" w:rsidRPr="000B67C2">
              <w:rPr>
                <w:rFonts w:ascii="Times New Roman" w:hAnsi="Times New Roman"/>
                <w:color w:val="000000" w:themeColor="text1"/>
              </w:rPr>
              <w:t xml:space="preserve">; more specifically, the action contributes to thematic </w:t>
            </w:r>
            <w:r w:rsidR="007E3813" w:rsidRPr="000B67C2">
              <w:rPr>
                <w:rFonts w:ascii="Times New Roman" w:hAnsi="Times New Roman"/>
                <w:iCs/>
                <w:color w:val="000000" w:themeColor="text1"/>
              </w:rPr>
              <w:t xml:space="preserve">priority </w:t>
            </w:r>
            <w:r w:rsidR="00B02E6F" w:rsidRPr="000B67C2">
              <w:rPr>
                <w:rFonts w:ascii="Times New Roman" w:hAnsi="Times New Roman"/>
                <w:bCs/>
                <w:iCs/>
                <w:color w:val="000000" w:themeColor="text1"/>
              </w:rPr>
              <w:t>8. Decent work and economic growth and priority 9. Industry, Innovation and Infrastructure.</w:t>
            </w:r>
          </w:p>
        </w:tc>
      </w:tr>
      <w:tr w:rsidR="00D92F6C" w:rsidRPr="000B67C2" w14:paraId="4F7F40CD" w14:textId="77777777" w:rsidTr="00E45289">
        <w:trPr>
          <w:jc w:val="center"/>
        </w:trPr>
        <w:tc>
          <w:tcPr>
            <w:tcW w:w="534" w:type="dxa"/>
            <w:vMerge/>
            <w:tcBorders>
              <w:left w:val="single" w:sz="4" w:space="0" w:color="auto"/>
              <w:right w:val="single" w:sz="4" w:space="0" w:color="auto"/>
            </w:tcBorders>
          </w:tcPr>
          <w:p w14:paraId="789511E7" w14:textId="793EC265" w:rsidR="00D92F6C" w:rsidRPr="000B67C2" w:rsidRDefault="00D92F6C" w:rsidP="0035153C">
            <w:pPr>
              <w:spacing w:before="120" w:after="0" w:line="240"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09DCC521" w14:textId="77777777" w:rsidR="00D92F6C" w:rsidRPr="000B67C2" w:rsidRDefault="00D92F6C" w:rsidP="0035153C">
            <w:pPr>
              <w:spacing w:before="120" w:after="0" w:line="240" w:lineRule="auto"/>
              <w:rPr>
                <w:rFonts w:ascii="Times New Roman" w:hAnsi="Times New Roman"/>
              </w:rPr>
            </w:pPr>
            <w:r w:rsidRPr="000B67C2">
              <w:rPr>
                <w:rFonts w:ascii="Times New Roman" w:hAnsi="Times New Roman"/>
              </w:rPr>
              <w:t>Coherence with the Sector Approach</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45941FA8" w14:textId="33CDB844" w:rsidR="0086659B" w:rsidRPr="000B67C2" w:rsidRDefault="00C71392" w:rsidP="0035153C">
            <w:pPr>
              <w:tabs>
                <w:tab w:val="left" w:pos="1418"/>
                <w:tab w:val="left" w:pos="8931"/>
              </w:tabs>
              <w:spacing w:before="120" w:after="0" w:line="240" w:lineRule="auto"/>
              <w:ind w:right="-2"/>
              <w:jc w:val="both"/>
              <w:rPr>
                <w:rFonts w:ascii="Times New Roman" w:hAnsi="Times New Roman"/>
              </w:rPr>
            </w:pPr>
            <w:r w:rsidRPr="000B67C2">
              <w:rPr>
                <w:rFonts w:ascii="Times New Roman" w:hAnsi="Times New Roman"/>
              </w:rPr>
              <w:t xml:space="preserve">The </w:t>
            </w:r>
            <w:r w:rsidR="0086659B" w:rsidRPr="000B67C2">
              <w:rPr>
                <w:rFonts w:ascii="Times New Roman" w:hAnsi="Times New Roman"/>
              </w:rPr>
              <w:t xml:space="preserve">sector </w:t>
            </w:r>
            <w:r w:rsidRPr="000B67C2">
              <w:rPr>
                <w:rFonts w:ascii="Times New Roman" w:hAnsi="Times New Roman"/>
              </w:rPr>
              <w:t xml:space="preserve">strategic framework in the Thematic Priority </w:t>
            </w:r>
            <w:r w:rsidR="0086659B" w:rsidRPr="000B67C2">
              <w:rPr>
                <w:rFonts w:ascii="Times New Roman" w:hAnsi="Times New Roman"/>
              </w:rPr>
              <w:t xml:space="preserve">is well established </w:t>
            </w:r>
            <w:r w:rsidR="005639B6" w:rsidRPr="000B67C2">
              <w:rPr>
                <w:rFonts w:ascii="Times New Roman" w:hAnsi="Times New Roman"/>
              </w:rPr>
              <w:t xml:space="preserve">through the national strategies on competitiveness and innovation and partially – through the ERP. Yet, the country measures for boosting competitiveness, in line with the green agenda, need to be remodelled </w:t>
            </w:r>
            <w:r w:rsidR="00AB0E35" w:rsidRPr="000B67C2">
              <w:rPr>
                <w:rFonts w:ascii="Times New Roman" w:hAnsi="Times New Roman"/>
              </w:rPr>
              <w:t>and further</w:t>
            </w:r>
            <w:r w:rsidR="0086659B" w:rsidRPr="000B67C2">
              <w:rPr>
                <w:rFonts w:ascii="Times New Roman" w:hAnsi="Times New Roman"/>
              </w:rPr>
              <w:t xml:space="preserve"> extended beyond 2020 horizon.   </w:t>
            </w:r>
          </w:p>
          <w:p w14:paraId="669B7EB6" w14:textId="22784C41" w:rsidR="00C71392" w:rsidRPr="000B67C2" w:rsidRDefault="0086659B" w:rsidP="0035153C">
            <w:pPr>
              <w:tabs>
                <w:tab w:val="left" w:pos="1418"/>
                <w:tab w:val="left" w:pos="8931"/>
              </w:tabs>
              <w:spacing w:before="120" w:after="0" w:line="240" w:lineRule="auto"/>
              <w:ind w:right="-2"/>
              <w:jc w:val="both"/>
              <w:rPr>
                <w:rFonts w:ascii="Times New Roman" w:hAnsi="Times New Roman"/>
                <w:lang w:val="en" w:bidi="mn-Mong-CN"/>
              </w:rPr>
            </w:pPr>
            <w:r w:rsidRPr="000B67C2">
              <w:rPr>
                <w:rFonts w:ascii="Times New Roman" w:hAnsi="Times New Roman"/>
              </w:rPr>
              <w:t xml:space="preserve">The policy dialogue, channelled through </w:t>
            </w:r>
            <w:r w:rsidR="00C71392" w:rsidRPr="000B67C2">
              <w:rPr>
                <w:rFonts w:ascii="Times New Roman" w:hAnsi="Times New Roman"/>
              </w:rPr>
              <w:t xml:space="preserve">the </w:t>
            </w:r>
            <w:r w:rsidR="00C71392" w:rsidRPr="000B67C2">
              <w:rPr>
                <w:rFonts w:ascii="Times New Roman" w:hAnsi="Times New Roman"/>
                <w:bCs/>
              </w:rPr>
              <w:t>Sector Working Group (SWG) on Competitiveness and Innovation</w:t>
            </w:r>
            <w:r w:rsidR="00C71392" w:rsidRPr="000B67C2">
              <w:rPr>
                <w:rFonts w:ascii="Times New Roman" w:hAnsi="Times New Roman"/>
              </w:rPr>
              <w:t xml:space="preserve">, </w:t>
            </w:r>
            <w:r w:rsidR="005639B6" w:rsidRPr="000B67C2">
              <w:rPr>
                <w:rFonts w:ascii="Times New Roman" w:hAnsi="Times New Roman"/>
              </w:rPr>
              <w:t xml:space="preserve">existing since 2017 </w:t>
            </w:r>
            <w:r w:rsidRPr="000B67C2">
              <w:rPr>
                <w:rFonts w:ascii="Times New Roman" w:hAnsi="Times New Roman"/>
              </w:rPr>
              <w:t xml:space="preserve">is smooth. </w:t>
            </w:r>
            <w:r w:rsidR="00F03224" w:rsidRPr="000B67C2">
              <w:rPr>
                <w:rFonts w:ascii="Times New Roman" w:hAnsi="Times New Roman"/>
                <w:lang w:val="en" w:bidi="mn-Mong-CN"/>
              </w:rPr>
              <w:t>C</w:t>
            </w:r>
            <w:r w:rsidR="00C71392" w:rsidRPr="000B67C2">
              <w:rPr>
                <w:rFonts w:ascii="Times New Roman" w:hAnsi="Times New Roman"/>
                <w:lang w:val="en" w:bidi="mn-Mong-CN"/>
              </w:rPr>
              <w:t>haired by the DPM for Economic Affairs and the Minister of Economy (and other ministers when necessary)</w:t>
            </w:r>
            <w:r w:rsidR="00F03224" w:rsidRPr="000B67C2">
              <w:rPr>
                <w:rFonts w:ascii="Times New Roman" w:hAnsi="Times New Roman"/>
                <w:lang w:val="en" w:bidi="mn-Mong-CN"/>
              </w:rPr>
              <w:t>, t</w:t>
            </w:r>
            <w:r w:rsidR="00C71392" w:rsidRPr="000B67C2">
              <w:rPr>
                <w:rFonts w:ascii="Times New Roman" w:hAnsi="Times New Roman"/>
                <w:lang w:val="en" w:bidi="mn-Mong-CN"/>
              </w:rPr>
              <w:t xml:space="preserve">he SWG works </w:t>
            </w:r>
            <w:r w:rsidR="00C71392" w:rsidRPr="000B67C2">
              <w:rPr>
                <w:rFonts w:ascii="Times New Roman" w:hAnsi="Times New Roman"/>
              </w:rPr>
              <w:t>in an inclusive and participatory manner</w:t>
            </w:r>
            <w:r w:rsidR="00F03224" w:rsidRPr="000B67C2">
              <w:rPr>
                <w:rFonts w:ascii="Times New Roman" w:hAnsi="Times New Roman"/>
              </w:rPr>
              <w:t>;</w:t>
            </w:r>
            <w:r w:rsidR="00C71392" w:rsidRPr="000B67C2">
              <w:rPr>
                <w:rFonts w:ascii="Times New Roman" w:hAnsi="Times New Roman"/>
              </w:rPr>
              <w:t xml:space="preserve"> it</w:t>
            </w:r>
            <w:r w:rsidR="00C71392" w:rsidRPr="000B67C2">
              <w:rPr>
                <w:rFonts w:ascii="Times New Roman" w:hAnsi="Times New Roman"/>
                <w:lang w:val="en" w:bidi="mn-Mong-CN"/>
              </w:rPr>
              <w:t xml:space="preserve"> is a the platform to voice also the opinion of the various donors, relevant state institutions and civil society</w:t>
            </w:r>
            <w:r w:rsidR="00F03224" w:rsidRPr="000B67C2">
              <w:rPr>
                <w:rFonts w:ascii="Times New Roman" w:hAnsi="Times New Roman"/>
                <w:lang w:val="en" w:bidi="mn-Mong-CN"/>
              </w:rPr>
              <w:t xml:space="preserve"> (business associations and chambers)</w:t>
            </w:r>
            <w:r w:rsidR="00C71392" w:rsidRPr="000B67C2">
              <w:rPr>
                <w:rFonts w:ascii="Times New Roman" w:hAnsi="Times New Roman"/>
                <w:lang w:val="en" w:bidi="mn-Mong-CN"/>
              </w:rPr>
              <w:t xml:space="preserve"> on how the sector develops, how effective are the current policies, how the various donors contribute to the national sector priorities.  </w:t>
            </w:r>
          </w:p>
          <w:p w14:paraId="7658F490" w14:textId="79C5878E" w:rsidR="00C71392" w:rsidRPr="000B67C2" w:rsidRDefault="00C71392" w:rsidP="0035153C">
            <w:pPr>
              <w:spacing w:before="120" w:after="0" w:line="240" w:lineRule="auto"/>
              <w:jc w:val="both"/>
              <w:rPr>
                <w:rFonts w:ascii="Times New Roman" w:hAnsi="Times New Roman"/>
              </w:rPr>
            </w:pPr>
            <w:r w:rsidRPr="000B67C2">
              <w:rPr>
                <w:rFonts w:ascii="Times New Roman" w:hAnsi="Times New Roman"/>
                <w:lang w:val="en" w:bidi="mn-Mong-CN"/>
              </w:rPr>
              <w:t xml:space="preserve">The </w:t>
            </w:r>
            <w:r w:rsidR="00F03224" w:rsidRPr="000B67C2">
              <w:rPr>
                <w:rFonts w:ascii="Times New Roman" w:hAnsi="Times New Roman"/>
                <w:lang w:val="en" w:bidi="mn-Mong-CN"/>
              </w:rPr>
              <w:t xml:space="preserve">sector benefits of </w:t>
            </w:r>
            <w:r w:rsidR="00AB0E35" w:rsidRPr="000B67C2">
              <w:rPr>
                <w:rFonts w:ascii="Times New Roman" w:hAnsi="Times New Roman"/>
                <w:lang w:val="en" w:bidi="mn-Mong-CN"/>
              </w:rPr>
              <w:t>well-established</w:t>
            </w:r>
            <w:r w:rsidR="00F03224" w:rsidRPr="000B67C2">
              <w:rPr>
                <w:rFonts w:ascii="Times New Roman" w:hAnsi="Times New Roman"/>
                <w:lang w:val="en" w:bidi="mn-Mong-CN"/>
              </w:rPr>
              <w:t xml:space="preserve"> authorities and </w:t>
            </w:r>
            <w:r w:rsidRPr="000B67C2">
              <w:rPr>
                <w:rFonts w:ascii="Times New Roman" w:hAnsi="Times New Roman"/>
                <w:lang w:val="en" w:bidi="mn-Mong-CN"/>
              </w:rPr>
              <w:t xml:space="preserve">institutional arrangements </w:t>
            </w:r>
            <w:r w:rsidR="00F03224" w:rsidRPr="000B67C2">
              <w:rPr>
                <w:rFonts w:ascii="Times New Roman" w:hAnsi="Times New Roman"/>
                <w:lang w:val="en" w:bidi="mn-Mong-CN"/>
              </w:rPr>
              <w:t xml:space="preserve">which </w:t>
            </w:r>
            <w:r w:rsidRPr="000B67C2">
              <w:rPr>
                <w:rFonts w:ascii="Times New Roman" w:hAnsi="Times New Roman"/>
                <w:lang w:val="en" w:bidi="mn-Mong-CN"/>
              </w:rPr>
              <w:t>drive and coordinate the reform processes in the private sector development, trade, research and innovation policy areas</w:t>
            </w:r>
            <w:r w:rsidRPr="000B67C2">
              <w:rPr>
                <w:rFonts w:ascii="Times New Roman" w:hAnsi="Times New Roman"/>
                <w:iCs/>
                <w:color w:val="538135" w:themeColor="accent6" w:themeShade="BF"/>
              </w:rPr>
              <w:t xml:space="preserve">. </w:t>
            </w:r>
            <w:r w:rsidRPr="000B67C2">
              <w:rPr>
                <w:rFonts w:ascii="Times New Roman" w:hAnsi="Times New Roman"/>
                <w:lang w:val="en" w:bidi="mn-Mong-CN"/>
              </w:rPr>
              <w:t xml:space="preserve">Yet, </w:t>
            </w:r>
            <w:r w:rsidR="00F03224" w:rsidRPr="000B67C2">
              <w:rPr>
                <w:rFonts w:ascii="Times New Roman" w:hAnsi="Times New Roman"/>
                <w:lang w:val="en" w:bidi="mn-Mong-CN"/>
              </w:rPr>
              <w:t xml:space="preserve">the institutional context </w:t>
            </w:r>
            <w:r w:rsidRPr="000B67C2">
              <w:rPr>
                <w:rFonts w:ascii="Times New Roman" w:hAnsi="Times New Roman"/>
                <w:lang w:val="en" w:bidi="mn-Mong-CN"/>
              </w:rPr>
              <w:t xml:space="preserve">is very complex, </w:t>
            </w:r>
            <w:r w:rsidR="00F03224" w:rsidRPr="000B67C2">
              <w:rPr>
                <w:rFonts w:ascii="Times New Roman" w:hAnsi="Times New Roman"/>
                <w:lang w:val="en" w:bidi="mn-Mong-CN"/>
              </w:rPr>
              <w:t xml:space="preserve">it </w:t>
            </w:r>
            <w:r w:rsidRPr="000B67C2">
              <w:rPr>
                <w:rFonts w:ascii="Times New Roman" w:hAnsi="Times New Roman"/>
                <w:lang w:val="en" w:bidi="mn-Mong-CN"/>
              </w:rPr>
              <w:t xml:space="preserve">involves a number of state and independent bodies with often unclear and overlapping mandates. The role of the Cabinet of DPMEA evolved from a coordinator to a main sector policy maker and main decision-maker as regards state aid to private sector, centralizing both planning and implementing functions. At the same time the mandate, power and responsibilities of the Ministry of Economy </w:t>
            </w:r>
            <w:r w:rsidRPr="000B67C2">
              <w:rPr>
                <w:rFonts w:ascii="Times New Roman" w:hAnsi="Times New Roman"/>
                <w:lang w:val="en" w:bidi="mn-Mong-CN"/>
              </w:rPr>
              <w:lastRenderedPageBreak/>
              <w:t>shrank significantly, which had also impact on its administrative and institutional capacity.</w:t>
            </w:r>
            <w:r w:rsidRPr="000B67C2">
              <w:rPr>
                <w:rFonts w:ascii="Times New Roman" w:hAnsi="Times New Roman"/>
                <w:lang w:val="en"/>
              </w:rPr>
              <w:t xml:space="preserve"> T</w:t>
            </w:r>
            <w:r w:rsidRPr="000B67C2">
              <w:rPr>
                <w:rFonts w:ascii="Times New Roman" w:hAnsi="Times New Roman"/>
                <w:lang w:val="en" w:bidi="mn-Mong-CN"/>
              </w:rPr>
              <w:t xml:space="preserve">he administrative capacity remains weak and cannot ensure the full implementation of the adopted legislation. It is important that the country addresses the deficiency in the institutional framework as soon as possible. This would involve a thorough revision of the powers and responsibilities of the various authorities and separation of the policy making from implementation, </w:t>
            </w:r>
            <w:r w:rsidR="00054A6D" w:rsidRPr="000B67C2">
              <w:rPr>
                <w:rFonts w:ascii="Times New Roman" w:hAnsi="Times New Roman"/>
                <w:lang w:val="en" w:bidi="mn-Mong-CN"/>
              </w:rPr>
              <w:t>optimization</w:t>
            </w:r>
            <w:r w:rsidRPr="000B67C2">
              <w:rPr>
                <w:rFonts w:ascii="Times New Roman" w:hAnsi="Times New Roman"/>
                <w:lang w:val="en" w:bidi="mn-Mong-CN"/>
              </w:rPr>
              <w:t xml:space="preserve"> of the institutional set up, closing or re-activation of "sleeping" bodies, re-activation of underutilized institutional capacities.</w:t>
            </w:r>
            <w:r w:rsidRPr="000B67C2">
              <w:rPr>
                <w:rFonts w:ascii="Times New Roman" w:hAnsi="Times New Roman"/>
              </w:rPr>
              <w:t xml:space="preserve"> </w:t>
            </w:r>
            <w:r w:rsidRPr="000B67C2">
              <w:rPr>
                <w:rFonts w:ascii="Times New Roman" w:hAnsi="Times New Roman"/>
                <w:iCs/>
              </w:rPr>
              <w:t>Lack of sufficient staff, adequate level of accountability in the decision-making process and proper staff retention policy are key challenges that are to be addressed at sector level and through the ongoing Public administration reform.</w:t>
            </w:r>
          </w:p>
          <w:p w14:paraId="0CCDD55E" w14:textId="048194B8" w:rsidR="008E1388" w:rsidRPr="000B67C2" w:rsidRDefault="00C71392" w:rsidP="0035153C">
            <w:pPr>
              <w:spacing w:before="120" w:after="0" w:line="240" w:lineRule="auto"/>
              <w:jc w:val="both"/>
              <w:rPr>
                <w:rFonts w:ascii="Times New Roman" w:hAnsi="Times New Roman"/>
              </w:rPr>
            </w:pPr>
            <w:r w:rsidRPr="000B67C2">
              <w:rPr>
                <w:rFonts w:ascii="Times New Roman" w:hAnsi="Times New Roman"/>
              </w:rPr>
              <w:t xml:space="preserve">Recently North Macedonia increased it’s </w:t>
            </w:r>
            <w:r w:rsidRPr="000B67C2">
              <w:rPr>
                <w:rFonts w:ascii="Times New Roman" w:hAnsi="Times New Roman"/>
                <w:b/>
                <w:bCs/>
              </w:rPr>
              <w:t>spending on the sector</w:t>
            </w:r>
            <w:r w:rsidRPr="000B67C2">
              <w:rPr>
                <w:rStyle w:val="FootnoteReference"/>
                <w:rFonts w:ascii="Times New Roman" w:hAnsi="Times New Roman"/>
              </w:rPr>
              <w:footnoteReference w:id="5"/>
            </w:r>
            <w:r w:rsidRPr="000B67C2">
              <w:rPr>
                <w:rFonts w:ascii="Times New Roman" w:hAnsi="Times New Roman"/>
              </w:rPr>
              <w:t>, concretely: - on economic development and financial affairs by 31 % between 2018 and 2020</w:t>
            </w:r>
            <w:bookmarkStart w:id="1" w:name="_Toc33006085"/>
            <w:bookmarkStart w:id="2" w:name="_Toc33006391"/>
            <w:bookmarkStart w:id="3" w:name="_Toc33006618"/>
            <w:bookmarkStart w:id="4" w:name="_Toc33616052"/>
            <w:bookmarkStart w:id="5" w:name="_Toc33698351"/>
            <w:bookmarkStart w:id="6" w:name="_Toc33699484"/>
            <w:bookmarkStart w:id="7" w:name="_Toc33714613"/>
            <w:bookmarkEnd w:id="1"/>
            <w:bookmarkEnd w:id="2"/>
            <w:bookmarkEnd w:id="3"/>
            <w:bookmarkEnd w:id="4"/>
            <w:bookmarkEnd w:id="5"/>
            <w:bookmarkEnd w:id="6"/>
            <w:bookmarkEnd w:id="7"/>
            <w:r w:rsidRPr="000B67C2">
              <w:rPr>
                <w:rFonts w:ascii="Times New Roman" w:hAnsi="Times New Roman"/>
              </w:rPr>
              <w:t xml:space="preserve">. </w:t>
            </w:r>
            <w:r w:rsidRPr="000B67C2">
              <w:rPr>
                <w:rFonts w:ascii="Times New Roman" w:hAnsi="Times New Roman"/>
                <w:lang w:val="en" w:bidi="mn-Mong-CN"/>
              </w:rPr>
              <w:t xml:space="preserve">The total cost of the </w:t>
            </w:r>
            <w:r w:rsidRPr="000B67C2">
              <w:rPr>
                <w:rFonts w:ascii="Times New Roman" w:hAnsi="Times New Roman"/>
              </w:rPr>
              <w:t xml:space="preserve">reforms to achieve full harmonisation with the EU acquis and achieving competitive economy is still to be defined. </w:t>
            </w:r>
            <w:r w:rsidR="00645DD8" w:rsidRPr="000B67C2">
              <w:rPr>
                <w:rFonts w:ascii="Times New Roman" w:hAnsi="Times New Roman"/>
              </w:rPr>
              <w:t xml:space="preserve">COVID19 pandemic required urgent governmental reaction and significant increase of funding for business to ensure the survival of most affected enterprises. The COVID19 measures for business survival amount to almost EUR 300 million. Despite this important support, the economic statistics for 2020 shows  negative trends on all economic indicators </w:t>
            </w:r>
            <w:hyperlink r:id="rId8" w:history="1">
              <w:r w:rsidR="00645DD8" w:rsidRPr="000B67C2">
                <w:rPr>
                  <w:rStyle w:val="Hyperlink"/>
                  <w:rFonts w:ascii="Times New Roman" w:hAnsi="Times New Roman"/>
                </w:rPr>
                <w:t>http://www.stat.gov.mk/Default_en.aspx</w:t>
              </w:r>
            </w:hyperlink>
            <w:r w:rsidR="00645DD8" w:rsidRPr="000B67C2">
              <w:rPr>
                <w:rFonts w:ascii="Times New Roman" w:hAnsi="Times New Roman"/>
              </w:rPr>
              <w:t xml:space="preserve"> </w:t>
            </w:r>
          </w:p>
        </w:tc>
      </w:tr>
      <w:tr w:rsidR="00D92F6C" w:rsidRPr="000B67C2" w14:paraId="28614770" w14:textId="77777777" w:rsidTr="00E45289">
        <w:trPr>
          <w:jc w:val="center"/>
        </w:trPr>
        <w:tc>
          <w:tcPr>
            <w:tcW w:w="534" w:type="dxa"/>
            <w:vMerge/>
            <w:tcBorders>
              <w:left w:val="single" w:sz="4" w:space="0" w:color="auto"/>
              <w:bottom w:val="single" w:sz="4" w:space="0" w:color="auto"/>
              <w:right w:val="single" w:sz="4" w:space="0" w:color="auto"/>
            </w:tcBorders>
          </w:tcPr>
          <w:p w14:paraId="5FE5E784" w14:textId="77777777" w:rsidR="00D92F6C" w:rsidRPr="000B67C2" w:rsidRDefault="00D92F6C" w:rsidP="00E45289">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11EF9423" w14:textId="77777777" w:rsidR="00D92F6C" w:rsidRPr="000B67C2" w:rsidRDefault="00D92F6C" w:rsidP="00E45289">
            <w:pPr>
              <w:rPr>
                <w:rFonts w:ascii="Times New Roman" w:hAnsi="Times New Roman"/>
              </w:rPr>
            </w:pPr>
            <w:r w:rsidRPr="000B67C2">
              <w:rPr>
                <w:rFonts w:ascii="Times New Roman" w:hAnsi="Times New Roman"/>
              </w:rPr>
              <w:t>Regional dimension</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7347570C" w14:textId="38802ED2" w:rsidR="00570467" w:rsidRPr="000B67C2" w:rsidRDefault="003573DB">
            <w:pPr>
              <w:spacing w:before="120" w:after="0" w:line="240" w:lineRule="auto"/>
              <w:jc w:val="both"/>
              <w:rPr>
                <w:rFonts w:ascii="Times New Roman" w:hAnsi="Times New Roman"/>
                <w:lang w:val="en-US" w:eastAsia="en-US"/>
              </w:rPr>
            </w:pPr>
            <w:r w:rsidRPr="000B67C2">
              <w:rPr>
                <w:rFonts w:ascii="Times New Roman" w:hAnsi="Times New Roman"/>
                <w:lang w:val="en-US" w:eastAsia="en-US"/>
              </w:rPr>
              <w:t xml:space="preserve">The EU investment in green recovery will support the implementation of the European Green Deal in the territories </w:t>
            </w:r>
            <w:r w:rsidR="00054A6D" w:rsidRPr="000B67C2">
              <w:rPr>
                <w:rFonts w:ascii="Times New Roman" w:hAnsi="Times New Roman"/>
                <w:lang w:val="en-US" w:eastAsia="en-US"/>
              </w:rPr>
              <w:t>neighboring</w:t>
            </w:r>
            <w:r w:rsidRPr="000B67C2">
              <w:rPr>
                <w:rFonts w:ascii="Times New Roman" w:hAnsi="Times New Roman"/>
                <w:lang w:val="en-US" w:eastAsia="en-US"/>
              </w:rPr>
              <w:t xml:space="preserve"> the EU and will contribute to decrease of the pollution and fairer use of natural resources on the European continent. </w:t>
            </w:r>
          </w:p>
          <w:p w14:paraId="7F45808B" w14:textId="2C921935" w:rsidR="008F783C" w:rsidRPr="000B67C2" w:rsidRDefault="008F783C">
            <w:pPr>
              <w:spacing w:before="120" w:after="0" w:line="240" w:lineRule="auto"/>
              <w:jc w:val="both"/>
              <w:rPr>
                <w:rFonts w:ascii="Times New Roman" w:hAnsi="Times New Roman"/>
                <w:lang w:val="en-US" w:eastAsia="en-US"/>
              </w:rPr>
            </w:pPr>
            <w:r w:rsidRPr="000B67C2">
              <w:rPr>
                <w:rFonts w:ascii="Times New Roman" w:hAnsi="Times New Roman"/>
                <w:lang w:val="en" w:bidi="mn-Mong-CN"/>
              </w:rPr>
              <w:t>Investing in application of internal market standards will support the export and, since the EU and the Western Balkans are the main economic partners of North Macedonia</w:t>
            </w:r>
            <w:r w:rsidR="00AB0E35" w:rsidRPr="000B67C2">
              <w:rPr>
                <w:rFonts w:ascii="Times New Roman" w:hAnsi="Times New Roman"/>
                <w:lang w:val="en" w:bidi="mn-Mong-CN"/>
              </w:rPr>
              <w:t>, will</w:t>
            </w:r>
            <w:r w:rsidRPr="000B67C2">
              <w:rPr>
                <w:rFonts w:ascii="Times New Roman" w:hAnsi="Times New Roman"/>
                <w:lang w:val="en" w:bidi="mn-Mong-CN"/>
              </w:rPr>
              <w:t xml:space="preserve"> contribute</w:t>
            </w:r>
            <w:r w:rsidR="00920D22" w:rsidRPr="000B67C2">
              <w:rPr>
                <w:rFonts w:ascii="Times New Roman" w:hAnsi="Times New Roman"/>
                <w:lang w:val="en" w:bidi="mn-Mong-CN"/>
              </w:rPr>
              <w:t xml:space="preserve"> to better linking the </w:t>
            </w:r>
            <w:r w:rsidRPr="000B67C2">
              <w:rPr>
                <w:rFonts w:ascii="Times New Roman" w:hAnsi="Times New Roman"/>
                <w:lang w:val="en" w:bidi="mn-Mong-CN"/>
              </w:rPr>
              <w:t xml:space="preserve">national value chains </w:t>
            </w:r>
            <w:r w:rsidR="00920D22" w:rsidRPr="000B67C2">
              <w:rPr>
                <w:rFonts w:ascii="Times New Roman" w:hAnsi="Times New Roman"/>
                <w:lang w:val="en" w:bidi="mn-Mong-CN"/>
              </w:rPr>
              <w:t>with the EU and regional markets.</w:t>
            </w:r>
          </w:p>
        </w:tc>
      </w:tr>
      <w:tr w:rsidR="00D92F6C" w:rsidRPr="000B67C2" w14:paraId="3CE23F05" w14:textId="77777777" w:rsidTr="00E45289">
        <w:trPr>
          <w:jc w:val="center"/>
        </w:trPr>
        <w:tc>
          <w:tcPr>
            <w:tcW w:w="2802" w:type="dxa"/>
            <w:gridSpan w:val="2"/>
            <w:tcBorders>
              <w:top w:val="single" w:sz="4" w:space="0" w:color="auto"/>
              <w:left w:val="single" w:sz="4" w:space="0" w:color="auto"/>
              <w:bottom w:val="single" w:sz="4" w:space="0" w:color="auto"/>
              <w:right w:val="single" w:sz="4" w:space="0" w:color="auto"/>
            </w:tcBorders>
          </w:tcPr>
          <w:p w14:paraId="36FE5FBE" w14:textId="77777777" w:rsidR="00D92F6C" w:rsidRPr="000B67C2" w:rsidRDefault="00D92F6C" w:rsidP="00E45289">
            <w:pPr>
              <w:rPr>
                <w:rFonts w:ascii="Times New Roman" w:hAnsi="Times New Roman"/>
              </w:rPr>
            </w:pPr>
            <w:r w:rsidRPr="000B67C2">
              <w:rPr>
                <w:rFonts w:ascii="Times New Roman" w:hAnsi="Times New Roman"/>
              </w:rPr>
              <w:t>Indicative budget</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57ABBD82" w14:textId="563A4B8D" w:rsidR="009B6E58" w:rsidRPr="000B67C2" w:rsidRDefault="00C6650E" w:rsidP="009B6E58">
            <w:pPr>
              <w:spacing w:after="120" w:line="240" w:lineRule="auto"/>
              <w:jc w:val="both"/>
              <w:rPr>
                <w:rFonts w:ascii="Times New Roman" w:hAnsi="Times New Roman"/>
                <w:iCs/>
              </w:rPr>
            </w:pPr>
            <w:r w:rsidRPr="000B67C2">
              <w:rPr>
                <w:rFonts w:ascii="Times New Roman" w:hAnsi="Times New Roman"/>
                <w:iCs/>
              </w:rPr>
              <w:t>Total</w:t>
            </w:r>
            <w:r w:rsidR="000E5170" w:rsidRPr="000B67C2">
              <w:rPr>
                <w:rFonts w:ascii="Times New Roman" w:hAnsi="Times New Roman"/>
                <w:iCs/>
              </w:rPr>
              <w:t xml:space="preserve"> budget</w:t>
            </w:r>
            <w:r w:rsidR="001E4D0E" w:rsidRPr="000B67C2">
              <w:rPr>
                <w:rFonts w:ascii="Times New Roman" w:hAnsi="Times New Roman"/>
                <w:iCs/>
              </w:rPr>
              <w:t>:</w:t>
            </w:r>
            <w:r w:rsidRPr="000B67C2">
              <w:rPr>
                <w:rFonts w:ascii="Times New Roman" w:hAnsi="Times New Roman"/>
                <w:iCs/>
              </w:rPr>
              <w:t xml:space="preserve"> </w:t>
            </w:r>
            <w:r w:rsidR="000E5170" w:rsidRPr="000B67C2">
              <w:rPr>
                <w:rFonts w:ascii="Times New Roman" w:hAnsi="Times New Roman"/>
                <w:bCs/>
                <w:iCs/>
              </w:rPr>
              <w:t>EUR</w:t>
            </w:r>
            <w:r w:rsidR="000E5170" w:rsidRPr="000B67C2">
              <w:rPr>
                <w:rFonts w:ascii="Times New Roman" w:hAnsi="Times New Roman"/>
                <w:iCs/>
              </w:rPr>
              <w:t xml:space="preserve"> </w:t>
            </w:r>
            <w:r w:rsidR="001B2B3E" w:rsidRPr="000B67C2">
              <w:rPr>
                <w:rFonts w:ascii="Times New Roman" w:hAnsi="Times New Roman"/>
                <w:iCs/>
              </w:rPr>
              <w:t>27,500,000</w:t>
            </w:r>
          </w:p>
          <w:p w14:paraId="72921AFC" w14:textId="3D31F20C" w:rsidR="00D92F6C" w:rsidRPr="000B67C2" w:rsidRDefault="00C6650E" w:rsidP="002A39A3">
            <w:pPr>
              <w:spacing w:after="120" w:line="240" w:lineRule="auto"/>
              <w:jc w:val="both"/>
              <w:rPr>
                <w:rFonts w:ascii="Times New Roman" w:hAnsi="Times New Roman"/>
                <w:iCs/>
              </w:rPr>
            </w:pPr>
            <w:r w:rsidRPr="000B67C2">
              <w:rPr>
                <w:rFonts w:ascii="Times New Roman" w:hAnsi="Times New Roman"/>
                <w:iCs/>
              </w:rPr>
              <w:t>EU funding</w:t>
            </w:r>
            <w:r w:rsidR="001E4D0E" w:rsidRPr="000B67C2">
              <w:rPr>
                <w:rFonts w:ascii="Times New Roman" w:hAnsi="Times New Roman"/>
                <w:iCs/>
              </w:rPr>
              <w:t>:</w:t>
            </w:r>
            <w:r w:rsidRPr="000B67C2">
              <w:rPr>
                <w:rFonts w:ascii="Times New Roman" w:hAnsi="Times New Roman"/>
                <w:iCs/>
              </w:rPr>
              <w:t xml:space="preserve"> </w:t>
            </w:r>
            <w:r w:rsidR="000E5170" w:rsidRPr="000B67C2">
              <w:rPr>
                <w:rFonts w:ascii="Times New Roman" w:hAnsi="Times New Roman"/>
                <w:iCs/>
              </w:rPr>
              <w:t xml:space="preserve">EUR </w:t>
            </w:r>
            <w:r w:rsidR="001B2B3E" w:rsidRPr="000B67C2">
              <w:rPr>
                <w:rFonts w:ascii="Times New Roman" w:hAnsi="Times New Roman"/>
                <w:iCs/>
              </w:rPr>
              <w:t>20,000,000</w:t>
            </w:r>
          </w:p>
          <w:p w14:paraId="6A2231ED" w14:textId="50846E96" w:rsidR="00237F90" w:rsidRPr="000B67C2" w:rsidRDefault="00237F90" w:rsidP="000E5170">
            <w:pPr>
              <w:spacing w:after="120" w:line="240" w:lineRule="auto"/>
              <w:jc w:val="both"/>
              <w:rPr>
                <w:rFonts w:ascii="Times New Roman" w:hAnsi="Times New Roman"/>
                <w:bCs/>
              </w:rPr>
            </w:pPr>
            <w:r w:rsidRPr="000B67C2">
              <w:rPr>
                <w:rFonts w:ascii="Times New Roman" w:hAnsi="Times New Roman"/>
                <w:bCs/>
              </w:rPr>
              <w:t xml:space="preserve">National Funding: </w:t>
            </w:r>
            <w:r w:rsidR="000E5170" w:rsidRPr="000B67C2">
              <w:rPr>
                <w:rFonts w:ascii="Times New Roman" w:hAnsi="Times New Roman"/>
                <w:bCs/>
              </w:rPr>
              <w:t xml:space="preserve">EUR </w:t>
            </w:r>
            <w:r w:rsidR="001B2B3E" w:rsidRPr="000B67C2">
              <w:rPr>
                <w:rFonts w:ascii="Times New Roman" w:hAnsi="Times New Roman"/>
                <w:bCs/>
              </w:rPr>
              <w:t>7,500,000</w:t>
            </w:r>
          </w:p>
        </w:tc>
      </w:tr>
      <w:tr w:rsidR="00D92F6C" w:rsidRPr="000B67C2" w14:paraId="4FD788A1" w14:textId="77777777" w:rsidTr="00E45289">
        <w:trPr>
          <w:jc w:val="center"/>
        </w:trPr>
        <w:tc>
          <w:tcPr>
            <w:tcW w:w="2802" w:type="dxa"/>
            <w:gridSpan w:val="2"/>
            <w:tcBorders>
              <w:top w:val="single" w:sz="4" w:space="0" w:color="auto"/>
              <w:left w:val="single" w:sz="4" w:space="0" w:color="auto"/>
              <w:bottom w:val="single" w:sz="4" w:space="0" w:color="auto"/>
              <w:right w:val="single" w:sz="4" w:space="0" w:color="auto"/>
            </w:tcBorders>
          </w:tcPr>
          <w:p w14:paraId="4E986833" w14:textId="77777777" w:rsidR="00D92F6C" w:rsidRPr="000B67C2" w:rsidRDefault="00D92F6C" w:rsidP="00E45289">
            <w:pPr>
              <w:rPr>
                <w:rFonts w:ascii="Times New Roman" w:hAnsi="Times New Roman"/>
              </w:rPr>
            </w:pPr>
            <w:r w:rsidRPr="000B67C2">
              <w:rPr>
                <w:rFonts w:ascii="Times New Roman" w:hAnsi="Times New Roman"/>
              </w:rPr>
              <w:t>Implementation Modality</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47E24E02" w14:textId="5FA5D7D5" w:rsidR="001B02B9" w:rsidRPr="000B67C2" w:rsidRDefault="00156896" w:rsidP="002A39A3">
            <w:pPr>
              <w:spacing w:after="120" w:line="240" w:lineRule="auto"/>
              <w:jc w:val="both"/>
              <w:rPr>
                <w:rFonts w:ascii="Times New Roman" w:hAnsi="Times New Roman"/>
                <w:i/>
              </w:rPr>
            </w:pPr>
            <w:r w:rsidRPr="000B67C2">
              <w:rPr>
                <w:rFonts w:ascii="Times New Roman" w:hAnsi="Times New Roman"/>
                <w:iCs/>
              </w:rPr>
              <w:t>The Action is implemented under Direct Management, and entails procurement of services and a grant scheme.</w:t>
            </w:r>
          </w:p>
        </w:tc>
      </w:tr>
      <w:tr w:rsidR="00D92F6C" w:rsidRPr="000B67C2" w14:paraId="49356314" w14:textId="77777777" w:rsidTr="0035153C">
        <w:trPr>
          <w:trHeight w:val="416"/>
          <w:jc w:val="center"/>
        </w:trPr>
        <w:tc>
          <w:tcPr>
            <w:tcW w:w="2802" w:type="dxa"/>
            <w:gridSpan w:val="2"/>
            <w:tcBorders>
              <w:top w:val="single" w:sz="4" w:space="0" w:color="auto"/>
              <w:left w:val="single" w:sz="4" w:space="0" w:color="auto"/>
              <w:bottom w:val="single" w:sz="4" w:space="0" w:color="auto"/>
              <w:right w:val="single" w:sz="4" w:space="0" w:color="auto"/>
            </w:tcBorders>
          </w:tcPr>
          <w:p w14:paraId="1AA16387" w14:textId="77777777" w:rsidR="00D92F6C" w:rsidRPr="000B67C2" w:rsidRDefault="00D92F6C" w:rsidP="000E5170">
            <w:pPr>
              <w:rPr>
                <w:rFonts w:ascii="Times New Roman" w:hAnsi="Times New Roman"/>
              </w:rPr>
            </w:pPr>
            <w:r w:rsidRPr="000B67C2">
              <w:rPr>
                <w:rFonts w:ascii="Times New Roman" w:hAnsi="Times New Roman"/>
              </w:rPr>
              <w:t xml:space="preserve">Budget Support Readiness </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3C74001E" w14:textId="77777777" w:rsidR="00D92F6C" w:rsidRPr="000B67C2" w:rsidRDefault="00AD107F" w:rsidP="00E45289">
            <w:pPr>
              <w:spacing w:after="120" w:line="240" w:lineRule="auto"/>
              <w:jc w:val="both"/>
              <w:rPr>
                <w:rFonts w:ascii="Times New Roman" w:hAnsi="Times New Roman"/>
                <w:i/>
              </w:rPr>
            </w:pPr>
            <w:r w:rsidRPr="000B67C2">
              <w:rPr>
                <w:rFonts w:ascii="Times New Roman" w:hAnsi="Times New Roman"/>
                <w:iCs/>
              </w:rPr>
              <w:t>Not applicable</w:t>
            </w:r>
          </w:p>
        </w:tc>
      </w:tr>
    </w:tbl>
    <w:p w14:paraId="2026CA7D" w14:textId="77777777" w:rsidR="00D92F6C" w:rsidRPr="000B67C2" w:rsidRDefault="00D92F6C" w:rsidP="00D92F6C">
      <w:pPr>
        <w:spacing w:after="0" w:line="240" w:lineRule="auto"/>
        <w:jc w:val="both"/>
        <w:rPr>
          <w:rFonts w:ascii="Times New Roman" w:hAnsi="Times New Roman"/>
          <w:i/>
        </w:rPr>
        <w:sectPr w:rsidR="00D92F6C" w:rsidRPr="000B67C2">
          <w:pgSz w:w="11906" w:h="16838"/>
          <w:pgMar w:top="1440" w:right="1440" w:bottom="1440" w:left="1440" w:header="708" w:footer="708" w:gutter="0"/>
          <w:cols w:space="708"/>
          <w:docGrid w:linePitch="360"/>
        </w:sectPr>
      </w:pPr>
    </w:p>
    <w:p w14:paraId="213E669E" w14:textId="77777777" w:rsidR="003C0BF5" w:rsidRPr="000B67C2" w:rsidRDefault="003C0BF5" w:rsidP="003C0BF5">
      <w:pPr>
        <w:rPr>
          <w:rFonts w:ascii="Times New Roman" w:hAnsi="Times New Roman"/>
          <w:bCs/>
          <w:smallCaps/>
          <w:lang w:val="fr-FR"/>
        </w:rPr>
      </w:pPr>
      <w:bookmarkStart w:id="8" w:name="_Toc33698402"/>
      <w:r w:rsidRPr="000B67C2">
        <w:rPr>
          <w:rFonts w:ascii="Times New Roman" w:hAnsi="Times New Roman"/>
          <w:b/>
          <w:bCs/>
          <w:smallCaps/>
          <w:lang w:val="fr-FR"/>
        </w:rPr>
        <w:lastRenderedPageBreak/>
        <w:t xml:space="preserve">LOGICAL FRAMEWORK MATRIX </w:t>
      </w:r>
      <w:bookmarkEnd w:id="8"/>
    </w:p>
    <w:tbl>
      <w:tblPr>
        <w:tblpPr w:leftFromText="180" w:rightFromText="180" w:vertAnchor="text" w:tblpX="-639" w:tblpY="1"/>
        <w:tblOverlap w:val="never"/>
        <w:tblW w:w="15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3402"/>
        <w:gridCol w:w="3969"/>
        <w:gridCol w:w="1419"/>
        <w:gridCol w:w="1418"/>
        <w:gridCol w:w="1418"/>
        <w:gridCol w:w="1557"/>
        <w:gridCol w:w="2126"/>
      </w:tblGrid>
      <w:tr w:rsidR="003C0BF5" w:rsidRPr="000B67C2" w14:paraId="3080AB65" w14:textId="77777777" w:rsidTr="00FA04A3">
        <w:trPr>
          <w:trHeight w:val="827"/>
        </w:trPr>
        <w:tc>
          <w:tcPr>
            <w:tcW w:w="3402" w:type="dxa"/>
            <w:shd w:val="clear" w:color="auto" w:fill="FFFFFF"/>
          </w:tcPr>
          <w:p w14:paraId="71F3887F" w14:textId="77777777" w:rsidR="003C0BF5" w:rsidRPr="000B67C2" w:rsidRDefault="003C0BF5" w:rsidP="00FA04A3">
            <w:pPr>
              <w:shd w:val="clear" w:color="auto" w:fill="FFFFFF"/>
              <w:spacing w:before="100" w:beforeAutospacing="1" w:after="100" w:afterAutospacing="1"/>
              <w:jc w:val="center"/>
              <w:rPr>
                <w:rFonts w:ascii="Times New Roman" w:hAnsi="Times New Roman"/>
                <w:b/>
              </w:rPr>
            </w:pPr>
            <w:r w:rsidRPr="000B67C2">
              <w:rPr>
                <w:rFonts w:ascii="Times New Roman" w:hAnsi="Times New Roman"/>
                <w:b/>
              </w:rPr>
              <w:t>OVERALL OBJECTIVE(S) / (IMPACT(S))</w:t>
            </w:r>
          </w:p>
        </w:tc>
        <w:tc>
          <w:tcPr>
            <w:tcW w:w="3969" w:type="dxa"/>
            <w:shd w:val="clear" w:color="auto" w:fill="FFFFFF"/>
          </w:tcPr>
          <w:p w14:paraId="26C86CD2" w14:textId="77777777" w:rsidR="003C0BF5" w:rsidRPr="000B67C2" w:rsidRDefault="003C0BF5" w:rsidP="00FA04A3">
            <w:pPr>
              <w:shd w:val="clear" w:color="auto" w:fill="FFFFFF"/>
              <w:spacing w:after="0"/>
              <w:jc w:val="center"/>
              <w:rPr>
                <w:rFonts w:ascii="Times New Roman" w:hAnsi="Times New Roman"/>
                <w:b/>
              </w:rPr>
            </w:pPr>
            <w:r w:rsidRPr="000B67C2">
              <w:rPr>
                <w:rFonts w:ascii="Times New Roman" w:hAnsi="Times New Roman"/>
                <w:b/>
              </w:rPr>
              <w:t>OBJECTIVELY VERIFIABLE INDICATORS</w:t>
            </w:r>
          </w:p>
          <w:p w14:paraId="7203715A" w14:textId="77777777" w:rsidR="003C0BF5" w:rsidRPr="000B67C2" w:rsidRDefault="003C0BF5" w:rsidP="00FA04A3">
            <w:pPr>
              <w:shd w:val="clear" w:color="auto" w:fill="FFFFFF"/>
              <w:spacing w:after="0"/>
              <w:jc w:val="center"/>
              <w:rPr>
                <w:rFonts w:ascii="Times New Roman" w:hAnsi="Times New Roman"/>
                <w:b/>
              </w:rPr>
            </w:pPr>
          </w:p>
        </w:tc>
        <w:tc>
          <w:tcPr>
            <w:tcW w:w="1419" w:type="dxa"/>
            <w:shd w:val="clear" w:color="auto" w:fill="FFFFFF"/>
          </w:tcPr>
          <w:p w14:paraId="09208B53" w14:textId="77777777" w:rsidR="003C0BF5" w:rsidRPr="000B67C2" w:rsidRDefault="003C0BF5" w:rsidP="00FA04A3">
            <w:pPr>
              <w:shd w:val="clear" w:color="auto" w:fill="FFFFFF"/>
              <w:jc w:val="center"/>
              <w:rPr>
                <w:rFonts w:ascii="Times New Roman" w:hAnsi="Times New Roman"/>
                <w:b/>
              </w:rPr>
            </w:pPr>
            <w:r w:rsidRPr="000B67C2">
              <w:rPr>
                <w:rFonts w:ascii="Times New Roman" w:hAnsi="Times New Roman"/>
                <w:b/>
              </w:rPr>
              <w:t>BASELINES</w:t>
            </w:r>
          </w:p>
          <w:p w14:paraId="408DABEB" w14:textId="77777777" w:rsidR="003C0BF5" w:rsidRPr="000B67C2" w:rsidRDefault="003C0BF5" w:rsidP="00FA04A3">
            <w:pPr>
              <w:shd w:val="clear" w:color="auto" w:fill="FFFFFF"/>
              <w:spacing w:after="0"/>
              <w:jc w:val="center"/>
              <w:rPr>
                <w:rFonts w:ascii="Times New Roman" w:hAnsi="Times New Roman"/>
                <w:b/>
              </w:rPr>
            </w:pPr>
          </w:p>
        </w:tc>
        <w:tc>
          <w:tcPr>
            <w:tcW w:w="1418" w:type="dxa"/>
            <w:shd w:val="clear" w:color="auto" w:fill="FFFFFF"/>
          </w:tcPr>
          <w:p w14:paraId="16093C20" w14:textId="77777777" w:rsidR="003C0BF5" w:rsidRPr="000B67C2" w:rsidRDefault="003C0BF5" w:rsidP="00FA04A3">
            <w:pPr>
              <w:shd w:val="clear" w:color="auto" w:fill="FFFFFF"/>
              <w:spacing w:after="0"/>
              <w:jc w:val="center"/>
              <w:rPr>
                <w:rFonts w:ascii="Times New Roman" w:hAnsi="Times New Roman"/>
                <w:b/>
              </w:rPr>
            </w:pPr>
            <w:r w:rsidRPr="000B67C2">
              <w:rPr>
                <w:rFonts w:ascii="Times New Roman" w:hAnsi="Times New Roman"/>
                <w:b/>
              </w:rPr>
              <w:t>MILESTONES</w:t>
            </w:r>
          </w:p>
        </w:tc>
        <w:tc>
          <w:tcPr>
            <w:tcW w:w="1418" w:type="dxa"/>
            <w:shd w:val="clear" w:color="auto" w:fill="FFFFFF"/>
          </w:tcPr>
          <w:p w14:paraId="7B5464B9" w14:textId="77777777" w:rsidR="003C0BF5" w:rsidRPr="000B67C2" w:rsidRDefault="003C0BF5" w:rsidP="00FA04A3">
            <w:pPr>
              <w:shd w:val="clear" w:color="auto" w:fill="FFFFFF"/>
              <w:jc w:val="center"/>
              <w:rPr>
                <w:rFonts w:ascii="Times New Roman" w:hAnsi="Times New Roman"/>
                <w:b/>
              </w:rPr>
            </w:pPr>
            <w:r w:rsidRPr="000B67C2">
              <w:rPr>
                <w:rFonts w:ascii="Times New Roman" w:hAnsi="Times New Roman"/>
                <w:b/>
              </w:rPr>
              <w:t>TARGETS</w:t>
            </w:r>
          </w:p>
        </w:tc>
        <w:tc>
          <w:tcPr>
            <w:tcW w:w="1557" w:type="dxa"/>
            <w:shd w:val="clear" w:color="auto" w:fill="FFFFFF"/>
          </w:tcPr>
          <w:p w14:paraId="6FA909E3" w14:textId="77777777" w:rsidR="003C0BF5" w:rsidRPr="000B67C2" w:rsidRDefault="003C0BF5" w:rsidP="00FA04A3">
            <w:pPr>
              <w:shd w:val="clear" w:color="auto" w:fill="FFFFFF"/>
              <w:spacing w:after="0"/>
              <w:jc w:val="center"/>
              <w:rPr>
                <w:rFonts w:ascii="Times New Roman" w:hAnsi="Times New Roman"/>
              </w:rPr>
            </w:pPr>
            <w:r w:rsidRPr="000B67C2">
              <w:rPr>
                <w:rFonts w:ascii="Times New Roman" w:hAnsi="Times New Roman"/>
                <w:b/>
              </w:rPr>
              <w:t>SOURCES &amp; MEANS OF VERIFICATION</w:t>
            </w:r>
          </w:p>
        </w:tc>
        <w:tc>
          <w:tcPr>
            <w:tcW w:w="2126" w:type="dxa"/>
            <w:vMerge w:val="restart"/>
            <w:tcBorders>
              <w:top w:val="nil"/>
              <w:right w:val="nil"/>
            </w:tcBorders>
            <w:shd w:val="clear" w:color="auto" w:fill="FFFFFF"/>
          </w:tcPr>
          <w:p w14:paraId="42ED2CE5" w14:textId="77777777" w:rsidR="003C0BF5" w:rsidRPr="000B67C2" w:rsidRDefault="003C0BF5" w:rsidP="00FA04A3">
            <w:pPr>
              <w:shd w:val="clear" w:color="auto" w:fill="FFFFFF"/>
              <w:spacing w:after="0"/>
              <w:jc w:val="center"/>
              <w:rPr>
                <w:rFonts w:ascii="Times New Roman" w:hAnsi="Times New Roman"/>
              </w:rPr>
            </w:pPr>
          </w:p>
          <w:p w14:paraId="1FE02888" w14:textId="77777777" w:rsidR="003C0BF5" w:rsidRPr="000B67C2" w:rsidRDefault="003C0BF5" w:rsidP="00FA04A3">
            <w:pPr>
              <w:shd w:val="clear" w:color="auto" w:fill="FFFFFF"/>
              <w:spacing w:after="0"/>
              <w:jc w:val="center"/>
              <w:rPr>
                <w:rFonts w:ascii="Times New Roman" w:hAnsi="Times New Roman"/>
              </w:rPr>
            </w:pPr>
          </w:p>
          <w:p w14:paraId="757FACFD" w14:textId="77777777" w:rsidR="003C0BF5" w:rsidRPr="000B67C2" w:rsidRDefault="003C0BF5" w:rsidP="00FA04A3">
            <w:pPr>
              <w:shd w:val="clear" w:color="auto" w:fill="FFFFFF"/>
              <w:spacing w:after="0"/>
              <w:jc w:val="center"/>
              <w:rPr>
                <w:rFonts w:ascii="Times New Roman" w:hAnsi="Times New Roman"/>
              </w:rPr>
            </w:pPr>
          </w:p>
          <w:p w14:paraId="3E1C5FF8" w14:textId="77777777" w:rsidR="003C0BF5" w:rsidRPr="000B67C2" w:rsidRDefault="003C0BF5" w:rsidP="00FA04A3">
            <w:pPr>
              <w:shd w:val="clear" w:color="auto" w:fill="FFFFFF"/>
              <w:spacing w:after="0"/>
              <w:jc w:val="center"/>
              <w:rPr>
                <w:rFonts w:ascii="Times New Roman" w:hAnsi="Times New Roman"/>
              </w:rPr>
            </w:pPr>
          </w:p>
          <w:p w14:paraId="619A82E3" w14:textId="77777777" w:rsidR="003C0BF5" w:rsidRPr="000B67C2" w:rsidRDefault="003C0BF5" w:rsidP="00FA04A3">
            <w:pPr>
              <w:shd w:val="clear" w:color="auto" w:fill="FFFFFF"/>
              <w:spacing w:after="0"/>
              <w:jc w:val="center"/>
              <w:rPr>
                <w:rFonts w:ascii="Times New Roman" w:hAnsi="Times New Roman"/>
              </w:rPr>
            </w:pPr>
          </w:p>
          <w:p w14:paraId="7F9C177A" w14:textId="77777777" w:rsidR="003C0BF5" w:rsidRPr="000B67C2" w:rsidRDefault="003C0BF5" w:rsidP="00FA04A3">
            <w:pPr>
              <w:shd w:val="clear" w:color="auto" w:fill="FFFFFF"/>
              <w:spacing w:after="0"/>
              <w:jc w:val="center"/>
              <w:rPr>
                <w:rFonts w:ascii="Times New Roman" w:hAnsi="Times New Roman"/>
              </w:rPr>
            </w:pPr>
          </w:p>
          <w:p w14:paraId="223D9B6F" w14:textId="77777777" w:rsidR="003C0BF5" w:rsidRPr="000B67C2" w:rsidRDefault="003C0BF5" w:rsidP="00FA04A3">
            <w:pPr>
              <w:shd w:val="clear" w:color="auto" w:fill="FFFFFF"/>
              <w:spacing w:after="0"/>
              <w:jc w:val="center"/>
              <w:rPr>
                <w:rFonts w:ascii="Times New Roman" w:hAnsi="Times New Roman"/>
              </w:rPr>
            </w:pPr>
          </w:p>
        </w:tc>
      </w:tr>
      <w:tr w:rsidR="003C0BF5" w:rsidRPr="000B67C2" w14:paraId="458185C9" w14:textId="77777777" w:rsidTr="001B2B3E">
        <w:trPr>
          <w:trHeight w:val="412"/>
        </w:trPr>
        <w:tc>
          <w:tcPr>
            <w:tcW w:w="3402" w:type="dxa"/>
            <w:vMerge w:val="restart"/>
            <w:shd w:val="clear" w:color="auto" w:fill="FFFFFF"/>
          </w:tcPr>
          <w:p w14:paraId="533C12C3" w14:textId="3333BB55" w:rsidR="003C0BF5" w:rsidRPr="000B67C2" w:rsidRDefault="003C0BF5" w:rsidP="00523537">
            <w:pPr>
              <w:shd w:val="clear" w:color="auto" w:fill="FFFFFF"/>
              <w:spacing w:before="60" w:after="0"/>
              <w:rPr>
                <w:rFonts w:ascii="Times New Roman" w:hAnsi="Times New Roman"/>
                <w:b/>
              </w:rPr>
            </w:pPr>
            <w:r w:rsidRPr="000B67C2">
              <w:rPr>
                <w:rFonts w:ascii="Times New Roman" w:hAnsi="Times New Roman"/>
              </w:rPr>
              <w:t xml:space="preserve">To </w:t>
            </w:r>
            <w:r w:rsidR="00CA5BC2" w:rsidRPr="000B67C2">
              <w:rPr>
                <w:rFonts w:ascii="Times New Roman" w:hAnsi="Times New Roman"/>
              </w:rPr>
              <w:t xml:space="preserve">improve the sustainability and competitiveness of the </w:t>
            </w:r>
            <w:r w:rsidRPr="000B67C2">
              <w:rPr>
                <w:rFonts w:ascii="Times New Roman" w:hAnsi="Times New Roman"/>
              </w:rPr>
              <w:t xml:space="preserve"> </w:t>
            </w:r>
            <w:r w:rsidR="004349D7" w:rsidRPr="000B67C2">
              <w:rPr>
                <w:rFonts w:ascii="Times New Roman" w:hAnsi="Times New Roman"/>
              </w:rPr>
              <w:t xml:space="preserve">Macedonian </w:t>
            </w:r>
            <w:r w:rsidR="00CA5BC2" w:rsidRPr="000B67C2">
              <w:rPr>
                <w:rFonts w:ascii="Times New Roman" w:hAnsi="Times New Roman"/>
              </w:rPr>
              <w:t>economy</w:t>
            </w:r>
            <w:r w:rsidR="004349D7" w:rsidRPr="000B67C2" w:rsidDel="00072C1F">
              <w:rPr>
                <w:rFonts w:ascii="Times New Roman" w:hAnsi="Times New Roman"/>
              </w:rPr>
              <w:t xml:space="preserve"> </w:t>
            </w:r>
          </w:p>
        </w:tc>
        <w:tc>
          <w:tcPr>
            <w:tcW w:w="3969" w:type="dxa"/>
            <w:shd w:val="clear" w:color="auto" w:fill="auto"/>
          </w:tcPr>
          <w:p w14:paraId="5CA32D72" w14:textId="32C15FC7" w:rsidR="003C0BF5" w:rsidRPr="000B67C2" w:rsidRDefault="003C0BF5" w:rsidP="00FA04A3">
            <w:pPr>
              <w:shd w:val="clear" w:color="auto" w:fill="FFFFFF"/>
              <w:spacing w:after="0"/>
              <w:rPr>
                <w:rFonts w:ascii="Times New Roman" w:hAnsi="Times New Roman"/>
              </w:rPr>
            </w:pPr>
            <w:r w:rsidRPr="000B67C2">
              <w:rPr>
                <w:rFonts w:ascii="Times New Roman" w:hAnsi="Times New Roman"/>
              </w:rPr>
              <w:t>Global Competitiveness Index</w:t>
            </w:r>
          </w:p>
        </w:tc>
        <w:tc>
          <w:tcPr>
            <w:tcW w:w="1419" w:type="dxa"/>
            <w:shd w:val="clear" w:color="auto" w:fill="auto"/>
          </w:tcPr>
          <w:p w14:paraId="30F8128F" w14:textId="3F841F3F" w:rsidR="003C0BF5" w:rsidRPr="000B67C2" w:rsidRDefault="003C0BF5" w:rsidP="001B2B3E">
            <w:pPr>
              <w:autoSpaceDE w:val="0"/>
              <w:autoSpaceDN w:val="0"/>
              <w:adjustRightInd w:val="0"/>
              <w:spacing w:after="0"/>
              <w:jc w:val="both"/>
              <w:rPr>
                <w:rFonts w:ascii="Times New Roman" w:hAnsi="Times New Roman"/>
              </w:rPr>
            </w:pPr>
            <w:r w:rsidRPr="000B67C2">
              <w:rPr>
                <w:rFonts w:ascii="Times New Roman" w:hAnsi="Times New Roman"/>
              </w:rPr>
              <w:t>84</w:t>
            </w:r>
            <w:r w:rsidRPr="000B67C2">
              <w:rPr>
                <w:rFonts w:ascii="Times New Roman" w:hAnsi="Times New Roman"/>
                <w:vertAlign w:val="superscript"/>
              </w:rPr>
              <w:t>th</w:t>
            </w:r>
            <w:r w:rsidRPr="000B67C2">
              <w:rPr>
                <w:rFonts w:ascii="Times New Roman" w:hAnsi="Times New Roman"/>
              </w:rPr>
              <w:t xml:space="preserve"> (2019)</w:t>
            </w:r>
          </w:p>
        </w:tc>
        <w:tc>
          <w:tcPr>
            <w:tcW w:w="1418" w:type="dxa"/>
            <w:shd w:val="clear" w:color="auto" w:fill="auto"/>
          </w:tcPr>
          <w:p w14:paraId="37ECBE02" w14:textId="77777777" w:rsidR="003C0BF5" w:rsidRPr="000B67C2" w:rsidRDefault="003C0BF5" w:rsidP="00FA04A3">
            <w:pPr>
              <w:autoSpaceDE w:val="0"/>
              <w:autoSpaceDN w:val="0"/>
              <w:adjustRightInd w:val="0"/>
              <w:spacing w:after="0"/>
              <w:jc w:val="both"/>
              <w:rPr>
                <w:rFonts w:ascii="Times New Roman" w:hAnsi="Times New Roman"/>
                <w:bCs/>
              </w:rPr>
            </w:pPr>
          </w:p>
          <w:p w14:paraId="10422633" w14:textId="77777777" w:rsidR="003C0BF5" w:rsidRPr="000B67C2" w:rsidRDefault="003C0BF5" w:rsidP="00FA04A3">
            <w:pPr>
              <w:shd w:val="clear" w:color="auto" w:fill="FFFFFF"/>
              <w:spacing w:after="0"/>
              <w:rPr>
                <w:rFonts w:ascii="Times New Roman" w:hAnsi="Times New Roman"/>
                <w:bCs/>
              </w:rPr>
            </w:pPr>
          </w:p>
        </w:tc>
        <w:tc>
          <w:tcPr>
            <w:tcW w:w="1418" w:type="dxa"/>
          </w:tcPr>
          <w:p w14:paraId="54C03357" w14:textId="77777777" w:rsidR="003C0BF5" w:rsidRPr="000B67C2" w:rsidRDefault="003C0BF5" w:rsidP="00FA04A3">
            <w:pPr>
              <w:shd w:val="clear" w:color="auto" w:fill="FFFFFF"/>
              <w:rPr>
                <w:rFonts w:ascii="Times New Roman" w:hAnsi="Times New Roman"/>
                <w:bCs/>
              </w:rPr>
            </w:pPr>
            <w:r w:rsidRPr="000B67C2">
              <w:rPr>
                <w:rFonts w:ascii="Times New Roman" w:hAnsi="Times New Roman"/>
                <w:bCs/>
              </w:rPr>
              <w:t>75</w:t>
            </w:r>
            <w:r w:rsidRPr="000B67C2">
              <w:rPr>
                <w:rFonts w:ascii="Times New Roman" w:hAnsi="Times New Roman"/>
                <w:bCs/>
                <w:vertAlign w:val="superscript"/>
              </w:rPr>
              <w:t>th</w:t>
            </w:r>
            <w:r w:rsidRPr="000B67C2">
              <w:rPr>
                <w:rFonts w:ascii="Times New Roman" w:hAnsi="Times New Roman"/>
                <w:bCs/>
              </w:rPr>
              <w:t xml:space="preserve">  (2027)</w:t>
            </w:r>
          </w:p>
        </w:tc>
        <w:tc>
          <w:tcPr>
            <w:tcW w:w="1557" w:type="dxa"/>
            <w:shd w:val="clear" w:color="auto" w:fill="FFFFFF"/>
          </w:tcPr>
          <w:p w14:paraId="6C7E6F03" w14:textId="2C8F8714" w:rsidR="003C0BF5" w:rsidRPr="000B67C2" w:rsidRDefault="00167E70" w:rsidP="00FA04A3">
            <w:pPr>
              <w:shd w:val="clear" w:color="auto" w:fill="FFFFFF"/>
              <w:spacing w:after="0"/>
              <w:rPr>
                <w:rFonts w:ascii="Times New Roman" w:hAnsi="Times New Roman"/>
                <w:bCs/>
              </w:rPr>
            </w:pPr>
            <w:r w:rsidRPr="000B67C2">
              <w:rPr>
                <w:rFonts w:ascii="Times New Roman" w:hAnsi="Times New Roman"/>
                <w:bCs/>
              </w:rPr>
              <w:t xml:space="preserve">World Economic Forum / </w:t>
            </w:r>
            <w:r w:rsidR="003C0BF5" w:rsidRPr="000B67C2">
              <w:rPr>
                <w:rFonts w:ascii="Times New Roman" w:hAnsi="Times New Roman"/>
                <w:bCs/>
              </w:rPr>
              <w:t>PAF</w:t>
            </w:r>
          </w:p>
        </w:tc>
        <w:tc>
          <w:tcPr>
            <w:tcW w:w="2126" w:type="dxa"/>
            <w:vMerge/>
            <w:tcBorders>
              <w:top w:val="nil"/>
              <w:right w:val="nil"/>
            </w:tcBorders>
            <w:shd w:val="clear" w:color="auto" w:fill="FFFFFF"/>
          </w:tcPr>
          <w:p w14:paraId="4975C132" w14:textId="77777777" w:rsidR="003C0BF5" w:rsidRPr="000B67C2" w:rsidRDefault="003C0BF5" w:rsidP="00FA04A3">
            <w:pPr>
              <w:shd w:val="clear" w:color="auto" w:fill="FFFFFF"/>
              <w:spacing w:after="0"/>
              <w:rPr>
                <w:rFonts w:ascii="Times New Roman" w:hAnsi="Times New Roman"/>
              </w:rPr>
            </w:pPr>
          </w:p>
        </w:tc>
      </w:tr>
      <w:tr w:rsidR="00167E70" w:rsidRPr="000B67C2" w14:paraId="35737A21" w14:textId="77777777" w:rsidTr="001B2B3E">
        <w:trPr>
          <w:trHeight w:val="808"/>
        </w:trPr>
        <w:tc>
          <w:tcPr>
            <w:tcW w:w="3402" w:type="dxa"/>
            <w:vMerge/>
            <w:shd w:val="clear" w:color="auto" w:fill="FFFFFF"/>
            <w:vAlign w:val="center"/>
          </w:tcPr>
          <w:p w14:paraId="01E17F0E" w14:textId="77777777" w:rsidR="00167E70" w:rsidRPr="000B67C2" w:rsidRDefault="00167E70" w:rsidP="00167E70">
            <w:pPr>
              <w:shd w:val="clear" w:color="auto" w:fill="FFFFFF"/>
              <w:spacing w:before="100" w:beforeAutospacing="1" w:after="100" w:afterAutospacing="1"/>
              <w:jc w:val="center"/>
              <w:rPr>
                <w:rFonts w:ascii="Times New Roman" w:hAnsi="Times New Roman"/>
                <w:b/>
              </w:rPr>
            </w:pPr>
          </w:p>
        </w:tc>
        <w:tc>
          <w:tcPr>
            <w:tcW w:w="3969" w:type="dxa"/>
            <w:shd w:val="clear" w:color="auto" w:fill="FFFFFF"/>
          </w:tcPr>
          <w:p w14:paraId="42D3F2DC" w14:textId="3C6B1D11" w:rsidR="00167E70" w:rsidRPr="000B67C2" w:rsidRDefault="00167E70" w:rsidP="00167E70">
            <w:pPr>
              <w:shd w:val="clear" w:color="auto" w:fill="FFFFFF"/>
              <w:spacing w:after="0"/>
              <w:rPr>
                <w:rFonts w:ascii="Times New Roman" w:hAnsi="Times New Roman"/>
              </w:rPr>
            </w:pPr>
            <w:r w:rsidRPr="000B67C2">
              <w:rPr>
                <w:rFonts w:ascii="Times New Roman" w:hAnsi="Times New Roman"/>
              </w:rPr>
              <w:t>Export companies’ rate</w:t>
            </w:r>
          </w:p>
        </w:tc>
        <w:tc>
          <w:tcPr>
            <w:tcW w:w="1419" w:type="dxa"/>
            <w:shd w:val="clear" w:color="auto" w:fill="FFFFFF"/>
          </w:tcPr>
          <w:p w14:paraId="5818B34C" w14:textId="7446EAAB" w:rsidR="00167E70" w:rsidRPr="000B67C2" w:rsidRDefault="00167E70" w:rsidP="0035153C">
            <w:pPr>
              <w:shd w:val="clear" w:color="auto" w:fill="FFFFFF"/>
              <w:rPr>
                <w:rFonts w:ascii="Times New Roman" w:hAnsi="Times New Roman"/>
              </w:rPr>
            </w:pPr>
            <w:r w:rsidRPr="000B67C2">
              <w:rPr>
                <w:rFonts w:ascii="Times New Roman" w:hAnsi="Times New Roman"/>
              </w:rPr>
              <w:t>5,97% (2017)</w:t>
            </w:r>
          </w:p>
        </w:tc>
        <w:tc>
          <w:tcPr>
            <w:tcW w:w="1418" w:type="dxa"/>
            <w:shd w:val="clear" w:color="auto" w:fill="FFFFFF"/>
          </w:tcPr>
          <w:p w14:paraId="46A33F21" w14:textId="77777777" w:rsidR="00167E70" w:rsidRPr="000B67C2" w:rsidRDefault="00167E70" w:rsidP="00167E70">
            <w:pPr>
              <w:shd w:val="clear" w:color="auto" w:fill="FFFFFF"/>
              <w:spacing w:after="0"/>
              <w:jc w:val="center"/>
              <w:rPr>
                <w:rFonts w:ascii="Times New Roman" w:hAnsi="Times New Roman"/>
                <w:b/>
              </w:rPr>
            </w:pPr>
          </w:p>
        </w:tc>
        <w:tc>
          <w:tcPr>
            <w:tcW w:w="1418" w:type="dxa"/>
            <w:shd w:val="clear" w:color="auto" w:fill="FFFFFF"/>
          </w:tcPr>
          <w:p w14:paraId="7FB9AAA1" w14:textId="5FA585A0" w:rsidR="00167E70" w:rsidRPr="000B67C2" w:rsidRDefault="00167E70" w:rsidP="0035153C">
            <w:pPr>
              <w:shd w:val="clear" w:color="auto" w:fill="FFFFFF"/>
              <w:rPr>
                <w:rFonts w:ascii="Times New Roman" w:hAnsi="Times New Roman"/>
              </w:rPr>
            </w:pPr>
            <w:r w:rsidRPr="000B67C2">
              <w:rPr>
                <w:rFonts w:ascii="Times New Roman" w:hAnsi="Times New Roman"/>
              </w:rPr>
              <w:t>6.5% (2023)</w:t>
            </w:r>
          </w:p>
        </w:tc>
        <w:tc>
          <w:tcPr>
            <w:tcW w:w="1557" w:type="dxa"/>
            <w:shd w:val="clear" w:color="auto" w:fill="FFFFFF"/>
          </w:tcPr>
          <w:p w14:paraId="10D3D3EF" w14:textId="3382BBFB" w:rsidR="00167E70" w:rsidRPr="000B67C2" w:rsidRDefault="00167E70" w:rsidP="00167E70">
            <w:pPr>
              <w:shd w:val="clear" w:color="auto" w:fill="FFFFFF"/>
              <w:spacing w:after="0"/>
              <w:rPr>
                <w:rFonts w:ascii="Times New Roman" w:hAnsi="Times New Roman"/>
              </w:rPr>
            </w:pPr>
            <w:r w:rsidRPr="000B67C2">
              <w:rPr>
                <w:rFonts w:ascii="Times New Roman" w:hAnsi="Times New Roman"/>
              </w:rPr>
              <w:t>SSO/PAF</w:t>
            </w:r>
          </w:p>
        </w:tc>
        <w:tc>
          <w:tcPr>
            <w:tcW w:w="2126" w:type="dxa"/>
            <w:vMerge/>
            <w:tcBorders>
              <w:top w:val="nil"/>
              <w:right w:val="nil"/>
            </w:tcBorders>
            <w:shd w:val="clear" w:color="auto" w:fill="FFFFFF"/>
          </w:tcPr>
          <w:p w14:paraId="29762B9A" w14:textId="77777777" w:rsidR="00167E70" w:rsidRPr="000B67C2" w:rsidRDefault="00167E70" w:rsidP="00167E70">
            <w:pPr>
              <w:shd w:val="clear" w:color="auto" w:fill="FFFFFF"/>
              <w:spacing w:after="0"/>
              <w:rPr>
                <w:rFonts w:ascii="Times New Roman" w:hAnsi="Times New Roman"/>
              </w:rPr>
            </w:pPr>
          </w:p>
        </w:tc>
      </w:tr>
      <w:tr w:rsidR="00167E70" w:rsidRPr="000B67C2" w14:paraId="595D18B2" w14:textId="77777777" w:rsidTr="001B2B3E">
        <w:trPr>
          <w:trHeight w:val="808"/>
        </w:trPr>
        <w:tc>
          <w:tcPr>
            <w:tcW w:w="3402" w:type="dxa"/>
            <w:vMerge/>
            <w:shd w:val="clear" w:color="auto" w:fill="FFFFFF"/>
            <w:vAlign w:val="center"/>
          </w:tcPr>
          <w:p w14:paraId="14F65C12" w14:textId="77777777" w:rsidR="00167E70" w:rsidRPr="000B67C2" w:rsidRDefault="00167E70" w:rsidP="00167E70">
            <w:pPr>
              <w:shd w:val="clear" w:color="auto" w:fill="FFFFFF"/>
              <w:spacing w:before="100" w:beforeAutospacing="1" w:after="100" w:afterAutospacing="1"/>
              <w:jc w:val="center"/>
              <w:rPr>
                <w:rFonts w:ascii="Times New Roman" w:hAnsi="Times New Roman"/>
                <w:b/>
              </w:rPr>
            </w:pPr>
          </w:p>
        </w:tc>
        <w:tc>
          <w:tcPr>
            <w:tcW w:w="3969" w:type="dxa"/>
            <w:shd w:val="clear" w:color="auto" w:fill="FFFFFF"/>
          </w:tcPr>
          <w:p w14:paraId="4A36CF2B" w14:textId="62A683FE" w:rsidR="00167E70" w:rsidRPr="000B67C2" w:rsidRDefault="00167E70" w:rsidP="00167E70">
            <w:pPr>
              <w:shd w:val="clear" w:color="auto" w:fill="FFFFFF"/>
              <w:spacing w:after="0"/>
              <w:rPr>
                <w:rFonts w:ascii="Times New Roman" w:hAnsi="Times New Roman"/>
                <w:b/>
              </w:rPr>
            </w:pPr>
            <w:r w:rsidRPr="000B67C2">
              <w:rPr>
                <w:rFonts w:ascii="Times New Roman" w:hAnsi="Times New Roman"/>
              </w:rPr>
              <w:t>Enterprise survival rate in the fourth year of life</w:t>
            </w:r>
          </w:p>
        </w:tc>
        <w:tc>
          <w:tcPr>
            <w:tcW w:w="1419" w:type="dxa"/>
            <w:shd w:val="clear" w:color="auto" w:fill="FFFFFF"/>
          </w:tcPr>
          <w:p w14:paraId="33B67A0A" w14:textId="2922987E" w:rsidR="00167E70" w:rsidRPr="000B67C2" w:rsidRDefault="00167E70" w:rsidP="0035153C">
            <w:pPr>
              <w:shd w:val="clear" w:color="auto" w:fill="FFFFFF"/>
              <w:rPr>
                <w:rFonts w:ascii="Times New Roman" w:hAnsi="Times New Roman"/>
                <w:b/>
              </w:rPr>
            </w:pPr>
            <w:r w:rsidRPr="000B67C2">
              <w:rPr>
                <w:rFonts w:ascii="Times New Roman" w:hAnsi="Times New Roman"/>
              </w:rPr>
              <w:t>51,2% (2013)</w:t>
            </w:r>
          </w:p>
        </w:tc>
        <w:tc>
          <w:tcPr>
            <w:tcW w:w="1418" w:type="dxa"/>
            <w:shd w:val="clear" w:color="auto" w:fill="FFFFFF"/>
          </w:tcPr>
          <w:p w14:paraId="7A74AE2A" w14:textId="77777777" w:rsidR="00167E70" w:rsidRPr="000B67C2" w:rsidRDefault="00167E70" w:rsidP="00167E70">
            <w:pPr>
              <w:shd w:val="clear" w:color="auto" w:fill="FFFFFF"/>
              <w:spacing w:after="0"/>
              <w:jc w:val="center"/>
              <w:rPr>
                <w:rFonts w:ascii="Times New Roman" w:hAnsi="Times New Roman"/>
                <w:b/>
              </w:rPr>
            </w:pPr>
          </w:p>
        </w:tc>
        <w:tc>
          <w:tcPr>
            <w:tcW w:w="1418" w:type="dxa"/>
            <w:shd w:val="clear" w:color="auto" w:fill="FFFFFF"/>
          </w:tcPr>
          <w:p w14:paraId="694A8DF9" w14:textId="2F40DEDC" w:rsidR="00167E70" w:rsidRPr="000B67C2" w:rsidRDefault="00167E70" w:rsidP="0035153C">
            <w:pPr>
              <w:shd w:val="clear" w:color="auto" w:fill="FFFFFF"/>
              <w:rPr>
                <w:rFonts w:ascii="Times New Roman" w:hAnsi="Times New Roman"/>
                <w:b/>
              </w:rPr>
            </w:pPr>
            <w:r w:rsidRPr="000B67C2">
              <w:rPr>
                <w:rFonts w:ascii="Times New Roman" w:hAnsi="Times New Roman"/>
              </w:rPr>
              <w:t>65% (2023)</w:t>
            </w:r>
          </w:p>
        </w:tc>
        <w:tc>
          <w:tcPr>
            <w:tcW w:w="1557" w:type="dxa"/>
            <w:shd w:val="clear" w:color="auto" w:fill="FFFFFF"/>
          </w:tcPr>
          <w:p w14:paraId="6C356817" w14:textId="66B26387" w:rsidR="00167E70" w:rsidRPr="000B67C2" w:rsidRDefault="00167E70" w:rsidP="00167E70">
            <w:pPr>
              <w:shd w:val="clear" w:color="auto" w:fill="FFFFFF"/>
              <w:spacing w:after="0"/>
              <w:rPr>
                <w:rFonts w:ascii="Times New Roman" w:hAnsi="Times New Roman"/>
                <w:b/>
              </w:rPr>
            </w:pPr>
            <w:r w:rsidRPr="000B67C2">
              <w:rPr>
                <w:rFonts w:ascii="Times New Roman" w:hAnsi="Times New Roman"/>
              </w:rPr>
              <w:t>SSO/PAF</w:t>
            </w:r>
          </w:p>
        </w:tc>
        <w:tc>
          <w:tcPr>
            <w:tcW w:w="2126" w:type="dxa"/>
            <w:vMerge/>
            <w:tcBorders>
              <w:top w:val="nil"/>
              <w:right w:val="nil"/>
            </w:tcBorders>
            <w:shd w:val="clear" w:color="auto" w:fill="FFFFFF"/>
          </w:tcPr>
          <w:p w14:paraId="57E72401" w14:textId="77777777" w:rsidR="00167E70" w:rsidRPr="000B67C2" w:rsidRDefault="00167E70" w:rsidP="00167E70">
            <w:pPr>
              <w:shd w:val="clear" w:color="auto" w:fill="FFFFFF"/>
              <w:spacing w:after="0"/>
              <w:rPr>
                <w:rFonts w:ascii="Times New Roman" w:hAnsi="Times New Roman"/>
              </w:rPr>
            </w:pPr>
          </w:p>
        </w:tc>
      </w:tr>
      <w:tr w:rsidR="00167E70" w:rsidRPr="000B67C2" w14:paraId="445470D7" w14:textId="77777777" w:rsidTr="001B2B3E">
        <w:trPr>
          <w:trHeight w:val="727"/>
        </w:trPr>
        <w:tc>
          <w:tcPr>
            <w:tcW w:w="3402" w:type="dxa"/>
            <w:vMerge/>
            <w:shd w:val="clear" w:color="auto" w:fill="FFFFFF"/>
            <w:vAlign w:val="center"/>
          </w:tcPr>
          <w:p w14:paraId="71A6AC13" w14:textId="77777777" w:rsidR="00167E70" w:rsidRPr="000B67C2" w:rsidRDefault="00167E70" w:rsidP="00167E70">
            <w:pPr>
              <w:shd w:val="clear" w:color="auto" w:fill="FFFFFF"/>
              <w:spacing w:before="100" w:beforeAutospacing="1" w:after="100" w:afterAutospacing="1"/>
              <w:jc w:val="center"/>
              <w:rPr>
                <w:rFonts w:ascii="Times New Roman" w:hAnsi="Times New Roman"/>
                <w:b/>
              </w:rPr>
            </w:pPr>
          </w:p>
        </w:tc>
        <w:tc>
          <w:tcPr>
            <w:tcW w:w="3969" w:type="dxa"/>
            <w:shd w:val="clear" w:color="auto" w:fill="FFFFFF"/>
          </w:tcPr>
          <w:p w14:paraId="713C7CA9" w14:textId="77777777" w:rsidR="00645C07" w:rsidRPr="000B67C2" w:rsidRDefault="00167E70" w:rsidP="00167E70">
            <w:pPr>
              <w:shd w:val="clear" w:color="auto" w:fill="FFFFFF"/>
              <w:spacing w:after="0"/>
              <w:rPr>
                <w:rFonts w:ascii="Times New Roman" w:hAnsi="Times New Roman"/>
              </w:rPr>
            </w:pPr>
            <w:r w:rsidRPr="000B67C2">
              <w:rPr>
                <w:rFonts w:ascii="Times New Roman" w:hAnsi="Times New Roman"/>
              </w:rPr>
              <w:t>Energy efficiency measured as Intensity of final energy consumption over GDP</w:t>
            </w:r>
          </w:p>
          <w:p w14:paraId="39EFFEFC" w14:textId="77777777" w:rsidR="00645C07" w:rsidRPr="000B67C2" w:rsidRDefault="00645C07" w:rsidP="00167E70">
            <w:pPr>
              <w:shd w:val="clear" w:color="auto" w:fill="FFFFFF"/>
              <w:spacing w:after="0"/>
              <w:rPr>
                <w:rFonts w:ascii="Times New Roman" w:hAnsi="Times New Roman"/>
              </w:rPr>
            </w:pPr>
          </w:p>
          <w:p w14:paraId="7F02AE12" w14:textId="07222040" w:rsidR="00645C07" w:rsidRPr="000B67C2" w:rsidRDefault="00645C07" w:rsidP="00167E70">
            <w:pPr>
              <w:shd w:val="clear" w:color="auto" w:fill="FFFFFF"/>
              <w:spacing w:after="0"/>
              <w:rPr>
                <w:rFonts w:ascii="Times New Roman" w:hAnsi="Times New Roman"/>
              </w:rPr>
            </w:pPr>
            <w:r w:rsidRPr="000B67C2">
              <w:rPr>
                <w:rFonts w:ascii="Times New Roman" w:hAnsi="Times New Roman"/>
              </w:rPr>
              <w:t>Alternatively:</w:t>
            </w:r>
          </w:p>
          <w:p w14:paraId="433BE5A1" w14:textId="77777777" w:rsidR="00EF0943" w:rsidRPr="000B67C2" w:rsidRDefault="00EF0943" w:rsidP="00167E70">
            <w:pPr>
              <w:shd w:val="clear" w:color="auto" w:fill="FFFFFF"/>
              <w:spacing w:after="0"/>
              <w:rPr>
                <w:rFonts w:ascii="Times New Roman" w:hAnsi="Times New Roman"/>
              </w:rPr>
            </w:pPr>
          </w:p>
          <w:p w14:paraId="22244885" w14:textId="64A1286E" w:rsidR="00167E70" w:rsidRPr="000B67C2" w:rsidRDefault="00645C07" w:rsidP="00167E70">
            <w:pPr>
              <w:shd w:val="clear" w:color="auto" w:fill="FFFFFF"/>
              <w:spacing w:after="0"/>
              <w:rPr>
                <w:rFonts w:ascii="Times New Roman" w:hAnsi="Times New Roman"/>
              </w:rPr>
            </w:pPr>
            <w:r w:rsidRPr="000B67C2">
              <w:rPr>
                <w:rFonts w:ascii="Times New Roman" w:hAnsi="Times New Roman"/>
              </w:rPr>
              <w:t xml:space="preserve">Energy intensity of economy </w:t>
            </w:r>
            <w:r w:rsidR="0063773A" w:rsidRPr="000B67C2">
              <w:rPr>
                <w:rFonts w:ascii="Times New Roman" w:hAnsi="Times New Roman"/>
              </w:rPr>
              <w:t xml:space="preserve">(average annual change for the period 2021-2025) </w:t>
            </w:r>
          </w:p>
        </w:tc>
        <w:tc>
          <w:tcPr>
            <w:tcW w:w="1419" w:type="dxa"/>
            <w:shd w:val="clear" w:color="auto" w:fill="FFFFFF"/>
          </w:tcPr>
          <w:p w14:paraId="543D0A59" w14:textId="77777777" w:rsidR="00EF0943" w:rsidRPr="000B67C2" w:rsidRDefault="00167E70" w:rsidP="0035153C">
            <w:pPr>
              <w:shd w:val="clear" w:color="auto" w:fill="FFFFFF"/>
              <w:rPr>
                <w:rFonts w:ascii="Times New Roman" w:hAnsi="Times New Roman"/>
              </w:rPr>
            </w:pPr>
            <w:r w:rsidRPr="000B67C2">
              <w:rPr>
                <w:rFonts w:ascii="Times New Roman" w:hAnsi="Times New Roman"/>
              </w:rPr>
              <w:t xml:space="preserve">2.80 TOE /1,000,000 </w:t>
            </w:r>
            <w:proofErr w:type="spellStart"/>
            <w:r w:rsidRPr="000B67C2">
              <w:rPr>
                <w:rFonts w:ascii="Times New Roman" w:hAnsi="Times New Roman"/>
              </w:rPr>
              <w:t>Denar</w:t>
            </w:r>
            <w:proofErr w:type="spellEnd"/>
            <w:r w:rsidRPr="000B67C2">
              <w:rPr>
                <w:rFonts w:ascii="Times New Roman" w:hAnsi="Times New Roman"/>
              </w:rPr>
              <w:t xml:space="preserve"> (2018)</w:t>
            </w:r>
          </w:p>
          <w:p w14:paraId="01397155" w14:textId="77777777" w:rsidR="00EF0943" w:rsidRPr="000B67C2" w:rsidRDefault="00EF0943" w:rsidP="00167E70">
            <w:pPr>
              <w:shd w:val="clear" w:color="auto" w:fill="FFFFFF"/>
              <w:jc w:val="center"/>
              <w:rPr>
                <w:rFonts w:ascii="Times New Roman" w:hAnsi="Times New Roman"/>
              </w:rPr>
            </w:pPr>
          </w:p>
          <w:p w14:paraId="64FED448" w14:textId="1598DD81" w:rsidR="00167E70" w:rsidRPr="000B67C2" w:rsidRDefault="00EF0943" w:rsidP="0035153C">
            <w:pPr>
              <w:shd w:val="clear" w:color="auto" w:fill="FFFFFF"/>
              <w:rPr>
                <w:rFonts w:ascii="Times New Roman" w:hAnsi="Times New Roman"/>
              </w:rPr>
            </w:pPr>
            <w:r w:rsidRPr="000B67C2">
              <w:rPr>
                <w:rFonts w:ascii="Times New Roman" w:hAnsi="Times New Roman"/>
              </w:rPr>
              <w:t xml:space="preserve">425,5 </w:t>
            </w:r>
            <w:proofErr w:type="spellStart"/>
            <w:r w:rsidRPr="000B67C2">
              <w:rPr>
                <w:rFonts w:ascii="Times New Roman" w:hAnsi="Times New Roman"/>
              </w:rPr>
              <w:t>kgoe</w:t>
            </w:r>
            <w:proofErr w:type="spellEnd"/>
            <w:r w:rsidRPr="000B67C2">
              <w:rPr>
                <w:rFonts w:ascii="Times New Roman" w:hAnsi="Times New Roman"/>
              </w:rPr>
              <w:t>/1000 EUR (2013)</w:t>
            </w:r>
          </w:p>
        </w:tc>
        <w:tc>
          <w:tcPr>
            <w:tcW w:w="1418" w:type="dxa"/>
            <w:shd w:val="clear" w:color="auto" w:fill="FFFFFF"/>
          </w:tcPr>
          <w:p w14:paraId="1F22B051" w14:textId="77777777" w:rsidR="00167E70" w:rsidRPr="000B67C2" w:rsidRDefault="00167E70" w:rsidP="00167E70">
            <w:pPr>
              <w:shd w:val="clear" w:color="auto" w:fill="FFFFFF"/>
              <w:spacing w:after="0"/>
              <w:jc w:val="center"/>
              <w:rPr>
                <w:rFonts w:ascii="Times New Roman" w:hAnsi="Times New Roman"/>
                <w:b/>
              </w:rPr>
            </w:pPr>
          </w:p>
        </w:tc>
        <w:tc>
          <w:tcPr>
            <w:tcW w:w="1418" w:type="dxa"/>
            <w:shd w:val="clear" w:color="auto" w:fill="FFFFFF"/>
          </w:tcPr>
          <w:p w14:paraId="009E21A3" w14:textId="77777777" w:rsidR="0063773A" w:rsidRPr="000B67C2" w:rsidRDefault="00167E70" w:rsidP="0035153C">
            <w:pPr>
              <w:shd w:val="clear" w:color="auto" w:fill="FFFFFF"/>
              <w:rPr>
                <w:rFonts w:ascii="Times New Roman" w:hAnsi="Times New Roman"/>
              </w:rPr>
            </w:pPr>
            <w:r w:rsidRPr="000B67C2">
              <w:rPr>
                <w:rFonts w:ascii="Times New Roman" w:hAnsi="Times New Roman"/>
              </w:rPr>
              <w:t xml:space="preserve">≤ 2.50 TOE/1,000,000 </w:t>
            </w:r>
            <w:proofErr w:type="spellStart"/>
            <w:r w:rsidRPr="000B67C2">
              <w:rPr>
                <w:rFonts w:ascii="Times New Roman" w:hAnsi="Times New Roman"/>
              </w:rPr>
              <w:t>Denar</w:t>
            </w:r>
            <w:proofErr w:type="spellEnd"/>
            <w:r w:rsidRPr="000B67C2">
              <w:rPr>
                <w:rFonts w:ascii="Times New Roman" w:hAnsi="Times New Roman"/>
              </w:rPr>
              <w:t xml:space="preserve"> (2027)</w:t>
            </w:r>
          </w:p>
          <w:p w14:paraId="558F6DF6" w14:textId="77777777" w:rsidR="0063773A" w:rsidRPr="000B67C2" w:rsidRDefault="0063773A" w:rsidP="00167E70">
            <w:pPr>
              <w:shd w:val="clear" w:color="auto" w:fill="FFFFFF"/>
              <w:jc w:val="center"/>
              <w:rPr>
                <w:rFonts w:ascii="Times New Roman" w:hAnsi="Times New Roman"/>
              </w:rPr>
            </w:pPr>
          </w:p>
          <w:p w14:paraId="10D2C4F5" w14:textId="0C623249" w:rsidR="00167E70" w:rsidRPr="000B67C2" w:rsidRDefault="00054A6D" w:rsidP="00054A6D">
            <w:pPr>
              <w:shd w:val="clear" w:color="auto" w:fill="FFFFFF"/>
              <w:rPr>
                <w:rFonts w:ascii="Times New Roman" w:hAnsi="Times New Roman"/>
              </w:rPr>
            </w:pPr>
            <w:r>
              <w:rPr>
                <w:rFonts w:ascii="Times New Roman" w:hAnsi="Times New Roman"/>
              </w:rPr>
              <w:t>tbd</w:t>
            </w:r>
            <w:bookmarkStart w:id="9" w:name="_GoBack"/>
            <w:bookmarkEnd w:id="9"/>
          </w:p>
        </w:tc>
        <w:tc>
          <w:tcPr>
            <w:tcW w:w="1557" w:type="dxa"/>
            <w:shd w:val="clear" w:color="auto" w:fill="FFFFFF"/>
          </w:tcPr>
          <w:p w14:paraId="00DAA0F5" w14:textId="6A746444" w:rsidR="00167E70" w:rsidRPr="000B67C2" w:rsidRDefault="00167E70" w:rsidP="00167E70">
            <w:pPr>
              <w:shd w:val="clear" w:color="auto" w:fill="FFFFFF"/>
              <w:spacing w:after="0"/>
              <w:rPr>
                <w:rFonts w:ascii="Times New Roman" w:hAnsi="Times New Roman"/>
              </w:rPr>
            </w:pPr>
            <w:r w:rsidRPr="000B67C2">
              <w:rPr>
                <w:rFonts w:ascii="Times New Roman" w:hAnsi="Times New Roman"/>
              </w:rPr>
              <w:t>SSO/PAF</w:t>
            </w:r>
          </w:p>
        </w:tc>
        <w:tc>
          <w:tcPr>
            <w:tcW w:w="2126" w:type="dxa"/>
            <w:vMerge/>
            <w:tcBorders>
              <w:top w:val="nil"/>
              <w:right w:val="nil"/>
            </w:tcBorders>
            <w:shd w:val="clear" w:color="auto" w:fill="FFFFFF"/>
          </w:tcPr>
          <w:p w14:paraId="5E5D8216" w14:textId="77777777" w:rsidR="00167E70" w:rsidRPr="000B67C2" w:rsidRDefault="00167E70" w:rsidP="00167E70">
            <w:pPr>
              <w:shd w:val="clear" w:color="auto" w:fill="FFFFFF"/>
              <w:spacing w:after="0"/>
              <w:rPr>
                <w:rFonts w:ascii="Times New Roman" w:hAnsi="Times New Roman"/>
              </w:rPr>
            </w:pPr>
          </w:p>
        </w:tc>
      </w:tr>
      <w:tr w:rsidR="00167E70" w:rsidRPr="000B67C2" w14:paraId="6D4A7EC5" w14:textId="77777777" w:rsidTr="00FA04A3">
        <w:trPr>
          <w:trHeight w:val="350"/>
        </w:trPr>
        <w:tc>
          <w:tcPr>
            <w:tcW w:w="3402" w:type="dxa"/>
            <w:vMerge/>
            <w:shd w:val="clear" w:color="auto" w:fill="FFFFFF"/>
          </w:tcPr>
          <w:p w14:paraId="154FFEAB" w14:textId="77777777" w:rsidR="00167E70" w:rsidRPr="000B67C2" w:rsidRDefault="00167E70" w:rsidP="00167E70">
            <w:pPr>
              <w:shd w:val="clear" w:color="auto" w:fill="FFFFFF"/>
              <w:spacing w:before="60" w:after="0"/>
              <w:rPr>
                <w:rFonts w:ascii="Times New Roman" w:hAnsi="Times New Roman"/>
              </w:rPr>
            </w:pPr>
          </w:p>
        </w:tc>
        <w:tc>
          <w:tcPr>
            <w:tcW w:w="3969" w:type="dxa"/>
            <w:shd w:val="clear" w:color="auto" w:fill="FFFFFF"/>
          </w:tcPr>
          <w:p w14:paraId="2FB93286" w14:textId="77777777" w:rsidR="009124B8" w:rsidRPr="000B67C2" w:rsidRDefault="009124B8" w:rsidP="00523537">
            <w:pPr>
              <w:shd w:val="clear" w:color="auto" w:fill="FFFFFF"/>
              <w:spacing w:before="60" w:after="0"/>
              <w:rPr>
                <w:rFonts w:ascii="Times New Roman" w:hAnsi="Times New Roman"/>
              </w:rPr>
            </w:pPr>
            <w:r w:rsidRPr="000B67C2">
              <w:rPr>
                <w:rFonts w:ascii="Times New Roman" w:hAnsi="Times New Roman"/>
              </w:rPr>
              <w:t>Size of green economy :</w:t>
            </w:r>
          </w:p>
          <w:p w14:paraId="0CCA2924" w14:textId="4521FB53" w:rsidR="009124B8" w:rsidRPr="000B67C2" w:rsidRDefault="009124B8" w:rsidP="0035153C">
            <w:pPr>
              <w:pStyle w:val="ListParagraph"/>
              <w:numPr>
                <w:ilvl w:val="0"/>
                <w:numId w:val="20"/>
              </w:numPr>
              <w:shd w:val="clear" w:color="auto" w:fill="FFFFFF"/>
              <w:spacing w:before="60" w:after="0"/>
              <w:rPr>
                <w:rFonts w:ascii="Times New Roman" w:hAnsi="Times New Roman"/>
              </w:rPr>
            </w:pPr>
            <w:r w:rsidRPr="000B67C2">
              <w:rPr>
                <w:rFonts w:ascii="Times New Roman" w:hAnsi="Times New Roman"/>
              </w:rPr>
              <w:t>Environmental goods and service sector</w:t>
            </w:r>
          </w:p>
          <w:p w14:paraId="70001EB9" w14:textId="4FA78BB4" w:rsidR="009124B8" w:rsidRPr="000B67C2" w:rsidRDefault="009124B8" w:rsidP="0035153C">
            <w:pPr>
              <w:pStyle w:val="ListParagraph"/>
              <w:numPr>
                <w:ilvl w:val="0"/>
                <w:numId w:val="20"/>
              </w:numPr>
              <w:shd w:val="clear" w:color="auto" w:fill="FFFFFF"/>
              <w:spacing w:before="60" w:after="0"/>
              <w:rPr>
                <w:rFonts w:ascii="Times New Roman" w:hAnsi="Times New Roman"/>
              </w:rPr>
            </w:pPr>
            <w:r w:rsidRPr="000B67C2">
              <w:rPr>
                <w:rFonts w:ascii="Times New Roman" w:hAnsi="Times New Roman"/>
              </w:rPr>
              <w:t xml:space="preserve">Gross value added from market output of  the environmental economy </w:t>
            </w:r>
          </w:p>
          <w:p w14:paraId="38E9AC68" w14:textId="0E3777CC" w:rsidR="00167E70" w:rsidRPr="000B67C2" w:rsidRDefault="009124B8" w:rsidP="0035153C">
            <w:pPr>
              <w:pStyle w:val="ListParagraph"/>
              <w:numPr>
                <w:ilvl w:val="0"/>
                <w:numId w:val="20"/>
              </w:numPr>
              <w:shd w:val="clear" w:color="auto" w:fill="FFFFFF"/>
              <w:spacing w:before="60" w:after="0"/>
              <w:rPr>
                <w:rFonts w:ascii="Times New Roman" w:hAnsi="Times New Roman"/>
              </w:rPr>
            </w:pPr>
            <w:r w:rsidRPr="000B67C2">
              <w:rPr>
                <w:rFonts w:ascii="Times New Roman" w:hAnsi="Times New Roman"/>
              </w:rPr>
              <w:t xml:space="preserve">Employment from market output of  the environmental economy </w:t>
            </w:r>
          </w:p>
        </w:tc>
        <w:tc>
          <w:tcPr>
            <w:tcW w:w="1419" w:type="dxa"/>
            <w:shd w:val="clear" w:color="auto" w:fill="FFFFFF"/>
          </w:tcPr>
          <w:p w14:paraId="19D2594A" w14:textId="0CE5F28B" w:rsidR="00D97433" w:rsidRPr="000B67C2" w:rsidRDefault="00D97433" w:rsidP="00167E70">
            <w:pPr>
              <w:shd w:val="clear" w:color="auto" w:fill="FFFFFF"/>
              <w:spacing w:before="60" w:after="0"/>
              <w:rPr>
                <w:rFonts w:ascii="Times New Roman" w:hAnsi="Times New Roman"/>
              </w:rPr>
            </w:pPr>
            <w:r w:rsidRPr="000B67C2">
              <w:rPr>
                <w:rFonts w:ascii="Times New Roman" w:hAnsi="Times New Roman"/>
              </w:rPr>
              <w:t>(2017)</w:t>
            </w:r>
          </w:p>
          <w:p w14:paraId="6C968227" w14:textId="77777777" w:rsidR="00D97433" w:rsidRPr="000B67C2" w:rsidRDefault="00D97433" w:rsidP="00167E70">
            <w:pPr>
              <w:shd w:val="clear" w:color="auto" w:fill="FFFFFF"/>
              <w:spacing w:before="60" w:after="0"/>
              <w:rPr>
                <w:rFonts w:ascii="Times New Roman" w:hAnsi="Times New Roman"/>
              </w:rPr>
            </w:pPr>
          </w:p>
          <w:p w14:paraId="230FE0C4" w14:textId="2AB43C93" w:rsidR="00D97433" w:rsidRPr="000B67C2" w:rsidRDefault="00D97433" w:rsidP="00167E70">
            <w:pPr>
              <w:shd w:val="clear" w:color="auto" w:fill="FFFFFF"/>
              <w:spacing w:before="60" w:after="0"/>
              <w:rPr>
                <w:rFonts w:ascii="Times New Roman" w:hAnsi="Times New Roman"/>
              </w:rPr>
            </w:pPr>
            <w:r w:rsidRPr="000B67C2">
              <w:rPr>
                <w:rFonts w:ascii="Times New Roman" w:hAnsi="Times New Roman"/>
              </w:rPr>
              <w:t>245 MEUR</w:t>
            </w:r>
          </w:p>
          <w:p w14:paraId="5F8495B6" w14:textId="0AB830F6" w:rsidR="00D97433" w:rsidRPr="000B67C2" w:rsidRDefault="00D97433" w:rsidP="00167E70">
            <w:pPr>
              <w:shd w:val="clear" w:color="auto" w:fill="FFFFFF"/>
              <w:spacing w:before="60" w:after="0"/>
              <w:rPr>
                <w:rFonts w:ascii="Times New Roman" w:hAnsi="Times New Roman"/>
              </w:rPr>
            </w:pPr>
            <w:r w:rsidRPr="000B67C2">
              <w:rPr>
                <w:rFonts w:ascii="Times New Roman" w:hAnsi="Times New Roman"/>
              </w:rPr>
              <w:t>128 MEUR</w:t>
            </w:r>
          </w:p>
          <w:p w14:paraId="573B033D" w14:textId="41A909B3" w:rsidR="00D97433" w:rsidRPr="000B67C2" w:rsidRDefault="00D97433" w:rsidP="00167E70">
            <w:pPr>
              <w:shd w:val="clear" w:color="auto" w:fill="FFFFFF"/>
              <w:spacing w:before="60" w:after="0"/>
              <w:rPr>
                <w:rFonts w:ascii="Times New Roman" w:hAnsi="Times New Roman"/>
              </w:rPr>
            </w:pPr>
            <w:r w:rsidRPr="000B67C2">
              <w:rPr>
                <w:rFonts w:ascii="Times New Roman" w:hAnsi="Times New Roman"/>
              </w:rPr>
              <w:t>15,587 persons</w:t>
            </w:r>
          </w:p>
          <w:p w14:paraId="7787D3CA" w14:textId="4A831D82" w:rsidR="00D97433" w:rsidRPr="000B67C2" w:rsidRDefault="00D97433" w:rsidP="00167E70">
            <w:pPr>
              <w:shd w:val="clear" w:color="auto" w:fill="FFFFFF"/>
              <w:spacing w:before="60" w:after="0"/>
              <w:rPr>
                <w:rFonts w:ascii="Times New Roman" w:hAnsi="Times New Roman"/>
              </w:rPr>
            </w:pPr>
          </w:p>
        </w:tc>
        <w:tc>
          <w:tcPr>
            <w:tcW w:w="1418" w:type="dxa"/>
            <w:shd w:val="clear" w:color="auto" w:fill="FFFFFF"/>
          </w:tcPr>
          <w:p w14:paraId="30D4ED8F" w14:textId="77777777" w:rsidR="00167E70" w:rsidRPr="000B67C2" w:rsidRDefault="00167E70" w:rsidP="00167E70">
            <w:pPr>
              <w:shd w:val="clear" w:color="auto" w:fill="FFFFFF"/>
              <w:spacing w:before="60" w:after="0"/>
              <w:rPr>
                <w:rFonts w:ascii="Times New Roman" w:hAnsi="Times New Roman"/>
              </w:rPr>
            </w:pPr>
          </w:p>
        </w:tc>
        <w:tc>
          <w:tcPr>
            <w:tcW w:w="1418" w:type="dxa"/>
            <w:shd w:val="clear" w:color="auto" w:fill="FFFFFF"/>
          </w:tcPr>
          <w:p w14:paraId="4BF54B6C" w14:textId="77777777" w:rsidR="00167E70" w:rsidRPr="000B67C2" w:rsidRDefault="00306C13" w:rsidP="00167E70">
            <w:pPr>
              <w:shd w:val="clear" w:color="auto" w:fill="FFFFFF"/>
              <w:spacing w:before="60" w:after="0"/>
              <w:rPr>
                <w:rFonts w:ascii="Times New Roman" w:hAnsi="Times New Roman"/>
              </w:rPr>
            </w:pPr>
            <w:r w:rsidRPr="000B67C2">
              <w:rPr>
                <w:rFonts w:ascii="Times New Roman" w:hAnsi="Times New Roman"/>
              </w:rPr>
              <w:t>2025</w:t>
            </w:r>
          </w:p>
          <w:p w14:paraId="7769D5BB" w14:textId="77777777" w:rsidR="00306C13" w:rsidRPr="000B67C2" w:rsidRDefault="00306C13" w:rsidP="00167E70">
            <w:pPr>
              <w:shd w:val="clear" w:color="auto" w:fill="FFFFFF"/>
              <w:spacing w:before="60" w:after="0"/>
              <w:rPr>
                <w:rFonts w:ascii="Times New Roman" w:hAnsi="Times New Roman"/>
              </w:rPr>
            </w:pPr>
          </w:p>
          <w:p w14:paraId="3EBC0CD9" w14:textId="77777777" w:rsidR="00306C13" w:rsidRPr="000B67C2" w:rsidRDefault="00306C13" w:rsidP="00167E70">
            <w:pPr>
              <w:shd w:val="clear" w:color="auto" w:fill="FFFFFF"/>
              <w:spacing w:before="60" w:after="0"/>
              <w:rPr>
                <w:rFonts w:ascii="Times New Roman" w:hAnsi="Times New Roman"/>
              </w:rPr>
            </w:pPr>
            <w:r w:rsidRPr="000B67C2">
              <w:rPr>
                <w:rFonts w:ascii="Times New Roman" w:hAnsi="Times New Roman"/>
              </w:rPr>
              <w:t>300 MEUR</w:t>
            </w:r>
          </w:p>
          <w:p w14:paraId="69199C48" w14:textId="77777777" w:rsidR="00306C13" w:rsidRPr="000B67C2" w:rsidRDefault="00306C13" w:rsidP="00167E70">
            <w:pPr>
              <w:shd w:val="clear" w:color="auto" w:fill="FFFFFF"/>
              <w:spacing w:before="60" w:after="0"/>
              <w:rPr>
                <w:rFonts w:ascii="Times New Roman" w:hAnsi="Times New Roman"/>
              </w:rPr>
            </w:pPr>
            <w:r w:rsidRPr="000B67C2">
              <w:rPr>
                <w:rFonts w:ascii="Times New Roman" w:hAnsi="Times New Roman"/>
              </w:rPr>
              <w:t>150 MEUR</w:t>
            </w:r>
          </w:p>
          <w:p w14:paraId="73AA667B" w14:textId="63D427ED" w:rsidR="00306C13" w:rsidRPr="000B67C2" w:rsidRDefault="00306C13" w:rsidP="00167E70">
            <w:pPr>
              <w:shd w:val="clear" w:color="auto" w:fill="FFFFFF"/>
              <w:spacing w:before="60" w:after="0"/>
              <w:rPr>
                <w:rFonts w:ascii="Times New Roman" w:hAnsi="Times New Roman"/>
              </w:rPr>
            </w:pPr>
            <w:r w:rsidRPr="000B67C2">
              <w:rPr>
                <w:rFonts w:ascii="Times New Roman" w:hAnsi="Times New Roman"/>
              </w:rPr>
              <w:t>18,000 persons</w:t>
            </w:r>
          </w:p>
        </w:tc>
        <w:tc>
          <w:tcPr>
            <w:tcW w:w="1557" w:type="dxa"/>
            <w:shd w:val="clear" w:color="auto" w:fill="FFFFFF"/>
          </w:tcPr>
          <w:p w14:paraId="6B2A6D39" w14:textId="272540A6" w:rsidR="00167E70" w:rsidRPr="000B67C2" w:rsidRDefault="009124B8" w:rsidP="00167E70">
            <w:pPr>
              <w:numPr>
                <w:ilvl w:val="12"/>
                <w:numId w:val="0"/>
              </w:numPr>
              <w:shd w:val="clear" w:color="auto" w:fill="FFFFFF"/>
              <w:spacing w:before="60" w:after="0"/>
              <w:rPr>
                <w:rFonts w:ascii="Times New Roman" w:hAnsi="Times New Roman"/>
              </w:rPr>
            </w:pPr>
            <w:r w:rsidRPr="000B67C2">
              <w:rPr>
                <w:rFonts w:ascii="Times New Roman" w:hAnsi="Times New Roman"/>
              </w:rPr>
              <w:t>Eurostat/SSO</w:t>
            </w:r>
          </w:p>
        </w:tc>
        <w:tc>
          <w:tcPr>
            <w:tcW w:w="2126" w:type="dxa"/>
            <w:vMerge/>
            <w:tcBorders>
              <w:right w:val="nil"/>
            </w:tcBorders>
            <w:shd w:val="clear" w:color="auto" w:fill="FFFFFF"/>
          </w:tcPr>
          <w:p w14:paraId="55AD1D51" w14:textId="77777777" w:rsidR="00167E70" w:rsidRPr="000B67C2" w:rsidRDefault="00167E70" w:rsidP="00167E70">
            <w:pPr>
              <w:shd w:val="clear" w:color="auto" w:fill="FFFFFF"/>
              <w:spacing w:before="60" w:after="0"/>
              <w:rPr>
                <w:rFonts w:ascii="Times New Roman" w:hAnsi="Times New Roman"/>
              </w:rPr>
            </w:pPr>
          </w:p>
        </w:tc>
      </w:tr>
      <w:tr w:rsidR="00167E70" w:rsidRPr="000B67C2" w14:paraId="1F45DC7B" w14:textId="77777777" w:rsidTr="00FA04A3">
        <w:trPr>
          <w:trHeight w:val="189"/>
        </w:trPr>
        <w:tc>
          <w:tcPr>
            <w:tcW w:w="3402" w:type="dxa"/>
            <w:shd w:val="clear" w:color="auto" w:fill="FFFFFF"/>
          </w:tcPr>
          <w:p w14:paraId="5DEE3D4E" w14:textId="77777777" w:rsidR="00167E70" w:rsidRPr="000B67C2" w:rsidRDefault="00167E70" w:rsidP="00167E70">
            <w:pPr>
              <w:numPr>
                <w:ilvl w:val="12"/>
                <w:numId w:val="0"/>
              </w:numPr>
              <w:shd w:val="clear" w:color="auto" w:fill="FFFFFF"/>
              <w:spacing w:before="100" w:beforeAutospacing="1" w:after="100" w:afterAutospacing="1"/>
              <w:jc w:val="center"/>
              <w:rPr>
                <w:rFonts w:ascii="Times New Roman" w:hAnsi="Times New Roman"/>
              </w:rPr>
            </w:pPr>
            <w:r w:rsidRPr="000B67C2">
              <w:rPr>
                <w:rFonts w:ascii="Times New Roman" w:hAnsi="Times New Roman"/>
                <w:b/>
              </w:rPr>
              <w:t>SPECIFIC OBJECTIVE(S) / OUTCOME(S)</w:t>
            </w:r>
          </w:p>
        </w:tc>
        <w:tc>
          <w:tcPr>
            <w:tcW w:w="3969" w:type="dxa"/>
            <w:shd w:val="clear" w:color="auto" w:fill="FFFFFF"/>
          </w:tcPr>
          <w:p w14:paraId="17B2CF5A" w14:textId="77777777" w:rsidR="00167E70" w:rsidRPr="000B67C2" w:rsidRDefault="00167E70" w:rsidP="00167E70">
            <w:pPr>
              <w:shd w:val="clear" w:color="auto" w:fill="FFFFFF"/>
              <w:spacing w:after="0"/>
              <w:jc w:val="center"/>
              <w:rPr>
                <w:rFonts w:ascii="Times New Roman" w:hAnsi="Times New Roman"/>
              </w:rPr>
            </w:pPr>
            <w:r w:rsidRPr="000B67C2">
              <w:rPr>
                <w:rFonts w:ascii="Times New Roman" w:hAnsi="Times New Roman"/>
                <w:b/>
              </w:rPr>
              <w:t>OBJECTIVELY VERIFIABLE INDICATORS (*)</w:t>
            </w:r>
          </w:p>
        </w:tc>
        <w:tc>
          <w:tcPr>
            <w:tcW w:w="1419" w:type="dxa"/>
            <w:shd w:val="clear" w:color="auto" w:fill="FFFFFF"/>
          </w:tcPr>
          <w:p w14:paraId="41C96665" w14:textId="77777777" w:rsidR="00167E70" w:rsidRPr="000B67C2" w:rsidRDefault="00167E70" w:rsidP="00167E70">
            <w:pPr>
              <w:shd w:val="clear" w:color="auto" w:fill="FFFFFF"/>
              <w:spacing w:after="0"/>
              <w:jc w:val="center"/>
              <w:rPr>
                <w:rFonts w:ascii="Times New Roman" w:hAnsi="Times New Roman"/>
                <w:b/>
              </w:rPr>
            </w:pPr>
            <w:r w:rsidRPr="000B67C2">
              <w:rPr>
                <w:rFonts w:ascii="Times New Roman" w:hAnsi="Times New Roman"/>
                <w:b/>
              </w:rPr>
              <w:t>BASELINES</w:t>
            </w:r>
          </w:p>
          <w:p w14:paraId="6669FB18" w14:textId="77777777" w:rsidR="00167E70" w:rsidRPr="000B67C2" w:rsidRDefault="00167E70" w:rsidP="00167E70">
            <w:pPr>
              <w:shd w:val="clear" w:color="auto" w:fill="FFFFFF"/>
              <w:spacing w:after="0"/>
              <w:ind w:left="-352"/>
              <w:jc w:val="center"/>
              <w:rPr>
                <w:rFonts w:ascii="Times New Roman" w:hAnsi="Times New Roman"/>
                <w:b/>
              </w:rPr>
            </w:pPr>
          </w:p>
        </w:tc>
        <w:tc>
          <w:tcPr>
            <w:tcW w:w="1418" w:type="dxa"/>
            <w:shd w:val="clear" w:color="auto" w:fill="FFFFFF"/>
          </w:tcPr>
          <w:p w14:paraId="0AD2AFB9" w14:textId="77777777" w:rsidR="00167E70" w:rsidRPr="000B67C2" w:rsidRDefault="00167E70" w:rsidP="00167E70">
            <w:pPr>
              <w:shd w:val="clear" w:color="auto" w:fill="FFFFFF"/>
              <w:spacing w:after="0"/>
              <w:jc w:val="center"/>
              <w:rPr>
                <w:rFonts w:ascii="Times New Roman" w:hAnsi="Times New Roman"/>
                <w:b/>
              </w:rPr>
            </w:pPr>
            <w:r w:rsidRPr="000B67C2">
              <w:rPr>
                <w:rFonts w:ascii="Times New Roman" w:hAnsi="Times New Roman"/>
                <w:b/>
              </w:rPr>
              <w:t>MILESTONES</w:t>
            </w:r>
          </w:p>
          <w:p w14:paraId="4FAC042E" w14:textId="77777777" w:rsidR="00167E70" w:rsidRPr="000B67C2" w:rsidRDefault="00167E70" w:rsidP="00167E70">
            <w:pPr>
              <w:shd w:val="clear" w:color="auto" w:fill="FFFFFF"/>
              <w:spacing w:after="0"/>
              <w:jc w:val="center"/>
              <w:rPr>
                <w:rFonts w:ascii="Times New Roman" w:hAnsi="Times New Roman"/>
                <w:b/>
              </w:rPr>
            </w:pPr>
          </w:p>
        </w:tc>
        <w:tc>
          <w:tcPr>
            <w:tcW w:w="1418" w:type="dxa"/>
            <w:shd w:val="clear" w:color="auto" w:fill="FFFFFF"/>
          </w:tcPr>
          <w:p w14:paraId="1529267D" w14:textId="77777777" w:rsidR="00167E70" w:rsidRPr="000B67C2" w:rsidRDefault="00167E70" w:rsidP="00167E70">
            <w:pPr>
              <w:shd w:val="clear" w:color="auto" w:fill="FFFFFF"/>
              <w:spacing w:after="0"/>
              <w:jc w:val="center"/>
              <w:rPr>
                <w:rFonts w:ascii="Times New Roman" w:hAnsi="Times New Roman"/>
                <w:b/>
              </w:rPr>
            </w:pPr>
            <w:r w:rsidRPr="000B67C2">
              <w:rPr>
                <w:rFonts w:ascii="Times New Roman" w:hAnsi="Times New Roman"/>
                <w:b/>
              </w:rPr>
              <w:t>TARGETS</w:t>
            </w:r>
          </w:p>
          <w:p w14:paraId="66B651B7" w14:textId="77777777" w:rsidR="00167E70" w:rsidRPr="000B67C2" w:rsidRDefault="00167E70" w:rsidP="00167E70">
            <w:pPr>
              <w:shd w:val="clear" w:color="auto" w:fill="FFFFFF"/>
              <w:spacing w:after="0"/>
              <w:jc w:val="center"/>
              <w:rPr>
                <w:rFonts w:ascii="Times New Roman" w:hAnsi="Times New Roman"/>
                <w:b/>
              </w:rPr>
            </w:pPr>
          </w:p>
        </w:tc>
        <w:tc>
          <w:tcPr>
            <w:tcW w:w="1557" w:type="dxa"/>
            <w:shd w:val="clear" w:color="auto" w:fill="FFFFFF"/>
          </w:tcPr>
          <w:p w14:paraId="7B69BE2E" w14:textId="77777777" w:rsidR="00167E70" w:rsidRPr="000B67C2" w:rsidRDefault="00167E70" w:rsidP="00167E70">
            <w:pPr>
              <w:shd w:val="clear" w:color="auto" w:fill="FFFFFF"/>
              <w:spacing w:after="0"/>
              <w:jc w:val="center"/>
              <w:rPr>
                <w:rFonts w:ascii="Times New Roman" w:hAnsi="Times New Roman"/>
              </w:rPr>
            </w:pPr>
            <w:r w:rsidRPr="000B67C2">
              <w:rPr>
                <w:rFonts w:ascii="Times New Roman" w:hAnsi="Times New Roman"/>
                <w:b/>
              </w:rPr>
              <w:t>SOURCES OF VERIFICATION</w:t>
            </w:r>
          </w:p>
        </w:tc>
        <w:tc>
          <w:tcPr>
            <w:tcW w:w="2126" w:type="dxa"/>
            <w:shd w:val="clear" w:color="auto" w:fill="FFFFFF"/>
          </w:tcPr>
          <w:p w14:paraId="22B1EFB6" w14:textId="77777777" w:rsidR="00167E70" w:rsidRPr="000B67C2" w:rsidRDefault="00167E70" w:rsidP="00167E70">
            <w:pPr>
              <w:numPr>
                <w:ilvl w:val="12"/>
                <w:numId w:val="0"/>
              </w:numPr>
              <w:shd w:val="clear" w:color="auto" w:fill="FFFFFF"/>
              <w:spacing w:after="0"/>
              <w:jc w:val="center"/>
              <w:rPr>
                <w:rFonts w:ascii="Times New Roman" w:hAnsi="Times New Roman"/>
                <w:b/>
              </w:rPr>
            </w:pPr>
            <w:r w:rsidRPr="000B67C2">
              <w:rPr>
                <w:rFonts w:ascii="Times New Roman" w:hAnsi="Times New Roman"/>
                <w:b/>
              </w:rPr>
              <w:t>ASSUMPTIONS</w:t>
            </w:r>
          </w:p>
        </w:tc>
      </w:tr>
      <w:tr w:rsidR="00167E70" w:rsidRPr="000B67C2" w14:paraId="36A34D5D" w14:textId="77777777" w:rsidTr="00FA04A3">
        <w:trPr>
          <w:trHeight w:val="476"/>
        </w:trPr>
        <w:tc>
          <w:tcPr>
            <w:tcW w:w="3402" w:type="dxa"/>
            <w:vMerge w:val="restart"/>
            <w:shd w:val="clear" w:color="auto" w:fill="FFFFFF"/>
          </w:tcPr>
          <w:p w14:paraId="56281979" w14:textId="5B2DF9FE" w:rsidR="00CA5BC2" w:rsidRPr="000B67C2" w:rsidRDefault="00CA5BC2" w:rsidP="00523537">
            <w:pPr>
              <w:shd w:val="clear" w:color="auto" w:fill="FFFFFF"/>
              <w:spacing w:before="60" w:after="0"/>
              <w:rPr>
                <w:rFonts w:ascii="Times New Roman" w:hAnsi="Times New Roman"/>
              </w:rPr>
            </w:pPr>
            <w:r w:rsidRPr="000B67C2">
              <w:rPr>
                <w:rFonts w:ascii="Times New Roman" w:hAnsi="Times New Roman"/>
              </w:rPr>
              <w:t xml:space="preserve">To support and green  business recovery </w:t>
            </w:r>
          </w:p>
        </w:tc>
        <w:tc>
          <w:tcPr>
            <w:tcW w:w="3969" w:type="dxa"/>
            <w:shd w:val="clear" w:color="auto" w:fill="auto"/>
          </w:tcPr>
          <w:p w14:paraId="5B661909" w14:textId="77777777" w:rsidR="00167E70" w:rsidRPr="000B67C2" w:rsidRDefault="00167E70" w:rsidP="00167E70">
            <w:pPr>
              <w:shd w:val="clear" w:color="auto" w:fill="FFFFFF"/>
              <w:spacing w:before="60" w:after="0"/>
              <w:rPr>
                <w:rFonts w:ascii="Times New Roman" w:hAnsi="Times New Roman"/>
              </w:rPr>
            </w:pPr>
            <w:r w:rsidRPr="000B67C2">
              <w:rPr>
                <w:rFonts w:ascii="Times New Roman" w:hAnsi="Times New Roman"/>
              </w:rPr>
              <w:t>Variation of the turnover of the supported companies</w:t>
            </w:r>
          </w:p>
        </w:tc>
        <w:tc>
          <w:tcPr>
            <w:tcW w:w="1419" w:type="dxa"/>
            <w:shd w:val="clear" w:color="auto" w:fill="auto"/>
          </w:tcPr>
          <w:p w14:paraId="76DB658D" w14:textId="77777777" w:rsidR="00167E70" w:rsidRPr="000B67C2" w:rsidRDefault="00167E70" w:rsidP="00167E70">
            <w:pPr>
              <w:shd w:val="clear" w:color="auto" w:fill="FFFFFF"/>
              <w:spacing w:before="60" w:after="0"/>
              <w:rPr>
                <w:rFonts w:ascii="Times New Roman" w:hAnsi="Times New Roman"/>
              </w:rPr>
            </w:pPr>
            <w:r w:rsidRPr="000B67C2">
              <w:rPr>
                <w:rFonts w:ascii="Times New Roman" w:hAnsi="Times New Roman"/>
              </w:rPr>
              <w:t>0 (2020)</w:t>
            </w:r>
          </w:p>
        </w:tc>
        <w:tc>
          <w:tcPr>
            <w:tcW w:w="1418" w:type="dxa"/>
            <w:shd w:val="clear" w:color="auto" w:fill="auto"/>
          </w:tcPr>
          <w:p w14:paraId="59D3D904" w14:textId="77777777" w:rsidR="00167E70" w:rsidRPr="000B67C2" w:rsidRDefault="00167E70" w:rsidP="00167E70">
            <w:pPr>
              <w:shd w:val="clear" w:color="auto" w:fill="FFFFFF"/>
              <w:spacing w:before="60" w:after="0"/>
              <w:rPr>
                <w:rFonts w:ascii="Times New Roman" w:hAnsi="Times New Roman"/>
              </w:rPr>
            </w:pPr>
          </w:p>
        </w:tc>
        <w:tc>
          <w:tcPr>
            <w:tcW w:w="1418" w:type="dxa"/>
          </w:tcPr>
          <w:p w14:paraId="2F3965F7" w14:textId="77777777" w:rsidR="00167E70" w:rsidRPr="000B67C2" w:rsidRDefault="00167E70" w:rsidP="00167E70">
            <w:pPr>
              <w:shd w:val="clear" w:color="auto" w:fill="FFFFFF"/>
              <w:spacing w:before="60" w:after="0"/>
              <w:rPr>
                <w:rFonts w:ascii="Times New Roman" w:hAnsi="Times New Roman"/>
              </w:rPr>
            </w:pPr>
            <w:r w:rsidRPr="000B67C2">
              <w:rPr>
                <w:rFonts w:ascii="Times New Roman" w:hAnsi="Times New Roman"/>
              </w:rPr>
              <w:t>&gt; 10% a year of the received investment</w:t>
            </w:r>
          </w:p>
        </w:tc>
        <w:tc>
          <w:tcPr>
            <w:tcW w:w="1557" w:type="dxa"/>
            <w:shd w:val="clear" w:color="auto" w:fill="FFFFFF"/>
          </w:tcPr>
          <w:p w14:paraId="480983B4" w14:textId="77777777" w:rsidR="00167E70" w:rsidRPr="000B67C2" w:rsidRDefault="00167E70" w:rsidP="00167E70">
            <w:pPr>
              <w:numPr>
                <w:ilvl w:val="12"/>
                <w:numId w:val="0"/>
              </w:numPr>
              <w:shd w:val="clear" w:color="auto" w:fill="FFFFFF"/>
              <w:spacing w:before="60" w:after="0"/>
              <w:rPr>
                <w:rFonts w:ascii="Times New Roman" w:hAnsi="Times New Roman"/>
              </w:rPr>
            </w:pPr>
            <w:r w:rsidRPr="000B67C2">
              <w:rPr>
                <w:rFonts w:ascii="Times New Roman" w:hAnsi="Times New Roman"/>
              </w:rPr>
              <w:t>Implementation report</w:t>
            </w:r>
          </w:p>
        </w:tc>
        <w:tc>
          <w:tcPr>
            <w:tcW w:w="2126" w:type="dxa"/>
            <w:vMerge w:val="restart"/>
            <w:shd w:val="clear" w:color="auto" w:fill="FFFFFF"/>
          </w:tcPr>
          <w:p w14:paraId="300E7B77" w14:textId="47946D0A" w:rsidR="00167E70" w:rsidRPr="000B67C2" w:rsidRDefault="00167E70" w:rsidP="00167E70">
            <w:pPr>
              <w:numPr>
                <w:ilvl w:val="12"/>
                <w:numId w:val="0"/>
              </w:numPr>
              <w:shd w:val="clear" w:color="auto" w:fill="FFFFFF"/>
              <w:spacing w:before="60" w:after="0"/>
              <w:rPr>
                <w:rFonts w:ascii="Times New Roman" w:hAnsi="Times New Roman"/>
              </w:rPr>
            </w:pPr>
            <w:r w:rsidRPr="000B67C2">
              <w:rPr>
                <w:rFonts w:ascii="Times New Roman" w:hAnsi="Times New Roman"/>
              </w:rPr>
              <w:t>There is full commitment to green the economy of the country</w:t>
            </w:r>
            <w:r w:rsidR="0063773A" w:rsidRPr="000B67C2">
              <w:rPr>
                <w:rFonts w:ascii="Times New Roman" w:hAnsi="Times New Roman"/>
              </w:rPr>
              <w:t>, which is projected in tax laws, procurement and state aid rules benefiting green companies/production</w:t>
            </w:r>
          </w:p>
        </w:tc>
      </w:tr>
      <w:tr w:rsidR="00167E70" w:rsidRPr="000B67C2" w14:paraId="398CD573" w14:textId="77777777" w:rsidTr="00FA04A3">
        <w:trPr>
          <w:trHeight w:val="341"/>
        </w:trPr>
        <w:tc>
          <w:tcPr>
            <w:tcW w:w="3402" w:type="dxa"/>
            <w:vMerge/>
            <w:shd w:val="clear" w:color="auto" w:fill="FFFFFF"/>
          </w:tcPr>
          <w:p w14:paraId="31DBA70D" w14:textId="77777777" w:rsidR="00167E70" w:rsidRPr="000B67C2" w:rsidRDefault="00167E70" w:rsidP="00167E70">
            <w:pPr>
              <w:shd w:val="clear" w:color="auto" w:fill="FFFFFF"/>
              <w:spacing w:before="60" w:after="0"/>
              <w:rPr>
                <w:rFonts w:ascii="Times New Roman" w:hAnsi="Times New Roman"/>
              </w:rPr>
            </w:pPr>
          </w:p>
        </w:tc>
        <w:tc>
          <w:tcPr>
            <w:tcW w:w="3969" w:type="dxa"/>
            <w:shd w:val="clear" w:color="auto" w:fill="auto"/>
          </w:tcPr>
          <w:p w14:paraId="52A47563" w14:textId="0DDC6F60" w:rsidR="00167E70" w:rsidRPr="000B67C2" w:rsidRDefault="00167E70" w:rsidP="00167E70">
            <w:pPr>
              <w:shd w:val="clear" w:color="auto" w:fill="FFFFFF"/>
              <w:spacing w:before="60" w:after="0"/>
              <w:rPr>
                <w:rFonts w:ascii="Times New Roman" w:hAnsi="Times New Roman"/>
              </w:rPr>
            </w:pPr>
            <w:r w:rsidRPr="000B67C2">
              <w:rPr>
                <w:rFonts w:ascii="Times New Roman" w:hAnsi="Times New Roman"/>
              </w:rPr>
              <w:t xml:space="preserve">Jobs created in the </w:t>
            </w:r>
            <w:r w:rsidR="00E07E1A" w:rsidRPr="000B67C2">
              <w:rPr>
                <w:rFonts w:ascii="Times New Roman" w:hAnsi="Times New Roman"/>
              </w:rPr>
              <w:t>supported</w:t>
            </w:r>
            <w:r w:rsidR="00885C90" w:rsidRPr="000B67C2">
              <w:rPr>
                <w:rFonts w:ascii="Times New Roman" w:hAnsi="Times New Roman"/>
              </w:rPr>
              <w:t xml:space="preserve"> </w:t>
            </w:r>
            <w:r w:rsidRPr="000B67C2">
              <w:rPr>
                <w:rFonts w:ascii="Times New Roman" w:hAnsi="Times New Roman"/>
              </w:rPr>
              <w:t>enterprises</w:t>
            </w:r>
          </w:p>
          <w:p w14:paraId="0A3844BD" w14:textId="77777777" w:rsidR="00167E70" w:rsidRPr="000B67C2" w:rsidRDefault="00167E70" w:rsidP="00167E70">
            <w:pPr>
              <w:shd w:val="clear" w:color="auto" w:fill="FFFFFF"/>
              <w:spacing w:before="60" w:after="0"/>
              <w:rPr>
                <w:rFonts w:ascii="Times New Roman" w:hAnsi="Times New Roman"/>
              </w:rPr>
            </w:pPr>
            <w:r w:rsidRPr="000B67C2">
              <w:rPr>
                <w:rFonts w:ascii="Times New Roman" w:hAnsi="Times New Roman"/>
              </w:rPr>
              <w:t>(sex disaggregated)</w:t>
            </w:r>
          </w:p>
        </w:tc>
        <w:tc>
          <w:tcPr>
            <w:tcW w:w="1419" w:type="dxa"/>
            <w:shd w:val="clear" w:color="auto" w:fill="auto"/>
          </w:tcPr>
          <w:p w14:paraId="2BB1BE1C" w14:textId="77777777" w:rsidR="00167E70" w:rsidRPr="000B67C2" w:rsidRDefault="00167E70" w:rsidP="00167E70">
            <w:pPr>
              <w:shd w:val="clear" w:color="auto" w:fill="FFFFFF"/>
              <w:spacing w:before="60" w:after="0"/>
              <w:rPr>
                <w:rFonts w:ascii="Times New Roman" w:hAnsi="Times New Roman"/>
              </w:rPr>
            </w:pPr>
            <w:r w:rsidRPr="000B67C2">
              <w:rPr>
                <w:rFonts w:ascii="Times New Roman" w:hAnsi="Times New Roman"/>
              </w:rPr>
              <w:t>0 (2020)</w:t>
            </w:r>
          </w:p>
        </w:tc>
        <w:tc>
          <w:tcPr>
            <w:tcW w:w="1418" w:type="dxa"/>
            <w:shd w:val="clear" w:color="auto" w:fill="auto"/>
          </w:tcPr>
          <w:p w14:paraId="5CD6FB88" w14:textId="77777777" w:rsidR="00167E70" w:rsidRPr="000B67C2" w:rsidRDefault="00167E70" w:rsidP="00167E70">
            <w:pPr>
              <w:shd w:val="clear" w:color="auto" w:fill="FFFFFF"/>
              <w:spacing w:before="60" w:after="0"/>
              <w:rPr>
                <w:rFonts w:ascii="Times New Roman" w:hAnsi="Times New Roman"/>
              </w:rPr>
            </w:pPr>
          </w:p>
        </w:tc>
        <w:tc>
          <w:tcPr>
            <w:tcW w:w="1418" w:type="dxa"/>
          </w:tcPr>
          <w:p w14:paraId="3E7C758F" w14:textId="77777777" w:rsidR="00167E70" w:rsidRPr="000B67C2" w:rsidRDefault="00167E70" w:rsidP="00167E70">
            <w:pPr>
              <w:shd w:val="clear" w:color="auto" w:fill="FFFFFF"/>
              <w:spacing w:before="60" w:after="0"/>
              <w:rPr>
                <w:rFonts w:ascii="Times New Roman" w:hAnsi="Times New Roman"/>
              </w:rPr>
            </w:pPr>
            <w:r w:rsidRPr="000B67C2">
              <w:rPr>
                <w:rFonts w:ascii="Times New Roman" w:hAnsi="Times New Roman"/>
              </w:rPr>
              <w:t>&gt; 1 job/20,000 Euro of EU investment</w:t>
            </w:r>
          </w:p>
        </w:tc>
        <w:tc>
          <w:tcPr>
            <w:tcW w:w="1557" w:type="dxa"/>
            <w:shd w:val="clear" w:color="auto" w:fill="FFFFFF"/>
          </w:tcPr>
          <w:p w14:paraId="47B6D108" w14:textId="77777777" w:rsidR="00167E70" w:rsidRPr="000B67C2" w:rsidRDefault="00167E70" w:rsidP="00167E70">
            <w:pPr>
              <w:numPr>
                <w:ilvl w:val="12"/>
                <w:numId w:val="0"/>
              </w:numPr>
              <w:shd w:val="clear" w:color="auto" w:fill="FFFFFF"/>
              <w:spacing w:before="60" w:after="0"/>
              <w:rPr>
                <w:rFonts w:ascii="Times New Roman" w:hAnsi="Times New Roman"/>
              </w:rPr>
            </w:pPr>
            <w:r w:rsidRPr="000B67C2">
              <w:rPr>
                <w:rFonts w:ascii="Times New Roman" w:hAnsi="Times New Roman"/>
              </w:rPr>
              <w:t>Implementation report</w:t>
            </w:r>
          </w:p>
        </w:tc>
        <w:tc>
          <w:tcPr>
            <w:tcW w:w="2126" w:type="dxa"/>
            <w:vMerge/>
            <w:shd w:val="clear" w:color="auto" w:fill="FFFFFF"/>
          </w:tcPr>
          <w:p w14:paraId="4B7DF0D4" w14:textId="77777777" w:rsidR="00167E70" w:rsidRPr="000B67C2" w:rsidRDefault="00167E70" w:rsidP="00167E70">
            <w:pPr>
              <w:numPr>
                <w:ilvl w:val="12"/>
                <w:numId w:val="0"/>
              </w:numPr>
              <w:shd w:val="clear" w:color="auto" w:fill="FFFFFF"/>
              <w:spacing w:before="60" w:after="0"/>
              <w:rPr>
                <w:rFonts w:ascii="Times New Roman" w:hAnsi="Times New Roman"/>
              </w:rPr>
            </w:pPr>
          </w:p>
        </w:tc>
      </w:tr>
      <w:tr w:rsidR="00167E70" w:rsidRPr="000B67C2" w14:paraId="0C3ABCCB" w14:textId="77777777" w:rsidTr="00FA04A3">
        <w:trPr>
          <w:trHeight w:val="889"/>
        </w:trPr>
        <w:tc>
          <w:tcPr>
            <w:tcW w:w="3402" w:type="dxa"/>
            <w:vMerge/>
            <w:shd w:val="clear" w:color="auto" w:fill="FFFFFF"/>
          </w:tcPr>
          <w:p w14:paraId="6AE56DD9" w14:textId="77777777" w:rsidR="00167E70" w:rsidRPr="000B67C2" w:rsidRDefault="00167E70" w:rsidP="00167E70">
            <w:pPr>
              <w:shd w:val="clear" w:color="auto" w:fill="FFFFFF"/>
              <w:spacing w:before="60" w:after="0"/>
              <w:rPr>
                <w:rFonts w:ascii="Times New Roman" w:hAnsi="Times New Roman"/>
              </w:rPr>
            </w:pPr>
          </w:p>
        </w:tc>
        <w:tc>
          <w:tcPr>
            <w:tcW w:w="3969" w:type="dxa"/>
            <w:shd w:val="clear" w:color="auto" w:fill="auto"/>
          </w:tcPr>
          <w:p w14:paraId="7EB40C33" w14:textId="77777777" w:rsidR="00167E70" w:rsidRPr="000B67C2" w:rsidRDefault="00167E70" w:rsidP="00167E70">
            <w:pPr>
              <w:shd w:val="clear" w:color="auto" w:fill="FFFFFF"/>
              <w:spacing w:before="60" w:after="0"/>
              <w:rPr>
                <w:rFonts w:ascii="Times New Roman" w:hAnsi="Times New Roman"/>
              </w:rPr>
            </w:pPr>
            <w:r w:rsidRPr="000B67C2">
              <w:rPr>
                <w:rFonts w:ascii="Times New Roman" w:hAnsi="Times New Roman"/>
              </w:rPr>
              <w:t xml:space="preserve">Variation of the energy cost versus turnover </w:t>
            </w:r>
          </w:p>
        </w:tc>
        <w:tc>
          <w:tcPr>
            <w:tcW w:w="1419" w:type="dxa"/>
            <w:shd w:val="clear" w:color="auto" w:fill="auto"/>
          </w:tcPr>
          <w:p w14:paraId="5C44EFCB" w14:textId="77777777" w:rsidR="00167E70" w:rsidRPr="000B67C2" w:rsidRDefault="00167E70" w:rsidP="00167E70">
            <w:pPr>
              <w:spacing w:after="0"/>
              <w:rPr>
                <w:rFonts w:ascii="Times New Roman" w:hAnsi="Times New Roman"/>
              </w:rPr>
            </w:pPr>
            <w:r w:rsidRPr="000B67C2">
              <w:rPr>
                <w:rFonts w:ascii="Times New Roman" w:hAnsi="Times New Roman"/>
              </w:rPr>
              <w:t>0 (2020)</w:t>
            </w:r>
          </w:p>
        </w:tc>
        <w:tc>
          <w:tcPr>
            <w:tcW w:w="1418" w:type="dxa"/>
            <w:shd w:val="clear" w:color="auto" w:fill="auto"/>
          </w:tcPr>
          <w:p w14:paraId="5BB034E8" w14:textId="77777777" w:rsidR="00167E70" w:rsidRPr="000B67C2" w:rsidRDefault="00167E70" w:rsidP="00167E70">
            <w:pPr>
              <w:autoSpaceDE w:val="0"/>
              <w:autoSpaceDN w:val="0"/>
              <w:adjustRightInd w:val="0"/>
              <w:spacing w:after="0"/>
              <w:rPr>
                <w:rFonts w:ascii="Times New Roman" w:hAnsi="Times New Roman"/>
              </w:rPr>
            </w:pPr>
          </w:p>
        </w:tc>
        <w:tc>
          <w:tcPr>
            <w:tcW w:w="1418" w:type="dxa"/>
          </w:tcPr>
          <w:p w14:paraId="11EA9348" w14:textId="77777777" w:rsidR="00167E70" w:rsidRPr="000B67C2" w:rsidRDefault="00167E70" w:rsidP="00167E70">
            <w:pPr>
              <w:shd w:val="clear" w:color="auto" w:fill="FFFFFF"/>
              <w:spacing w:before="60" w:after="0"/>
              <w:rPr>
                <w:rFonts w:ascii="Times New Roman" w:hAnsi="Times New Roman"/>
              </w:rPr>
            </w:pPr>
            <w:r w:rsidRPr="000B67C2">
              <w:rPr>
                <w:rFonts w:ascii="Times New Roman" w:hAnsi="Times New Roman"/>
              </w:rPr>
              <w:t>&gt; 20% reduction of the incidence of the energy costs (electricity, gas, gasoline)</w:t>
            </w:r>
          </w:p>
        </w:tc>
        <w:tc>
          <w:tcPr>
            <w:tcW w:w="1557" w:type="dxa"/>
            <w:shd w:val="clear" w:color="auto" w:fill="FFFFFF"/>
          </w:tcPr>
          <w:p w14:paraId="6F20F351" w14:textId="77777777" w:rsidR="00167E70" w:rsidRPr="000B67C2" w:rsidRDefault="00167E70" w:rsidP="00167E70">
            <w:pPr>
              <w:numPr>
                <w:ilvl w:val="12"/>
                <w:numId w:val="0"/>
              </w:numPr>
              <w:shd w:val="clear" w:color="auto" w:fill="FFFFFF"/>
              <w:spacing w:before="60" w:after="0"/>
              <w:rPr>
                <w:rFonts w:ascii="Times New Roman" w:hAnsi="Times New Roman"/>
              </w:rPr>
            </w:pPr>
          </w:p>
        </w:tc>
        <w:tc>
          <w:tcPr>
            <w:tcW w:w="2126" w:type="dxa"/>
            <w:vMerge/>
            <w:shd w:val="clear" w:color="auto" w:fill="FFFFFF"/>
          </w:tcPr>
          <w:p w14:paraId="5E23532D" w14:textId="77777777" w:rsidR="00167E70" w:rsidRPr="000B67C2" w:rsidRDefault="00167E70" w:rsidP="00167E70">
            <w:pPr>
              <w:numPr>
                <w:ilvl w:val="12"/>
                <w:numId w:val="0"/>
              </w:numPr>
              <w:shd w:val="clear" w:color="auto" w:fill="FFFFFF"/>
              <w:spacing w:before="60" w:after="0"/>
              <w:rPr>
                <w:rFonts w:ascii="Times New Roman" w:hAnsi="Times New Roman"/>
              </w:rPr>
            </w:pPr>
          </w:p>
        </w:tc>
      </w:tr>
      <w:tr w:rsidR="00167E70" w:rsidRPr="000B67C2" w14:paraId="67E99AE0" w14:textId="77777777" w:rsidTr="00FA04A3">
        <w:trPr>
          <w:trHeight w:val="358"/>
        </w:trPr>
        <w:tc>
          <w:tcPr>
            <w:tcW w:w="3402" w:type="dxa"/>
            <w:shd w:val="clear" w:color="auto" w:fill="FFFFFF"/>
          </w:tcPr>
          <w:p w14:paraId="44696A3F" w14:textId="77777777" w:rsidR="00167E70" w:rsidRPr="000B67C2" w:rsidRDefault="00167E70" w:rsidP="00167E70">
            <w:pPr>
              <w:numPr>
                <w:ilvl w:val="12"/>
                <w:numId w:val="0"/>
              </w:numPr>
              <w:shd w:val="clear" w:color="auto" w:fill="FFFFFF"/>
              <w:spacing w:before="100" w:beforeAutospacing="1" w:after="100" w:afterAutospacing="1"/>
              <w:jc w:val="center"/>
              <w:rPr>
                <w:rFonts w:ascii="Times New Roman" w:hAnsi="Times New Roman"/>
                <w:b/>
              </w:rPr>
            </w:pPr>
            <w:r w:rsidRPr="000B67C2">
              <w:rPr>
                <w:rFonts w:ascii="Times New Roman" w:hAnsi="Times New Roman"/>
                <w:b/>
              </w:rPr>
              <w:t>OUTPUTS</w:t>
            </w:r>
          </w:p>
        </w:tc>
        <w:tc>
          <w:tcPr>
            <w:tcW w:w="3969" w:type="dxa"/>
            <w:shd w:val="clear" w:color="auto" w:fill="FFFFFF"/>
          </w:tcPr>
          <w:p w14:paraId="1B1DDD10" w14:textId="77777777" w:rsidR="00167E70" w:rsidRPr="000B67C2" w:rsidRDefault="00167E70" w:rsidP="00167E70">
            <w:pPr>
              <w:shd w:val="clear" w:color="auto" w:fill="FFFFFF"/>
              <w:spacing w:after="0"/>
              <w:jc w:val="center"/>
              <w:rPr>
                <w:rFonts w:ascii="Times New Roman" w:hAnsi="Times New Roman"/>
              </w:rPr>
            </w:pPr>
            <w:r w:rsidRPr="000B67C2">
              <w:rPr>
                <w:rFonts w:ascii="Times New Roman" w:hAnsi="Times New Roman"/>
                <w:b/>
              </w:rPr>
              <w:t>OBJECTIVELY VERIFIABLE INDICATORS (*)</w:t>
            </w:r>
          </w:p>
        </w:tc>
        <w:tc>
          <w:tcPr>
            <w:tcW w:w="1419" w:type="dxa"/>
            <w:shd w:val="clear" w:color="auto" w:fill="FFFFFF"/>
          </w:tcPr>
          <w:p w14:paraId="63B6710C" w14:textId="77777777" w:rsidR="00167E70" w:rsidRPr="000B67C2" w:rsidRDefault="00167E70" w:rsidP="00167E70">
            <w:pPr>
              <w:shd w:val="clear" w:color="auto" w:fill="FFFFFF"/>
              <w:spacing w:after="0"/>
              <w:jc w:val="center"/>
              <w:rPr>
                <w:rFonts w:ascii="Times New Roman" w:hAnsi="Times New Roman"/>
                <w:b/>
              </w:rPr>
            </w:pPr>
            <w:r w:rsidRPr="000B67C2">
              <w:rPr>
                <w:rFonts w:ascii="Times New Roman" w:hAnsi="Times New Roman"/>
                <w:b/>
              </w:rPr>
              <w:t>BASELINES</w:t>
            </w:r>
          </w:p>
          <w:p w14:paraId="691BC913" w14:textId="77777777" w:rsidR="00167E70" w:rsidRPr="000B67C2" w:rsidRDefault="00167E70" w:rsidP="00167E70">
            <w:pPr>
              <w:shd w:val="clear" w:color="auto" w:fill="FFFFFF"/>
              <w:spacing w:after="0"/>
              <w:ind w:left="-352"/>
              <w:jc w:val="center"/>
              <w:rPr>
                <w:rFonts w:ascii="Times New Roman" w:hAnsi="Times New Roman"/>
                <w:b/>
              </w:rPr>
            </w:pPr>
          </w:p>
        </w:tc>
        <w:tc>
          <w:tcPr>
            <w:tcW w:w="1418" w:type="dxa"/>
            <w:shd w:val="clear" w:color="auto" w:fill="FFFFFF"/>
          </w:tcPr>
          <w:p w14:paraId="69FDD76F" w14:textId="77777777" w:rsidR="00167E70" w:rsidRPr="000B67C2" w:rsidRDefault="00167E70" w:rsidP="00167E70">
            <w:pPr>
              <w:shd w:val="clear" w:color="auto" w:fill="FFFFFF"/>
              <w:spacing w:after="0"/>
              <w:jc w:val="center"/>
              <w:rPr>
                <w:rFonts w:ascii="Times New Roman" w:hAnsi="Times New Roman"/>
                <w:b/>
              </w:rPr>
            </w:pPr>
            <w:r w:rsidRPr="000B67C2">
              <w:rPr>
                <w:rFonts w:ascii="Times New Roman" w:hAnsi="Times New Roman"/>
                <w:b/>
              </w:rPr>
              <w:t>MILESTONES</w:t>
            </w:r>
          </w:p>
          <w:p w14:paraId="4A3EAEFD" w14:textId="77777777" w:rsidR="00167E70" w:rsidRPr="000B67C2" w:rsidRDefault="00167E70" w:rsidP="00167E70">
            <w:pPr>
              <w:shd w:val="clear" w:color="auto" w:fill="FFFFFF"/>
              <w:spacing w:after="0"/>
              <w:jc w:val="center"/>
              <w:rPr>
                <w:rFonts w:ascii="Times New Roman" w:hAnsi="Times New Roman"/>
                <w:b/>
              </w:rPr>
            </w:pPr>
          </w:p>
        </w:tc>
        <w:tc>
          <w:tcPr>
            <w:tcW w:w="1418" w:type="dxa"/>
            <w:shd w:val="clear" w:color="auto" w:fill="FFFFFF"/>
          </w:tcPr>
          <w:p w14:paraId="61CC0ECD" w14:textId="77777777" w:rsidR="00167E70" w:rsidRPr="000B67C2" w:rsidRDefault="00167E70" w:rsidP="00167E70">
            <w:pPr>
              <w:shd w:val="clear" w:color="auto" w:fill="FFFFFF"/>
              <w:spacing w:after="0"/>
              <w:jc w:val="center"/>
              <w:rPr>
                <w:rFonts w:ascii="Times New Roman" w:hAnsi="Times New Roman"/>
                <w:b/>
              </w:rPr>
            </w:pPr>
            <w:r w:rsidRPr="000B67C2">
              <w:rPr>
                <w:rFonts w:ascii="Times New Roman" w:hAnsi="Times New Roman"/>
                <w:b/>
              </w:rPr>
              <w:t>TARGETS</w:t>
            </w:r>
          </w:p>
          <w:p w14:paraId="6C60C814" w14:textId="77777777" w:rsidR="00167E70" w:rsidRPr="000B67C2" w:rsidRDefault="00167E70" w:rsidP="00167E70">
            <w:pPr>
              <w:shd w:val="clear" w:color="auto" w:fill="FFFFFF"/>
              <w:spacing w:after="0"/>
              <w:jc w:val="center"/>
              <w:rPr>
                <w:rFonts w:ascii="Times New Roman" w:hAnsi="Times New Roman"/>
                <w:b/>
              </w:rPr>
            </w:pPr>
          </w:p>
        </w:tc>
        <w:tc>
          <w:tcPr>
            <w:tcW w:w="1557" w:type="dxa"/>
            <w:shd w:val="clear" w:color="auto" w:fill="FFFFFF"/>
          </w:tcPr>
          <w:p w14:paraId="57E89FE6" w14:textId="77777777" w:rsidR="00167E70" w:rsidRPr="000B67C2" w:rsidRDefault="00167E70" w:rsidP="00167E70">
            <w:pPr>
              <w:shd w:val="clear" w:color="auto" w:fill="FFFFFF"/>
              <w:spacing w:after="0"/>
              <w:jc w:val="center"/>
              <w:rPr>
                <w:rFonts w:ascii="Times New Roman" w:hAnsi="Times New Roman"/>
              </w:rPr>
            </w:pPr>
            <w:r w:rsidRPr="000B67C2">
              <w:rPr>
                <w:rFonts w:ascii="Times New Roman" w:hAnsi="Times New Roman"/>
                <w:b/>
              </w:rPr>
              <w:t>SOURCES OF VERIFICATION</w:t>
            </w:r>
          </w:p>
        </w:tc>
        <w:tc>
          <w:tcPr>
            <w:tcW w:w="2126" w:type="dxa"/>
            <w:shd w:val="clear" w:color="auto" w:fill="FFFFFF"/>
          </w:tcPr>
          <w:p w14:paraId="124B257B" w14:textId="77777777" w:rsidR="00167E70" w:rsidRPr="000B67C2" w:rsidRDefault="00167E70" w:rsidP="00167E70">
            <w:pPr>
              <w:numPr>
                <w:ilvl w:val="12"/>
                <w:numId w:val="0"/>
              </w:numPr>
              <w:shd w:val="clear" w:color="auto" w:fill="FFFFFF"/>
              <w:spacing w:after="0"/>
              <w:jc w:val="center"/>
              <w:rPr>
                <w:rFonts w:ascii="Times New Roman" w:hAnsi="Times New Roman"/>
                <w:b/>
              </w:rPr>
            </w:pPr>
            <w:r w:rsidRPr="000B67C2">
              <w:rPr>
                <w:rFonts w:ascii="Times New Roman" w:hAnsi="Times New Roman"/>
                <w:b/>
              </w:rPr>
              <w:t>ASSUMPTIONS</w:t>
            </w:r>
          </w:p>
        </w:tc>
      </w:tr>
      <w:tr w:rsidR="00CA19B7" w:rsidRPr="000B67C2" w14:paraId="3802C847" w14:textId="77777777" w:rsidTr="008745AE">
        <w:trPr>
          <w:trHeight w:val="750"/>
        </w:trPr>
        <w:tc>
          <w:tcPr>
            <w:tcW w:w="3402" w:type="dxa"/>
            <w:vMerge w:val="restart"/>
            <w:shd w:val="clear" w:color="auto" w:fill="FFFFFF"/>
          </w:tcPr>
          <w:p w14:paraId="07E77040" w14:textId="63F92F85" w:rsidR="00CA19B7" w:rsidRPr="000B67C2" w:rsidRDefault="0035153C" w:rsidP="00523537">
            <w:pPr>
              <w:shd w:val="clear" w:color="auto" w:fill="FFFFFF"/>
              <w:autoSpaceDE w:val="0"/>
              <w:autoSpaceDN w:val="0"/>
              <w:adjustRightInd w:val="0"/>
              <w:rPr>
                <w:rFonts w:ascii="Times New Roman" w:hAnsi="Times New Roman"/>
              </w:rPr>
            </w:pPr>
            <w:r w:rsidRPr="000B67C2">
              <w:rPr>
                <w:rFonts w:ascii="Times New Roman" w:hAnsi="Times New Roman"/>
              </w:rPr>
              <w:t>Innovation, technology development and environmental sustainability boost in North Macedonian enterprises</w:t>
            </w:r>
          </w:p>
        </w:tc>
        <w:tc>
          <w:tcPr>
            <w:tcW w:w="3969" w:type="dxa"/>
            <w:shd w:val="clear" w:color="auto" w:fill="FFFFFF"/>
          </w:tcPr>
          <w:p w14:paraId="6805E56A" w14:textId="507742BF" w:rsidR="00CA19B7" w:rsidRPr="000B67C2" w:rsidRDefault="00CA19B7" w:rsidP="0035153C">
            <w:pPr>
              <w:shd w:val="clear" w:color="auto" w:fill="FFFFFF"/>
              <w:spacing w:before="60" w:after="0"/>
              <w:rPr>
                <w:rFonts w:ascii="Times New Roman" w:hAnsi="Times New Roman"/>
              </w:rPr>
            </w:pPr>
            <w:r w:rsidRPr="000B67C2">
              <w:rPr>
                <w:rFonts w:ascii="Times New Roman" w:hAnsi="Times New Roman"/>
              </w:rPr>
              <w:t xml:space="preserve">No of supported companies </w:t>
            </w:r>
          </w:p>
          <w:p w14:paraId="54C9F7CD" w14:textId="5573D24D" w:rsidR="00CA19B7" w:rsidRPr="000B67C2" w:rsidRDefault="00CA19B7" w:rsidP="0035153C">
            <w:pPr>
              <w:shd w:val="clear" w:color="auto" w:fill="FFFFFF"/>
              <w:spacing w:before="60" w:after="0"/>
              <w:rPr>
                <w:rFonts w:ascii="Times New Roman" w:hAnsi="Times New Roman"/>
              </w:rPr>
            </w:pPr>
            <w:r w:rsidRPr="000B67C2">
              <w:rPr>
                <w:rFonts w:ascii="Times New Roman" w:hAnsi="Times New Roman"/>
              </w:rPr>
              <w:t>(breakdown per economic sector / gender of management and ownership (male/female) / geographic location</w:t>
            </w:r>
            <w:r w:rsidR="00033FB7" w:rsidRPr="000B67C2">
              <w:rPr>
                <w:rFonts w:ascii="Times New Roman" w:hAnsi="Times New Roman"/>
              </w:rPr>
              <w:t xml:space="preserve"> / type of “greening”</w:t>
            </w:r>
            <w:r w:rsidRPr="000B67C2">
              <w:rPr>
                <w:rFonts w:ascii="Times New Roman" w:hAnsi="Times New Roman"/>
              </w:rPr>
              <w:t>)</w:t>
            </w:r>
          </w:p>
        </w:tc>
        <w:tc>
          <w:tcPr>
            <w:tcW w:w="1419" w:type="dxa"/>
            <w:shd w:val="clear" w:color="auto" w:fill="FFFFFF"/>
          </w:tcPr>
          <w:p w14:paraId="63346849" w14:textId="39D3A5DC" w:rsidR="00CA19B7" w:rsidRPr="000B67C2" w:rsidRDefault="00CA19B7" w:rsidP="00167E70">
            <w:pPr>
              <w:shd w:val="clear" w:color="auto" w:fill="FFFFFF"/>
              <w:spacing w:before="60" w:after="0"/>
              <w:rPr>
                <w:rFonts w:ascii="Times New Roman" w:hAnsi="Times New Roman"/>
              </w:rPr>
            </w:pPr>
            <w:r w:rsidRPr="000B67C2">
              <w:rPr>
                <w:rFonts w:ascii="Times New Roman" w:hAnsi="Times New Roman"/>
              </w:rPr>
              <w:t>0(2020)</w:t>
            </w:r>
          </w:p>
        </w:tc>
        <w:tc>
          <w:tcPr>
            <w:tcW w:w="1418" w:type="dxa"/>
            <w:shd w:val="clear" w:color="auto" w:fill="FFFFFF"/>
          </w:tcPr>
          <w:p w14:paraId="6C91992D" w14:textId="7B402D99" w:rsidR="00CA19B7" w:rsidRPr="000B67C2" w:rsidRDefault="00CA19B7" w:rsidP="00167E70">
            <w:pPr>
              <w:shd w:val="clear" w:color="auto" w:fill="FFFFFF"/>
              <w:spacing w:before="60" w:after="0"/>
              <w:rPr>
                <w:rFonts w:ascii="Times New Roman" w:hAnsi="Times New Roman"/>
              </w:rPr>
            </w:pPr>
            <w:r w:rsidRPr="000B67C2">
              <w:rPr>
                <w:rFonts w:ascii="Times New Roman" w:hAnsi="Times New Roman"/>
              </w:rPr>
              <w:t>200 (2023)</w:t>
            </w:r>
          </w:p>
        </w:tc>
        <w:tc>
          <w:tcPr>
            <w:tcW w:w="1418" w:type="dxa"/>
            <w:shd w:val="clear" w:color="auto" w:fill="FFFFFF"/>
          </w:tcPr>
          <w:p w14:paraId="28AE3954" w14:textId="2A26A9AA" w:rsidR="00CA19B7" w:rsidRPr="000B67C2" w:rsidRDefault="00CA19B7" w:rsidP="00167E70">
            <w:pPr>
              <w:shd w:val="clear" w:color="auto" w:fill="FFFFFF"/>
              <w:spacing w:before="60" w:after="0"/>
              <w:rPr>
                <w:rFonts w:ascii="Times New Roman" w:hAnsi="Times New Roman"/>
              </w:rPr>
            </w:pPr>
            <w:r w:rsidRPr="000B67C2">
              <w:rPr>
                <w:rFonts w:ascii="Times New Roman" w:hAnsi="Times New Roman"/>
              </w:rPr>
              <w:t>300 (2025)</w:t>
            </w:r>
          </w:p>
        </w:tc>
        <w:tc>
          <w:tcPr>
            <w:tcW w:w="1557" w:type="dxa"/>
            <w:shd w:val="clear" w:color="auto" w:fill="FFFFFF"/>
          </w:tcPr>
          <w:p w14:paraId="3EDA073C" w14:textId="77777777" w:rsidR="00CA19B7" w:rsidRPr="000B67C2" w:rsidRDefault="00CA19B7" w:rsidP="00167E70">
            <w:pPr>
              <w:numPr>
                <w:ilvl w:val="12"/>
                <w:numId w:val="0"/>
              </w:numPr>
              <w:shd w:val="clear" w:color="auto" w:fill="FFFFFF"/>
              <w:spacing w:before="60" w:after="0"/>
              <w:rPr>
                <w:rFonts w:ascii="Times New Roman" w:hAnsi="Times New Roman"/>
              </w:rPr>
            </w:pPr>
            <w:r w:rsidRPr="000B67C2">
              <w:rPr>
                <w:rFonts w:ascii="Times New Roman" w:hAnsi="Times New Roman"/>
              </w:rPr>
              <w:t>Implementation report</w:t>
            </w:r>
          </w:p>
        </w:tc>
        <w:tc>
          <w:tcPr>
            <w:tcW w:w="2126" w:type="dxa"/>
            <w:vMerge w:val="restart"/>
            <w:shd w:val="clear" w:color="auto" w:fill="FFFFFF"/>
          </w:tcPr>
          <w:p w14:paraId="4D5459B8" w14:textId="5757AF29" w:rsidR="00CA19B7" w:rsidRPr="000B67C2" w:rsidRDefault="00CA19B7" w:rsidP="00523537">
            <w:pPr>
              <w:shd w:val="clear" w:color="auto" w:fill="FFFFFF"/>
              <w:spacing w:before="60" w:after="0"/>
              <w:rPr>
                <w:rFonts w:ascii="Times New Roman" w:hAnsi="Times New Roman"/>
              </w:rPr>
            </w:pPr>
            <w:r w:rsidRPr="000B67C2">
              <w:rPr>
                <w:rFonts w:ascii="Times New Roman" w:hAnsi="Times New Roman"/>
              </w:rPr>
              <w:t xml:space="preserve">North Macedonian enterprises are interested </w:t>
            </w:r>
            <w:r w:rsidR="00033FB7" w:rsidRPr="000B67C2">
              <w:rPr>
                <w:rFonts w:ascii="Times New Roman" w:hAnsi="Times New Roman"/>
              </w:rPr>
              <w:t>t</w:t>
            </w:r>
            <w:r w:rsidRPr="000B67C2">
              <w:rPr>
                <w:rFonts w:ascii="Times New Roman" w:hAnsi="Times New Roman"/>
              </w:rPr>
              <w:t xml:space="preserve">o invest in </w:t>
            </w:r>
            <w:r w:rsidRPr="000B67C2">
              <w:rPr>
                <w:rFonts w:ascii="Times New Roman" w:hAnsi="Times New Roman"/>
              </w:rPr>
              <w:lastRenderedPageBreak/>
              <w:t>greening their operations</w:t>
            </w:r>
          </w:p>
        </w:tc>
      </w:tr>
      <w:tr w:rsidR="00CA19B7" w:rsidRPr="000B67C2" w14:paraId="15FCFFA4" w14:textId="77777777" w:rsidTr="00FA04A3">
        <w:trPr>
          <w:trHeight w:val="350"/>
        </w:trPr>
        <w:tc>
          <w:tcPr>
            <w:tcW w:w="3402" w:type="dxa"/>
            <w:vMerge/>
            <w:shd w:val="clear" w:color="auto" w:fill="FFFFFF"/>
          </w:tcPr>
          <w:p w14:paraId="4A6A6CC3" w14:textId="77777777" w:rsidR="00CA19B7" w:rsidRPr="000B67C2" w:rsidRDefault="00CA19B7" w:rsidP="00167E70">
            <w:pPr>
              <w:shd w:val="clear" w:color="auto" w:fill="FFFFFF"/>
              <w:autoSpaceDE w:val="0"/>
              <w:autoSpaceDN w:val="0"/>
              <w:adjustRightInd w:val="0"/>
              <w:rPr>
                <w:rFonts w:ascii="Times New Roman" w:hAnsi="Times New Roman"/>
              </w:rPr>
            </w:pPr>
          </w:p>
        </w:tc>
        <w:tc>
          <w:tcPr>
            <w:tcW w:w="3969" w:type="dxa"/>
            <w:shd w:val="clear" w:color="auto" w:fill="FFFFFF"/>
          </w:tcPr>
          <w:p w14:paraId="6FDB4679" w14:textId="65651279" w:rsidR="00CA19B7" w:rsidRPr="000B67C2" w:rsidRDefault="00CA19B7" w:rsidP="00523537">
            <w:pPr>
              <w:shd w:val="clear" w:color="auto" w:fill="FFFFFF"/>
              <w:spacing w:before="60" w:after="0"/>
              <w:rPr>
                <w:rFonts w:ascii="Times New Roman" w:hAnsi="Times New Roman"/>
              </w:rPr>
            </w:pPr>
            <w:r w:rsidRPr="000B67C2">
              <w:rPr>
                <w:rFonts w:ascii="Times New Roman" w:hAnsi="Times New Roman"/>
              </w:rPr>
              <w:t>Financial leverage (mobilised private investments for the supported initiatives)</w:t>
            </w:r>
          </w:p>
        </w:tc>
        <w:tc>
          <w:tcPr>
            <w:tcW w:w="1419" w:type="dxa"/>
            <w:shd w:val="clear" w:color="auto" w:fill="FFFFFF"/>
          </w:tcPr>
          <w:p w14:paraId="4A2B7902" w14:textId="11698CFD" w:rsidR="00CA19B7" w:rsidRPr="000B67C2" w:rsidRDefault="006F14D8" w:rsidP="00167E70">
            <w:pPr>
              <w:shd w:val="clear" w:color="auto" w:fill="FFFFFF"/>
              <w:spacing w:before="60" w:after="0"/>
              <w:rPr>
                <w:rFonts w:ascii="Times New Roman" w:hAnsi="Times New Roman"/>
              </w:rPr>
            </w:pPr>
            <w:r w:rsidRPr="000B67C2">
              <w:rPr>
                <w:rFonts w:ascii="Times New Roman" w:hAnsi="Times New Roman"/>
              </w:rPr>
              <w:t>(new)</w:t>
            </w:r>
          </w:p>
        </w:tc>
        <w:tc>
          <w:tcPr>
            <w:tcW w:w="1418" w:type="dxa"/>
            <w:shd w:val="clear" w:color="auto" w:fill="FFFFFF"/>
          </w:tcPr>
          <w:p w14:paraId="00CE0EAF" w14:textId="33508E0F" w:rsidR="00CA19B7" w:rsidRPr="000B67C2" w:rsidRDefault="00CA19B7" w:rsidP="00167E70">
            <w:pPr>
              <w:shd w:val="clear" w:color="auto" w:fill="FFFFFF"/>
              <w:spacing w:before="60" w:after="0"/>
              <w:rPr>
                <w:rFonts w:ascii="Times New Roman" w:hAnsi="Times New Roman"/>
              </w:rPr>
            </w:pPr>
            <w:r w:rsidRPr="000B67C2">
              <w:rPr>
                <w:rFonts w:ascii="Times New Roman" w:hAnsi="Times New Roman"/>
              </w:rPr>
              <w:t>5 MEUR</w:t>
            </w:r>
          </w:p>
        </w:tc>
        <w:tc>
          <w:tcPr>
            <w:tcW w:w="1418" w:type="dxa"/>
            <w:shd w:val="clear" w:color="auto" w:fill="FFFFFF"/>
          </w:tcPr>
          <w:p w14:paraId="7C15F197" w14:textId="387327D9" w:rsidR="00CA19B7" w:rsidRPr="000B67C2" w:rsidRDefault="00CA19B7" w:rsidP="00167E70">
            <w:pPr>
              <w:shd w:val="clear" w:color="auto" w:fill="FFFFFF"/>
              <w:spacing w:before="60" w:after="0"/>
              <w:rPr>
                <w:rFonts w:ascii="Times New Roman" w:hAnsi="Times New Roman"/>
              </w:rPr>
            </w:pPr>
            <w:r w:rsidRPr="000B67C2">
              <w:rPr>
                <w:rFonts w:ascii="Times New Roman" w:hAnsi="Times New Roman"/>
              </w:rPr>
              <w:t>8 MEUR</w:t>
            </w:r>
          </w:p>
        </w:tc>
        <w:tc>
          <w:tcPr>
            <w:tcW w:w="1557" w:type="dxa"/>
            <w:shd w:val="clear" w:color="auto" w:fill="FFFFFF"/>
          </w:tcPr>
          <w:p w14:paraId="70E21987" w14:textId="7E132E93" w:rsidR="00CA19B7" w:rsidRPr="000B67C2" w:rsidRDefault="00CA19B7" w:rsidP="00167E70">
            <w:pPr>
              <w:numPr>
                <w:ilvl w:val="12"/>
                <w:numId w:val="0"/>
              </w:numPr>
              <w:shd w:val="clear" w:color="auto" w:fill="FFFFFF"/>
              <w:spacing w:before="60" w:after="0"/>
              <w:rPr>
                <w:rFonts w:ascii="Times New Roman" w:hAnsi="Times New Roman"/>
              </w:rPr>
            </w:pPr>
            <w:r w:rsidRPr="000B67C2">
              <w:rPr>
                <w:rFonts w:ascii="Times New Roman" w:hAnsi="Times New Roman"/>
              </w:rPr>
              <w:t>Implementation report</w:t>
            </w:r>
          </w:p>
        </w:tc>
        <w:tc>
          <w:tcPr>
            <w:tcW w:w="2126" w:type="dxa"/>
            <w:vMerge/>
            <w:shd w:val="clear" w:color="auto" w:fill="FFFFFF"/>
          </w:tcPr>
          <w:p w14:paraId="2CFA362C" w14:textId="77777777" w:rsidR="00CA19B7" w:rsidRPr="000B67C2" w:rsidRDefault="00CA19B7" w:rsidP="00167E70">
            <w:pPr>
              <w:numPr>
                <w:ilvl w:val="12"/>
                <w:numId w:val="0"/>
              </w:numPr>
              <w:shd w:val="clear" w:color="auto" w:fill="FFFFFF"/>
              <w:spacing w:before="60" w:after="0"/>
              <w:rPr>
                <w:rFonts w:ascii="Times New Roman" w:hAnsi="Times New Roman"/>
              </w:rPr>
            </w:pPr>
          </w:p>
        </w:tc>
      </w:tr>
      <w:tr w:rsidR="00CA19B7" w:rsidRPr="000B67C2" w14:paraId="61F839B1" w14:textId="77777777" w:rsidTr="00FA04A3">
        <w:trPr>
          <w:trHeight w:val="350"/>
        </w:trPr>
        <w:tc>
          <w:tcPr>
            <w:tcW w:w="3402" w:type="dxa"/>
            <w:vMerge/>
            <w:shd w:val="clear" w:color="auto" w:fill="FFFFFF"/>
          </w:tcPr>
          <w:p w14:paraId="5DCA1CDD" w14:textId="77777777" w:rsidR="00CA19B7" w:rsidRPr="000B67C2" w:rsidRDefault="00CA19B7" w:rsidP="00167E70">
            <w:pPr>
              <w:shd w:val="clear" w:color="auto" w:fill="FFFFFF"/>
              <w:autoSpaceDE w:val="0"/>
              <w:autoSpaceDN w:val="0"/>
              <w:adjustRightInd w:val="0"/>
              <w:rPr>
                <w:rFonts w:ascii="Times New Roman" w:hAnsi="Times New Roman"/>
              </w:rPr>
            </w:pPr>
          </w:p>
        </w:tc>
        <w:tc>
          <w:tcPr>
            <w:tcW w:w="3969" w:type="dxa"/>
            <w:shd w:val="clear" w:color="auto" w:fill="FFFFFF"/>
          </w:tcPr>
          <w:p w14:paraId="2DC238A8" w14:textId="487BC450" w:rsidR="00CA19B7" w:rsidRPr="000B67C2" w:rsidRDefault="00CA19B7" w:rsidP="00523537">
            <w:pPr>
              <w:shd w:val="clear" w:color="auto" w:fill="FFFFFF"/>
              <w:spacing w:before="60" w:after="0"/>
              <w:rPr>
                <w:rFonts w:ascii="Times New Roman" w:hAnsi="Times New Roman"/>
              </w:rPr>
            </w:pPr>
            <w:r w:rsidRPr="000B67C2">
              <w:rPr>
                <w:rFonts w:ascii="Times New Roman" w:hAnsi="Times New Roman"/>
              </w:rPr>
              <w:t>Number of supported companies implementing at least one EU/international standard as a part of the project</w:t>
            </w:r>
          </w:p>
        </w:tc>
        <w:tc>
          <w:tcPr>
            <w:tcW w:w="1419" w:type="dxa"/>
            <w:shd w:val="clear" w:color="auto" w:fill="FFFFFF"/>
          </w:tcPr>
          <w:p w14:paraId="0F044DDD" w14:textId="1466152C" w:rsidR="00CA19B7" w:rsidRPr="000B67C2" w:rsidRDefault="006F14D8" w:rsidP="00167E70">
            <w:pPr>
              <w:shd w:val="clear" w:color="auto" w:fill="FFFFFF"/>
              <w:spacing w:before="60" w:after="0"/>
              <w:rPr>
                <w:rFonts w:ascii="Times New Roman" w:hAnsi="Times New Roman"/>
              </w:rPr>
            </w:pPr>
            <w:r w:rsidRPr="000B67C2">
              <w:rPr>
                <w:rFonts w:ascii="Times New Roman" w:hAnsi="Times New Roman"/>
              </w:rPr>
              <w:t>(new)</w:t>
            </w:r>
          </w:p>
        </w:tc>
        <w:tc>
          <w:tcPr>
            <w:tcW w:w="1418" w:type="dxa"/>
            <w:shd w:val="clear" w:color="auto" w:fill="FFFFFF"/>
          </w:tcPr>
          <w:p w14:paraId="332BE00B" w14:textId="031AF83B" w:rsidR="00CA19B7" w:rsidRPr="000B67C2" w:rsidRDefault="00CA19B7" w:rsidP="00167E70">
            <w:pPr>
              <w:shd w:val="clear" w:color="auto" w:fill="FFFFFF"/>
              <w:spacing w:before="60" w:after="0"/>
              <w:rPr>
                <w:rFonts w:ascii="Times New Roman" w:hAnsi="Times New Roman"/>
              </w:rPr>
            </w:pPr>
            <w:r w:rsidRPr="000B67C2">
              <w:rPr>
                <w:rFonts w:ascii="Times New Roman" w:hAnsi="Times New Roman"/>
              </w:rPr>
              <w:t>100</w:t>
            </w:r>
          </w:p>
        </w:tc>
        <w:tc>
          <w:tcPr>
            <w:tcW w:w="1418" w:type="dxa"/>
            <w:shd w:val="clear" w:color="auto" w:fill="FFFFFF"/>
          </w:tcPr>
          <w:p w14:paraId="353EC7C9" w14:textId="12047F32" w:rsidR="00CA19B7" w:rsidRPr="000B67C2" w:rsidRDefault="00CA19B7" w:rsidP="00167E70">
            <w:pPr>
              <w:shd w:val="clear" w:color="auto" w:fill="FFFFFF"/>
              <w:spacing w:before="60" w:after="0"/>
              <w:rPr>
                <w:rFonts w:ascii="Times New Roman" w:hAnsi="Times New Roman"/>
              </w:rPr>
            </w:pPr>
            <w:r w:rsidRPr="000B67C2">
              <w:rPr>
                <w:rFonts w:ascii="Times New Roman" w:hAnsi="Times New Roman"/>
              </w:rPr>
              <w:t>180</w:t>
            </w:r>
          </w:p>
        </w:tc>
        <w:tc>
          <w:tcPr>
            <w:tcW w:w="1557" w:type="dxa"/>
            <w:shd w:val="clear" w:color="auto" w:fill="FFFFFF"/>
          </w:tcPr>
          <w:p w14:paraId="44832FED" w14:textId="4F270A27" w:rsidR="00CA19B7" w:rsidRPr="000B67C2" w:rsidRDefault="00CA19B7" w:rsidP="00167E70">
            <w:pPr>
              <w:numPr>
                <w:ilvl w:val="12"/>
                <w:numId w:val="0"/>
              </w:numPr>
              <w:shd w:val="clear" w:color="auto" w:fill="FFFFFF"/>
              <w:spacing w:before="60" w:after="0"/>
              <w:rPr>
                <w:rFonts w:ascii="Times New Roman" w:hAnsi="Times New Roman"/>
              </w:rPr>
            </w:pPr>
            <w:r w:rsidRPr="000B67C2">
              <w:rPr>
                <w:rFonts w:ascii="Times New Roman" w:hAnsi="Times New Roman"/>
              </w:rPr>
              <w:t>Implementation report</w:t>
            </w:r>
            <w:r w:rsidRPr="000B67C2" w:rsidDel="0007000B">
              <w:rPr>
                <w:rFonts w:ascii="Times New Roman" w:hAnsi="Times New Roman"/>
              </w:rPr>
              <w:t xml:space="preserve"> </w:t>
            </w:r>
          </w:p>
        </w:tc>
        <w:tc>
          <w:tcPr>
            <w:tcW w:w="2126" w:type="dxa"/>
            <w:vMerge/>
            <w:shd w:val="clear" w:color="auto" w:fill="FFFFFF"/>
          </w:tcPr>
          <w:p w14:paraId="77D282FE" w14:textId="77777777" w:rsidR="00CA19B7" w:rsidRPr="000B67C2" w:rsidRDefault="00CA19B7" w:rsidP="00167E70">
            <w:pPr>
              <w:numPr>
                <w:ilvl w:val="12"/>
                <w:numId w:val="0"/>
              </w:numPr>
              <w:shd w:val="clear" w:color="auto" w:fill="FFFFFF"/>
              <w:spacing w:before="60" w:after="0"/>
              <w:rPr>
                <w:rFonts w:ascii="Times New Roman" w:hAnsi="Times New Roman"/>
              </w:rPr>
            </w:pPr>
          </w:p>
        </w:tc>
      </w:tr>
      <w:tr w:rsidR="00CA19B7" w:rsidRPr="000B67C2" w14:paraId="29CB7493" w14:textId="77777777" w:rsidTr="00FA04A3">
        <w:trPr>
          <w:trHeight w:val="332"/>
        </w:trPr>
        <w:tc>
          <w:tcPr>
            <w:tcW w:w="3402" w:type="dxa"/>
            <w:shd w:val="clear" w:color="auto" w:fill="FFFFFF"/>
          </w:tcPr>
          <w:p w14:paraId="4F6C73F9" w14:textId="77777777" w:rsidR="00CA19B7" w:rsidRPr="000B67C2" w:rsidRDefault="00CA19B7" w:rsidP="00CA19B7">
            <w:pPr>
              <w:shd w:val="clear" w:color="auto" w:fill="FFFFFF"/>
              <w:autoSpaceDE w:val="0"/>
              <w:autoSpaceDN w:val="0"/>
              <w:adjustRightInd w:val="0"/>
              <w:jc w:val="center"/>
              <w:rPr>
                <w:rFonts w:ascii="Times New Roman" w:hAnsi="Times New Roman"/>
              </w:rPr>
            </w:pPr>
            <w:r w:rsidRPr="000B67C2">
              <w:rPr>
                <w:rFonts w:ascii="Times New Roman" w:hAnsi="Times New Roman"/>
                <w:b/>
              </w:rPr>
              <w:t>BROAD ARRANGEMENTS FOR IMPLEMENTATION (IF AVAILABLE)</w:t>
            </w:r>
          </w:p>
        </w:tc>
        <w:tc>
          <w:tcPr>
            <w:tcW w:w="11907" w:type="dxa"/>
            <w:gridSpan w:val="6"/>
            <w:shd w:val="clear" w:color="auto" w:fill="FFFFFF"/>
          </w:tcPr>
          <w:p w14:paraId="39FD1B66" w14:textId="77777777" w:rsidR="00CA19B7" w:rsidRPr="000B67C2" w:rsidRDefault="00CA19B7" w:rsidP="00CA19B7">
            <w:pPr>
              <w:shd w:val="clear" w:color="auto" w:fill="FFFFFF"/>
              <w:spacing w:before="60" w:after="0"/>
              <w:rPr>
                <w:rFonts w:ascii="Times New Roman" w:hAnsi="Times New Roman"/>
              </w:rPr>
            </w:pPr>
            <w:r w:rsidRPr="000B67C2">
              <w:rPr>
                <w:rFonts w:ascii="Times New Roman" w:hAnsi="Times New Roman"/>
              </w:rPr>
              <w:t>Management mode: direct management</w:t>
            </w:r>
          </w:p>
          <w:p w14:paraId="0EA9F93E" w14:textId="29A0CB6B" w:rsidR="00CA19B7" w:rsidRPr="000B67C2" w:rsidRDefault="00CA19B7" w:rsidP="00CA19B7">
            <w:pPr>
              <w:shd w:val="clear" w:color="auto" w:fill="FFFFFF"/>
              <w:spacing w:before="60" w:after="0"/>
              <w:rPr>
                <w:rFonts w:ascii="Times New Roman" w:hAnsi="Times New Roman"/>
              </w:rPr>
            </w:pPr>
            <w:r w:rsidRPr="000B67C2">
              <w:rPr>
                <w:rFonts w:ascii="Times New Roman" w:hAnsi="Times New Roman"/>
              </w:rPr>
              <w:t>Implementation through a direct grant to the Fund for Innovation and procurement (service for technical assistance)</w:t>
            </w:r>
          </w:p>
        </w:tc>
      </w:tr>
    </w:tbl>
    <w:p w14:paraId="7D43F5F4" w14:textId="77777777" w:rsidR="003C0BF5" w:rsidRPr="000B67C2" w:rsidRDefault="003C0BF5" w:rsidP="003C0BF5">
      <w:pPr>
        <w:spacing w:after="0" w:line="240" w:lineRule="auto"/>
        <w:rPr>
          <w:rFonts w:ascii="Times New Roman" w:hAnsi="Times New Roman"/>
          <w:b/>
          <w:bCs/>
          <w:smallCaps/>
        </w:rPr>
      </w:pPr>
      <w:r w:rsidRPr="000B67C2">
        <w:rPr>
          <w:rFonts w:ascii="Times New Roman" w:hAnsi="Times New Roman"/>
          <w:b/>
          <w:bCs/>
          <w:smallCaps/>
        </w:rPr>
        <w:br w:type="textWrapping" w:clear="all"/>
      </w:r>
    </w:p>
    <w:p w14:paraId="3E0053A2" w14:textId="77777777" w:rsidR="00E607F2" w:rsidRPr="000B67C2" w:rsidRDefault="00E607F2" w:rsidP="003C0BF5">
      <w:pPr>
        <w:rPr>
          <w:rFonts w:ascii="Times New Roman" w:hAnsi="Times New Roman"/>
        </w:rPr>
      </w:pPr>
    </w:p>
    <w:sectPr w:rsidR="00E607F2" w:rsidRPr="000B67C2" w:rsidSect="00275CA9">
      <w:pgSz w:w="16838" w:h="11906" w:orient="landscape"/>
      <w:pgMar w:top="567" w:right="1440" w:bottom="426" w:left="1440" w:header="708" w:footer="20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91F69E" w14:textId="77777777" w:rsidR="00407A06" w:rsidRDefault="00407A06" w:rsidP="00D92F6C">
      <w:pPr>
        <w:spacing w:after="0" w:line="240" w:lineRule="auto"/>
      </w:pPr>
      <w:r>
        <w:separator/>
      </w:r>
    </w:p>
  </w:endnote>
  <w:endnote w:type="continuationSeparator" w:id="0">
    <w:p w14:paraId="1CC5BC0B" w14:textId="77777777" w:rsidR="00407A06" w:rsidRDefault="00407A06" w:rsidP="00D92F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unga">
    <w:panose1 w:val="000004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Yu Mincho">
    <w:charset w:val="80"/>
    <w:family w:val="roman"/>
    <w:pitch w:val="variable"/>
    <w:sig w:usb0="800002E7" w:usb1="2AC7FCF0"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3A21D0" w14:textId="77777777" w:rsidR="00407A06" w:rsidRDefault="00407A06" w:rsidP="00D92F6C">
      <w:pPr>
        <w:spacing w:after="0" w:line="240" w:lineRule="auto"/>
      </w:pPr>
      <w:r>
        <w:separator/>
      </w:r>
    </w:p>
  </w:footnote>
  <w:footnote w:type="continuationSeparator" w:id="0">
    <w:p w14:paraId="20CE29A6" w14:textId="77777777" w:rsidR="00407A06" w:rsidRDefault="00407A06" w:rsidP="00D92F6C">
      <w:pPr>
        <w:spacing w:after="0" w:line="240" w:lineRule="auto"/>
      </w:pPr>
      <w:r>
        <w:continuationSeparator/>
      </w:r>
    </w:p>
  </w:footnote>
  <w:footnote w:id="1">
    <w:p w14:paraId="0D644960" w14:textId="7A4545BB" w:rsidR="00174022" w:rsidRDefault="00174022">
      <w:pPr>
        <w:pStyle w:val="FootnoteText"/>
      </w:pPr>
      <w:r>
        <w:rPr>
          <w:rStyle w:val="FootnoteReference"/>
        </w:rPr>
        <w:footnoteRef/>
      </w:r>
      <w:r>
        <w:t xml:space="preserve"> </w:t>
      </w:r>
      <w:r w:rsidRPr="000B67C2">
        <w:rPr>
          <w:rFonts w:ascii="Times New Roman" w:eastAsia="Arial Unicode MS" w:hAnsi="Times New Roman"/>
          <w:b/>
          <w:sz w:val="22"/>
          <w:szCs w:val="22"/>
          <w:lang w:eastAsia="de-DE"/>
        </w:rPr>
        <w:t>COM (2019)260</w:t>
      </w:r>
    </w:p>
  </w:footnote>
  <w:footnote w:id="2">
    <w:p w14:paraId="06DEC516" w14:textId="472AC314" w:rsidR="00174022" w:rsidRDefault="00174022">
      <w:pPr>
        <w:pStyle w:val="FootnoteText"/>
      </w:pPr>
      <w:r>
        <w:rPr>
          <w:rStyle w:val="FootnoteReference"/>
        </w:rPr>
        <w:footnoteRef/>
      </w:r>
      <w:r>
        <w:t xml:space="preserve"> </w:t>
      </w:r>
      <w:r w:rsidRPr="000B67C2">
        <w:rPr>
          <w:rFonts w:ascii="Times New Roman" w:hAnsi="Times New Roman"/>
          <w:b/>
          <w:sz w:val="22"/>
          <w:szCs w:val="22"/>
        </w:rPr>
        <w:t>COM(2018)65</w:t>
      </w:r>
    </w:p>
  </w:footnote>
  <w:footnote w:id="3">
    <w:p w14:paraId="4C27FFB5" w14:textId="68B53BC1" w:rsidR="00995354" w:rsidRDefault="00995354">
      <w:pPr>
        <w:pStyle w:val="FootnoteText"/>
      </w:pPr>
      <w:r>
        <w:rPr>
          <w:rStyle w:val="FootnoteReference"/>
        </w:rPr>
        <w:footnoteRef/>
      </w:r>
      <w:r>
        <w:t xml:space="preserve"> </w:t>
      </w:r>
      <w:r>
        <w:rPr>
          <w:rFonts w:ascii="Times New Roman" w:eastAsia="Arial Unicode MS" w:hAnsi="Times New Roman"/>
          <w:b/>
          <w:sz w:val="24"/>
          <w:szCs w:val="24"/>
          <w:lang w:eastAsia="de-DE"/>
        </w:rPr>
        <w:t>COM(2018) 306 final</w:t>
      </w:r>
    </w:p>
  </w:footnote>
  <w:footnote w:id="4">
    <w:p w14:paraId="4DB8F8E1" w14:textId="36C9FC01" w:rsidR="005B1BE1" w:rsidRDefault="005B1BE1">
      <w:pPr>
        <w:pStyle w:val="FootnoteText"/>
      </w:pPr>
      <w:r>
        <w:rPr>
          <w:rStyle w:val="FootnoteReference"/>
        </w:rPr>
        <w:footnoteRef/>
      </w:r>
      <w:r>
        <w:t xml:space="preserve"> </w:t>
      </w:r>
      <w:r w:rsidRPr="00CE2AD6">
        <w:rPr>
          <w:rFonts w:ascii="Times New Roman" w:eastAsia="Arial Unicode MS" w:hAnsi="Times New Roman"/>
          <w:b/>
          <w:sz w:val="24"/>
          <w:szCs w:val="24"/>
          <w:lang w:eastAsia="de-DE"/>
        </w:rPr>
        <w:t>COM(2020) 102 final</w:t>
      </w:r>
    </w:p>
  </w:footnote>
  <w:footnote w:id="5">
    <w:p w14:paraId="3DD4A3FE" w14:textId="77777777" w:rsidR="00C71392" w:rsidRPr="005E05BB" w:rsidRDefault="00C71392" w:rsidP="00C71392">
      <w:pPr>
        <w:pStyle w:val="FootnoteText"/>
        <w:rPr>
          <w:rFonts w:ascii="Times New Roman" w:hAnsi="Times New Roman"/>
          <w:sz w:val="16"/>
          <w:szCs w:val="16"/>
          <w:lang w:val="hu-HU"/>
        </w:rPr>
      </w:pPr>
      <w:r w:rsidRPr="005E05BB">
        <w:rPr>
          <w:rStyle w:val="FootnoteReference"/>
          <w:rFonts w:ascii="Times New Roman" w:hAnsi="Times New Roman"/>
          <w:sz w:val="16"/>
          <w:szCs w:val="16"/>
        </w:rPr>
        <w:footnoteRef/>
      </w:r>
      <w:r w:rsidRPr="005E05BB">
        <w:rPr>
          <w:rFonts w:ascii="Times New Roman" w:hAnsi="Times New Roman"/>
          <w:sz w:val="16"/>
          <w:szCs w:val="16"/>
          <w:lang w:val="hu-HU"/>
        </w:rPr>
        <w:t xml:space="preserve"> </w:t>
      </w:r>
      <w:hyperlink r:id="rId1" w:history="1">
        <w:r w:rsidRPr="005E05BB">
          <w:rPr>
            <w:rFonts w:ascii="Times New Roman" w:hAnsi="Times New Roman"/>
            <w:color w:val="0000FF"/>
            <w:sz w:val="16"/>
            <w:szCs w:val="16"/>
            <w:u w:val="single"/>
            <w:lang w:val="hu-HU"/>
          </w:rPr>
          <w:t>http://budget.finance.gov.mk/raspredelba.html</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D708F"/>
    <w:multiLevelType w:val="hybridMultilevel"/>
    <w:tmpl w:val="188E6FC2"/>
    <w:lvl w:ilvl="0" w:tplc="8898C73E">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DB575D"/>
    <w:multiLevelType w:val="hybridMultilevel"/>
    <w:tmpl w:val="99A4B42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0B93465F"/>
    <w:multiLevelType w:val="hybridMultilevel"/>
    <w:tmpl w:val="C854C6A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0F8E6677"/>
    <w:multiLevelType w:val="hybridMultilevel"/>
    <w:tmpl w:val="1EBEEAC4"/>
    <w:lvl w:ilvl="0" w:tplc="62D05E8C">
      <w:start w:val="2019"/>
      <w:numFmt w:val="bullet"/>
      <w:lvlText w:val="-"/>
      <w:lvlJc w:val="left"/>
      <w:pPr>
        <w:ind w:left="720" w:hanging="360"/>
      </w:pPr>
      <w:rPr>
        <w:rFonts w:ascii="Arial" w:eastAsia="Times New Roman" w:hAnsi="Arial" w:cs="Arial" w:hint="default"/>
        <w:b w:val="0"/>
        <w:color w:val="auto"/>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3F1334"/>
    <w:multiLevelType w:val="hybridMultilevel"/>
    <w:tmpl w:val="90741FF6"/>
    <w:lvl w:ilvl="0" w:tplc="08D4EB9E">
      <w:start w:val="3"/>
      <w:numFmt w:val="bullet"/>
      <w:lvlText w:val="-"/>
      <w:lvlJc w:val="left"/>
      <w:pPr>
        <w:ind w:left="720" w:hanging="360"/>
      </w:pPr>
      <w:rPr>
        <w:rFonts w:ascii="Arial" w:eastAsia="Arial Unicode MS"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483F82"/>
    <w:multiLevelType w:val="hybridMultilevel"/>
    <w:tmpl w:val="29D41E0E"/>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6" w15:restartNumberingAfterBreak="0">
    <w:nsid w:val="274425DA"/>
    <w:multiLevelType w:val="hybridMultilevel"/>
    <w:tmpl w:val="C85A986C"/>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 w15:restartNumberingAfterBreak="0">
    <w:nsid w:val="292106F1"/>
    <w:multiLevelType w:val="hybridMultilevel"/>
    <w:tmpl w:val="1C2C31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BA76584"/>
    <w:multiLevelType w:val="hybridMultilevel"/>
    <w:tmpl w:val="75C8D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853397"/>
    <w:multiLevelType w:val="hybridMultilevel"/>
    <w:tmpl w:val="34782CBA"/>
    <w:lvl w:ilvl="0" w:tplc="8898C73E">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0D6461"/>
    <w:multiLevelType w:val="hybridMultilevel"/>
    <w:tmpl w:val="85E2CF5C"/>
    <w:lvl w:ilvl="0" w:tplc="6CF8D45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B60F63"/>
    <w:multiLevelType w:val="hybridMultilevel"/>
    <w:tmpl w:val="0CEE87CA"/>
    <w:lvl w:ilvl="0" w:tplc="8898C73E">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2667B50"/>
    <w:multiLevelType w:val="hybridMultilevel"/>
    <w:tmpl w:val="1A2685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2F85E0A"/>
    <w:multiLevelType w:val="hybridMultilevel"/>
    <w:tmpl w:val="DC38E5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3C7740F"/>
    <w:multiLevelType w:val="hybridMultilevel"/>
    <w:tmpl w:val="696CF310"/>
    <w:lvl w:ilvl="0" w:tplc="11508BE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4C85F23"/>
    <w:multiLevelType w:val="hybridMultilevel"/>
    <w:tmpl w:val="B666D75A"/>
    <w:lvl w:ilvl="0" w:tplc="D40451B4">
      <w:start w:val="9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14F0E68"/>
    <w:multiLevelType w:val="hybridMultilevel"/>
    <w:tmpl w:val="B7E43B90"/>
    <w:lvl w:ilvl="0" w:tplc="5D42026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C71B8B"/>
    <w:multiLevelType w:val="hybridMultilevel"/>
    <w:tmpl w:val="CD2A81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57D666B2"/>
    <w:multiLevelType w:val="hybridMultilevel"/>
    <w:tmpl w:val="F1B2CA88"/>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9" w15:restartNumberingAfterBreak="0">
    <w:nsid w:val="5BA4644F"/>
    <w:multiLevelType w:val="hybridMultilevel"/>
    <w:tmpl w:val="F2FEAB6E"/>
    <w:lvl w:ilvl="0" w:tplc="040E0001">
      <w:start w:val="1"/>
      <w:numFmt w:val="bullet"/>
      <w:lvlText w:val=""/>
      <w:lvlJc w:val="left"/>
      <w:pPr>
        <w:ind w:left="720" w:hanging="360"/>
      </w:pPr>
      <w:rPr>
        <w:rFonts w:ascii="Symbol" w:hAnsi="Symbol" w:cs="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cs="Wingdings" w:hint="default"/>
      </w:rPr>
    </w:lvl>
    <w:lvl w:ilvl="3" w:tplc="040E0001" w:tentative="1">
      <w:start w:val="1"/>
      <w:numFmt w:val="bullet"/>
      <w:lvlText w:val=""/>
      <w:lvlJc w:val="left"/>
      <w:pPr>
        <w:ind w:left="2880" w:hanging="360"/>
      </w:pPr>
      <w:rPr>
        <w:rFonts w:ascii="Symbol" w:hAnsi="Symbol" w:cs="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cs="Wingdings" w:hint="default"/>
      </w:rPr>
    </w:lvl>
    <w:lvl w:ilvl="6" w:tplc="040E0001" w:tentative="1">
      <w:start w:val="1"/>
      <w:numFmt w:val="bullet"/>
      <w:lvlText w:val=""/>
      <w:lvlJc w:val="left"/>
      <w:pPr>
        <w:ind w:left="5040" w:hanging="360"/>
      </w:pPr>
      <w:rPr>
        <w:rFonts w:ascii="Symbol" w:hAnsi="Symbol" w:cs="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cs="Wingdings" w:hint="default"/>
      </w:rPr>
    </w:lvl>
  </w:abstractNum>
  <w:abstractNum w:abstractNumId="20" w15:restartNumberingAfterBreak="0">
    <w:nsid w:val="60C11613"/>
    <w:multiLevelType w:val="hybridMultilevel"/>
    <w:tmpl w:val="36D620E0"/>
    <w:lvl w:ilvl="0" w:tplc="F440F78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30E29C4"/>
    <w:multiLevelType w:val="hybridMultilevel"/>
    <w:tmpl w:val="64428E24"/>
    <w:lvl w:ilvl="0" w:tplc="E75C63C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6"/>
  </w:num>
  <w:num w:numId="3">
    <w:abstractNumId w:val="0"/>
  </w:num>
  <w:num w:numId="4">
    <w:abstractNumId w:val="2"/>
  </w:num>
  <w:num w:numId="5">
    <w:abstractNumId w:val="17"/>
  </w:num>
  <w:num w:numId="6">
    <w:abstractNumId w:val="3"/>
  </w:num>
  <w:num w:numId="7">
    <w:abstractNumId w:val="7"/>
  </w:num>
  <w:num w:numId="8">
    <w:abstractNumId w:val="20"/>
  </w:num>
  <w:num w:numId="9">
    <w:abstractNumId w:val="4"/>
  </w:num>
  <w:num w:numId="10">
    <w:abstractNumId w:val="19"/>
  </w:num>
  <w:num w:numId="11">
    <w:abstractNumId w:val="21"/>
  </w:num>
  <w:num w:numId="12">
    <w:abstractNumId w:val="15"/>
  </w:num>
  <w:num w:numId="13">
    <w:abstractNumId w:val="14"/>
  </w:num>
  <w:num w:numId="14">
    <w:abstractNumId w:val="10"/>
  </w:num>
  <w:num w:numId="15">
    <w:abstractNumId w:val="16"/>
  </w:num>
  <w:num w:numId="16">
    <w:abstractNumId w:val="1"/>
  </w:num>
  <w:num w:numId="17">
    <w:abstractNumId w:val="8"/>
  </w:num>
  <w:num w:numId="18">
    <w:abstractNumId w:val="12"/>
  </w:num>
  <w:num w:numId="19">
    <w:abstractNumId w:val="11"/>
  </w:num>
  <w:num w:numId="20">
    <w:abstractNumId w:val="9"/>
  </w:num>
  <w:num w:numId="21">
    <w:abstractNumId w:val="5"/>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activeWritingStyle w:appName="MSWord" w:lang="fr-FR"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en-IE" w:vendorID="64" w:dllVersion="4096" w:nlCheck="1" w:checkStyle="0"/>
  <w:activeWritingStyle w:appName="MSWord" w:lang="hu-HU"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92F6C"/>
    <w:rsid w:val="00001088"/>
    <w:rsid w:val="000078B0"/>
    <w:rsid w:val="00011019"/>
    <w:rsid w:val="00021B0D"/>
    <w:rsid w:val="0003291A"/>
    <w:rsid w:val="00033FB7"/>
    <w:rsid w:val="00035874"/>
    <w:rsid w:val="0004402B"/>
    <w:rsid w:val="00047FEC"/>
    <w:rsid w:val="00051C9A"/>
    <w:rsid w:val="00054A6D"/>
    <w:rsid w:val="0006006D"/>
    <w:rsid w:val="00063490"/>
    <w:rsid w:val="00066FA2"/>
    <w:rsid w:val="0007000B"/>
    <w:rsid w:val="000731BB"/>
    <w:rsid w:val="00074669"/>
    <w:rsid w:val="000A75B1"/>
    <w:rsid w:val="000B67C2"/>
    <w:rsid w:val="000C25DE"/>
    <w:rsid w:val="000C601A"/>
    <w:rsid w:val="000E058D"/>
    <w:rsid w:val="000E1413"/>
    <w:rsid w:val="000E5170"/>
    <w:rsid w:val="000F2BD8"/>
    <w:rsid w:val="000F34C6"/>
    <w:rsid w:val="000F40B9"/>
    <w:rsid w:val="000F6CBF"/>
    <w:rsid w:val="001037BF"/>
    <w:rsid w:val="001071FD"/>
    <w:rsid w:val="00111109"/>
    <w:rsid w:val="001143D9"/>
    <w:rsid w:val="00156896"/>
    <w:rsid w:val="0016591C"/>
    <w:rsid w:val="00167E70"/>
    <w:rsid w:val="00171A3A"/>
    <w:rsid w:val="00174022"/>
    <w:rsid w:val="00176D2A"/>
    <w:rsid w:val="00176FA7"/>
    <w:rsid w:val="00187C85"/>
    <w:rsid w:val="001963DD"/>
    <w:rsid w:val="001A63E1"/>
    <w:rsid w:val="001B02B9"/>
    <w:rsid w:val="001B2B3E"/>
    <w:rsid w:val="001B3624"/>
    <w:rsid w:val="001C25DF"/>
    <w:rsid w:val="001C31CA"/>
    <w:rsid w:val="001C55D6"/>
    <w:rsid w:val="001D3980"/>
    <w:rsid w:val="001D7706"/>
    <w:rsid w:val="001E116D"/>
    <w:rsid w:val="001E4289"/>
    <w:rsid w:val="001E4D0E"/>
    <w:rsid w:val="001F1325"/>
    <w:rsid w:val="00200390"/>
    <w:rsid w:val="00206F6D"/>
    <w:rsid w:val="002075B8"/>
    <w:rsid w:val="00223C4C"/>
    <w:rsid w:val="002264DA"/>
    <w:rsid w:val="00227B1C"/>
    <w:rsid w:val="00237F90"/>
    <w:rsid w:val="002412C8"/>
    <w:rsid w:val="00242DA8"/>
    <w:rsid w:val="00245D59"/>
    <w:rsid w:val="00245F5D"/>
    <w:rsid w:val="00250F56"/>
    <w:rsid w:val="00260D8D"/>
    <w:rsid w:val="00260EE2"/>
    <w:rsid w:val="00261820"/>
    <w:rsid w:val="002618C0"/>
    <w:rsid w:val="00262710"/>
    <w:rsid w:val="00263A0F"/>
    <w:rsid w:val="00264597"/>
    <w:rsid w:val="00267B07"/>
    <w:rsid w:val="002702F6"/>
    <w:rsid w:val="00275CA9"/>
    <w:rsid w:val="0028288B"/>
    <w:rsid w:val="00282E3F"/>
    <w:rsid w:val="002837AE"/>
    <w:rsid w:val="002857E6"/>
    <w:rsid w:val="002878D2"/>
    <w:rsid w:val="00290399"/>
    <w:rsid w:val="00296FEE"/>
    <w:rsid w:val="002A39A3"/>
    <w:rsid w:val="002B2F2A"/>
    <w:rsid w:val="002C1F71"/>
    <w:rsid w:val="002C6CC3"/>
    <w:rsid w:val="002D36E6"/>
    <w:rsid w:val="002E5124"/>
    <w:rsid w:val="002F15CB"/>
    <w:rsid w:val="00301C64"/>
    <w:rsid w:val="00306C13"/>
    <w:rsid w:val="00311A7B"/>
    <w:rsid w:val="00326F34"/>
    <w:rsid w:val="00335A9F"/>
    <w:rsid w:val="003376A0"/>
    <w:rsid w:val="00343DB4"/>
    <w:rsid w:val="003454A8"/>
    <w:rsid w:val="0034726F"/>
    <w:rsid w:val="00350AFB"/>
    <w:rsid w:val="0035153C"/>
    <w:rsid w:val="003573DB"/>
    <w:rsid w:val="003925CE"/>
    <w:rsid w:val="00396C0B"/>
    <w:rsid w:val="003C0BF5"/>
    <w:rsid w:val="003C1BD6"/>
    <w:rsid w:val="003C64A0"/>
    <w:rsid w:val="003D1B1E"/>
    <w:rsid w:val="003D6CBA"/>
    <w:rsid w:val="003E6F2A"/>
    <w:rsid w:val="003F7587"/>
    <w:rsid w:val="003F7755"/>
    <w:rsid w:val="00404826"/>
    <w:rsid w:val="004064E5"/>
    <w:rsid w:val="00407A06"/>
    <w:rsid w:val="00413F12"/>
    <w:rsid w:val="004232C7"/>
    <w:rsid w:val="00430CA0"/>
    <w:rsid w:val="004349D7"/>
    <w:rsid w:val="0044051C"/>
    <w:rsid w:val="00446AD1"/>
    <w:rsid w:val="0044764D"/>
    <w:rsid w:val="00471051"/>
    <w:rsid w:val="004A28A3"/>
    <w:rsid w:val="004A2A7E"/>
    <w:rsid w:val="004A3531"/>
    <w:rsid w:val="004B373B"/>
    <w:rsid w:val="004D411D"/>
    <w:rsid w:val="004E448D"/>
    <w:rsid w:val="004F6D9B"/>
    <w:rsid w:val="00505755"/>
    <w:rsid w:val="005061D9"/>
    <w:rsid w:val="00510AE0"/>
    <w:rsid w:val="00511EB3"/>
    <w:rsid w:val="00513464"/>
    <w:rsid w:val="00513C7E"/>
    <w:rsid w:val="00514111"/>
    <w:rsid w:val="00515908"/>
    <w:rsid w:val="0051651E"/>
    <w:rsid w:val="00523537"/>
    <w:rsid w:val="00533498"/>
    <w:rsid w:val="00547913"/>
    <w:rsid w:val="00547CBD"/>
    <w:rsid w:val="00550B1F"/>
    <w:rsid w:val="005561C0"/>
    <w:rsid w:val="005639B6"/>
    <w:rsid w:val="00570467"/>
    <w:rsid w:val="0057259A"/>
    <w:rsid w:val="00580322"/>
    <w:rsid w:val="0058190E"/>
    <w:rsid w:val="0058681F"/>
    <w:rsid w:val="0058713B"/>
    <w:rsid w:val="00595099"/>
    <w:rsid w:val="005A1414"/>
    <w:rsid w:val="005A14C0"/>
    <w:rsid w:val="005B1BE1"/>
    <w:rsid w:val="005C1CF2"/>
    <w:rsid w:val="005C255A"/>
    <w:rsid w:val="005C2B1E"/>
    <w:rsid w:val="005C4FAD"/>
    <w:rsid w:val="005C5C1B"/>
    <w:rsid w:val="005D296D"/>
    <w:rsid w:val="005D4B7A"/>
    <w:rsid w:val="005E5609"/>
    <w:rsid w:val="005F1841"/>
    <w:rsid w:val="005F5A43"/>
    <w:rsid w:val="006131D0"/>
    <w:rsid w:val="006151F9"/>
    <w:rsid w:val="00615E9B"/>
    <w:rsid w:val="0061711F"/>
    <w:rsid w:val="00623B87"/>
    <w:rsid w:val="006267F6"/>
    <w:rsid w:val="00627C1E"/>
    <w:rsid w:val="00635993"/>
    <w:rsid w:val="00635DF6"/>
    <w:rsid w:val="0063773A"/>
    <w:rsid w:val="00645C07"/>
    <w:rsid w:val="00645DD8"/>
    <w:rsid w:val="00647406"/>
    <w:rsid w:val="00661468"/>
    <w:rsid w:val="00661F89"/>
    <w:rsid w:val="0066795B"/>
    <w:rsid w:val="006742A7"/>
    <w:rsid w:val="006813CA"/>
    <w:rsid w:val="00686C2E"/>
    <w:rsid w:val="006B790E"/>
    <w:rsid w:val="006C3FD7"/>
    <w:rsid w:val="006D046E"/>
    <w:rsid w:val="006D1308"/>
    <w:rsid w:val="006E2B85"/>
    <w:rsid w:val="006F14D8"/>
    <w:rsid w:val="006F1DC8"/>
    <w:rsid w:val="006F4218"/>
    <w:rsid w:val="006F507F"/>
    <w:rsid w:val="006F50DA"/>
    <w:rsid w:val="006F5366"/>
    <w:rsid w:val="00700B70"/>
    <w:rsid w:val="00712DD0"/>
    <w:rsid w:val="00721782"/>
    <w:rsid w:val="00726A64"/>
    <w:rsid w:val="007363D9"/>
    <w:rsid w:val="00741787"/>
    <w:rsid w:val="00775409"/>
    <w:rsid w:val="00783230"/>
    <w:rsid w:val="00784084"/>
    <w:rsid w:val="00793149"/>
    <w:rsid w:val="007946B4"/>
    <w:rsid w:val="007A05CB"/>
    <w:rsid w:val="007A60C7"/>
    <w:rsid w:val="007A700C"/>
    <w:rsid w:val="007B482E"/>
    <w:rsid w:val="007B7391"/>
    <w:rsid w:val="007C74E4"/>
    <w:rsid w:val="007C7937"/>
    <w:rsid w:val="007C7948"/>
    <w:rsid w:val="007D08A8"/>
    <w:rsid w:val="007D7993"/>
    <w:rsid w:val="007D7E4E"/>
    <w:rsid w:val="007E1108"/>
    <w:rsid w:val="007E3813"/>
    <w:rsid w:val="007E4FE3"/>
    <w:rsid w:val="0080109B"/>
    <w:rsid w:val="00803EE1"/>
    <w:rsid w:val="008143F9"/>
    <w:rsid w:val="00825923"/>
    <w:rsid w:val="008341DC"/>
    <w:rsid w:val="00847041"/>
    <w:rsid w:val="00856B78"/>
    <w:rsid w:val="00856FC1"/>
    <w:rsid w:val="0086659B"/>
    <w:rsid w:val="008717B8"/>
    <w:rsid w:val="00872747"/>
    <w:rsid w:val="00873EBC"/>
    <w:rsid w:val="00874861"/>
    <w:rsid w:val="00885C90"/>
    <w:rsid w:val="00895557"/>
    <w:rsid w:val="0089752E"/>
    <w:rsid w:val="008A0DBE"/>
    <w:rsid w:val="008A78B6"/>
    <w:rsid w:val="008B6830"/>
    <w:rsid w:val="008C634B"/>
    <w:rsid w:val="008D3CC1"/>
    <w:rsid w:val="008E1388"/>
    <w:rsid w:val="008E294C"/>
    <w:rsid w:val="008E39A5"/>
    <w:rsid w:val="008E43F4"/>
    <w:rsid w:val="008E63D4"/>
    <w:rsid w:val="008E750C"/>
    <w:rsid w:val="008F6288"/>
    <w:rsid w:val="008F783C"/>
    <w:rsid w:val="009065CB"/>
    <w:rsid w:val="009124B8"/>
    <w:rsid w:val="0091452A"/>
    <w:rsid w:val="00920D22"/>
    <w:rsid w:val="0094480D"/>
    <w:rsid w:val="00952C06"/>
    <w:rsid w:val="009541CE"/>
    <w:rsid w:val="00967245"/>
    <w:rsid w:val="00983741"/>
    <w:rsid w:val="00983CC7"/>
    <w:rsid w:val="00995354"/>
    <w:rsid w:val="00996995"/>
    <w:rsid w:val="009B6E58"/>
    <w:rsid w:val="009C35B3"/>
    <w:rsid w:val="009E385E"/>
    <w:rsid w:val="009E39AE"/>
    <w:rsid w:val="009F3D02"/>
    <w:rsid w:val="00A02075"/>
    <w:rsid w:val="00A1226A"/>
    <w:rsid w:val="00A35528"/>
    <w:rsid w:val="00A36419"/>
    <w:rsid w:val="00A37BEF"/>
    <w:rsid w:val="00A4744A"/>
    <w:rsid w:val="00A509BD"/>
    <w:rsid w:val="00A53F93"/>
    <w:rsid w:val="00A61CCD"/>
    <w:rsid w:val="00A6734B"/>
    <w:rsid w:val="00A71069"/>
    <w:rsid w:val="00A82F3B"/>
    <w:rsid w:val="00A86C7A"/>
    <w:rsid w:val="00A86DE4"/>
    <w:rsid w:val="00A919E7"/>
    <w:rsid w:val="00A91EEA"/>
    <w:rsid w:val="00A9219C"/>
    <w:rsid w:val="00A92EE5"/>
    <w:rsid w:val="00A94060"/>
    <w:rsid w:val="00AB0E35"/>
    <w:rsid w:val="00AC218B"/>
    <w:rsid w:val="00AD107F"/>
    <w:rsid w:val="00AD1E49"/>
    <w:rsid w:val="00AE1664"/>
    <w:rsid w:val="00AE359F"/>
    <w:rsid w:val="00AF3EFC"/>
    <w:rsid w:val="00AF6420"/>
    <w:rsid w:val="00B02E6F"/>
    <w:rsid w:val="00B03D94"/>
    <w:rsid w:val="00B10991"/>
    <w:rsid w:val="00B1277E"/>
    <w:rsid w:val="00B12C9E"/>
    <w:rsid w:val="00B17581"/>
    <w:rsid w:val="00B2199E"/>
    <w:rsid w:val="00B23443"/>
    <w:rsid w:val="00B24F10"/>
    <w:rsid w:val="00B4246A"/>
    <w:rsid w:val="00B619BC"/>
    <w:rsid w:val="00B64614"/>
    <w:rsid w:val="00B71D9A"/>
    <w:rsid w:val="00B7225B"/>
    <w:rsid w:val="00B73262"/>
    <w:rsid w:val="00B770F1"/>
    <w:rsid w:val="00B85ECA"/>
    <w:rsid w:val="00B9362F"/>
    <w:rsid w:val="00BA03D6"/>
    <w:rsid w:val="00BA2012"/>
    <w:rsid w:val="00BB1F1D"/>
    <w:rsid w:val="00BB36A8"/>
    <w:rsid w:val="00BC0B39"/>
    <w:rsid w:val="00BC4A10"/>
    <w:rsid w:val="00BD1EB4"/>
    <w:rsid w:val="00BD7109"/>
    <w:rsid w:val="00BE645C"/>
    <w:rsid w:val="00BE7159"/>
    <w:rsid w:val="00C110BB"/>
    <w:rsid w:val="00C11AD7"/>
    <w:rsid w:val="00C11F3B"/>
    <w:rsid w:val="00C13698"/>
    <w:rsid w:val="00C13A88"/>
    <w:rsid w:val="00C20BAA"/>
    <w:rsid w:val="00C20F05"/>
    <w:rsid w:val="00C23772"/>
    <w:rsid w:val="00C311D0"/>
    <w:rsid w:val="00C44C91"/>
    <w:rsid w:val="00C461DB"/>
    <w:rsid w:val="00C6030C"/>
    <w:rsid w:val="00C6650E"/>
    <w:rsid w:val="00C71392"/>
    <w:rsid w:val="00C74A8F"/>
    <w:rsid w:val="00C91C5D"/>
    <w:rsid w:val="00C92993"/>
    <w:rsid w:val="00CA19B7"/>
    <w:rsid w:val="00CA5BC2"/>
    <w:rsid w:val="00CB77D7"/>
    <w:rsid w:val="00CC072D"/>
    <w:rsid w:val="00CC0A7E"/>
    <w:rsid w:val="00CE2AD6"/>
    <w:rsid w:val="00CE2CB3"/>
    <w:rsid w:val="00CE6353"/>
    <w:rsid w:val="00CF096D"/>
    <w:rsid w:val="00CF65E1"/>
    <w:rsid w:val="00D06678"/>
    <w:rsid w:val="00D163CE"/>
    <w:rsid w:val="00D20CEE"/>
    <w:rsid w:val="00D24E3D"/>
    <w:rsid w:val="00D334D2"/>
    <w:rsid w:val="00D352E2"/>
    <w:rsid w:val="00D4441B"/>
    <w:rsid w:val="00D65293"/>
    <w:rsid w:val="00D6658B"/>
    <w:rsid w:val="00D71FE2"/>
    <w:rsid w:val="00D92F6C"/>
    <w:rsid w:val="00D97433"/>
    <w:rsid w:val="00DA1E7F"/>
    <w:rsid w:val="00DB473F"/>
    <w:rsid w:val="00DB54B6"/>
    <w:rsid w:val="00DC205E"/>
    <w:rsid w:val="00DC3861"/>
    <w:rsid w:val="00DC48DE"/>
    <w:rsid w:val="00DC632C"/>
    <w:rsid w:val="00DD32D9"/>
    <w:rsid w:val="00DD5608"/>
    <w:rsid w:val="00DE5B9D"/>
    <w:rsid w:val="00DF0BB4"/>
    <w:rsid w:val="00DF6C66"/>
    <w:rsid w:val="00E07E1A"/>
    <w:rsid w:val="00E149D8"/>
    <w:rsid w:val="00E34BE2"/>
    <w:rsid w:val="00E4208A"/>
    <w:rsid w:val="00E45289"/>
    <w:rsid w:val="00E523C4"/>
    <w:rsid w:val="00E541BB"/>
    <w:rsid w:val="00E60390"/>
    <w:rsid w:val="00E607F2"/>
    <w:rsid w:val="00E93532"/>
    <w:rsid w:val="00E93B92"/>
    <w:rsid w:val="00E970BC"/>
    <w:rsid w:val="00EC0E7D"/>
    <w:rsid w:val="00EC3EDA"/>
    <w:rsid w:val="00ED15D6"/>
    <w:rsid w:val="00ED6728"/>
    <w:rsid w:val="00EE6866"/>
    <w:rsid w:val="00EF0943"/>
    <w:rsid w:val="00EF22EC"/>
    <w:rsid w:val="00EF2DB1"/>
    <w:rsid w:val="00EF41CC"/>
    <w:rsid w:val="00F03224"/>
    <w:rsid w:val="00F043BE"/>
    <w:rsid w:val="00F0454D"/>
    <w:rsid w:val="00F22A75"/>
    <w:rsid w:val="00F23D1F"/>
    <w:rsid w:val="00F452B6"/>
    <w:rsid w:val="00F46D18"/>
    <w:rsid w:val="00F73AB3"/>
    <w:rsid w:val="00F77A7E"/>
    <w:rsid w:val="00F8033D"/>
    <w:rsid w:val="00F85199"/>
    <w:rsid w:val="00F91762"/>
    <w:rsid w:val="00FA29A4"/>
    <w:rsid w:val="00FA404E"/>
    <w:rsid w:val="00FA5AD8"/>
    <w:rsid w:val="00FB47E0"/>
    <w:rsid w:val="00FC7128"/>
    <w:rsid w:val="00FD4812"/>
    <w:rsid w:val="00FE084F"/>
    <w:rsid w:val="00FE15EB"/>
    <w:rsid w:val="00FE5157"/>
    <w:rsid w:val="00FE563B"/>
    <w:rsid w:val="00FE746F"/>
    <w:rsid w:val="00FF1545"/>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08261629"/>
  <w15:docId w15:val="{46B7E326-7250-4779-B353-633F801E1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2F6C"/>
    <w:pPr>
      <w:spacing w:after="200" w:line="276" w:lineRule="auto"/>
    </w:pPr>
    <w:rPr>
      <w:rFonts w:ascii="Calibri" w:eastAsia="Times New Roman" w:hAnsi="Calibri" w:cs="Times New Roman"/>
      <w:lang w:val="en-GB" w:eastAsia="en-GB"/>
    </w:rPr>
  </w:style>
  <w:style w:type="paragraph" w:styleId="Heading2">
    <w:name w:val="heading 2"/>
    <w:basedOn w:val="Normal"/>
    <w:next w:val="Normal"/>
    <w:link w:val="Heading2Char"/>
    <w:uiPriority w:val="9"/>
    <w:unhideWhenUsed/>
    <w:qFormat/>
    <w:rsid w:val="00D92F6C"/>
    <w:pPr>
      <w:keepNext/>
      <w:keepLines/>
      <w:spacing w:before="200" w:after="0"/>
      <w:outlineLvl w:val="1"/>
    </w:pPr>
    <w:rPr>
      <w:rFonts w:ascii="Cambria" w:hAnsi="Cambria"/>
      <w:b/>
      <w:bCs/>
      <w:color w:val="2DA2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92F6C"/>
    <w:rPr>
      <w:rFonts w:ascii="Cambria" w:eastAsia="Times New Roman" w:hAnsi="Cambria" w:cs="Times New Roman"/>
      <w:b/>
      <w:bCs/>
      <w:color w:val="2DA2BF"/>
      <w:sz w:val="26"/>
      <w:szCs w:val="26"/>
    </w:rPr>
  </w:style>
  <w:style w:type="paragraph" w:styleId="Footer">
    <w:name w:val="footer"/>
    <w:basedOn w:val="Normal"/>
    <w:link w:val="FooterChar"/>
    <w:uiPriority w:val="99"/>
    <w:rsid w:val="00D92F6C"/>
    <w:pPr>
      <w:tabs>
        <w:tab w:val="center" w:pos="4535"/>
        <w:tab w:val="right" w:pos="9071"/>
        <w:tab w:val="right" w:pos="9921"/>
      </w:tabs>
      <w:spacing w:before="360" w:after="0"/>
      <w:ind w:left="-850" w:right="-850"/>
    </w:pPr>
    <w:rPr>
      <w:rFonts w:ascii="Tunga" w:eastAsia="Arial Unicode MS" w:hAnsi="Tunga"/>
      <w:lang w:eastAsia="de-DE"/>
    </w:rPr>
  </w:style>
  <w:style w:type="character" w:customStyle="1" w:styleId="FooterChar">
    <w:name w:val="Footer Char"/>
    <w:basedOn w:val="DefaultParagraphFont"/>
    <w:link w:val="Footer"/>
    <w:uiPriority w:val="99"/>
    <w:rsid w:val="00D92F6C"/>
    <w:rPr>
      <w:rFonts w:ascii="Tunga" w:eastAsia="Arial Unicode MS" w:hAnsi="Tunga" w:cs="Times New Roman"/>
      <w:lang w:eastAsia="de-DE"/>
    </w:rPr>
  </w:style>
  <w:style w:type="character" w:styleId="FootnoteReference">
    <w:name w:val="footnote reference"/>
    <w:aliases w:val="BVI fnr,ftref, BVI fnr,Error-Fußnotenzeichen5,Error-Fußnotenzeichen6,Error-Fußnotenzeichen3,Footnote Reference1,Error-Fu?notenzeichen5,Error-Fu?notenzeichen6,Error-Fu?notenzeichen3,referencia nota al pie,Ref,de nota al pie,16 Point"/>
    <w:link w:val="BVIfnrChar1CharCharChar"/>
    <w:uiPriority w:val="99"/>
    <w:qFormat/>
    <w:rsid w:val="00D92F6C"/>
    <w:rPr>
      <w:vertAlign w:val="superscript"/>
    </w:rPr>
  </w:style>
  <w:style w:type="paragraph" w:styleId="FootnoteText">
    <w:name w:val="footnote text"/>
    <w:aliases w:val="Footnote Text Char Char Char,Footnote Text Char Char,Fußnote,Footnote,Footnote Text Char1 Char,Footnote Text Char1 Char Char Char,Footnote Text Char Char Char Char Char,Footnote Text Char1 Char1 Char,Fußnotentextf, Char,fn"/>
    <w:basedOn w:val="Normal"/>
    <w:link w:val="FootnoteTextChar1"/>
    <w:qFormat/>
    <w:rsid w:val="00D92F6C"/>
    <w:pPr>
      <w:spacing w:after="0"/>
      <w:ind w:left="720" w:hanging="720"/>
    </w:pPr>
    <w:rPr>
      <w:sz w:val="20"/>
      <w:szCs w:val="20"/>
    </w:rPr>
  </w:style>
  <w:style w:type="character" w:customStyle="1" w:styleId="FootnoteTextChar">
    <w:name w:val="Footnote Text Char"/>
    <w:basedOn w:val="DefaultParagraphFont"/>
    <w:uiPriority w:val="99"/>
    <w:semiHidden/>
    <w:rsid w:val="00D92F6C"/>
    <w:rPr>
      <w:rFonts w:ascii="Calibri" w:eastAsia="Times New Roman" w:hAnsi="Calibri" w:cs="Times New Roman"/>
      <w:sz w:val="20"/>
      <w:szCs w:val="20"/>
      <w:lang w:val="en-GB" w:eastAsia="en-GB"/>
    </w:rPr>
  </w:style>
  <w:style w:type="paragraph" w:styleId="Header">
    <w:name w:val="header"/>
    <w:basedOn w:val="Normal"/>
    <w:link w:val="HeaderChar"/>
    <w:uiPriority w:val="99"/>
    <w:rsid w:val="00D92F6C"/>
    <w:pPr>
      <w:tabs>
        <w:tab w:val="right" w:pos="9071"/>
      </w:tabs>
    </w:pPr>
  </w:style>
  <w:style w:type="character" w:customStyle="1" w:styleId="HeaderChar">
    <w:name w:val="Header Char"/>
    <w:basedOn w:val="DefaultParagraphFont"/>
    <w:link w:val="Header"/>
    <w:uiPriority w:val="99"/>
    <w:rsid w:val="00D92F6C"/>
    <w:rPr>
      <w:rFonts w:ascii="Calibri" w:eastAsia="Times New Roman" w:hAnsi="Calibri" w:cs="Times New Roman"/>
      <w:lang w:val="en-GB" w:eastAsia="en-GB"/>
    </w:rPr>
  </w:style>
  <w:style w:type="paragraph" w:styleId="ListParagraph">
    <w:name w:val="List Paragraph"/>
    <w:aliases w:val="Bullet point,Table of contents numbered,Colorful List - Accent 11,List Paragraph2,Light Grid - Accent 31,Akapit z listą BS,Bullet1,List Paragraph in table,PROVERE 1,Table/Figure Heading,Dot pt,F5 List Paragraph,List Paragraph1,No Spacing1"/>
    <w:basedOn w:val="Normal"/>
    <w:link w:val="ListParagraphChar"/>
    <w:uiPriority w:val="34"/>
    <w:qFormat/>
    <w:rsid w:val="00D92F6C"/>
    <w:pPr>
      <w:ind w:left="720"/>
      <w:contextualSpacing/>
    </w:pPr>
  </w:style>
  <w:style w:type="character" w:customStyle="1" w:styleId="FootnoteTextChar1">
    <w:name w:val="Footnote Text Char1"/>
    <w:aliases w:val="Footnote Text Char Char Char Char,Footnote Text Char Char Char1,Fußnote Char,Footnote Char,Footnote Text Char1 Char Char,Footnote Text Char1 Char Char Char Char,Footnote Text Char Char Char Char Char Char,Fußnotentextf Char,fn Char"/>
    <w:link w:val="FootnoteText"/>
    <w:rsid w:val="00D92F6C"/>
    <w:rPr>
      <w:rFonts w:ascii="Calibri" w:eastAsia="Times New Roman" w:hAnsi="Calibri" w:cs="Times New Roman"/>
      <w:sz w:val="20"/>
      <w:szCs w:val="20"/>
      <w:lang w:val="en-GB" w:eastAsia="en-GB"/>
    </w:rPr>
  </w:style>
  <w:style w:type="paragraph" w:customStyle="1" w:styleId="BVIfnrChar1CharCharChar">
    <w:name w:val="BVI fnr Char1 Char Char Char"/>
    <w:aliases w:val="BVI fnr Car Car Char1 Char Char Char,BVI fnr Car Char1 Char Char Char,BVI fnr Car Car Car Car Char Char1 Char Char"/>
    <w:basedOn w:val="Normal"/>
    <w:link w:val="FootnoteReference"/>
    <w:uiPriority w:val="99"/>
    <w:rsid w:val="00D92F6C"/>
    <w:pPr>
      <w:spacing w:before="120" w:after="160" w:line="240" w:lineRule="exact"/>
      <w:jc w:val="both"/>
    </w:pPr>
    <w:rPr>
      <w:rFonts w:asciiTheme="minorHAnsi" w:eastAsiaTheme="minorHAnsi" w:hAnsiTheme="minorHAnsi" w:cstheme="minorBidi"/>
      <w:vertAlign w:val="superscript"/>
      <w:lang w:val="fr-BE" w:eastAsia="en-US"/>
    </w:rPr>
  </w:style>
  <w:style w:type="character" w:customStyle="1" w:styleId="ListParagraphChar">
    <w:name w:val="List Paragraph Char"/>
    <w:aliases w:val="Bullet point Char,Table of contents numbered Char,Colorful List - Accent 11 Char,List Paragraph2 Char,Light Grid - Accent 31 Char,Akapit z listą BS Char,Bullet1 Char,List Paragraph in table Char,PROVERE 1 Char,Dot pt Char"/>
    <w:link w:val="ListParagraph"/>
    <w:uiPriority w:val="34"/>
    <w:qFormat/>
    <w:locked/>
    <w:rsid w:val="00D92F6C"/>
    <w:rPr>
      <w:rFonts w:ascii="Calibri" w:eastAsia="Times New Roman" w:hAnsi="Calibri" w:cs="Times New Roman"/>
      <w:lang w:val="en-GB" w:eastAsia="en-GB"/>
    </w:rPr>
  </w:style>
  <w:style w:type="paragraph" w:customStyle="1" w:styleId="Default">
    <w:name w:val="Default"/>
    <w:rsid w:val="003D1B1E"/>
    <w:pPr>
      <w:autoSpaceDE w:val="0"/>
      <w:autoSpaceDN w:val="0"/>
      <w:adjustRightInd w:val="0"/>
      <w:spacing w:after="0" w:line="240" w:lineRule="auto"/>
    </w:pPr>
    <w:rPr>
      <w:rFonts w:ascii="Times New Roman" w:eastAsia="Calibri" w:hAnsi="Times New Roman" w:cs="Times New Roman"/>
      <w:color w:val="000000"/>
      <w:sz w:val="24"/>
      <w:szCs w:val="24"/>
      <w:lang w:val="mk-MK" w:eastAsia="mk-MK"/>
    </w:rPr>
  </w:style>
  <w:style w:type="paragraph" w:styleId="EndnoteText">
    <w:name w:val="endnote text"/>
    <w:basedOn w:val="Normal"/>
    <w:link w:val="EndnoteTextChar"/>
    <w:uiPriority w:val="99"/>
    <w:unhideWhenUsed/>
    <w:rsid w:val="007E4FE3"/>
    <w:pPr>
      <w:spacing w:after="0" w:line="240" w:lineRule="auto"/>
    </w:pPr>
    <w:rPr>
      <w:sz w:val="20"/>
      <w:szCs w:val="20"/>
    </w:rPr>
  </w:style>
  <w:style w:type="character" w:customStyle="1" w:styleId="EndnoteTextChar">
    <w:name w:val="Endnote Text Char"/>
    <w:basedOn w:val="DefaultParagraphFont"/>
    <w:link w:val="EndnoteText"/>
    <w:uiPriority w:val="99"/>
    <w:rsid w:val="007E4FE3"/>
    <w:rPr>
      <w:rFonts w:ascii="Calibri" w:eastAsia="Times New Roman" w:hAnsi="Calibri" w:cs="Times New Roman"/>
      <w:sz w:val="20"/>
      <w:szCs w:val="20"/>
      <w:lang w:val="en-GB" w:eastAsia="en-GB"/>
    </w:rPr>
  </w:style>
  <w:style w:type="character" w:styleId="EndnoteReference">
    <w:name w:val="endnote reference"/>
    <w:basedOn w:val="DefaultParagraphFont"/>
    <w:uiPriority w:val="99"/>
    <w:semiHidden/>
    <w:unhideWhenUsed/>
    <w:rsid w:val="007E4FE3"/>
    <w:rPr>
      <w:vertAlign w:val="superscript"/>
    </w:rPr>
  </w:style>
  <w:style w:type="paragraph" w:customStyle="1" w:styleId="Titreobjet">
    <w:name w:val="Titre objet"/>
    <w:basedOn w:val="Normal"/>
    <w:next w:val="Normal"/>
    <w:rsid w:val="00F46D18"/>
    <w:pPr>
      <w:spacing w:before="180" w:after="180" w:line="240" w:lineRule="auto"/>
      <w:jc w:val="center"/>
    </w:pPr>
    <w:rPr>
      <w:rFonts w:ascii="Times New Roman" w:eastAsia="Calibri" w:hAnsi="Times New Roman"/>
      <w:b/>
      <w:sz w:val="24"/>
    </w:rPr>
  </w:style>
  <w:style w:type="paragraph" w:customStyle="1" w:styleId="Typeacteprincipal">
    <w:name w:val="Type acte principal"/>
    <w:basedOn w:val="Normal"/>
    <w:next w:val="Objetacteprincipal"/>
    <w:rsid w:val="00F46D18"/>
    <w:pPr>
      <w:spacing w:after="240" w:line="240" w:lineRule="auto"/>
      <w:jc w:val="center"/>
    </w:pPr>
    <w:rPr>
      <w:rFonts w:ascii="Times New Roman" w:eastAsia="Calibri" w:hAnsi="Times New Roman"/>
      <w:b/>
      <w:sz w:val="24"/>
    </w:rPr>
  </w:style>
  <w:style w:type="paragraph" w:customStyle="1" w:styleId="Accompagnant">
    <w:name w:val="Accompagnant"/>
    <w:basedOn w:val="Normal"/>
    <w:next w:val="Typeacteprincipal"/>
    <w:rsid w:val="00F46D18"/>
    <w:pPr>
      <w:spacing w:before="180" w:after="240" w:line="240" w:lineRule="auto"/>
      <w:jc w:val="center"/>
    </w:pPr>
    <w:rPr>
      <w:rFonts w:ascii="Times New Roman" w:eastAsia="Calibri" w:hAnsi="Times New Roman"/>
      <w:b/>
      <w:sz w:val="24"/>
    </w:rPr>
  </w:style>
  <w:style w:type="paragraph" w:customStyle="1" w:styleId="Objetacteprincipal">
    <w:name w:val="Objet acte principal"/>
    <w:basedOn w:val="Normal"/>
    <w:next w:val="Normal"/>
    <w:rsid w:val="00F46D18"/>
    <w:pPr>
      <w:spacing w:after="360" w:line="240" w:lineRule="auto"/>
      <w:jc w:val="center"/>
    </w:pPr>
    <w:rPr>
      <w:rFonts w:ascii="Times New Roman" w:eastAsia="Calibri" w:hAnsi="Times New Roman"/>
      <w:b/>
      <w:sz w:val="24"/>
    </w:rPr>
  </w:style>
  <w:style w:type="paragraph" w:styleId="BalloonText">
    <w:name w:val="Balloon Text"/>
    <w:basedOn w:val="Normal"/>
    <w:link w:val="BalloonTextChar"/>
    <w:uiPriority w:val="99"/>
    <w:semiHidden/>
    <w:unhideWhenUsed/>
    <w:rsid w:val="00BA20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2012"/>
    <w:rPr>
      <w:rFonts w:ascii="Tahoma" w:eastAsia="Times New Roman" w:hAnsi="Tahoma" w:cs="Tahoma"/>
      <w:sz w:val="16"/>
      <w:szCs w:val="16"/>
      <w:lang w:val="en-GB" w:eastAsia="en-GB"/>
    </w:rPr>
  </w:style>
  <w:style w:type="character" w:styleId="CommentReference">
    <w:name w:val="annotation reference"/>
    <w:basedOn w:val="DefaultParagraphFont"/>
    <w:uiPriority w:val="99"/>
    <w:semiHidden/>
    <w:unhideWhenUsed/>
    <w:rsid w:val="0004402B"/>
    <w:rPr>
      <w:sz w:val="16"/>
      <w:szCs w:val="16"/>
    </w:rPr>
  </w:style>
  <w:style w:type="paragraph" w:styleId="CommentText">
    <w:name w:val="annotation text"/>
    <w:basedOn w:val="Normal"/>
    <w:link w:val="CommentTextChar"/>
    <w:uiPriority w:val="99"/>
    <w:semiHidden/>
    <w:unhideWhenUsed/>
    <w:rsid w:val="0004402B"/>
    <w:pPr>
      <w:spacing w:line="240" w:lineRule="auto"/>
    </w:pPr>
    <w:rPr>
      <w:sz w:val="20"/>
      <w:szCs w:val="20"/>
    </w:rPr>
  </w:style>
  <w:style w:type="character" w:customStyle="1" w:styleId="CommentTextChar">
    <w:name w:val="Comment Text Char"/>
    <w:basedOn w:val="DefaultParagraphFont"/>
    <w:link w:val="CommentText"/>
    <w:uiPriority w:val="99"/>
    <w:semiHidden/>
    <w:rsid w:val="0004402B"/>
    <w:rPr>
      <w:rFonts w:ascii="Calibri" w:eastAsia="Times New Roman" w:hAnsi="Calibri" w:cs="Times New Roman"/>
      <w:sz w:val="20"/>
      <w:szCs w:val="20"/>
      <w:lang w:val="en-GB" w:eastAsia="en-GB"/>
    </w:rPr>
  </w:style>
  <w:style w:type="paragraph" w:styleId="CommentSubject">
    <w:name w:val="annotation subject"/>
    <w:basedOn w:val="CommentText"/>
    <w:next w:val="CommentText"/>
    <w:link w:val="CommentSubjectChar"/>
    <w:uiPriority w:val="99"/>
    <w:semiHidden/>
    <w:unhideWhenUsed/>
    <w:rsid w:val="0004402B"/>
    <w:rPr>
      <w:b/>
      <w:bCs/>
    </w:rPr>
  </w:style>
  <w:style w:type="character" w:customStyle="1" w:styleId="CommentSubjectChar">
    <w:name w:val="Comment Subject Char"/>
    <w:basedOn w:val="CommentTextChar"/>
    <w:link w:val="CommentSubject"/>
    <w:uiPriority w:val="99"/>
    <w:semiHidden/>
    <w:rsid w:val="0004402B"/>
    <w:rPr>
      <w:rFonts w:ascii="Calibri" w:eastAsia="Times New Roman" w:hAnsi="Calibri" w:cs="Times New Roman"/>
      <w:b/>
      <w:bCs/>
      <w:sz w:val="20"/>
      <w:szCs w:val="20"/>
      <w:lang w:val="en-GB" w:eastAsia="en-GB"/>
    </w:rPr>
  </w:style>
  <w:style w:type="paragraph" w:customStyle="1" w:styleId="Char2CharCharCharCharCharCharCharCharChar">
    <w:name w:val="Char2 Char Char Char Char Char Char Char Char Char"/>
    <w:basedOn w:val="Normal"/>
    <w:rsid w:val="00784084"/>
    <w:pPr>
      <w:spacing w:after="160" w:line="240" w:lineRule="exact"/>
    </w:pPr>
    <w:rPr>
      <w:rFonts w:ascii="Tahoma" w:hAnsi="Tahoma"/>
      <w:sz w:val="20"/>
      <w:szCs w:val="20"/>
      <w:lang w:val="en-US" w:eastAsia="en-US"/>
    </w:rPr>
  </w:style>
  <w:style w:type="character" w:customStyle="1" w:styleId="st">
    <w:name w:val="st"/>
    <w:basedOn w:val="DefaultParagraphFont"/>
    <w:rsid w:val="00570467"/>
  </w:style>
  <w:style w:type="character" w:styleId="Emphasis">
    <w:name w:val="Emphasis"/>
    <w:basedOn w:val="DefaultParagraphFont"/>
    <w:uiPriority w:val="20"/>
    <w:qFormat/>
    <w:rsid w:val="00570467"/>
    <w:rPr>
      <w:i/>
      <w:iCs/>
    </w:rPr>
  </w:style>
  <w:style w:type="character" w:styleId="Hyperlink">
    <w:name w:val="Hyperlink"/>
    <w:basedOn w:val="DefaultParagraphFont"/>
    <w:uiPriority w:val="99"/>
    <w:unhideWhenUsed/>
    <w:rsid w:val="00645DD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2934481">
      <w:bodyDiv w:val="1"/>
      <w:marLeft w:val="0"/>
      <w:marRight w:val="0"/>
      <w:marTop w:val="0"/>
      <w:marBottom w:val="0"/>
      <w:divBdr>
        <w:top w:val="none" w:sz="0" w:space="0" w:color="auto"/>
        <w:left w:val="none" w:sz="0" w:space="0" w:color="auto"/>
        <w:bottom w:val="none" w:sz="0" w:space="0" w:color="auto"/>
        <w:right w:val="none" w:sz="0" w:space="0" w:color="auto"/>
      </w:divBdr>
      <w:divsChild>
        <w:div w:id="1219973113">
          <w:marLeft w:val="0"/>
          <w:marRight w:val="0"/>
          <w:marTop w:val="0"/>
          <w:marBottom w:val="120"/>
          <w:divBdr>
            <w:top w:val="none" w:sz="0" w:space="0" w:color="auto"/>
            <w:left w:val="none" w:sz="0" w:space="0" w:color="auto"/>
            <w:bottom w:val="none" w:sz="0" w:space="0" w:color="auto"/>
            <w:right w:val="none" w:sz="0" w:space="0" w:color="auto"/>
          </w:divBdr>
        </w:div>
        <w:div w:id="649863894">
          <w:marLeft w:val="0"/>
          <w:marRight w:val="0"/>
          <w:marTop w:val="0"/>
          <w:marBottom w:val="0"/>
          <w:divBdr>
            <w:top w:val="none" w:sz="0" w:space="0" w:color="auto"/>
            <w:left w:val="none" w:sz="0" w:space="0" w:color="auto"/>
            <w:bottom w:val="none" w:sz="0" w:space="0" w:color="auto"/>
            <w:right w:val="none" w:sz="0" w:space="0" w:color="auto"/>
          </w:divBdr>
        </w:div>
      </w:divsChild>
    </w:div>
    <w:div w:id="234053863">
      <w:bodyDiv w:val="1"/>
      <w:marLeft w:val="0"/>
      <w:marRight w:val="0"/>
      <w:marTop w:val="0"/>
      <w:marBottom w:val="0"/>
      <w:divBdr>
        <w:top w:val="none" w:sz="0" w:space="0" w:color="auto"/>
        <w:left w:val="none" w:sz="0" w:space="0" w:color="auto"/>
        <w:bottom w:val="none" w:sz="0" w:space="0" w:color="auto"/>
        <w:right w:val="none" w:sz="0" w:space="0" w:color="auto"/>
      </w:divBdr>
    </w:div>
    <w:div w:id="532965825">
      <w:bodyDiv w:val="1"/>
      <w:marLeft w:val="0"/>
      <w:marRight w:val="0"/>
      <w:marTop w:val="0"/>
      <w:marBottom w:val="0"/>
      <w:divBdr>
        <w:top w:val="none" w:sz="0" w:space="0" w:color="auto"/>
        <w:left w:val="none" w:sz="0" w:space="0" w:color="auto"/>
        <w:bottom w:val="none" w:sz="0" w:space="0" w:color="auto"/>
        <w:right w:val="none" w:sz="0" w:space="0" w:color="auto"/>
      </w:divBdr>
    </w:div>
    <w:div w:id="612785356">
      <w:bodyDiv w:val="1"/>
      <w:marLeft w:val="0"/>
      <w:marRight w:val="0"/>
      <w:marTop w:val="0"/>
      <w:marBottom w:val="0"/>
      <w:divBdr>
        <w:top w:val="none" w:sz="0" w:space="0" w:color="auto"/>
        <w:left w:val="none" w:sz="0" w:space="0" w:color="auto"/>
        <w:bottom w:val="none" w:sz="0" w:space="0" w:color="auto"/>
        <w:right w:val="none" w:sz="0" w:space="0" w:color="auto"/>
      </w:divBdr>
      <w:divsChild>
        <w:div w:id="257715901">
          <w:marLeft w:val="0"/>
          <w:marRight w:val="0"/>
          <w:marTop w:val="240"/>
          <w:marBottom w:val="280"/>
          <w:divBdr>
            <w:top w:val="none" w:sz="0" w:space="0" w:color="auto"/>
            <w:left w:val="none" w:sz="0" w:space="0" w:color="auto"/>
            <w:bottom w:val="none" w:sz="0" w:space="0" w:color="auto"/>
            <w:right w:val="none" w:sz="0" w:space="0" w:color="auto"/>
          </w:divBdr>
        </w:div>
        <w:div w:id="21975978">
          <w:marLeft w:val="0"/>
          <w:marRight w:val="0"/>
          <w:marTop w:val="280"/>
          <w:marBottom w:val="0"/>
          <w:divBdr>
            <w:top w:val="none" w:sz="0" w:space="0" w:color="auto"/>
            <w:left w:val="none" w:sz="0" w:space="0" w:color="auto"/>
            <w:bottom w:val="none" w:sz="0" w:space="0" w:color="auto"/>
            <w:right w:val="none" w:sz="0" w:space="0" w:color="auto"/>
          </w:divBdr>
        </w:div>
        <w:div w:id="1341617268">
          <w:marLeft w:val="0"/>
          <w:marRight w:val="0"/>
          <w:marTop w:val="240"/>
          <w:marBottom w:val="280"/>
          <w:divBdr>
            <w:top w:val="none" w:sz="0" w:space="0" w:color="auto"/>
            <w:left w:val="none" w:sz="0" w:space="0" w:color="auto"/>
            <w:bottom w:val="none" w:sz="0" w:space="0" w:color="auto"/>
            <w:right w:val="none" w:sz="0" w:space="0" w:color="auto"/>
          </w:divBdr>
        </w:div>
      </w:divsChild>
    </w:div>
    <w:div w:id="628440992">
      <w:bodyDiv w:val="1"/>
      <w:marLeft w:val="0"/>
      <w:marRight w:val="0"/>
      <w:marTop w:val="0"/>
      <w:marBottom w:val="0"/>
      <w:divBdr>
        <w:top w:val="none" w:sz="0" w:space="0" w:color="auto"/>
        <w:left w:val="none" w:sz="0" w:space="0" w:color="auto"/>
        <w:bottom w:val="none" w:sz="0" w:space="0" w:color="auto"/>
        <w:right w:val="none" w:sz="0" w:space="0" w:color="auto"/>
      </w:divBdr>
    </w:div>
    <w:div w:id="764763402">
      <w:bodyDiv w:val="1"/>
      <w:marLeft w:val="0"/>
      <w:marRight w:val="0"/>
      <w:marTop w:val="0"/>
      <w:marBottom w:val="0"/>
      <w:divBdr>
        <w:top w:val="none" w:sz="0" w:space="0" w:color="auto"/>
        <w:left w:val="none" w:sz="0" w:space="0" w:color="auto"/>
        <w:bottom w:val="none" w:sz="0" w:space="0" w:color="auto"/>
        <w:right w:val="none" w:sz="0" w:space="0" w:color="auto"/>
      </w:divBdr>
    </w:div>
    <w:div w:id="841092185">
      <w:bodyDiv w:val="1"/>
      <w:marLeft w:val="0"/>
      <w:marRight w:val="0"/>
      <w:marTop w:val="0"/>
      <w:marBottom w:val="0"/>
      <w:divBdr>
        <w:top w:val="none" w:sz="0" w:space="0" w:color="auto"/>
        <w:left w:val="none" w:sz="0" w:space="0" w:color="auto"/>
        <w:bottom w:val="none" w:sz="0" w:space="0" w:color="auto"/>
        <w:right w:val="none" w:sz="0" w:space="0" w:color="auto"/>
      </w:divBdr>
    </w:div>
    <w:div w:id="958338994">
      <w:bodyDiv w:val="1"/>
      <w:marLeft w:val="0"/>
      <w:marRight w:val="0"/>
      <w:marTop w:val="0"/>
      <w:marBottom w:val="0"/>
      <w:divBdr>
        <w:top w:val="none" w:sz="0" w:space="0" w:color="auto"/>
        <w:left w:val="none" w:sz="0" w:space="0" w:color="auto"/>
        <w:bottom w:val="none" w:sz="0" w:space="0" w:color="auto"/>
        <w:right w:val="none" w:sz="0" w:space="0" w:color="auto"/>
      </w:divBdr>
    </w:div>
    <w:div w:id="1005785443">
      <w:bodyDiv w:val="1"/>
      <w:marLeft w:val="0"/>
      <w:marRight w:val="0"/>
      <w:marTop w:val="0"/>
      <w:marBottom w:val="0"/>
      <w:divBdr>
        <w:top w:val="none" w:sz="0" w:space="0" w:color="auto"/>
        <w:left w:val="none" w:sz="0" w:space="0" w:color="auto"/>
        <w:bottom w:val="none" w:sz="0" w:space="0" w:color="auto"/>
        <w:right w:val="none" w:sz="0" w:space="0" w:color="auto"/>
      </w:divBdr>
      <w:divsChild>
        <w:div w:id="1403795406">
          <w:marLeft w:val="0"/>
          <w:marRight w:val="0"/>
          <w:marTop w:val="280"/>
          <w:marBottom w:val="0"/>
          <w:divBdr>
            <w:top w:val="none" w:sz="0" w:space="0" w:color="auto"/>
            <w:left w:val="none" w:sz="0" w:space="0" w:color="auto"/>
            <w:bottom w:val="none" w:sz="0" w:space="0" w:color="auto"/>
            <w:right w:val="none" w:sz="0" w:space="0" w:color="auto"/>
          </w:divBdr>
        </w:div>
        <w:div w:id="1669358117">
          <w:marLeft w:val="0"/>
          <w:marRight w:val="0"/>
          <w:marTop w:val="280"/>
          <w:marBottom w:val="0"/>
          <w:divBdr>
            <w:top w:val="none" w:sz="0" w:space="0" w:color="auto"/>
            <w:left w:val="none" w:sz="0" w:space="0" w:color="auto"/>
            <w:bottom w:val="none" w:sz="0" w:space="0" w:color="auto"/>
            <w:right w:val="none" w:sz="0" w:space="0" w:color="auto"/>
          </w:divBdr>
        </w:div>
      </w:divsChild>
    </w:div>
    <w:div w:id="1283685133">
      <w:bodyDiv w:val="1"/>
      <w:marLeft w:val="0"/>
      <w:marRight w:val="0"/>
      <w:marTop w:val="0"/>
      <w:marBottom w:val="0"/>
      <w:divBdr>
        <w:top w:val="none" w:sz="0" w:space="0" w:color="auto"/>
        <w:left w:val="none" w:sz="0" w:space="0" w:color="auto"/>
        <w:bottom w:val="none" w:sz="0" w:space="0" w:color="auto"/>
        <w:right w:val="none" w:sz="0" w:space="0" w:color="auto"/>
      </w:divBdr>
    </w:div>
    <w:div w:id="1381592108">
      <w:bodyDiv w:val="1"/>
      <w:marLeft w:val="0"/>
      <w:marRight w:val="0"/>
      <w:marTop w:val="0"/>
      <w:marBottom w:val="0"/>
      <w:divBdr>
        <w:top w:val="none" w:sz="0" w:space="0" w:color="auto"/>
        <w:left w:val="none" w:sz="0" w:space="0" w:color="auto"/>
        <w:bottom w:val="none" w:sz="0" w:space="0" w:color="auto"/>
        <w:right w:val="none" w:sz="0" w:space="0" w:color="auto"/>
      </w:divBdr>
    </w:div>
    <w:div w:id="1607349915">
      <w:bodyDiv w:val="1"/>
      <w:marLeft w:val="0"/>
      <w:marRight w:val="0"/>
      <w:marTop w:val="0"/>
      <w:marBottom w:val="0"/>
      <w:divBdr>
        <w:top w:val="none" w:sz="0" w:space="0" w:color="auto"/>
        <w:left w:val="none" w:sz="0" w:space="0" w:color="auto"/>
        <w:bottom w:val="none" w:sz="0" w:space="0" w:color="auto"/>
        <w:right w:val="none" w:sz="0" w:space="0" w:color="auto"/>
      </w:divBdr>
    </w:div>
    <w:div w:id="1629583431">
      <w:bodyDiv w:val="1"/>
      <w:marLeft w:val="0"/>
      <w:marRight w:val="0"/>
      <w:marTop w:val="0"/>
      <w:marBottom w:val="0"/>
      <w:divBdr>
        <w:top w:val="none" w:sz="0" w:space="0" w:color="auto"/>
        <w:left w:val="none" w:sz="0" w:space="0" w:color="auto"/>
        <w:bottom w:val="none" w:sz="0" w:space="0" w:color="auto"/>
        <w:right w:val="none" w:sz="0" w:space="0" w:color="auto"/>
      </w:divBdr>
    </w:div>
    <w:div w:id="1825124623">
      <w:bodyDiv w:val="1"/>
      <w:marLeft w:val="0"/>
      <w:marRight w:val="0"/>
      <w:marTop w:val="0"/>
      <w:marBottom w:val="0"/>
      <w:divBdr>
        <w:top w:val="none" w:sz="0" w:space="0" w:color="auto"/>
        <w:left w:val="none" w:sz="0" w:space="0" w:color="auto"/>
        <w:bottom w:val="none" w:sz="0" w:space="0" w:color="auto"/>
        <w:right w:val="none" w:sz="0" w:space="0" w:color="auto"/>
      </w:divBdr>
    </w:div>
    <w:div w:id="1900096077">
      <w:bodyDiv w:val="1"/>
      <w:marLeft w:val="0"/>
      <w:marRight w:val="0"/>
      <w:marTop w:val="0"/>
      <w:marBottom w:val="0"/>
      <w:divBdr>
        <w:top w:val="none" w:sz="0" w:space="0" w:color="auto"/>
        <w:left w:val="none" w:sz="0" w:space="0" w:color="auto"/>
        <w:bottom w:val="none" w:sz="0" w:space="0" w:color="auto"/>
        <w:right w:val="none" w:sz="0" w:space="0" w:color="auto"/>
      </w:divBdr>
    </w:div>
    <w:div w:id="1953323910">
      <w:bodyDiv w:val="1"/>
      <w:marLeft w:val="0"/>
      <w:marRight w:val="0"/>
      <w:marTop w:val="0"/>
      <w:marBottom w:val="0"/>
      <w:divBdr>
        <w:top w:val="none" w:sz="0" w:space="0" w:color="auto"/>
        <w:left w:val="none" w:sz="0" w:space="0" w:color="auto"/>
        <w:bottom w:val="none" w:sz="0" w:space="0" w:color="auto"/>
        <w:right w:val="none" w:sz="0" w:space="0" w:color="auto"/>
      </w:divBdr>
      <w:divsChild>
        <w:div w:id="1454709080">
          <w:marLeft w:val="0"/>
          <w:marRight w:val="0"/>
          <w:marTop w:val="280"/>
          <w:marBottom w:val="280"/>
          <w:divBdr>
            <w:top w:val="none" w:sz="0" w:space="0" w:color="auto"/>
            <w:left w:val="none" w:sz="0" w:space="0" w:color="auto"/>
            <w:bottom w:val="none" w:sz="0" w:space="0" w:color="auto"/>
            <w:right w:val="none" w:sz="0" w:space="0" w:color="auto"/>
          </w:divBdr>
        </w:div>
        <w:div w:id="1454446737">
          <w:marLeft w:val="0"/>
          <w:marRight w:val="0"/>
          <w:marTop w:val="280"/>
          <w:marBottom w:val="280"/>
          <w:divBdr>
            <w:top w:val="none" w:sz="0" w:space="0" w:color="auto"/>
            <w:left w:val="none" w:sz="0" w:space="0" w:color="auto"/>
            <w:bottom w:val="none" w:sz="0" w:space="0" w:color="auto"/>
            <w:right w:val="none" w:sz="0" w:space="0" w:color="auto"/>
          </w:divBdr>
        </w:div>
      </w:divsChild>
    </w:div>
    <w:div w:id="2093382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t.gov.mk/Default_en.aspx"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budget.finance.gov.mk/raspredelba.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285AC-783D-40D0-AB08-31FB039F7F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2414</Words>
  <Characters>13761</Characters>
  <Application>Microsoft Office Word</Application>
  <DocSecurity>0</DocSecurity>
  <Lines>114</Lines>
  <Paragraphs>32</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European Commission</Company>
  <LinksUpToDate>false</LinksUpToDate>
  <CharactersWithSpaces>16143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SAVIOLO Andrea (NEAR)</dc:creator>
  <cp:lastModifiedBy>BERTOLINI Nicola (EEAS-SKOPJE)</cp:lastModifiedBy>
  <cp:revision>3</cp:revision>
  <dcterms:created xsi:type="dcterms:W3CDTF">2020-08-25T07:40:00Z</dcterms:created>
  <dcterms:modified xsi:type="dcterms:W3CDTF">2020-08-25T07:43:00Z</dcterms:modified>
</cp:coreProperties>
</file>