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93569" w14:textId="77777777" w:rsidR="00D92F6C" w:rsidRPr="00B10991" w:rsidRDefault="00B10991" w:rsidP="00D92F6C">
      <w:pPr>
        <w:pStyle w:val="Heading2"/>
        <w:rPr>
          <w:rFonts w:ascii="Arial" w:hAnsi="Arial" w:cs="Arial"/>
          <w:b w:val="0"/>
          <w:bCs w:val="0"/>
          <w:smallCaps/>
          <w:sz w:val="32"/>
          <w:szCs w:val="24"/>
        </w:rPr>
      </w:pPr>
      <w:bookmarkStart w:id="0" w:name="_Toc33714665"/>
      <w:r w:rsidRPr="00D922F8">
        <w:rPr>
          <w:rFonts w:ascii="Arial" w:hAnsi="Arial" w:cs="Arial"/>
          <w:smallCaps/>
          <w:color w:val="auto"/>
          <w:sz w:val="32"/>
          <w:szCs w:val="24"/>
          <w:lang w:val="it-IT"/>
        </w:rPr>
        <w:t>ANNEX I –</w:t>
      </w:r>
      <w:r w:rsidR="00D92F6C" w:rsidRPr="00D922F8">
        <w:rPr>
          <w:rFonts w:ascii="Arial" w:hAnsi="Arial" w:cs="Arial"/>
          <w:smallCaps/>
          <w:color w:val="auto"/>
          <w:sz w:val="32"/>
          <w:szCs w:val="24"/>
          <w:lang w:val="it-IT"/>
        </w:rPr>
        <w:t xml:space="preserve"> </w:t>
      </w:r>
      <w:r w:rsidRPr="00D922F8">
        <w:rPr>
          <w:rFonts w:ascii="Arial" w:hAnsi="Arial" w:cs="Arial"/>
          <w:smallCaps/>
          <w:color w:val="auto"/>
          <w:sz w:val="32"/>
          <w:szCs w:val="24"/>
          <w:lang w:val="it-IT"/>
        </w:rPr>
        <w:t xml:space="preserve">IPA III </w:t>
      </w:r>
      <w:r w:rsidR="00D92F6C" w:rsidRPr="00D922F8">
        <w:rPr>
          <w:rFonts w:ascii="Arial" w:hAnsi="Arial" w:cs="Arial"/>
          <w:smallCaps/>
          <w:color w:val="auto"/>
          <w:sz w:val="32"/>
          <w:szCs w:val="24"/>
          <w:lang w:val="it-IT"/>
        </w:rPr>
        <w:t>A</w:t>
      </w:r>
      <w:r w:rsidRPr="00D922F8">
        <w:rPr>
          <w:rFonts w:ascii="Arial" w:hAnsi="Arial" w:cs="Arial"/>
          <w:smallCaps/>
          <w:color w:val="auto"/>
          <w:sz w:val="32"/>
          <w:szCs w:val="24"/>
          <w:lang w:val="it-IT"/>
        </w:rPr>
        <w:t xml:space="preserve">ction Fiche Template </w:t>
      </w:r>
      <w:bookmarkEnd w:id="0"/>
    </w:p>
    <w:p w14:paraId="7092B869" w14:textId="77777777" w:rsidR="00D92F6C" w:rsidRPr="00D922F8" w:rsidRDefault="00D92F6C" w:rsidP="00D92F6C">
      <w:pPr>
        <w:keepNext/>
        <w:keepLines/>
        <w:spacing w:before="200" w:after="0"/>
        <w:outlineLvl w:val="1"/>
        <w:rPr>
          <w:rFonts w:ascii="Arial" w:hAnsi="Arial" w:cs="Arial"/>
          <w:b/>
          <w:bCs/>
          <w:smallCaps/>
          <w:sz w:val="24"/>
          <w:szCs w:val="24"/>
          <w:lang w:val="it-IT"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0C315D" w14:paraId="1F63A9B4" w14:textId="77777777" w:rsidTr="00DE79F3">
        <w:trPr>
          <w:jc w:val="center"/>
        </w:trPr>
        <w:tc>
          <w:tcPr>
            <w:tcW w:w="534" w:type="dxa"/>
            <w:tcBorders>
              <w:top w:val="single" w:sz="4" w:space="0" w:color="auto"/>
              <w:left w:val="single" w:sz="4" w:space="0" w:color="auto"/>
              <w:bottom w:val="single" w:sz="4" w:space="0" w:color="auto"/>
              <w:right w:val="single" w:sz="4" w:space="0" w:color="auto"/>
            </w:tcBorders>
          </w:tcPr>
          <w:p w14:paraId="47B987FC" w14:textId="77777777" w:rsidR="00D92F6C" w:rsidRPr="00D922F8" w:rsidRDefault="00D92F6C" w:rsidP="00DE79F3">
            <w:pPr>
              <w:tabs>
                <w:tab w:val="right" w:pos="9071"/>
              </w:tabs>
              <w:spacing w:after="0" w:line="240" w:lineRule="auto"/>
              <w:ind w:left="720"/>
              <w:contextualSpacing/>
              <w:rPr>
                <w:rFonts w:ascii="Arial" w:hAnsi="Arial" w:cs="Arial"/>
                <w:b/>
                <w:sz w:val="20"/>
                <w:szCs w:val="20"/>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3A2ACE2" w14:textId="77777777" w:rsidR="00D92F6C" w:rsidRPr="00DE79F3" w:rsidRDefault="00D92F6C" w:rsidP="00DE79F3">
            <w:pPr>
              <w:spacing w:after="0" w:line="240" w:lineRule="auto"/>
              <w:rPr>
                <w:rFonts w:ascii="Times New Roman" w:hAnsi="Times New Roman"/>
              </w:rPr>
            </w:pPr>
            <w:r w:rsidRPr="00DE79F3">
              <w:rPr>
                <w:rFonts w:ascii="Times New Roman" w:hAnsi="Times New Roman"/>
              </w:rPr>
              <w:t>Indicative title of the Action</w:t>
            </w:r>
          </w:p>
          <w:p w14:paraId="02CF27E2" w14:textId="77777777" w:rsidR="00D92F6C" w:rsidRPr="00DE79F3" w:rsidRDefault="00D92F6C" w:rsidP="00DE79F3">
            <w:pPr>
              <w:spacing w:after="0" w:line="240" w:lineRule="auto"/>
              <w:rPr>
                <w:rFonts w:ascii="Times New Roman" w:hAnsi="Times New Roman"/>
              </w:rPr>
            </w:pP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0E1057" w14:textId="526D4E1C" w:rsidR="00857126" w:rsidRDefault="00DE79F3" w:rsidP="00DE79F3">
            <w:pPr>
              <w:spacing w:after="0" w:line="240" w:lineRule="auto"/>
              <w:jc w:val="center"/>
              <w:rPr>
                <w:rFonts w:ascii="Times New Roman" w:hAnsi="Times New Roman"/>
                <w:b/>
                <w:bCs/>
              </w:rPr>
            </w:pPr>
            <w:r w:rsidRPr="00DE79F3">
              <w:rPr>
                <w:rFonts w:ascii="Times New Roman" w:hAnsi="Times New Roman"/>
                <w:b/>
                <w:bCs/>
              </w:rPr>
              <w:t>PARTICIPATION IN THE UNION PROGRAMMES AND AGENCIES</w:t>
            </w:r>
          </w:p>
          <w:p w14:paraId="6039AB0B" w14:textId="3ED33A32" w:rsidR="00D92F6C" w:rsidRPr="008B2C10" w:rsidRDefault="00857126" w:rsidP="00AF10DE">
            <w:pPr>
              <w:spacing w:after="0" w:line="240" w:lineRule="auto"/>
              <w:jc w:val="center"/>
              <w:rPr>
                <w:rFonts w:ascii="Times New Roman" w:hAnsi="Times New Roman"/>
                <w:b/>
                <w:bCs/>
                <w:lang w:val="mk-MK"/>
              </w:rPr>
            </w:pPr>
            <w:r>
              <w:rPr>
                <w:rFonts w:ascii="Times New Roman" w:hAnsi="Times New Roman"/>
                <w:b/>
                <w:bCs/>
              </w:rPr>
              <w:t>(for year 202</w:t>
            </w:r>
            <w:r w:rsidR="00AF10DE">
              <w:rPr>
                <w:rFonts w:ascii="Times New Roman" w:hAnsi="Times New Roman"/>
                <w:b/>
                <w:bCs/>
              </w:rPr>
              <w:t>2</w:t>
            </w:r>
            <w:bookmarkStart w:id="1" w:name="_GoBack"/>
            <w:bookmarkEnd w:id="1"/>
            <w:r>
              <w:rPr>
                <w:rFonts w:ascii="Times New Roman" w:hAnsi="Times New Roman"/>
                <w:b/>
                <w:bCs/>
              </w:rPr>
              <w:t>)</w:t>
            </w:r>
            <w:r w:rsidR="008B2C10">
              <w:rPr>
                <w:rFonts w:ascii="Times New Roman" w:hAnsi="Times New Roman"/>
                <w:b/>
                <w:bCs/>
              </w:rPr>
              <w:t xml:space="preserve"> </w:t>
            </w:r>
          </w:p>
        </w:tc>
      </w:tr>
      <w:tr w:rsidR="00D92F6C" w:rsidRPr="000C315D" w14:paraId="557D54D6" w14:textId="77777777" w:rsidTr="00DE79F3">
        <w:trPr>
          <w:jc w:val="center"/>
        </w:trPr>
        <w:tc>
          <w:tcPr>
            <w:tcW w:w="534" w:type="dxa"/>
            <w:vMerge w:val="restart"/>
            <w:tcBorders>
              <w:top w:val="single" w:sz="4" w:space="0" w:color="auto"/>
              <w:left w:val="single" w:sz="4" w:space="0" w:color="auto"/>
              <w:right w:val="single" w:sz="4" w:space="0" w:color="auto"/>
            </w:tcBorders>
            <w:textDirection w:val="btLr"/>
          </w:tcPr>
          <w:p w14:paraId="4D722DAA" w14:textId="77777777" w:rsidR="00D92F6C" w:rsidRPr="000C315D" w:rsidRDefault="00D92F6C" w:rsidP="00DE79F3">
            <w:pPr>
              <w:spacing w:after="0" w:line="240" w:lineRule="auto"/>
              <w:ind w:left="113" w:right="113"/>
              <w:rPr>
                <w:rFonts w:ascii="Arial" w:hAnsi="Arial" w:cs="Arial"/>
                <w:sz w:val="20"/>
                <w:szCs w:val="20"/>
              </w:rPr>
            </w:pPr>
            <w:r w:rsidRPr="000C315D">
              <w:rPr>
                <w:rFonts w:ascii="Arial" w:hAnsi="Arial" w:cs="Arial"/>
                <w:b/>
                <w:sz w:val="20"/>
                <w:szCs w:val="20"/>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04EB357" w14:textId="77777777" w:rsidR="00D92F6C" w:rsidRPr="00DE79F3" w:rsidRDefault="00D92F6C" w:rsidP="00DE79F3">
            <w:pPr>
              <w:spacing w:after="0" w:line="240" w:lineRule="auto"/>
              <w:rPr>
                <w:rFonts w:ascii="Times New Roman" w:hAnsi="Times New Roman"/>
              </w:rPr>
            </w:pPr>
            <w:r w:rsidRPr="00DE79F3">
              <w:rPr>
                <w:rFonts w:ascii="Times New Roman" w:hAnsi="Times New Roman"/>
              </w:rPr>
              <w:t>Key thematic priority</w:t>
            </w:r>
          </w:p>
          <w:p w14:paraId="5642EF9D" w14:textId="77777777" w:rsidR="00D92F6C" w:rsidRPr="00DE79F3" w:rsidRDefault="00D92F6C" w:rsidP="00DE79F3">
            <w:pPr>
              <w:spacing w:after="0" w:line="240" w:lineRule="auto"/>
              <w:rPr>
                <w:rFonts w:ascii="Times New Roman" w:hAnsi="Times New Roman"/>
                <w:i/>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70D770F" w14:textId="77777777" w:rsidR="00DE79F3" w:rsidRPr="00DE79F3" w:rsidRDefault="00DE79F3" w:rsidP="00DE79F3">
            <w:pPr>
              <w:spacing w:after="0" w:line="240" w:lineRule="auto"/>
              <w:jc w:val="center"/>
              <w:rPr>
                <w:rFonts w:ascii="Times New Roman" w:hAnsi="Times New Roman"/>
                <w:b/>
              </w:rPr>
            </w:pPr>
            <w:r w:rsidRPr="00DE79F3">
              <w:rPr>
                <w:rFonts w:ascii="Times New Roman" w:hAnsi="Times New Roman"/>
                <w:b/>
              </w:rPr>
              <w:t>WINDOW 2-GOOD GOVERNANCE, ACQUIS ALIGNMENT, GOOD NEIGHBOURLY RELATIONS AND STRATEGIC COMMUNICATION</w:t>
            </w:r>
          </w:p>
          <w:p w14:paraId="67713F3C" w14:textId="77777777" w:rsidR="00DE79F3" w:rsidRDefault="00DE79F3" w:rsidP="00DE79F3">
            <w:pPr>
              <w:spacing w:after="0" w:line="240" w:lineRule="auto"/>
              <w:jc w:val="center"/>
              <w:rPr>
                <w:rFonts w:ascii="Times New Roman" w:hAnsi="Times New Roman"/>
              </w:rPr>
            </w:pPr>
          </w:p>
          <w:p w14:paraId="60EF4029" w14:textId="7E93E138" w:rsidR="00D92F6C" w:rsidRPr="00DE79F3" w:rsidRDefault="00DE79F3" w:rsidP="00DE79F3">
            <w:pPr>
              <w:spacing w:after="0" w:line="240" w:lineRule="auto"/>
              <w:jc w:val="center"/>
              <w:rPr>
                <w:rFonts w:ascii="Times New Roman" w:hAnsi="Times New Roman"/>
                <w:b/>
                <w:i/>
              </w:rPr>
            </w:pPr>
            <w:r w:rsidRPr="00DE79F3">
              <w:rPr>
                <w:rFonts w:ascii="Times New Roman" w:hAnsi="Times New Roman"/>
                <w:b/>
                <w:i/>
              </w:rPr>
              <w:t xml:space="preserve">Thematic Priority 2: </w:t>
            </w:r>
            <w:r w:rsidR="003026C4" w:rsidRPr="00DE79F3">
              <w:rPr>
                <w:rFonts w:ascii="Times New Roman" w:hAnsi="Times New Roman"/>
                <w:b/>
                <w:i/>
              </w:rPr>
              <w:t>Administrative capacity and acquis alignment</w:t>
            </w:r>
          </w:p>
        </w:tc>
      </w:tr>
      <w:tr w:rsidR="00D92F6C" w:rsidRPr="000C315D" w14:paraId="0BC77E64" w14:textId="77777777" w:rsidTr="00DE79F3">
        <w:trPr>
          <w:jc w:val="center"/>
        </w:trPr>
        <w:tc>
          <w:tcPr>
            <w:tcW w:w="534" w:type="dxa"/>
            <w:vMerge/>
            <w:tcBorders>
              <w:left w:val="single" w:sz="4" w:space="0" w:color="auto"/>
              <w:right w:val="single" w:sz="4" w:space="0" w:color="auto"/>
            </w:tcBorders>
          </w:tcPr>
          <w:p w14:paraId="442C7DD1" w14:textId="5A9D812B" w:rsidR="00D92F6C" w:rsidRPr="000C315D" w:rsidRDefault="00D92F6C" w:rsidP="00DE79F3">
            <w:pPr>
              <w:spacing w:after="0"/>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9E3A03A" w14:textId="77777777" w:rsidR="00D92F6C" w:rsidRPr="00DE79F3" w:rsidRDefault="00D92F6C" w:rsidP="00DE79F3">
            <w:pPr>
              <w:spacing w:after="0"/>
              <w:rPr>
                <w:rFonts w:ascii="Times New Roman" w:hAnsi="Times New Roman"/>
              </w:rPr>
            </w:pPr>
            <w:r w:rsidRPr="00DE79F3">
              <w:rPr>
                <w:rFonts w:ascii="Times New Roman" w:hAnsi="Times New Roman"/>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431EA7C" w14:textId="2A502911" w:rsidR="002D7429" w:rsidRDefault="002D7429" w:rsidP="00D922F8">
            <w:pPr>
              <w:spacing w:before="120" w:after="0" w:line="240" w:lineRule="auto"/>
              <w:jc w:val="both"/>
              <w:rPr>
                <w:rFonts w:ascii="Times New Roman" w:hAnsi="Times New Roman"/>
              </w:rPr>
            </w:pPr>
            <w:r>
              <w:rPr>
                <w:rFonts w:ascii="Times New Roman" w:hAnsi="Times New Roman"/>
              </w:rPr>
              <w:t>This Action aims at</w:t>
            </w:r>
            <w:r w:rsidR="00903F47">
              <w:rPr>
                <w:rFonts w:ascii="Times New Roman" w:hAnsi="Times New Roman"/>
              </w:rPr>
              <w:t xml:space="preserve"> facilitating the progressive transfer of know-how and strengthening the capacities of the relevant </w:t>
            </w:r>
            <w:r w:rsidR="00FE56BA">
              <w:rPr>
                <w:rFonts w:ascii="Times New Roman" w:hAnsi="Times New Roman"/>
              </w:rPr>
              <w:t>b</w:t>
            </w:r>
            <w:r w:rsidR="00903F47">
              <w:rPr>
                <w:rFonts w:ascii="Times New Roman" w:hAnsi="Times New Roman"/>
              </w:rPr>
              <w:t>eneficiaries through supporting North Macedonia in participating in EU Programmes. The purpose is to co-finance the costs of the “entry-tickets” which the country has to pay for the participation in Union Programmes.</w:t>
            </w:r>
            <w:r w:rsidR="00490A07">
              <w:rPr>
                <w:rFonts w:ascii="Times New Roman" w:hAnsi="Times New Roman"/>
              </w:rPr>
              <w:t xml:space="preserve"> More specifically, the Action targets are:</w:t>
            </w:r>
          </w:p>
          <w:p w14:paraId="3E1D633B" w14:textId="4D8BC6D2" w:rsidR="00490A07" w:rsidRDefault="00490A07" w:rsidP="00D922F8">
            <w:pPr>
              <w:pStyle w:val="ListParagraph"/>
              <w:numPr>
                <w:ilvl w:val="0"/>
                <w:numId w:val="7"/>
              </w:numPr>
              <w:spacing w:before="120" w:after="0" w:line="240" w:lineRule="auto"/>
              <w:jc w:val="both"/>
              <w:rPr>
                <w:rFonts w:ascii="Times New Roman" w:hAnsi="Times New Roman"/>
              </w:rPr>
            </w:pPr>
            <w:r>
              <w:rPr>
                <w:rFonts w:ascii="Times New Roman" w:hAnsi="Times New Roman"/>
              </w:rPr>
              <w:t>To ensure the participation of North Macedonia in Union Programme and Agencies,</w:t>
            </w:r>
          </w:p>
          <w:p w14:paraId="575E2F00" w14:textId="08FBCE0F" w:rsidR="00490A07" w:rsidRDefault="00490A07" w:rsidP="00D922F8">
            <w:pPr>
              <w:pStyle w:val="ListParagraph"/>
              <w:numPr>
                <w:ilvl w:val="0"/>
                <w:numId w:val="7"/>
              </w:numPr>
              <w:spacing w:before="120" w:after="0" w:line="240" w:lineRule="auto"/>
              <w:jc w:val="both"/>
              <w:rPr>
                <w:rFonts w:ascii="Times New Roman" w:hAnsi="Times New Roman"/>
              </w:rPr>
            </w:pPr>
            <w:r>
              <w:rPr>
                <w:rFonts w:ascii="Times New Roman" w:hAnsi="Times New Roman"/>
              </w:rPr>
              <w:t>To strengthen national capacity for participation in Union Programmes, and</w:t>
            </w:r>
          </w:p>
          <w:p w14:paraId="0657539D" w14:textId="37D0CF5B" w:rsidR="00490A07" w:rsidRPr="00D922F8" w:rsidRDefault="00490A07" w:rsidP="00D922F8">
            <w:pPr>
              <w:pStyle w:val="ListParagraph"/>
              <w:numPr>
                <w:ilvl w:val="0"/>
                <w:numId w:val="7"/>
              </w:numPr>
              <w:spacing w:before="120" w:after="0" w:line="240" w:lineRule="auto"/>
              <w:jc w:val="both"/>
              <w:rPr>
                <w:rFonts w:ascii="Times New Roman" w:hAnsi="Times New Roman"/>
              </w:rPr>
            </w:pPr>
            <w:r>
              <w:rPr>
                <w:rFonts w:ascii="Times New Roman" w:hAnsi="Times New Roman"/>
              </w:rPr>
              <w:t>To improve the awareness of the European Union Programmes in the country.</w:t>
            </w:r>
          </w:p>
          <w:p w14:paraId="0CF6E182" w14:textId="34392646" w:rsidR="00FE56BA" w:rsidRDefault="00894F5A" w:rsidP="00D922F8">
            <w:pPr>
              <w:spacing w:before="120" w:after="0" w:line="240" w:lineRule="auto"/>
              <w:jc w:val="both"/>
              <w:rPr>
                <w:rFonts w:ascii="Times New Roman" w:hAnsi="Times New Roman"/>
              </w:rPr>
            </w:pPr>
            <w:r>
              <w:rPr>
                <w:rFonts w:ascii="Times New Roman" w:hAnsi="Times New Roman"/>
              </w:rPr>
              <w:t xml:space="preserve">The Action, although included in </w:t>
            </w:r>
            <w:r w:rsidR="00490A07">
              <w:rPr>
                <w:rFonts w:ascii="Times New Roman" w:hAnsi="Times New Roman"/>
              </w:rPr>
              <w:t>Window 2:</w:t>
            </w:r>
            <w:r>
              <w:rPr>
                <w:rFonts w:ascii="Times New Roman" w:hAnsi="Times New Roman"/>
              </w:rPr>
              <w:t xml:space="preserve"> Good governance, </w:t>
            </w:r>
            <w:r w:rsidRPr="00D922F8">
              <w:rPr>
                <w:rFonts w:ascii="Times New Roman" w:hAnsi="Times New Roman"/>
                <w:i/>
              </w:rPr>
              <w:t>acquis</w:t>
            </w:r>
            <w:r>
              <w:rPr>
                <w:rFonts w:ascii="Times New Roman" w:hAnsi="Times New Roman"/>
              </w:rPr>
              <w:t xml:space="preserve"> alignment, good neighbourly relations and strategic communication, Thematic Priority 2: Administrative capacity and </w:t>
            </w:r>
            <w:r w:rsidRPr="00D922F8">
              <w:rPr>
                <w:rFonts w:ascii="Times New Roman" w:hAnsi="Times New Roman"/>
                <w:i/>
              </w:rPr>
              <w:t>acquis</w:t>
            </w:r>
            <w:r>
              <w:rPr>
                <w:rFonts w:ascii="Times New Roman" w:hAnsi="Times New Roman"/>
              </w:rPr>
              <w:t xml:space="preserve"> alignment, will contribute not only to address the specific objective of </w:t>
            </w:r>
            <w:r w:rsidR="00FE56BA">
              <w:rPr>
                <w:rFonts w:ascii="Times New Roman" w:hAnsi="Times New Roman"/>
              </w:rPr>
              <w:t xml:space="preserve">this </w:t>
            </w:r>
            <w:r>
              <w:rPr>
                <w:rFonts w:ascii="Times New Roman" w:hAnsi="Times New Roman"/>
              </w:rPr>
              <w:t>thematic priority -</w:t>
            </w:r>
            <w:r w:rsidR="00FE56BA">
              <w:rPr>
                <w:rFonts w:ascii="Times New Roman" w:hAnsi="Times New Roman"/>
              </w:rPr>
              <w:t>t</w:t>
            </w:r>
            <w:r w:rsidR="00FE56BA" w:rsidRPr="00FE56BA">
              <w:rPr>
                <w:rFonts w:ascii="Times New Roman" w:hAnsi="Times New Roman"/>
              </w:rPr>
              <w:t xml:space="preserve">o bring beneficiaries' policies and legislation in line with the EU policies and the </w:t>
            </w:r>
            <w:r w:rsidR="00FE56BA" w:rsidRPr="00D922F8">
              <w:rPr>
                <w:rFonts w:ascii="Times New Roman" w:hAnsi="Times New Roman"/>
                <w:i/>
              </w:rPr>
              <w:t>acquis</w:t>
            </w:r>
            <w:r w:rsidR="00FE56BA" w:rsidRPr="00FE56BA">
              <w:rPr>
                <w:rFonts w:ascii="Times New Roman" w:hAnsi="Times New Roman"/>
              </w:rPr>
              <w:t>, and to build administrative capacity to fully and effectively implement sector policies and the adopted legislation, building the ability of beneficiaries to take on the obligations of membership</w:t>
            </w:r>
            <w:r w:rsidR="00FE56BA">
              <w:rPr>
                <w:rFonts w:ascii="Times New Roman" w:hAnsi="Times New Roman"/>
              </w:rPr>
              <w:t xml:space="preserve">- but also </w:t>
            </w:r>
            <w:r w:rsidR="00D922F8">
              <w:rPr>
                <w:rFonts w:ascii="Times New Roman" w:hAnsi="Times New Roman"/>
              </w:rPr>
              <w:t>W</w:t>
            </w:r>
            <w:r w:rsidR="00490A07">
              <w:rPr>
                <w:rFonts w:ascii="Times New Roman" w:hAnsi="Times New Roman"/>
              </w:rPr>
              <w:t>indow</w:t>
            </w:r>
            <w:r w:rsidR="00FE56BA">
              <w:rPr>
                <w:rFonts w:ascii="Times New Roman" w:hAnsi="Times New Roman"/>
              </w:rPr>
              <w:t xml:space="preserve"> </w:t>
            </w:r>
            <w:r w:rsidR="00490A07">
              <w:rPr>
                <w:rFonts w:ascii="Times New Roman" w:hAnsi="Times New Roman"/>
              </w:rPr>
              <w:t>4: Competitiveness and Inclusive Growth.</w:t>
            </w:r>
          </w:p>
          <w:p w14:paraId="2C86C117" w14:textId="6AD1F47F" w:rsidR="00D92F6C" w:rsidRPr="00340EE0" w:rsidRDefault="004A3AA0" w:rsidP="00D922F8">
            <w:pPr>
              <w:spacing w:before="120" w:after="0" w:line="240" w:lineRule="auto"/>
              <w:jc w:val="both"/>
              <w:rPr>
                <w:rFonts w:ascii="Times New Roman" w:hAnsi="Times New Roman"/>
              </w:rPr>
            </w:pPr>
            <w:r w:rsidRPr="00DE79F3">
              <w:rPr>
                <w:rFonts w:ascii="Times New Roman" w:hAnsi="Times New Roman"/>
              </w:rPr>
              <w:t>In 2003</w:t>
            </w:r>
            <w:r w:rsidR="007F42E9">
              <w:rPr>
                <w:rFonts w:ascii="Times New Roman" w:hAnsi="Times New Roman"/>
              </w:rPr>
              <w:t xml:space="preserve"> in Thessaloniki,</w:t>
            </w:r>
            <w:r w:rsidRPr="00DE79F3">
              <w:rPr>
                <w:rFonts w:ascii="Times New Roman" w:hAnsi="Times New Roman"/>
              </w:rPr>
              <w:t xml:space="preserve"> the EU agreed to open the participation in Union Programmes and Agencies to IPA beneficiaries, following the approach used in the past for candidate countries. In its Communication </w:t>
            </w:r>
            <w:r w:rsidRPr="00D922F8">
              <w:rPr>
                <w:rFonts w:ascii="Times New Roman" w:hAnsi="Times New Roman"/>
                <w:b/>
              </w:rPr>
              <w:t>''Preparing for the participation of the Western Balkan countries in Union Programmes and Agencies''</w:t>
            </w:r>
            <w:r w:rsidRPr="00DE79F3">
              <w:rPr>
                <w:rFonts w:ascii="Times New Roman" w:hAnsi="Times New Roman"/>
              </w:rPr>
              <w:t xml:space="preserve"> of 3 December 2003</w:t>
            </w:r>
            <w:r w:rsidR="00340EE0">
              <w:rPr>
                <w:rStyle w:val="FootnoteReference"/>
                <w:rFonts w:ascii="Times New Roman" w:hAnsi="Times New Roman"/>
              </w:rPr>
              <w:footnoteReference w:id="1"/>
            </w:r>
            <w:r w:rsidR="00340EE0">
              <w:rPr>
                <w:rFonts w:ascii="Times New Roman" w:hAnsi="Times New Roman"/>
              </w:rPr>
              <w:t xml:space="preserve"> </w:t>
            </w:r>
            <w:r w:rsidRPr="00340EE0">
              <w:rPr>
                <w:rFonts w:ascii="Times New Roman" w:hAnsi="Times New Roman"/>
              </w:rPr>
              <w:t xml:space="preserve">the Commission established the main principles and guidelines of participation of IPA beneficiaries in Union Programmes, underlining the need for a selective and gradual approach. </w:t>
            </w:r>
          </w:p>
          <w:p w14:paraId="48AA581C" w14:textId="3815CA48" w:rsidR="0024143B" w:rsidRPr="00340EE0" w:rsidRDefault="0024143B" w:rsidP="00D922F8">
            <w:pPr>
              <w:spacing w:before="120" w:after="0" w:line="240" w:lineRule="auto"/>
              <w:jc w:val="both"/>
              <w:rPr>
                <w:rFonts w:ascii="Times New Roman" w:hAnsi="Times New Roman"/>
              </w:rPr>
            </w:pPr>
            <w:r w:rsidRPr="00340EE0">
              <w:rPr>
                <w:rFonts w:ascii="Times New Roman" w:hAnsi="Times New Roman"/>
              </w:rPr>
              <w:t>The participation of IPA II beneficiary countr</w:t>
            </w:r>
            <w:r w:rsidR="007F42E9">
              <w:rPr>
                <w:rFonts w:ascii="Times New Roman" w:hAnsi="Times New Roman"/>
              </w:rPr>
              <w:t>ies</w:t>
            </w:r>
            <w:r w:rsidRPr="00340EE0">
              <w:rPr>
                <w:rFonts w:ascii="Times New Roman" w:hAnsi="Times New Roman"/>
              </w:rPr>
              <w:t xml:space="preserve"> in Union Programmes and Agencies, including payment by the country of entry ticket</w:t>
            </w:r>
            <w:r w:rsidR="007F42E9">
              <w:rPr>
                <w:rFonts w:ascii="Times New Roman" w:hAnsi="Times New Roman"/>
              </w:rPr>
              <w:t>s</w:t>
            </w:r>
            <w:r w:rsidRPr="00340EE0">
              <w:rPr>
                <w:rFonts w:ascii="Times New Roman" w:hAnsi="Times New Roman"/>
              </w:rPr>
              <w:t xml:space="preserve">/participation fees, shall follow the specific terms and conditions set out for each programme in the relevant International Agreement. </w:t>
            </w:r>
          </w:p>
          <w:p w14:paraId="4A031252" w14:textId="77777777" w:rsidR="0024143B" w:rsidRPr="00340EE0" w:rsidRDefault="0024143B" w:rsidP="00D922F8">
            <w:pPr>
              <w:spacing w:before="120" w:after="0" w:line="240" w:lineRule="auto"/>
              <w:jc w:val="both"/>
              <w:rPr>
                <w:rFonts w:ascii="Times New Roman" w:hAnsi="Times New Roman"/>
              </w:rPr>
            </w:pPr>
            <w:r w:rsidRPr="00340EE0">
              <w:rPr>
                <w:rFonts w:ascii="Times New Roman" w:hAnsi="Times New Roman"/>
              </w:rPr>
              <w:t xml:space="preserve">Co-financing rates from previous participation shall be taken into account, and in line with the principle of increasing North Macedonia's ownership and responsibility, IPA II funding rates shall decrease over the years in real or relative terms.   </w:t>
            </w:r>
          </w:p>
          <w:p w14:paraId="7FEEEB58" w14:textId="36FE0D30" w:rsidR="0024143B" w:rsidRPr="00340EE0" w:rsidRDefault="0024143B" w:rsidP="007F42E9">
            <w:pPr>
              <w:spacing w:before="120" w:after="0" w:line="240" w:lineRule="auto"/>
              <w:jc w:val="both"/>
              <w:rPr>
                <w:rFonts w:ascii="Times New Roman" w:hAnsi="Times New Roman"/>
              </w:rPr>
            </w:pPr>
            <w:r w:rsidRPr="00340EE0">
              <w:rPr>
                <w:rFonts w:ascii="Times New Roman" w:hAnsi="Times New Roman"/>
              </w:rPr>
              <w:t xml:space="preserve">North Macedonia must provide the co-financing and also the funds necessary for the payment of the total entry ticket, prior to receiving partial reimbursement from the EU. The reimbursement will be paid as a grant to North Macedonia. </w:t>
            </w:r>
          </w:p>
        </w:tc>
      </w:tr>
      <w:tr w:rsidR="00D92F6C" w:rsidRPr="000C315D" w14:paraId="01910CD5" w14:textId="77777777" w:rsidTr="00DE79F3">
        <w:trPr>
          <w:jc w:val="center"/>
        </w:trPr>
        <w:tc>
          <w:tcPr>
            <w:tcW w:w="534" w:type="dxa"/>
            <w:vMerge/>
            <w:tcBorders>
              <w:left w:val="single" w:sz="4" w:space="0" w:color="auto"/>
              <w:right w:val="single" w:sz="4" w:space="0" w:color="auto"/>
            </w:tcBorders>
          </w:tcPr>
          <w:p w14:paraId="7F4879B2" w14:textId="5F2F6209" w:rsidR="00D92F6C" w:rsidRPr="000C315D" w:rsidRDefault="00D92F6C" w:rsidP="00DE79F3">
            <w:pPr>
              <w:spacing w:after="0"/>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A71AAC9" w14:textId="77777777" w:rsidR="00D92F6C" w:rsidRPr="00490A07" w:rsidRDefault="00D92F6C" w:rsidP="00DE79F3">
            <w:pPr>
              <w:spacing w:after="0"/>
              <w:rPr>
                <w:rFonts w:ascii="Times New Roman" w:hAnsi="Times New Roman"/>
              </w:rPr>
            </w:pPr>
            <w:r w:rsidRPr="00490A07">
              <w:rPr>
                <w:rFonts w:ascii="Times New Roman" w:hAnsi="Times New Roman"/>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B5B2CB6" w14:textId="66A91407" w:rsidR="00D922F8" w:rsidRPr="00D922F8" w:rsidRDefault="00D922F8" w:rsidP="00D922F8">
            <w:pPr>
              <w:spacing w:after="120" w:line="240" w:lineRule="auto"/>
              <w:jc w:val="both"/>
              <w:rPr>
                <w:rFonts w:ascii="Times New Roman" w:hAnsi="Times New Roman"/>
              </w:rPr>
            </w:pPr>
            <w:r>
              <w:rPr>
                <w:rFonts w:ascii="Times New Roman" w:hAnsi="Times New Roman"/>
              </w:rPr>
              <w:t>In the list below, there are some of the national strategies relevant for this Action:</w:t>
            </w:r>
          </w:p>
          <w:p w14:paraId="15B1A415" w14:textId="77777777" w:rsidR="00D92F6C" w:rsidRPr="00490A07" w:rsidRDefault="0024143B" w:rsidP="004F6D8D">
            <w:pPr>
              <w:pStyle w:val="ListParagraph"/>
              <w:numPr>
                <w:ilvl w:val="0"/>
                <w:numId w:val="5"/>
              </w:numPr>
              <w:spacing w:after="120" w:line="240" w:lineRule="auto"/>
              <w:jc w:val="both"/>
              <w:rPr>
                <w:rFonts w:ascii="Times New Roman" w:hAnsi="Times New Roman"/>
              </w:rPr>
            </w:pPr>
            <w:r w:rsidRPr="00DE79F3">
              <w:rPr>
                <w:rFonts w:ascii="Times New Roman" w:hAnsi="Times New Roman"/>
                <w:bCs/>
                <w:iCs/>
              </w:rPr>
              <w:t xml:space="preserve">Revised </w:t>
            </w:r>
            <w:r w:rsidRPr="00DE79F3">
              <w:rPr>
                <w:rFonts w:ascii="Times New Roman" w:hAnsi="Times New Roman"/>
                <w:bCs/>
              </w:rPr>
              <w:t>Employment and Social Reform Programme 2022</w:t>
            </w:r>
            <w:r w:rsidRPr="00DE79F3">
              <w:rPr>
                <w:rStyle w:val="FootnoteReference"/>
                <w:rFonts w:ascii="Times New Roman" w:hAnsi="Times New Roman"/>
                <w:bCs/>
              </w:rPr>
              <w:footnoteReference w:id="2"/>
            </w:r>
            <w:r w:rsidRPr="00DE79F3">
              <w:rPr>
                <w:rFonts w:ascii="Times New Roman" w:hAnsi="Times New Roman"/>
                <w:bCs/>
              </w:rPr>
              <w:t xml:space="preserve"> (ESRP)</w:t>
            </w:r>
          </w:p>
          <w:p w14:paraId="5AF082E8" w14:textId="33326647" w:rsidR="0024143B" w:rsidRPr="00490A07" w:rsidRDefault="0024143B" w:rsidP="004F6D8D">
            <w:pPr>
              <w:pStyle w:val="ListParagraph"/>
              <w:numPr>
                <w:ilvl w:val="0"/>
                <w:numId w:val="5"/>
              </w:numPr>
              <w:spacing w:after="120" w:line="240" w:lineRule="auto"/>
              <w:jc w:val="both"/>
              <w:rPr>
                <w:rFonts w:ascii="Times New Roman" w:hAnsi="Times New Roman"/>
              </w:rPr>
            </w:pPr>
            <w:r w:rsidRPr="00DE79F3">
              <w:rPr>
                <w:rFonts w:ascii="Times New Roman" w:hAnsi="Times New Roman"/>
                <w:iCs/>
              </w:rPr>
              <w:t>Education Strategy for 2018</w:t>
            </w:r>
            <w:r w:rsidR="004F6D8D" w:rsidRPr="00DE79F3">
              <w:rPr>
                <w:rFonts w:ascii="Times New Roman" w:hAnsi="Times New Roman"/>
                <w:iCs/>
              </w:rPr>
              <w:t>–</w:t>
            </w:r>
            <w:r w:rsidRPr="00DE79F3">
              <w:rPr>
                <w:rFonts w:ascii="Times New Roman" w:hAnsi="Times New Roman"/>
                <w:iCs/>
              </w:rPr>
              <w:t>2025</w:t>
            </w:r>
          </w:p>
          <w:p w14:paraId="57DAF0D8" w14:textId="2F8A9141" w:rsidR="004F6D8D" w:rsidRPr="00490A07" w:rsidRDefault="004F6D8D" w:rsidP="004F6D8D">
            <w:pPr>
              <w:pStyle w:val="ListParagraph"/>
              <w:numPr>
                <w:ilvl w:val="0"/>
                <w:numId w:val="5"/>
              </w:numPr>
              <w:spacing w:after="120" w:line="240" w:lineRule="auto"/>
              <w:jc w:val="both"/>
              <w:rPr>
                <w:rFonts w:ascii="Times New Roman" w:hAnsi="Times New Roman"/>
              </w:rPr>
            </w:pPr>
            <w:r w:rsidRPr="00490A07">
              <w:rPr>
                <w:rFonts w:ascii="Times New Roman" w:hAnsi="Times New Roman"/>
              </w:rPr>
              <w:t xml:space="preserve">Industrial </w:t>
            </w:r>
            <w:r w:rsidR="00340EE0">
              <w:rPr>
                <w:rFonts w:ascii="Times New Roman" w:hAnsi="Times New Roman"/>
              </w:rPr>
              <w:t>P</w:t>
            </w:r>
            <w:r w:rsidRPr="00490A07">
              <w:rPr>
                <w:rFonts w:ascii="Times New Roman" w:hAnsi="Times New Roman"/>
              </w:rPr>
              <w:t xml:space="preserve">olicy 2018-2027 </w:t>
            </w:r>
          </w:p>
          <w:p w14:paraId="05568443" w14:textId="71F32DD2" w:rsidR="004F6D8D" w:rsidRPr="00490A07" w:rsidRDefault="004F6D8D" w:rsidP="004F6D8D">
            <w:pPr>
              <w:pStyle w:val="ListParagraph"/>
              <w:numPr>
                <w:ilvl w:val="0"/>
                <w:numId w:val="5"/>
              </w:numPr>
              <w:spacing w:after="120" w:line="240" w:lineRule="auto"/>
              <w:jc w:val="both"/>
              <w:rPr>
                <w:rFonts w:ascii="Times New Roman" w:hAnsi="Times New Roman"/>
              </w:rPr>
            </w:pPr>
            <w:r w:rsidRPr="00490A07">
              <w:rPr>
                <w:rFonts w:ascii="Times New Roman" w:hAnsi="Times New Roman"/>
              </w:rPr>
              <w:t xml:space="preserve">Strategy for SME </w:t>
            </w:r>
            <w:r w:rsidR="00340EE0">
              <w:rPr>
                <w:rFonts w:ascii="Times New Roman" w:hAnsi="Times New Roman"/>
              </w:rPr>
              <w:t>D</w:t>
            </w:r>
            <w:r w:rsidRPr="00490A07">
              <w:rPr>
                <w:rFonts w:ascii="Times New Roman" w:hAnsi="Times New Roman"/>
              </w:rPr>
              <w:t>evelopment 2018-2023</w:t>
            </w:r>
          </w:p>
          <w:p w14:paraId="631CA021" w14:textId="1931CEDF" w:rsidR="004F6D8D" w:rsidRPr="00490A07" w:rsidRDefault="004F6D8D" w:rsidP="004F6D8D">
            <w:pPr>
              <w:pStyle w:val="ListParagraph"/>
              <w:numPr>
                <w:ilvl w:val="0"/>
                <w:numId w:val="5"/>
              </w:numPr>
              <w:spacing w:after="120" w:line="240" w:lineRule="auto"/>
              <w:jc w:val="both"/>
              <w:rPr>
                <w:rFonts w:ascii="Times New Roman" w:hAnsi="Times New Roman"/>
              </w:rPr>
            </w:pPr>
            <w:r w:rsidRPr="00490A07">
              <w:rPr>
                <w:rFonts w:ascii="Times New Roman" w:hAnsi="Times New Roman"/>
              </w:rPr>
              <w:t xml:space="preserve">Strategy for </w:t>
            </w:r>
            <w:r w:rsidR="00340EE0">
              <w:rPr>
                <w:rFonts w:ascii="Times New Roman" w:hAnsi="Times New Roman"/>
              </w:rPr>
              <w:t>C</w:t>
            </w:r>
            <w:r w:rsidRPr="00490A07">
              <w:rPr>
                <w:rFonts w:ascii="Times New Roman" w:hAnsi="Times New Roman"/>
              </w:rPr>
              <w:t>ompetitiveness 2015-2020</w:t>
            </w:r>
          </w:p>
          <w:p w14:paraId="7DF920F3" w14:textId="77777777" w:rsidR="00936894" w:rsidRDefault="004F6D8D" w:rsidP="00490A07">
            <w:pPr>
              <w:pStyle w:val="ListParagraph"/>
              <w:numPr>
                <w:ilvl w:val="0"/>
                <w:numId w:val="5"/>
              </w:numPr>
              <w:spacing w:after="120" w:line="240" w:lineRule="auto"/>
              <w:jc w:val="both"/>
              <w:rPr>
                <w:rFonts w:ascii="Times New Roman" w:hAnsi="Times New Roman"/>
              </w:rPr>
            </w:pPr>
            <w:r w:rsidRPr="00490A07">
              <w:rPr>
                <w:rFonts w:ascii="Times New Roman" w:hAnsi="Times New Roman"/>
              </w:rPr>
              <w:t xml:space="preserve">National </w:t>
            </w:r>
            <w:r w:rsidR="00340EE0">
              <w:rPr>
                <w:rFonts w:ascii="Times New Roman" w:hAnsi="Times New Roman"/>
              </w:rPr>
              <w:t>S</w:t>
            </w:r>
            <w:r w:rsidRPr="00490A07">
              <w:rPr>
                <w:rFonts w:ascii="Times New Roman" w:hAnsi="Times New Roman"/>
              </w:rPr>
              <w:t xml:space="preserve">trategy for </w:t>
            </w:r>
            <w:r w:rsidR="00340EE0">
              <w:rPr>
                <w:rFonts w:ascii="Times New Roman" w:hAnsi="Times New Roman"/>
              </w:rPr>
              <w:t>C</w:t>
            </w:r>
            <w:r w:rsidRPr="00490A07">
              <w:rPr>
                <w:rFonts w:ascii="Times New Roman" w:hAnsi="Times New Roman"/>
              </w:rPr>
              <w:t xml:space="preserve">ultural </w:t>
            </w:r>
            <w:r w:rsidR="00340EE0">
              <w:rPr>
                <w:rFonts w:ascii="Times New Roman" w:hAnsi="Times New Roman"/>
              </w:rPr>
              <w:t>D</w:t>
            </w:r>
            <w:r w:rsidRPr="00490A07">
              <w:rPr>
                <w:rFonts w:ascii="Times New Roman" w:hAnsi="Times New Roman"/>
              </w:rPr>
              <w:t>evelopment 2018-2022</w:t>
            </w:r>
            <w:r w:rsidR="00BC52EF">
              <w:rPr>
                <w:rFonts w:ascii="Times New Roman" w:hAnsi="Times New Roman"/>
              </w:rPr>
              <w:t xml:space="preserve"> </w:t>
            </w:r>
          </w:p>
          <w:p w14:paraId="6DA8D8C6" w14:textId="086D5266" w:rsidR="004F6D8D" w:rsidRPr="00490A07" w:rsidRDefault="00936894" w:rsidP="00490A07">
            <w:pPr>
              <w:pStyle w:val="ListParagraph"/>
              <w:numPr>
                <w:ilvl w:val="0"/>
                <w:numId w:val="5"/>
              </w:numPr>
              <w:spacing w:after="120" w:line="240" w:lineRule="auto"/>
              <w:jc w:val="both"/>
              <w:rPr>
                <w:rFonts w:ascii="Times New Roman" w:hAnsi="Times New Roman"/>
              </w:rPr>
            </w:pPr>
            <w:r w:rsidRPr="00936894">
              <w:rPr>
                <w:rFonts w:ascii="Times New Roman" w:hAnsi="Times New Roman"/>
              </w:rPr>
              <w:t>Strategic Plan of Customs Administration of the Republic of North Macedonia 2020-2022</w:t>
            </w:r>
            <w:r>
              <w:rPr>
                <w:rFonts w:ascii="Arial" w:hAnsi="Arial" w:cs="Arial"/>
                <w:b/>
              </w:rPr>
              <w:t xml:space="preserve"> </w:t>
            </w:r>
            <w:r w:rsidR="00BC52EF">
              <w:rPr>
                <w:rFonts w:ascii="Times New Roman" w:hAnsi="Times New Roman"/>
              </w:rPr>
              <w:t>etc.</w:t>
            </w:r>
          </w:p>
        </w:tc>
      </w:tr>
      <w:tr w:rsidR="00D92F6C" w:rsidRPr="000C315D" w14:paraId="06F014E3" w14:textId="77777777" w:rsidTr="00DE79F3">
        <w:trPr>
          <w:jc w:val="center"/>
        </w:trPr>
        <w:tc>
          <w:tcPr>
            <w:tcW w:w="534" w:type="dxa"/>
            <w:vMerge/>
            <w:tcBorders>
              <w:left w:val="single" w:sz="4" w:space="0" w:color="auto"/>
              <w:right w:val="single" w:sz="4" w:space="0" w:color="auto"/>
            </w:tcBorders>
          </w:tcPr>
          <w:p w14:paraId="34A6063F" w14:textId="77777777" w:rsidR="00D92F6C" w:rsidRPr="000C315D" w:rsidRDefault="00D92F6C" w:rsidP="00DE79F3">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4A6193" w14:textId="430A50F8" w:rsidR="00D92F6C" w:rsidRPr="00967536" w:rsidRDefault="00D92F6C" w:rsidP="00DE79F3">
            <w:pPr>
              <w:rPr>
                <w:rFonts w:ascii="Times New Roman" w:hAnsi="Times New Roman"/>
              </w:rPr>
            </w:pPr>
            <w:r w:rsidRPr="00490A07">
              <w:rPr>
                <w:rFonts w:ascii="Times New Roman" w:hAnsi="Times New Roman"/>
              </w:rPr>
              <w:t xml:space="preserve">Coherence </w:t>
            </w:r>
            <w:r w:rsidR="00340EE0" w:rsidRPr="00340EE0">
              <w:rPr>
                <w:rFonts w:ascii="Times New Roman" w:hAnsi="Times New Roman"/>
              </w:rPr>
              <w:t>with the</w:t>
            </w:r>
            <w:r w:rsidRPr="00967536">
              <w:rPr>
                <w:rFonts w:ascii="Times New Roman" w:hAnsi="Times New Roman"/>
              </w:rPr>
              <w:t xml:space="preserv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08E1CB5" w14:textId="5DD1904E" w:rsidR="00D92F6C" w:rsidRPr="00490A07" w:rsidRDefault="00490A07" w:rsidP="007F42E9">
            <w:pPr>
              <w:spacing w:after="120" w:line="240" w:lineRule="auto"/>
              <w:jc w:val="both"/>
              <w:rPr>
                <w:rFonts w:ascii="Times New Roman" w:hAnsi="Times New Roman"/>
              </w:rPr>
            </w:pPr>
            <w:r>
              <w:rPr>
                <w:rFonts w:ascii="Times New Roman" w:hAnsi="Times New Roman"/>
              </w:rPr>
              <w:t>Some</w:t>
            </w:r>
            <w:r w:rsidR="00340EE0">
              <w:rPr>
                <w:rFonts w:ascii="Times New Roman" w:hAnsi="Times New Roman"/>
              </w:rPr>
              <w:t xml:space="preserve"> Sector Working Groups (SWGs) will be involved in the implementation of this Action taking into consideration the crosscutting aspects of the fields and sectors of the Action. Thus, the Action will contribute to improv</w:t>
            </w:r>
            <w:r w:rsidR="007F42E9">
              <w:rPr>
                <w:rFonts w:ascii="Times New Roman" w:hAnsi="Times New Roman"/>
              </w:rPr>
              <w:t>ing</w:t>
            </w:r>
            <w:r w:rsidR="00340EE0">
              <w:rPr>
                <w:rFonts w:ascii="Times New Roman" w:hAnsi="Times New Roman"/>
              </w:rPr>
              <w:t xml:space="preserve"> the relevant strategic framework in the sectors and </w:t>
            </w:r>
            <w:r w:rsidR="00945869">
              <w:rPr>
                <w:rFonts w:ascii="Times New Roman" w:hAnsi="Times New Roman"/>
              </w:rPr>
              <w:t xml:space="preserve">will </w:t>
            </w:r>
            <w:r w:rsidR="00340EE0">
              <w:rPr>
                <w:rFonts w:ascii="Times New Roman" w:hAnsi="Times New Roman"/>
              </w:rPr>
              <w:t xml:space="preserve">serve as one of the platform </w:t>
            </w:r>
            <w:r w:rsidR="007F42E9">
              <w:rPr>
                <w:rFonts w:ascii="Times New Roman" w:hAnsi="Times New Roman"/>
              </w:rPr>
              <w:t xml:space="preserve">for </w:t>
            </w:r>
            <w:r w:rsidR="00340EE0">
              <w:rPr>
                <w:rFonts w:ascii="Times New Roman" w:hAnsi="Times New Roman"/>
              </w:rPr>
              <w:t xml:space="preserve">discussion and debate </w:t>
            </w:r>
            <w:r w:rsidR="007F42E9">
              <w:rPr>
                <w:rFonts w:ascii="Times New Roman" w:hAnsi="Times New Roman"/>
              </w:rPr>
              <w:t xml:space="preserve">of </w:t>
            </w:r>
            <w:r w:rsidR="00340EE0">
              <w:rPr>
                <w:rFonts w:ascii="Times New Roman" w:hAnsi="Times New Roman"/>
              </w:rPr>
              <w:t xml:space="preserve">the </w:t>
            </w:r>
            <w:r w:rsidR="00945869">
              <w:rPr>
                <w:rFonts w:ascii="Times New Roman" w:hAnsi="Times New Roman"/>
              </w:rPr>
              <w:t>economic and social</w:t>
            </w:r>
            <w:r w:rsidR="00340EE0">
              <w:rPr>
                <w:rFonts w:ascii="Times New Roman" w:hAnsi="Times New Roman"/>
              </w:rPr>
              <w:t xml:space="preserve"> implications of the </w:t>
            </w:r>
            <w:r w:rsidR="00945869">
              <w:rPr>
                <w:rFonts w:ascii="Times New Roman" w:hAnsi="Times New Roman"/>
              </w:rPr>
              <w:t>integration</w:t>
            </w:r>
            <w:r w:rsidR="00340EE0">
              <w:rPr>
                <w:rFonts w:ascii="Times New Roman" w:hAnsi="Times New Roman"/>
              </w:rPr>
              <w:t xml:space="preserve"> process, including public institutions</w:t>
            </w:r>
            <w:r w:rsidR="00945869">
              <w:rPr>
                <w:rFonts w:ascii="Times New Roman" w:hAnsi="Times New Roman"/>
              </w:rPr>
              <w:t>,</w:t>
            </w:r>
            <w:r w:rsidR="00340EE0">
              <w:rPr>
                <w:rFonts w:ascii="Times New Roman" w:hAnsi="Times New Roman"/>
              </w:rPr>
              <w:t xml:space="preserve"> donors and civil society organisations.</w:t>
            </w:r>
            <w:r>
              <w:rPr>
                <w:rFonts w:ascii="Times New Roman" w:hAnsi="Times New Roman"/>
              </w:rPr>
              <w:t xml:space="preserve"> The most relevant SWGs</w:t>
            </w:r>
            <w:r w:rsidR="00967536">
              <w:rPr>
                <w:rFonts w:ascii="Times New Roman" w:hAnsi="Times New Roman"/>
              </w:rPr>
              <w:t xml:space="preserve"> involved in this Action are the following: SWG E</w:t>
            </w:r>
            <w:r w:rsidR="00D922F8">
              <w:rPr>
                <w:rFonts w:ascii="Times New Roman" w:hAnsi="Times New Roman"/>
              </w:rPr>
              <w:t xml:space="preserve">ducation, </w:t>
            </w:r>
            <w:r w:rsidR="00967536">
              <w:rPr>
                <w:rFonts w:ascii="Times New Roman" w:hAnsi="Times New Roman"/>
              </w:rPr>
              <w:t>E</w:t>
            </w:r>
            <w:r w:rsidR="00D922F8">
              <w:rPr>
                <w:rFonts w:ascii="Times New Roman" w:hAnsi="Times New Roman"/>
              </w:rPr>
              <w:t xml:space="preserve">mployment and </w:t>
            </w:r>
            <w:r w:rsidR="00967536">
              <w:rPr>
                <w:rFonts w:ascii="Times New Roman" w:hAnsi="Times New Roman"/>
              </w:rPr>
              <w:t>S</w:t>
            </w:r>
            <w:r w:rsidR="00D922F8">
              <w:rPr>
                <w:rFonts w:ascii="Times New Roman" w:hAnsi="Times New Roman"/>
              </w:rPr>
              <w:t xml:space="preserve">ocial </w:t>
            </w:r>
            <w:r w:rsidR="00967536">
              <w:rPr>
                <w:rFonts w:ascii="Times New Roman" w:hAnsi="Times New Roman"/>
              </w:rPr>
              <w:t>P</w:t>
            </w:r>
            <w:r w:rsidR="00D922F8">
              <w:rPr>
                <w:rFonts w:ascii="Times New Roman" w:hAnsi="Times New Roman"/>
              </w:rPr>
              <w:t>olicy</w:t>
            </w:r>
            <w:r w:rsidR="00967536">
              <w:rPr>
                <w:rFonts w:ascii="Times New Roman" w:hAnsi="Times New Roman"/>
              </w:rPr>
              <w:t xml:space="preserve"> and SWG </w:t>
            </w:r>
            <w:r w:rsidR="00D922F8">
              <w:rPr>
                <w:rFonts w:ascii="Times New Roman" w:hAnsi="Times New Roman"/>
              </w:rPr>
              <w:t>Competitiveness and Innovation</w:t>
            </w:r>
            <w:r w:rsidR="00967536">
              <w:rPr>
                <w:rFonts w:ascii="Times New Roman" w:hAnsi="Times New Roman"/>
              </w:rPr>
              <w:t xml:space="preserve">. </w:t>
            </w:r>
          </w:p>
        </w:tc>
      </w:tr>
      <w:tr w:rsidR="00D92F6C" w:rsidRPr="000C315D" w14:paraId="62678C81" w14:textId="77777777" w:rsidTr="00DE79F3">
        <w:trPr>
          <w:jc w:val="center"/>
        </w:trPr>
        <w:tc>
          <w:tcPr>
            <w:tcW w:w="534" w:type="dxa"/>
            <w:vMerge/>
            <w:tcBorders>
              <w:left w:val="single" w:sz="4" w:space="0" w:color="auto"/>
              <w:bottom w:val="single" w:sz="4" w:space="0" w:color="auto"/>
              <w:right w:val="single" w:sz="4" w:space="0" w:color="auto"/>
            </w:tcBorders>
          </w:tcPr>
          <w:p w14:paraId="435E06BB" w14:textId="77777777" w:rsidR="00D92F6C" w:rsidRPr="000C315D" w:rsidRDefault="00D92F6C" w:rsidP="00DE79F3">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9350B9A" w14:textId="77777777" w:rsidR="00D92F6C" w:rsidRPr="00490A07" w:rsidRDefault="00D92F6C" w:rsidP="00DE79F3">
            <w:pPr>
              <w:rPr>
                <w:rFonts w:ascii="Times New Roman" w:hAnsi="Times New Roman"/>
              </w:rPr>
            </w:pPr>
            <w:r w:rsidRPr="00490A07">
              <w:rPr>
                <w:rFonts w:ascii="Times New Roman" w:hAnsi="Times New Roman"/>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7809410" w14:textId="59780DFF" w:rsidR="00940C53" w:rsidRDefault="00940C53" w:rsidP="00940C53">
            <w:pPr>
              <w:spacing w:after="120" w:line="240" w:lineRule="auto"/>
              <w:jc w:val="both"/>
              <w:rPr>
                <w:rFonts w:ascii="Times New Roman" w:hAnsi="Times New Roman"/>
                <w:iCs/>
              </w:rPr>
            </w:pPr>
            <w:r>
              <w:rPr>
                <w:rFonts w:ascii="Times New Roman" w:hAnsi="Times New Roman"/>
              </w:rPr>
              <w:t xml:space="preserve">The objectives of </w:t>
            </w:r>
            <w:r>
              <w:rPr>
                <w:rFonts w:ascii="Times New Roman" w:hAnsi="Times New Roman"/>
                <w:b/>
              </w:rPr>
              <w:t>2030 Agenda for Sustainable Development</w:t>
            </w:r>
            <w:r>
              <w:rPr>
                <w:rFonts w:ascii="Times New Roman" w:hAnsi="Times New Roman"/>
              </w:rPr>
              <w:t>, under thematic priority Education, employment, social protection and inclusion policies, and health; and Private sector development, trade, research and innovation</w:t>
            </w:r>
            <w:r>
              <w:rPr>
                <w:rFonts w:ascii="Times New Roman" w:hAnsi="Times New Roman"/>
                <w:b/>
                <w:bCs/>
                <w:i/>
                <w:iCs/>
              </w:rPr>
              <w:t xml:space="preserve"> </w:t>
            </w:r>
            <w:r>
              <w:rPr>
                <w:rFonts w:ascii="Times New Roman" w:hAnsi="Times New Roman"/>
                <w:iCs/>
              </w:rPr>
              <w:t>have been embraced by the country. More specifically, North Macedonia implements priority 1. No poverty; priority 3: good health and well-being; priority 4: quality education; priority 5: gender equality and priority 8: decent work and economic growth;</w:t>
            </w:r>
            <w:r w:rsidRPr="00C72259">
              <w:rPr>
                <w:rFonts w:ascii="Times New Roman" w:hAnsi="Times New Roman"/>
                <w:iCs/>
              </w:rPr>
              <w:t xml:space="preserve"> 9: industry, economy and infrastructure; 10: reduced inequalities; 12: responsible consumption and production.</w:t>
            </w:r>
          </w:p>
          <w:p w14:paraId="530ADA5A" w14:textId="140C96A7" w:rsidR="00D92F6C" w:rsidRPr="00D922F8" w:rsidRDefault="00940C53" w:rsidP="00D922F8">
            <w:pPr>
              <w:spacing w:before="120" w:after="0" w:line="240" w:lineRule="auto"/>
              <w:jc w:val="both"/>
              <w:rPr>
                <w:rFonts w:ascii="Times New Roman" w:hAnsi="Times New Roman"/>
              </w:rPr>
            </w:pPr>
            <w:r>
              <w:rPr>
                <w:rFonts w:ascii="Times New Roman" w:hAnsi="Times New Roman"/>
              </w:rPr>
              <w:t xml:space="preserve">The objectives of the education and social policy of North Macedonia are in harmony with the </w:t>
            </w:r>
            <w:r>
              <w:rPr>
                <w:rFonts w:ascii="Times New Roman" w:hAnsi="Times New Roman"/>
                <w:b/>
                <w:bCs/>
              </w:rPr>
              <w:t>European Green Deal,</w:t>
            </w:r>
            <w:r>
              <w:rPr>
                <w:rFonts w:ascii="Times New Roman" w:hAnsi="Times New Roman"/>
              </w:rPr>
              <w:t xml:space="preserve"> which aims to put the European economy and society on a more sustainable path; to transform Europe towards climate friendly industries and clean technologies. The Green Deal intends to change nearly every major aspect of life, including education and training; help Europe’s workforce to acquire the skills they need to transfer from declining sectors to growing sectors and to adapt to new processes, to enhance employability in the green economy. North Macedonia also aims to have modern education programmes for equipping future generations with knowledge, skills and competences in accordance with the needs the new challenges in the global scientific technological environment and to improve conditions for life, work and social conditions for all citizens. </w:t>
            </w:r>
          </w:p>
        </w:tc>
      </w:tr>
      <w:tr w:rsidR="00D92F6C" w:rsidRPr="0099611C" w14:paraId="2BB67C1B" w14:textId="77777777" w:rsidTr="00DE79F3">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9861A96" w14:textId="77777777" w:rsidR="00D92F6C" w:rsidRPr="00490A07" w:rsidRDefault="00D92F6C" w:rsidP="00DE79F3">
            <w:pPr>
              <w:rPr>
                <w:rFonts w:ascii="Times New Roman" w:hAnsi="Times New Roman"/>
              </w:rPr>
            </w:pPr>
            <w:r w:rsidRPr="00490A07">
              <w:rPr>
                <w:rFonts w:ascii="Times New Roman" w:hAnsi="Times New Roman"/>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8B6D1A5" w14:textId="6BBDCF09" w:rsidR="00985166" w:rsidRPr="0099611C" w:rsidRDefault="00985166" w:rsidP="00DE79F3">
            <w:pPr>
              <w:spacing w:after="120" w:line="240" w:lineRule="auto"/>
              <w:jc w:val="both"/>
              <w:rPr>
                <w:rFonts w:ascii="Times New Roman" w:hAnsi="Times New Roman"/>
                <w:i/>
                <w:lang w:val="fr-BE"/>
              </w:rPr>
            </w:pPr>
            <w:r w:rsidRPr="0099611C">
              <w:rPr>
                <w:rFonts w:ascii="Times New Roman" w:hAnsi="Times New Roman"/>
                <w:i/>
                <w:lang w:val="fr-BE"/>
              </w:rPr>
              <w:t xml:space="preserve">Total allocation </w:t>
            </w:r>
            <w:r w:rsidR="00857126" w:rsidRPr="0099611C">
              <w:rPr>
                <w:rFonts w:ascii="Times New Roman" w:hAnsi="Times New Roman"/>
                <w:i/>
                <w:lang w:val="fr-BE"/>
              </w:rPr>
              <w:t xml:space="preserve">: </w:t>
            </w:r>
            <w:r w:rsidRPr="0099611C">
              <w:rPr>
                <w:rFonts w:ascii="Times New Roman" w:hAnsi="Times New Roman"/>
                <w:i/>
                <w:lang w:val="fr-BE"/>
              </w:rPr>
              <w:t>EUR</w:t>
            </w:r>
            <w:r w:rsidR="00936894" w:rsidRPr="0099611C">
              <w:rPr>
                <w:rFonts w:ascii="Times New Roman" w:hAnsi="Times New Roman"/>
                <w:i/>
                <w:lang w:val="fr-BE"/>
              </w:rPr>
              <w:t xml:space="preserve"> </w:t>
            </w:r>
            <w:r w:rsidR="00857126" w:rsidRPr="0099611C">
              <w:rPr>
                <w:rFonts w:ascii="Times New Roman" w:hAnsi="Times New Roman"/>
                <w:i/>
                <w:lang w:val="fr-BE"/>
              </w:rPr>
              <w:t>15,400,000</w:t>
            </w:r>
          </w:p>
          <w:p w14:paraId="48958906" w14:textId="56DB673D" w:rsidR="00D92F6C" w:rsidRPr="0099611C" w:rsidRDefault="00985166" w:rsidP="0099611C">
            <w:pPr>
              <w:spacing w:after="120" w:line="240" w:lineRule="auto"/>
              <w:jc w:val="both"/>
              <w:rPr>
                <w:rFonts w:ascii="Times New Roman" w:hAnsi="Times New Roman"/>
                <w:i/>
                <w:lang w:val="fr-BE"/>
              </w:rPr>
            </w:pPr>
            <w:r w:rsidRPr="0099611C">
              <w:rPr>
                <w:rFonts w:ascii="Times New Roman" w:hAnsi="Times New Roman"/>
                <w:i/>
                <w:lang w:val="fr-BE"/>
              </w:rPr>
              <w:t>IPA contribution</w:t>
            </w:r>
            <w:r w:rsidR="00857126" w:rsidRPr="0099611C">
              <w:rPr>
                <w:rFonts w:ascii="Times New Roman" w:hAnsi="Times New Roman"/>
                <w:i/>
                <w:lang w:val="fr-BE"/>
              </w:rPr>
              <w:t xml:space="preserve"> : EUR 7,700,000</w:t>
            </w:r>
          </w:p>
        </w:tc>
      </w:tr>
      <w:tr w:rsidR="00D92F6C" w:rsidRPr="000C315D" w14:paraId="65E48CA3" w14:textId="77777777" w:rsidTr="00DE79F3">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12C3D1E2" w14:textId="77777777" w:rsidR="00D92F6C" w:rsidRPr="00490A07" w:rsidRDefault="00D92F6C" w:rsidP="00DE79F3">
            <w:pPr>
              <w:rPr>
                <w:rFonts w:ascii="Times New Roman" w:hAnsi="Times New Roman"/>
              </w:rPr>
            </w:pPr>
            <w:r w:rsidRPr="00490A07">
              <w:rPr>
                <w:rFonts w:ascii="Times New Roman" w:hAnsi="Times New Roman"/>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D5775CF" w14:textId="77777777" w:rsidR="004A3AA0" w:rsidRPr="00490A07" w:rsidRDefault="004A3AA0" w:rsidP="004A3AA0">
            <w:pPr>
              <w:autoSpaceDE w:val="0"/>
              <w:autoSpaceDN w:val="0"/>
              <w:adjustRightInd w:val="0"/>
              <w:spacing w:before="60" w:after="60"/>
              <w:rPr>
                <w:rFonts w:ascii="Times New Roman" w:hAnsi="Times New Roman"/>
              </w:rPr>
            </w:pPr>
            <w:r w:rsidRPr="00490A07">
              <w:rPr>
                <w:rFonts w:ascii="Times New Roman" w:hAnsi="Times New Roman"/>
              </w:rPr>
              <w:t xml:space="preserve">Indirect management </w:t>
            </w:r>
          </w:p>
          <w:p w14:paraId="1F4F7492" w14:textId="77777777" w:rsidR="004A3AA0" w:rsidRPr="00490A07" w:rsidRDefault="004A3AA0" w:rsidP="00D922F8">
            <w:pPr>
              <w:autoSpaceDE w:val="0"/>
              <w:autoSpaceDN w:val="0"/>
              <w:adjustRightInd w:val="0"/>
              <w:spacing w:before="60" w:after="60"/>
              <w:jc w:val="both"/>
              <w:rPr>
                <w:rFonts w:ascii="Times New Roman" w:hAnsi="Times New Roman"/>
              </w:rPr>
            </w:pPr>
            <w:r w:rsidRPr="00490A07">
              <w:rPr>
                <w:rFonts w:ascii="Times New Roman" w:hAnsi="Times New Roman"/>
              </w:rPr>
              <w:t>The IPA Funds Management Department (Management Structure) is responsible for financial implementation of the Union Programmes.</w:t>
            </w:r>
          </w:p>
          <w:p w14:paraId="4637CDF2" w14:textId="77777777" w:rsidR="004A3AA0" w:rsidRPr="00490A07" w:rsidRDefault="004A3AA0" w:rsidP="004A3AA0">
            <w:pPr>
              <w:spacing w:after="120" w:line="240" w:lineRule="auto"/>
              <w:jc w:val="both"/>
              <w:rPr>
                <w:rFonts w:ascii="Times New Roman" w:hAnsi="Times New Roman"/>
                <w:i/>
              </w:rPr>
            </w:pPr>
            <w:r w:rsidRPr="00490A07">
              <w:rPr>
                <w:rFonts w:ascii="Times New Roman" w:hAnsi="Times New Roman"/>
              </w:rPr>
              <w:t>The NIPAC Office is responsible for overall coordination of and reporting on the Union Programmes.</w:t>
            </w:r>
          </w:p>
        </w:tc>
      </w:tr>
      <w:tr w:rsidR="00D92F6C" w:rsidRPr="000C315D" w14:paraId="793FA9FE" w14:textId="77777777" w:rsidTr="00DE79F3">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0BF42D3F" w14:textId="3A146D32" w:rsidR="00D92F6C" w:rsidRPr="00490A07" w:rsidRDefault="00D92F6C" w:rsidP="0099611C">
            <w:pPr>
              <w:rPr>
                <w:rFonts w:ascii="Times New Roman" w:hAnsi="Times New Roman"/>
              </w:rPr>
            </w:pPr>
            <w:r w:rsidRPr="00490A07">
              <w:rPr>
                <w:rFonts w:ascii="Times New Roman" w:hAnsi="Times New Roman"/>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178902C" w14:textId="77C727BF" w:rsidR="00D92F6C" w:rsidRPr="00490A07" w:rsidRDefault="0099611C" w:rsidP="00DE79F3">
            <w:pPr>
              <w:spacing w:after="120" w:line="240" w:lineRule="auto"/>
              <w:jc w:val="both"/>
              <w:rPr>
                <w:rFonts w:ascii="Times New Roman" w:hAnsi="Times New Roman"/>
                <w:i/>
              </w:rPr>
            </w:pPr>
            <w:r>
              <w:rPr>
                <w:rFonts w:ascii="Times New Roman" w:hAnsi="Times New Roman"/>
                <w:i/>
              </w:rPr>
              <w:t>NA</w:t>
            </w:r>
          </w:p>
        </w:tc>
      </w:tr>
    </w:tbl>
    <w:p w14:paraId="1A697674" w14:textId="77777777" w:rsidR="00D92F6C" w:rsidRPr="000C315D" w:rsidRDefault="00D92F6C" w:rsidP="00D92F6C">
      <w:pPr>
        <w:spacing w:after="0" w:line="240" w:lineRule="auto"/>
        <w:jc w:val="both"/>
        <w:rPr>
          <w:rFonts w:ascii="Arial" w:hAnsi="Arial" w:cs="Arial"/>
          <w:i/>
          <w:sz w:val="20"/>
          <w:szCs w:val="20"/>
        </w:rPr>
        <w:sectPr w:rsidR="00D92F6C" w:rsidRPr="000C315D" w:rsidSect="0099611C">
          <w:pgSz w:w="11906" w:h="16838"/>
          <w:pgMar w:top="1134" w:right="1440" w:bottom="1440" w:left="1440" w:header="708" w:footer="708" w:gutter="0"/>
          <w:cols w:space="708"/>
          <w:docGrid w:linePitch="360"/>
        </w:sectPr>
      </w:pPr>
    </w:p>
    <w:p w14:paraId="5AF1F94F" w14:textId="77777777" w:rsidR="00D92F6C" w:rsidRPr="000C315D" w:rsidRDefault="00D92F6C" w:rsidP="00D92F6C">
      <w:pPr>
        <w:rPr>
          <w:rFonts w:ascii="Arial" w:hAnsi="Arial" w:cs="Arial"/>
          <w:bCs/>
          <w:smallCaps/>
          <w:lang w:val="fr-FR"/>
        </w:rPr>
      </w:pPr>
      <w:bookmarkStart w:id="2" w:name="_Toc33698402"/>
      <w:r w:rsidRPr="000C315D">
        <w:rPr>
          <w:rFonts w:ascii="Arial" w:hAnsi="Arial" w:cs="Arial"/>
          <w:b/>
          <w:bCs/>
          <w:smallCaps/>
          <w:sz w:val="24"/>
          <w:szCs w:val="20"/>
          <w:lang w:val="fr-FR"/>
        </w:rPr>
        <w:lastRenderedPageBreak/>
        <w:t>LOGICAL FRAMEWORK MATRIX [2 PAGES MAXIMUM]</w:t>
      </w:r>
      <w:bookmarkEnd w:id="2"/>
    </w:p>
    <w:tbl>
      <w:tblPr>
        <w:tblW w:w="1530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969"/>
        <w:gridCol w:w="1419"/>
        <w:gridCol w:w="1418"/>
        <w:gridCol w:w="1481"/>
        <w:gridCol w:w="1778"/>
        <w:gridCol w:w="1842"/>
      </w:tblGrid>
      <w:tr w:rsidR="00D92F6C" w:rsidRPr="00AE0E82" w14:paraId="0748548E" w14:textId="77777777" w:rsidTr="007D1CF9">
        <w:trPr>
          <w:trHeight w:val="1145"/>
        </w:trPr>
        <w:tc>
          <w:tcPr>
            <w:tcW w:w="3402" w:type="dxa"/>
            <w:shd w:val="clear" w:color="auto" w:fill="FFFFFF"/>
            <w:vAlign w:val="center"/>
          </w:tcPr>
          <w:p w14:paraId="0FF63C3F" w14:textId="77777777" w:rsidR="00D92F6C" w:rsidRPr="00AE0E82" w:rsidRDefault="00D92F6C" w:rsidP="00DE79F3">
            <w:pPr>
              <w:shd w:val="clear" w:color="auto" w:fill="FFFFFF"/>
              <w:spacing w:before="100" w:beforeAutospacing="1" w:after="100" w:afterAutospacing="1"/>
              <w:jc w:val="center"/>
              <w:rPr>
                <w:rFonts w:ascii="Times New Roman" w:hAnsi="Times New Roman"/>
                <w:b/>
                <w:sz w:val="20"/>
                <w:szCs w:val="20"/>
              </w:rPr>
            </w:pPr>
            <w:r w:rsidRPr="00AE0E82">
              <w:rPr>
                <w:rFonts w:ascii="Times New Roman" w:hAnsi="Times New Roman"/>
                <w:b/>
                <w:sz w:val="20"/>
                <w:szCs w:val="20"/>
              </w:rPr>
              <w:t>OVERALL OBJECTIVE(S) / (IMPACT(S))</w:t>
            </w:r>
          </w:p>
        </w:tc>
        <w:tc>
          <w:tcPr>
            <w:tcW w:w="3969" w:type="dxa"/>
            <w:shd w:val="clear" w:color="auto" w:fill="FFFFFF"/>
            <w:vAlign w:val="center"/>
          </w:tcPr>
          <w:p w14:paraId="7471E99E" w14:textId="77777777" w:rsidR="00D92F6C" w:rsidRPr="00AE0E82" w:rsidRDefault="00D92F6C" w:rsidP="00DE79F3">
            <w:pPr>
              <w:shd w:val="clear" w:color="auto" w:fill="FFFFFF"/>
              <w:spacing w:after="0"/>
              <w:jc w:val="center"/>
              <w:rPr>
                <w:rFonts w:ascii="Times New Roman" w:hAnsi="Times New Roman"/>
                <w:b/>
                <w:sz w:val="20"/>
                <w:szCs w:val="20"/>
              </w:rPr>
            </w:pPr>
            <w:r w:rsidRPr="00AE0E82">
              <w:rPr>
                <w:rFonts w:ascii="Times New Roman" w:hAnsi="Times New Roman"/>
                <w:b/>
                <w:sz w:val="20"/>
                <w:szCs w:val="20"/>
              </w:rPr>
              <w:t>OBJECTIVELY VERIFIABLE INDICATORS</w:t>
            </w:r>
          </w:p>
          <w:p w14:paraId="511C3D18" w14:textId="06869826" w:rsidR="00D92F6C" w:rsidRPr="00AE0E82" w:rsidRDefault="00D92F6C" w:rsidP="00DE79F3">
            <w:pPr>
              <w:shd w:val="clear" w:color="auto" w:fill="FFFFFF"/>
              <w:spacing w:after="0"/>
              <w:jc w:val="center"/>
              <w:rPr>
                <w:rFonts w:ascii="Times New Roman" w:hAnsi="Times New Roman"/>
                <w:b/>
                <w:sz w:val="20"/>
                <w:szCs w:val="20"/>
              </w:rPr>
            </w:pPr>
          </w:p>
        </w:tc>
        <w:tc>
          <w:tcPr>
            <w:tcW w:w="1419" w:type="dxa"/>
            <w:shd w:val="clear" w:color="auto" w:fill="FFFFFF"/>
            <w:vAlign w:val="center"/>
          </w:tcPr>
          <w:p w14:paraId="4360B4BC" w14:textId="77777777" w:rsidR="00D92F6C" w:rsidRPr="00AE0E82" w:rsidRDefault="00D92F6C" w:rsidP="00DE79F3">
            <w:pPr>
              <w:shd w:val="clear" w:color="auto" w:fill="FFFFFF"/>
              <w:jc w:val="center"/>
              <w:rPr>
                <w:rFonts w:ascii="Times New Roman" w:hAnsi="Times New Roman"/>
                <w:b/>
                <w:sz w:val="20"/>
                <w:szCs w:val="20"/>
              </w:rPr>
            </w:pPr>
            <w:r w:rsidRPr="00AE0E82">
              <w:rPr>
                <w:rFonts w:ascii="Times New Roman" w:hAnsi="Times New Roman"/>
                <w:b/>
                <w:sz w:val="20"/>
                <w:szCs w:val="20"/>
              </w:rPr>
              <w:t>BASELINES</w:t>
            </w:r>
          </w:p>
          <w:p w14:paraId="7002632A" w14:textId="77777777" w:rsidR="00D92F6C" w:rsidRPr="00AE0E82" w:rsidRDefault="00D92F6C" w:rsidP="00DE79F3">
            <w:pPr>
              <w:shd w:val="clear" w:color="auto" w:fill="FFFFFF"/>
              <w:spacing w:after="0"/>
              <w:jc w:val="both"/>
              <w:rPr>
                <w:rFonts w:ascii="Times New Roman" w:hAnsi="Times New Roman"/>
                <w:b/>
                <w:sz w:val="20"/>
                <w:szCs w:val="20"/>
              </w:rPr>
            </w:pPr>
            <w:r w:rsidRPr="00AE0E82">
              <w:rPr>
                <w:rFonts w:ascii="Times New Roman" w:hAnsi="Times New Roman"/>
                <w:b/>
                <w:sz w:val="20"/>
                <w:szCs w:val="20"/>
              </w:rPr>
              <w:t>(INCL. VALUE &amp; REFERENCE YEAR</w:t>
            </w:r>
            <w:r w:rsidRPr="00AE0E82">
              <w:rPr>
                <w:rStyle w:val="FootnoteReference"/>
                <w:rFonts w:ascii="Times New Roman" w:hAnsi="Times New Roman"/>
                <w:b/>
                <w:sz w:val="20"/>
                <w:szCs w:val="20"/>
              </w:rPr>
              <w:footnoteReference w:id="3"/>
            </w:r>
            <w:r w:rsidRPr="00AE0E82">
              <w:rPr>
                <w:rFonts w:ascii="Times New Roman" w:hAnsi="Times New Roman"/>
                <w:b/>
                <w:sz w:val="20"/>
                <w:szCs w:val="20"/>
              </w:rPr>
              <w:t>)</w:t>
            </w:r>
            <w:r w:rsidRPr="00AE0E82" w:rsidDel="00042F9A">
              <w:rPr>
                <w:rFonts w:ascii="Times New Roman" w:hAnsi="Times New Roman"/>
                <w:b/>
                <w:sz w:val="20"/>
                <w:szCs w:val="20"/>
              </w:rPr>
              <w:t xml:space="preserve"> </w:t>
            </w:r>
          </w:p>
        </w:tc>
        <w:tc>
          <w:tcPr>
            <w:tcW w:w="1418" w:type="dxa"/>
            <w:shd w:val="clear" w:color="auto" w:fill="FFFFFF"/>
          </w:tcPr>
          <w:p w14:paraId="26A33E6A" w14:textId="77777777" w:rsidR="00D92F6C" w:rsidRPr="00AE0E82" w:rsidRDefault="00D92F6C" w:rsidP="00DE79F3">
            <w:pPr>
              <w:shd w:val="clear" w:color="auto" w:fill="FFFFFF"/>
              <w:spacing w:after="0"/>
              <w:jc w:val="center"/>
              <w:rPr>
                <w:rFonts w:ascii="Times New Roman" w:hAnsi="Times New Roman"/>
                <w:b/>
                <w:sz w:val="20"/>
                <w:szCs w:val="20"/>
              </w:rPr>
            </w:pPr>
          </w:p>
          <w:p w14:paraId="5F9E4199" w14:textId="77777777" w:rsidR="00D92F6C" w:rsidRPr="00AE0E82" w:rsidRDefault="00D92F6C" w:rsidP="00DE79F3">
            <w:pPr>
              <w:shd w:val="clear" w:color="auto" w:fill="FFFFFF"/>
              <w:spacing w:after="0"/>
              <w:jc w:val="center"/>
              <w:rPr>
                <w:rFonts w:ascii="Times New Roman" w:hAnsi="Times New Roman"/>
                <w:b/>
                <w:sz w:val="20"/>
                <w:szCs w:val="20"/>
              </w:rPr>
            </w:pPr>
            <w:r w:rsidRPr="00AE0E82">
              <w:rPr>
                <w:rFonts w:ascii="Times New Roman" w:hAnsi="Times New Roman"/>
                <w:b/>
                <w:sz w:val="20"/>
                <w:szCs w:val="20"/>
              </w:rPr>
              <w:t>MILESTONES</w:t>
            </w:r>
          </w:p>
          <w:p w14:paraId="5547634C" w14:textId="77777777" w:rsidR="00D92F6C" w:rsidRPr="00AE0E82" w:rsidRDefault="00D92F6C" w:rsidP="00DE79F3">
            <w:pPr>
              <w:shd w:val="clear" w:color="auto" w:fill="FFFFFF"/>
              <w:jc w:val="center"/>
              <w:rPr>
                <w:rFonts w:ascii="Times New Roman" w:hAnsi="Times New Roman"/>
                <w:b/>
                <w:sz w:val="20"/>
                <w:szCs w:val="20"/>
              </w:rPr>
            </w:pPr>
            <w:r w:rsidRPr="00AE0E82">
              <w:rPr>
                <w:rFonts w:ascii="Times New Roman" w:hAnsi="Times New Roman"/>
                <w:b/>
                <w:sz w:val="20"/>
                <w:szCs w:val="20"/>
              </w:rPr>
              <w:t>[OPTIONAL]</w:t>
            </w:r>
          </w:p>
          <w:p w14:paraId="2EB936D9" w14:textId="41B7593A" w:rsidR="00D92F6C" w:rsidRPr="00AE0E82" w:rsidRDefault="00D92F6C" w:rsidP="00DE79F3">
            <w:pPr>
              <w:shd w:val="clear" w:color="auto" w:fill="FFFFFF"/>
              <w:spacing w:after="0"/>
              <w:jc w:val="center"/>
              <w:rPr>
                <w:rFonts w:ascii="Times New Roman" w:hAnsi="Times New Roman"/>
                <w:b/>
                <w:sz w:val="20"/>
                <w:szCs w:val="20"/>
              </w:rPr>
            </w:pPr>
          </w:p>
        </w:tc>
        <w:tc>
          <w:tcPr>
            <w:tcW w:w="1481" w:type="dxa"/>
            <w:shd w:val="clear" w:color="auto" w:fill="FFFFFF"/>
            <w:vAlign w:val="center"/>
          </w:tcPr>
          <w:p w14:paraId="1279ED50" w14:textId="77777777" w:rsidR="00D92F6C" w:rsidRPr="00AE0E82" w:rsidRDefault="00D92F6C" w:rsidP="00DE79F3">
            <w:pPr>
              <w:shd w:val="clear" w:color="auto" w:fill="FFFFFF"/>
              <w:jc w:val="center"/>
              <w:rPr>
                <w:rFonts w:ascii="Times New Roman" w:hAnsi="Times New Roman"/>
                <w:b/>
                <w:sz w:val="20"/>
                <w:szCs w:val="20"/>
              </w:rPr>
            </w:pPr>
            <w:r w:rsidRPr="00AE0E82">
              <w:rPr>
                <w:rFonts w:ascii="Times New Roman" w:hAnsi="Times New Roman"/>
                <w:b/>
                <w:sz w:val="20"/>
                <w:szCs w:val="20"/>
              </w:rPr>
              <w:t>TARGETS</w:t>
            </w:r>
          </w:p>
          <w:p w14:paraId="6A91DEAA" w14:textId="77777777" w:rsidR="00D92F6C" w:rsidRPr="00AE0E82" w:rsidRDefault="00D92F6C" w:rsidP="00DE79F3">
            <w:pPr>
              <w:shd w:val="clear" w:color="auto" w:fill="FFFFFF"/>
              <w:jc w:val="center"/>
              <w:rPr>
                <w:rFonts w:ascii="Times New Roman" w:hAnsi="Times New Roman"/>
                <w:b/>
                <w:sz w:val="20"/>
                <w:szCs w:val="20"/>
              </w:rPr>
            </w:pPr>
            <w:r w:rsidRPr="00AE0E82">
              <w:rPr>
                <w:rFonts w:ascii="Times New Roman" w:hAnsi="Times New Roman"/>
                <w:b/>
                <w:sz w:val="20"/>
                <w:szCs w:val="20"/>
              </w:rPr>
              <w:t>(INCL. VALUE &amp; REFERENCE YEAR)</w:t>
            </w:r>
          </w:p>
        </w:tc>
        <w:tc>
          <w:tcPr>
            <w:tcW w:w="1778" w:type="dxa"/>
            <w:shd w:val="clear" w:color="auto" w:fill="FFFFFF"/>
            <w:vAlign w:val="center"/>
          </w:tcPr>
          <w:p w14:paraId="79182055" w14:textId="77777777" w:rsidR="00D92F6C" w:rsidRPr="00AE0E82" w:rsidRDefault="00D92F6C" w:rsidP="00DE79F3">
            <w:pPr>
              <w:shd w:val="clear" w:color="auto" w:fill="FFFFFF"/>
              <w:spacing w:after="0"/>
              <w:jc w:val="center"/>
              <w:rPr>
                <w:rFonts w:ascii="Times New Roman" w:hAnsi="Times New Roman"/>
                <w:sz w:val="20"/>
                <w:szCs w:val="20"/>
              </w:rPr>
            </w:pPr>
            <w:r w:rsidRPr="00AE0E82">
              <w:rPr>
                <w:rFonts w:ascii="Times New Roman" w:hAnsi="Times New Roman"/>
                <w:b/>
                <w:sz w:val="20"/>
                <w:szCs w:val="20"/>
              </w:rPr>
              <w:t>SOURCES &amp; MEANS OF VERIFICATION</w:t>
            </w:r>
          </w:p>
        </w:tc>
        <w:tc>
          <w:tcPr>
            <w:tcW w:w="1842" w:type="dxa"/>
            <w:vMerge w:val="restart"/>
            <w:tcBorders>
              <w:top w:val="nil"/>
              <w:right w:val="nil"/>
            </w:tcBorders>
            <w:shd w:val="clear" w:color="auto" w:fill="FFFFFF"/>
          </w:tcPr>
          <w:p w14:paraId="2D9D5165" w14:textId="77777777" w:rsidR="00D92F6C" w:rsidRPr="00AE0E82" w:rsidRDefault="00D92F6C" w:rsidP="00DE79F3">
            <w:pPr>
              <w:shd w:val="clear" w:color="auto" w:fill="FFFFFF"/>
              <w:spacing w:after="0"/>
              <w:rPr>
                <w:rFonts w:ascii="Times New Roman" w:hAnsi="Times New Roman"/>
                <w:sz w:val="20"/>
                <w:szCs w:val="20"/>
              </w:rPr>
            </w:pPr>
          </w:p>
        </w:tc>
      </w:tr>
      <w:tr w:rsidR="00D92F6C" w:rsidRPr="00AE0E82" w14:paraId="6128FED2" w14:textId="77777777" w:rsidTr="007D1CF9">
        <w:trPr>
          <w:trHeight w:val="1006"/>
        </w:trPr>
        <w:tc>
          <w:tcPr>
            <w:tcW w:w="3402" w:type="dxa"/>
            <w:shd w:val="clear" w:color="auto" w:fill="FFFFFF"/>
          </w:tcPr>
          <w:p w14:paraId="4B0CFF45" w14:textId="06AF4A81" w:rsidR="00D92F6C" w:rsidRPr="00AE0E82" w:rsidRDefault="00CA1A12" w:rsidP="0099611C">
            <w:pPr>
              <w:shd w:val="clear" w:color="auto" w:fill="FFFFFF"/>
              <w:spacing w:after="0"/>
              <w:rPr>
                <w:rFonts w:ascii="Times New Roman" w:hAnsi="Times New Roman"/>
                <w:sz w:val="20"/>
                <w:szCs w:val="20"/>
              </w:rPr>
            </w:pPr>
            <w:r w:rsidRPr="00AE0E82">
              <w:rPr>
                <w:rFonts w:ascii="Times New Roman" w:hAnsi="Times New Roman"/>
                <w:bCs/>
                <w:iCs/>
                <w:sz w:val="20"/>
                <w:szCs w:val="20"/>
              </w:rPr>
              <w:t>To strengthen exchange between North Macedonia and the EU Member States</w:t>
            </w:r>
            <w:r w:rsidRPr="00AE0E82">
              <w:rPr>
                <w:rFonts w:ascii="Times New Roman" w:hAnsi="Times New Roman"/>
                <w:sz w:val="20"/>
                <w:szCs w:val="20"/>
                <w:lang w:val="mk-MK" w:eastAsia="mk-MK"/>
              </w:rPr>
              <w:t xml:space="preserve"> in </w:t>
            </w:r>
            <w:r w:rsidRPr="00AE0E82">
              <w:rPr>
                <w:rFonts w:ascii="Times New Roman" w:hAnsi="Times New Roman"/>
                <w:sz w:val="20"/>
                <w:szCs w:val="20"/>
                <w:lang w:eastAsia="mk-MK"/>
              </w:rPr>
              <w:t xml:space="preserve">the </w:t>
            </w:r>
            <w:r w:rsidRPr="00AE0E82">
              <w:rPr>
                <w:rFonts w:ascii="Times New Roman" w:hAnsi="Times New Roman"/>
                <w:sz w:val="20"/>
                <w:szCs w:val="20"/>
                <w:lang w:val="mk-MK" w:eastAsia="mk-MK"/>
              </w:rPr>
              <w:t xml:space="preserve">areas </w:t>
            </w:r>
            <w:r w:rsidRPr="00AE0E82">
              <w:rPr>
                <w:rFonts w:ascii="Times New Roman" w:hAnsi="Times New Roman"/>
                <w:sz w:val="20"/>
                <w:szCs w:val="20"/>
                <w:lang w:eastAsia="mk-MK"/>
              </w:rPr>
              <w:t>of</w:t>
            </w:r>
            <w:r w:rsidRPr="00AE0E82">
              <w:rPr>
                <w:rFonts w:ascii="Times New Roman" w:hAnsi="Times New Roman"/>
                <w:sz w:val="20"/>
                <w:szCs w:val="20"/>
                <w:lang w:val="mk-MK" w:eastAsia="mk-MK"/>
              </w:rPr>
              <w:t xml:space="preserve"> </w:t>
            </w:r>
            <w:r w:rsidRPr="00AE0E82">
              <w:rPr>
                <w:rFonts w:ascii="Times New Roman" w:hAnsi="Times New Roman"/>
                <w:sz w:val="20"/>
                <w:szCs w:val="20"/>
                <w:lang w:val="en-US" w:eastAsia="mk-MK"/>
              </w:rPr>
              <w:t>several Union Programmes</w:t>
            </w:r>
          </w:p>
        </w:tc>
        <w:tc>
          <w:tcPr>
            <w:tcW w:w="3969" w:type="dxa"/>
            <w:shd w:val="clear" w:color="auto" w:fill="FFFFFF"/>
          </w:tcPr>
          <w:p w14:paraId="4CA9D28E" w14:textId="77777777" w:rsidR="00D92F6C" w:rsidRPr="00AE0E82" w:rsidRDefault="00DE587F" w:rsidP="00DE79F3">
            <w:pPr>
              <w:shd w:val="clear" w:color="auto" w:fill="FFFFFF"/>
              <w:spacing w:before="60" w:after="0"/>
              <w:rPr>
                <w:rFonts w:ascii="Times New Roman" w:hAnsi="Times New Roman"/>
                <w:sz w:val="20"/>
                <w:szCs w:val="20"/>
              </w:rPr>
            </w:pPr>
            <w:r>
              <w:rPr>
                <w:rFonts w:ascii="Times New Roman" w:hAnsi="Times New Roman"/>
                <w:sz w:val="20"/>
                <w:szCs w:val="20"/>
              </w:rPr>
              <w:t>Percentage of citizens in favour to join the European Union</w:t>
            </w:r>
          </w:p>
        </w:tc>
        <w:tc>
          <w:tcPr>
            <w:tcW w:w="1419" w:type="dxa"/>
            <w:shd w:val="clear" w:color="auto" w:fill="FFFFFF"/>
          </w:tcPr>
          <w:p w14:paraId="49C2C3FF" w14:textId="7E881D93" w:rsidR="00D92F6C" w:rsidRPr="00AE0E82" w:rsidRDefault="00DE587F" w:rsidP="007D1CF9">
            <w:pPr>
              <w:spacing w:before="120" w:after="0" w:line="240" w:lineRule="auto"/>
              <w:jc w:val="both"/>
              <w:rPr>
                <w:rFonts w:ascii="Times New Roman" w:hAnsi="Times New Roman"/>
                <w:sz w:val="20"/>
                <w:szCs w:val="20"/>
              </w:rPr>
            </w:pPr>
            <w:r>
              <w:rPr>
                <w:rFonts w:ascii="Times New Roman" w:hAnsi="Times New Roman"/>
                <w:sz w:val="20"/>
                <w:szCs w:val="20"/>
              </w:rPr>
              <w:t>68% (2019)</w:t>
            </w:r>
          </w:p>
        </w:tc>
        <w:tc>
          <w:tcPr>
            <w:tcW w:w="1418" w:type="dxa"/>
            <w:shd w:val="clear" w:color="auto" w:fill="FFFFFF"/>
          </w:tcPr>
          <w:p w14:paraId="4FE5FB7B" w14:textId="77777777" w:rsidR="00D92F6C" w:rsidRPr="00AE0E82" w:rsidRDefault="00D92F6C" w:rsidP="00DE79F3">
            <w:pPr>
              <w:shd w:val="clear" w:color="auto" w:fill="FFFFFF"/>
              <w:spacing w:before="60" w:after="0"/>
              <w:rPr>
                <w:rFonts w:ascii="Times New Roman" w:hAnsi="Times New Roman"/>
                <w:sz w:val="20"/>
                <w:szCs w:val="20"/>
              </w:rPr>
            </w:pPr>
          </w:p>
        </w:tc>
        <w:tc>
          <w:tcPr>
            <w:tcW w:w="1481" w:type="dxa"/>
            <w:shd w:val="clear" w:color="auto" w:fill="FFFFFF"/>
          </w:tcPr>
          <w:p w14:paraId="44ED8276" w14:textId="77777777" w:rsidR="00D92F6C" w:rsidRPr="00AE0E82" w:rsidRDefault="00DE587F" w:rsidP="00DE79F3">
            <w:pPr>
              <w:shd w:val="clear" w:color="auto" w:fill="FFFFFF"/>
              <w:spacing w:before="60" w:after="0"/>
              <w:rPr>
                <w:rFonts w:ascii="Times New Roman" w:hAnsi="Times New Roman"/>
                <w:sz w:val="20"/>
                <w:szCs w:val="20"/>
              </w:rPr>
            </w:pPr>
            <w:r>
              <w:rPr>
                <w:rFonts w:ascii="Times New Roman" w:hAnsi="Times New Roman"/>
                <w:sz w:val="20"/>
                <w:szCs w:val="20"/>
              </w:rPr>
              <w:t>&gt; 80 (2027)</w:t>
            </w:r>
          </w:p>
        </w:tc>
        <w:tc>
          <w:tcPr>
            <w:tcW w:w="1778" w:type="dxa"/>
            <w:shd w:val="clear" w:color="auto" w:fill="FFFFFF"/>
          </w:tcPr>
          <w:p w14:paraId="66B2CE78" w14:textId="77777777" w:rsidR="00D92F6C" w:rsidRPr="00AE0E82" w:rsidRDefault="00DE587F" w:rsidP="00DE79F3">
            <w:pPr>
              <w:numPr>
                <w:ilvl w:val="12"/>
                <w:numId w:val="0"/>
              </w:numPr>
              <w:shd w:val="clear" w:color="auto" w:fill="FFFFFF"/>
              <w:spacing w:before="60" w:after="0"/>
              <w:rPr>
                <w:rFonts w:ascii="Times New Roman" w:hAnsi="Times New Roman"/>
                <w:sz w:val="20"/>
                <w:szCs w:val="20"/>
              </w:rPr>
            </w:pPr>
            <w:r>
              <w:rPr>
                <w:rFonts w:ascii="Times New Roman" w:hAnsi="Times New Roman"/>
                <w:sz w:val="20"/>
                <w:szCs w:val="20"/>
              </w:rPr>
              <w:t>Eurobarometer</w:t>
            </w:r>
          </w:p>
        </w:tc>
        <w:tc>
          <w:tcPr>
            <w:tcW w:w="1842" w:type="dxa"/>
            <w:vMerge/>
            <w:tcBorders>
              <w:right w:val="nil"/>
            </w:tcBorders>
            <w:shd w:val="clear" w:color="auto" w:fill="FFFFFF"/>
          </w:tcPr>
          <w:p w14:paraId="74A7B71E" w14:textId="77777777" w:rsidR="00D92F6C" w:rsidRPr="00AE0E82" w:rsidRDefault="00D92F6C" w:rsidP="00DE79F3">
            <w:pPr>
              <w:shd w:val="clear" w:color="auto" w:fill="FFFFFF"/>
              <w:spacing w:before="60" w:after="0"/>
              <w:rPr>
                <w:rFonts w:ascii="Times New Roman" w:hAnsi="Times New Roman"/>
                <w:sz w:val="20"/>
                <w:szCs w:val="20"/>
              </w:rPr>
            </w:pPr>
          </w:p>
        </w:tc>
      </w:tr>
      <w:tr w:rsidR="00D92F6C" w:rsidRPr="00AE0E82" w14:paraId="245CD7E9" w14:textId="77777777" w:rsidTr="007D1CF9">
        <w:trPr>
          <w:trHeight w:val="189"/>
        </w:trPr>
        <w:tc>
          <w:tcPr>
            <w:tcW w:w="3402" w:type="dxa"/>
            <w:shd w:val="clear" w:color="auto" w:fill="FFFFFF"/>
          </w:tcPr>
          <w:p w14:paraId="7CC4A11E" w14:textId="77777777" w:rsidR="00D92F6C" w:rsidRPr="00AE0E82" w:rsidRDefault="00D92F6C" w:rsidP="00DE79F3">
            <w:pPr>
              <w:numPr>
                <w:ilvl w:val="12"/>
                <w:numId w:val="0"/>
              </w:numPr>
              <w:shd w:val="clear" w:color="auto" w:fill="FFFFFF"/>
              <w:spacing w:before="100" w:beforeAutospacing="1" w:after="100" w:afterAutospacing="1"/>
              <w:jc w:val="center"/>
              <w:rPr>
                <w:rFonts w:ascii="Times New Roman" w:hAnsi="Times New Roman"/>
                <w:sz w:val="20"/>
                <w:szCs w:val="20"/>
              </w:rPr>
            </w:pPr>
            <w:r w:rsidRPr="00AE0E82">
              <w:rPr>
                <w:rFonts w:ascii="Times New Roman" w:hAnsi="Times New Roman"/>
                <w:b/>
                <w:sz w:val="20"/>
                <w:szCs w:val="20"/>
              </w:rPr>
              <w:t>SPECIFIC OBJECTIVE(S) / OUTCOME(S)</w:t>
            </w:r>
          </w:p>
        </w:tc>
        <w:tc>
          <w:tcPr>
            <w:tcW w:w="3969" w:type="dxa"/>
            <w:shd w:val="clear" w:color="auto" w:fill="FFFFFF"/>
          </w:tcPr>
          <w:p w14:paraId="1E65EC25" w14:textId="77777777" w:rsidR="00D92F6C" w:rsidRPr="00AE0E82" w:rsidRDefault="00D92F6C" w:rsidP="00DE79F3">
            <w:pPr>
              <w:shd w:val="clear" w:color="auto" w:fill="FFFFFF"/>
              <w:spacing w:after="0"/>
              <w:jc w:val="center"/>
              <w:rPr>
                <w:rFonts w:ascii="Times New Roman" w:hAnsi="Times New Roman"/>
                <w:sz w:val="20"/>
                <w:szCs w:val="20"/>
              </w:rPr>
            </w:pPr>
            <w:r w:rsidRPr="00AE0E82">
              <w:rPr>
                <w:rFonts w:ascii="Times New Roman" w:hAnsi="Times New Roman"/>
                <w:b/>
                <w:sz w:val="20"/>
                <w:szCs w:val="20"/>
              </w:rPr>
              <w:t>OBJECTIVELY VERIFIABLE INDICATORS (*)</w:t>
            </w:r>
          </w:p>
        </w:tc>
        <w:tc>
          <w:tcPr>
            <w:tcW w:w="1419" w:type="dxa"/>
            <w:shd w:val="clear" w:color="auto" w:fill="FFFFFF"/>
          </w:tcPr>
          <w:p w14:paraId="4720FED0" w14:textId="77777777" w:rsidR="00D92F6C" w:rsidRPr="00AE0E82" w:rsidRDefault="00D92F6C" w:rsidP="00DE79F3">
            <w:pPr>
              <w:shd w:val="clear" w:color="auto" w:fill="FFFFFF"/>
              <w:spacing w:after="0"/>
              <w:jc w:val="center"/>
              <w:rPr>
                <w:rFonts w:ascii="Times New Roman" w:hAnsi="Times New Roman"/>
                <w:b/>
                <w:sz w:val="20"/>
                <w:szCs w:val="20"/>
              </w:rPr>
            </w:pPr>
            <w:r w:rsidRPr="00AE0E82">
              <w:rPr>
                <w:rFonts w:ascii="Times New Roman" w:hAnsi="Times New Roman"/>
                <w:b/>
                <w:sz w:val="20"/>
                <w:szCs w:val="20"/>
              </w:rPr>
              <w:t>BASELINES</w:t>
            </w:r>
          </w:p>
          <w:p w14:paraId="57DC5451" w14:textId="77777777" w:rsidR="00D92F6C" w:rsidRPr="00AE0E82" w:rsidRDefault="00D92F6C" w:rsidP="00DE79F3">
            <w:pPr>
              <w:shd w:val="clear" w:color="auto" w:fill="FFFFFF"/>
              <w:spacing w:after="0"/>
              <w:ind w:left="-352"/>
              <w:jc w:val="center"/>
              <w:rPr>
                <w:rFonts w:ascii="Times New Roman" w:hAnsi="Times New Roman"/>
                <w:b/>
                <w:sz w:val="20"/>
                <w:szCs w:val="20"/>
              </w:rPr>
            </w:pPr>
          </w:p>
        </w:tc>
        <w:tc>
          <w:tcPr>
            <w:tcW w:w="1418" w:type="dxa"/>
            <w:shd w:val="clear" w:color="auto" w:fill="FFFFFF"/>
          </w:tcPr>
          <w:p w14:paraId="7D0B04BB" w14:textId="49C3EB3F" w:rsidR="00D92F6C" w:rsidRPr="00AE0E82" w:rsidRDefault="00D92F6C" w:rsidP="007D1CF9">
            <w:pPr>
              <w:shd w:val="clear" w:color="auto" w:fill="FFFFFF"/>
              <w:spacing w:after="0"/>
              <w:jc w:val="center"/>
              <w:rPr>
                <w:rFonts w:ascii="Times New Roman" w:hAnsi="Times New Roman"/>
                <w:b/>
                <w:sz w:val="20"/>
                <w:szCs w:val="20"/>
              </w:rPr>
            </w:pPr>
            <w:r w:rsidRPr="00AE0E82">
              <w:rPr>
                <w:rFonts w:ascii="Times New Roman" w:hAnsi="Times New Roman"/>
                <w:b/>
                <w:sz w:val="20"/>
                <w:szCs w:val="20"/>
              </w:rPr>
              <w:t>MILESTONES</w:t>
            </w:r>
          </w:p>
        </w:tc>
        <w:tc>
          <w:tcPr>
            <w:tcW w:w="1481" w:type="dxa"/>
            <w:shd w:val="clear" w:color="auto" w:fill="FFFFFF"/>
          </w:tcPr>
          <w:p w14:paraId="2AC174BE" w14:textId="77777777" w:rsidR="00D92F6C" w:rsidRPr="00AE0E82" w:rsidRDefault="00D92F6C" w:rsidP="00DE79F3">
            <w:pPr>
              <w:shd w:val="clear" w:color="auto" w:fill="FFFFFF"/>
              <w:spacing w:after="0"/>
              <w:jc w:val="center"/>
              <w:rPr>
                <w:rFonts w:ascii="Times New Roman" w:hAnsi="Times New Roman"/>
                <w:b/>
                <w:sz w:val="20"/>
                <w:szCs w:val="20"/>
              </w:rPr>
            </w:pPr>
            <w:r w:rsidRPr="00AE0E82">
              <w:rPr>
                <w:rFonts w:ascii="Times New Roman" w:hAnsi="Times New Roman"/>
                <w:b/>
                <w:sz w:val="20"/>
                <w:szCs w:val="20"/>
              </w:rPr>
              <w:t>TARGETS</w:t>
            </w:r>
          </w:p>
          <w:p w14:paraId="5AA86BC6" w14:textId="77777777" w:rsidR="00D92F6C" w:rsidRPr="00AE0E82" w:rsidRDefault="00D92F6C" w:rsidP="00DE79F3">
            <w:pPr>
              <w:shd w:val="clear" w:color="auto" w:fill="FFFFFF"/>
              <w:spacing w:after="0"/>
              <w:jc w:val="center"/>
              <w:rPr>
                <w:rFonts w:ascii="Times New Roman" w:hAnsi="Times New Roman"/>
                <w:b/>
                <w:sz w:val="20"/>
                <w:szCs w:val="20"/>
              </w:rPr>
            </w:pPr>
          </w:p>
        </w:tc>
        <w:tc>
          <w:tcPr>
            <w:tcW w:w="1778" w:type="dxa"/>
            <w:shd w:val="clear" w:color="auto" w:fill="FFFFFF"/>
          </w:tcPr>
          <w:p w14:paraId="0A3B611A" w14:textId="77777777" w:rsidR="00D92F6C" w:rsidRPr="00AE0E82" w:rsidRDefault="00D92F6C" w:rsidP="00DE79F3">
            <w:pPr>
              <w:shd w:val="clear" w:color="auto" w:fill="FFFFFF"/>
              <w:spacing w:after="0"/>
              <w:jc w:val="center"/>
              <w:rPr>
                <w:rFonts w:ascii="Times New Roman" w:hAnsi="Times New Roman"/>
                <w:sz w:val="20"/>
                <w:szCs w:val="20"/>
              </w:rPr>
            </w:pPr>
            <w:r w:rsidRPr="00AE0E82">
              <w:rPr>
                <w:rFonts w:ascii="Times New Roman" w:hAnsi="Times New Roman"/>
                <w:b/>
                <w:sz w:val="20"/>
                <w:szCs w:val="20"/>
              </w:rPr>
              <w:t>SOURCES OF VERIFICATION</w:t>
            </w:r>
          </w:p>
        </w:tc>
        <w:tc>
          <w:tcPr>
            <w:tcW w:w="1842" w:type="dxa"/>
            <w:shd w:val="clear" w:color="auto" w:fill="FFFFFF"/>
          </w:tcPr>
          <w:p w14:paraId="2308D194" w14:textId="77777777" w:rsidR="00D92F6C" w:rsidRPr="00AE0E82" w:rsidRDefault="00D92F6C" w:rsidP="00DE79F3">
            <w:pPr>
              <w:numPr>
                <w:ilvl w:val="12"/>
                <w:numId w:val="0"/>
              </w:numPr>
              <w:shd w:val="clear" w:color="auto" w:fill="FFFFFF"/>
              <w:spacing w:after="0"/>
              <w:jc w:val="center"/>
              <w:rPr>
                <w:rFonts w:ascii="Times New Roman" w:hAnsi="Times New Roman"/>
                <w:b/>
                <w:sz w:val="20"/>
                <w:szCs w:val="20"/>
              </w:rPr>
            </w:pPr>
            <w:r w:rsidRPr="00AE0E82">
              <w:rPr>
                <w:rFonts w:ascii="Times New Roman" w:hAnsi="Times New Roman"/>
                <w:b/>
                <w:sz w:val="20"/>
                <w:szCs w:val="20"/>
              </w:rPr>
              <w:t>ASSUMPTIONS</w:t>
            </w:r>
          </w:p>
        </w:tc>
      </w:tr>
      <w:tr w:rsidR="00D92F6C" w:rsidRPr="00AE0E82" w14:paraId="6B49BA51" w14:textId="77777777" w:rsidTr="007D1CF9">
        <w:trPr>
          <w:trHeight w:val="889"/>
        </w:trPr>
        <w:tc>
          <w:tcPr>
            <w:tcW w:w="3402" w:type="dxa"/>
            <w:shd w:val="clear" w:color="auto" w:fill="FFFFFF"/>
          </w:tcPr>
          <w:p w14:paraId="18D3C184" w14:textId="77777777" w:rsidR="00985166" w:rsidRPr="00AE0E82" w:rsidRDefault="00985166" w:rsidP="00AE0E82">
            <w:pPr>
              <w:numPr>
                <w:ilvl w:val="0"/>
                <w:numId w:val="3"/>
              </w:numPr>
              <w:shd w:val="clear" w:color="auto" w:fill="FFFFFF"/>
              <w:spacing w:after="0" w:line="240" w:lineRule="auto"/>
              <w:rPr>
                <w:rFonts w:ascii="Times New Roman" w:hAnsi="Times New Roman"/>
                <w:sz w:val="20"/>
                <w:szCs w:val="20"/>
                <w:lang w:eastAsia="mk-MK"/>
              </w:rPr>
            </w:pPr>
            <w:r w:rsidRPr="00AE0E82">
              <w:rPr>
                <w:rFonts w:ascii="Times New Roman" w:hAnsi="Times New Roman"/>
                <w:sz w:val="20"/>
                <w:szCs w:val="20"/>
                <w:lang w:val="mk-MK" w:eastAsia="mk-MK"/>
              </w:rPr>
              <w:t>Specific objective 1:</w:t>
            </w:r>
            <w:r w:rsidRPr="00AE0E82">
              <w:rPr>
                <w:rFonts w:ascii="Times New Roman" w:hAnsi="Times New Roman"/>
                <w:sz w:val="20"/>
                <w:szCs w:val="20"/>
              </w:rPr>
              <w:t xml:space="preserve"> </w:t>
            </w:r>
            <w:r w:rsidRPr="00AE0E82">
              <w:rPr>
                <w:rFonts w:ascii="Times New Roman" w:hAnsi="Times New Roman"/>
                <w:sz w:val="20"/>
                <w:szCs w:val="20"/>
                <w:lang w:val="mk-MK" w:eastAsia="mk-MK"/>
              </w:rPr>
              <w:t>To ensure</w:t>
            </w:r>
            <w:r w:rsidRPr="00AE0E82">
              <w:rPr>
                <w:rFonts w:ascii="Times New Roman" w:hAnsi="Times New Roman"/>
                <w:sz w:val="20"/>
                <w:szCs w:val="20"/>
                <w:lang w:eastAsia="mk-MK"/>
              </w:rPr>
              <w:t xml:space="preserve"> the</w:t>
            </w:r>
            <w:r w:rsidRPr="00AE0E82">
              <w:rPr>
                <w:rFonts w:ascii="Times New Roman" w:hAnsi="Times New Roman"/>
                <w:sz w:val="20"/>
                <w:szCs w:val="20"/>
                <w:lang w:val="mk-MK" w:eastAsia="mk-MK"/>
              </w:rPr>
              <w:t xml:space="preserve"> participation of North Macedonia in Union Programmes</w:t>
            </w:r>
            <w:r w:rsidRPr="00AE0E82">
              <w:rPr>
                <w:rFonts w:ascii="Times New Roman" w:hAnsi="Times New Roman"/>
                <w:sz w:val="20"/>
                <w:szCs w:val="20"/>
                <w:lang w:eastAsia="mk-MK"/>
              </w:rPr>
              <w:t xml:space="preserve"> and Agencies</w:t>
            </w:r>
          </w:p>
          <w:p w14:paraId="0EB39D74" w14:textId="77777777" w:rsidR="00985166" w:rsidRPr="00AE0E82" w:rsidRDefault="00985166" w:rsidP="00AE0E82">
            <w:pPr>
              <w:numPr>
                <w:ilvl w:val="0"/>
                <w:numId w:val="3"/>
              </w:numPr>
              <w:shd w:val="clear" w:color="auto" w:fill="FFFFFF"/>
              <w:spacing w:after="0" w:line="240" w:lineRule="auto"/>
              <w:rPr>
                <w:rFonts w:ascii="Times New Roman" w:hAnsi="Times New Roman"/>
                <w:sz w:val="20"/>
                <w:szCs w:val="20"/>
                <w:lang w:eastAsia="mk-MK"/>
              </w:rPr>
            </w:pPr>
            <w:r w:rsidRPr="00AE0E82">
              <w:rPr>
                <w:rFonts w:ascii="Times New Roman" w:hAnsi="Times New Roman"/>
                <w:sz w:val="20"/>
                <w:szCs w:val="20"/>
                <w:lang w:eastAsia="mk-MK"/>
              </w:rPr>
              <w:t>Specific objective 2:</w:t>
            </w:r>
            <w:r w:rsidRPr="00AE0E82">
              <w:rPr>
                <w:rFonts w:ascii="Times New Roman" w:hAnsi="Times New Roman"/>
                <w:bCs/>
                <w:iCs/>
                <w:sz w:val="20"/>
                <w:szCs w:val="20"/>
              </w:rPr>
              <w:t xml:space="preserve"> To strengthen national capacity for participation in Union Programmes</w:t>
            </w:r>
          </w:p>
          <w:p w14:paraId="34E027EB" w14:textId="67665E81" w:rsidR="00D92F6C" w:rsidRPr="007D1CF9" w:rsidRDefault="00985166" w:rsidP="00AE0E82">
            <w:pPr>
              <w:numPr>
                <w:ilvl w:val="0"/>
                <w:numId w:val="3"/>
              </w:numPr>
              <w:shd w:val="clear" w:color="auto" w:fill="FFFFFF"/>
              <w:spacing w:after="0" w:line="240" w:lineRule="auto"/>
              <w:rPr>
                <w:rFonts w:ascii="Times New Roman" w:hAnsi="Times New Roman"/>
                <w:sz w:val="20"/>
                <w:szCs w:val="20"/>
                <w:lang w:eastAsia="mk-MK"/>
              </w:rPr>
            </w:pPr>
            <w:r w:rsidRPr="00AE0E82">
              <w:rPr>
                <w:rFonts w:ascii="Times New Roman" w:hAnsi="Times New Roman"/>
                <w:bCs/>
                <w:iCs/>
                <w:sz w:val="20"/>
                <w:szCs w:val="20"/>
              </w:rPr>
              <w:t>Specific objective 3: To improve the awareness of the European Union Programmes in the country</w:t>
            </w:r>
          </w:p>
        </w:tc>
        <w:tc>
          <w:tcPr>
            <w:tcW w:w="3969" w:type="dxa"/>
            <w:shd w:val="clear" w:color="auto" w:fill="FFFFFF"/>
          </w:tcPr>
          <w:p w14:paraId="16682356" w14:textId="25F59E58" w:rsidR="00C7346F" w:rsidRPr="007D1CF9" w:rsidRDefault="00C7346F" w:rsidP="00AE0E82">
            <w:pPr>
              <w:numPr>
                <w:ilvl w:val="0"/>
                <w:numId w:val="4"/>
              </w:numPr>
              <w:spacing w:after="0" w:line="240" w:lineRule="auto"/>
              <w:jc w:val="both"/>
              <w:rPr>
                <w:rFonts w:ascii="Times New Roman" w:hAnsi="Times New Roman"/>
                <w:bCs/>
                <w:iCs/>
                <w:sz w:val="20"/>
                <w:szCs w:val="20"/>
              </w:rPr>
            </w:pPr>
            <w:r w:rsidRPr="00AE0E82">
              <w:rPr>
                <w:rFonts w:ascii="Times New Roman" w:hAnsi="Times New Roman"/>
                <w:sz w:val="20"/>
                <w:szCs w:val="20"/>
              </w:rPr>
              <w:t xml:space="preserve">Number of programmes for which an International Agreement has been concluded. </w:t>
            </w:r>
          </w:p>
          <w:p w14:paraId="5AC86B03" w14:textId="77777777" w:rsidR="007D1CF9" w:rsidRPr="00AE0E82" w:rsidRDefault="007D1CF9" w:rsidP="007D1CF9">
            <w:pPr>
              <w:spacing w:after="0" w:line="240" w:lineRule="auto"/>
              <w:ind w:left="360"/>
              <w:jc w:val="both"/>
              <w:rPr>
                <w:rFonts w:ascii="Times New Roman" w:hAnsi="Times New Roman"/>
                <w:bCs/>
                <w:iCs/>
                <w:sz w:val="20"/>
                <w:szCs w:val="20"/>
              </w:rPr>
            </w:pPr>
          </w:p>
          <w:p w14:paraId="3420603A" w14:textId="47F7D6C9" w:rsidR="00985166" w:rsidRPr="00AE0E82" w:rsidRDefault="00985166" w:rsidP="00AE0E82">
            <w:pPr>
              <w:numPr>
                <w:ilvl w:val="0"/>
                <w:numId w:val="4"/>
              </w:numPr>
              <w:spacing w:after="0" w:line="240" w:lineRule="auto"/>
              <w:jc w:val="both"/>
              <w:rPr>
                <w:rFonts w:ascii="Times New Roman" w:hAnsi="Times New Roman"/>
                <w:bCs/>
                <w:iCs/>
                <w:sz w:val="20"/>
                <w:szCs w:val="20"/>
              </w:rPr>
            </w:pPr>
            <w:r w:rsidRPr="00AE0E82">
              <w:rPr>
                <w:rFonts w:ascii="Times New Roman" w:hAnsi="Times New Roman"/>
                <w:bCs/>
                <w:iCs/>
                <w:sz w:val="20"/>
                <w:szCs w:val="20"/>
              </w:rPr>
              <w:t>North Macedonia's participation rates in the different Union Programmes</w:t>
            </w:r>
            <w:r w:rsidR="00014FAC">
              <w:rPr>
                <w:rStyle w:val="FootnoteReference"/>
                <w:rFonts w:ascii="Times New Roman" w:hAnsi="Times New Roman"/>
                <w:bCs/>
                <w:iCs/>
                <w:sz w:val="20"/>
                <w:szCs w:val="20"/>
              </w:rPr>
              <w:footnoteReference w:id="4"/>
            </w:r>
            <w:r w:rsidRPr="00AE0E82">
              <w:rPr>
                <w:rFonts w:ascii="Times New Roman" w:hAnsi="Times New Roman"/>
                <w:bCs/>
                <w:iCs/>
                <w:sz w:val="20"/>
                <w:szCs w:val="20"/>
              </w:rPr>
              <w:t xml:space="preserve"> </w:t>
            </w:r>
          </w:p>
          <w:p w14:paraId="59185D92" w14:textId="77777777" w:rsidR="00D92F6C" w:rsidRPr="00AE0E82" w:rsidRDefault="00D92F6C" w:rsidP="00AE0E82">
            <w:pPr>
              <w:shd w:val="clear" w:color="auto" w:fill="FFFFFF"/>
              <w:spacing w:after="0" w:line="240" w:lineRule="auto"/>
              <w:rPr>
                <w:rFonts w:ascii="Times New Roman" w:hAnsi="Times New Roman"/>
                <w:sz w:val="20"/>
                <w:szCs w:val="20"/>
              </w:rPr>
            </w:pPr>
          </w:p>
        </w:tc>
        <w:tc>
          <w:tcPr>
            <w:tcW w:w="1419" w:type="dxa"/>
            <w:shd w:val="clear" w:color="auto" w:fill="FFFFFF"/>
          </w:tcPr>
          <w:p w14:paraId="74CFE246" w14:textId="77777777" w:rsidR="00AE0E82" w:rsidRDefault="00AE0E82" w:rsidP="00AE0E82">
            <w:pPr>
              <w:shd w:val="clear" w:color="auto" w:fill="FFFFFF"/>
              <w:spacing w:after="0" w:line="240" w:lineRule="auto"/>
              <w:rPr>
                <w:rFonts w:ascii="Times New Roman" w:hAnsi="Times New Roman"/>
                <w:sz w:val="20"/>
                <w:szCs w:val="20"/>
              </w:rPr>
            </w:pPr>
            <w:r w:rsidRPr="00AE0E82">
              <w:rPr>
                <w:rFonts w:ascii="Times New Roman" w:hAnsi="Times New Roman"/>
                <w:sz w:val="20"/>
                <w:szCs w:val="20"/>
              </w:rPr>
              <w:t>12 under IPA II</w:t>
            </w:r>
          </w:p>
          <w:p w14:paraId="6628960E" w14:textId="09F7B969" w:rsidR="00014FAC" w:rsidRDefault="00014FAC" w:rsidP="00AE0E82">
            <w:pPr>
              <w:shd w:val="clear" w:color="auto" w:fill="FFFFFF"/>
              <w:spacing w:after="0" w:line="240" w:lineRule="auto"/>
              <w:rPr>
                <w:rFonts w:ascii="Times New Roman" w:hAnsi="Times New Roman"/>
                <w:sz w:val="20"/>
                <w:szCs w:val="20"/>
              </w:rPr>
            </w:pPr>
          </w:p>
          <w:p w14:paraId="7F90A331" w14:textId="55BE3226" w:rsidR="007D1CF9" w:rsidRDefault="007D1CF9" w:rsidP="00AE0E82">
            <w:pPr>
              <w:shd w:val="clear" w:color="auto" w:fill="FFFFFF"/>
              <w:spacing w:after="0" w:line="240" w:lineRule="auto"/>
              <w:rPr>
                <w:rFonts w:ascii="Times New Roman" w:hAnsi="Times New Roman"/>
                <w:sz w:val="20"/>
                <w:szCs w:val="20"/>
              </w:rPr>
            </w:pPr>
          </w:p>
          <w:p w14:paraId="7C96B065" w14:textId="77777777" w:rsidR="007D1CF9" w:rsidRDefault="007D1CF9" w:rsidP="00AE0E82">
            <w:pPr>
              <w:shd w:val="clear" w:color="auto" w:fill="FFFFFF"/>
              <w:spacing w:after="0" w:line="240" w:lineRule="auto"/>
              <w:rPr>
                <w:rFonts w:ascii="Times New Roman" w:hAnsi="Times New Roman"/>
                <w:sz w:val="20"/>
                <w:szCs w:val="20"/>
              </w:rPr>
            </w:pPr>
          </w:p>
          <w:p w14:paraId="3E119664" w14:textId="77777777" w:rsidR="00014FAC" w:rsidRPr="00AE0E82" w:rsidRDefault="00014FAC" w:rsidP="00AE0E82">
            <w:pPr>
              <w:shd w:val="clear" w:color="auto" w:fill="FFFFFF"/>
              <w:spacing w:after="0" w:line="240" w:lineRule="auto"/>
              <w:rPr>
                <w:rFonts w:ascii="Times New Roman" w:hAnsi="Times New Roman"/>
                <w:sz w:val="20"/>
                <w:szCs w:val="20"/>
              </w:rPr>
            </w:pPr>
            <w:r>
              <w:rPr>
                <w:rFonts w:ascii="Times New Roman" w:hAnsi="Times New Roman"/>
                <w:sz w:val="20"/>
                <w:szCs w:val="20"/>
              </w:rPr>
              <w:t>400%</w:t>
            </w:r>
          </w:p>
        </w:tc>
        <w:tc>
          <w:tcPr>
            <w:tcW w:w="1418" w:type="dxa"/>
            <w:shd w:val="clear" w:color="auto" w:fill="FFFFFF"/>
          </w:tcPr>
          <w:p w14:paraId="43C3451B" w14:textId="77777777" w:rsidR="00D92F6C" w:rsidRPr="00AE0E82" w:rsidRDefault="00D92F6C" w:rsidP="00AE0E82">
            <w:pPr>
              <w:shd w:val="clear" w:color="auto" w:fill="FFFFFF"/>
              <w:spacing w:after="0" w:line="240" w:lineRule="auto"/>
              <w:rPr>
                <w:rFonts w:ascii="Times New Roman" w:hAnsi="Times New Roman"/>
                <w:sz w:val="20"/>
                <w:szCs w:val="20"/>
              </w:rPr>
            </w:pPr>
          </w:p>
        </w:tc>
        <w:tc>
          <w:tcPr>
            <w:tcW w:w="1481" w:type="dxa"/>
            <w:shd w:val="clear" w:color="auto" w:fill="FFFFFF"/>
          </w:tcPr>
          <w:p w14:paraId="0F457FB0" w14:textId="77777777" w:rsidR="00AE0E82" w:rsidRDefault="00AE0E82" w:rsidP="00AE0E82">
            <w:pPr>
              <w:shd w:val="clear" w:color="auto" w:fill="FFFFFF"/>
              <w:spacing w:after="0" w:line="240" w:lineRule="auto"/>
              <w:rPr>
                <w:rFonts w:ascii="Times New Roman" w:hAnsi="Times New Roman"/>
                <w:bCs/>
                <w:iCs/>
                <w:sz w:val="20"/>
                <w:szCs w:val="20"/>
              </w:rPr>
            </w:pPr>
            <w:r>
              <w:rPr>
                <w:rFonts w:ascii="Times New Roman" w:hAnsi="Times New Roman"/>
                <w:bCs/>
                <w:iCs/>
                <w:sz w:val="20"/>
                <w:szCs w:val="20"/>
              </w:rPr>
              <w:t>12 under IPA III</w:t>
            </w:r>
          </w:p>
          <w:p w14:paraId="784039A2" w14:textId="6AD19BE3" w:rsidR="00AE0E82" w:rsidRDefault="00AE0E82" w:rsidP="00AE0E82">
            <w:pPr>
              <w:shd w:val="clear" w:color="auto" w:fill="FFFFFF"/>
              <w:spacing w:after="0" w:line="240" w:lineRule="auto"/>
              <w:rPr>
                <w:rFonts w:ascii="Times New Roman" w:hAnsi="Times New Roman"/>
                <w:bCs/>
                <w:iCs/>
                <w:sz w:val="20"/>
                <w:szCs w:val="20"/>
              </w:rPr>
            </w:pPr>
          </w:p>
          <w:p w14:paraId="065654DF" w14:textId="3BFA15AB" w:rsidR="007D1CF9" w:rsidRDefault="007D1CF9" w:rsidP="00AE0E82">
            <w:pPr>
              <w:shd w:val="clear" w:color="auto" w:fill="FFFFFF"/>
              <w:spacing w:after="0" w:line="240" w:lineRule="auto"/>
              <w:rPr>
                <w:rFonts w:ascii="Times New Roman" w:hAnsi="Times New Roman"/>
                <w:bCs/>
                <w:iCs/>
                <w:sz w:val="20"/>
                <w:szCs w:val="20"/>
              </w:rPr>
            </w:pPr>
          </w:p>
          <w:p w14:paraId="041E0815" w14:textId="77777777" w:rsidR="007D1CF9" w:rsidRDefault="007D1CF9" w:rsidP="00AE0E82">
            <w:pPr>
              <w:shd w:val="clear" w:color="auto" w:fill="FFFFFF"/>
              <w:spacing w:after="0" w:line="240" w:lineRule="auto"/>
              <w:rPr>
                <w:rFonts w:ascii="Times New Roman" w:hAnsi="Times New Roman"/>
                <w:bCs/>
                <w:iCs/>
                <w:sz w:val="20"/>
                <w:szCs w:val="20"/>
              </w:rPr>
            </w:pPr>
          </w:p>
          <w:p w14:paraId="52EFEC9E" w14:textId="55B17A8F" w:rsidR="00D92F6C" w:rsidRPr="00AE0E82" w:rsidRDefault="00014FAC" w:rsidP="00AE0E82">
            <w:pPr>
              <w:shd w:val="clear" w:color="auto" w:fill="FFFFFF"/>
              <w:spacing w:after="0" w:line="240" w:lineRule="auto"/>
              <w:rPr>
                <w:rFonts w:ascii="Times New Roman" w:hAnsi="Times New Roman"/>
                <w:sz w:val="20"/>
                <w:szCs w:val="20"/>
              </w:rPr>
            </w:pPr>
            <w:r>
              <w:rPr>
                <w:rFonts w:ascii="Times New Roman" w:hAnsi="Times New Roman"/>
                <w:bCs/>
                <w:iCs/>
                <w:sz w:val="20"/>
                <w:szCs w:val="20"/>
              </w:rPr>
              <w:t xml:space="preserve">500% </w:t>
            </w:r>
            <w:r w:rsidR="00985166" w:rsidRPr="00AE0E82">
              <w:rPr>
                <w:rFonts w:ascii="Times New Roman" w:hAnsi="Times New Roman"/>
                <w:bCs/>
                <w:iCs/>
                <w:sz w:val="20"/>
                <w:szCs w:val="20"/>
              </w:rPr>
              <w:t>1:1 paid/used for each of programme</w:t>
            </w:r>
          </w:p>
        </w:tc>
        <w:tc>
          <w:tcPr>
            <w:tcW w:w="1778" w:type="dxa"/>
            <w:shd w:val="clear" w:color="auto" w:fill="FFFFFF"/>
          </w:tcPr>
          <w:p w14:paraId="59555179" w14:textId="6EE4591A" w:rsidR="00D92F6C" w:rsidRDefault="00C7346F" w:rsidP="00AE0E82">
            <w:pPr>
              <w:numPr>
                <w:ilvl w:val="12"/>
                <w:numId w:val="0"/>
              </w:numPr>
              <w:shd w:val="clear" w:color="auto" w:fill="FFFFFF"/>
              <w:spacing w:after="0" w:line="240" w:lineRule="auto"/>
              <w:rPr>
                <w:rFonts w:ascii="Times New Roman" w:hAnsi="Times New Roman"/>
                <w:sz w:val="20"/>
                <w:szCs w:val="20"/>
              </w:rPr>
            </w:pPr>
            <w:r w:rsidRPr="00AE0E82">
              <w:rPr>
                <w:rFonts w:ascii="Times New Roman" w:hAnsi="Times New Roman"/>
                <w:sz w:val="20"/>
                <w:szCs w:val="20"/>
              </w:rPr>
              <w:t xml:space="preserve">International Agreements singed </w:t>
            </w:r>
          </w:p>
          <w:p w14:paraId="493B1EA0" w14:textId="77777777" w:rsidR="00914673" w:rsidRPr="00AE0E82" w:rsidRDefault="00914673" w:rsidP="00AE0E82">
            <w:pPr>
              <w:numPr>
                <w:ilvl w:val="12"/>
                <w:numId w:val="0"/>
              </w:numPr>
              <w:shd w:val="clear" w:color="auto" w:fill="FFFFFF"/>
              <w:spacing w:after="0" w:line="240" w:lineRule="auto"/>
              <w:rPr>
                <w:rFonts w:ascii="Times New Roman" w:hAnsi="Times New Roman"/>
                <w:sz w:val="20"/>
                <w:szCs w:val="20"/>
              </w:rPr>
            </w:pPr>
          </w:p>
          <w:p w14:paraId="39237443" w14:textId="04BDD85C" w:rsidR="00C7346F" w:rsidRPr="00AE0E82" w:rsidRDefault="00914673" w:rsidP="00914673">
            <w:pPr>
              <w:numPr>
                <w:ilvl w:val="12"/>
                <w:numId w:val="0"/>
              </w:numPr>
              <w:shd w:val="clear" w:color="auto" w:fill="FFFFFF"/>
              <w:spacing w:after="0" w:line="240" w:lineRule="auto"/>
              <w:rPr>
                <w:rFonts w:ascii="Times New Roman" w:hAnsi="Times New Roman"/>
                <w:sz w:val="20"/>
                <w:szCs w:val="20"/>
              </w:rPr>
            </w:pPr>
            <w:r>
              <w:rPr>
                <w:rFonts w:ascii="Times New Roman" w:hAnsi="Times New Roman"/>
                <w:sz w:val="20"/>
                <w:szCs w:val="20"/>
              </w:rPr>
              <w:t xml:space="preserve">Relevant EU institution </w:t>
            </w:r>
            <w:r w:rsidR="00C7346F" w:rsidRPr="00AE0E82">
              <w:rPr>
                <w:rFonts w:ascii="Times New Roman" w:hAnsi="Times New Roman"/>
                <w:sz w:val="20"/>
                <w:szCs w:val="20"/>
              </w:rPr>
              <w:t xml:space="preserve">reports </w:t>
            </w:r>
          </w:p>
        </w:tc>
        <w:tc>
          <w:tcPr>
            <w:tcW w:w="1842" w:type="dxa"/>
            <w:shd w:val="clear" w:color="auto" w:fill="FFFFFF"/>
          </w:tcPr>
          <w:p w14:paraId="202FF7FF" w14:textId="089C4D2F" w:rsidR="00D92F6C" w:rsidRPr="00AE0E82" w:rsidRDefault="00D92F6C" w:rsidP="00AE0E82">
            <w:pPr>
              <w:numPr>
                <w:ilvl w:val="12"/>
                <w:numId w:val="0"/>
              </w:numPr>
              <w:shd w:val="clear" w:color="auto" w:fill="FFFFFF"/>
              <w:spacing w:after="0" w:line="240" w:lineRule="auto"/>
              <w:rPr>
                <w:rFonts w:ascii="Times New Roman" w:hAnsi="Times New Roman"/>
                <w:sz w:val="20"/>
                <w:szCs w:val="20"/>
              </w:rPr>
            </w:pPr>
          </w:p>
        </w:tc>
      </w:tr>
      <w:tr w:rsidR="00D92F6C" w:rsidRPr="00AE0E82" w14:paraId="070478CF" w14:textId="77777777" w:rsidTr="007D1CF9">
        <w:trPr>
          <w:trHeight w:val="358"/>
        </w:trPr>
        <w:tc>
          <w:tcPr>
            <w:tcW w:w="3402" w:type="dxa"/>
            <w:shd w:val="clear" w:color="auto" w:fill="FFFFFF"/>
          </w:tcPr>
          <w:p w14:paraId="067D969D" w14:textId="77777777" w:rsidR="00D92F6C" w:rsidRPr="00AE0E82" w:rsidRDefault="00D92F6C" w:rsidP="00AE0E82">
            <w:pPr>
              <w:numPr>
                <w:ilvl w:val="12"/>
                <w:numId w:val="0"/>
              </w:numPr>
              <w:shd w:val="clear" w:color="auto" w:fill="FFFFFF"/>
              <w:spacing w:after="0" w:line="240" w:lineRule="auto"/>
              <w:jc w:val="center"/>
              <w:rPr>
                <w:rFonts w:ascii="Times New Roman" w:hAnsi="Times New Roman"/>
                <w:b/>
                <w:sz w:val="20"/>
                <w:szCs w:val="20"/>
              </w:rPr>
            </w:pPr>
            <w:r w:rsidRPr="00AE0E82">
              <w:rPr>
                <w:rFonts w:ascii="Times New Roman" w:hAnsi="Times New Roman"/>
                <w:b/>
                <w:sz w:val="20"/>
                <w:szCs w:val="20"/>
              </w:rPr>
              <w:t>OUTPUTS</w:t>
            </w:r>
          </w:p>
        </w:tc>
        <w:tc>
          <w:tcPr>
            <w:tcW w:w="3969" w:type="dxa"/>
            <w:shd w:val="clear" w:color="auto" w:fill="FFFFFF"/>
          </w:tcPr>
          <w:p w14:paraId="1B07A8C7" w14:textId="77777777" w:rsidR="00D92F6C" w:rsidRPr="00AE0E82" w:rsidRDefault="00D92F6C" w:rsidP="00AE0E82">
            <w:pPr>
              <w:shd w:val="clear" w:color="auto" w:fill="FFFFFF"/>
              <w:spacing w:after="0" w:line="240" w:lineRule="auto"/>
              <w:jc w:val="center"/>
              <w:rPr>
                <w:rFonts w:ascii="Times New Roman" w:hAnsi="Times New Roman"/>
                <w:sz w:val="20"/>
                <w:szCs w:val="20"/>
              </w:rPr>
            </w:pPr>
            <w:r w:rsidRPr="00AE0E82">
              <w:rPr>
                <w:rFonts w:ascii="Times New Roman" w:hAnsi="Times New Roman"/>
                <w:b/>
                <w:sz w:val="20"/>
                <w:szCs w:val="20"/>
              </w:rPr>
              <w:t>OBJECTIVELY VERIFIABLE INDICATORS (*)</w:t>
            </w:r>
          </w:p>
        </w:tc>
        <w:tc>
          <w:tcPr>
            <w:tcW w:w="1419" w:type="dxa"/>
            <w:shd w:val="clear" w:color="auto" w:fill="FFFFFF"/>
          </w:tcPr>
          <w:p w14:paraId="0FE2A66C" w14:textId="77777777" w:rsidR="00D92F6C" w:rsidRPr="00AE0E82" w:rsidRDefault="00D92F6C" w:rsidP="00AE0E82">
            <w:pPr>
              <w:shd w:val="clear" w:color="auto" w:fill="FFFFFF"/>
              <w:spacing w:after="0" w:line="240" w:lineRule="auto"/>
              <w:jc w:val="center"/>
              <w:rPr>
                <w:rFonts w:ascii="Times New Roman" w:hAnsi="Times New Roman"/>
                <w:b/>
                <w:sz w:val="20"/>
                <w:szCs w:val="20"/>
              </w:rPr>
            </w:pPr>
            <w:r w:rsidRPr="00AE0E82">
              <w:rPr>
                <w:rFonts w:ascii="Times New Roman" w:hAnsi="Times New Roman"/>
                <w:b/>
                <w:sz w:val="20"/>
                <w:szCs w:val="20"/>
              </w:rPr>
              <w:t>BASELINES</w:t>
            </w:r>
          </w:p>
          <w:p w14:paraId="051745B2" w14:textId="77777777" w:rsidR="00D92F6C" w:rsidRPr="00AE0E82" w:rsidRDefault="00D92F6C" w:rsidP="00AE0E82">
            <w:pPr>
              <w:shd w:val="clear" w:color="auto" w:fill="FFFFFF"/>
              <w:spacing w:after="0" w:line="240" w:lineRule="auto"/>
              <w:ind w:left="-352"/>
              <w:jc w:val="center"/>
              <w:rPr>
                <w:rFonts w:ascii="Times New Roman" w:hAnsi="Times New Roman"/>
                <w:b/>
                <w:sz w:val="20"/>
                <w:szCs w:val="20"/>
              </w:rPr>
            </w:pPr>
          </w:p>
        </w:tc>
        <w:tc>
          <w:tcPr>
            <w:tcW w:w="1418" w:type="dxa"/>
            <w:shd w:val="clear" w:color="auto" w:fill="FFFFFF"/>
          </w:tcPr>
          <w:p w14:paraId="76CDFB28" w14:textId="2739831B" w:rsidR="00D92F6C" w:rsidRPr="00AE0E82" w:rsidRDefault="00D92F6C" w:rsidP="007D1CF9">
            <w:pPr>
              <w:shd w:val="clear" w:color="auto" w:fill="FFFFFF"/>
              <w:spacing w:after="0" w:line="240" w:lineRule="auto"/>
              <w:jc w:val="center"/>
              <w:rPr>
                <w:rFonts w:ascii="Times New Roman" w:hAnsi="Times New Roman"/>
                <w:b/>
                <w:sz w:val="20"/>
                <w:szCs w:val="20"/>
              </w:rPr>
            </w:pPr>
            <w:r w:rsidRPr="00AE0E82">
              <w:rPr>
                <w:rFonts w:ascii="Times New Roman" w:hAnsi="Times New Roman"/>
                <w:b/>
                <w:sz w:val="20"/>
                <w:szCs w:val="20"/>
              </w:rPr>
              <w:t>MILESTONES</w:t>
            </w:r>
          </w:p>
        </w:tc>
        <w:tc>
          <w:tcPr>
            <w:tcW w:w="1481" w:type="dxa"/>
            <w:shd w:val="clear" w:color="auto" w:fill="FFFFFF"/>
          </w:tcPr>
          <w:p w14:paraId="572917EE" w14:textId="77777777" w:rsidR="00D92F6C" w:rsidRPr="00AE0E82" w:rsidRDefault="00D92F6C" w:rsidP="00AE0E82">
            <w:pPr>
              <w:shd w:val="clear" w:color="auto" w:fill="FFFFFF"/>
              <w:spacing w:after="0" w:line="240" w:lineRule="auto"/>
              <w:jc w:val="center"/>
              <w:rPr>
                <w:rFonts w:ascii="Times New Roman" w:hAnsi="Times New Roman"/>
                <w:b/>
                <w:sz w:val="20"/>
                <w:szCs w:val="20"/>
              </w:rPr>
            </w:pPr>
            <w:r w:rsidRPr="00AE0E82">
              <w:rPr>
                <w:rFonts w:ascii="Times New Roman" w:hAnsi="Times New Roman"/>
                <w:b/>
                <w:sz w:val="20"/>
                <w:szCs w:val="20"/>
              </w:rPr>
              <w:t>TARGETS</w:t>
            </w:r>
          </w:p>
          <w:p w14:paraId="5E87DC9A" w14:textId="77777777" w:rsidR="00D92F6C" w:rsidRPr="00AE0E82" w:rsidRDefault="00D92F6C" w:rsidP="00AE0E82">
            <w:pPr>
              <w:shd w:val="clear" w:color="auto" w:fill="FFFFFF"/>
              <w:spacing w:after="0" w:line="240" w:lineRule="auto"/>
              <w:jc w:val="center"/>
              <w:rPr>
                <w:rFonts w:ascii="Times New Roman" w:hAnsi="Times New Roman"/>
                <w:b/>
                <w:sz w:val="20"/>
                <w:szCs w:val="20"/>
              </w:rPr>
            </w:pPr>
          </w:p>
        </w:tc>
        <w:tc>
          <w:tcPr>
            <w:tcW w:w="1778" w:type="dxa"/>
            <w:shd w:val="clear" w:color="auto" w:fill="FFFFFF"/>
          </w:tcPr>
          <w:p w14:paraId="1D26E34D" w14:textId="77777777" w:rsidR="00D92F6C" w:rsidRPr="00AE0E82" w:rsidRDefault="00D92F6C" w:rsidP="00AE0E82">
            <w:pPr>
              <w:shd w:val="clear" w:color="auto" w:fill="FFFFFF"/>
              <w:spacing w:after="0" w:line="240" w:lineRule="auto"/>
              <w:jc w:val="center"/>
              <w:rPr>
                <w:rFonts w:ascii="Times New Roman" w:hAnsi="Times New Roman"/>
                <w:sz w:val="20"/>
                <w:szCs w:val="20"/>
              </w:rPr>
            </w:pPr>
            <w:r w:rsidRPr="00AE0E82">
              <w:rPr>
                <w:rFonts w:ascii="Times New Roman" w:hAnsi="Times New Roman"/>
                <w:b/>
                <w:sz w:val="20"/>
                <w:szCs w:val="20"/>
              </w:rPr>
              <w:t>SOURCES OF VERIFICATION</w:t>
            </w:r>
          </w:p>
        </w:tc>
        <w:tc>
          <w:tcPr>
            <w:tcW w:w="1842" w:type="dxa"/>
            <w:shd w:val="clear" w:color="auto" w:fill="FFFFFF"/>
          </w:tcPr>
          <w:p w14:paraId="77EAD544" w14:textId="77777777" w:rsidR="00D92F6C" w:rsidRPr="00AE0E82" w:rsidRDefault="00D92F6C" w:rsidP="00AE0E82">
            <w:pPr>
              <w:numPr>
                <w:ilvl w:val="12"/>
                <w:numId w:val="0"/>
              </w:numPr>
              <w:shd w:val="clear" w:color="auto" w:fill="FFFFFF"/>
              <w:spacing w:after="0" w:line="240" w:lineRule="auto"/>
              <w:jc w:val="center"/>
              <w:rPr>
                <w:rFonts w:ascii="Times New Roman" w:hAnsi="Times New Roman"/>
                <w:b/>
                <w:sz w:val="20"/>
                <w:szCs w:val="20"/>
              </w:rPr>
            </w:pPr>
            <w:r w:rsidRPr="00AE0E82">
              <w:rPr>
                <w:rFonts w:ascii="Times New Roman" w:hAnsi="Times New Roman"/>
                <w:b/>
                <w:sz w:val="20"/>
                <w:szCs w:val="20"/>
              </w:rPr>
              <w:t>ASSUMPTIONS</w:t>
            </w:r>
          </w:p>
        </w:tc>
      </w:tr>
      <w:tr w:rsidR="00D92F6C" w:rsidRPr="00AE0E82" w14:paraId="1CBAE1CA" w14:textId="77777777" w:rsidTr="007D1CF9">
        <w:trPr>
          <w:trHeight w:val="267"/>
        </w:trPr>
        <w:tc>
          <w:tcPr>
            <w:tcW w:w="3402" w:type="dxa"/>
            <w:shd w:val="clear" w:color="auto" w:fill="FFFFFF"/>
          </w:tcPr>
          <w:p w14:paraId="519B4E47" w14:textId="646759E1" w:rsidR="00D92F6C" w:rsidRDefault="00985166" w:rsidP="00AE0E82">
            <w:pPr>
              <w:shd w:val="clear" w:color="auto" w:fill="FFFFFF"/>
              <w:spacing w:after="0" w:line="240" w:lineRule="auto"/>
              <w:rPr>
                <w:rFonts w:ascii="Times New Roman" w:hAnsi="Times New Roman"/>
                <w:bCs/>
                <w:iCs/>
                <w:sz w:val="20"/>
                <w:szCs w:val="20"/>
              </w:rPr>
            </w:pPr>
            <w:r w:rsidRPr="00AE0E82">
              <w:rPr>
                <w:rFonts w:ascii="Times New Roman" w:hAnsi="Times New Roman"/>
                <w:bCs/>
                <w:iCs/>
                <w:sz w:val="20"/>
                <w:szCs w:val="20"/>
              </w:rPr>
              <w:t>Output 1:Entry tickets for selected Union Programmes paid</w:t>
            </w:r>
          </w:p>
          <w:p w14:paraId="6BEFF9FB" w14:textId="77777777" w:rsidR="007D1CF9" w:rsidRPr="00AE0E82" w:rsidRDefault="007D1CF9" w:rsidP="00AE0E82">
            <w:pPr>
              <w:shd w:val="clear" w:color="auto" w:fill="FFFFFF"/>
              <w:spacing w:after="0" w:line="240" w:lineRule="auto"/>
              <w:rPr>
                <w:rFonts w:ascii="Times New Roman" w:hAnsi="Times New Roman"/>
                <w:bCs/>
                <w:iCs/>
                <w:sz w:val="20"/>
                <w:szCs w:val="20"/>
              </w:rPr>
            </w:pPr>
          </w:p>
          <w:p w14:paraId="4E16D2A8" w14:textId="77777777" w:rsidR="00985166" w:rsidRPr="00AE0E82" w:rsidRDefault="00985166" w:rsidP="00AE0E82">
            <w:pPr>
              <w:shd w:val="clear" w:color="auto" w:fill="FFFFFF"/>
              <w:spacing w:after="0" w:line="240" w:lineRule="auto"/>
              <w:rPr>
                <w:rFonts w:ascii="Times New Roman" w:hAnsi="Times New Roman"/>
                <w:sz w:val="20"/>
                <w:szCs w:val="20"/>
              </w:rPr>
            </w:pPr>
            <w:r w:rsidRPr="00AE0E82">
              <w:rPr>
                <w:rFonts w:ascii="Times New Roman" w:hAnsi="Times New Roman"/>
                <w:bCs/>
                <w:iCs/>
                <w:sz w:val="20"/>
                <w:szCs w:val="20"/>
              </w:rPr>
              <w:t>Output 2: North Macedonia's beneficiaries participate in projects funded by Union programmes and Agencies</w:t>
            </w:r>
          </w:p>
        </w:tc>
        <w:tc>
          <w:tcPr>
            <w:tcW w:w="3969" w:type="dxa"/>
            <w:shd w:val="clear" w:color="auto" w:fill="FFFFFF"/>
          </w:tcPr>
          <w:p w14:paraId="5C9C6134" w14:textId="1AF0F115" w:rsidR="00985166" w:rsidRDefault="00985166" w:rsidP="00AE0E82">
            <w:pPr>
              <w:numPr>
                <w:ilvl w:val="0"/>
                <w:numId w:val="4"/>
              </w:numPr>
              <w:spacing w:after="0" w:line="240" w:lineRule="auto"/>
              <w:jc w:val="both"/>
              <w:rPr>
                <w:rFonts w:ascii="Times New Roman" w:hAnsi="Times New Roman"/>
                <w:bCs/>
                <w:iCs/>
                <w:sz w:val="20"/>
                <w:szCs w:val="20"/>
              </w:rPr>
            </w:pPr>
            <w:r w:rsidRPr="00AE0E82">
              <w:rPr>
                <w:rFonts w:ascii="Times New Roman" w:hAnsi="Times New Roman"/>
                <w:bCs/>
                <w:iCs/>
                <w:sz w:val="20"/>
                <w:szCs w:val="20"/>
              </w:rPr>
              <w:t>No of projects prepared and funded i</w:t>
            </w:r>
            <w:r w:rsidR="00914673">
              <w:rPr>
                <w:rFonts w:ascii="Times New Roman" w:hAnsi="Times New Roman"/>
                <w:bCs/>
                <w:iCs/>
                <w:sz w:val="20"/>
                <w:szCs w:val="20"/>
              </w:rPr>
              <w:t>nvolving country participation</w:t>
            </w:r>
          </w:p>
          <w:p w14:paraId="7649F07D" w14:textId="77777777" w:rsidR="00014FAC" w:rsidRPr="00AE0E82" w:rsidRDefault="00014FAC" w:rsidP="00D922F8">
            <w:pPr>
              <w:spacing w:after="0" w:line="240" w:lineRule="auto"/>
              <w:ind w:left="360"/>
              <w:jc w:val="both"/>
              <w:rPr>
                <w:rFonts w:ascii="Times New Roman" w:hAnsi="Times New Roman"/>
                <w:bCs/>
                <w:iCs/>
                <w:sz w:val="20"/>
                <w:szCs w:val="20"/>
              </w:rPr>
            </w:pPr>
          </w:p>
          <w:p w14:paraId="1163FAF4" w14:textId="2818BDC6" w:rsidR="00014FAC" w:rsidRPr="007D1CF9" w:rsidRDefault="00985166" w:rsidP="007D1CF9">
            <w:pPr>
              <w:numPr>
                <w:ilvl w:val="0"/>
                <w:numId w:val="4"/>
              </w:numPr>
              <w:spacing w:after="0" w:line="240" w:lineRule="auto"/>
              <w:jc w:val="both"/>
              <w:rPr>
                <w:rFonts w:ascii="Times New Roman" w:hAnsi="Times New Roman"/>
                <w:bCs/>
                <w:iCs/>
                <w:sz w:val="20"/>
                <w:szCs w:val="20"/>
              </w:rPr>
            </w:pPr>
            <w:r w:rsidRPr="00AE0E82">
              <w:rPr>
                <w:rFonts w:ascii="Times New Roman" w:hAnsi="Times New Roman"/>
                <w:bCs/>
                <w:iCs/>
                <w:sz w:val="20"/>
                <w:szCs w:val="20"/>
              </w:rPr>
              <w:t>Number of beneficiaries invo</w:t>
            </w:r>
            <w:r w:rsidR="00914673">
              <w:rPr>
                <w:rFonts w:ascii="Times New Roman" w:hAnsi="Times New Roman"/>
                <w:bCs/>
                <w:iCs/>
                <w:sz w:val="20"/>
                <w:szCs w:val="20"/>
              </w:rPr>
              <w:t>lved in international projects</w:t>
            </w:r>
          </w:p>
          <w:p w14:paraId="439F0FE6" w14:textId="77777777" w:rsidR="00014FAC" w:rsidRDefault="00014FAC" w:rsidP="00D922F8">
            <w:pPr>
              <w:spacing w:after="0" w:line="240" w:lineRule="auto"/>
              <w:ind w:left="360"/>
              <w:jc w:val="both"/>
              <w:rPr>
                <w:rFonts w:ascii="Times New Roman" w:hAnsi="Times New Roman"/>
                <w:bCs/>
                <w:iCs/>
                <w:sz w:val="20"/>
                <w:szCs w:val="20"/>
              </w:rPr>
            </w:pPr>
          </w:p>
          <w:p w14:paraId="4831B94E" w14:textId="1236134D" w:rsidR="00985166" w:rsidRPr="00AE0E82" w:rsidRDefault="00914673" w:rsidP="00AE0E82">
            <w:pPr>
              <w:numPr>
                <w:ilvl w:val="0"/>
                <w:numId w:val="4"/>
              </w:numPr>
              <w:spacing w:after="0" w:line="240" w:lineRule="auto"/>
              <w:jc w:val="both"/>
              <w:rPr>
                <w:rFonts w:ascii="Times New Roman" w:hAnsi="Times New Roman"/>
                <w:bCs/>
                <w:iCs/>
                <w:sz w:val="20"/>
                <w:szCs w:val="20"/>
              </w:rPr>
            </w:pPr>
            <w:r>
              <w:rPr>
                <w:rFonts w:ascii="Times New Roman" w:hAnsi="Times New Roman"/>
                <w:bCs/>
                <w:iCs/>
                <w:sz w:val="20"/>
                <w:szCs w:val="20"/>
              </w:rPr>
              <w:t>Number of promotion events</w:t>
            </w:r>
          </w:p>
          <w:p w14:paraId="369EBB81" w14:textId="77777777" w:rsidR="00D92F6C" w:rsidRPr="00AE0E82" w:rsidRDefault="00D92F6C" w:rsidP="00AE0E82">
            <w:pPr>
              <w:shd w:val="clear" w:color="auto" w:fill="FFFFFF"/>
              <w:spacing w:after="0" w:line="240" w:lineRule="auto"/>
              <w:rPr>
                <w:rFonts w:ascii="Times New Roman" w:hAnsi="Times New Roman"/>
                <w:sz w:val="20"/>
                <w:szCs w:val="20"/>
              </w:rPr>
            </w:pPr>
          </w:p>
        </w:tc>
        <w:tc>
          <w:tcPr>
            <w:tcW w:w="1419" w:type="dxa"/>
            <w:shd w:val="clear" w:color="auto" w:fill="FFFFFF"/>
          </w:tcPr>
          <w:p w14:paraId="028C195C" w14:textId="7CEB9D48" w:rsidR="00D92F6C" w:rsidRDefault="00014FAC" w:rsidP="00AE0E82">
            <w:pPr>
              <w:shd w:val="clear" w:color="auto" w:fill="FFFFFF"/>
              <w:spacing w:after="0" w:line="240" w:lineRule="auto"/>
              <w:rPr>
                <w:rFonts w:ascii="Times New Roman" w:hAnsi="Times New Roman"/>
                <w:sz w:val="20"/>
                <w:szCs w:val="20"/>
              </w:rPr>
            </w:pPr>
            <w:r>
              <w:rPr>
                <w:rFonts w:ascii="Times New Roman" w:hAnsi="Times New Roman"/>
                <w:sz w:val="20"/>
                <w:szCs w:val="20"/>
              </w:rPr>
              <w:t>600 Projects</w:t>
            </w:r>
          </w:p>
          <w:p w14:paraId="53B59B90" w14:textId="6B1549AD" w:rsidR="00014FAC" w:rsidRDefault="00014FAC" w:rsidP="00AE0E82">
            <w:pPr>
              <w:shd w:val="clear" w:color="auto" w:fill="FFFFFF"/>
              <w:spacing w:after="0" w:line="240" w:lineRule="auto"/>
              <w:rPr>
                <w:rFonts w:ascii="Times New Roman" w:hAnsi="Times New Roman"/>
                <w:sz w:val="20"/>
                <w:szCs w:val="20"/>
              </w:rPr>
            </w:pPr>
          </w:p>
          <w:p w14:paraId="2AB856ED" w14:textId="77777777" w:rsidR="007D1CF9" w:rsidRDefault="007D1CF9" w:rsidP="00AE0E82">
            <w:pPr>
              <w:shd w:val="clear" w:color="auto" w:fill="FFFFFF"/>
              <w:spacing w:after="0" w:line="240" w:lineRule="auto"/>
              <w:rPr>
                <w:rFonts w:ascii="Times New Roman" w:hAnsi="Times New Roman"/>
                <w:sz w:val="20"/>
                <w:szCs w:val="20"/>
              </w:rPr>
            </w:pPr>
          </w:p>
          <w:p w14:paraId="791DC58B" w14:textId="75FDD587" w:rsidR="00014FAC" w:rsidRPr="00AE0E82" w:rsidRDefault="00014FAC" w:rsidP="00AE0E82">
            <w:pPr>
              <w:shd w:val="clear" w:color="auto" w:fill="FFFFFF"/>
              <w:spacing w:after="0" w:line="240" w:lineRule="auto"/>
              <w:rPr>
                <w:rFonts w:ascii="Times New Roman" w:hAnsi="Times New Roman"/>
                <w:sz w:val="20"/>
                <w:szCs w:val="20"/>
              </w:rPr>
            </w:pPr>
            <w:r>
              <w:rPr>
                <w:rFonts w:ascii="Times New Roman" w:hAnsi="Times New Roman"/>
                <w:sz w:val="20"/>
                <w:szCs w:val="20"/>
              </w:rPr>
              <w:t>400</w:t>
            </w:r>
          </w:p>
        </w:tc>
        <w:tc>
          <w:tcPr>
            <w:tcW w:w="1418" w:type="dxa"/>
            <w:shd w:val="clear" w:color="auto" w:fill="FFFFFF"/>
          </w:tcPr>
          <w:p w14:paraId="06305B5D" w14:textId="77777777" w:rsidR="00D92F6C" w:rsidRPr="00AE0E82" w:rsidRDefault="00D92F6C" w:rsidP="00AE0E82">
            <w:pPr>
              <w:shd w:val="clear" w:color="auto" w:fill="FFFFFF"/>
              <w:spacing w:after="0" w:line="240" w:lineRule="auto"/>
              <w:rPr>
                <w:rFonts w:ascii="Times New Roman" w:hAnsi="Times New Roman"/>
                <w:sz w:val="20"/>
                <w:szCs w:val="20"/>
              </w:rPr>
            </w:pPr>
          </w:p>
        </w:tc>
        <w:tc>
          <w:tcPr>
            <w:tcW w:w="1481" w:type="dxa"/>
            <w:shd w:val="clear" w:color="auto" w:fill="FFFFFF"/>
          </w:tcPr>
          <w:p w14:paraId="082DA7A0" w14:textId="462B8237" w:rsidR="00985166" w:rsidRPr="00AE0E82" w:rsidRDefault="00985166" w:rsidP="00AE0E82">
            <w:pPr>
              <w:shd w:val="clear" w:color="auto" w:fill="FFFFFF"/>
              <w:spacing w:after="0" w:line="240" w:lineRule="auto"/>
              <w:rPr>
                <w:rFonts w:ascii="Times New Roman" w:hAnsi="Times New Roman"/>
                <w:bCs/>
                <w:iCs/>
                <w:sz w:val="20"/>
                <w:szCs w:val="20"/>
              </w:rPr>
            </w:pPr>
            <w:r w:rsidRPr="00AE0E82">
              <w:rPr>
                <w:rFonts w:ascii="Times New Roman" w:hAnsi="Times New Roman"/>
                <w:bCs/>
                <w:iCs/>
                <w:sz w:val="20"/>
                <w:szCs w:val="20"/>
              </w:rPr>
              <w:t xml:space="preserve">&gt; </w:t>
            </w:r>
            <w:r w:rsidR="00014FAC">
              <w:rPr>
                <w:rFonts w:ascii="Times New Roman" w:hAnsi="Times New Roman"/>
                <w:bCs/>
                <w:iCs/>
                <w:sz w:val="20"/>
                <w:szCs w:val="20"/>
              </w:rPr>
              <w:t>7</w:t>
            </w:r>
            <w:r w:rsidRPr="00AE0E82">
              <w:rPr>
                <w:rFonts w:ascii="Times New Roman" w:hAnsi="Times New Roman"/>
                <w:bCs/>
                <w:iCs/>
                <w:sz w:val="20"/>
                <w:szCs w:val="20"/>
              </w:rPr>
              <w:t>00</w:t>
            </w:r>
          </w:p>
          <w:p w14:paraId="223F3E02" w14:textId="77777777" w:rsidR="00014FAC" w:rsidRDefault="00014FAC" w:rsidP="00AE0E82">
            <w:pPr>
              <w:shd w:val="clear" w:color="auto" w:fill="FFFFFF"/>
              <w:spacing w:after="0" w:line="240" w:lineRule="auto"/>
              <w:rPr>
                <w:rFonts w:ascii="Times New Roman" w:hAnsi="Times New Roman"/>
                <w:bCs/>
                <w:iCs/>
                <w:sz w:val="20"/>
                <w:szCs w:val="20"/>
              </w:rPr>
            </w:pPr>
          </w:p>
          <w:p w14:paraId="6F3A921D" w14:textId="23FD2AA6" w:rsidR="00D92F6C" w:rsidRPr="00AE0E82" w:rsidRDefault="00014FAC" w:rsidP="00AE0E82">
            <w:pPr>
              <w:shd w:val="clear" w:color="auto" w:fill="FFFFFF"/>
              <w:spacing w:after="0" w:line="240" w:lineRule="auto"/>
              <w:rPr>
                <w:rFonts w:ascii="Times New Roman" w:hAnsi="Times New Roman"/>
                <w:bCs/>
                <w:iCs/>
                <w:sz w:val="20"/>
                <w:szCs w:val="20"/>
              </w:rPr>
            </w:pPr>
            <w:r>
              <w:rPr>
                <w:rFonts w:ascii="Times New Roman" w:hAnsi="Times New Roman"/>
                <w:bCs/>
                <w:iCs/>
                <w:sz w:val="20"/>
                <w:szCs w:val="20"/>
              </w:rPr>
              <w:t>&gt; 50</w:t>
            </w:r>
            <w:r w:rsidR="00985166" w:rsidRPr="00AE0E82">
              <w:rPr>
                <w:rFonts w:ascii="Times New Roman" w:hAnsi="Times New Roman"/>
                <w:bCs/>
                <w:iCs/>
                <w:sz w:val="20"/>
                <w:szCs w:val="20"/>
              </w:rPr>
              <w:t xml:space="preserve">0 </w:t>
            </w:r>
          </w:p>
          <w:p w14:paraId="35045600" w14:textId="77777777" w:rsidR="00014FAC" w:rsidRDefault="00014FAC" w:rsidP="00AE0E82">
            <w:pPr>
              <w:shd w:val="clear" w:color="auto" w:fill="FFFFFF"/>
              <w:spacing w:after="0" w:line="240" w:lineRule="auto"/>
              <w:rPr>
                <w:rFonts w:ascii="Times New Roman" w:hAnsi="Times New Roman"/>
                <w:bCs/>
                <w:iCs/>
                <w:sz w:val="20"/>
                <w:szCs w:val="20"/>
              </w:rPr>
            </w:pPr>
          </w:p>
          <w:p w14:paraId="0E919218" w14:textId="77777777" w:rsidR="007D1CF9" w:rsidRDefault="007D1CF9" w:rsidP="00AE0E82">
            <w:pPr>
              <w:shd w:val="clear" w:color="auto" w:fill="FFFFFF"/>
              <w:spacing w:after="0" w:line="240" w:lineRule="auto"/>
              <w:rPr>
                <w:rFonts w:ascii="Times New Roman" w:hAnsi="Times New Roman"/>
                <w:bCs/>
                <w:iCs/>
                <w:sz w:val="20"/>
                <w:szCs w:val="20"/>
              </w:rPr>
            </w:pPr>
          </w:p>
          <w:p w14:paraId="31F3329F" w14:textId="77777777" w:rsidR="007D1CF9" w:rsidRDefault="007D1CF9" w:rsidP="00AE0E82">
            <w:pPr>
              <w:shd w:val="clear" w:color="auto" w:fill="FFFFFF"/>
              <w:spacing w:after="0" w:line="240" w:lineRule="auto"/>
              <w:rPr>
                <w:rFonts w:ascii="Times New Roman" w:hAnsi="Times New Roman"/>
                <w:bCs/>
                <w:iCs/>
                <w:sz w:val="20"/>
                <w:szCs w:val="20"/>
              </w:rPr>
            </w:pPr>
          </w:p>
          <w:p w14:paraId="02641465" w14:textId="019E536D" w:rsidR="00985166" w:rsidRPr="00AE0E82" w:rsidRDefault="00985166" w:rsidP="00AE0E82">
            <w:pPr>
              <w:shd w:val="clear" w:color="auto" w:fill="FFFFFF"/>
              <w:spacing w:after="0" w:line="240" w:lineRule="auto"/>
              <w:rPr>
                <w:rFonts w:ascii="Times New Roman" w:hAnsi="Times New Roman"/>
                <w:sz w:val="20"/>
                <w:szCs w:val="20"/>
              </w:rPr>
            </w:pPr>
            <w:r w:rsidRPr="00AE0E82">
              <w:rPr>
                <w:rFonts w:ascii="Times New Roman" w:hAnsi="Times New Roman"/>
                <w:bCs/>
                <w:iCs/>
                <w:sz w:val="20"/>
                <w:szCs w:val="20"/>
              </w:rPr>
              <w:t>Target: &gt; 50</w:t>
            </w:r>
          </w:p>
        </w:tc>
        <w:tc>
          <w:tcPr>
            <w:tcW w:w="1778" w:type="dxa"/>
            <w:shd w:val="clear" w:color="auto" w:fill="FFFFFF"/>
          </w:tcPr>
          <w:p w14:paraId="546F2ABA" w14:textId="77777777" w:rsidR="00D92F6C" w:rsidRPr="00AE0E82" w:rsidRDefault="00985166" w:rsidP="00AE0E82">
            <w:pPr>
              <w:numPr>
                <w:ilvl w:val="12"/>
                <w:numId w:val="0"/>
              </w:numPr>
              <w:shd w:val="clear" w:color="auto" w:fill="FFFFFF"/>
              <w:spacing w:after="0" w:line="240" w:lineRule="auto"/>
              <w:rPr>
                <w:rFonts w:ascii="Times New Roman" w:hAnsi="Times New Roman"/>
                <w:sz w:val="20"/>
                <w:szCs w:val="20"/>
              </w:rPr>
            </w:pPr>
            <w:r w:rsidRPr="00AE0E82">
              <w:rPr>
                <w:rFonts w:ascii="Times New Roman" w:hAnsi="Times New Roman"/>
                <w:sz w:val="20"/>
                <w:szCs w:val="20"/>
              </w:rPr>
              <w:t>Annual report on implementation on IPA III</w:t>
            </w:r>
          </w:p>
          <w:p w14:paraId="3740587A" w14:textId="073086C5" w:rsidR="00985166" w:rsidRPr="00AE0E82" w:rsidRDefault="00985166" w:rsidP="00AE0E82">
            <w:pPr>
              <w:numPr>
                <w:ilvl w:val="12"/>
                <w:numId w:val="0"/>
              </w:numPr>
              <w:shd w:val="clear" w:color="auto" w:fill="FFFFFF"/>
              <w:spacing w:after="0" w:line="240" w:lineRule="auto"/>
              <w:rPr>
                <w:rFonts w:ascii="Times New Roman" w:hAnsi="Times New Roman"/>
                <w:sz w:val="20"/>
                <w:szCs w:val="20"/>
              </w:rPr>
            </w:pPr>
            <w:r w:rsidRPr="00AE0E82">
              <w:rPr>
                <w:rFonts w:ascii="Times New Roman" w:hAnsi="Times New Roman"/>
                <w:sz w:val="20"/>
                <w:szCs w:val="20"/>
              </w:rPr>
              <w:t xml:space="preserve"> </w:t>
            </w:r>
          </w:p>
        </w:tc>
        <w:tc>
          <w:tcPr>
            <w:tcW w:w="1842" w:type="dxa"/>
            <w:shd w:val="clear" w:color="auto" w:fill="FFFFFF"/>
          </w:tcPr>
          <w:p w14:paraId="3A8F0B8D" w14:textId="21238796" w:rsidR="00D92F6C" w:rsidRPr="00AE0E82" w:rsidRDefault="007D1CF9" w:rsidP="00AE0E82">
            <w:pPr>
              <w:shd w:val="clear" w:color="auto" w:fill="FFFFFF"/>
              <w:spacing w:after="0" w:line="240" w:lineRule="auto"/>
              <w:rPr>
                <w:rFonts w:ascii="Times New Roman" w:hAnsi="Times New Roman"/>
                <w:sz w:val="20"/>
                <w:szCs w:val="20"/>
              </w:rPr>
            </w:pPr>
            <w:r>
              <w:rPr>
                <w:rFonts w:ascii="Times New Roman" w:hAnsi="Times New Roman"/>
                <w:sz w:val="20"/>
                <w:szCs w:val="20"/>
              </w:rPr>
              <w:t>Interest and capacity on behalf of the national stakeholders</w:t>
            </w:r>
            <w:r>
              <w:rPr>
                <w:rFonts w:ascii="Times New Roman" w:hAnsi="Times New Roman"/>
                <w:sz w:val="20"/>
                <w:szCs w:val="20"/>
              </w:rPr>
              <w:t xml:space="preserve"> (</w:t>
            </w:r>
            <w:r w:rsidRPr="007D1CF9">
              <w:rPr>
                <w:rFonts w:ascii="Times New Roman" w:hAnsi="Times New Roman"/>
                <w:sz w:val="20"/>
                <w:szCs w:val="20"/>
              </w:rPr>
              <w:t>institutions / NGOs / companies / natural persons</w:t>
            </w:r>
            <w:r>
              <w:rPr>
                <w:rFonts w:ascii="Times New Roman" w:hAnsi="Times New Roman"/>
                <w:sz w:val="20"/>
                <w:szCs w:val="20"/>
              </w:rPr>
              <w:t xml:space="preserve">) </w:t>
            </w:r>
            <w:r>
              <w:rPr>
                <w:rFonts w:ascii="Times New Roman" w:hAnsi="Times New Roman"/>
                <w:sz w:val="20"/>
                <w:szCs w:val="20"/>
              </w:rPr>
              <w:t>to participate in the Union Programmes</w:t>
            </w:r>
          </w:p>
        </w:tc>
      </w:tr>
      <w:tr w:rsidR="00D92F6C" w:rsidRPr="00AE0E82" w14:paraId="27CB1C38" w14:textId="77777777" w:rsidTr="00275CA9">
        <w:trPr>
          <w:trHeight w:val="332"/>
        </w:trPr>
        <w:tc>
          <w:tcPr>
            <w:tcW w:w="3402" w:type="dxa"/>
            <w:shd w:val="clear" w:color="auto" w:fill="FFFFFF"/>
          </w:tcPr>
          <w:p w14:paraId="4874B363" w14:textId="77777777" w:rsidR="00D92F6C" w:rsidRPr="00AE0E82" w:rsidRDefault="00D92F6C" w:rsidP="00AE0E82">
            <w:pPr>
              <w:shd w:val="clear" w:color="auto" w:fill="FFFFFF"/>
              <w:autoSpaceDE w:val="0"/>
              <w:autoSpaceDN w:val="0"/>
              <w:adjustRightInd w:val="0"/>
              <w:spacing w:after="0" w:line="240" w:lineRule="auto"/>
              <w:jc w:val="center"/>
              <w:rPr>
                <w:rFonts w:ascii="Times New Roman" w:hAnsi="Times New Roman"/>
                <w:sz w:val="20"/>
                <w:szCs w:val="20"/>
              </w:rPr>
            </w:pPr>
            <w:r w:rsidRPr="00AE0E82">
              <w:rPr>
                <w:rFonts w:ascii="Times New Roman" w:hAnsi="Times New Roman"/>
                <w:b/>
                <w:sz w:val="20"/>
                <w:szCs w:val="20"/>
              </w:rPr>
              <w:t>BROAD ARRANGEMENTS FOR IMPLEMENTATION (IF AVAILABLE)</w:t>
            </w:r>
          </w:p>
        </w:tc>
        <w:tc>
          <w:tcPr>
            <w:tcW w:w="11907" w:type="dxa"/>
            <w:gridSpan w:val="6"/>
            <w:shd w:val="clear" w:color="auto" w:fill="FFFFFF"/>
          </w:tcPr>
          <w:p w14:paraId="4012AEDD" w14:textId="122F5576" w:rsidR="00D92F6C" w:rsidRPr="00AE0E82" w:rsidRDefault="0099611C" w:rsidP="00AE0E82">
            <w:pPr>
              <w:shd w:val="clear" w:color="auto" w:fill="FFFFFF"/>
              <w:spacing w:after="0" w:line="240" w:lineRule="auto"/>
              <w:rPr>
                <w:rFonts w:ascii="Times New Roman" w:hAnsi="Times New Roman"/>
                <w:sz w:val="20"/>
                <w:szCs w:val="20"/>
              </w:rPr>
            </w:pPr>
            <w:r>
              <w:rPr>
                <w:rFonts w:ascii="Times New Roman" w:hAnsi="Times New Roman"/>
                <w:sz w:val="20"/>
                <w:szCs w:val="20"/>
              </w:rPr>
              <w:t>Indirect management with beneficiary country</w:t>
            </w:r>
          </w:p>
        </w:tc>
      </w:tr>
    </w:tbl>
    <w:p w14:paraId="36065235" w14:textId="77777777" w:rsidR="00275CA9" w:rsidRDefault="00275CA9" w:rsidP="00D92F6C">
      <w:pPr>
        <w:rPr>
          <w:rFonts w:ascii="Arial" w:hAnsi="Arial" w:cs="Arial"/>
          <w:b/>
          <w:bCs/>
          <w:smallCaps/>
          <w:sz w:val="24"/>
          <w:szCs w:val="20"/>
        </w:rPr>
        <w:sectPr w:rsidR="00275CA9" w:rsidSect="00275CA9">
          <w:pgSz w:w="16838" w:h="11906" w:orient="landscape"/>
          <w:pgMar w:top="567" w:right="1440" w:bottom="426" w:left="1440" w:header="708" w:footer="201" w:gutter="0"/>
          <w:cols w:space="708"/>
          <w:docGrid w:linePitch="360"/>
        </w:sectPr>
      </w:pPr>
    </w:p>
    <w:p w14:paraId="2B8C8822" w14:textId="77777777" w:rsidR="00E607F2" w:rsidRDefault="00E607F2" w:rsidP="007D1CF9"/>
    <w:sectPr w:rsidR="00E607F2" w:rsidSect="00275CA9">
      <w:pgSz w:w="16838" w:h="11906" w:orient="landscape"/>
      <w:pgMar w:top="567" w:right="1440" w:bottom="426" w:left="1440" w:header="708" w:footer="2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715DA" w16cid:durableId="229EEE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89631" w14:textId="77777777" w:rsidR="00610D90" w:rsidRDefault="00610D90" w:rsidP="00D92F6C">
      <w:pPr>
        <w:spacing w:after="0" w:line="240" w:lineRule="auto"/>
      </w:pPr>
      <w:r>
        <w:separator/>
      </w:r>
    </w:p>
  </w:endnote>
  <w:endnote w:type="continuationSeparator" w:id="0">
    <w:p w14:paraId="308A6EA3" w14:textId="77777777" w:rsidR="00610D90" w:rsidRDefault="00610D90"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ABD15" w14:textId="77777777" w:rsidR="00610D90" w:rsidRDefault="00610D90" w:rsidP="00D92F6C">
      <w:pPr>
        <w:spacing w:after="0" w:line="240" w:lineRule="auto"/>
      </w:pPr>
      <w:r>
        <w:separator/>
      </w:r>
    </w:p>
  </w:footnote>
  <w:footnote w:type="continuationSeparator" w:id="0">
    <w:p w14:paraId="7209E5C3" w14:textId="77777777" w:rsidR="00610D90" w:rsidRDefault="00610D90" w:rsidP="00D92F6C">
      <w:pPr>
        <w:spacing w:after="0" w:line="240" w:lineRule="auto"/>
      </w:pPr>
      <w:r>
        <w:continuationSeparator/>
      </w:r>
    </w:p>
  </w:footnote>
  <w:footnote w:id="1">
    <w:p w14:paraId="6F8F5F52" w14:textId="38E55CE4" w:rsidR="00490A07" w:rsidRPr="00D922F8" w:rsidRDefault="00490A07">
      <w:pPr>
        <w:pStyle w:val="FootnoteText"/>
        <w:rPr>
          <w:sz w:val="16"/>
          <w:szCs w:val="16"/>
          <w:lang w:val="es-ES_tradnl"/>
        </w:rPr>
      </w:pPr>
      <w:r w:rsidRPr="00D922F8">
        <w:rPr>
          <w:rStyle w:val="FootnoteReference"/>
          <w:sz w:val="16"/>
          <w:szCs w:val="16"/>
        </w:rPr>
        <w:footnoteRef/>
      </w:r>
      <w:r w:rsidRPr="00D922F8">
        <w:rPr>
          <w:sz w:val="16"/>
          <w:szCs w:val="16"/>
        </w:rPr>
        <w:t xml:space="preserve"> </w:t>
      </w:r>
      <w:r w:rsidRPr="00D922F8">
        <w:rPr>
          <w:sz w:val="16"/>
          <w:szCs w:val="16"/>
          <w:lang w:val="es-ES_tradnl"/>
        </w:rPr>
        <w:t>COM(2003)748 final</w:t>
      </w:r>
    </w:p>
  </w:footnote>
  <w:footnote w:id="2">
    <w:p w14:paraId="54385507" w14:textId="77777777" w:rsidR="00490A07" w:rsidRDefault="00490A07" w:rsidP="0024143B">
      <w:pPr>
        <w:pStyle w:val="FootnoteText"/>
        <w:spacing w:line="240" w:lineRule="auto"/>
        <w:jc w:val="both"/>
      </w:pPr>
      <w:r>
        <w:rPr>
          <w:rStyle w:val="FootnoteReference"/>
        </w:rPr>
        <w:footnoteRef/>
      </w:r>
      <w:r>
        <w:t xml:space="preserve"> </w:t>
      </w:r>
      <w:hyperlink r:id="rId1" w:history="1">
        <w:r>
          <w:rPr>
            <w:rStyle w:val="Hyperlink"/>
            <w:rFonts w:ascii="Arial" w:hAnsi="Arial" w:cs="Arial"/>
            <w:sz w:val="16"/>
            <w:szCs w:val="16"/>
          </w:rPr>
          <w:t>http://www.mtsp.gov.mk/content/pdf/dokumenti/2020/1.4_esrp.pdf</w:t>
        </w:r>
      </w:hyperlink>
      <w:r>
        <w:rPr>
          <w:rStyle w:val="Hyperlink"/>
          <w:rFonts w:ascii="Arial" w:hAnsi="Arial" w:cs="Arial"/>
          <w:sz w:val="16"/>
          <w:szCs w:val="16"/>
        </w:rPr>
        <w:t xml:space="preserve"> </w:t>
      </w:r>
    </w:p>
  </w:footnote>
  <w:footnote w:id="3">
    <w:p w14:paraId="23C30FB2" w14:textId="6BAEEF22" w:rsidR="00490A07" w:rsidRPr="007D1CF9" w:rsidRDefault="00490A07" w:rsidP="00014FAC">
      <w:pPr>
        <w:pStyle w:val="FootnoteText"/>
        <w:rPr>
          <w:sz w:val="18"/>
          <w:szCs w:val="18"/>
        </w:rPr>
      </w:pPr>
      <w:r w:rsidRPr="007D1CF9">
        <w:rPr>
          <w:rStyle w:val="FootnoteReference"/>
          <w:sz w:val="18"/>
          <w:szCs w:val="18"/>
        </w:rPr>
        <w:footnoteRef/>
      </w:r>
      <w:r w:rsidRPr="007D1CF9">
        <w:rPr>
          <w:sz w:val="18"/>
          <w:szCs w:val="18"/>
        </w:rPr>
        <w:t xml:space="preserve"> The baseline value may be "0" (i.e. no reference values are available as the Action represents a novelty for the beneficiary) but cannot be left empty or include references such as "N/A" or "will be determined later".</w:t>
      </w:r>
    </w:p>
  </w:footnote>
  <w:footnote w:id="4">
    <w:p w14:paraId="0D3DDCA9" w14:textId="77777777" w:rsidR="00490A07" w:rsidRPr="007D1CF9" w:rsidRDefault="00490A07">
      <w:pPr>
        <w:pStyle w:val="FootnoteText"/>
        <w:rPr>
          <w:sz w:val="18"/>
          <w:szCs w:val="18"/>
          <w:lang w:val="en-US"/>
        </w:rPr>
      </w:pPr>
      <w:r w:rsidRPr="007D1CF9">
        <w:rPr>
          <w:rStyle w:val="FootnoteReference"/>
          <w:sz w:val="18"/>
          <w:szCs w:val="18"/>
        </w:rPr>
        <w:footnoteRef/>
      </w:r>
      <w:r w:rsidRPr="007D1CF9">
        <w:rPr>
          <w:sz w:val="18"/>
          <w:szCs w:val="18"/>
        </w:rPr>
        <w:t xml:space="preserve"> Each project has only one budget to be used by all the beneficiaries. We made an approximation: budget divided number of participants. However this calculation over estimate the budget received by the Norht Macedonian Organisations.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B1587"/>
    <w:multiLevelType w:val="hybridMultilevel"/>
    <w:tmpl w:val="FCEED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CAD1C88"/>
    <w:multiLevelType w:val="hybridMultilevel"/>
    <w:tmpl w:val="FCB2CEA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4159C3"/>
    <w:multiLevelType w:val="hybridMultilevel"/>
    <w:tmpl w:val="2B26C0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7473FFE"/>
    <w:multiLevelType w:val="hybridMultilevel"/>
    <w:tmpl w:val="55BECF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BDA3B71"/>
    <w:multiLevelType w:val="hybridMultilevel"/>
    <w:tmpl w:val="61E2A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fr-FR" w:vendorID="64" w:dllVersion="131078"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2F6C"/>
    <w:rsid w:val="00014FAC"/>
    <w:rsid w:val="000B5A5E"/>
    <w:rsid w:val="0024143B"/>
    <w:rsid w:val="00275CA9"/>
    <w:rsid w:val="002D5B70"/>
    <w:rsid w:val="002D7429"/>
    <w:rsid w:val="003026C4"/>
    <w:rsid w:val="0033023E"/>
    <w:rsid w:val="00340EE0"/>
    <w:rsid w:val="00373969"/>
    <w:rsid w:val="00490A07"/>
    <w:rsid w:val="004A3AA0"/>
    <w:rsid w:val="004F6D8D"/>
    <w:rsid w:val="00610D90"/>
    <w:rsid w:val="00674EE0"/>
    <w:rsid w:val="006E3F1C"/>
    <w:rsid w:val="006F4901"/>
    <w:rsid w:val="007D1CF9"/>
    <w:rsid w:val="007E51B0"/>
    <w:rsid w:val="007F42E9"/>
    <w:rsid w:val="00857126"/>
    <w:rsid w:val="00894F5A"/>
    <w:rsid w:val="008A0898"/>
    <w:rsid w:val="008B2C10"/>
    <w:rsid w:val="00903F47"/>
    <w:rsid w:val="00904928"/>
    <w:rsid w:val="00914673"/>
    <w:rsid w:val="00936894"/>
    <w:rsid w:val="00940C53"/>
    <w:rsid w:val="00945869"/>
    <w:rsid w:val="00954FE1"/>
    <w:rsid w:val="00967536"/>
    <w:rsid w:val="00985166"/>
    <w:rsid w:val="0099611C"/>
    <w:rsid w:val="009B34C1"/>
    <w:rsid w:val="009E39AE"/>
    <w:rsid w:val="00AE0E82"/>
    <w:rsid w:val="00AF10DE"/>
    <w:rsid w:val="00AF46C8"/>
    <w:rsid w:val="00B10991"/>
    <w:rsid w:val="00B93F20"/>
    <w:rsid w:val="00BC52EF"/>
    <w:rsid w:val="00C7346F"/>
    <w:rsid w:val="00C760EF"/>
    <w:rsid w:val="00C92141"/>
    <w:rsid w:val="00CA1A12"/>
    <w:rsid w:val="00CB1C26"/>
    <w:rsid w:val="00D922F8"/>
    <w:rsid w:val="00D92F6C"/>
    <w:rsid w:val="00DE42E4"/>
    <w:rsid w:val="00DE587F"/>
    <w:rsid w:val="00DE79F3"/>
    <w:rsid w:val="00E607F2"/>
    <w:rsid w:val="00EC5447"/>
    <w:rsid w:val="00EE6D8F"/>
    <w:rsid w:val="00F83B5C"/>
    <w:rsid w:val="00F83FEA"/>
    <w:rsid w:val="00FC7AF5"/>
    <w:rsid w:val="00FE56B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A7F31D"/>
  <w15:docId w15:val="{CE5FA6C4-FC95-46FA-B081-BB89B7FC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lang w:val="x-none" w:eastAsia="x-none"/>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val="x-none"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val="x-none"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uiPriority w:val="99"/>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character" w:styleId="Hyperlink">
    <w:name w:val="Hyperlink"/>
    <w:basedOn w:val="DefaultParagraphFont"/>
    <w:uiPriority w:val="99"/>
    <w:rsid w:val="0024143B"/>
    <w:rPr>
      <w:rFonts w:cs="Times New Roman"/>
      <w:color w:val="0000FF"/>
      <w:u w:val="single"/>
    </w:rPr>
  </w:style>
  <w:style w:type="paragraph" w:styleId="BalloonText">
    <w:name w:val="Balloon Text"/>
    <w:basedOn w:val="Normal"/>
    <w:link w:val="BalloonTextChar"/>
    <w:uiPriority w:val="99"/>
    <w:semiHidden/>
    <w:unhideWhenUsed/>
    <w:rsid w:val="00AE0E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0E82"/>
    <w:rPr>
      <w:rFonts w:ascii="Segoe UI" w:eastAsia="Times New Roman" w:hAnsi="Segoe UI" w:cs="Segoe UI"/>
      <w:sz w:val="18"/>
      <w:szCs w:val="18"/>
      <w:lang w:val="en-GB" w:eastAsia="en-GB"/>
    </w:rPr>
  </w:style>
  <w:style w:type="character" w:styleId="CommentReference">
    <w:name w:val="annotation reference"/>
    <w:basedOn w:val="DefaultParagraphFont"/>
    <w:uiPriority w:val="99"/>
    <w:semiHidden/>
    <w:unhideWhenUsed/>
    <w:rsid w:val="00AE0E82"/>
    <w:rPr>
      <w:sz w:val="16"/>
      <w:szCs w:val="16"/>
    </w:rPr>
  </w:style>
  <w:style w:type="paragraph" w:styleId="CommentText">
    <w:name w:val="annotation text"/>
    <w:basedOn w:val="Normal"/>
    <w:link w:val="CommentTextChar"/>
    <w:uiPriority w:val="99"/>
    <w:semiHidden/>
    <w:unhideWhenUsed/>
    <w:rsid w:val="00AE0E82"/>
    <w:pPr>
      <w:spacing w:line="240" w:lineRule="auto"/>
    </w:pPr>
    <w:rPr>
      <w:sz w:val="20"/>
      <w:szCs w:val="20"/>
    </w:rPr>
  </w:style>
  <w:style w:type="character" w:customStyle="1" w:styleId="CommentTextChar">
    <w:name w:val="Comment Text Char"/>
    <w:basedOn w:val="DefaultParagraphFont"/>
    <w:link w:val="CommentText"/>
    <w:uiPriority w:val="99"/>
    <w:semiHidden/>
    <w:rsid w:val="00AE0E82"/>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AE0E82"/>
    <w:rPr>
      <w:b/>
      <w:bCs/>
    </w:rPr>
  </w:style>
  <w:style w:type="character" w:customStyle="1" w:styleId="CommentSubjectChar">
    <w:name w:val="Comment Subject Char"/>
    <w:basedOn w:val="CommentTextChar"/>
    <w:link w:val="CommentSubject"/>
    <w:uiPriority w:val="99"/>
    <w:semiHidden/>
    <w:rsid w:val="00AE0E82"/>
    <w:rPr>
      <w:rFonts w:ascii="Calibri" w:eastAsia="Times New Roman" w:hAnsi="Calibri"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www.mtsp.gov.mk/content/pdf/dokumenti/2020/1.4_esr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46B15-D5FB-457B-9F78-A8662580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1140</Words>
  <Characters>6820</Characters>
  <Application>Microsoft Office Word</Application>
  <DocSecurity>0</DocSecurity>
  <Lines>310</Lines>
  <Paragraphs>110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SAVIOLO Andrea (NEAR)</dc:creator>
  <cp:lastModifiedBy>PRODANOVA Donka (EEAS-SKOPJE)</cp:lastModifiedBy>
  <cp:revision>3</cp:revision>
  <dcterms:created xsi:type="dcterms:W3CDTF">2020-07-07T08:06:00Z</dcterms:created>
  <dcterms:modified xsi:type="dcterms:W3CDTF">2020-07-07T08:07:00Z</dcterms:modified>
</cp:coreProperties>
</file>