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F34625" w14:textId="12B3E595" w:rsidR="00D92F6C" w:rsidRPr="00B25B2B" w:rsidRDefault="00B10991" w:rsidP="00D92F6C">
      <w:pPr>
        <w:pStyle w:val="Heading2"/>
        <w:rPr>
          <w:rFonts w:ascii="Times New Roman" w:hAnsi="Times New Roman"/>
          <w:b w:val="0"/>
          <w:bCs w:val="0"/>
          <w:smallCaps/>
          <w:sz w:val="24"/>
          <w:szCs w:val="24"/>
        </w:rPr>
      </w:pPr>
      <w:bookmarkStart w:id="0" w:name="_Toc33714665"/>
      <w:r w:rsidRPr="00B25B2B">
        <w:rPr>
          <w:rFonts w:ascii="Times New Roman" w:hAnsi="Times New Roman"/>
          <w:smallCaps/>
          <w:color w:val="auto"/>
          <w:sz w:val="24"/>
          <w:szCs w:val="24"/>
          <w:lang w:val="it-IT"/>
        </w:rPr>
        <w:t>ANNEX I –</w:t>
      </w:r>
      <w:r w:rsidR="00D92F6C" w:rsidRPr="00B25B2B">
        <w:rPr>
          <w:rFonts w:ascii="Times New Roman" w:hAnsi="Times New Roman"/>
          <w:smallCaps/>
          <w:color w:val="auto"/>
          <w:sz w:val="24"/>
          <w:szCs w:val="24"/>
          <w:lang w:val="it-IT"/>
        </w:rPr>
        <w:t xml:space="preserve"> </w:t>
      </w:r>
      <w:r w:rsidRPr="00B25B2B">
        <w:rPr>
          <w:rFonts w:ascii="Times New Roman" w:hAnsi="Times New Roman"/>
          <w:smallCaps/>
          <w:color w:val="auto"/>
          <w:sz w:val="24"/>
          <w:szCs w:val="24"/>
          <w:lang w:val="it-IT"/>
        </w:rPr>
        <w:t xml:space="preserve">IPA III </w:t>
      </w:r>
      <w:r w:rsidR="00D92F6C" w:rsidRPr="00B25B2B">
        <w:rPr>
          <w:rFonts w:ascii="Times New Roman" w:hAnsi="Times New Roman"/>
          <w:smallCaps/>
          <w:color w:val="auto"/>
          <w:sz w:val="24"/>
          <w:szCs w:val="24"/>
          <w:lang w:val="it-IT"/>
        </w:rPr>
        <w:t>A</w:t>
      </w:r>
      <w:r w:rsidRPr="00B25B2B">
        <w:rPr>
          <w:rFonts w:ascii="Times New Roman" w:hAnsi="Times New Roman"/>
          <w:smallCaps/>
          <w:color w:val="auto"/>
          <w:sz w:val="24"/>
          <w:szCs w:val="24"/>
          <w:lang w:val="it-IT"/>
        </w:rPr>
        <w:t xml:space="preserve">ction Fiche </w:t>
      </w:r>
      <w:bookmarkEnd w:id="0"/>
    </w:p>
    <w:p w14:paraId="5ED6C3FE" w14:textId="77777777" w:rsidR="00D92F6C" w:rsidRPr="00B25B2B" w:rsidRDefault="00D92F6C" w:rsidP="00D92F6C">
      <w:pPr>
        <w:keepNext/>
        <w:keepLines/>
        <w:spacing w:before="200" w:after="0"/>
        <w:outlineLvl w:val="1"/>
        <w:rPr>
          <w:rFonts w:ascii="Times New Roman" w:hAnsi="Times New Roman"/>
          <w:b/>
          <w:bCs/>
          <w:smallCaps/>
          <w:sz w:val="24"/>
          <w:szCs w:val="24"/>
          <w:lang w:val="it-IT" w:eastAsia="x-none"/>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7229"/>
      </w:tblGrid>
      <w:tr w:rsidR="00D92F6C" w:rsidRPr="00B25B2B" w14:paraId="0D1F87A4" w14:textId="77777777" w:rsidTr="00E67F66">
        <w:trPr>
          <w:jc w:val="center"/>
        </w:trPr>
        <w:tc>
          <w:tcPr>
            <w:tcW w:w="534" w:type="dxa"/>
            <w:tcBorders>
              <w:top w:val="single" w:sz="4" w:space="0" w:color="auto"/>
              <w:left w:val="single" w:sz="4" w:space="0" w:color="auto"/>
              <w:bottom w:val="single" w:sz="4" w:space="0" w:color="auto"/>
              <w:right w:val="single" w:sz="4" w:space="0" w:color="auto"/>
            </w:tcBorders>
          </w:tcPr>
          <w:p w14:paraId="7029DD35" w14:textId="77777777" w:rsidR="00D92F6C" w:rsidRPr="00B25B2B" w:rsidRDefault="00D92F6C" w:rsidP="00E67F66">
            <w:pPr>
              <w:spacing w:after="0" w:line="240" w:lineRule="auto"/>
              <w:rPr>
                <w:rFonts w:ascii="Times New Roman" w:hAnsi="Times New Roman"/>
                <w:b/>
                <w:sz w:val="24"/>
                <w:szCs w:val="24"/>
                <w:lang w:val="it-IT"/>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11836B7" w14:textId="77777777" w:rsidR="00D92F6C" w:rsidRPr="00B25B2B" w:rsidRDefault="00D92F6C" w:rsidP="00E67F66">
            <w:pPr>
              <w:spacing w:after="0" w:line="240" w:lineRule="auto"/>
              <w:rPr>
                <w:rFonts w:ascii="Times New Roman" w:hAnsi="Times New Roman"/>
                <w:sz w:val="24"/>
                <w:szCs w:val="24"/>
              </w:rPr>
            </w:pPr>
            <w:r w:rsidRPr="00B25B2B">
              <w:rPr>
                <w:rFonts w:ascii="Times New Roman" w:hAnsi="Times New Roman"/>
                <w:sz w:val="24"/>
                <w:szCs w:val="24"/>
              </w:rPr>
              <w:t>Indicative title of the Action</w:t>
            </w:r>
          </w:p>
          <w:p w14:paraId="68F7B2B7" w14:textId="77777777" w:rsidR="00D92F6C" w:rsidRPr="00B25B2B" w:rsidRDefault="00D92F6C" w:rsidP="00E67F66">
            <w:pPr>
              <w:spacing w:after="0" w:line="240" w:lineRule="auto"/>
              <w:rPr>
                <w:rFonts w:ascii="Times New Roman" w:hAnsi="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1900514" w14:textId="31964F0E" w:rsidR="00D92F6C" w:rsidRPr="00EF709E" w:rsidRDefault="00A52560" w:rsidP="00EF709E">
            <w:pPr>
              <w:spacing w:after="0" w:line="240" w:lineRule="auto"/>
              <w:rPr>
                <w:rFonts w:ascii="Times New Roman" w:hAnsi="Times New Roman"/>
                <w:b/>
                <w:bCs/>
                <w:sz w:val="24"/>
                <w:szCs w:val="24"/>
              </w:rPr>
            </w:pPr>
            <w:r w:rsidRPr="00EF709E">
              <w:rPr>
                <w:rFonts w:ascii="Times New Roman" w:hAnsi="Times New Roman"/>
                <w:b/>
                <w:sz w:val="24"/>
                <w:szCs w:val="24"/>
              </w:rPr>
              <w:t>EU for Clean Air</w:t>
            </w:r>
          </w:p>
        </w:tc>
      </w:tr>
      <w:tr w:rsidR="00D92F6C" w:rsidRPr="00B25B2B" w14:paraId="6072B23A" w14:textId="77777777" w:rsidTr="00E67F66">
        <w:trPr>
          <w:jc w:val="center"/>
        </w:trPr>
        <w:tc>
          <w:tcPr>
            <w:tcW w:w="534" w:type="dxa"/>
            <w:vMerge w:val="restart"/>
            <w:tcBorders>
              <w:top w:val="single" w:sz="4" w:space="0" w:color="auto"/>
              <w:left w:val="single" w:sz="4" w:space="0" w:color="auto"/>
              <w:right w:val="single" w:sz="4" w:space="0" w:color="auto"/>
            </w:tcBorders>
            <w:textDirection w:val="btLr"/>
          </w:tcPr>
          <w:p w14:paraId="0DA35AFA" w14:textId="77777777" w:rsidR="00D92F6C" w:rsidRPr="00B25B2B" w:rsidRDefault="00D92F6C" w:rsidP="00E67F66">
            <w:pPr>
              <w:spacing w:after="0" w:line="240" w:lineRule="auto"/>
              <w:ind w:left="113" w:right="113"/>
              <w:rPr>
                <w:rFonts w:ascii="Times New Roman" w:hAnsi="Times New Roman"/>
                <w:sz w:val="24"/>
                <w:szCs w:val="24"/>
              </w:rPr>
            </w:pPr>
            <w:r w:rsidRPr="00B25B2B">
              <w:rPr>
                <w:rFonts w:ascii="Times New Roman" w:hAnsi="Times New Roman"/>
                <w:b/>
                <w:sz w:val="24"/>
                <w:szCs w:val="24"/>
              </w:rPr>
              <w:t>CRITERIA FOR RELEVANCE ASSESSMENT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EE5D0DE" w14:textId="77777777" w:rsidR="00D92F6C" w:rsidRPr="00B25B2B" w:rsidRDefault="00D92F6C" w:rsidP="00E67F66">
            <w:pPr>
              <w:spacing w:after="0" w:line="240" w:lineRule="auto"/>
              <w:rPr>
                <w:rFonts w:ascii="Times New Roman" w:hAnsi="Times New Roman"/>
                <w:sz w:val="24"/>
                <w:szCs w:val="24"/>
              </w:rPr>
            </w:pPr>
            <w:r w:rsidRPr="00B25B2B">
              <w:rPr>
                <w:rFonts w:ascii="Times New Roman" w:hAnsi="Times New Roman"/>
                <w:sz w:val="24"/>
                <w:szCs w:val="24"/>
              </w:rPr>
              <w:t>Key thematic priority</w:t>
            </w:r>
          </w:p>
          <w:p w14:paraId="618AC500" w14:textId="77777777" w:rsidR="00D92F6C" w:rsidRPr="00B25B2B" w:rsidRDefault="00D92F6C" w:rsidP="00E67F66">
            <w:pPr>
              <w:spacing w:after="0" w:line="240" w:lineRule="auto"/>
              <w:rPr>
                <w:rFonts w:ascii="Times New Roman" w:hAnsi="Times New Roman"/>
                <w:i/>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D05F3D0" w14:textId="445FB39A" w:rsidR="00B25B2B" w:rsidRPr="00B25B2B" w:rsidRDefault="00006298" w:rsidP="00B25B2B">
            <w:pPr>
              <w:spacing w:before="120" w:after="0" w:line="240" w:lineRule="auto"/>
              <w:jc w:val="both"/>
              <w:rPr>
                <w:rFonts w:ascii="Times New Roman" w:eastAsia="Arial Unicode MS" w:hAnsi="Times New Roman"/>
                <w:b/>
                <w:bCs/>
                <w:i/>
                <w:iCs/>
                <w:sz w:val="24"/>
                <w:szCs w:val="24"/>
              </w:rPr>
            </w:pPr>
            <w:r>
              <w:rPr>
                <w:rFonts w:ascii="Times New Roman" w:eastAsia="Arial Unicode MS" w:hAnsi="Times New Roman"/>
                <w:b/>
                <w:bCs/>
                <w:i/>
                <w:iCs/>
                <w:sz w:val="24"/>
                <w:szCs w:val="24"/>
              </w:rPr>
              <w:t>Environment and climate change</w:t>
            </w:r>
          </w:p>
          <w:p w14:paraId="23B48C2F" w14:textId="6B5167BF" w:rsidR="00D92F6C" w:rsidRPr="00B25B2B" w:rsidRDefault="00D92F6C" w:rsidP="009E39AE">
            <w:pPr>
              <w:spacing w:after="0" w:line="240" w:lineRule="auto"/>
              <w:rPr>
                <w:rFonts w:ascii="Times New Roman" w:hAnsi="Times New Roman"/>
                <w:bCs/>
                <w:sz w:val="24"/>
                <w:szCs w:val="24"/>
              </w:rPr>
            </w:pPr>
          </w:p>
        </w:tc>
      </w:tr>
      <w:tr w:rsidR="00D92F6C" w:rsidRPr="00B25B2B" w14:paraId="2A2E7542" w14:textId="77777777" w:rsidTr="00E67F66">
        <w:trPr>
          <w:jc w:val="center"/>
        </w:trPr>
        <w:tc>
          <w:tcPr>
            <w:tcW w:w="534" w:type="dxa"/>
            <w:vMerge/>
            <w:tcBorders>
              <w:left w:val="single" w:sz="4" w:space="0" w:color="auto"/>
              <w:right w:val="single" w:sz="4" w:space="0" w:color="auto"/>
            </w:tcBorders>
          </w:tcPr>
          <w:p w14:paraId="2B2C3C07" w14:textId="77777777" w:rsidR="00D92F6C" w:rsidRPr="00B25B2B" w:rsidRDefault="00D92F6C" w:rsidP="00E67F66">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B07B407" w14:textId="77777777" w:rsidR="00D92F6C" w:rsidRPr="00B25B2B" w:rsidRDefault="00D92F6C" w:rsidP="00E67F66">
            <w:pPr>
              <w:spacing w:after="0"/>
              <w:rPr>
                <w:rFonts w:ascii="Times New Roman" w:hAnsi="Times New Roman"/>
                <w:sz w:val="24"/>
                <w:szCs w:val="24"/>
              </w:rPr>
            </w:pPr>
            <w:r w:rsidRPr="00B25B2B">
              <w:rPr>
                <w:rFonts w:ascii="Times New Roman" w:hAnsi="Times New Roman"/>
                <w:sz w:val="24"/>
                <w:szCs w:val="24"/>
              </w:rPr>
              <w:t>Links with specific policy instruments of the enlargement process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FE9AFD0" w14:textId="09A81A08" w:rsidR="00B25B2B" w:rsidRPr="00006298" w:rsidRDefault="00B25B2B" w:rsidP="00006298">
            <w:pPr>
              <w:numPr>
                <w:ilvl w:val="0"/>
                <w:numId w:val="6"/>
              </w:numPr>
              <w:spacing w:before="120" w:after="0" w:line="240" w:lineRule="auto"/>
              <w:ind w:left="0"/>
              <w:jc w:val="both"/>
              <w:rPr>
                <w:rFonts w:ascii="Times New Roman" w:hAnsi="Times New Roman"/>
                <w:sz w:val="24"/>
                <w:szCs w:val="24"/>
                <w:lang w:eastAsia="ja-JP" w:bidi="mn-Mong-CN"/>
              </w:rPr>
            </w:pPr>
            <w:r w:rsidRPr="00006298">
              <w:rPr>
                <w:rFonts w:ascii="Times New Roman" w:hAnsi="Times New Roman"/>
                <w:sz w:val="24"/>
                <w:szCs w:val="24"/>
              </w:rPr>
              <w:t xml:space="preserve">The proposed Action will contribute to the implementation of the EU acquis under Chapter 27. In particular it will support the implementation of </w:t>
            </w:r>
            <w:hyperlink r:id="rId7" w:history="1">
              <w:r w:rsidRPr="00006298">
                <w:rPr>
                  <w:rFonts w:ascii="Times New Roman" w:hAnsi="Times New Roman"/>
                  <w:sz w:val="24"/>
                  <w:szCs w:val="24"/>
                  <w:bdr w:val="none" w:sz="0" w:space="0" w:color="auto" w:frame="1"/>
                  <w:lang w:eastAsia="ja-JP" w:bidi="mn-Mong-CN"/>
                </w:rPr>
                <w:t>Directive 2008/50/EC</w:t>
              </w:r>
            </w:hyperlink>
            <w:r w:rsidRPr="00006298">
              <w:rPr>
                <w:rFonts w:ascii="Times New Roman" w:hAnsi="Times New Roman"/>
                <w:sz w:val="24"/>
                <w:szCs w:val="24"/>
                <w:lang w:eastAsia="ja-JP" w:bidi="mn-Mong-CN"/>
              </w:rPr>
              <w:t xml:space="preserve"> on ambient air quality and cleaner air, </w:t>
            </w:r>
            <w:hyperlink r:id="rId8" w:history="1">
              <w:r w:rsidRPr="00006298">
                <w:rPr>
                  <w:rFonts w:ascii="Times New Roman" w:hAnsi="Times New Roman"/>
                  <w:sz w:val="24"/>
                  <w:szCs w:val="24"/>
                  <w:bdr w:val="none" w:sz="0" w:space="0" w:color="auto" w:frame="1"/>
                  <w:lang w:eastAsia="ja-JP" w:bidi="mn-Mong-CN"/>
                </w:rPr>
                <w:t>Directive 2015/1480/EC</w:t>
              </w:r>
            </w:hyperlink>
            <w:r w:rsidRPr="00006298">
              <w:rPr>
                <w:rFonts w:ascii="Times New Roman" w:hAnsi="Times New Roman"/>
                <w:sz w:val="24"/>
                <w:szCs w:val="24"/>
                <w:lang w:eastAsia="ja-JP" w:bidi="mn-Mong-CN"/>
              </w:rPr>
              <w:t> and Directives 2004/107/EC and 2008/50/EC of laying down the rules concerning reference methods, data validation and location of sampling points for the assessment of ambient air quality.</w:t>
            </w:r>
          </w:p>
          <w:p w14:paraId="1B05926B" w14:textId="78A3DDB7" w:rsidR="005D65B4" w:rsidRPr="00006298" w:rsidRDefault="005D65B4" w:rsidP="00006298">
            <w:pPr>
              <w:spacing w:before="120" w:after="0" w:line="240" w:lineRule="auto"/>
              <w:jc w:val="both"/>
              <w:rPr>
                <w:rFonts w:ascii="Times New Roman" w:hAnsi="Times New Roman"/>
                <w:sz w:val="24"/>
                <w:szCs w:val="24"/>
              </w:rPr>
            </w:pPr>
            <w:r w:rsidRPr="00006298">
              <w:rPr>
                <w:rFonts w:ascii="Times New Roman" w:hAnsi="Times New Roman"/>
                <w:sz w:val="24"/>
                <w:szCs w:val="24"/>
              </w:rPr>
              <w:t>This action aims at improving the quality of life and decreasing the health risks in Skopje and the biggest urban agglomerations through reducing air pollution. Focus is on replacing highly polluting heating systems with modern solutions and connecting buildings to district heating systems operating on gas. This support will be coupled with measures sensitising local communities on the harmful effects of using solid fuels and oil systems and improving the capacities of the local central heating operators to attract and keep clients. Support will be provided also to reduce the pollution in the public transport sector through replacing most polluting buses. The action involves measures to enhance the natural air filtration though planting trees and greening the urban areas</w:t>
            </w:r>
            <w:r w:rsidR="003D7D89">
              <w:rPr>
                <w:rFonts w:ascii="Times New Roman" w:hAnsi="Times New Roman"/>
                <w:sz w:val="24"/>
                <w:szCs w:val="24"/>
              </w:rPr>
              <w:t xml:space="preserve"> as well as the elaboration of studies aiming at programming additional measures to reduce the air pollution. Inter alia these studies will address </w:t>
            </w:r>
            <w:r w:rsidR="00972FC6">
              <w:rPr>
                <w:sz w:val="24"/>
                <w:szCs w:val="24"/>
              </w:rPr>
              <w:t xml:space="preserve">the preparation of a </w:t>
            </w:r>
            <w:r w:rsidR="00972FC6">
              <w:t>Just Transition Mechanism that will allow for North Macedonia to align its energy and environmental policies with the EU Green Agenda as well as studies to optimize the district heating in Skopje</w:t>
            </w:r>
            <w:r w:rsidRPr="00006298">
              <w:rPr>
                <w:rFonts w:ascii="Times New Roman" w:hAnsi="Times New Roman"/>
                <w:sz w:val="24"/>
                <w:szCs w:val="24"/>
              </w:rPr>
              <w:t>. Finally, the activities are expected to improve the capacity of the municipalities to measure and control the level of pollution.</w:t>
            </w:r>
          </w:p>
          <w:p w14:paraId="151EDD1A" w14:textId="7D5D0AF0" w:rsidR="00D92F6C" w:rsidRPr="00006298" w:rsidRDefault="00C7381A" w:rsidP="00006298">
            <w:pPr>
              <w:spacing w:before="120" w:after="0" w:line="240" w:lineRule="auto"/>
              <w:jc w:val="both"/>
              <w:rPr>
                <w:rFonts w:ascii="Times New Roman" w:hAnsi="Times New Roman"/>
                <w:sz w:val="24"/>
                <w:szCs w:val="24"/>
              </w:rPr>
            </w:pPr>
            <w:r w:rsidRPr="00006298">
              <w:rPr>
                <w:rFonts w:ascii="Times New Roman" w:hAnsi="Times New Roman"/>
                <w:sz w:val="24"/>
                <w:szCs w:val="24"/>
              </w:rPr>
              <w:t xml:space="preserve">Further on, the Action addresses the findings of the </w:t>
            </w:r>
            <w:r w:rsidRPr="00006298">
              <w:rPr>
                <w:rFonts w:ascii="Times New Roman" w:hAnsi="Times New Roman"/>
                <w:b/>
                <w:sz w:val="24"/>
                <w:szCs w:val="24"/>
              </w:rPr>
              <w:t xml:space="preserve">EC Country Report </w:t>
            </w:r>
            <w:r w:rsidRPr="00006298">
              <w:rPr>
                <w:rFonts w:ascii="Times New Roman" w:hAnsi="Times New Roman"/>
                <w:sz w:val="24"/>
                <w:szCs w:val="24"/>
              </w:rPr>
              <w:t xml:space="preserve">(Chapter 27: Environment and climate change) and in particular the recommendation to implement air quality improvement measures by ensuring efficient coordination between central and local authorities, and the allocation of sufficient financial resources; and (Chapter 15: Energy) to develop and implement municipal energy efficiency programmes. </w:t>
            </w:r>
          </w:p>
          <w:p w14:paraId="5C14EF55" w14:textId="7AD4B17D" w:rsidR="00185BF3" w:rsidRPr="00006298" w:rsidRDefault="00185BF3" w:rsidP="00006298">
            <w:pPr>
              <w:spacing w:before="120" w:after="0" w:line="240" w:lineRule="auto"/>
              <w:jc w:val="both"/>
              <w:rPr>
                <w:rFonts w:ascii="Times New Roman" w:hAnsi="Times New Roman"/>
                <w:sz w:val="24"/>
                <w:szCs w:val="24"/>
              </w:rPr>
            </w:pPr>
            <w:r w:rsidRPr="00006298">
              <w:rPr>
                <w:rFonts w:ascii="Times New Roman" w:hAnsi="Times New Roman"/>
                <w:sz w:val="24"/>
                <w:szCs w:val="24"/>
              </w:rPr>
              <w:t xml:space="preserve">Finally, the Action addresses the conclusion of the </w:t>
            </w:r>
            <w:r w:rsidRPr="00006298">
              <w:rPr>
                <w:rFonts w:ascii="Times New Roman" w:hAnsi="Times New Roman"/>
                <w:b/>
                <w:bCs/>
                <w:sz w:val="24"/>
                <w:szCs w:val="24"/>
              </w:rPr>
              <w:t>Stabilisation and Association Agreement</w:t>
            </w:r>
            <w:r w:rsidR="00297761" w:rsidRPr="00006298">
              <w:rPr>
                <w:rFonts w:ascii="Times New Roman" w:hAnsi="Times New Roman"/>
                <w:b/>
                <w:bCs/>
                <w:sz w:val="24"/>
                <w:szCs w:val="24"/>
              </w:rPr>
              <w:t xml:space="preserve"> </w:t>
            </w:r>
            <w:r w:rsidR="00006298">
              <w:rPr>
                <w:rFonts w:ascii="Times New Roman" w:hAnsi="Times New Roman"/>
                <w:b/>
                <w:bCs/>
                <w:sz w:val="24"/>
                <w:szCs w:val="24"/>
              </w:rPr>
              <w:t xml:space="preserve">Committee </w:t>
            </w:r>
            <w:r w:rsidR="00297761" w:rsidRPr="00006298">
              <w:rPr>
                <w:rFonts w:ascii="Times New Roman" w:hAnsi="Times New Roman"/>
                <w:b/>
                <w:bCs/>
                <w:sz w:val="24"/>
                <w:szCs w:val="24"/>
              </w:rPr>
              <w:t>2019</w:t>
            </w:r>
            <w:r w:rsidR="00006298">
              <w:rPr>
                <w:rFonts w:ascii="Times New Roman" w:hAnsi="Times New Roman"/>
                <w:sz w:val="24"/>
                <w:szCs w:val="24"/>
              </w:rPr>
              <w:t>, which underlined the need of</w:t>
            </w:r>
            <w:r w:rsidRPr="00006298">
              <w:rPr>
                <w:rFonts w:ascii="Times New Roman" w:hAnsi="Times New Roman"/>
                <w:sz w:val="24"/>
                <w:szCs w:val="24"/>
              </w:rPr>
              <w:t xml:space="preserve"> </w:t>
            </w:r>
            <w:r w:rsidR="00006298" w:rsidRPr="00006298">
              <w:rPr>
                <w:rFonts w:ascii="Times New Roman" w:hAnsi="Times New Roman"/>
                <w:sz w:val="24"/>
                <w:szCs w:val="24"/>
              </w:rPr>
              <w:t>intensif</w:t>
            </w:r>
            <w:r w:rsidR="00006298">
              <w:rPr>
                <w:rFonts w:ascii="Times New Roman" w:hAnsi="Times New Roman"/>
                <w:sz w:val="24"/>
                <w:szCs w:val="24"/>
              </w:rPr>
              <w:t>ying</w:t>
            </w:r>
            <w:r w:rsidRPr="00006298">
              <w:rPr>
                <w:rFonts w:ascii="Times New Roman" w:hAnsi="Times New Roman"/>
                <w:sz w:val="24"/>
                <w:szCs w:val="24"/>
              </w:rPr>
              <w:t xml:space="preserve"> the coordination and cooperation between national and local authorities, optimiz</w:t>
            </w:r>
            <w:r w:rsidR="00006298">
              <w:rPr>
                <w:rFonts w:ascii="Times New Roman" w:hAnsi="Times New Roman"/>
                <w:sz w:val="24"/>
                <w:szCs w:val="24"/>
              </w:rPr>
              <w:t xml:space="preserve">ing </w:t>
            </w:r>
            <w:r w:rsidRPr="00006298">
              <w:rPr>
                <w:rFonts w:ascii="Times New Roman" w:hAnsi="Times New Roman"/>
                <w:sz w:val="24"/>
                <w:szCs w:val="24"/>
              </w:rPr>
              <w:t>the measures for improvement of air quality</w:t>
            </w:r>
            <w:r w:rsidR="00006298">
              <w:rPr>
                <w:rFonts w:ascii="Times New Roman" w:hAnsi="Times New Roman"/>
                <w:sz w:val="24"/>
                <w:szCs w:val="24"/>
              </w:rPr>
              <w:t xml:space="preserve">, </w:t>
            </w:r>
            <w:r w:rsidR="00CA6F08" w:rsidRPr="00006298">
              <w:rPr>
                <w:rFonts w:ascii="Times New Roman" w:hAnsi="Times New Roman"/>
                <w:sz w:val="24"/>
                <w:szCs w:val="24"/>
              </w:rPr>
              <w:t>operationaliz</w:t>
            </w:r>
            <w:r w:rsidR="00006298">
              <w:rPr>
                <w:rFonts w:ascii="Times New Roman" w:hAnsi="Times New Roman"/>
                <w:sz w:val="24"/>
                <w:szCs w:val="24"/>
              </w:rPr>
              <w:t>ing the</w:t>
            </w:r>
            <w:r w:rsidRPr="00006298">
              <w:rPr>
                <w:rFonts w:ascii="Times New Roman" w:hAnsi="Times New Roman"/>
                <w:sz w:val="24"/>
                <w:szCs w:val="24"/>
              </w:rPr>
              <w:t xml:space="preserve"> air quality monitoring network</w:t>
            </w:r>
            <w:r w:rsidR="00CA6F08" w:rsidRPr="00006298">
              <w:rPr>
                <w:rFonts w:ascii="Times New Roman" w:hAnsi="Times New Roman"/>
                <w:sz w:val="24"/>
                <w:szCs w:val="24"/>
              </w:rPr>
              <w:t xml:space="preserve"> </w:t>
            </w:r>
            <w:r w:rsidR="00BC4D43" w:rsidRPr="00006298">
              <w:rPr>
                <w:rFonts w:ascii="Times New Roman" w:hAnsi="Times New Roman"/>
                <w:sz w:val="24"/>
                <w:szCs w:val="24"/>
              </w:rPr>
              <w:t>and mainstream</w:t>
            </w:r>
            <w:r w:rsidR="00006298">
              <w:rPr>
                <w:rFonts w:ascii="Times New Roman" w:hAnsi="Times New Roman"/>
                <w:sz w:val="24"/>
                <w:szCs w:val="24"/>
              </w:rPr>
              <w:t>ing</w:t>
            </w:r>
            <w:r w:rsidR="00BC4D43" w:rsidRPr="00006298">
              <w:rPr>
                <w:rFonts w:ascii="Times New Roman" w:hAnsi="Times New Roman"/>
                <w:sz w:val="24"/>
                <w:szCs w:val="24"/>
              </w:rPr>
              <w:t xml:space="preserve"> climate action in all relevant sectors.</w:t>
            </w:r>
          </w:p>
        </w:tc>
      </w:tr>
      <w:tr w:rsidR="00D92F6C" w:rsidRPr="00B25B2B" w14:paraId="70360350" w14:textId="77777777" w:rsidTr="00E67F66">
        <w:trPr>
          <w:jc w:val="center"/>
        </w:trPr>
        <w:tc>
          <w:tcPr>
            <w:tcW w:w="534" w:type="dxa"/>
            <w:vMerge/>
            <w:tcBorders>
              <w:left w:val="single" w:sz="4" w:space="0" w:color="auto"/>
              <w:right w:val="single" w:sz="4" w:space="0" w:color="auto"/>
            </w:tcBorders>
          </w:tcPr>
          <w:p w14:paraId="53553599" w14:textId="77777777" w:rsidR="00D92F6C" w:rsidRPr="00B25B2B" w:rsidRDefault="00D92F6C" w:rsidP="00E67F66">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6F61982" w14:textId="77777777" w:rsidR="00D92F6C" w:rsidRPr="00B25B2B" w:rsidRDefault="00D92F6C" w:rsidP="00E67F66">
            <w:pPr>
              <w:spacing w:after="0"/>
              <w:rPr>
                <w:rFonts w:ascii="Times New Roman" w:hAnsi="Times New Roman"/>
                <w:sz w:val="24"/>
                <w:szCs w:val="24"/>
              </w:rPr>
            </w:pPr>
            <w:r w:rsidRPr="00B25B2B">
              <w:rPr>
                <w:rFonts w:ascii="Times New Roman" w:hAnsi="Times New Roman"/>
                <w:sz w:val="24"/>
                <w:szCs w:val="24"/>
              </w:rPr>
              <w:t xml:space="preserve">Links with national, </w:t>
            </w:r>
            <w:r w:rsidRPr="00B25B2B">
              <w:rPr>
                <w:rFonts w:ascii="Times New Roman" w:hAnsi="Times New Roman"/>
                <w:sz w:val="24"/>
                <w:szCs w:val="24"/>
              </w:rPr>
              <w:lastRenderedPageBreak/>
              <w:t>regional and global strategies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E42B0D0" w14:textId="77777777" w:rsidR="00006298" w:rsidRDefault="00C7381A" w:rsidP="00006298">
            <w:pPr>
              <w:jc w:val="both"/>
              <w:rPr>
                <w:rFonts w:ascii="Times New Roman" w:hAnsi="Times New Roman"/>
                <w:sz w:val="24"/>
                <w:szCs w:val="24"/>
              </w:rPr>
            </w:pPr>
            <w:r w:rsidRPr="00B25B2B">
              <w:rPr>
                <w:rFonts w:ascii="Times New Roman" w:hAnsi="Times New Roman"/>
                <w:sz w:val="24"/>
                <w:szCs w:val="24"/>
              </w:rPr>
              <w:lastRenderedPageBreak/>
              <w:t xml:space="preserve">The Action is in line with the </w:t>
            </w:r>
            <w:r w:rsidRPr="00B25B2B">
              <w:rPr>
                <w:rFonts w:ascii="Times New Roman" w:hAnsi="Times New Roman"/>
                <w:b/>
                <w:sz w:val="24"/>
                <w:szCs w:val="24"/>
              </w:rPr>
              <w:t>Paris Agreement</w:t>
            </w:r>
            <w:r w:rsidRPr="00B25B2B">
              <w:rPr>
                <w:rFonts w:ascii="Times New Roman" w:hAnsi="Times New Roman"/>
                <w:sz w:val="24"/>
                <w:szCs w:val="24"/>
              </w:rPr>
              <w:t xml:space="preserve"> (ratified by the country </w:t>
            </w:r>
            <w:r w:rsidRPr="00B25B2B">
              <w:rPr>
                <w:rFonts w:ascii="Times New Roman" w:hAnsi="Times New Roman"/>
                <w:sz w:val="24"/>
                <w:szCs w:val="24"/>
              </w:rPr>
              <w:lastRenderedPageBreak/>
              <w:t xml:space="preserve">in 2017), which aims to substantially reduce </w:t>
            </w:r>
            <w:r w:rsidR="00006298">
              <w:rPr>
                <w:rFonts w:ascii="Times New Roman" w:hAnsi="Times New Roman"/>
                <w:sz w:val="24"/>
                <w:szCs w:val="24"/>
              </w:rPr>
              <w:t>global greenhouse gas emissions, curb</w:t>
            </w:r>
            <w:r w:rsidRPr="00B25B2B">
              <w:rPr>
                <w:rFonts w:ascii="Times New Roman" w:hAnsi="Times New Roman"/>
                <w:sz w:val="24"/>
                <w:szCs w:val="24"/>
              </w:rPr>
              <w:t xml:space="preserve"> global warming and reduc</w:t>
            </w:r>
            <w:r w:rsidR="00006298">
              <w:rPr>
                <w:rFonts w:ascii="Times New Roman" w:hAnsi="Times New Roman"/>
                <w:sz w:val="24"/>
                <w:szCs w:val="24"/>
              </w:rPr>
              <w:t>e</w:t>
            </w:r>
            <w:r w:rsidRPr="00B25B2B">
              <w:rPr>
                <w:rFonts w:ascii="Times New Roman" w:hAnsi="Times New Roman"/>
                <w:sz w:val="24"/>
                <w:szCs w:val="24"/>
              </w:rPr>
              <w:t xml:space="preserve"> the </w:t>
            </w:r>
            <w:r w:rsidR="00006298">
              <w:rPr>
                <w:rFonts w:ascii="Times New Roman" w:hAnsi="Times New Roman"/>
                <w:sz w:val="24"/>
                <w:szCs w:val="24"/>
              </w:rPr>
              <w:t>impact of human activity on climate.</w:t>
            </w:r>
          </w:p>
          <w:p w14:paraId="2A3D4B6C" w14:textId="2B9FB687" w:rsidR="00C7381A" w:rsidRPr="00B25B2B" w:rsidRDefault="00006298" w:rsidP="00006298">
            <w:pPr>
              <w:jc w:val="both"/>
              <w:rPr>
                <w:rFonts w:ascii="Times New Roman" w:hAnsi="Times New Roman"/>
                <w:sz w:val="24"/>
                <w:szCs w:val="24"/>
              </w:rPr>
            </w:pPr>
            <w:r>
              <w:rPr>
                <w:rFonts w:ascii="Times New Roman" w:hAnsi="Times New Roman"/>
                <w:sz w:val="24"/>
                <w:szCs w:val="24"/>
              </w:rPr>
              <w:t>T</w:t>
            </w:r>
            <w:r w:rsidR="00C7381A" w:rsidRPr="00B25B2B">
              <w:rPr>
                <w:rFonts w:ascii="Times New Roman" w:hAnsi="Times New Roman"/>
                <w:sz w:val="24"/>
                <w:szCs w:val="24"/>
              </w:rPr>
              <w:t xml:space="preserve">he Action also </w:t>
            </w:r>
            <w:r w:rsidR="00195E23">
              <w:rPr>
                <w:rFonts w:ascii="Times New Roman" w:hAnsi="Times New Roman"/>
                <w:sz w:val="24"/>
                <w:szCs w:val="24"/>
              </w:rPr>
              <w:t>corresponds</w:t>
            </w:r>
            <w:r w:rsidR="00C7381A" w:rsidRPr="00B25B2B">
              <w:rPr>
                <w:rFonts w:ascii="Times New Roman" w:hAnsi="Times New Roman"/>
                <w:sz w:val="24"/>
                <w:szCs w:val="24"/>
              </w:rPr>
              <w:t xml:space="preserve"> to the objectives of the </w:t>
            </w:r>
            <w:r w:rsidR="00C7381A" w:rsidRPr="00B25B2B">
              <w:rPr>
                <w:rFonts w:ascii="Times New Roman" w:hAnsi="Times New Roman"/>
                <w:b/>
                <w:sz w:val="24"/>
                <w:szCs w:val="24"/>
              </w:rPr>
              <w:t xml:space="preserve">Energy Union </w:t>
            </w:r>
            <w:r w:rsidR="00802E10" w:rsidRPr="00B25B2B">
              <w:rPr>
                <w:rFonts w:ascii="Times New Roman" w:hAnsi="Times New Roman"/>
                <w:b/>
                <w:sz w:val="24"/>
                <w:szCs w:val="24"/>
              </w:rPr>
              <w:t>Strategy</w:t>
            </w:r>
            <w:r w:rsidR="00802E10" w:rsidRPr="00B25B2B">
              <w:rPr>
                <w:rFonts w:ascii="Times New Roman" w:hAnsi="Times New Roman"/>
                <w:sz w:val="24"/>
                <w:szCs w:val="24"/>
              </w:rPr>
              <w:t xml:space="preserve"> </w:t>
            </w:r>
            <w:r w:rsidR="00C7381A" w:rsidRPr="00B25B2B">
              <w:rPr>
                <w:rFonts w:ascii="Times New Roman" w:hAnsi="Times New Roman"/>
                <w:sz w:val="24"/>
                <w:szCs w:val="24"/>
              </w:rPr>
              <w:t xml:space="preserve">and the </w:t>
            </w:r>
            <w:r w:rsidR="00C7381A" w:rsidRPr="00B25B2B">
              <w:rPr>
                <w:rFonts w:ascii="Times New Roman" w:hAnsi="Times New Roman"/>
                <w:b/>
                <w:sz w:val="24"/>
                <w:szCs w:val="24"/>
              </w:rPr>
              <w:t>Energy Community Treaty</w:t>
            </w:r>
            <w:r w:rsidR="00C7381A" w:rsidRPr="00B25B2B">
              <w:rPr>
                <w:rFonts w:ascii="Times New Roman" w:hAnsi="Times New Roman"/>
                <w:sz w:val="24"/>
                <w:szCs w:val="24"/>
              </w:rPr>
              <w:t xml:space="preserve"> </w:t>
            </w:r>
            <w:r w:rsidR="00195E23">
              <w:rPr>
                <w:rFonts w:ascii="Times New Roman" w:hAnsi="Times New Roman"/>
                <w:sz w:val="24"/>
                <w:szCs w:val="24"/>
              </w:rPr>
              <w:t>as it will improve the</w:t>
            </w:r>
            <w:r w:rsidR="00C7381A" w:rsidRPr="00B25B2B">
              <w:rPr>
                <w:rFonts w:ascii="Times New Roman" w:hAnsi="Times New Roman"/>
                <w:sz w:val="24"/>
                <w:szCs w:val="24"/>
              </w:rPr>
              <w:t xml:space="preserve"> </w:t>
            </w:r>
            <w:r w:rsidR="00195E23">
              <w:rPr>
                <w:rFonts w:ascii="Times New Roman" w:hAnsi="Times New Roman"/>
                <w:sz w:val="24"/>
                <w:szCs w:val="24"/>
              </w:rPr>
              <w:t xml:space="preserve">energy connections and support the shift to cleaner </w:t>
            </w:r>
            <w:r w:rsidR="00C7381A" w:rsidRPr="00B25B2B">
              <w:rPr>
                <w:rFonts w:ascii="Times New Roman" w:hAnsi="Times New Roman"/>
                <w:sz w:val="24"/>
                <w:szCs w:val="24"/>
              </w:rPr>
              <w:t>energy.</w:t>
            </w:r>
          </w:p>
          <w:p w14:paraId="0B4A812A" w14:textId="1143602A" w:rsidR="00195E23" w:rsidRDefault="00C7381A" w:rsidP="00195E23">
            <w:pPr>
              <w:jc w:val="both"/>
              <w:rPr>
                <w:rFonts w:ascii="Times New Roman" w:hAnsi="Times New Roman"/>
                <w:sz w:val="24"/>
                <w:szCs w:val="24"/>
              </w:rPr>
            </w:pPr>
            <w:r w:rsidRPr="00B25B2B">
              <w:rPr>
                <w:rFonts w:ascii="Times New Roman" w:hAnsi="Times New Roman"/>
                <w:sz w:val="24"/>
                <w:szCs w:val="24"/>
              </w:rPr>
              <w:t xml:space="preserve">The Action </w:t>
            </w:r>
            <w:r w:rsidR="00195E23">
              <w:rPr>
                <w:rFonts w:ascii="Times New Roman" w:hAnsi="Times New Roman"/>
                <w:sz w:val="24"/>
                <w:szCs w:val="24"/>
              </w:rPr>
              <w:t xml:space="preserve">corresponds to the objectives, identified in </w:t>
            </w:r>
            <w:r w:rsidRPr="00B25B2B">
              <w:rPr>
                <w:rFonts w:ascii="Times New Roman" w:hAnsi="Times New Roman"/>
                <w:sz w:val="24"/>
                <w:szCs w:val="24"/>
              </w:rPr>
              <w:t xml:space="preserve">the </w:t>
            </w:r>
            <w:r w:rsidRPr="00B25B2B">
              <w:rPr>
                <w:rFonts w:ascii="Times New Roman" w:hAnsi="Times New Roman"/>
                <w:b/>
                <w:sz w:val="24"/>
                <w:szCs w:val="24"/>
              </w:rPr>
              <w:t>European Green Deal</w:t>
            </w:r>
            <w:r w:rsidR="00195E23">
              <w:rPr>
                <w:rFonts w:ascii="Times New Roman" w:hAnsi="Times New Roman"/>
                <w:sz w:val="24"/>
                <w:szCs w:val="24"/>
              </w:rPr>
              <w:t xml:space="preserve">, primarily on </w:t>
            </w:r>
            <w:r w:rsidR="00195E23" w:rsidRPr="00B25B2B">
              <w:rPr>
                <w:rFonts w:ascii="Times New Roman" w:hAnsi="Times New Roman"/>
                <w:i/>
                <w:sz w:val="24"/>
                <w:szCs w:val="24"/>
              </w:rPr>
              <w:t>Building and renovating in an energy and resource efficient way; - Accelerating the shift to sustainable and smart mobility; - Preserving and restoring ecosystems and biodiversity; and - A zero pollution ambition for a toxic-free environment.</w:t>
            </w:r>
          </w:p>
          <w:p w14:paraId="0C8334BF" w14:textId="3189AFB4" w:rsidR="00D92F6C" w:rsidRPr="00B25B2B" w:rsidRDefault="00195E23" w:rsidP="00195E23">
            <w:pPr>
              <w:jc w:val="both"/>
              <w:rPr>
                <w:rFonts w:ascii="Times New Roman" w:hAnsi="Times New Roman"/>
                <w:i/>
                <w:sz w:val="24"/>
                <w:szCs w:val="24"/>
              </w:rPr>
            </w:pPr>
            <w:r>
              <w:rPr>
                <w:rFonts w:ascii="Times New Roman" w:hAnsi="Times New Roman"/>
                <w:sz w:val="24"/>
                <w:szCs w:val="24"/>
              </w:rPr>
              <w:t xml:space="preserve">It is also a response of the </w:t>
            </w:r>
            <w:r w:rsidR="00C7381A" w:rsidRPr="00B25B2B">
              <w:rPr>
                <w:rFonts w:ascii="Times New Roman" w:hAnsi="Times New Roman"/>
                <w:b/>
                <w:sz w:val="24"/>
                <w:szCs w:val="24"/>
              </w:rPr>
              <w:t>United Nation’s 2030 Agenda</w:t>
            </w:r>
            <w:r w:rsidR="00C7381A" w:rsidRPr="00B25B2B">
              <w:rPr>
                <w:rFonts w:ascii="Times New Roman" w:hAnsi="Times New Roman"/>
                <w:sz w:val="24"/>
                <w:szCs w:val="24"/>
              </w:rPr>
              <w:t xml:space="preserve"> and the sustainable development goals. </w:t>
            </w:r>
          </w:p>
          <w:p w14:paraId="208B33F1" w14:textId="77777777" w:rsidR="004B7945" w:rsidRPr="00B25B2B" w:rsidRDefault="004B7945" w:rsidP="00195E23">
            <w:pPr>
              <w:jc w:val="both"/>
              <w:rPr>
                <w:rFonts w:ascii="Times New Roman" w:hAnsi="Times New Roman"/>
                <w:sz w:val="24"/>
                <w:szCs w:val="24"/>
              </w:rPr>
            </w:pPr>
            <w:r w:rsidRPr="00B25B2B">
              <w:rPr>
                <w:rFonts w:ascii="Times New Roman" w:hAnsi="Times New Roman"/>
                <w:sz w:val="24"/>
                <w:szCs w:val="24"/>
              </w:rPr>
              <w:t>The Action supports the implementation of key national priorities, defined in a number of strategic documents focused on addressing the environmental challenges in front of North Macedonia:</w:t>
            </w:r>
          </w:p>
          <w:p w14:paraId="17547301" w14:textId="77777777" w:rsidR="004B7945" w:rsidRPr="00B25B2B" w:rsidRDefault="004B7945" w:rsidP="004B7945">
            <w:pPr>
              <w:pStyle w:val="ListParagraph"/>
              <w:numPr>
                <w:ilvl w:val="0"/>
                <w:numId w:val="4"/>
              </w:numPr>
              <w:spacing w:before="120" w:after="120" w:line="240" w:lineRule="auto"/>
              <w:jc w:val="both"/>
              <w:rPr>
                <w:rFonts w:ascii="Times New Roman" w:hAnsi="Times New Roman"/>
                <w:sz w:val="24"/>
                <w:szCs w:val="24"/>
              </w:rPr>
            </w:pPr>
            <w:r w:rsidRPr="00B25B2B">
              <w:rPr>
                <w:rFonts w:ascii="Times New Roman" w:hAnsi="Times New Roman"/>
                <w:b/>
                <w:sz w:val="24"/>
                <w:szCs w:val="24"/>
              </w:rPr>
              <w:t>Strategy for Environment and Climate Action 2014-2020</w:t>
            </w:r>
            <w:r w:rsidRPr="00B25B2B">
              <w:rPr>
                <w:rFonts w:ascii="Times New Roman" w:hAnsi="Times New Roman"/>
                <w:sz w:val="24"/>
                <w:szCs w:val="24"/>
              </w:rPr>
              <w:t xml:space="preserve"> which defines the improvement of air quality as the key priority for improving health conditions in the country;</w:t>
            </w:r>
          </w:p>
          <w:p w14:paraId="1DCCA7A9" w14:textId="77777777" w:rsidR="004B7945" w:rsidRPr="00B25B2B" w:rsidRDefault="004B7945" w:rsidP="004B7945">
            <w:pPr>
              <w:pStyle w:val="ListParagraph"/>
              <w:numPr>
                <w:ilvl w:val="0"/>
                <w:numId w:val="3"/>
              </w:numPr>
              <w:spacing w:before="120" w:after="120" w:line="240" w:lineRule="auto"/>
              <w:jc w:val="both"/>
              <w:rPr>
                <w:rFonts w:ascii="Times New Roman" w:hAnsi="Times New Roman"/>
                <w:sz w:val="24"/>
                <w:szCs w:val="24"/>
              </w:rPr>
            </w:pPr>
            <w:r w:rsidRPr="00B25B2B">
              <w:rPr>
                <w:rFonts w:ascii="Times New Roman" w:hAnsi="Times New Roman"/>
                <w:b/>
                <w:sz w:val="24"/>
                <w:szCs w:val="24"/>
              </w:rPr>
              <w:t>Programme for reducing the air pollution in the Republic of North Macedonia 2019-2020</w:t>
            </w:r>
            <w:r w:rsidRPr="00B25B2B">
              <w:rPr>
                <w:rFonts w:ascii="Times New Roman" w:hAnsi="Times New Roman"/>
                <w:sz w:val="24"/>
                <w:szCs w:val="24"/>
              </w:rPr>
              <w:t>, which sets the goal to reduce air pollution in Skopje by 50% in 2020 and in other cities from 30 to 50%. The main priority actions include 1) Monitoring of the air quality; 2) Improving the capacities of the inspectorates for environmental inspections; 3) Increasing the public awareness through educational campaigns; 4) Reduction of emissions of polluting substances from household heating; 5) Urban greenery; 6) Waste management; 7) Transport; 8) Industry and 9) Construction.</w:t>
            </w:r>
          </w:p>
          <w:p w14:paraId="4F48BE02" w14:textId="77777777" w:rsidR="004B7945" w:rsidRPr="00B25B2B" w:rsidRDefault="004B7945" w:rsidP="004B7945">
            <w:pPr>
              <w:pStyle w:val="ListParagraph"/>
              <w:numPr>
                <w:ilvl w:val="0"/>
                <w:numId w:val="3"/>
              </w:numPr>
              <w:spacing w:before="120" w:after="120" w:line="240" w:lineRule="auto"/>
              <w:jc w:val="both"/>
              <w:rPr>
                <w:rFonts w:ascii="Times New Roman" w:hAnsi="Times New Roman"/>
                <w:sz w:val="24"/>
                <w:szCs w:val="24"/>
              </w:rPr>
            </w:pPr>
            <w:r w:rsidRPr="00B25B2B">
              <w:rPr>
                <w:rFonts w:ascii="Times New Roman" w:hAnsi="Times New Roman"/>
                <w:b/>
                <w:sz w:val="24"/>
                <w:szCs w:val="24"/>
              </w:rPr>
              <w:t>Programme for gradual reduction of emissions of certain polluting substances at the level of the Republic of North Macedonia 2012-2020</w:t>
            </w:r>
            <w:r w:rsidRPr="00B25B2B">
              <w:rPr>
                <w:rFonts w:ascii="Times New Roman" w:hAnsi="Times New Roman"/>
                <w:sz w:val="24"/>
                <w:szCs w:val="24"/>
              </w:rPr>
              <w:t>, which identifies measures for reducing air pollutants such as sulphur dioxide, nitrogen oxides, ammonia, volatile organic compounds, total suspended particulate matters, and carbon monoxide in the air.</w:t>
            </w:r>
          </w:p>
          <w:p w14:paraId="1A29DA41" w14:textId="77777777" w:rsidR="004B7945" w:rsidRPr="00B25B2B" w:rsidRDefault="004B7945" w:rsidP="004B7945">
            <w:pPr>
              <w:pStyle w:val="ListParagraph"/>
              <w:numPr>
                <w:ilvl w:val="0"/>
                <w:numId w:val="3"/>
              </w:numPr>
              <w:spacing w:before="120" w:after="120" w:line="240" w:lineRule="auto"/>
              <w:jc w:val="both"/>
              <w:rPr>
                <w:rFonts w:ascii="Times New Roman" w:hAnsi="Times New Roman"/>
                <w:sz w:val="24"/>
                <w:szCs w:val="24"/>
              </w:rPr>
            </w:pPr>
            <w:r w:rsidRPr="00B25B2B">
              <w:rPr>
                <w:rFonts w:ascii="Times New Roman" w:hAnsi="Times New Roman"/>
                <w:b/>
                <w:sz w:val="24"/>
                <w:szCs w:val="24"/>
              </w:rPr>
              <w:t>National Strategy for Nature Protection 2017-2027</w:t>
            </w:r>
            <w:r w:rsidRPr="00B25B2B">
              <w:rPr>
                <w:rFonts w:ascii="Times New Roman" w:hAnsi="Times New Roman"/>
                <w:sz w:val="24"/>
                <w:szCs w:val="24"/>
              </w:rPr>
              <w:t xml:space="preserve">, which introduces a number of fundamental principles essential for nature protection, including protection of clean air. </w:t>
            </w:r>
          </w:p>
          <w:p w14:paraId="52A6ADCE" w14:textId="77777777" w:rsidR="004B7945" w:rsidRPr="00B25B2B" w:rsidRDefault="004B7945" w:rsidP="004B7945">
            <w:pPr>
              <w:pStyle w:val="ListParagraph"/>
              <w:numPr>
                <w:ilvl w:val="0"/>
                <w:numId w:val="3"/>
              </w:numPr>
              <w:spacing w:before="120" w:after="120" w:line="240" w:lineRule="auto"/>
              <w:jc w:val="both"/>
              <w:rPr>
                <w:rFonts w:ascii="Times New Roman" w:hAnsi="Times New Roman"/>
                <w:sz w:val="24"/>
                <w:szCs w:val="24"/>
              </w:rPr>
            </w:pPr>
            <w:r w:rsidRPr="00B25B2B">
              <w:rPr>
                <w:rFonts w:ascii="Times New Roman" w:hAnsi="Times New Roman"/>
                <w:b/>
                <w:sz w:val="24"/>
                <w:szCs w:val="24"/>
              </w:rPr>
              <w:t xml:space="preserve">National Biodiversity Strategy and Action Plan 2018-2023 </w:t>
            </w:r>
            <w:r w:rsidRPr="00B25B2B">
              <w:rPr>
                <w:rFonts w:ascii="Times New Roman" w:hAnsi="Times New Roman"/>
                <w:sz w:val="24"/>
                <w:szCs w:val="24"/>
              </w:rPr>
              <w:t xml:space="preserve">which also focuses </w:t>
            </w:r>
            <w:proofErr w:type="spellStart"/>
            <w:r w:rsidRPr="00B25B2B">
              <w:rPr>
                <w:rFonts w:ascii="Times New Roman" w:hAnsi="Times New Roman"/>
                <w:sz w:val="24"/>
                <w:szCs w:val="24"/>
              </w:rPr>
              <w:t>n</w:t>
            </w:r>
            <w:proofErr w:type="spellEnd"/>
            <w:r w:rsidRPr="00B25B2B">
              <w:rPr>
                <w:rFonts w:ascii="Times New Roman" w:hAnsi="Times New Roman"/>
                <w:sz w:val="24"/>
                <w:szCs w:val="24"/>
              </w:rPr>
              <w:t xml:space="preserve"> decreasing the air pollution due to industrial facilities, combustion of fossil fuels, heating systems and traffic.</w:t>
            </w:r>
          </w:p>
          <w:p w14:paraId="5F668888" w14:textId="2F49CB7E" w:rsidR="004B7945" w:rsidRPr="00B25B2B" w:rsidRDefault="004B7945" w:rsidP="004B7945">
            <w:pPr>
              <w:pStyle w:val="ListParagraph"/>
              <w:numPr>
                <w:ilvl w:val="0"/>
                <w:numId w:val="3"/>
              </w:numPr>
              <w:spacing w:before="120" w:after="120" w:line="240" w:lineRule="auto"/>
              <w:jc w:val="both"/>
              <w:rPr>
                <w:rFonts w:ascii="Times New Roman" w:hAnsi="Times New Roman"/>
                <w:sz w:val="24"/>
                <w:szCs w:val="24"/>
              </w:rPr>
            </w:pPr>
            <w:r w:rsidRPr="00B25B2B">
              <w:rPr>
                <w:rFonts w:ascii="Times New Roman" w:hAnsi="Times New Roman"/>
                <w:b/>
                <w:sz w:val="24"/>
                <w:szCs w:val="24"/>
              </w:rPr>
              <w:t xml:space="preserve">Strategies for Energy Development of North Macedonia until 2030 and until 2040, </w:t>
            </w:r>
            <w:r w:rsidR="00802E10" w:rsidRPr="00B25B2B">
              <w:rPr>
                <w:rFonts w:ascii="Times New Roman" w:hAnsi="Times New Roman"/>
                <w:sz w:val="24"/>
                <w:szCs w:val="24"/>
              </w:rPr>
              <w:t>which</w:t>
            </w:r>
            <w:r w:rsidR="00802E10" w:rsidRPr="00B25B2B">
              <w:rPr>
                <w:rFonts w:ascii="Times New Roman" w:hAnsi="Times New Roman"/>
                <w:b/>
                <w:sz w:val="24"/>
                <w:szCs w:val="24"/>
              </w:rPr>
              <w:t xml:space="preserve"> </w:t>
            </w:r>
            <w:r w:rsidR="00802E10" w:rsidRPr="00B25B2B">
              <w:rPr>
                <w:rFonts w:ascii="Times New Roman" w:hAnsi="Times New Roman"/>
                <w:sz w:val="24"/>
                <w:szCs w:val="24"/>
              </w:rPr>
              <w:t>aim</w:t>
            </w:r>
            <w:r w:rsidRPr="00B25B2B">
              <w:rPr>
                <w:rFonts w:ascii="Times New Roman" w:hAnsi="Times New Roman"/>
                <w:sz w:val="24"/>
                <w:szCs w:val="24"/>
              </w:rPr>
              <w:t xml:space="preserve"> at shifting the country to secure, efficient, </w:t>
            </w:r>
            <w:r w:rsidR="005D65B4" w:rsidRPr="00B25B2B">
              <w:rPr>
                <w:rFonts w:ascii="Times New Roman" w:hAnsi="Times New Roman"/>
                <w:sz w:val="24"/>
                <w:szCs w:val="24"/>
              </w:rPr>
              <w:t>environmentally</w:t>
            </w:r>
            <w:r w:rsidRPr="00B25B2B">
              <w:rPr>
                <w:rFonts w:ascii="Times New Roman" w:hAnsi="Times New Roman"/>
                <w:sz w:val="24"/>
                <w:szCs w:val="24"/>
              </w:rPr>
              <w:t xml:space="preserve"> friendly and competitive energy </w:t>
            </w:r>
            <w:r w:rsidRPr="00B25B2B">
              <w:rPr>
                <w:rFonts w:ascii="Times New Roman" w:hAnsi="Times New Roman"/>
                <w:sz w:val="24"/>
                <w:szCs w:val="24"/>
              </w:rPr>
              <w:lastRenderedPageBreak/>
              <w:t>system, capable to support the sustainable economic growth of the country. The key priorities include: 1) Maintenance, revitalization and modernisation of the infrastructures for the purposes of energy production and utilization; 2) improvement of the energy efficiency (production, transmission and utilisation of energy); 3) utilisation of domestic resources for electricity production; 4) increase of natural gas utilisation; 5) increase of the utilisation of renewable energy sources; 6) establishment of economic energy prices; and 7) integrating the energy sector of the country in the regional and European market of electricity and natural gas.</w:t>
            </w:r>
          </w:p>
          <w:p w14:paraId="7B90BB4B" w14:textId="1591A385" w:rsidR="004B7945" w:rsidRPr="00B25B2B" w:rsidRDefault="004B7945" w:rsidP="004B7945">
            <w:pPr>
              <w:pStyle w:val="ListParagraph"/>
              <w:numPr>
                <w:ilvl w:val="0"/>
                <w:numId w:val="3"/>
              </w:numPr>
              <w:spacing w:before="120" w:after="120" w:line="240" w:lineRule="auto"/>
              <w:jc w:val="both"/>
              <w:rPr>
                <w:rFonts w:ascii="Times New Roman" w:hAnsi="Times New Roman"/>
                <w:sz w:val="24"/>
                <w:szCs w:val="24"/>
              </w:rPr>
            </w:pPr>
            <w:r w:rsidRPr="00B25B2B">
              <w:rPr>
                <w:rFonts w:ascii="Times New Roman" w:hAnsi="Times New Roman"/>
                <w:b/>
                <w:sz w:val="24"/>
                <w:szCs w:val="24"/>
              </w:rPr>
              <w:t xml:space="preserve">National Transport Strategy 2018-2030, which aims at </w:t>
            </w:r>
            <w:r w:rsidRPr="00B25B2B">
              <w:rPr>
                <w:rFonts w:ascii="Times New Roman" w:hAnsi="Times New Roman"/>
                <w:sz w:val="24"/>
                <w:szCs w:val="24"/>
              </w:rPr>
              <w:t xml:space="preserve">developing a harmonised transport that is international compatible and integrated in the TEN-T system, </w:t>
            </w:r>
            <w:r w:rsidR="000C3DF3">
              <w:rPr>
                <w:rFonts w:ascii="Times New Roman" w:hAnsi="Times New Roman"/>
                <w:sz w:val="24"/>
                <w:szCs w:val="24"/>
              </w:rPr>
              <w:t>which</w:t>
            </w:r>
            <w:r w:rsidRPr="00B25B2B">
              <w:rPr>
                <w:rFonts w:ascii="Times New Roman" w:hAnsi="Times New Roman"/>
                <w:sz w:val="24"/>
                <w:szCs w:val="24"/>
              </w:rPr>
              <w:t xml:space="preserve"> stimulates the economic and social development of the country, preserves the environment, and secures the needs of future generations. A key strategy objective is the introduction of green mobility and logistic focused to environmental performance of the Transport sector. Inside this general objective, the specific objective 3.1 is to develop and improve environmental friendly and low carbon transport system.</w:t>
            </w:r>
          </w:p>
          <w:p w14:paraId="7A6E300B" w14:textId="77777777" w:rsidR="004B7945" w:rsidRPr="00B25B2B" w:rsidRDefault="004B7945" w:rsidP="004B7945">
            <w:pPr>
              <w:pStyle w:val="ListParagraph"/>
              <w:numPr>
                <w:ilvl w:val="0"/>
                <w:numId w:val="3"/>
              </w:numPr>
              <w:spacing w:before="120" w:after="120" w:line="240" w:lineRule="auto"/>
              <w:jc w:val="both"/>
              <w:rPr>
                <w:rFonts w:ascii="Times New Roman" w:hAnsi="Times New Roman"/>
                <w:sz w:val="24"/>
                <w:szCs w:val="24"/>
              </w:rPr>
            </w:pPr>
            <w:r w:rsidRPr="00B25B2B">
              <w:rPr>
                <w:rFonts w:ascii="Times New Roman" w:hAnsi="Times New Roman"/>
                <w:sz w:val="24"/>
                <w:szCs w:val="24"/>
              </w:rPr>
              <w:t xml:space="preserve">The Action also corresponds to the </w:t>
            </w:r>
            <w:r w:rsidRPr="00B25B2B">
              <w:rPr>
                <w:rFonts w:ascii="Times New Roman" w:hAnsi="Times New Roman"/>
                <w:b/>
                <w:sz w:val="24"/>
                <w:szCs w:val="24"/>
              </w:rPr>
              <w:t xml:space="preserve">National Strategy for Sustainable Development of North Macedonia 2010-2030, </w:t>
            </w:r>
            <w:r w:rsidRPr="00B25B2B">
              <w:rPr>
                <w:rFonts w:ascii="Times New Roman" w:hAnsi="Times New Roman"/>
                <w:sz w:val="24"/>
                <w:szCs w:val="24"/>
              </w:rPr>
              <w:t>which focuses the national efforts in three interlinked dimensions: economic dimension (economic resources, development and growth, environmental protection (natural resources, protecting and exploiting nature sustainably, and preventing and combatting pollution); and social dimension (social resources, solidarity, and combating poverty).</w:t>
            </w:r>
          </w:p>
        </w:tc>
      </w:tr>
      <w:tr w:rsidR="00B25B2B" w:rsidRPr="00B25B2B" w14:paraId="1289AC72" w14:textId="77777777" w:rsidTr="00E67F66">
        <w:trPr>
          <w:jc w:val="center"/>
        </w:trPr>
        <w:tc>
          <w:tcPr>
            <w:tcW w:w="534" w:type="dxa"/>
            <w:vMerge/>
            <w:tcBorders>
              <w:left w:val="single" w:sz="4" w:space="0" w:color="auto"/>
              <w:right w:val="single" w:sz="4" w:space="0" w:color="auto"/>
            </w:tcBorders>
          </w:tcPr>
          <w:p w14:paraId="632A14DD" w14:textId="77777777" w:rsidR="00B25B2B" w:rsidRPr="00B25B2B" w:rsidRDefault="00B25B2B" w:rsidP="00E67F66">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06F456A" w14:textId="77777777" w:rsidR="00B25B2B" w:rsidRPr="00B25B2B" w:rsidRDefault="00B25B2B" w:rsidP="00E67F66">
            <w:pPr>
              <w:rPr>
                <w:rFonts w:ascii="Times New Roman" w:hAnsi="Times New Roman"/>
                <w:sz w:val="24"/>
                <w:szCs w:val="24"/>
              </w:rPr>
            </w:pPr>
            <w:r w:rsidRPr="00B25B2B">
              <w:rPr>
                <w:rFonts w:ascii="Times New Roman" w:hAnsi="Times New Roman"/>
                <w:sz w:val="24"/>
                <w:szCs w:val="24"/>
              </w:rPr>
              <w:t>Coherence with  the Sector Approach</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25343E9" w14:textId="7FE72156" w:rsidR="00B25B2B" w:rsidRPr="00980923" w:rsidRDefault="00B25B2B" w:rsidP="002A79DE">
            <w:pPr>
              <w:rPr>
                <w:rFonts w:ascii="Times New Roman" w:hAnsi="Times New Roman"/>
                <w:sz w:val="24"/>
                <w:szCs w:val="24"/>
              </w:rPr>
            </w:pPr>
            <w:r w:rsidRPr="00980923">
              <w:rPr>
                <w:rFonts w:ascii="Times New Roman" w:hAnsi="Times New Roman"/>
                <w:sz w:val="24"/>
                <w:szCs w:val="24"/>
              </w:rPr>
              <w:t xml:space="preserve">The Action falls under the sector of </w:t>
            </w:r>
            <w:r w:rsidR="00195E23" w:rsidRPr="00980923">
              <w:rPr>
                <w:rFonts w:ascii="Times New Roman" w:hAnsi="Times New Roman"/>
                <w:sz w:val="24"/>
                <w:szCs w:val="24"/>
              </w:rPr>
              <w:t>environment and climate change.</w:t>
            </w:r>
          </w:p>
          <w:p w14:paraId="7F613A20" w14:textId="51E225B4" w:rsidR="00B25B2B" w:rsidRPr="00980923" w:rsidRDefault="00980923" w:rsidP="00195E23">
            <w:pPr>
              <w:spacing w:after="0"/>
              <w:jc w:val="both"/>
              <w:rPr>
                <w:rFonts w:ascii="Times New Roman" w:hAnsi="Times New Roman"/>
                <w:sz w:val="24"/>
                <w:szCs w:val="24"/>
              </w:rPr>
            </w:pPr>
            <w:r w:rsidRPr="00A200F0">
              <w:rPr>
                <w:rFonts w:ascii="Times New Roman" w:hAnsi="Times New Roman"/>
                <w:sz w:val="24"/>
                <w:szCs w:val="24"/>
              </w:rPr>
              <w:t xml:space="preserve">The strategic framework </w:t>
            </w:r>
            <w:r>
              <w:rPr>
                <w:rFonts w:ascii="Times New Roman" w:hAnsi="Times New Roman"/>
                <w:sz w:val="24"/>
                <w:szCs w:val="24"/>
              </w:rPr>
              <w:t>in this thematic priority is well established, based on solid data and enhanced policy dialogue</w:t>
            </w:r>
            <w:r w:rsidRPr="00A200F0">
              <w:rPr>
                <w:rFonts w:ascii="Times New Roman" w:hAnsi="Times New Roman"/>
                <w:sz w:val="24"/>
                <w:szCs w:val="24"/>
              </w:rPr>
              <w:t>. North Macedonia benefits of well-established monitoring system, allowing regular feedback to the decision-makers and the public on the level of implementation of the strategic objectives. As of 2020 the country put in place a performance assessment framework, streamlining the policy objectives, the indicators and the targets</w:t>
            </w:r>
            <w:r>
              <w:rPr>
                <w:rFonts w:ascii="Times New Roman" w:hAnsi="Times New Roman"/>
                <w:sz w:val="24"/>
                <w:szCs w:val="24"/>
              </w:rPr>
              <w:t xml:space="preserve">. </w:t>
            </w:r>
            <w:r w:rsidR="00B25B2B" w:rsidRPr="00980923">
              <w:rPr>
                <w:rFonts w:ascii="Times New Roman" w:hAnsi="Times New Roman"/>
                <w:sz w:val="24"/>
                <w:szCs w:val="24"/>
              </w:rPr>
              <w:t xml:space="preserve">The Action will contribute to meeting </w:t>
            </w:r>
            <w:r w:rsidR="000362F3" w:rsidRPr="00980923">
              <w:rPr>
                <w:rFonts w:ascii="Times New Roman" w:hAnsi="Times New Roman"/>
                <w:sz w:val="24"/>
                <w:szCs w:val="24"/>
              </w:rPr>
              <w:t>5</w:t>
            </w:r>
            <w:r w:rsidR="00B25B2B" w:rsidRPr="00980923">
              <w:rPr>
                <w:rFonts w:ascii="Times New Roman" w:hAnsi="Times New Roman"/>
                <w:sz w:val="24"/>
                <w:szCs w:val="24"/>
              </w:rPr>
              <w:t xml:space="preserve"> key impact indicators of the established Performance Assessment Framework:</w:t>
            </w:r>
          </w:p>
          <w:p w14:paraId="4526FB78" w14:textId="77777777" w:rsidR="000362F3" w:rsidRPr="00980923" w:rsidRDefault="000362F3" w:rsidP="000362F3">
            <w:pPr>
              <w:pStyle w:val="ListParagraph"/>
              <w:numPr>
                <w:ilvl w:val="0"/>
                <w:numId w:val="8"/>
              </w:numPr>
              <w:rPr>
                <w:rFonts w:ascii="Times New Roman" w:hAnsi="Times New Roman"/>
                <w:iCs/>
                <w:sz w:val="24"/>
                <w:szCs w:val="24"/>
              </w:rPr>
            </w:pPr>
            <w:r w:rsidRPr="00980923">
              <w:rPr>
                <w:rFonts w:ascii="Times New Roman" w:hAnsi="Times New Roman"/>
                <w:iCs/>
                <w:sz w:val="24"/>
                <w:szCs w:val="24"/>
              </w:rPr>
              <w:t>Greenhouse Gas Emission (FOLU computation excluded)</w:t>
            </w:r>
          </w:p>
          <w:p w14:paraId="038A14B2" w14:textId="77777777" w:rsidR="000362F3" w:rsidRPr="00980923" w:rsidRDefault="000362F3" w:rsidP="000362F3">
            <w:pPr>
              <w:pStyle w:val="ListParagraph"/>
              <w:numPr>
                <w:ilvl w:val="0"/>
                <w:numId w:val="8"/>
              </w:numPr>
              <w:rPr>
                <w:rFonts w:ascii="Times New Roman" w:hAnsi="Times New Roman"/>
                <w:iCs/>
                <w:sz w:val="24"/>
                <w:szCs w:val="24"/>
              </w:rPr>
            </w:pPr>
            <w:r w:rsidRPr="00980923">
              <w:rPr>
                <w:rFonts w:ascii="Times New Roman" w:hAnsi="Times New Roman"/>
                <w:iCs/>
                <w:sz w:val="24"/>
                <w:szCs w:val="24"/>
              </w:rPr>
              <w:t>Emission of Sulphur Oxides (S0x)</w:t>
            </w:r>
          </w:p>
          <w:p w14:paraId="6348ABEE" w14:textId="77777777" w:rsidR="000362F3" w:rsidRPr="00980923" w:rsidRDefault="000362F3" w:rsidP="000362F3">
            <w:pPr>
              <w:pStyle w:val="ListParagraph"/>
              <w:numPr>
                <w:ilvl w:val="0"/>
                <w:numId w:val="8"/>
              </w:numPr>
              <w:rPr>
                <w:rFonts w:ascii="Times New Roman" w:hAnsi="Times New Roman"/>
                <w:iCs/>
                <w:sz w:val="24"/>
                <w:szCs w:val="24"/>
              </w:rPr>
            </w:pPr>
            <w:r w:rsidRPr="00980923">
              <w:rPr>
                <w:rFonts w:ascii="Times New Roman" w:hAnsi="Times New Roman"/>
                <w:iCs/>
                <w:sz w:val="24"/>
                <w:szCs w:val="24"/>
              </w:rPr>
              <w:t>Emission of Nitrogen Oxides (NOx)</w:t>
            </w:r>
          </w:p>
          <w:p w14:paraId="75F8BD4C" w14:textId="77777777" w:rsidR="000362F3" w:rsidRPr="00980923" w:rsidRDefault="000362F3" w:rsidP="000362F3">
            <w:pPr>
              <w:pStyle w:val="ListParagraph"/>
              <w:numPr>
                <w:ilvl w:val="0"/>
                <w:numId w:val="8"/>
              </w:numPr>
              <w:rPr>
                <w:rFonts w:ascii="Times New Roman" w:hAnsi="Times New Roman"/>
                <w:iCs/>
                <w:sz w:val="24"/>
                <w:szCs w:val="24"/>
              </w:rPr>
            </w:pPr>
            <w:r w:rsidRPr="00980923">
              <w:rPr>
                <w:rFonts w:ascii="Times New Roman" w:hAnsi="Times New Roman"/>
                <w:iCs/>
                <w:sz w:val="24"/>
                <w:szCs w:val="24"/>
              </w:rPr>
              <w:t>Emission of Particulate Matter PM10</w:t>
            </w:r>
          </w:p>
          <w:p w14:paraId="628305C4" w14:textId="77777777" w:rsidR="000362F3" w:rsidRPr="00980923" w:rsidRDefault="000362F3" w:rsidP="000362F3">
            <w:pPr>
              <w:pStyle w:val="ListParagraph"/>
              <w:numPr>
                <w:ilvl w:val="0"/>
                <w:numId w:val="8"/>
              </w:numPr>
              <w:rPr>
                <w:sz w:val="24"/>
                <w:szCs w:val="24"/>
              </w:rPr>
            </w:pPr>
            <w:r w:rsidRPr="00980923">
              <w:rPr>
                <w:rFonts w:ascii="Times New Roman" w:hAnsi="Times New Roman"/>
                <w:iCs/>
                <w:sz w:val="24"/>
                <w:szCs w:val="24"/>
              </w:rPr>
              <w:t xml:space="preserve">Concentration  of Particulate Matter PM2.5 (Average number of days in Skopje, Bitola, </w:t>
            </w:r>
            <w:proofErr w:type="spellStart"/>
            <w:r w:rsidRPr="00980923">
              <w:rPr>
                <w:rFonts w:ascii="Times New Roman" w:hAnsi="Times New Roman"/>
                <w:iCs/>
                <w:sz w:val="24"/>
                <w:szCs w:val="24"/>
              </w:rPr>
              <w:t>Kumanovo</w:t>
            </w:r>
            <w:proofErr w:type="spellEnd"/>
            <w:r w:rsidRPr="00980923">
              <w:rPr>
                <w:rFonts w:ascii="Times New Roman" w:hAnsi="Times New Roman"/>
                <w:iCs/>
                <w:sz w:val="24"/>
                <w:szCs w:val="24"/>
              </w:rPr>
              <w:t xml:space="preserve"> and Tetovo below 25 </w:t>
            </w:r>
            <w:proofErr w:type="spellStart"/>
            <w:r w:rsidRPr="00980923">
              <w:rPr>
                <w:rFonts w:ascii="Times New Roman" w:hAnsi="Times New Roman"/>
                <w:iCs/>
                <w:sz w:val="24"/>
                <w:szCs w:val="24"/>
              </w:rPr>
              <w:t>μg</w:t>
            </w:r>
            <w:proofErr w:type="spellEnd"/>
            <w:r w:rsidRPr="00980923">
              <w:rPr>
                <w:rFonts w:ascii="Times New Roman" w:hAnsi="Times New Roman"/>
                <w:iCs/>
                <w:sz w:val="24"/>
                <w:szCs w:val="24"/>
              </w:rPr>
              <w:t>/m³)</w:t>
            </w:r>
          </w:p>
          <w:p w14:paraId="2D98B985" w14:textId="77777777" w:rsidR="00980923" w:rsidRPr="00A200F0" w:rsidRDefault="00980923" w:rsidP="00980923">
            <w:pPr>
              <w:spacing w:before="120" w:after="0" w:line="240" w:lineRule="auto"/>
              <w:jc w:val="both"/>
              <w:rPr>
                <w:rFonts w:ascii="Times New Roman" w:hAnsi="Times New Roman"/>
                <w:sz w:val="24"/>
                <w:szCs w:val="24"/>
              </w:rPr>
            </w:pPr>
            <w:r w:rsidRPr="00A200F0">
              <w:rPr>
                <w:rFonts w:ascii="Times New Roman" w:hAnsi="Times New Roman"/>
                <w:sz w:val="24"/>
                <w:szCs w:val="24"/>
              </w:rPr>
              <w:lastRenderedPageBreak/>
              <w:t>The institutional set up in the sector Environment and Climate Change is well established. The Ministry of Environment and Physical Planning is the lead institution responsible for the approximation and implementation of the environmental acquis across the sector and for overall coordination of assistance to the environmental sector. While the institutional capacity is improving, more investments are needed for strengthening the administrat</w:t>
            </w:r>
            <w:r>
              <w:rPr>
                <w:rFonts w:ascii="Times New Roman" w:hAnsi="Times New Roman"/>
                <w:sz w:val="24"/>
                <w:szCs w:val="24"/>
              </w:rPr>
              <w:t>ive capacity in the solid waste, water and nature protection sub</w:t>
            </w:r>
            <w:r w:rsidRPr="00A200F0">
              <w:rPr>
                <w:rFonts w:ascii="Times New Roman" w:hAnsi="Times New Roman"/>
                <w:sz w:val="24"/>
                <w:szCs w:val="24"/>
              </w:rPr>
              <w:t>secto</w:t>
            </w:r>
            <w:r>
              <w:rPr>
                <w:rFonts w:ascii="Times New Roman" w:hAnsi="Times New Roman"/>
                <w:sz w:val="24"/>
                <w:szCs w:val="24"/>
              </w:rPr>
              <w:t>r</w:t>
            </w:r>
            <w:r w:rsidRPr="00A200F0">
              <w:rPr>
                <w:rFonts w:ascii="Times New Roman" w:hAnsi="Times New Roman"/>
                <w:sz w:val="24"/>
                <w:szCs w:val="24"/>
              </w:rPr>
              <w:t>s. The action addresses this need as well.</w:t>
            </w:r>
          </w:p>
          <w:p w14:paraId="5711F5A9" w14:textId="77777777" w:rsidR="00980923" w:rsidRPr="00A200F0" w:rsidRDefault="00980923" w:rsidP="00980923">
            <w:pPr>
              <w:spacing w:before="120" w:after="0" w:line="240" w:lineRule="auto"/>
              <w:jc w:val="both"/>
              <w:rPr>
                <w:rFonts w:ascii="Times New Roman" w:hAnsi="Times New Roman"/>
                <w:sz w:val="24"/>
                <w:szCs w:val="24"/>
              </w:rPr>
            </w:pPr>
            <w:r w:rsidRPr="00A200F0">
              <w:rPr>
                <w:rFonts w:ascii="Times New Roman" w:hAnsi="Times New Roman"/>
                <w:sz w:val="24"/>
                <w:szCs w:val="24"/>
              </w:rPr>
              <w:t xml:space="preserve">The policy dialogue is channelled through the Sector Working Group for Environment and Climate, which </w:t>
            </w:r>
            <w:r>
              <w:rPr>
                <w:rFonts w:ascii="Times New Roman" w:hAnsi="Times New Roman"/>
                <w:sz w:val="24"/>
                <w:szCs w:val="24"/>
              </w:rPr>
              <w:t xml:space="preserve">is chaired by the Minister and </w:t>
            </w:r>
            <w:r w:rsidRPr="00A200F0">
              <w:rPr>
                <w:rFonts w:ascii="Times New Roman" w:hAnsi="Times New Roman"/>
                <w:sz w:val="24"/>
                <w:szCs w:val="24"/>
              </w:rPr>
              <w:t>comprises of all relevant national authorities, donors, partners and civil society. The SWG also embeds the IPA programming. The SWG meets regularly – 2 to 4 times in the decision-making format, and at least once per month in the technical format. The public dialogue is smooth and intensive. It is</w:t>
            </w:r>
            <w:r>
              <w:rPr>
                <w:rFonts w:ascii="Times New Roman" w:hAnsi="Times New Roman"/>
                <w:sz w:val="24"/>
                <w:szCs w:val="24"/>
              </w:rPr>
              <w:t xml:space="preserve"> </w:t>
            </w:r>
            <w:r w:rsidRPr="00A200F0">
              <w:rPr>
                <w:rFonts w:ascii="Times New Roman" w:hAnsi="Times New Roman"/>
                <w:sz w:val="24"/>
                <w:szCs w:val="24"/>
              </w:rPr>
              <w:t>centred on the definition and implementation of the country's sector priorities.</w:t>
            </w:r>
          </w:p>
          <w:p w14:paraId="27C6D943" w14:textId="202A9065" w:rsidR="00980923" w:rsidRPr="00980923" w:rsidRDefault="00980923" w:rsidP="00980923">
            <w:pPr>
              <w:spacing w:before="120" w:after="0" w:line="240" w:lineRule="auto"/>
              <w:jc w:val="both"/>
              <w:rPr>
                <w:rFonts w:ascii="Times New Roman" w:hAnsi="Times New Roman"/>
                <w:iCs/>
                <w:sz w:val="24"/>
                <w:szCs w:val="24"/>
              </w:rPr>
            </w:pPr>
            <w:r w:rsidRPr="00A200F0">
              <w:rPr>
                <w:rFonts w:ascii="Times New Roman" w:hAnsi="Times New Roman"/>
                <w:sz w:val="24"/>
                <w:szCs w:val="24"/>
              </w:rPr>
              <w:t>The sector policy budgeting needs improvement. North Macedonia does not yet benefit from a robust medium-term expenditure framework to anchor the costs for the major reforms and ensure their credibility. The ongoing PFM reform programme is expected to address this issue through the adoption of the new organic budget law. Significant IPA support is already allocated to support the country in this challenge. In the absence of a solid MTEF, the country has a quasi-programme for Environment to back up the sector policy objectives. The budget for environment is constantly increasing – 152% from 2015 to 2018, which is a sign of increasing state commitment to the established sector priorities.</w:t>
            </w:r>
          </w:p>
        </w:tc>
      </w:tr>
      <w:tr w:rsidR="00D92F6C" w:rsidRPr="00B25B2B" w14:paraId="2235BE7F" w14:textId="77777777" w:rsidTr="00E67F66">
        <w:trPr>
          <w:jc w:val="center"/>
        </w:trPr>
        <w:tc>
          <w:tcPr>
            <w:tcW w:w="534" w:type="dxa"/>
            <w:vMerge/>
            <w:tcBorders>
              <w:left w:val="single" w:sz="4" w:space="0" w:color="auto"/>
              <w:bottom w:val="single" w:sz="4" w:space="0" w:color="auto"/>
              <w:right w:val="single" w:sz="4" w:space="0" w:color="auto"/>
            </w:tcBorders>
          </w:tcPr>
          <w:p w14:paraId="46A9415E" w14:textId="77777777" w:rsidR="00D92F6C" w:rsidRPr="00B25B2B" w:rsidRDefault="00D92F6C" w:rsidP="00E67F66">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63D9694" w14:textId="77777777" w:rsidR="00D92F6C" w:rsidRPr="00B25B2B" w:rsidRDefault="00D92F6C" w:rsidP="00E67F66">
            <w:pPr>
              <w:rPr>
                <w:rFonts w:ascii="Times New Roman" w:hAnsi="Times New Roman"/>
                <w:sz w:val="24"/>
                <w:szCs w:val="24"/>
              </w:rPr>
            </w:pPr>
            <w:r w:rsidRPr="00B25B2B">
              <w:rPr>
                <w:rFonts w:ascii="Times New Roman" w:hAnsi="Times New Roman"/>
                <w:sz w:val="24"/>
                <w:szCs w:val="24"/>
              </w:rPr>
              <w:t>Regional dimension</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236FA86" w14:textId="14EA5EF6" w:rsidR="00D92F6C" w:rsidRPr="00B25B2B" w:rsidRDefault="000362F3" w:rsidP="00E67F66">
            <w:pPr>
              <w:spacing w:after="120" w:line="240" w:lineRule="auto"/>
              <w:jc w:val="both"/>
              <w:rPr>
                <w:rFonts w:ascii="Times New Roman" w:hAnsi="Times New Roman"/>
                <w:iCs/>
                <w:color w:val="FF0000"/>
                <w:sz w:val="24"/>
                <w:szCs w:val="24"/>
              </w:rPr>
            </w:pPr>
            <w:r w:rsidRPr="00980923">
              <w:rPr>
                <w:rFonts w:ascii="Times New Roman" w:hAnsi="Times New Roman"/>
                <w:iCs/>
                <w:sz w:val="24"/>
                <w:szCs w:val="24"/>
              </w:rPr>
              <w:t>Not applicable</w:t>
            </w:r>
            <w:r w:rsidR="00556B99" w:rsidRPr="00980923">
              <w:rPr>
                <w:rFonts w:ascii="Times New Roman" w:hAnsi="Times New Roman"/>
                <w:iCs/>
                <w:sz w:val="24"/>
                <w:szCs w:val="24"/>
              </w:rPr>
              <w:t xml:space="preserve"> </w:t>
            </w:r>
          </w:p>
        </w:tc>
      </w:tr>
      <w:tr w:rsidR="00D92F6C" w:rsidRPr="003D7D89" w14:paraId="103470BB" w14:textId="77777777" w:rsidTr="00E67F66">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02D9E37C" w14:textId="77777777" w:rsidR="00D92F6C" w:rsidRPr="00B25B2B" w:rsidRDefault="00D92F6C" w:rsidP="00E67F66">
            <w:pPr>
              <w:rPr>
                <w:rFonts w:ascii="Times New Roman" w:hAnsi="Times New Roman"/>
                <w:sz w:val="24"/>
                <w:szCs w:val="24"/>
              </w:rPr>
            </w:pPr>
            <w:r w:rsidRPr="00B25B2B">
              <w:rPr>
                <w:rFonts w:ascii="Times New Roman" w:hAnsi="Times New Roman"/>
                <w:sz w:val="24"/>
                <w:szCs w:val="24"/>
              </w:rPr>
              <w:t>Indicative budget</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17836BDE" w14:textId="1D1AF17A" w:rsidR="000362F3" w:rsidRPr="00C23AD2" w:rsidRDefault="000362F3" w:rsidP="000362F3">
            <w:pPr>
              <w:spacing w:after="120" w:line="240" w:lineRule="auto"/>
              <w:jc w:val="both"/>
              <w:rPr>
                <w:rFonts w:ascii="Times New Roman" w:hAnsi="Times New Roman"/>
                <w:i/>
                <w:iCs/>
                <w:sz w:val="24"/>
                <w:szCs w:val="24"/>
              </w:rPr>
            </w:pPr>
            <w:r w:rsidRPr="00C23AD2">
              <w:rPr>
                <w:rFonts w:ascii="Times New Roman" w:hAnsi="Times New Roman"/>
                <w:i/>
                <w:iCs/>
                <w:sz w:val="24"/>
                <w:szCs w:val="24"/>
              </w:rPr>
              <w:t xml:space="preserve">Total: </w:t>
            </w:r>
            <w:r w:rsidR="00980923" w:rsidRPr="00C23AD2">
              <w:rPr>
                <w:rFonts w:ascii="Times New Roman" w:hAnsi="Times New Roman"/>
                <w:i/>
                <w:iCs/>
                <w:sz w:val="24"/>
                <w:szCs w:val="24"/>
              </w:rPr>
              <w:t xml:space="preserve">EUR </w:t>
            </w:r>
            <w:r w:rsidR="003D7D89" w:rsidRPr="00C23AD2">
              <w:rPr>
                <w:rFonts w:ascii="Times New Roman" w:hAnsi="Times New Roman"/>
                <w:i/>
                <w:iCs/>
                <w:sz w:val="24"/>
                <w:szCs w:val="24"/>
              </w:rPr>
              <w:t>14,000,000</w:t>
            </w:r>
            <w:r w:rsidR="00556B99" w:rsidRPr="00C23AD2">
              <w:rPr>
                <w:rFonts w:ascii="Times New Roman" w:hAnsi="Times New Roman"/>
                <w:i/>
                <w:iCs/>
                <w:sz w:val="24"/>
                <w:szCs w:val="24"/>
              </w:rPr>
              <w:t xml:space="preserve"> </w:t>
            </w:r>
          </w:p>
          <w:p w14:paraId="287AFEDA" w14:textId="77777777" w:rsidR="00D92F6C" w:rsidRPr="00C23AD2" w:rsidRDefault="000362F3" w:rsidP="00980923">
            <w:pPr>
              <w:spacing w:after="120" w:line="240" w:lineRule="auto"/>
              <w:jc w:val="both"/>
              <w:rPr>
                <w:rFonts w:ascii="Times New Roman" w:hAnsi="Times New Roman"/>
                <w:i/>
                <w:iCs/>
                <w:sz w:val="24"/>
                <w:szCs w:val="24"/>
              </w:rPr>
            </w:pPr>
            <w:r w:rsidRPr="00C23AD2">
              <w:rPr>
                <w:rFonts w:ascii="Times New Roman" w:hAnsi="Times New Roman"/>
                <w:i/>
                <w:iCs/>
                <w:sz w:val="24"/>
                <w:szCs w:val="24"/>
              </w:rPr>
              <w:t xml:space="preserve">EU funding: </w:t>
            </w:r>
            <w:r w:rsidR="00980923" w:rsidRPr="00C23AD2">
              <w:rPr>
                <w:rFonts w:ascii="Times New Roman" w:hAnsi="Times New Roman"/>
                <w:i/>
                <w:iCs/>
                <w:sz w:val="24"/>
                <w:szCs w:val="24"/>
              </w:rPr>
              <w:t xml:space="preserve">EUR </w:t>
            </w:r>
            <w:r w:rsidR="003D7D89" w:rsidRPr="00C23AD2">
              <w:rPr>
                <w:rFonts w:ascii="Times New Roman" w:hAnsi="Times New Roman"/>
                <w:i/>
                <w:iCs/>
                <w:sz w:val="24"/>
                <w:szCs w:val="24"/>
              </w:rPr>
              <w:t>12,000,000</w:t>
            </w:r>
            <w:r w:rsidR="00556B99" w:rsidRPr="00C23AD2">
              <w:rPr>
                <w:rFonts w:ascii="Times New Roman" w:hAnsi="Times New Roman"/>
                <w:i/>
                <w:iCs/>
                <w:sz w:val="24"/>
                <w:szCs w:val="24"/>
              </w:rPr>
              <w:t xml:space="preserve"> </w:t>
            </w:r>
          </w:p>
          <w:p w14:paraId="7BF8BB40" w14:textId="3C226B92" w:rsidR="00726AC7" w:rsidRPr="00EF709E" w:rsidRDefault="00726AC7" w:rsidP="00980923">
            <w:pPr>
              <w:spacing w:after="120" w:line="240" w:lineRule="auto"/>
              <w:jc w:val="both"/>
              <w:rPr>
                <w:rFonts w:ascii="Times New Roman" w:hAnsi="Times New Roman"/>
                <w:iCs/>
                <w:sz w:val="24"/>
                <w:szCs w:val="24"/>
              </w:rPr>
            </w:pPr>
            <w:r w:rsidRPr="00C23AD2">
              <w:rPr>
                <w:rFonts w:ascii="Times New Roman" w:hAnsi="Times New Roman"/>
                <w:i/>
                <w:iCs/>
                <w:sz w:val="24"/>
                <w:szCs w:val="24"/>
              </w:rPr>
              <w:t>National co-financing : EUR 2,000,000</w:t>
            </w:r>
          </w:p>
        </w:tc>
      </w:tr>
      <w:tr w:rsidR="00D92F6C" w:rsidRPr="00B25B2B" w14:paraId="581EF4A5" w14:textId="77777777" w:rsidTr="00E67F66">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46D55E52" w14:textId="77777777" w:rsidR="00D92F6C" w:rsidRPr="00B25B2B" w:rsidRDefault="00D92F6C" w:rsidP="00E67F66">
            <w:pPr>
              <w:rPr>
                <w:rFonts w:ascii="Times New Roman" w:hAnsi="Times New Roman"/>
                <w:sz w:val="24"/>
                <w:szCs w:val="24"/>
              </w:rPr>
            </w:pPr>
            <w:r w:rsidRPr="00B25B2B">
              <w:rPr>
                <w:rFonts w:ascii="Times New Roman" w:hAnsi="Times New Roman"/>
                <w:sz w:val="24"/>
                <w:szCs w:val="24"/>
              </w:rPr>
              <w:t>Implementation Modality</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29045F6" w14:textId="39D75E66" w:rsidR="00D92F6C" w:rsidRPr="00B25B2B" w:rsidRDefault="00BC4D43" w:rsidP="00E67F66">
            <w:pPr>
              <w:spacing w:after="120" w:line="240" w:lineRule="auto"/>
              <w:jc w:val="both"/>
              <w:rPr>
                <w:rFonts w:ascii="Times New Roman" w:hAnsi="Times New Roman"/>
                <w:iCs/>
                <w:sz w:val="24"/>
                <w:szCs w:val="24"/>
              </w:rPr>
            </w:pPr>
            <w:r w:rsidRPr="00B25B2B">
              <w:rPr>
                <w:rFonts w:ascii="Times New Roman" w:hAnsi="Times New Roman"/>
                <w:iCs/>
                <w:sz w:val="24"/>
                <w:szCs w:val="24"/>
              </w:rPr>
              <w:t xml:space="preserve">The Action </w:t>
            </w:r>
            <w:r w:rsidR="00980923">
              <w:rPr>
                <w:rFonts w:ascii="Times New Roman" w:hAnsi="Times New Roman"/>
                <w:iCs/>
                <w:sz w:val="24"/>
                <w:szCs w:val="24"/>
              </w:rPr>
              <w:t>will be</w:t>
            </w:r>
            <w:r w:rsidRPr="00B25B2B">
              <w:rPr>
                <w:rFonts w:ascii="Times New Roman" w:hAnsi="Times New Roman"/>
                <w:iCs/>
                <w:sz w:val="24"/>
                <w:szCs w:val="24"/>
              </w:rPr>
              <w:t xml:space="preserve"> implemented under Direct Management</w:t>
            </w:r>
            <w:r w:rsidR="00980923">
              <w:rPr>
                <w:rFonts w:ascii="Times New Roman" w:hAnsi="Times New Roman"/>
                <w:iCs/>
                <w:sz w:val="24"/>
                <w:szCs w:val="24"/>
              </w:rPr>
              <w:t xml:space="preserve"> through procurement, which </w:t>
            </w:r>
            <w:r w:rsidR="00270E9A" w:rsidRPr="00B25B2B">
              <w:rPr>
                <w:rFonts w:ascii="Times New Roman" w:hAnsi="Times New Roman"/>
                <w:iCs/>
                <w:sz w:val="24"/>
                <w:szCs w:val="24"/>
              </w:rPr>
              <w:t xml:space="preserve">entails 8 </w:t>
            </w:r>
            <w:r w:rsidR="00980923">
              <w:rPr>
                <w:rFonts w:ascii="Times New Roman" w:hAnsi="Times New Roman"/>
                <w:iCs/>
                <w:sz w:val="24"/>
                <w:szCs w:val="24"/>
              </w:rPr>
              <w:t>-</w:t>
            </w:r>
            <w:r w:rsidR="00270E9A" w:rsidRPr="00B25B2B">
              <w:rPr>
                <w:rFonts w:ascii="Times New Roman" w:hAnsi="Times New Roman"/>
                <w:iCs/>
                <w:sz w:val="24"/>
                <w:szCs w:val="24"/>
              </w:rPr>
              <w:t>10 service, supply and works contracts</w:t>
            </w:r>
          </w:p>
          <w:p w14:paraId="73D89D7F" w14:textId="77777777" w:rsidR="00BC4D43" w:rsidRPr="00B25B2B" w:rsidRDefault="00BC4D43" w:rsidP="00E67F66">
            <w:pPr>
              <w:spacing w:after="120" w:line="240" w:lineRule="auto"/>
              <w:jc w:val="both"/>
              <w:rPr>
                <w:rFonts w:ascii="Times New Roman" w:hAnsi="Times New Roman"/>
                <w:i/>
                <w:sz w:val="24"/>
                <w:szCs w:val="24"/>
              </w:rPr>
            </w:pPr>
          </w:p>
        </w:tc>
      </w:tr>
      <w:tr w:rsidR="00D92F6C" w:rsidRPr="00B25B2B" w14:paraId="7094F2F6" w14:textId="77777777" w:rsidTr="00E67F66">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369C30E3" w14:textId="297BB628" w:rsidR="00D92F6C" w:rsidRPr="00B25B2B" w:rsidRDefault="00D92F6C" w:rsidP="00602E19">
            <w:pPr>
              <w:rPr>
                <w:rFonts w:ascii="Times New Roman" w:hAnsi="Times New Roman"/>
                <w:sz w:val="24"/>
                <w:szCs w:val="24"/>
              </w:rPr>
            </w:pPr>
            <w:r w:rsidRPr="00B25B2B">
              <w:rPr>
                <w:rFonts w:ascii="Times New Roman" w:hAnsi="Times New Roman"/>
                <w:sz w:val="24"/>
                <w:szCs w:val="24"/>
              </w:rPr>
              <w:t xml:space="preserve">Budget Support Readiness </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10C513A" w14:textId="77777777" w:rsidR="00D92F6C" w:rsidRPr="00B25B2B" w:rsidRDefault="00556B99" w:rsidP="00E67F66">
            <w:pPr>
              <w:spacing w:after="120" w:line="240" w:lineRule="auto"/>
              <w:jc w:val="both"/>
              <w:rPr>
                <w:rFonts w:ascii="Times New Roman" w:hAnsi="Times New Roman"/>
                <w:iCs/>
                <w:sz w:val="24"/>
                <w:szCs w:val="24"/>
              </w:rPr>
            </w:pPr>
            <w:r w:rsidRPr="00B25B2B">
              <w:rPr>
                <w:rFonts w:ascii="Times New Roman" w:hAnsi="Times New Roman"/>
                <w:iCs/>
                <w:sz w:val="24"/>
                <w:szCs w:val="24"/>
              </w:rPr>
              <w:t>Not applicable</w:t>
            </w:r>
          </w:p>
        </w:tc>
      </w:tr>
    </w:tbl>
    <w:p w14:paraId="1D39BFDB" w14:textId="77777777" w:rsidR="00D92F6C" w:rsidRPr="00B25B2B" w:rsidRDefault="00D92F6C" w:rsidP="00D92F6C">
      <w:pPr>
        <w:spacing w:after="0" w:line="240" w:lineRule="auto"/>
        <w:jc w:val="both"/>
        <w:rPr>
          <w:rFonts w:ascii="Times New Roman" w:hAnsi="Times New Roman"/>
          <w:i/>
          <w:sz w:val="24"/>
          <w:szCs w:val="24"/>
        </w:rPr>
        <w:sectPr w:rsidR="00D92F6C" w:rsidRPr="00B25B2B">
          <w:pgSz w:w="11906" w:h="16838"/>
          <w:pgMar w:top="1440" w:right="1440" w:bottom="1440" w:left="1440" w:header="708" w:footer="708" w:gutter="0"/>
          <w:cols w:space="708"/>
          <w:docGrid w:linePitch="360"/>
        </w:sectPr>
      </w:pPr>
    </w:p>
    <w:p w14:paraId="4B81EB08" w14:textId="77777777" w:rsidR="00D92F6C" w:rsidRPr="00B25B2B" w:rsidRDefault="00D92F6C" w:rsidP="00D92F6C">
      <w:pPr>
        <w:rPr>
          <w:rFonts w:ascii="Times New Roman" w:hAnsi="Times New Roman"/>
          <w:bCs/>
          <w:smallCaps/>
          <w:sz w:val="24"/>
          <w:szCs w:val="24"/>
          <w:lang w:val="fr-FR"/>
        </w:rPr>
      </w:pPr>
      <w:bookmarkStart w:id="1" w:name="_Toc33698402"/>
      <w:r w:rsidRPr="00B25B2B">
        <w:rPr>
          <w:rFonts w:ascii="Times New Roman" w:hAnsi="Times New Roman"/>
          <w:b/>
          <w:bCs/>
          <w:smallCaps/>
          <w:sz w:val="24"/>
          <w:szCs w:val="24"/>
          <w:lang w:val="fr-FR"/>
        </w:rPr>
        <w:lastRenderedPageBreak/>
        <w:t xml:space="preserve">LOGICAL FRAMEWORK MATRIX </w:t>
      </w:r>
      <w:bookmarkEnd w:id="1"/>
    </w:p>
    <w:tbl>
      <w:tblPr>
        <w:tblW w:w="1530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3401"/>
        <w:gridCol w:w="3968"/>
        <w:gridCol w:w="1440"/>
        <w:gridCol w:w="1440"/>
        <w:gridCol w:w="1377"/>
        <w:gridCol w:w="1557"/>
        <w:gridCol w:w="2126"/>
      </w:tblGrid>
      <w:tr w:rsidR="00D92F6C" w:rsidRPr="00B25B2B" w14:paraId="65C3ECE6" w14:textId="77777777" w:rsidTr="006A10C1">
        <w:trPr>
          <w:trHeight w:val="1145"/>
        </w:trPr>
        <w:tc>
          <w:tcPr>
            <w:tcW w:w="3401" w:type="dxa"/>
            <w:shd w:val="clear" w:color="auto" w:fill="FFFFFF"/>
            <w:vAlign w:val="center"/>
          </w:tcPr>
          <w:p w14:paraId="52226DC4" w14:textId="77777777" w:rsidR="00D92F6C" w:rsidRPr="00B25B2B" w:rsidRDefault="00D92F6C" w:rsidP="00E67F66">
            <w:pPr>
              <w:shd w:val="clear" w:color="auto" w:fill="FFFFFF"/>
              <w:spacing w:before="100" w:beforeAutospacing="1" w:after="100" w:afterAutospacing="1"/>
              <w:jc w:val="center"/>
              <w:rPr>
                <w:rFonts w:ascii="Times New Roman" w:hAnsi="Times New Roman"/>
                <w:b/>
                <w:sz w:val="24"/>
                <w:szCs w:val="24"/>
              </w:rPr>
            </w:pPr>
            <w:r w:rsidRPr="00B25B2B">
              <w:rPr>
                <w:rFonts w:ascii="Times New Roman" w:hAnsi="Times New Roman"/>
                <w:b/>
                <w:sz w:val="24"/>
                <w:szCs w:val="24"/>
              </w:rPr>
              <w:t>OVERALL OBJECTIVE(S) / (IMPACT(S))</w:t>
            </w:r>
          </w:p>
        </w:tc>
        <w:tc>
          <w:tcPr>
            <w:tcW w:w="3968" w:type="dxa"/>
            <w:shd w:val="clear" w:color="auto" w:fill="FFFFFF"/>
            <w:vAlign w:val="center"/>
          </w:tcPr>
          <w:p w14:paraId="0DD9EC92" w14:textId="77777777" w:rsidR="00D92F6C" w:rsidRPr="00B25B2B" w:rsidRDefault="00D92F6C" w:rsidP="00E67F66">
            <w:pPr>
              <w:shd w:val="clear" w:color="auto" w:fill="FFFFFF"/>
              <w:spacing w:after="0"/>
              <w:jc w:val="center"/>
              <w:rPr>
                <w:rFonts w:ascii="Times New Roman" w:hAnsi="Times New Roman"/>
                <w:b/>
                <w:sz w:val="24"/>
                <w:szCs w:val="24"/>
              </w:rPr>
            </w:pPr>
            <w:r w:rsidRPr="00B25B2B">
              <w:rPr>
                <w:rFonts w:ascii="Times New Roman" w:hAnsi="Times New Roman"/>
                <w:b/>
                <w:sz w:val="24"/>
                <w:szCs w:val="24"/>
              </w:rPr>
              <w:t>OBJECTIVELY VERIFIABLE INDICATORS</w:t>
            </w:r>
          </w:p>
          <w:p w14:paraId="7C5553E2" w14:textId="77777777" w:rsidR="00D92F6C" w:rsidRPr="00B25B2B" w:rsidRDefault="00D92F6C" w:rsidP="00E67F66">
            <w:pPr>
              <w:shd w:val="clear" w:color="auto" w:fill="FFFFFF"/>
              <w:spacing w:after="0"/>
              <w:jc w:val="center"/>
              <w:rPr>
                <w:rFonts w:ascii="Times New Roman" w:hAnsi="Times New Roman"/>
                <w:b/>
                <w:sz w:val="24"/>
                <w:szCs w:val="24"/>
              </w:rPr>
            </w:pPr>
            <w:r w:rsidRPr="00B25B2B">
              <w:rPr>
                <w:rFonts w:ascii="Times New Roman" w:hAnsi="Times New Roman"/>
                <w:sz w:val="24"/>
                <w:szCs w:val="24"/>
              </w:rPr>
              <w:t>Quantitative and/or qualitative variables providing a simple and reliable mean to measure the achievement of the corresponding expected result (i.e. outputs, outcomes, impacts). Indicators should have a clear measurement unit and be formulated in a neutral way.</w:t>
            </w:r>
          </w:p>
        </w:tc>
        <w:tc>
          <w:tcPr>
            <w:tcW w:w="1440" w:type="dxa"/>
            <w:shd w:val="clear" w:color="auto" w:fill="FFFFFF"/>
            <w:vAlign w:val="center"/>
          </w:tcPr>
          <w:p w14:paraId="708003CD" w14:textId="77777777" w:rsidR="00D92F6C" w:rsidRPr="00B25B2B" w:rsidRDefault="00D92F6C" w:rsidP="00E67F66">
            <w:pPr>
              <w:shd w:val="clear" w:color="auto" w:fill="FFFFFF"/>
              <w:jc w:val="center"/>
              <w:rPr>
                <w:rFonts w:ascii="Times New Roman" w:hAnsi="Times New Roman"/>
                <w:b/>
                <w:sz w:val="24"/>
                <w:szCs w:val="24"/>
              </w:rPr>
            </w:pPr>
            <w:r w:rsidRPr="00B25B2B">
              <w:rPr>
                <w:rFonts w:ascii="Times New Roman" w:hAnsi="Times New Roman"/>
                <w:b/>
                <w:sz w:val="24"/>
                <w:szCs w:val="24"/>
              </w:rPr>
              <w:t>BASELINES</w:t>
            </w:r>
          </w:p>
          <w:p w14:paraId="7A1ED5AA" w14:textId="77777777" w:rsidR="00D92F6C" w:rsidRPr="00B25B2B" w:rsidRDefault="00D92F6C" w:rsidP="00E67F66">
            <w:pPr>
              <w:shd w:val="clear" w:color="auto" w:fill="FFFFFF"/>
              <w:spacing w:after="0"/>
              <w:jc w:val="both"/>
              <w:rPr>
                <w:rFonts w:ascii="Times New Roman" w:hAnsi="Times New Roman"/>
                <w:b/>
                <w:sz w:val="24"/>
                <w:szCs w:val="24"/>
              </w:rPr>
            </w:pPr>
            <w:r w:rsidRPr="00B25B2B">
              <w:rPr>
                <w:rFonts w:ascii="Times New Roman" w:hAnsi="Times New Roman"/>
                <w:b/>
                <w:sz w:val="24"/>
                <w:szCs w:val="24"/>
              </w:rPr>
              <w:t>(INCL. VALUE &amp; REFERENCE YEAR</w:t>
            </w:r>
            <w:r w:rsidRPr="00B25B2B">
              <w:rPr>
                <w:rStyle w:val="FootnoteReference"/>
                <w:rFonts w:ascii="Times New Roman" w:hAnsi="Times New Roman"/>
                <w:b/>
                <w:sz w:val="24"/>
                <w:szCs w:val="24"/>
              </w:rPr>
              <w:footnoteReference w:id="1"/>
            </w:r>
            <w:r w:rsidRPr="00B25B2B">
              <w:rPr>
                <w:rFonts w:ascii="Times New Roman" w:hAnsi="Times New Roman"/>
                <w:b/>
                <w:sz w:val="24"/>
                <w:szCs w:val="24"/>
              </w:rPr>
              <w:t>)</w:t>
            </w:r>
            <w:r w:rsidRPr="00B25B2B" w:rsidDel="00042F9A">
              <w:rPr>
                <w:rFonts w:ascii="Times New Roman" w:hAnsi="Times New Roman"/>
                <w:b/>
                <w:sz w:val="24"/>
                <w:szCs w:val="24"/>
              </w:rPr>
              <w:t xml:space="preserve"> </w:t>
            </w:r>
          </w:p>
        </w:tc>
        <w:tc>
          <w:tcPr>
            <w:tcW w:w="1440" w:type="dxa"/>
            <w:shd w:val="clear" w:color="auto" w:fill="FFFFFF"/>
          </w:tcPr>
          <w:p w14:paraId="0BF7E740" w14:textId="77777777" w:rsidR="00D92F6C" w:rsidRPr="00B25B2B" w:rsidRDefault="00D92F6C" w:rsidP="00E67F66">
            <w:pPr>
              <w:shd w:val="clear" w:color="auto" w:fill="FFFFFF"/>
              <w:spacing w:after="0"/>
              <w:jc w:val="center"/>
              <w:rPr>
                <w:rFonts w:ascii="Times New Roman" w:hAnsi="Times New Roman"/>
                <w:b/>
                <w:sz w:val="24"/>
                <w:szCs w:val="24"/>
              </w:rPr>
            </w:pPr>
          </w:p>
          <w:p w14:paraId="406F4BE8" w14:textId="77777777" w:rsidR="00D92F6C" w:rsidRPr="00B25B2B" w:rsidRDefault="00D92F6C" w:rsidP="00E67F66">
            <w:pPr>
              <w:shd w:val="clear" w:color="auto" w:fill="FFFFFF"/>
              <w:spacing w:after="0"/>
              <w:jc w:val="center"/>
              <w:rPr>
                <w:rFonts w:ascii="Times New Roman" w:hAnsi="Times New Roman"/>
                <w:b/>
                <w:sz w:val="24"/>
                <w:szCs w:val="24"/>
              </w:rPr>
            </w:pPr>
            <w:r w:rsidRPr="00B25B2B">
              <w:rPr>
                <w:rFonts w:ascii="Times New Roman" w:hAnsi="Times New Roman"/>
                <w:b/>
                <w:sz w:val="24"/>
                <w:szCs w:val="24"/>
              </w:rPr>
              <w:t>MILESTONES</w:t>
            </w:r>
          </w:p>
          <w:p w14:paraId="08BFCBF7" w14:textId="77777777" w:rsidR="00D92F6C" w:rsidRPr="00B25B2B" w:rsidRDefault="00D92F6C" w:rsidP="00E67F66">
            <w:pPr>
              <w:shd w:val="clear" w:color="auto" w:fill="FFFFFF"/>
              <w:jc w:val="center"/>
              <w:rPr>
                <w:rFonts w:ascii="Times New Roman" w:hAnsi="Times New Roman"/>
                <w:b/>
                <w:sz w:val="24"/>
                <w:szCs w:val="24"/>
              </w:rPr>
            </w:pPr>
            <w:r w:rsidRPr="00B25B2B">
              <w:rPr>
                <w:rFonts w:ascii="Times New Roman" w:hAnsi="Times New Roman"/>
                <w:b/>
                <w:sz w:val="24"/>
                <w:szCs w:val="24"/>
              </w:rPr>
              <w:t>[OPTIONAL]</w:t>
            </w:r>
          </w:p>
          <w:p w14:paraId="41007D8D" w14:textId="77777777" w:rsidR="00D92F6C" w:rsidRPr="00B25B2B" w:rsidRDefault="00D92F6C" w:rsidP="00E67F66">
            <w:pPr>
              <w:shd w:val="clear" w:color="auto" w:fill="FFFFFF"/>
              <w:spacing w:after="0"/>
              <w:jc w:val="center"/>
              <w:rPr>
                <w:rFonts w:ascii="Times New Roman" w:hAnsi="Times New Roman"/>
                <w:b/>
                <w:sz w:val="24"/>
                <w:szCs w:val="24"/>
              </w:rPr>
            </w:pPr>
            <w:r w:rsidRPr="00B25B2B">
              <w:rPr>
                <w:rFonts w:ascii="Times New Roman" w:hAnsi="Times New Roman"/>
                <w:b/>
                <w:sz w:val="24"/>
                <w:szCs w:val="24"/>
              </w:rPr>
              <w:t>(INCL. VALUE &amp; REFERENCE YEAR )</w:t>
            </w:r>
          </w:p>
        </w:tc>
        <w:tc>
          <w:tcPr>
            <w:tcW w:w="1377" w:type="dxa"/>
            <w:shd w:val="clear" w:color="auto" w:fill="FFFFFF"/>
            <w:vAlign w:val="center"/>
          </w:tcPr>
          <w:p w14:paraId="4ADD5440" w14:textId="77777777" w:rsidR="00D92F6C" w:rsidRPr="00B25B2B" w:rsidRDefault="00D92F6C" w:rsidP="00E67F66">
            <w:pPr>
              <w:shd w:val="clear" w:color="auto" w:fill="FFFFFF"/>
              <w:jc w:val="center"/>
              <w:rPr>
                <w:rFonts w:ascii="Times New Roman" w:hAnsi="Times New Roman"/>
                <w:b/>
                <w:sz w:val="24"/>
                <w:szCs w:val="24"/>
              </w:rPr>
            </w:pPr>
            <w:r w:rsidRPr="00B25B2B">
              <w:rPr>
                <w:rFonts w:ascii="Times New Roman" w:hAnsi="Times New Roman"/>
                <w:b/>
                <w:sz w:val="24"/>
                <w:szCs w:val="24"/>
              </w:rPr>
              <w:t>TARGETS</w:t>
            </w:r>
          </w:p>
          <w:p w14:paraId="27F606C6" w14:textId="77777777" w:rsidR="00D92F6C" w:rsidRPr="00B25B2B" w:rsidRDefault="00D92F6C" w:rsidP="00E67F66">
            <w:pPr>
              <w:shd w:val="clear" w:color="auto" w:fill="FFFFFF"/>
              <w:jc w:val="center"/>
              <w:rPr>
                <w:rFonts w:ascii="Times New Roman" w:hAnsi="Times New Roman"/>
                <w:b/>
                <w:sz w:val="24"/>
                <w:szCs w:val="24"/>
              </w:rPr>
            </w:pPr>
            <w:r w:rsidRPr="00B25B2B">
              <w:rPr>
                <w:rFonts w:ascii="Times New Roman" w:hAnsi="Times New Roman"/>
                <w:b/>
                <w:sz w:val="24"/>
                <w:szCs w:val="24"/>
              </w:rPr>
              <w:t>(INCL. VALUE &amp; REFERENCE YEAR)</w:t>
            </w:r>
          </w:p>
        </w:tc>
        <w:tc>
          <w:tcPr>
            <w:tcW w:w="1557" w:type="dxa"/>
            <w:shd w:val="clear" w:color="auto" w:fill="FFFFFF"/>
            <w:vAlign w:val="center"/>
          </w:tcPr>
          <w:p w14:paraId="246EA682" w14:textId="77777777" w:rsidR="00D92F6C" w:rsidRPr="00B25B2B" w:rsidRDefault="00D92F6C" w:rsidP="00E67F66">
            <w:pPr>
              <w:shd w:val="clear" w:color="auto" w:fill="FFFFFF"/>
              <w:spacing w:after="0"/>
              <w:jc w:val="center"/>
              <w:rPr>
                <w:rFonts w:ascii="Times New Roman" w:hAnsi="Times New Roman"/>
                <w:sz w:val="24"/>
                <w:szCs w:val="24"/>
              </w:rPr>
            </w:pPr>
            <w:r w:rsidRPr="00B25B2B">
              <w:rPr>
                <w:rFonts w:ascii="Times New Roman" w:hAnsi="Times New Roman"/>
                <w:b/>
                <w:sz w:val="24"/>
                <w:szCs w:val="24"/>
              </w:rPr>
              <w:t>SOURCES &amp; MEANS OF VERIFICATION</w:t>
            </w:r>
          </w:p>
        </w:tc>
        <w:tc>
          <w:tcPr>
            <w:tcW w:w="2126" w:type="dxa"/>
            <w:vMerge w:val="restart"/>
            <w:tcBorders>
              <w:top w:val="nil"/>
              <w:right w:val="nil"/>
            </w:tcBorders>
            <w:shd w:val="clear" w:color="auto" w:fill="FFFFFF"/>
          </w:tcPr>
          <w:p w14:paraId="43F69521" w14:textId="77777777" w:rsidR="00D92F6C" w:rsidRPr="00B25B2B" w:rsidRDefault="00D92F6C" w:rsidP="00E67F66">
            <w:pPr>
              <w:shd w:val="clear" w:color="auto" w:fill="FFFFFF"/>
              <w:spacing w:after="0"/>
              <w:rPr>
                <w:rFonts w:ascii="Times New Roman" w:hAnsi="Times New Roman"/>
                <w:sz w:val="24"/>
                <w:szCs w:val="24"/>
              </w:rPr>
            </w:pPr>
          </w:p>
        </w:tc>
      </w:tr>
      <w:tr w:rsidR="006A10C1" w:rsidRPr="00B25B2B" w14:paraId="466CE571" w14:textId="77777777" w:rsidTr="009C6E98">
        <w:trPr>
          <w:trHeight w:val="584"/>
        </w:trPr>
        <w:tc>
          <w:tcPr>
            <w:tcW w:w="3401" w:type="dxa"/>
            <w:shd w:val="clear" w:color="auto" w:fill="auto"/>
          </w:tcPr>
          <w:p w14:paraId="2864328F" w14:textId="77777777" w:rsidR="006A10C1" w:rsidRPr="00B25B2B" w:rsidRDefault="006A10C1" w:rsidP="006A10C1">
            <w:pPr>
              <w:tabs>
                <w:tab w:val="left" w:pos="240"/>
              </w:tabs>
              <w:spacing w:before="40" w:after="40"/>
              <w:rPr>
                <w:rFonts w:ascii="Times New Roman" w:eastAsia="Calibri" w:hAnsi="Times New Roman"/>
                <w:sz w:val="24"/>
                <w:szCs w:val="24"/>
              </w:rPr>
            </w:pPr>
            <w:r w:rsidRPr="00B25B2B">
              <w:rPr>
                <w:rFonts w:ascii="Times New Roman" w:eastAsia="Calibri" w:hAnsi="Times New Roman"/>
                <w:sz w:val="24"/>
                <w:szCs w:val="24"/>
              </w:rPr>
              <w:t>To reduce health risks associated with air pollution</w:t>
            </w:r>
          </w:p>
        </w:tc>
        <w:tc>
          <w:tcPr>
            <w:tcW w:w="3968" w:type="dxa"/>
          </w:tcPr>
          <w:p w14:paraId="26F46D38" w14:textId="77777777" w:rsidR="006A10C1" w:rsidRPr="00B25B2B" w:rsidRDefault="006A10C1" w:rsidP="006A10C1">
            <w:pPr>
              <w:tabs>
                <w:tab w:val="left" w:pos="240"/>
              </w:tabs>
              <w:spacing w:before="40" w:after="40"/>
              <w:rPr>
                <w:rFonts w:ascii="Times New Roman" w:eastAsia="Calibri" w:hAnsi="Times New Roman"/>
                <w:sz w:val="24"/>
                <w:szCs w:val="24"/>
              </w:rPr>
            </w:pPr>
            <w:r w:rsidRPr="00B25B2B">
              <w:rPr>
                <w:rFonts w:ascii="Times New Roman" w:eastAsia="Calibri" w:hAnsi="Times New Roman"/>
                <w:sz w:val="24"/>
                <w:szCs w:val="24"/>
              </w:rPr>
              <w:t>Number of deaths due to air pollution</w:t>
            </w:r>
          </w:p>
        </w:tc>
        <w:tc>
          <w:tcPr>
            <w:tcW w:w="1440" w:type="dxa"/>
          </w:tcPr>
          <w:p w14:paraId="0A0ECBF2" w14:textId="77777777" w:rsidR="006A10C1" w:rsidRPr="00B25B2B" w:rsidRDefault="006A10C1" w:rsidP="006A10C1">
            <w:pPr>
              <w:pStyle w:val="Default"/>
              <w:spacing w:before="40" w:after="40"/>
              <w:rPr>
                <w:iCs/>
                <w:color w:val="auto"/>
                <w:lang w:val="en-GB"/>
              </w:rPr>
            </w:pPr>
            <w:r w:rsidRPr="00B25B2B">
              <w:rPr>
                <w:iCs/>
                <w:color w:val="auto"/>
                <w:lang w:val="en-GB"/>
              </w:rPr>
              <w:t xml:space="preserve">2,600 </w:t>
            </w:r>
          </w:p>
        </w:tc>
        <w:tc>
          <w:tcPr>
            <w:tcW w:w="1440" w:type="dxa"/>
          </w:tcPr>
          <w:p w14:paraId="74B2CB24" w14:textId="77777777" w:rsidR="006A10C1" w:rsidRPr="00B25B2B" w:rsidRDefault="006A10C1" w:rsidP="006A10C1">
            <w:pPr>
              <w:pStyle w:val="Default"/>
              <w:spacing w:before="40" w:after="40"/>
              <w:rPr>
                <w:iCs/>
                <w:lang w:val="en-GB"/>
              </w:rPr>
            </w:pPr>
            <w:r w:rsidRPr="00B25B2B">
              <w:rPr>
                <w:iCs/>
                <w:lang w:val="en-GB"/>
              </w:rPr>
              <w:t>2,000</w:t>
            </w:r>
          </w:p>
        </w:tc>
        <w:tc>
          <w:tcPr>
            <w:tcW w:w="1377" w:type="dxa"/>
          </w:tcPr>
          <w:p w14:paraId="0A28282E" w14:textId="77777777" w:rsidR="006A10C1" w:rsidRPr="00B25B2B" w:rsidRDefault="006A10C1" w:rsidP="006A10C1">
            <w:pPr>
              <w:pStyle w:val="Default"/>
              <w:spacing w:before="40" w:after="40"/>
              <w:rPr>
                <w:iCs/>
                <w:lang w:val="en-GB"/>
              </w:rPr>
            </w:pPr>
            <w:r w:rsidRPr="00B25B2B">
              <w:rPr>
                <w:iCs/>
                <w:lang w:val="en-GB"/>
              </w:rPr>
              <w:t>1,600</w:t>
            </w:r>
          </w:p>
        </w:tc>
        <w:tc>
          <w:tcPr>
            <w:tcW w:w="1557" w:type="dxa"/>
            <w:shd w:val="clear" w:color="auto" w:fill="auto"/>
          </w:tcPr>
          <w:p w14:paraId="419A292E" w14:textId="77777777" w:rsidR="006A10C1" w:rsidRPr="00B25B2B" w:rsidRDefault="006A10C1" w:rsidP="006A10C1">
            <w:pPr>
              <w:pStyle w:val="Default"/>
              <w:spacing w:before="40" w:after="40"/>
            </w:pPr>
            <w:r w:rsidRPr="00B25B2B">
              <w:rPr>
                <w:rFonts w:eastAsia="Calibri"/>
                <w:iCs/>
                <w:color w:val="auto"/>
              </w:rPr>
              <w:t>WHO Reports</w:t>
            </w:r>
          </w:p>
        </w:tc>
        <w:tc>
          <w:tcPr>
            <w:tcW w:w="2126" w:type="dxa"/>
            <w:vMerge/>
            <w:tcBorders>
              <w:right w:val="nil"/>
            </w:tcBorders>
            <w:shd w:val="clear" w:color="auto" w:fill="FFFFFF"/>
          </w:tcPr>
          <w:p w14:paraId="522A9397" w14:textId="77777777" w:rsidR="006A10C1" w:rsidRPr="00B25B2B" w:rsidRDefault="006A10C1" w:rsidP="006A10C1">
            <w:pPr>
              <w:shd w:val="clear" w:color="auto" w:fill="FFFFFF"/>
              <w:spacing w:before="60" w:after="0"/>
              <w:rPr>
                <w:rFonts w:ascii="Times New Roman" w:hAnsi="Times New Roman"/>
                <w:sz w:val="24"/>
                <w:szCs w:val="24"/>
              </w:rPr>
            </w:pPr>
          </w:p>
        </w:tc>
      </w:tr>
      <w:tr w:rsidR="006A10C1" w:rsidRPr="00B25B2B" w14:paraId="17D2C99A" w14:textId="77777777" w:rsidTr="006A10C1">
        <w:trPr>
          <w:trHeight w:val="189"/>
        </w:trPr>
        <w:tc>
          <w:tcPr>
            <w:tcW w:w="3401" w:type="dxa"/>
            <w:shd w:val="clear" w:color="auto" w:fill="FFFFFF"/>
          </w:tcPr>
          <w:p w14:paraId="5AAAF4DE" w14:textId="77777777" w:rsidR="006A10C1" w:rsidRPr="00B25B2B" w:rsidRDefault="006A10C1" w:rsidP="006A10C1">
            <w:pPr>
              <w:numPr>
                <w:ilvl w:val="12"/>
                <w:numId w:val="0"/>
              </w:numPr>
              <w:shd w:val="clear" w:color="auto" w:fill="FFFFFF"/>
              <w:spacing w:before="100" w:beforeAutospacing="1" w:after="100" w:afterAutospacing="1"/>
              <w:jc w:val="center"/>
              <w:rPr>
                <w:rFonts w:ascii="Times New Roman" w:hAnsi="Times New Roman"/>
                <w:sz w:val="24"/>
                <w:szCs w:val="24"/>
              </w:rPr>
            </w:pPr>
            <w:r w:rsidRPr="00B25B2B">
              <w:rPr>
                <w:rFonts w:ascii="Times New Roman" w:hAnsi="Times New Roman"/>
                <w:b/>
                <w:sz w:val="24"/>
                <w:szCs w:val="24"/>
              </w:rPr>
              <w:t>SPECIFIC OBJECTIVE(S) / OUTCOME(S)</w:t>
            </w:r>
          </w:p>
        </w:tc>
        <w:tc>
          <w:tcPr>
            <w:tcW w:w="3968" w:type="dxa"/>
            <w:shd w:val="clear" w:color="auto" w:fill="FFFFFF"/>
          </w:tcPr>
          <w:p w14:paraId="6B80DA2A" w14:textId="77777777" w:rsidR="006A10C1" w:rsidRPr="00B25B2B" w:rsidRDefault="006A10C1" w:rsidP="006A10C1">
            <w:pPr>
              <w:shd w:val="clear" w:color="auto" w:fill="FFFFFF"/>
              <w:spacing w:after="0"/>
              <w:jc w:val="center"/>
              <w:rPr>
                <w:rFonts w:ascii="Times New Roman" w:hAnsi="Times New Roman"/>
                <w:sz w:val="24"/>
                <w:szCs w:val="24"/>
              </w:rPr>
            </w:pPr>
            <w:r w:rsidRPr="00B25B2B">
              <w:rPr>
                <w:rFonts w:ascii="Times New Roman" w:hAnsi="Times New Roman"/>
                <w:b/>
                <w:sz w:val="24"/>
                <w:szCs w:val="24"/>
              </w:rPr>
              <w:t>OBJECTIVELY VERIFIABLE INDICATORS (*)</w:t>
            </w:r>
          </w:p>
        </w:tc>
        <w:tc>
          <w:tcPr>
            <w:tcW w:w="1440" w:type="dxa"/>
            <w:shd w:val="clear" w:color="auto" w:fill="FFFFFF"/>
          </w:tcPr>
          <w:p w14:paraId="493E5E37" w14:textId="77777777" w:rsidR="006A10C1" w:rsidRPr="00B25B2B" w:rsidRDefault="006A10C1" w:rsidP="006A10C1">
            <w:pPr>
              <w:shd w:val="clear" w:color="auto" w:fill="FFFFFF"/>
              <w:spacing w:after="0"/>
              <w:jc w:val="center"/>
              <w:rPr>
                <w:rFonts w:ascii="Times New Roman" w:hAnsi="Times New Roman"/>
                <w:b/>
                <w:sz w:val="24"/>
                <w:szCs w:val="24"/>
              </w:rPr>
            </w:pPr>
            <w:r w:rsidRPr="00B25B2B">
              <w:rPr>
                <w:rFonts w:ascii="Times New Roman" w:hAnsi="Times New Roman"/>
                <w:b/>
                <w:sz w:val="24"/>
                <w:szCs w:val="24"/>
              </w:rPr>
              <w:t>BASELINES</w:t>
            </w:r>
          </w:p>
          <w:p w14:paraId="78B13F9D" w14:textId="77777777" w:rsidR="006A10C1" w:rsidRPr="00B25B2B" w:rsidRDefault="006A10C1" w:rsidP="006A10C1">
            <w:pPr>
              <w:shd w:val="clear" w:color="auto" w:fill="FFFFFF"/>
              <w:spacing w:after="0"/>
              <w:ind w:left="-352"/>
              <w:jc w:val="center"/>
              <w:rPr>
                <w:rFonts w:ascii="Times New Roman" w:hAnsi="Times New Roman"/>
                <w:b/>
                <w:sz w:val="24"/>
                <w:szCs w:val="24"/>
              </w:rPr>
            </w:pPr>
          </w:p>
        </w:tc>
        <w:tc>
          <w:tcPr>
            <w:tcW w:w="1440" w:type="dxa"/>
            <w:shd w:val="clear" w:color="auto" w:fill="FFFFFF"/>
          </w:tcPr>
          <w:p w14:paraId="42E26FDB" w14:textId="77777777" w:rsidR="006A10C1" w:rsidRPr="00B25B2B" w:rsidRDefault="006A10C1" w:rsidP="006A10C1">
            <w:pPr>
              <w:shd w:val="clear" w:color="auto" w:fill="FFFFFF"/>
              <w:spacing w:after="0"/>
              <w:jc w:val="center"/>
              <w:rPr>
                <w:rFonts w:ascii="Times New Roman" w:hAnsi="Times New Roman"/>
                <w:b/>
                <w:sz w:val="24"/>
                <w:szCs w:val="24"/>
              </w:rPr>
            </w:pPr>
            <w:r w:rsidRPr="00B25B2B">
              <w:rPr>
                <w:rFonts w:ascii="Times New Roman" w:hAnsi="Times New Roman"/>
                <w:b/>
                <w:sz w:val="24"/>
                <w:szCs w:val="24"/>
              </w:rPr>
              <w:t>MILESTONES</w:t>
            </w:r>
          </w:p>
          <w:p w14:paraId="03EA0E49" w14:textId="77777777" w:rsidR="006A10C1" w:rsidRPr="00B25B2B" w:rsidRDefault="006A10C1" w:rsidP="006A10C1">
            <w:pPr>
              <w:shd w:val="clear" w:color="auto" w:fill="FFFFFF"/>
              <w:spacing w:after="0"/>
              <w:jc w:val="center"/>
              <w:rPr>
                <w:rFonts w:ascii="Times New Roman" w:hAnsi="Times New Roman"/>
                <w:b/>
                <w:sz w:val="24"/>
                <w:szCs w:val="24"/>
              </w:rPr>
            </w:pPr>
          </w:p>
        </w:tc>
        <w:tc>
          <w:tcPr>
            <w:tcW w:w="1377" w:type="dxa"/>
            <w:shd w:val="clear" w:color="auto" w:fill="FFFFFF"/>
          </w:tcPr>
          <w:p w14:paraId="4532C54F" w14:textId="77777777" w:rsidR="006A10C1" w:rsidRPr="00B25B2B" w:rsidRDefault="006A10C1" w:rsidP="006A10C1">
            <w:pPr>
              <w:shd w:val="clear" w:color="auto" w:fill="FFFFFF"/>
              <w:spacing w:after="0"/>
              <w:jc w:val="center"/>
              <w:rPr>
                <w:rFonts w:ascii="Times New Roman" w:hAnsi="Times New Roman"/>
                <w:b/>
                <w:sz w:val="24"/>
                <w:szCs w:val="24"/>
              </w:rPr>
            </w:pPr>
            <w:r w:rsidRPr="00B25B2B">
              <w:rPr>
                <w:rFonts w:ascii="Times New Roman" w:hAnsi="Times New Roman"/>
                <w:b/>
                <w:sz w:val="24"/>
                <w:szCs w:val="24"/>
              </w:rPr>
              <w:t>TARGETS</w:t>
            </w:r>
          </w:p>
          <w:p w14:paraId="47C849C8" w14:textId="77777777" w:rsidR="006A10C1" w:rsidRPr="00B25B2B" w:rsidRDefault="006A10C1" w:rsidP="006A10C1">
            <w:pPr>
              <w:shd w:val="clear" w:color="auto" w:fill="FFFFFF"/>
              <w:spacing w:after="0"/>
              <w:jc w:val="center"/>
              <w:rPr>
                <w:rFonts w:ascii="Times New Roman" w:hAnsi="Times New Roman"/>
                <w:b/>
                <w:sz w:val="24"/>
                <w:szCs w:val="24"/>
              </w:rPr>
            </w:pPr>
          </w:p>
        </w:tc>
        <w:tc>
          <w:tcPr>
            <w:tcW w:w="1557" w:type="dxa"/>
            <w:shd w:val="clear" w:color="auto" w:fill="FFFFFF"/>
          </w:tcPr>
          <w:p w14:paraId="69C34E94" w14:textId="77777777" w:rsidR="006A10C1" w:rsidRPr="00B25B2B" w:rsidRDefault="006A10C1" w:rsidP="006A10C1">
            <w:pPr>
              <w:shd w:val="clear" w:color="auto" w:fill="FFFFFF"/>
              <w:spacing w:after="0"/>
              <w:jc w:val="center"/>
              <w:rPr>
                <w:rFonts w:ascii="Times New Roman" w:hAnsi="Times New Roman"/>
                <w:sz w:val="24"/>
                <w:szCs w:val="24"/>
              </w:rPr>
            </w:pPr>
            <w:r w:rsidRPr="00B25B2B">
              <w:rPr>
                <w:rFonts w:ascii="Times New Roman" w:hAnsi="Times New Roman"/>
                <w:b/>
                <w:sz w:val="24"/>
                <w:szCs w:val="24"/>
              </w:rPr>
              <w:t>SOURCES OF VERIFICATION</w:t>
            </w:r>
          </w:p>
        </w:tc>
        <w:tc>
          <w:tcPr>
            <w:tcW w:w="2126" w:type="dxa"/>
            <w:shd w:val="clear" w:color="auto" w:fill="FFFFFF"/>
          </w:tcPr>
          <w:p w14:paraId="04AA6434" w14:textId="77777777" w:rsidR="006A10C1" w:rsidRPr="00B25B2B" w:rsidRDefault="006A10C1" w:rsidP="006A10C1">
            <w:pPr>
              <w:numPr>
                <w:ilvl w:val="12"/>
                <w:numId w:val="0"/>
              </w:numPr>
              <w:shd w:val="clear" w:color="auto" w:fill="FFFFFF"/>
              <w:spacing w:after="0"/>
              <w:jc w:val="center"/>
              <w:rPr>
                <w:rFonts w:ascii="Times New Roman" w:hAnsi="Times New Roman"/>
                <w:b/>
                <w:sz w:val="24"/>
                <w:szCs w:val="24"/>
              </w:rPr>
            </w:pPr>
            <w:r w:rsidRPr="00B25B2B">
              <w:rPr>
                <w:rFonts w:ascii="Times New Roman" w:hAnsi="Times New Roman"/>
                <w:b/>
                <w:sz w:val="24"/>
                <w:szCs w:val="24"/>
              </w:rPr>
              <w:t>ASSUMPTIONS</w:t>
            </w:r>
          </w:p>
        </w:tc>
      </w:tr>
      <w:tr w:rsidR="006A10C1" w:rsidRPr="00B25B2B" w14:paraId="573868F1" w14:textId="77777777" w:rsidTr="009C6E98">
        <w:trPr>
          <w:trHeight w:val="755"/>
        </w:trPr>
        <w:tc>
          <w:tcPr>
            <w:tcW w:w="3401" w:type="dxa"/>
            <w:vMerge w:val="restart"/>
            <w:shd w:val="clear" w:color="auto" w:fill="FFFFFF"/>
          </w:tcPr>
          <w:p w14:paraId="0C8CE0F4" w14:textId="77777777" w:rsidR="006A10C1" w:rsidRPr="00B25B2B" w:rsidRDefault="006A10C1" w:rsidP="006A10C1">
            <w:pPr>
              <w:spacing w:before="40" w:after="40"/>
              <w:rPr>
                <w:rFonts w:ascii="Times New Roman" w:hAnsi="Times New Roman"/>
                <w:sz w:val="24"/>
                <w:szCs w:val="24"/>
              </w:rPr>
            </w:pPr>
            <w:r w:rsidRPr="00B25B2B">
              <w:rPr>
                <w:rFonts w:ascii="Times New Roman" w:hAnsi="Times New Roman"/>
                <w:sz w:val="24"/>
                <w:szCs w:val="24"/>
              </w:rPr>
              <w:t>To improve the quality of air in the capital city and the biggest urban areas in North Macedonia</w:t>
            </w:r>
          </w:p>
        </w:tc>
        <w:tc>
          <w:tcPr>
            <w:tcW w:w="3968" w:type="dxa"/>
          </w:tcPr>
          <w:p w14:paraId="139EB979" w14:textId="77777777" w:rsidR="006A10C1" w:rsidRPr="00B25B2B" w:rsidRDefault="006A10C1" w:rsidP="006A10C1">
            <w:pPr>
              <w:autoSpaceDE w:val="0"/>
              <w:autoSpaceDN w:val="0"/>
              <w:adjustRightInd w:val="0"/>
              <w:spacing w:before="40" w:after="40"/>
              <w:rPr>
                <w:rFonts w:ascii="Times New Roman" w:eastAsia="Calibri" w:hAnsi="Times New Roman"/>
                <w:sz w:val="24"/>
                <w:szCs w:val="24"/>
              </w:rPr>
            </w:pPr>
            <w:r w:rsidRPr="00B25B2B">
              <w:rPr>
                <w:rFonts w:ascii="Times New Roman" w:eastAsia="Calibri" w:hAnsi="Times New Roman"/>
                <w:sz w:val="24"/>
                <w:szCs w:val="24"/>
              </w:rPr>
              <w:t>Kilograms of produced particulate PM2.5 in the targeted locations</w:t>
            </w:r>
          </w:p>
        </w:tc>
        <w:tc>
          <w:tcPr>
            <w:tcW w:w="1440" w:type="dxa"/>
          </w:tcPr>
          <w:p w14:paraId="4B3E1FB6" w14:textId="77777777" w:rsidR="006A10C1" w:rsidRPr="00B25B2B" w:rsidRDefault="006A10C1" w:rsidP="006A10C1">
            <w:pPr>
              <w:spacing w:before="40" w:after="40"/>
              <w:rPr>
                <w:rFonts w:ascii="Times New Roman" w:eastAsia="Calibri" w:hAnsi="Times New Roman"/>
                <w:iCs/>
                <w:sz w:val="24"/>
                <w:szCs w:val="24"/>
              </w:rPr>
            </w:pPr>
            <w:r w:rsidRPr="00B25B2B">
              <w:rPr>
                <w:rFonts w:ascii="Times New Roman" w:eastAsia="Calibri" w:hAnsi="Times New Roman"/>
                <w:iCs/>
                <w:sz w:val="24"/>
                <w:szCs w:val="24"/>
              </w:rPr>
              <w:t>4,000</w:t>
            </w:r>
          </w:p>
        </w:tc>
        <w:tc>
          <w:tcPr>
            <w:tcW w:w="1440" w:type="dxa"/>
          </w:tcPr>
          <w:p w14:paraId="29537145" w14:textId="77777777" w:rsidR="006A10C1" w:rsidRPr="00B25B2B" w:rsidRDefault="006A10C1" w:rsidP="006A10C1">
            <w:pPr>
              <w:spacing w:before="40" w:after="40"/>
              <w:rPr>
                <w:rFonts w:ascii="Times New Roman" w:eastAsia="Calibri" w:hAnsi="Times New Roman"/>
                <w:iCs/>
                <w:sz w:val="24"/>
                <w:szCs w:val="24"/>
              </w:rPr>
            </w:pPr>
            <w:r w:rsidRPr="00B25B2B">
              <w:rPr>
                <w:rFonts w:ascii="Times New Roman" w:eastAsia="Calibri" w:hAnsi="Times New Roman"/>
                <w:iCs/>
                <w:sz w:val="24"/>
                <w:szCs w:val="24"/>
              </w:rPr>
              <w:t>100</w:t>
            </w:r>
          </w:p>
        </w:tc>
        <w:tc>
          <w:tcPr>
            <w:tcW w:w="1377" w:type="dxa"/>
          </w:tcPr>
          <w:p w14:paraId="012D29FB" w14:textId="77777777" w:rsidR="006A10C1" w:rsidRPr="00B25B2B" w:rsidRDefault="006A10C1" w:rsidP="006A10C1">
            <w:pPr>
              <w:spacing w:before="40" w:after="40"/>
              <w:rPr>
                <w:rFonts w:ascii="Times New Roman" w:eastAsia="Calibri" w:hAnsi="Times New Roman"/>
                <w:iCs/>
                <w:sz w:val="24"/>
                <w:szCs w:val="24"/>
              </w:rPr>
            </w:pPr>
          </w:p>
        </w:tc>
        <w:tc>
          <w:tcPr>
            <w:tcW w:w="1557" w:type="dxa"/>
            <w:vMerge w:val="restart"/>
          </w:tcPr>
          <w:p w14:paraId="3CB0215B" w14:textId="77777777" w:rsidR="006A10C1" w:rsidRPr="00B25B2B" w:rsidRDefault="006A10C1" w:rsidP="006A10C1">
            <w:pPr>
              <w:pStyle w:val="Default"/>
              <w:spacing w:before="40" w:after="40"/>
              <w:rPr>
                <w:lang w:val="en-GB"/>
              </w:rPr>
            </w:pPr>
            <w:r w:rsidRPr="00B25B2B">
              <w:rPr>
                <w:rFonts w:eastAsia="Calibri"/>
                <w:iCs/>
                <w:color w:val="auto"/>
              </w:rPr>
              <w:t>Experts report</w:t>
            </w:r>
          </w:p>
        </w:tc>
        <w:tc>
          <w:tcPr>
            <w:tcW w:w="2126" w:type="dxa"/>
            <w:vMerge w:val="restart"/>
            <w:shd w:val="clear" w:color="auto" w:fill="FFFFFF"/>
          </w:tcPr>
          <w:p w14:paraId="4BFC691D" w14:textId="77777777" w:rsidR="006A10C1" w:rsidRPr="00B25B2B" w:rsidRDefault="006A10C1" w:rsidP="006A10C1">
            <w:pPr>
              <w:spacing w:before="40" w:after="40"/>
              <w:rPr>
                <w:rFonts w:ascii="Times New Roman" w:eastAsia="Calibri" w:hAnsi="Times New Roman"/>
                <w:bCs/>
                <w:iCs/>
                <w:sz w:val="24"/>
                <w:szCs w:val="24"/>
                <w:lang w:val="en-US"/>
              </w:rPr>
            </w:pPr>
            <w:r w:rsidRPr="00B25B2B">
              <w:rPr>
                <w:rFonts w:ascii="Times New Roman" w:eastAsia="Calibri" w:hAnsi="Times New Roman"/>
                <w:bCs/>
                <w:iCs/>
                <w:sz w:val="24"/>
                <w:szCs w:val="24"/>
                <w:lang w:val="en-US"/>
              </w:rPr>
              <w:t>Improvement of medical systems for screening and treatment of respiratory diseases</w:t>
            </w:r>
          </w:p>
          <w:p w14:paraId="2D5966A9" w14:textId="77777777" w:rsidR="006A10C1" w:rsidRPr="00B25B2B" w:rsidRDefault="006A10C1" w:rsidP="006A10C1">
            <w:pPr>
              <w:spacing w:before="40" w:after="40"/>
              <w:rPr>
                <w:rFonts w:ascii="Times New Roman" w:eastAsia="Calibri" w:hAnsi="Times New Roman"/>
                <w:iCs/>
                <w:sz w:val="24"/>
                <w:szCs w:val="24"/>
              </w:rPr>
            </w:pPr>
            <w:r w:rsidRPr="00B25B2B">
              <w:rPr>
                <w:rFonts w:ascii="Times New Roman" w:eastAsia="Calibri" w:hAnsi="Times New Roman"/>
                <w:iCs/>
                <w:sz w:val="24"/>
                <w:szCs w:val="24"/>
              </w:rPr>
              <w:t>Local communities are supportive to long-term strategies for decreasing air pollution despite the costs</w:t>
            </w:r>
          </w:p>
          <w:p w14:paraId="59C4352A" w14:textId="77777777" w:rsidR="006A10C1" w:rsidRPr="00B25B2B" w:rsidRDefault="006A10C1" w:rsidP="006A10C1">
            <w:pPr>
              <w:spacing w:before="40" w:after="40"/>
              <w:rPr>
                <w:rFonts w:ascii="Times New Roman" w:eastAsia="Calibri" w:hAnsi="Times New Roman"/>
                <w:bCs/>
                <w:iCs/>
                <w:sz w:val="24"/>
                <w:szCs w:val="24"/>
                <w:lang w:val="en-US"/>
              </w:rPr>
            </w:pPr>
          </w:p>
        </w:tc>
      </w:tr>
      <w:tr w:rsidR="009C6E98" w:rsidRPr="00B25B2B" w14:paraId="0F64DD35" w14:textId="77777777" w:rsidTr="009C6E98">
        <w:trPr>
          <w:trHeight w:val="629"/>
        </w:trPr>
        <w:tc>
          <w:tcPr>
            <w:tcW w:w="3401" w:type="dxa"/>
            <w:vMerge/>
            <w:shd w:val="clear" w:color="auto" w:fill="FFFFFF"/>
          </w:tcPr>
          <w:p w14:paraId="2A1ED9D7" w14:textId="77777777" w:rsidR="009C6E98" w:rsidRPr="00B25B2B" w:rsidRDefault="009C6E98" w:rsidP="009C6E98">
            <w:pPr>
              <w:spacing w:before="40" w:after="40"/>
              <w:rPr>
                <w:rFonts w:ascii="Times New Roman" w:hAnsi="Times New Roman"/>
                <w:sz w:val="24"/>
                <w:szCs w:val="24"/>
              </w:rPr>
            </w:pPr>
          </w:p>
        </w:tc>
        <w:tc>
          <w:tcPr>
            <w:tcW w:w="3968" w:type="dxa"/>
          </w:tcPr>
          <w:p w14:paraId="7C97E358" w14:textId="77777777" w:rsidR="009C6E98" w:rsidRPr="00B25B2B" w:rsidRDefault="009C6E98" w:rsidP="009C6E98">
            <w:pPr>
              <w:autoSpaceDE w:val="0"/>
              <w:autoSpaceDN w:val="0"/>
              <w:adjustRightInd w:val="0"/>
              <w:spacing w:before="40" w:after="40"/>
              <w:rPr>
                <w:rFonts w:ascii="Times New Roman" w:eastAsia="Calibri" w:hAnsi="Times New Roman"/>
                <w:sz w:val="24"/>
                <w:szCs w:val="24"/>
              </w:rPr>
            </w:pPr>
            <w:r w:rsidRPr="00B25B2B">
              <w:rPr>
                <w:rFonts w:ascii="Times New Roman" w:eastAsia="Calibri" w:hAnsi="Times New Roman"/>
                <w:sz w:val="24"/>
                <w:szCs w:val="24"/>
              </w:rPr>
              <w:t>Kilograms of produced particulate PM10 in the targeted locations</w:t>
            </w:r>
          </w:p>
        </w:tc>
        <w:tc>
          <w:tcPr>
            <w:tcW w:w="1440" w:type="dxa"/>
          </w:tcPr>
          <w:p w14:paraId="69F9A9CB" w14:textId="77777777" w:rsidR="009C6E98" w:rsidRPr="00B25B2B" w:rsidRDefault="009C6E98" w:rsidP="009C6E98">
            <w:pPr>
              <w:spacing w:before="40" w:after="40"/>
              <w:rPr>
                <w:rFonts w:ascii="Times New Roman" w:eastAsia="Calibri" w:hAnsi="Times New Roman"/>
                <w:iCs/>
                <w:sz w:val="24"/>
                <w:szCs w:val="24"/>
              </w:rPr>
            </w:pPr>
            <w:r w:rsidRPr="00B25B2B">
              <w:rPr>
                <w:rFonts w:ascii="Times New Roman" w:eastAsia="Calibri" w:hAnsi="Times New Roman"/>
                <w:iCs/>
                <w:sz w:val="24"/>
                <w:szCs w:val="24"/>
              </w:rPr>
              <w:t>4,600</w:t>
            </w:r>
          </w:p>
        </w:tc>
        <w:tc>
          <w:tcPr>
            <w:tcW w:w="1440" w:type="dxa"/>
          </w:tcPr>
          <w:p w14:paraId="29F3B048" w14:textId="77777777" w:rsidR="009C6E98" w:rsidRPr="00B25B2B" w:rsidRDefault="009C6E98" w:rsidP="009C6E98">
            <w:pPr>
              <w:spacing w:before="40" w:after="40"/>
              <w:rPr>
                <w:rFonts w:ascii="Times New Roman" w:eastAsia="Calibri" w:hAnsi="Times New Roman"/>
                <w:iCs/>
                <w:sz w:val="24"/>
                <w:szCs w:val="24"/>
              </w:rPr>
            </w:pPr>
          </w:p>
        </w:tc>
        <w:tc>
          <w:tcPr>
            <w:tcW w:w="1377" w:type="dxa"/>
          </w:tcPr>
          <w:p w14:paraId="04BE8457" w14:textId="77777777" w:rsidR="009C6E98" w:rsidRPr="00B25B2B" w:rsidRDefault="009C6E98" w:rsidP="009C6E98">
            <w:pPr>
              <w:spacing w:before="40" w:after="40"/>
              <w:rPr>
                <w:rFonts w:ascii="Times New Roman" w:eastAsia="Calibri" w:hAnsi="Times New Roman"/>
                <w:iCs/>
                <w:sz w:val="24"/>
                <w:szCs w:val="24"/>
              </w:rPr>
            </w:pPr>
            <w:r w:rsidRPr="00B25B2B">
              <w:rPr>
                <w:rFonts w:ascii="Times New Roman" w:hAnsi="Times New Roman"/>
                <w:iCs/>
                <w:sz w:val="24"/>
                <w:szCs w:val="24"/>
              </w:rPr>
              <w:t>150</w:t>
            </w:r>
          </w:p>
        </w:tc>
        <w:tc>
          <w:tcPr>
            <w:tcW w:w="1557" w:type="dxa"/>
            <w:vMerge/>
          </w:tcPr>
          <w:p w14:paraId="1BE7AA57" w14:textId="77777777" w:rsidR="009C6E98" w:rsidRPr="00B25B2B" w:rsidRDefault="009C6E98" w:rsidP="009C6E98">
            <w:pPr>
              <w:pStyle w:val="Default"/>
              <w:spacing w:before="40" w:after="40"/>
              <w:rPr>
                <w:rFonts w:eastAsia="Calibri"/>
                <w:iCs/>
                <w:color w:val="auto"/>
              </w:rPr>
            </w:pPr>
          </w:p>
        </w:tc>
        <w:tc>
          <w:tcPr>
            <w:tcW w:w="2126" w:type="dxa"/>
            <w:vMerge/>
            <w:shd w:val="clear" w:color="auto" w:fill="FFFFFF"/>
          </w:tcPr>
          <w:p w14:paraId="217E8FF1" w14:textId="77777777" w:rsidR="009C6E98" w:rsidRPr="00B25B2B" w:rsidRDefault="009C6E98" w:rsidP="009C6E98">
            <w:pPr>
              <w:spacing w:before="40" w:after="40"/>
              <w:rPr>
                <w:rFonts w:ascii="Times New Roman" w:eastAsia="Calibri" w:hAnsi="Times New Roman"/>
                <w:bCs/>
                <w:iCs/>
                <w:sz w:val="24"/>
                <w:szCs w:val="24"/>
                <w:lang w:val="en-US"/>
              </w:rPr>
            </w:pPr>
          </w:p>
        </w:tc>
      </w:tr>
      <w:tr w:rsidR="009C6E98" w:rsidRPr="00B25B2B" w14:paraId="17BFAAD6" w14:textId="77777777" w:rsidTr="009C6E98">
        <w:trPr>
          <w:trHeight w:val="1070"/>
        </w:trPr>
        <w:tc>
          <w:tcPr>
            <w:tcW w:w="3401" w:type="dxa"/>
            <w:vMerge/>
            <w:shd w:val="clear" w:color="auto" w:fill="FFFFFF"/>
          </w:tcPr>
          <w:p w14:paraId="2B86E6C3" w14:textId="77777777" w:rsidR="009C6E98" w:rsidRPr="00B25B2B" w:rsidRDefault="009C6E98" w:rsidP="009C6E98">
            <w:pPr>
              <w:spacing w:before="40" w:after="40"/>
              <w:rPr>
                <w:rFonts w:ascii="Times New Roman" w:hAnsi="Times New Roman"/>
                <w:sz w:val="24"/>
                <w:szCs w:val="24"/>
              </w:rPr>
            </w:pPr>
          </w:p>
        </w:tc>
        <w:tc>
          <w:tcPr>
            <w:tcW w:w="3968" w:type="dxa"/>
          </w:tcPr>
          <w:p w14:paraId="714F9CA1" w14:textId="6F4AE928" w:rsidR="009C6E98" w:rsidRPr="000C3DF3" w:rsidRDefault="009C6E98" w:rsidP="009C6E98">
            <w:pPr>
              <w:tabs>
                <w:tab w:val="left" w:pos="240"/>
              </w:tabs>
              <w:spacing w:after="0"/>
              <w:rPr>
                <w:rFonts w:ascii="Times New Roman" w:hAnsi="Times New Roman"/>
                <w:bCs/>
                <w:iCs/>
                <w:sz w:val="24"/>
                <w:szCs w:val="24"/>
              </w:rPr>
            </w:pPr>
            <w:r w:rsidRPr="000C3DF3">
              <w:rPr>
                <w:rFonts w:ascii="Times New Roman" w:eastAsia="Calibri" w:hAnsi="Times New Roman"/>
                <w:sz w:val="24"/>
                <w:szCs w:val="24"/>
              </w:rPr>
              <w:t>Variation of CO2 production in the targeted investments</w:t>
            </w:r>
          </w:p>
          <w:p w14:paraId="1638CBDF" w14:textId="77777777" w:rsidR="009C6E98" w:rsidRPr="000C3DF3" w:rsidRDefault="009C6E98" w:rsidP="009C6E98">
            <w:pPr>
              <w:autoSpaceDE w:val="0"/>
              <w:autoSpaceDN w:val="0"/>
              <w:adjustRightInd w:val="0"/>
              <w:spacing w:before="40" w:after="40"/>
              <w:rPr>
                <w:rFonts w:ascii="Times New Roman" w:eastAsia="Calibri" w:hAnsi="Times New Roman"/>
                <w:sz w:val="24"/>
                <w:szCs w:val="24"/>
              </w:rPr>
            </w:pPr>
          </w:p>
        </w:tc>
        <w:tc>
          <w:tcPr>
            <w:tcW w:w="1440" w:type="dxa"/>
          </w:tcPr>
          <w:p w14:paraId="1BF1D566" w14:textId="77777777" w:rsidR="009C6E98" w:rsidRPr="000C3DF3" w:rsidRDefault="009C6E98" w:rsidP="009C6E98">
            <w:pPr>
              <w:spacing w:before="40" w:after="40"/>
              <w:rPr>
                <w:rFonts w:ascii="Times New Roman" w:eastAsia="Calibri" w:hAnsi="Times New Roman"/>
                <w:iCs/>
                <w:sz w:val="24"/>
                <w:szCs w:val="24"/>
              </w:rPr>
            </w:pPr>
            <w:r w:rsidRPr="000C3DF3">
              <w:rPr>
                <w:rFonts w:ascii="Times New Roman" w:hAnsi="Times New Roman"/>
                <w:iCs/>
                <w:sz w:val="24"/>
                <w:szCs w:val="24"/>
              </w:rPr>
              <w:t>12,000</w:t>
            </w:r>
          </w:p>
        </w:tc>
        <w:tc>
          <w:tcPr>
            <w:tcW w:w="1440" w:type="dxa"/>
          </w:tcPr>
          <w:p w14:paraId="2794640D" w14:textId="77777777" w:rsidR="009C6E98" w:rsidRPr="000C3DF3" w:rsidRDefault="009C6E98" w:rsidP="009C6E98">
            <w:pPr>
              <w:spacing w:before="40" w:after="40"/>
              <w:rPr>
                <w:rFonts w:ascii="Times New Roman" w:eastAsia="Calibri" w:hAnsi="Times New Roman"/>
                <w:iCs/>
                <w:sz w:val="24"/>
                <w:szCs w:val="24"/>
              </w:rPr>
            </w:pPr>
            <w:r w:rsidRPr="000C3DF3">
              <w:rPr>
                <w:rFonts w:ascii="Times New Roman" w:hAnsi="Times New Roman"/>
                <w:iCs/>
                <w:sz w:val="24"/>
                <w:szCs w:val="24"/>
              </w:rPr>
              <w:t>9,000</w:t>
            </w:r>
          </w:p>
        </w:tc>
        <w:tc>
          <w:tcPr>
            <w:tcW w:w="1377" w:type="dxa"/>
          </w:tcPr>
          <w:p w14:paraId="02CF10D5" w14:textId="77777777" w:rsidR="009C6E98" w:rsidRPr="000C3DF3" w:rsidRDefault="009C6E98" w:rsidP="009C6E98">
            <w:pPr>
              <w:spacing w:before="40" w:after="40"/>
              <w:rPr>
                <w:rFonts w:ascii="Times New Roman" w:eastAsia="Calibri" w:hAnsi="Times New Roman"/>
                <w:iCs/>
                <w:sz w:val="24"/>
                <w:szCs w:val="24"/>
              </w:rPr>
            </w:pPr>
            <w:r w:rsidRPr="000C3DF3">
              <w:rPr>
                <w:rFonts w:ascii="Times New Roman" w:hAnsi="Times New Roman"/>
                <w:iCs/>
                <w:sz w:val="24"/>
                <w:szCs w:val="24"/>
              </w:rPr>
              <w:t>5,000</w:t>
            </w:r>
          </w:p>
        </w:tc>
        <w:tc>
          <w:tcPr>
            <w:tcW w:w="1557" w:type="dxa"/>
            <w:vMerge/>
            <w:shd w:val="clear" w:color="auto" w:fill="auto"/>
          </w:tcPr>
          <w:p w14:paraId="5CC56124" w14:textId="77777777" w:rsidR="009C6E98" w:rsidRPr="00B25B2B" w:rsidRDefault="009C6E98" w:rsidP="009C6E98">
            <w:pPr>
              <w:pStyle w:val="Default"/>
              <w:spacing w:before="40" w:after="40"/>
              <w:rPr>
                <w:rFonts w:eastAsia="Calibri"/>
                <w:iCs/>
                <w:color w:val="auto"/>
              </w:rPr>
            </w:pPr>
          </w:p>
        </w:tc>
        <w:tc>
          <w:tcPr>
            <w:tcW w:w="2126" w:type="dxa"/>
            <w:vMerge/>
            <w:shd w:val="clear" w:color="auto" w:fill="FFFFFF"/>
          </w:tcPr>
          <w:p w14:paraId="1B2C90E7" w14:textId="77777777" w:rsidR="009C6E98" w:rsidRPr="00B25B2B" w:rsidRDefault="009C6E98" w:rsidP="009C6E98">
            <w:pPr>
              <w:spacing w:before="40" w:after="40"/>
              <w:rPr>
                <w:rFonts w:ascii="Times New Roman" w:eastAsia="Calibri" w:hAnsi="Times New Roman"/>
                <w:bCs/>
                <w:iCs/>
                <w:sz w:val="24"/>
                <w:szCs w:val="24"/>
                <w:lang w:val="en-US"/>
              </w:rPr>
            </w:pPr>
          </w:p>
        </w:tc>
      </w:tr>
      <w:tr w:rsidR="009C6E98" w:rsidRPr="00B25B2B" w14:paraId="5858DBEC" w14:textId="77777777" w:rsidTr="006A10C1">
        <w:trPr>
          <w:trHeight w:val="358"/>
        </w:trPr>
        <w:tc>
          <w:tcPr>
            <w:tcW w:w="3401" w:type="dxa"/>
            <w:shd w:val="clear" w:color="auto" w:fill="FFFFFF"/>
          </w:tcPr>
          <w:p w14:paraId="2F09A112" w14:textId="77777777" w:rsidR="009C6E98" w:rsidRPr="00B25B2B" w:rsidRDefault="009C6E98" w:rsidP="009C6E98">
            <w:pPr>
              <w:numPr>
                <w:ilvl w:val="12"/>
                <w:numId w:val="0"/>
              </w:numPr>
              <w:shd w:val="clear" w:color="auto" w:fill="FFFFFF"/>
              <w:spacing w:before="100" w:beforeAutospacing="1" w:after="100" w:afterAutospacing="1"/>
              <w:jc w:val="center"/>
              <w:rPr>
                <w:rFonts w:ascii="Times New Roman" w:hAnsi="Times New Roman"/>
                <w:b/>
                <w:sz w:val="24"/>
                <w:szCs w:val="24"/>
              </w:rPr>
            </w:pPr>
            <w:r w:rsidRPr="00B25B2B">
              <w:rPr>
                <w:rFonts w:ascii="Times New Roman" w:hAnsi="Times New Roman"/>
                <w:b/>
                <w:sz w:val="24"/>
                <w:szCs w:val="24"/>
              </w:rPr>
              <w:lastRenderedPageBreak/>
              <w:t>OUTPUTS</w:t>
            </w:r>
          </w:p>
        </w:tc>
        <w:tc>
          <w:tcPr>
            <w:tcW w:w="3968" w:type="dxa"/>
            <w:shd w:val="clear" w:color="auto" w:fill="FFFFFF"/>
          </w:tcPr>
          <w:p w14:paraId="1F74F467" w14:textId="77777777" w:rsidR="009C6E98" w:rsidRPr="00B25B2B" w:rsidRDefault="009C6E98" w:rsidP="009C6E98">
            <w:pPr>
              <w:shd w:val="clear" w:color="auto" w:fill="FFFFFF"/>
              <w:spacing w:after="0"/>
              <w:jc w:val="center"/>
              <w:rPr>
                <w:rFonts w:ascii="Times New Roman" w:hAnsi="Times New Roman"/>
                <w:sz w:val="24"/>
                <w:szCs w:val="24"/>
              </w:rPr>
            </w:pPr>
            <w:r w:rsidRPr="00B25B2B">
              <w:rPr>
                <w:rFonts w:ascii="Times New Roman" w:hAnsi="Times New Roman"/>
                <w:b/>
                <w:sz w:val="24"/>
                <w:szCs w:val="24"/>
              </w:rPr>
              <w:t>OBJECTIVELY VERIFIABLE INDICATORS (*)</w:t>
            </w:r>
          </w:p>
        </w:tc>
        <w:tc>
          <w:tcPr>
            <w:tcW w:w="1440" w:type="dxa"/>
            <w:shd w:val="clear" w:color="auto" w:fill="FFFFFF"/>
          </w:tcPr>
          <w:p w14:paraId="64D0C41F" w14:textId="77777777" w:rsidR="009C6E98" w:rsidRPr="00B25B2B" w:rsidRDefault="009C6E98" w:rsidP="009C6E98">
            <w:pPr>
              <w:shd w:val="clear" w:color="auto" w:fill="FFFFFF"/>
              <w:spacing w:after="0"/>
              <w:jc w:val="center"/>
              <w:rPr>
                <w:rFonts w:ascii="Times New Roman" w:hAnsi="Times New Roman"/>
                <w:b/>
                <w:sz w:val="24"/>
                <w:szCs w:val="24"/>
              </w:rPr>
            </w:pPr>
            <w:r w:rsidRPr="00B25B2B">
              <w:rPr>
                <w:rFonts w:ascii="Times New Roman" w:hAnsi="Times New Roman"/>
                <w:b/>
                <w:sz w:val="24"/>
                <w:szCs w:val="24"/>
              </w:rPr>
              <w:t>BASELINES</w:t>
            </w:r>
          </w:p>
          <w:p w14:paraId="3800B5A6" w14:textId="77777777" w:rsidR="009C6E98" w:rsidRPr="00B25B2B" w:rsidRDefault="009C6E98" w:rsidP="009C6E98">
            <w:pPr>
              <w:shd w:val="clear" w:color="auto" w:fill="FFFFFF"/>
              <w:spacing w:after="0"/>
              <w:ind w:left="-352"/>
              <w:jc w:val="center"/>
              <w:rPr>
                <w:rFonts w:ascii="Times New Roman" w:hAnsi="Times New Roman"/>
                <w:b/>
                <w:sz w:val="24"/>
                <w:szCs w:val="24"/>
              </w:rPr>
            </w:pPr>
          </w:p>
        </w:tc>
        <w:tc>
          <w:tcPr>
            <w:tcW w:w="1440" w:type="dxa"/>
            <w:shd w:val="clear" w:color="auto" w:fill="FFFFFF"/>
          </w:tcPr>
          <w:p w14:paraId="0E4579B9" w14:textId="77777777" w:rsidR="009C6E98" w:rsidRPr="00B25B2B" w:rsidRDefault="009C6E98" w:rsidP="009C6E98">
            <w:pPr>
              <w:shd w:val="clear" w:color="auto" w:fill="FFFFFF"/>
              <w:spacing w:after="0"/>
              <w:jc w:val="center"/>
              <w:rPr>
                <w:rFonts w:ascii="Times New Roman" w:hAnsi="Times New Roman"/>
                <w:b/>
                <w:sz w:val="24"/>
                <w:szCs w:val="24"/>
              </w:rPr>
            </w:pPr>
            <w:r w:rsidRPr="00B25B2B">
              <w:rPr>
                <w:rFonts w:ascii="Times New Roman" w:hAnsi="Times New Roman"/>
                <w:b/>
                <w:sz w:val="24"/>
                <w:szCs w:val="24"/>
              </w:rPr>
              <w:t>MILESTONES</w:t>
            </w:r>
          </w:p>
          <w:p w14:paraId="1A5B6E93" w14:textId="77777777" w:rsidR="009C6E98" w:rsidRPr="00B25B2B" w:rsidRDefault="009C6E98" w:rsidP="009C6E98">
            <w:pPr>
              <w:shd w:val="clear" w:color="auto" w:fill="FFFFFF"/>
              <w:spacing w:after="0"/>
              <w:jc w:val="center"/>
              <w:rPr>
                <w:rFonts w:ascii="Times New Roman" w:hAnsi="Times New Roman"/>
                <w:b/>
                <w:sz w:val="24"/>
                <w:szCs w:val="24"/>
              </w:rPr>
            </w:pPr>
          </w:p>
        </w:tc>
        <w:tc>
          <w:tcPr>
            <w:tcW w:w="1377" w:type="dxa"/>
            <w:shd w:val="clear" w:color="auto" w:fill="FFFFFF"/>
          </w:tcPr>
          <w:p w14:paraId="40ADB201" w14:textId="77777777" w:rsidR="009C6E98" w:rsidRPr="00B25B2B" w:rsidRDefault="009C6E98" w:rsidP="009C6E98">
            <w:pPr>
              <w:shd w:val="clear" w:color="auto" w:fill="FFFFFF"/>
              <w:spacing w:after="0"/>
              <w:jc w:val="center"/>
              <w:rPr>
                <w:rFonts w:ascii="Times New Roman" w:hAnsi="Times New Roman"/>
                <w:b/>
                <w:sz w:val="24"/>
                <w:szCs w:val="24"/>
              </w:rPr>
            </w:pPr>
            <w:r w:rsidRPr="00B25B2B">
              <w:rPr>
                <w:rFonts w:ascii="Times New Roman" w:hAnsi="Times New Roman"/>
                <w:b/>
                <w:sz w:val="24"/>
                <w:szCs w:val="24"/>
              </w:rPr>
              <w:t>TARGETS</w:t>
            </w:r>
          </w:p>
          <w:p w14:paraId="62929778" w14:textId="77777777" w:rsidR="009C6E98" w:rsidRPr="00B25B2B" w:rsidRDefault="009C6E98" w:rsidP="009C6E98">
            <w:pPr>
              <w:shd w:val="clear" w:color="auto" w:fill="FFFFFF"/>
              <w:spacing w:after="0"/>
              <w:jc w:val="center"/>
              <w:rPr>
                <w:rFonts w:ascii="Times New Roman" w:hAnsi="Times New Roman"/>
                <w:b/>
                <w:sz w:val="24"/>
                <w:szCs w:val="24"/>
              </w:rPr>
            </w:pPr>
          </w:p>
        </w:tc>
        <w:tc>
          <w:tcPr>
            <w:tcW w:w="1557" w:type="dxa"/>
            <w:shd w:val="clear" w:color="auto" w:fill="FFFFFF"/>
          </w:tcPr>
          <w:p w14:paraId="2CC9BEE5" w14:textId="77777777" w:rsidR="009C6E98" w:rsidRPr="00B25B2B" w:rsidRDefault="009C6E98" w:rsidP="009C6E98">
            <w:pPr>
              <w:shd w:val="clear" w:color="auto" w:fill="FFFFFF"/>
              <w:spacing w:after="0"/>
              <w:jc w:val="center"/>
              <w:rPr>
                <w:rFonts w:ascii="Times New Roman" w:hAnsi="Times New Roman"/>
                <w:sz w:val="24"/>
                <w:szCs w:val="24"/>
              </w:rPr>
            </w:pPr>
            <w:r w:rsidRPr="00B25B2B">
              <w:rPr>
                <w:rFonts w:ascii="Times New Roman" w:hAnsi="Times New Roman"/>
                <w:b/>
                <w:sz w:val="24"/>
                <w:szCs w:val="24"/>
              </w:rPr>
              <w:t>SOURCES OF VERIFICATION</w:t>
            </w:r>
          </w:p>
        </w:tc>
        <w:tc>
          <w:tcPr>
            <w:tcW w:w="2126" w:type="dxa"/>
            <w:shd w:val="clear" w:color="auto" w:fill="FFFFFF"/>
          </w:tcPr>
          <w:p w14:paraId="52AD2B09" w14:textId="77777777" w:rsidR="009C6E98" w:rsidRPr="00B25B2B" w:rsidRDefault="009C6E98" w:rsidP="009C6E98">
            <w:pPr>
              <w:numPr>
                <w:ilvl w:val="12"/>
                <w:numId w:val="0"/>
              </w:numPr>
              <w:shd w:val="clear" w:color="auto" w:fill="FFFFFF"/>
              <w:spacing w:after="0"/>
              <w:jc w:val="center"/>
              <w:rPr>
                <w:rFonts w:ascii="Times New Roman" w:hAnsi="Times New Roman"/>
                <w:b/>
                <w:sz w:val="24"/>
                <w:szCs w:val="24"/>
              </w:rPr>
            </w:pPr>
            <w:r w:rsidRPr="00B25B2B">
              <w:rPr>
                <w:rFonts w:ascii="Times New Roman" w:hAnsi="Times New Roman"/>
                <w:b/>
                <w:sz w:val="24"/>
                <w:szCs w:val="24"/>
              </w:rPr>
              <w:t>ASSUMPTIONS</w:t>
            </w:r>
          </w:p>
        </w:tc>
      </w:tr>
      <w:tr w:rsidR="009C6E98" w:rsidRPr="00B25B2B" w14:paraId="45FAE511" w14:textId="77777777" w:rsidTr="009C6E98">
        <w:trPr>
          <w:trHeight w:val="705"/>
        </w:trPr>
        <w:tc>
          <w:tcPr>
            <w:tcW w:w="3401" w:type="dxa"/>
            <w:tcBorders>
              <w:top w:val="single" w:sz="4" w:space="0" w:color="auto"/>
              <w:right w:val="single" w:sz="6" w:space="0" w:color="auto"/>
            </w:tcBorders>
            <w:shd w:val="clear" w:color="auto" w:fill="auto"/>
          </w:tcPr>
          <w:p w14:paraId="63F9DCE6" w14:textId="77777777" w:rsidR="009C6E98" w:rsidRPr="00B25B2B" w:rsidRDefault="009C6E98" w:rsidP="003D7D89">
            <w:pPr>
              <w:spacing w:after="0" w:line="240" w:lineRule="auto"/>
              <w:rPr>
                <w:rFonts w:ascii="Times New Roman" w:eastAsia="Calibri" w:hAnsi="Times New Roman"/>
                <w:sz w:val="24"/>
                <w:szCs w:val="24"/>
              </w:rPr>
            </w:pPr>
            <w:r w:rsidRPr="00B25B2B">
              <w:rPr>
                <w:rFonts w:ascii="Times New Roman" w:eastAsia="Calibri" w:hAnsi="Times New Roman"/>
                <w:sz w:val="24"/>
                <w:szCs w:val="24"/>
              </w:rPr>
              <w:t xml:space="preserve">1.1 Reduced pollution associated to heating systems </w:t>
            </w:r>
          </w:p>
          <w:p w14:paraId="039C608A" w14:textId="77777777" w:rsidR="009C6E98" w:rsidRPr="00B25B2B" w:rsidRDefault="009C6E98" w:rsidP="003D7D89">
            <w:pPr>
              <w:spacing w:after="0" w:line="240" w:lineRule="auto"/>
              <w:rPr>
                <w:rFonts w:ascii="Times New Roman" w:eastAsia="Calibri" w:hAnsi="Times New Roman"/>
                <w:sz w:val="24"/>
                <w:szCs w:val="24"/>
              </w:rPr>
            </w:pPr>
          </w:p>
        </w:tc>
        <w:tc>
          <w:tcPr>
            <w:tcW w:w="3968" w:type="dxa"/>
          </w:tcPr>
          <w:p w14:paraId="750BFAE5" w14:textId="77777777" w:rsidR="009C6E98" w:rsidRDefault="009C6E98" w:rsidP="003D7D89">
            <w:pPr>
              <w:autoSpaceDE w:val="0"/>
              <w:autoSpaceDN w:val="0"/>
              <w:adjustRightInd w:val="0"/>
              <w:spacing w:after="0" w:line="240" w:lineRule="auto"/>
              <w:rPr>
                <w:rFonts w:ascii="Times New Roman" w:eastAsia="Calibri" w:hAnsi="Times New Roman"/>
                <w:sz w:val="24"/>
                <w:szCs w:val="24"/>
              </w:rPr>
            </w:pPr>
            <w:r w:rsidRPr="00B25B2B">
              <w:rPr>
                <w:rFonts w:ascii="Times New Roman" w:eastAsia="Calibri" w:hAnsi="Times New Roman"/>
                <w:sz w:val="24"/>
                <w:szCs w:val="24"/>
              </w:rPr>
              <w:t>Number of buildings (and total sq. m) disposing with new heating systems or new subscribers connected to central heating providers</w:t>
            </w:r>
          </w:p>
          <w:p w14:paraId="213040B6" w14:textId="2D4D67F7" w:rsidR="003D7D89" w:rsidRPr="00B25B2B" w:rsidRDefault="003D7D89" w:rsidP="003D7D89">
            <w:pPr>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Number of technical studies</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1EA85B3" w14:textId="77777777" w:rsidR="009C6E98" w:rsidRDefault="009C6E98" w:rsidP="003D7D89">
            <w:pPr>
              <w:spacing w:after="0" w:line="240" w:lineRule="auto"/>
              <w:rPr>
                <w:rFonts w:ascii="Times New Roman" w:eastAsia="Calibri" w:hAnsi="Times New Roman"/>
                <w:iCs/>
                <w:sz w:val="24"/>
                <w:szCs w:val="24"/>
              </w:rPr>
            </w:pPr>
            <w:r w:rsidRPr="00B25B2B">
              <w:rPr>
                <w:rFonts w:ascii="Times New Roman" w:eastAsia="Calibri" w:hAnsi="Times New Roman"/>
                <w:iCs/>
                <w:sz w:val="24"/>
                <w:szCs w:val="24"/>
              </w:rPr>
              <w:t>0</w:t>
            </w:r>
          </w:p>
          <w:p w14:paraId="32E21538" w14:textId="77777777" w:rsidR="003D7D89" w:rsidRDefault="003D7D89" w:rsidP="003D7D89">
            <w:pPr>
              <w:spacing w:after="0" w:line="240" w:lineRule="auto"/>
              <w:rPr>
                <w:rFonts w:ascii="Times New Roman" w:eastAsia="Calibri" w:hAnsi="Times New Roman"/>
                <w:iCs/>
                <w:sz w:val="24"/>
                <w:szCs w:val="24"/>
              </w:rPr>
            </w:pPr>
          </w:p>
          <w:p w14:paraId="1DC42520" w14:textId="77777777" w:rsidR="003D7D89" w:rsidRDefault="003D7D89" w:rsidP="003D7D89">
            <w:pPr>
              <w:spacing w:after="0" w:line="240" w:lineRule="auto"/>
              <w:rPr>
                <w:rFonts w:ascii="Times New Roman" w:eastAsia="Calibri" w:hAnsi="Times New Roman"/>
                <w:iCs/>
                <w:sz w:val="24"/>
                <w:szCs w:val="24"/>
              </w:rPr>
            </w:pPr>
          </w:p>
          <w:p w14:paraId="52C8C4EB" w14:textId="77777777" w:rsidR="003D7D89" w:rsidRDefault="003D7D89" w:rsidP="003D7D89">
            <w:pPr>
              <w:spacing w:after="0" w:line="240" w:lineRule="auto"/>
              <w:rPr>
                <w:rFonts w:ascii="Times New Roman" w:eastAsia="Calibri" w:hAnsi="Times New Roman"/>
                <w:iCs/>
                <w:sz w:val="24"/>
                <w:szCs w:val="24"/>
              </w:rPr>
            </w:pPr>
          </w:p>
          <w:p w14:paraId="532F50E5" w14:textId="5B78C74D" w:rsidR="003D7D89" w:rsidRPr="00B25B2B" w:rsidRDefault="003D7D89" w:rsidP="003D7D89">
            <w:pPr>
              <w:spacing w:after="0" w:line="240" w:lineRule="auto"/>
              <w:rPr>
                <w:rFonts w:ascii="Times New Roman" w:eastAsia="Calibri" w:hAnsi="Times New Roman"/>
                <w:iCs/>
                <w:sz w:val="24"/>
                <w:szCs w:val="24"/>
              </w:rPr>
            </w:pPr>
            <w:r>
              <w:rPr>
                <w:rFonts w:ascii="Times New Roman" w:eastAsia="Calibri" w:hAnsi="Times New Roman"/>
                <w:iCs/>
                <w:sz w:val="24"/>
                <w:szCs w:val="24"/>
              </w:rPr>
              <w:t>0</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93F45AB" w14:textId="77777777" w:rsidR="009C6E98" w:rsidRPr="00B25B2B" w:rsidRDefault="009C6E98" w:rsidP="003D7D89">
            <w:pPr>
              <w:spacing w:after="0" w:line="240" w:lineRule="auto"/>
              <w:rPr>
                <w:rFonts w:ascii="Times New Roman" w:eastAsia="Calibri" w:hAnsi="Times New Roman"/>
                <w:iCs/>
                <w:sz w:val="24"/>
                <w:szCs w:val="24"/>
              </w:rPr>
            </w:pPr>
            <w:r w:rsidRPr="00B25B2B">
              <w:rPr>
                <w:rFonts w:ascii="Times New Roman" w:eastAsia="Calibri" w:hAnsi="Times New Roman"/>
                <w:iCs/>
                <w:sz w:val="24"/>
                <w:szCs w:val="24"/>
              </w:rPr>
              <w:t>30</w:t>
            </w:r>
          </w:p>
          <w:p w14:paraId="6B60A136" w14:textId="77777777" w:rsidR="009C6E98" w:rsidRPr="00B25B2B" w:rsidRDefault="009C6E98" w:rsidP="003D7D89">
            <w:pPr>
              <w:spacing w:after="0" w:line="240" w:lineRule="auto"/>
              <w:rPr>
                <w:rFonts w:ascii="Times New Roman" w:eastAsia="Calibri" w:hAnsi="Times New Roman"/>
                <w:iCs/>
                <w:sz w:val="24"/>
                <w:szCs w:val="24"/>
              </w:rPr>
            </w:pPr>
            <w:r w:rsidRPr="00B25B2B">
              <w:rPr>
                <w:rFonts w:ascii="Times New Roman" w:eastAsia="Calibri" w:hAnsi="Times New Roman"/>
                <w:iCs/>
                <w:sz w:val="24"/>
                <w:szCs w:val="24"/>
              </w:rPr>
              <w:t>100,000 m</w:t>
            </w:r>
            <w:r w:rsidRPr="00B25B2B">
              <w:rPr>
                <w:rFonts w:ascii="Times New Roman" w:eastAsia="Calibri" w:hAnsi="Times New Roman"/>
                <w:iCs/>
                <w:sz w:val="24"/>
                <w:szCs w:val="24"/>
                <w:vertAlign w:val="superscript"/>
              </w:rPr>
              <w:t>2</w:t>
            </w:r>
          </w:p>
        </w:tc>
        <w:tc>
          <w:tcPr>
            <w:tcW w:w="1377" w:type="dxa"/>
            <w:tcBorders>
              <w:top w:val="single" w:sz="6" w:space="0" w:color="auto"/>
              <w:left w:val="single" w:sz="6" w:space="0" w:color="auto"/>
              <w:bottom w:val="single" w:sz="6" w:space="0" w:color="auto"/>
              <w:right w:val="single" w:sz="6" w:space="0" w:color="auto"/>
            </w:tcBorders>
          </w:tcPr>
          <w:p w14:paraId="75158AA0" w14:textId="77777777" w:rsidR="009C6E98" w:rsidRPr="00B25B2B" w:rsidRDefault="009C6E98" w:rsidP="003D7D89">
            <w:pPr>
              <w:spacing w:after="0" w:line="240" w:lineRule="auto"/>
              <w:rPr>
                <w:rFonts w:ascii="Times New Roman" w:eastAsia="Calibri" w:hAnsi="Times New Roman"/>
                <w:iCs/>
                <w:sz w:val="24"/>
                <w:szCs w:val="24"/>
              </w:rPr>
            </w:pPr>
            <w:r w:rsidRPr="00B25B2B">
              <w:rPr>
                <w:rFonts w:ascii="Times New Roman" w:eastAsia="Calibri" w:hAnsi="Times New Roman"/>
                <w:iCs/>
                <w:sz w:val="24"/>
                <w:szCs w:val="24"/>
              </w:rPr>
              <w:t>70</w:t>
            </w:r>
          </w:p>
          <w:p w14:paraId="07DDCEB6" w14:textId="77777777" w:rsidR="009C6E98" w:rsidRDefault="009C6E98" w:rsidP="003D7D89">
            <w:pPr>
              <w:spacing w:after="0" w:line="240" w:lineRule="auto"/>
              <w:rPr>
                <w:rFonts w:ascii="Times New Roman" w:eastAsia="Calibri" w:hAnsi="Times New Roman"/>
                <w:iCs/>
                <w:sz w:val="24"/>
                <w:szCs w:val="24"/>
                <w:vertAlign w:val="superscript"/>
              </w:rPr>
            </w:pPr>
            <w:r w:rsidRPr="00B25B2B">
              <w:rPr>
                <w:rFonts w:ascii="Times New Roman" w:eastAsia="Calibri" w:hAnsi="Times New Roman"/>
                <w:iCs/>
                <w:sz w:val="24"/>
                <w:szCs w:val="24"/>
              </w:rPr>
              <w:t>200,000 m</w:t>
            </w:r>
            <w:r w:rsidRPr="00B25B2B">
              <w:rPr>
                <w:rFonts w:ascii="Times New Roman" w:eastAsia="Calibri" w:hAnsi="Times New Roman"/>
                <w:iCs/>
                <w:sz w:val="24"/>
                <w:szCs w:val="24"/>
                <w:vertAlign w:val="superscript"/>
              </w:rPr>
              <w:t>2</w:t>
            </w:r>
          </w:p>
          <w:p w14:paraId="092C1CC3" w14:textId="77777777" w:rsidR="003D7D89" w:rsidRDefault="003D7D89" w:rsidP="003D7D89">
            <w:pPr>
              <w:spacing w:after="0" w:line="240" w:lineRule="auto"/>
              <w:rPr>
                <w:rFonts w:ascii="Times New Roman" w:eastAsia="Calibri" w:hAnsi="Times New Roman"/>
                <w:iCs/>
                <w:sz w:val="24"/>
                <w:szCs w:val="24"/>
                <w:vertAlign w:val="superscript"/>
              </w:rPr>
            </w:pPr>
          </w:p>
          <w:p w14:paraId="5D13B14B" w14:textId="77777777" w:rsidR="003D7D89" w:rsidRDefault="003D7D89" w:rsidP="003D7D89">
            <w:pPr>
              <w:spacing w:after="0" w:line="240" w:lineRule="auto"/>
              <w:rPr>
                <w:rFonts w:ascii="Times New Roman" w:eastAsia="Calibri" w:hAnsi="Times New Roman"/>
                <w:iCs/>
                <w:sz w:val="24"/>
                <w:szCs w:val="24"/>
                <w:vertAlign w:val="superscript"/>
              </w:rPr>
            </w:pPr>
          </w:p>
          <w:p w14:paraId="32C238A6" w14:textId="667849D4" w:rsidR="003D7D89" w:rsidRDefault="003D7D89" w:rsidP="003D7D89">
            <w:pPr>
              <w:spacing w:after="0" w:line="240" w:lineRule="auto"/>
              <w:rPr>
                <w:rFonts w:ascii="Times New Roman" w:eastAsia="Calibri" w:hAnsi="Times New Roman"/>
                <w:iCs/>
                <w:sz w:val="24"/>
                <w:szCs w:val="24"/>
                <w:vertAlign w:val="superscript"/>
              </w:rPr>
            </w:pPr>
            <w:r>
              <w:rPr>
                <w:rFonts w:ascii="Times New Roman" w:eastAsia="Calibri" w:hAnsi="Times New Roman"/>
                <w:iCs/>
                <w:sz w:val="24"/>
                <w:szCs w:val="24"/>
                <w:vertAlign w:val="superscript"/>
              </w:rPr>
              <w:t>&gt; 2</w:t>
            </w:r>
          </w:p>
          <w:p w14:paraId="56741FA0" w14:textId="5785600A" w:rsidR="003D7D89" w:rsidRPr="00B25B2B" w:rsidRDefault="003D7D89" w:rsidP="003D7D89">
            <w:pPr>
              <w:spacing w:after="0" w:line="240" w:lineRule="auto"/>
              <w:rPr>
                <w:rFonts w:ascii="Times New Roman" w:eastAsia="Calibri" w:hAnsi="Times New Roman"/>
                <w:iCs/>
                <w:sz w:val="24"/>
                <w:szCs w:val="24"/>
              </w:rPr>
            </w:pPr>
          </w:p>
        </w:tc>
        <w:tc>
          <w:tcPr>
            <w:tcW w:w="1557" w:type="dxa"/>
          </w:tcPr>
          <w:p w14:paraId="3FEE0E93" w14:textId="77777777" w:rsidR="009C6E98" w:rsidRPr="00B25B2B" w:rsidRDefault="009C6E98" w:rsidP="003D7D89">
            <w:pPr>
              <w:pStyle w:val="Default"/>
              <w:rPr>
                <w:color w:val="auto"/>
                <w:lang w:val="en-GB"/>
              </w:rPr>
            </w:pPr>
            <w:r w:rsidRPr="00B25B2B">
              <w:rPr>
                <w:color w:val="auto"/>
                <w:lang w:val="en-GB"/>
              </w:rPr>
              <w:t>Skopje municipal report on connections to the district heating systems</w:t>
            </w:r>
          </w:p>
          <w:p w14:paraId="2AB1E1E3" w14:textId="77777777" w:rsidR="009C6E98" w:rsidRPr="00B25B2B" w:rsidRDefault="009C6E98" w:rsidP="003D7D89">
            <w:pPr>
              <w:pStyle w:val="Default"/>
              <w:rPr>
                <w:color w:val="auto"/>
                <w:lang w:val="en-GB"/>
              </w:rPr>
            </w:pPr>
            <w:r w:rsidRPr="00B25B2B">
              <w:rPr>
                <w:color w:val="auto"/>
                <w:lang w:val="en-GB"/>
              </w:rPr>
              <w:t>Project reports</w:t>
            </w:r>
          </w:p>
        </w:tc>
        <w:tc>
          <w:tcPr>
            <w:tcW w:w="2126" w:type="dxa"/>
            <w:vMerge w:val="restart"/>
            <w:shd w:val="clear" w:color="auto" w:fill="FFFFFF"/>
          </w:tcPr>
          <w:p w14:paraId="05339C0F" w14:textId="77777777" w:rsidR="009C6E98" w:rsidRPr="00B25B2B" w:rsidRDefault="009C6E98" w:rsidP="009C6E98">
            <w:pPr>
              <w:spacing w:before="40" w:after="40"/>
              <w:rPr>
                <w:rFonts w:ascii="Times New Roman" w:eastAsia="Calibri" w:hAnsi="Times New Roman"/>
                <w:iCs/>
                <w:sz w:val="24"/>
                <w:szCs w:val="24"/>
              </w:rPr>
            </w:pPr>
            <w:r w:rsidRPr="00B25B2B">
              <w:rPr>
                <w:rFonts w:ascii="Times New Roman" w:eastAsia="Calibri" w:hAnsi="Times New Roman"/>
                <w:iCs/>
                <w:sz w:val="24"/>
                <w:szCs w:val="24"/>
              </w:rPr>
              <w:t>The gas pipeline network is improved and gas delivery ensured</w:t>
            </w:r>
          </w:p>
          <w:p w14:paraId="27F68FB7" w14:textId="77777777" w:rsidR="009C6E98" w:rsidRPr="00B25B2B" w:rsidRDefault="009C6E98" w:rsidP="009C6E98">
            <w:pPr>
              <w:spacing w:before="40" w:after="40"/>
              <w:rPr>
                <w:rFonts w:ascii="Times New Roman" w:eastAsia="Calibri" w:hAnsi="Times New Roman"/>
                <w:iCs/>
                <w:sz w:val="24"/>
                <w:szCs w:val="24"/>
              </w:rPr>
            </w:pPr>
            <w:r w:rsidRPr="00B25B2B">
              <w:rPr>
                <w:rFonts w:ascii="Times New Roman" w:eastAsia="Calibri" w:hAnsi="Times New Roman"/>
                <w:iCs/>
                <w:sz w:val="24"/>
                <w:szCs w:val="24"/>
              </w:rPr>
              <w:t xml:space="preserve">The price of the district heating is reduced </w:t>
            </w:r>
          </w:p>
          <w:p w14:paraId="38F43606" w14:textId="77777777" w:rsidR="009C6E98" w:rsidRPr="00B25B2B" w:rsidRDefault="009C6E98" w:rsidP="009C6E98">
            <w:pPr>
              <w:spacing w:before="40" w:after="40"/>
              <w:rPr>
                <w:rFonts w:ascii="Times New Roman" w:eastAsia="Calibri" w:hAnsi="Times New Roman"/>
                <w:iCs/>
                <w:sz w:val="24"/>
                <w:szCs w:val="24"/>
              </w:rPr>
            </w:pPr>
          </w:p>
          <w:p w14:paraId="0BC95628" w14:textId="77777777" w:rsidR="009C6E98" w:rsidRPr="00B25B2B" w:rsidRDefault="009C6E98" w:rsidP="009C6E98">
            <w:pPr>
              <w:spacing w:before="40" w:after="40"/>
              <w:rPr>
                <w:rFonts w:ascii="Times New Roman" w:eastAsia="Calibri" w:hAnsi="Times New Roman"/>
                <w:iCs/>
                <w:sz w:val="24"/>
                <w:szCs w:val="24"/>
              </w:rPr>
            </w:pPr>
          </w:p>
        </w:tc>
      </w:tr>
      <w:tr w:rsidR="009C6E98" w:rsidRPr="00B25B2B" w14:paraId="75145759" w14:textId="77777777" w:rsidTr="004B3FD7">
        <w:trPr>
          <w:trHeight w:val="975"/>
        </w:trPr>
        <w:tc>
          <w:tcPr>
            <w:tcW w:w="3401" w:type="dxa"/>
            <w:tcBorders>
              <w:right w:val="single" w:sz="6" w:space="0" w:color="auto"/>
            </w:tcBorders>
            <w:shd w:val="clear" w:color="auto" w:fill="auto"/>
          </w:tcPr>
          <w:p w14:paraId="4532A148" w14:textId="77777777" w:rsidR="009C6E98" w:rsidRPr="00B25B2B" w:rsidRDefault="009C6E98" w:rsidP="009C6E98">
            <w:pPr>
              <w:spacing w:before="40" w:after="40"/>
              <w:rPr>
                <w:rFonts w:ascii="Times New Roman" w:eastAsia="Calibri" w:hAnsi="Times New Roman"/>
                <w:sz w:val="24"/>
                <w:szCs w:val="24"/>
              </w:rPr>
            </w:pPr>
            <w:r w:rsidRPr="00B25B2B">
              <w:rPr>
                <w:rFonts w:ascii="Times New Roman" w:eastAsia="Calibri" w:hAnsi="Times New Roman"/>
                <w:sz w:val="24"/>
                <w:szCs w:val="24"/>
              </w:rPr>
              <w:t>1.2 Reduced pollution associated with public transport</w:t>
            </w:r>
          </w:p>
        </w:tc>
        <w:tc>
          <w:tcPr>
            <w:tcW w:w="3968" w:type="dxa"/>
          </w:tcPr>
          <w:p w14:paraId="42621468" w14:textId="77777777" w:rsidR="009C6E98" w:rsidRPr="00B25B2B" w:rsidRDefault="009C6E98" w:rsidP="009C6E98">
            <w:pPr>
              <w:autoSpaceDE w:val="0"/>
              <w:autoSpaceDN w:val="0"/>
              <w:adjustRightInd w:val="0"/>
              <w:spacing w:before="40" w:after="40"/>
              <w:rPr>
                <w:rFonts w:ascii="Times New Roman" w:eastAsia="Calibri" w:hAnsi="Times New Roman"/>
                <w:sz w:val="24"/>
                <w:szCs w:val="24"/>
              </w:rPr>
            </w:pPr>
            <w:r w:rsidRPr="00B25B2B">
              <w:rPr>
                <w:rFonts w:ascii="Times New Roman" w:eastAsia="Calibri" w:hAnsi="Times New Roman"/>
                <w:sz w:val="24"/>
                <w:szCs w:val="24"/>
              </w:rPr>
              <w:t>Number of buses with CNG system</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7B5BE09" w14:textId="77777777" w:rsidR="009C6E98" w:rsidRPr="00B25B2B" w:rsidRDefault="009C6E98" w:rsidP="009C6E98">
            <w:pPr>
              <w:spacing w:before="40" w:after="40"/>
              <w:rPr>
                <w:rFonts w:ascii="Times New Roman" w:eastAsia="Calibri" w:hAnsi="Times New Roman"/>
                <w:iCs/>
                <w:sz w:val="24"/>
                <w:szCs w:val="24"/>
              </w:rPr>
            </w:pPr>
            <w:r w:rsidRPr="00B25B2B">
              <w:rPr>
                <w:rFonts w:ascii="Times New Roman" w:eastAsia="Calibri" w:hAnsi="Times New Roman"/>
                <w:iCs/>
                <w:sz w:val="24"/>
                <w:szCs w:val="24"/>
              </w:rPr>
              <w:t>0</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22483A76" w14:textId="77777777" w:rsidR="009C6E98" w:rsidRPr="00B25B2B" w:rsidRDefault="009C6E98" w:rsidP="009C6E98">
            <w:pPr>
              <w:spacing w:before="40" w:after="40"/>
              <w:rPr>
                <w:rFonts w:ascii="Times New Roman" w:eastAsia="Calibri" w:hAnsi="Times New Roman"/>
                <w:iCs/>
                <w:sz w:val="24"/>
                <w:szCs w:val="24"/>
              </w:rPr>
            </w:pPr>
            <w:r w:rsidRPr="00B25B2B">
              <w:rPr>
                <w:rFonts w:ascii="Times New Roman" w:eastAsia="Calibri" w:hAnsi="Times New Roman"/>
                <w:iCs/>
                <w:sz w:val="24"/>
                <w:szCs w:val="24"/>
              </w:rPr>
              <w:t>6</w:t>
            </w:r>
          </w:p>
        </w:tc>
        <w:tc>
          <w:tcPr>
            <w:tcW w:w="1377" w:type="dxa"/>
            <w:tcBorders>
              <w:top w:val="single" w:sz="6" w:space="0" w:color="auto"/>
              <w:left w:val="single" w:sz="6" w:space="0" w:color="auto"/>
              <w:bottom w:val="single" w:sz="6" w:space="0" w:color="auto"/>
              <w:right w:val="single" w:sz="6" w:space="0" w:color="auto"/>
            </w:tcBorders>
          </w:tcPr>
          <w:p w14:paraId="47F77684" w14:textId="77777777" w:rsidR="009C6E98" w:rsidRPr="00B25B2B" w:rsidRDefault="009C6E98" w:rsidP="009C6E98">
            <w:pPr>
              <w:spacing w:before="40" w:after="40"/>
              <w:rPr>
                <w:rFonts w:ascii="Times New Roman" w:eastAsia="Calibri" w:hAnsi="Times New Roman"/>
                <w:iCs/>
                <w:sz w:val="24"/>
                <w:szCs w:val="24"/>
              </w:rPr>
            </w:pPr>
            <w:r w:rsidRPr="00B25B2B">
              <w:rPr>
                <w:rFonts w:ascii="Times New Roman" w:eastAsia="Calibri" w:hAnsi="Times New Roman"/>
                <w:iCs/>
                <w:sz w:val="24"/>
                <w:szCs w:val="24"/>
              </w:rPr>
              <w:t>6</w:t>
            </w:r>
          </w:p>
        </w:tc>
        <w:tc>
          <w:tcPr>
            <w:tcW w:w="1557" w:type="dxa"/>
          </w:tcPr>
          <w:p w14:paraId="7B8A81E3" w14:textId="77777777" w:rsidR="009C6E98" w:rsidRPr="00B25B2B" w:rsidRDefault="009C6E98" w:rsidP="009C6E98">
            <w:pPr>
              <w:pStyle w:val="Default"/>
              <w:spacing w:before="40" w:after="40"/>
              <w:rPr>
                <w:color w:val="auto"/>
                <w:lang w:val="en-GB"/>
              </w:rPr>
            </w:pPr>
            <w:r w:rsidRPr="00B25B2B">
              <w:rPr>
                <w:color w:val="auto"/>
                <w:lang w:val="en-GB"/>
              </w:rPr>
              <w:t>Municipal acceptance protocols</w:t>
            </w:r>
          </w:p>
        </w:tc>
        <w:tc>
          <w:tcPr>
            <w:tcW w:w="2126" w:type="dxa"/>
            <w:vMerge/>
            <w:shd w:val="clear" w:color="auto" w:fill="FFFFFF"/>
          </w:tcPr>
          <w:p w14:paraId="0BA5DCCD" w14:textId="77777777" w:rsidR="009C6E98" w:rsidRPr="00B25B2B" w:rsidRDefault="009C6E98" w:rsidP="009C6E98">
            <w:pPr>
              <w:spacing w:before="40" w:after="40"/>
              <w:rPr>
                <w:rFonts w:ascii="Times New Roman" w:eastAsia="Calibri" w:hAnsi="Times New Roman"/>
                <w:iCs/>
                <w:sz w:val="24"/>
                <w:szCs w:val="24"/>
              </w:rPr>
            </w:pPr>
          </w:p>
        </w:tc>
      </w:tr>
      <w:tr w:rsidR="009C6E98" w:rsidRPr="00B25B2B" w14:paraId="6DCB4E0B" w14:textId="77777777" w:rsidTr="009C6E98">
        <w:trPr>
          <w:trHeight w:val="885"/>
        </w:trPr>
        <w:tc>
          <w:tcPr>
            <w:tcW w:w="3401" w:type="dxa"/>
            <w:tcBorders>
              <w:right w:val="single" w:sz="6" w:space="0" w:color="auto"/>
            </w:tcBorders>
            <w:shd w:val="clear" w:color="auto" w:fill="auto"/>
          </w:tcPr>
          <w:p w14:paraId="2867D7FC" w14:textId="77777777" w:rsidR="009C6E98" w:rsidRPr="00B25B2B" w:rsidRDefault="009C6E98" w:rsidP="009C6E98">
            <w:pPr>
              <w:spacing w:before="40" w:after="40"/>
              <w:rPr>
                <w:rFonts w:ascii="Times New Roman" w:eastAsia="Calibri" w:hAnsi="Times New Roman"/>
                <w:sz w:val="24"/>
                <w:szCs w:val="24"/>
              </w:rPr>
            </w:pPr>
            <w:r w:rsidRPr="00B25B2B">
              <w:rPr>
                <w:rFonts w:ascii="Times New Roman" w:eastAsia="Calibri" w:hAnsi="Times New Roman"/>
                <w:sz w:val="24"/>
                <w:szCs w:val="24"/>
              </w:rPr>
              <w:t xml:space="preserve">1.3 Increased urban green belts </w:t>
            </w:r>
          </w:p>
        </w:tc>
        <w:tc>
          <w:tcPr>
            <w:tcW w:w="3968" w:type="dxa"/>
          </w:tcPr>
          <w:p w14:paraId="32D5B2B1" w14:textId="77777777" w:rsidR="009C6E98" w:rsidRPr="00B25B2B" w:rsidRDefault="009C6E98" w:rsidP="009C6E98">
            <w:pPr>
              <w:autoSpaceDE w:val="0"/>
              <w:autoSpaceDN w:val="0"/>
              <w:adjustRightInd w:val="0"/>
              <w:spacing w:before="40" w:after="40"/>
              <w:rPr>
                <w:rFonts w:ascii="Times New Roman" w:eastAsia="Calibri" w:hAnsi="Times New Roman"/>
                <w:sz w:val="24"/>
                <w:szCs w:val="24"/>
              </w:rPr>
            </w:pPr>
            <w:r w:rsidRPr="00B25B2B">
              <w:rPr>
                <w:rFonts w:ascii="Times New Roman" w:eastAsia="Calibri" w:hAnsi="Times New Roman"/>
                <w:sz w:val="24"/>
                <w:szCs w:val="24"/>
              </w:rPr>
              <w:t>Number of new 3 to 4-year-old trees planted in urban areas</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B350977" w14:textId="77777777" w:rsidR="009C6E98" w:rsidRPr="00B25B2B" w:rsidRDefault="009C6E98" w:rsidP="009C6E98">
            <w:pPr>
              <w:spacing w:before="40" w:after="40"/>
              <w:rPr>
                <w:rFonts w:ascii="Times New Roman" w:eastAsia="Calibri" w:hAnsi="Times New Roman"/>
                <w:iCs/>
                <w:sz w:val="24"/>
                <w:szCs w:val="24"/>
              </w:rPr>
            </w:pPr>
            <w:r w:rsidRPr="00B25B2B">
              <w:rPr>
                <w:rFonts w:ascii="Times New Roman" w:eastAsia="Calibri" w:hAnsi="Times New Roman"/>
                <w:iCs/>
                <w:sz w:val="24"/>
                <w:szCs w:val="24"/>
              </w:rPr>
              <w:t>0</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CB8F9EA" w14:textId="6BFA5450" w:rsidR="009C6E98" w:rsidRPr="00B25B2B" w:rsidRDefault="009C6E98" w:rsidP="009C6E98">
            <w:pPr>
              <w:spacing w:before="40" w:after="40"/>
              <w:rPr>
                <w:rFonts w:ascii="Times New Roman" w:eastAsia="Calibri" w:hAnsi="Times New Roman"/>
                <w:iCs/>
                <w:sz w:val="24"/>
                <w:szCs w:val="24"/>
              </w:rPr>
            </w:pPr>
            <w:r w:rsidRPr="00B25B2B">
              <w:rPr>
                <w:rFonts w:ascii="Times New Roman" w:eastAsia="Calibri" w:hAnsi="Times New Roman"/>
                <w:iCs/>
                <w:sz w:val="24"/>
                <w:szCs w:val="24"/>
              </w:rPr>
              <w:t>2,000</w:t>
            </w:r>
          </w:p>
        </w:tc>
        <w:tc>
          <w:tcPr>
            <w:tcW w:w="1377" w:type="dxa"/>
            <w:tcBorders>
              <w:top w:val="single" w:sz="6" w:space="0" w:color="auto"/>
              <w:left w:val="single" w:sz="6" w:space="0" w:color="auto"/>
              <w:bottom w:val="single" w:sz="6" w:space="0" w:color="auto"/>
              <w:right w:val="single" w:sz="6" w:space="0" w:color="auto"/>
            </w:tcBorders>
          </w:tcPr>
          <w:p w14:paraId="6F585E1F" w14:textId="77777777" w:rsidR="009C6E98" w:rsidRPr="00B25B2B" w:rsidRDefault="009C6E98" w:rsidP="009C6E98">
            <w:pPr>
              <w:spacing w:before="40" w:after="40"/>
              <w:rPr>
                <w:rFonts w:ascii="Times New Roman" w:eastAsia="Calibri" w:hAnsi="Times New Roman"/>
                <w:iCs/>
                <w:sz w:val="24"/>
                <w:szCs w:val="24"/>
              </w:rPr>
            </w:pPr>
            <w:r w:rsidRPr="00B25B2B">
              <w:rPr>
                <w:rFonts w:ascii="Times New Roman" w:eastAsia="Calibri" w:hAnsi="Times New Roman"/>
                <w:iCs/>
                <w:sz w:val="24"/>
                <w:szCs w:val="24"/>
              </w:rPr>
              <w:t>6,000</w:t>
            </w:r>
          </w:p>
        </w:tc>
        <w:tc>
          <w:tcPr>
            <w:tcW w:w="1557" w:type="dxa"/>
          </w:tcPr>
          <w:p w14:paraId="2C1FBC7B" w14:textId="77777777" w:rsidR="009C6E98" w:rsidRPr="00B25B2B" w:rsidRDefault="009C6E98" w:rsidP="009C6E98">
            <w:pPr>
              <w:pStyle w:val="Default"/>
              <w:spacing w:before="40" w:after="40"/>
              <w:rPr>
                <w:color w:val="auto"/>
                <w:lang w:val="en-GB"/>
              </w:rPr>
            </w:pPr>
            <w:r w:rsidRPr="00B25B2B">
              <w:rPr>
                <w:color w:val="auto"/>
                <w:lang w:val="en-GB"/>
              </w:rPr>
              <w:t>Municipal acceptance protocols</w:t>
            </w:r>
          </w:p>
        </w:tc>
        <w:tc>
          <w:tcPr>
            <w:tcW w:w="2126" w:type="dxa"/>
            <w:vMerge/>
            <w:shd w:val="clear" w:color="auto" w:fill="FFFFFF"/>
          </w:tcPr>
          <w:p w14:paraId="588E7FD7" w14:textId="77777777" w:rsidR="009C6E98" w:rsidRPr="00B25B2B" w:rsidRDefault="009C6E98" w:rsidP="009C6E98">
            <w:pPr>
              <w:spacing w:before="40" w:after="40"/>
              <w:rPr>
                <w:rFonts w:ascii="Times New Roman" w:eastAsia="Calibri" w:hAnsi="Times New Roman"/>
                <w:iCs/>
                <w:sz w:val="24"/>
                <w:szCs w:val="24"/>
              </w:rPr>
            </w:pPr>
          </w:p>
        </w:tc>
      </w:tr>
      <w:tr w:rsidR="009C6E98" w:rsidRPr="00B25B2B" w14:paraId="024D96FF" w14:textId="77777777" w:rsidTr="009C6E98">
        <w:trPr>
          <w:trHeight w:val="705"/>
        </w:trPr>
        <w:tc>
          <w:tcPr>
            <w:tcW w:w="3401" w:type="dxa"/>
            <w:vMerge w:val="restart"/>
            <w:tcBorders>
              <w:right w:val="single" w:sz="6" w:space="0" w:color="auto"/>
            </w:tcBorders>
            <w:shd w:val="clear" w:color="auto" w:fill="auto"/>
          </w:tcPr>
          <w:p w14:paraId="2B7DEE43" w14:textId="77777777" w:rsidR="009C6E98" w:rsidRPr="00B25B2B" w:rsidRDefault="009C6E98" w:rsidP="009C6E98">
            <w:pPr>
              <w:spacing w:before="40" w:after="40"/>
              <w:rPr>
                <w:rFonts w:ascii="Times New Roman" w:eastAsia="Calibri" w:hAnsi="Times New Roman"/>
                <w:sz w:val="24"/>
                <w:szCs w:val="24"/>
              </w:rPr>
            </w:pPr>
            <w:r w:rsidRPr="00B25B2B">
              <w:rPr>
                <w:rFonts w:ascii="Times New Roman" w:eastAsia="Calibri" w:hAnsi="Times New Roman"/>
                <w:sz w:val="24"/>
                <w:szCs w:val="24"/>
              </w:rPr>
              <w:t>1.4 Improved public awareness on air pollution</w:t>
            </w:r>
          </w:p>
        </w:tc>
        <w:tc>
          <w:tcPr>
            <w:tcW w:w="3968" w:type="dxa"/>
          </w:tcPr>
          <w:p w14:paraId="192A5A55" w14:textId="77777777" w:rsidR="009C6E98" w:rsidRPr="00B25B2B" w:rsidRDefault="009C6E98" w:rsidP="009C6E98">
            <w:pPr>
              <w:autoSpaceDE w:val="0"/>
              <w:autoSpaceDN w:val="0"/>
              <w:adjustRightInd w:val="0"/>
              <w:spacing w:before="40" w:after="40"/>
              <w:rPr>
                <w:rFonts w:ascii="Times New Roman" w:eastAsia="Calibri" w:hAnsi="Times New Roman"/>
                <w:sz w:val="24"/>
                <w:szCs w:val="24"/>
              </w:rPr>
            </w:pPr>
            <w:r w:rsidRPr="00B25B2B">
              <w:rPr>
                <w:rFonts w:ascii="Times New Roman" w:eastAsia="Calibri" w:hAnsi="Times New Roman"/>
                <w:sz w:val="24"/>
                <w:szCs w:val="24"/>
              </w:rPr>
              <w:t>Number of awareness events carried out in schools</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8D82821" w14:textId="77777777" w:rsidR="009C6E98" w:rsidRPr="00B25B2B" w:rsidRDefault="009C6E98" w:rsidP="009C6E98">
            <w:pPr>
              <w:spacing w:before="40" w:after="40"/>
              <w:rPr>
                <w:rFonts w:ascii="Times New Roman" w:eastAsia="Calibri" w:hAnsi="Times New Roman"/>
                <w:iCs/>
                <w:sz w:val="24"/>
                <w:szCs w:val="24"/>
              </w:rPr>
            </w:pPr>
            <w:r w:rsidRPr="00B25B2B">
              <w:rPr>
                <w:rFonts w:ascii="Times New Roman" w:eastAsia="Calibri" w:hAnsi="Times New Roman"/>
                <w:iCs/>
                <w:sz w:val="24"/>
                <w:szCs w:val="24"/>
              </w:rPr>
              <w:t>0</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78824C5" w14:textId="77777777" w:rsidR="009C6E98" w:rsidRPr="00B25B2B" w:rsidRDefault="009C6E98" w:rsidP="009C6E98">
            <w:pPr>
              <w:spacing w:before="40" w:after="40"/>
              <w:rPr>
                <w:rFonts w:ascii="Times New Roman" w:eastAsia="Calibri" w:hAnsi="Times New Roman"/>
                <w:iCs/>
                <w:sz w:val="24"/>
                <w:szCs w:val="24"/>
              </w:rPr>
            </w:pPr>
            <w:r w:rsidRPr="00B25B2B">
              <w:rPr>
                <w:rFonts w:ascii="Times New Roman" w:eastAsia="Calibri" w:hAnsi="Times New Roman"/>
                <w:iCs/>
                <w:sz w:val="24"/>
                <w:szCs w:val="24"/>
              </w:rPr>
              <w:t>12</w:t>
            </w:r>
          </w:p>
        </w:tc>
        <w:tc>
          <w:tcPr>
            <w:tcW w:w="1377" w:type="dxa"/>
            <w:tcBorders>
              <w:top w:val="single" w:sz="6" w:space="0" w:color="auto"/>
              <w:left w:val="single" w:sz="6" w:space="0" w:color="auto"/>
              <w:bottom w:val="single" w:sz="6" w:space="0" w:color="auto"/>
              <w:right w:val="single" w:sz="6" w:space="0" w:color="auto"/>
            </w:tcBorders>
          </w:tcPr>
          <w:p w14:paraId="6CF78EE7" w14:textId="77777777" w:rsidR="009C6E98" w:rsidRPr="00B25B2B" w:rsidRDefault="009C6E98" w:rsidP="009C6E98">
            <w:pPr>
              <w:spacing w:before="40" w:after="40"/>
              <w:rPr>
                <w:rFonts w:ascii="Times New Roman" w:eastAsia="Calibri" w:hAnsi="Times New Roman"/>
                <w:iCs/>
                <w:sz w:val="24"/>
                <w:szCs w:val="24"/>
              </w:rPr>
            </w:pPr>
            <w:r w:rsidRPr="00B25B2B">
              <w:rPr>
                <w:rFonts w:ascii="Times New Roman" w:eastAsia="Calibri" w:hAnsi="Times New Roman"/>
                <w:iCs/>
                <w:sz w:val="24"/>
                <w:szCs w:val="24"/>
              </w:rPr>
              <w:t>24</w:t>
            </w:r>
          </w:p>
        </w:tc>
        <w:tc>
          <w:tcPr>
            <w:tcW w:w="1557" w:type="dxa"/>
          </w:tcPr>
          <w:p w14:paraId="70321EFD" w14:textId="77777777" w:rsidR="009C6E98" w:rsidRPr="00B25B2B" w:rsidRDefault="009C6E98" w:rsidP="009C6E98">
            <w:pPr>
              <w:pStyle w:val="Default"/>
              <w:spacing w:before="40" w:after="40"/>
              <w:rPr>
                <w:color w:val="auto"/>
                <w:lang w:val="en-GB"/>
              </w:rPr>
            </w:pPr>
            <w:r w:rsidRPr="00B25B2B">
              <w:rPr>
                <w:color w:val="auto"/>
                <w:lang w:val="en-GB"/>
              </w:rPr>
              <w:t>Project progress report</w:t>
            </w:r>
          </w:p>
        </w:tc>
        <w:tc>
          <w:tcPr>
            <w:tcW w:w="2126" w:type="dxa"/>
            <w:vMerge/>
            <w:shd w:val="clear" w:color="auto" w:fill="FFFFFF"/>
          </w:tcPr>
          <w:p w14:paraId="4DDBBF7A" w14:textId="77777777" w:rsidR="009C6E98" w:rsidRPr="00B25B2B" w:rsidRDefault="009C6E98" w:rsidP="009C6E98">
            <w:pPr>
              <w:spacing w:before="40" w:after="40"/>
              <w:rPr>
                <w:rFonts w:ascii="Times New Roman" w:eastAsia="Calibri" w:hAnsi="Times New Roman"/>
                <w:iCs/>
                <w:sz w:val="24"/>
                <w:szCs w:val="24"/>
              </w:rPr>
            </w:pPr>
          </w:p>
        </w:tc>
      </w:tr>
      <w:tr w:rsidR="009C6E98" w:rsidRPr="00B25B2B" w14:paraId="72AD6542" w14:textId="77777777" w:rsidTr="009C6E98">
        <w:trPr>
          <w:trHeight w:val="705"/>
        </w:trPr>
        <w:tc>
          <w:tcPr>
            <w:tcW w:w="3401" w:type="dxa"/>
            <w:vMerge/>
            <w:tcBorders>
              <w:right w:val="single" w:sz="6" w:space="0" w:color="auto"/>
            </w:tcBorders>
            <w:shd w:val="clear" w:color="auto" w:fill="auto"/>
          </w:tcPr>
          <w:p w14:paraId="75A668C9" w14:textId="77777777" w:rsidR="009C6E98" w:rsidRPr="00B25B2B" w:rsidRDefault="009C6E98" w:rsidP="009C6E98">
            <w:pPr>
              <w:spacing w:before="40" w:after="40"/>
              <w:rPr>
                <w:rFonts w:ascii="Times New Roman" w:eastAsia="Calibri" w:hAnsi="Times New Roman"/>
                <w:b/>
                <w:sz w:val="24"/>
                <w:szCs w:val="24"/>
              </w:rPr>
            </w:pPr>
          </w:p>
        </w:tc>
        <w:tc>
          <w:tcPr>
            <w:tcW w:w="3968" w:type="dxa"/>
            <w:shd w:val="clear" w:color="auto" w:fill="auto"/>
          </w:tcPr>
          <w:p w14:paraId="0C0ED10D" w14:textId="77777777" w:rsidR="009C6E98" w:rsidRPr="00B25B2B" w:rsidRDefault="009C6E98" w:rsidP="009C6E98">
            <w:pPr>
              <w:autoSpaceDE w:val="0"/>
              <w:autoSpaceDN w:val="0"/>
              <w:adjustRightInd w:val="0"/>
              <w:spacing w:before="40" w:after="40"/>
              <w:rPr>
                <w:rFonts w:ascii="Times New Roman" w:eastAsia="Calibri" w:hAnsi="Times New Roman"/>
                <w:sz w:val="24"/>
                <w:szCs w:val="24"/>
              </w:rPr>
            </w:pPr>
            <w:r w:rsidRPr="00B25B2B">
              <w:rPr>
                <w:rFonts w:ascii="Times New Roman" w:eastAsia="Calibri" w:hAnsi="Times New Roman"/>
                <w:sz w:val="24"/>
                <w:szCs w:val="24"/>
              </w:rPr>
              <w:t>Number of people reached by awareness events</w:t>
            </w:r>
          </w:p>
        </w:tc>
        <w:tc>
          <w:tcPr>
            <w:tcW w:w="1440" w:type="dxa"/>
            <w:tcBorders>
              <w:top w:val="single" w:sz="6" w:space="0" w:color="auto"/>
              <w:left w:val="single" w:sz="6" w:space="0" w:color="auto"/>
              <w:right w:val="single" w:sz="6" w:space="0" w:color="auto"/>
            </w:tcBorders>
            <w:shd w:val="clear" w:color="auto" w:fill="auto"/>
          </w:tcPr>
          <w:p w14:paraId="2F7684AA" w14:textId="77777777" w:rsidR="009C6E98" w:rsidRPr="00B25B2B" w:rsidRDefault="009C6E98" w:rsidP="009C6E98">
            <w:pPr>
              <w:spacing w:before="40" w:after="40"/>
              <w:rPr>
                <w:rFonts w:ascii="Times New Roman" w:eastAsia="Calibri" w:hAnsi="Times New Roman"/>
                <w:iCs/>
                <w:sz w:val="24"/>
                <w:szCs w:val="24"/>
              </w:rPr>
            </w:pPr>
            <w:r w:rsidRPr="00B25B2B">
              <w:rPr>
                <w:rFonts w:ascii="Times New Roman" w:eastAsia="Calibri" w:hAnsi="Times New Roman"/>
                <w:iCs/>
                <w:sz w:val="24"/>
                <w:szCs w:val="24"/>
              </w:rPr>
              <w:t>0</w:t>
            </w:r>
          </w:p>
        </w:tc>
        <w:tc>
          <w:tcPr>
            <w:tcW w:w="1440" w:type="dxa"/>
            <w:tcBorders>
              <w:top w:val="single" w:sz="6" w:space="0" w:color="auto"/>
              <w:left w:val="single" w:sz="6" w:space="0" w:color="auto"/>
              <w:right w:val="single" w:sz="6" w:space="0" w:color="auto"/>
            </w:tcBorders>
            <w:shd w:val="clear" w:color="auto" w:fill="auto"/>
          </w:tcPr>
          <w:p w14:paraId="70CC3649" w14:textId="77777777" w:rsidR="009C6E98" w:rsidRPr="00B25B2B" w:rsidRDefault="009C6E98" w:rsidP="009C6E98">
            <w:pPr>
              <w:spacing w:before="40" w:after="40"/>
              <w:rPr>
                <w:rFonts w:ascii="Times New Roman" w:eastAsia="Calibri" w:hAnsi="Times New Roman"/>
                <w:iCs/>
                <w:color w:val="FF0000"/>
                <w:sz w:val="24"/>
                <w:szCs w:val="24"/>
              </w:rPr>
            </w:pPr>
            <w:r w:rsidRPr="00B25B2B">
              <w:rPr>
                <w:rFonts w:ascii="Times New Roman" w:eastAsia="Calibri" w:hAnsi="Times New Roman"/>
                <w:iCs/>
                <w:sz w:val="24"/>
                <w:szCs w:val="24"/>
              </w:rPr>
              <w:t>5,000</w:t>
            </w:r>
          </w:p>
        </w:tc>
        <w:tc>
          <w:tcPr>
            <w:tcW w:w="1377" w:type="dxa"/>
            <w:tcBorders>
              <w:top w:val="single" w:sz="6" w:space="0" w:color="auto"/>
              <w:left w:val="single" w:sz="6" w:space="0" w:color="auto"/>
              <w:right w:val="single" w:sz="6" w:space="0" w:color="auto"/>
            </w:tcBorders>
            <w:shd w:val="clear" w:color="auto" w:fill="auto"/>
          </w:tcPr>
          <w:p w14:paraId="654B8820" w14:textId="77777777" w:rsidR="009C6E98" w:rsidRPr="00B25B2B" w:rsidRDefault="009C6E98" w:rsidP="009C6E98">
            <w:pPr>
              <w:spacing w:before="40" w:after="40"/>
              <w:rPr>
                <w:rFonts w:ascii="Times New Roman" w:eastAsia="Calibri" w:hAnsi="Times New Roman"/>
                <w:iCs/>
                <w:color w:val="FF0000"/>
                <w:sz w:val="24"/>
                <w:szCs w:val="24"/>
              </w:rPr>
            </w:pPr>
            <w:r w:rsidRPr="00B25B2B">
              <w:rPr>
                <w:rFonts w:ascii="Times New Roman" w:eastAsia="Calibri" w:hAnsi="Times New Roman"/>
                <w:iCs/>
                <w:sz w:val="24"/>
                <w:szCs w:val="24"/>
              </w:rPr>
              <w:t>10,000</w:t>
            </w:r>
          </w:p>
        </w:tc>
        <w:tc>
          <w:tcPr>
            <w:tcW w:w="1557" w:type="dxa"/>
            <w:shd w:val="clear" w:color="auto" w:fill="auto"/>
          </w:tcPr>
          <w:p w14:paraId="1DB22C56" w14:textId="77777777" w:rsidR="009C6E98" w:rsidRPr="00B25B2B" w:rsidRDefault="009C6E98" w:rsidP="009C6E98">
            <w:pPr>
              <w:pStyle w:val="Default"/>
              <w:spacing w:before="40" w:after="40"/>
              <w:rPr>
                <w:color w:val="auto"/>
                <w:lang w:val="en-GB"/>
              </w:rPr>
            </w:pPr>
            <w:r w:rsidRPr="00B25B2B">
              <w:rPr>
                <w:color w:val="auto"/>
                <w:lang w:val="en-GB"/>
              </w:rPr>
              <w:t>Project progress report</w:t>
            </w:r>
          </w:p>
        </w:tc>
        <w:tc>
          <w:tcPr>
            <w:tcW w:w="2126" w:type="dxa"/>
            <w:vMerge/>
            <w:shd w:val="clear" w:color="auto" w:fill="FFFFFF"/>
          </w:tcPr>
          <w:p w14:paraId="575BAA9E" w14:textId="77777777" w:rsidR="009C6E98" w:rsidRPr="00B25B2B" w:rsidRDefault="009C6E98" w:rsidP="009C6E98">
            <w:pPr>
              <w:spacing w:before="40" w:after="40"/>
              <w:rPr>
                <w:rFonts w:ascii="Times New Roman" w:eastAsia="Calibri" w:hAnsi="Times New Roman"/>
                <w:iCs/>
                <w:sz w:val="24"/>
                <w:szCs w:val="24"/>
              </w:rPr>
            </w:pPr>
          </w:p>
        </w:tc>
      </w:tr>
      <w:tr w:rsidR="009C6E98" w:rsidRPr="00B25B2B" w14:paraId="30775C0A" w14:textId="77777777" w:rsidTr="009C6E98">
        <w:trPr>
          <w:trHeight w:val="885"/>
        </w:trPr>
        <w:tc>
          <w:tcPr>
            <w:tcW w:w="3401" w:type="dxa"/>
            <w:vMerge/>
            <w:tcBorders>
              <w:right w:val="single" w:sz="6" w:space="0" w:color="auto"/>
            </w:tcBorders>
            <w:shd w:val="clear" w:color="auto" w:fill="auto"/>
          </w:tcPr>
          <w:p w14:paraId="01128A78" w14:textId="77777777" w:rsidR="009C6E98" w:rsidRPr="00B25B2B" w:rsidRDefault="009C6E98" w:rsidP="009C6E98">
            <w:pPr>
              <w:spacing w:before="40" w:after="40"/>
              <w:rPr>
                <w:rFonts w:ascii="Times New Roman" w:eastAsia="Calibri" w:hAnsi="Times New Roman"/>
                <w:b/>
                <w:sz w:val="24"/>
                <w:szCs w:val="24"/>
              </w:rPr>
            </w:pPr>
          </w:p>
        </w:tc>
        <w:tc>
          <w:tcPr>
            <w:tcW w:w="3968" w:type="dxa"/>
          </w:tcPr>
          <w:p w14:paraId="3F56C9E0" w14:textId="77777777" w:rsidR="009C6E98" w:rsidRPr="00B25B2B" w:rsidRDefault="009C6E98" w:rsidP="009C6E98">
            <w:pPr>
              <w:autoSpaceDE w:val="0"/>
              <w:autoSpaceDN w:val="0"/>
              <w:adjustRightInd w:val="0"/>
              <w:spacing w:before="40" w:after="40"/>
              <w:rPr>
                <w:rFonts w:ascii="Times New Roman" w:eastAsia="Calibri" w:hAnsi="Times New Roman"/>
                <w:sz w:val="24"/>
                <w:szCs w:val="24"/>
              </w:rPr>
            </w:pPr>
            <w:r w:rsidRPr="00B25B2B">
              <w:rPr>
                <w:rFonts w:ascii="Times New Roman" w:eastAsia="Calibri" w:hAnsi="Times New Roman"/>
                <w:sz w:val="24"/>
                <w:szCs w:val="24"/>
              </w:rPr>
              <w:t>Number of new air pollution measuring stations installed</w:t>
            </w:r>
          </w:p>
        </w:tc>
        <w:tc>
          <w:tcPr>
            <w:tcW w:w="1440" w:type="dxa"/>
            <w:tcBorders>
              <w:top w:val="single" w:sz="6" w:space="0" w:color="auto"/>
              <w:left w:val="single" w:sz="6" w:space="0" w:color="auto"/>
              <w:right w:val="single" w:sz="6" w:space="0" w:color="auto"/>
            </w:tcBorders>
            <w:shd w:val="clear" w:color="auto" w:fill="auto"/>
          </w:tcPr>
          <w:p w14:paraId="7F8B7DA0" w14:textId="77777777" w:rsidR="009C6E98" w:rsidRPr="00B25B2B" w:rsidRDefault="009C6E98" w:rsidP="009C6E98">
            <w:pPr>
              <w:spacing w:before="40" w:after="40"/>
              <w:rPr>
                <w:rFonts w:ascii="Times New Roman" w:eastAsia="Calibri" w:hAnsi="Times New Roman"/>
                <w:iCs/>
                <w:sz w:val="24"/>
                <w:szCs w:val="24"/>
              </w:rPr>
            </w:pPr>
            <w:r w:rsidRPr="00B25B2B">
              <w:rPr>
                <w:rFonts w:ascii="Times New Roman" w:eastAsia="Calibri" w:hAnsi="Times New Roman"/>
                <w:iCs/>
                <w:sz w:val="24"/>
                <w:szCs w:val="24"/>
              </w:rPr>
              <w:t>0</w:t>
            </w:r>
          </w:p>
        </w:tc>
        <w:tc>
          <w:tcPr>
            <w:tcW w:w="1440" w:type="dxa"/>
            <w:tcBorders>
              <w:top w:val="single" w:sz="6" w:space="0" w:color="auto"/>
              <w:left w:val="single" w:sz="6" w:space="0" w:color="auto"/>
              <w:right w:val="single" w:sz="6" w:space="0" w:color="auto"/>
            </w:tcBorders>
            <w:shd w:val="clear" w:color="auto" w:fill="auto"/>
          </w:tcPr>
          <w:p w14:paraId="255F53F8" w14:textId="77777777" w:rsidR="009C6E98" w:rsidRPr="00B25B2B" w:rsidRDefault="009C6E98" w:rsidP="009C6E98">
            <w:pPr>
              <w:spacing w:before="40" w:after="40"/>
              <w:rPr>
                <w:rFonts w:ascii="Times New Roman" w:eastAsia="Calibri" w:hAnsi="Times New Roman"/>
                <w:iCs/>
                <w:sz w:val="24"/>
                <w:szCs w:val="24"/>
              </w:rPr>
            </w:pPr>
            <w:r w:rsidRPr="00B25B2B">
              <w:rPr>
                <w:rFonts w:ascii="Times New Roman" w:eastAsia="Calibri" w:hAnsi="Times New Roman"/>
                <w:iCs/>
                <w:sz w:val="24"/>
                <w:szCs w:val="24"/>
              </w:rPr>
              <w:t>3</w:t>
            </w:r>
          </w:p>
        </w:tc>
        <w:tc>
          <w:tcPr>
            <w:tcW w:w="1377" w:type="dxa"/>
            <w:tcBorders>
              <w:top w:val="single" w:sz="6" w:space="0" w:color="auto"/>
              <w:left w:val="single" w:sz="6" w:space="0" w:color="auto"/>
              <w:right w:val="single" w:sz="6" w:space="0" w:color="auto"/>
            </w:tcBorders>
          </w:tcPr>
          <w:p w14:paraId="552519D9" w14:textId="77777777" w:rsidR="009C6E98" w:rsidRPr="00B25B2B" w:rsidRDefault="009C6E98" w:rsidP="009C6E98">
            <w:pPr>
              <w:spacing w:before="40" w:after="40"/>
              <w:rPr>
                <w:rFonts w:ascii="Times New Roman" w:eastAsia="Calibri" w:hAnsi="Times New Roman"/>
                <w:iCs/>
                <w:sz w:val="24"/>
                <w:szCs w:val="24"/>
              </w:rPr>
            </w:pPr>
            <w:r w:rsidRPr="00B25B2B">
              <w:rPr>
                <w:rFonts w:ascii="Times New Roman" w:eastAsia="Calibri" w:hAnsi="Times New Roman"/>
                <w:iCs/>
                <w:sz w:val="24"/>
                <w:szCs w:val="24"/>
              </w:rPr>
              <w:t>3</w:t>
            </w:r>
          </w:p>
        </w:tc>
        <w:tc>
          <w:tcPr>
            <w:tcW w:w="1557" w:type="dxa"/>
          </w:tcPr>
          <w:p w14:paraId="0B5D81FC" w14:textId="77777777" w:rsidR="009C6E98" w:rsidRPr="00B25B2B" w:rsidRDefault="009C6E98" w:rsidP="009C6E98">
            <w:pPr>
              <w:pStyle w:val="Default"/>
              <w:spacing w:before="40" w:after="40"/>
              <w:rPr>
                <w:color w:val="auto"/>
                <w:lang w:val="en-GB"/>
              </w:rPr>
            </w:pPr>
            <w:r w:rsidRPr="00B25B2B">
              <w:rPr>
                <w:color w:val="auto"/>
                <w:lang w:val="en-GB"/>
              </w:rPr>
              <w:t>Municipal acceptance protocols</w:t>
            </w:r>
          </w:p>
        </w:tc>
        <w:tc>
          <w:tcPr>
            <w:tcW w:w="2126" w:type="dxa"/>
            <w:vMerge/>
            <w:shd w:val="clear" w:color="auto" w:fill="FFFFFF"/>
          </w:tcPr>
          <w:p w14:paraId="1D506675" w14:textId="77777777" w:rsidR="009C6E98" w:rsidRPr="00B25B2B" w:rsidRDefault="009C6E98" w:rsidP="009C6E98">
            <w:pPr>
              <w:spacing w:before="40" w:after="40"/>
              <w:rPr>
                <w:rFonts w:ascii="Times New Roman" w:eastAsia="Calibri" w:hAnsi="Times New Roman"/>
                <w:iCs/>
                <w:sz w:val="24"/>
                <w:szCs w:val="24"/>
              </w:rPr>
            </w:pPr>
          </w:p>
        </w:tc>
      </w:tr>
      <w:tr w:rsidR="009C6E98" w:rsidRPr="00B25B2B" w14:paraId="53064685" w14:textId="77777777" w:rsidTr="006A10C1">
        <w:trPr>
          <w:trHeight w:val="332"/>
        </w:trPr>
        <w:tc>
          <w:tcPr>
            <w:tcW w:w="3401" w:type="dxa"/>
            <w:shd w:val="clear" w:color="auto" w:fill="FFFFFF"/>
          </w:tcPr>
          <w:p w14:paraId="6E12B4AF" w14:textId="77777777" w:rsidR="009C6E98" w:rsidRPr="00B25B2B" w:rsidRDefault="009C6E98" w:rsidP="009C6E98">
            <w:pPr>
              <w:shd w:val="clear" w:color="auto" w:fill="FFFFFF"/>
              <w:autoSpaceDE w:val="0"/>
              <w:autoSpaceDN w:val="0"/>
              <w:adjustRightInd w:val="0"/>
              <w:jc w:val="center"/>
              <w:rPr>
                <w:rFonts w:ascii="Times New Roman" w:hAnsi="Times New Roman"/>
                <w:sz w:val="24"/>
                <w:szCs w:val="24"/>
              </w:rPr>
            </w:pPr>
            <w:r w:rsidRPr="00B25B2B">
              <w:rPr>
                <w:rFonts w:ascii="Times New Roman" w:hAnsi="Times New Roman"/>
                <w:b/>
                <w:sz w:val="24"/>
                <w:szCs w:val="24"/>
              </w:rPr>
              <w:t>BROAD ARRANGEMENTS FOR IMPLEMENTATION (IF AVAILABLE)</w:t>
            </w:r>
          </w:p>
        </w:tc>
        <w:tc>
          <w:tcPr>
            <w:tcW w:w="11908" w:type="dxa"/>
            <w:gridSpan w:val="6"/>
            <w:shd w:val="clear" w:color="auto" w:fill="FFFFFF"/>
          </w:tcPr>
          <w:p w14:paraId="5839AF44" w14:textId="40556737" w:rsidR="00270E9A" w:rsidRPr="00B25B2B" w:rsidRDefault="00270E9A" w:rsidP="00270E9A">
            <w:pPr>
              <w:spacing w:after="120" w:line="240" w:lineRule="auto"/>
              <w:jc w:val="both"/>
              <w:rPr>
                <w:rFonts w:ascii="Times New Roman" w:hAnsi="Times New Roman"/>
                <w:iCs/>
                <w:sz w:val="24"/>
                <w:szCs w:val="24"/>
              </w:rPr>
            </w:pPr>
            <w:r w:rsidRPr="00B25B2B">
              <w:rPr>
                <w:rFonts w:ascii="Times New Roman" w:hAnsi="Times New Roman"/>
                <w:iCs/>
                <w:sz w:val="24"/>
                <w:szCs w:val="24"/>
              </w:rPr>
              <w:t xml:space="preserve">The Action </w:t>
            </w:r>
            <w:r w:rsidR="00602E19">
              <w:rPr>
                <w:rFonts w:ascii="Times New Roman" w:hAnsi="Times New Roman"/>
                <w:iCs/>
                <w:sz w:val="24"/>
                <w:szCs w:val="24"/>
              </w:rPr>
              <w:t>will be</w:t>
            </w:r>
            <w:bookmarkStart w:id="2" w:name="_GoBack"/>
            <w:bookmarkEnd w:id="2"/>
            <w:r w:rsidRPr="00B25B2B">
              <w:rPr>
                <w:rFonts w:ascii="Times New Roman" w:hAnsi="Times New Roman"/>
                <w:iCs/>
                <w:sz w:val="24"/>
                <w:szCs w:val="24"/>
              </w:rPr>
              <w:t xml:space="preserve"> implemented under Direct Management. This entails about 8 to 10 service, supply and works contracts</w:t>
            </w:r>
          </w:p>
          <w:p w14:paraId="5EAAA199" w14:textId="124766A6" w:rsidR="009C6E98" w:rsidRPr="00B25B2B" w:rsidRDefault="009C6E98" w:rsidP="009C6E98">
            <w:pPr>
              <w:shd w:val="clear" w:color="auto" w:fill="FFFFFF"/>
              <w:spacing w:before="60" w:after="0"/>
              <w:rPr>
                <w:rFonts w:ascii="Times New Roman" w:hAnsi="Times New Roman"/>
                <w:sz w:val="24"/>
                <w:szCs w:val="24"/>
              </w:rPr>
            </w:pPr>
          </w:p>
        </w:tc>
      </w:tr>
    </w:tbl>
    <w:p w14:paraId="5E8B969C" w14:textId="77777777" w:rsidR="00E607F2" w:rsidRPr="00B25B2B" w:rsidRDefault="00E607F2" w:rsidP="000F747C">
      <w:pPr>
        <w:rPr>
          <w:rFonts w:ascii="Times New Roman" w:hAnsi="Times New Roman"/>
          <w:sz w:val="24"/>
          <w:szCs w:val="24"/>
        </w:rPr>
      </w:pPr>
    </w:p>
    <w:sectPr w:rsidR="00E607F2" w:rsidRPr="00B25B2B" w:rsidSect="00275CA9">
      <w:pgSz w:w="16838" w:h="11906" w:orient="landscape"/>
      <w:pgMar w:top="567" w:right="1440" w:bottom="426" w:left="1440" w:header="708" w:footer="2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3E515" w14:textId="77777777" w:rsidR="002B5E94" w:rsidRDefault="002B5E94" w:rsidP="00D92F6C">
      <w:pPr>
        <w:spacing w:after="0" w:line="240" w:lineRule="auto"/>
      </w:pPr>
      <w:r>
        <w:separator/>
      </w:r>
    </w:p>
  </w:endnote>
  <w:endnote w:type="continuationSeparator" w:id="0">
    <w:p w14:paraId="15E72DCE" w14:textId="77777777" w:rsidR="002B5E94" w:rsidRDefault="002B5E94" w:rsidP="00D9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20024FF" w:usb2="02000000" w:usb3="00000000" w:csb0="0000019F" w:csb1="00000000"/>
  </w:font>
  <w:font w:name="Tunga">
    <w:panose1 w:val="00000400000000000000"/>
    <w:charset w:val="01"/>
    <w:family w:val="roman"/>
    <w:notTrueType/>
    <w:pitch w:val="variable"/>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E5E4B" w14:textId="77777777" w:rsidR="002B5E94" w:rsidRDefault="002B5E94" w:rsidP="00D92F6C">
      <w:pPr>
        <w:spacing w:after="0" w:line="240" w:lineRule="auto"/>
      </w:pPr>
      <w:r>
        <w:separator/>
      </w:r>
    </w:p>
  </w:footnote>
  <w:footnote w:type="continuationSeparator" w:id="0">
    <w:p w14:paraId="16F20025" w14:textId="77777777" w:rsidR="002B5E94" w:rsidRDefault="002B5E94" w:rsidP="00D92F6C">
      <w:pPr>
        <w:spacing w:after="0" w:line="240" w:lineRule="auto"/>
      </w:pPr>
      <w:r>
        <w:continuationSeparator/>
      </w:r>
    </w:p>
  </w:footnote>
  <w:footnote w:id="1">
    <w:p w14:paraId="0254FD29" w14:textId="77777777" w:rsidR="00560899" w:rsidRPr="003D09A5" w:rsidRDefault="00560899" w:rsidP="00D92F6C">
      <w:pPr>
        <w:pStyle w:val="FootnoteText"/>
      </w:pPr>
      <w:r>
        <w:rPr>
          <w:rStyle w:val="FootnoteReference"/>
        </w:rPr>
        <w:footnoteRef/>
      </w:r>
      <w:r>
        <w:t xml:space="preserve"> </w:t>
      </w:r>
      <w:r w:rsidRPr="003D09A5">
        <w:rPr>
          <w:sz w:val="16"/>
          <w:szCs w:val="16"/>
        </w:rPr>
        <w:t>The baseline value may be "0" (i.e. no reference values are available as the Action represents a novelty for the beneficiary) but cannot be left empty or include references such as "N/A" or "will be determined later".</w:t>
      </w:r>
    </w:p>
    <w:p w14:paraId="1180C904" w14:textId="77777777" w:rsidR="00560899" w:rsidRPr="00042F9A" w:rsidRDefault="00560899" w:rsidP="00D92F6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70BD6"/>
    <w:multiLevelType w:val="hybridMultilevel"/>
    <w:tmpl w:val="88547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5228A5"/>
    <w:multiLevelType w:val="hybridMultilevel"/>
    <w:tmpl w:val="53289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E21FA5"/>
    <w:multiLevelType w:val="multilevel"/>
    <w:tmpl w:val="51DA9F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A325F7"/>
    <w:multiLevelType w:val="hybridMultilevel"/>
    <w:tmpl w:val="7916D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425DA"/>
    <w:multiLevelType w:val="hybridMultilevel"/>
    <w:tmpl w:val="C85A986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2ADA36EC"/>
    <w:multiLevelType w:val="hybridMultilevel"/>
    <w:tmpl w:val="5E8C8474"/>
    <w:lvl w:ilvl="0" w:tplc="08090001">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6" w15:restartNumberingAfterBreak="0">
    <w:nsid w:val="42F85E0A"/>
    <w:multiLevelType w:val="hybridMultilevel"/>
    <w:tmpl w:val="DC38E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7801087"/>
    <w:multiLevelType w:val="hybridMultilevel"/>
    <w:tmpl w:val="58DEB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1"/>
  </w:num>
  <w:num w:numId="5">
    <w:abstractNumId w:val="5"/>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92F6C"/>
    <w:rsid w:val="00006298"/>
    <w:rsid w:val="000362F3"/>
    <w:rsid w:val="000C3DF3"/>
    <w:rsid w:val="000F1724"/>
    <w:rsid w:val="000F747C"/>
    <w:rsid w:val="00185BF3"/>
    <w:rsid w:val="00195E23"/>
    <w:rsid w:val="001A3E99"/>
    <w:rsid w:val="001E718B"/>
    <w:rsid w:val="001F5086"/>
    <w:rsid w:val="00270E9A"/>
    <w:rsid w:val="00275CA9"/>
    <w:rsid w:val="00277C6D"/>
    <w:rsid w:val="00297761"/>
    <w:rsid w:val="002B5E94"/>
    <w:rsid w:val="002B7E35"/>
    <w:rsid w:val="002E23D6"/>
    <w:rsid w:val="00306047"/>
    <w:rsid w:val="003D7D89"/>
    <w:rsid w:val="004B3FD7"/>
    <w:rsid w:val="004B7945"/>
    <w:rsid w:val="00521536"/>
    <w:rsid w:val="00550CF1"/>
    <w:rsid w:val="00556B99"/>
    <w:rsid w:val="00560899"/>
    <w:rsid w:val="005A645B"/>
    <w:rsid w:val="005D65B4"/>
    <w:rsid w:val="00602E19"/>
    <w:rsid w:val="00687E43"/>
    <w:rsid w:val="006A10C1"/>
    <w:rsid w:val="00704968"/>
    <w:rsid w:val="00726AC7"/>
    <w:rsid w:val="00772112"/>
    <w:rsid w:val="007A70DD"/>
    <w:rsid w:val="007C2541"/>
    <w:rsid w:val="00802E10"/>
    <w:rsid w:val="00867B46"/>
    <w:rsid w:val="00887C91"/>
    <w:rsid w:val="009107E8"/>
    <w:rsid w:val="00972FC6"/>
    <w:rsid w:val="00980923"/>
    <w:rsid w:val="009C6E98"/>
    <w:rsid w:val="009E39AE"/>
    <w:rsid w:val="00A377BD"/>
    <w:rsid w:val="00A52560"/>
    <w:rsid w:val="00A723F8"/>
    <w:rsid w:val="00B10991"/>
    <w:rsid w:val="00B25B2B"/>
    <w:rsid w:val="00B3420B"/>
    <w:rsid w:val="00BC4D43"/>
    <w:rsid w:val="00C23AD2"/>
    <w:rsid w:val="00C508EF"/>
    <w:rsid w:val="00C560E7"/>
    <w:rsid w:val="00C7381A"/>
    <w:rsid w:val="00CA6F08"/>
    <w:rsid w:val="00D22D9C"/>
    <w:rsid w:val="00D6107B"/>
    <w:rsid w:val="00D630BF"/>
    <w:rsid w:val="00D92F6C"/>
    <w:rsid w:val="00E5681E"/>
    <w:rsid w:val="00E607F2"/>
    <w:rsid w:val="00E67F66"/>
    <w:rsid w:val="00EF709E"/>
  </w:rsids>
  <m:mathPr>
    <m:mathFont m:val="Cambria Math"/>
    <m:brkBin m:val="before"/>
    <m:brkBinSub m:val="--"/>
    <m:smallFrac m:val="0"/>
    <m:dispDef/>
    <m:lMargin m:val="0"/>
    <m:rMargin m:val="0"/>
    <m:defJc m:val="centerGroup"/>
    <m:wrapIndent m:val="1440"/>
    <m:intLim m:val="subSup"/>
    <m:naryLim m:val="undOvr"/>
  </m:mathPr>
  <w:themeFontLang w:val="fr-BE" w:eastAsia="ja-JP" w:bidi="mn-Mong-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82746D1"/>
  <w15:docId w15:val="{072C5FC0-3804-4A60-866F-ADC8F60D4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C"/>
    <w:pPr>
      <w:spacing w:after="200" w:line="276" w:lineRule="auto"/>
    </w:pPr>
    <w:rPr>
      <w:rFonts w:ascii="Calibri" w:eastAsia="Times New Roman" w:hAnsi="Calibri" w:cs="Times New Roman"/>
      <w:lang w:val="en-GB" w:eastAsia="en-GB"/>
    </w:rPr>
  </w:style>
  <w:style w:type="paragraph" w:styleId="Heading2">
    <w:name w:val="heading 2"/>
    <w:basedOn w:val="Normal"/>
    <w:next w:val="Normal"/>
    <w:link w:val="Heading2Char"/>
    <w:uiPriority w:val="9"/>
    <w:unhideWhenUsed/>
    <w:qFormat/>
    <w:rsid w:val="00D92F6C"/>
    <w:pPr>
      <w:keepNext/>
      <w:keepLines/>
      <w:spacing w:before="200" w:after="0"/>
      <w:outlineLvl w:val="1"/>
    </w:pPr>
    <w:rPr>
      <w:rFonts w:ascii="Cambria" w:hAnsi="Cambria"/>
      <w:b/>
      <w:bCs/>
      <w:color w:val="2DA2BF"/>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2F6C"/>
    <w:rPr>
      <w:rFonts w:ascii="Cambria" w:eastAsia="Times New Roman" w:hAnsi="Cambria" w:cs="Times New Roman"/>
      <w:b/>
      <w:bCs/>
      <w:color w:val="2DA2BF"/>
      <w:sz w:val="26"/>
      <w:szCs w:val="26"/>
      <w:lang w:val="x-none" w:eastAsia="x-none"/>
    </w:rPr>
  </w:style>
  <w:style w:type="paragraph" w:styleId="Footer">
    <w:name w:val="footer"/>
    <w:basedOn w:val="Normal"/>
    <w:link w:val="FooterChar"/>
    <w:uiPriority w:val="99"/>
    <w:rsid w:val="00D92F6C"/>
    <w:pPr>
      <w:tabs>
        <w:tab w:val="center" w:pos="4535"/>
        <w:tab w:val="right" w:pos="9071"/>
        <w:tab w:val="right" w:pos="9921"/>
      </w:tabs>
      <w:spacing w:before="360" w:after="0"/>
      <w:ind w:left="-850" w:right="-850"/>
    </w:pPr>
    <w:rPr>
      <w:rFonts w:ascii="Tunga" w:eastAsia="Arial Unicode MS" w:hAnsi="Tunga"/>
      <w:lang w:val="x-none" w:eastAsia="de-DE"/>
    </w:rPr>
  </w:style>
  <w:style w:type="character" w:customStyle="1" w:styleId="FooterChar">
    <w:name w:val="Footer Char"/>
    <w:basedOn w:val="DefaultParagraphFont"/>
    <w:link w:val="Footer"/>
    <w:uiPriority w:val="99"/>
    <w:rsid w:val="00D92F6C"/>
    <w:rPr>
      <w:rFonts w:ascii="Tunga" w:eastAsia="Arial Unicode MS" w:hAnsi="Tunga" w:cs="Times New Roman"/>
      <w:lang w:val="x-none" w:eastAsia="de-DE"/>
    </w:rPr>
  </w:style>
  <w:style w:type="character" w:styleId="FootnoteReference">
    <w:name w:val="footnote reference"/>
    <w:aliases w:val="BVI fnr,ftref, BVI fnr,Error-Fußnotenzeichen5,Error-Fußnotenzeichen6,Error-Fußnotenzeichen3,Footnote Reference1,Error-Fu?notenzeichen5,Error-Fu?notenzeichen6,Error-Fu?notenzeichen3,referencia nota al pie,Ref,de nota al pie,16 Point,R"/>
    <w:link w:val="BVIfnrChar1CharCharChar"/>
    <w:uiPriority w:val="99"/>
    <w:qFormat/>
    <w:rsid w:val="00D92F6C"/>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f, Char"/>
    <w:basedOn w:val="Normal"/>
    <w:link w:val="FootnoteTextChar1"/>
    <w:qFormat/>
    <w:rsid w:val="00D92F6C"/>
    <w:pPr>
      <w:spacing w:after="0"/>
      <w:ind w:left="720" w:hanging="720"/>
    </w:pPr>
    <w:rPr>
      <w:sz w:val="20"/>
      <w:szCs w:val="20"/>
    </w:rPr>
  </w:style>
  <w:style w:type="character" w:customStyle="1" w:styleId="FootnoteTextChar">
    <w:name w:val="Footnote Text Char"/>
    <w:basedOn w:val="DefaultParagraphFont"/>
    <w:uiPriority w:val="99"/>
    <w:semiHidden/>
    <w:rsid w:val="00D92F6C"/>
    <w:rPr>
      <w:rFonts w:ascii="Calibri" w:eastAsia="Times New Roman" w:hAnsi="Calibri" w:cs="Times New Roman"/>
      <w:sz w:val="20"/>
      <w:szCs w:val="20"/>
      <w:lang w:val="en-GB" w:eastAsia="en-GB"/>
    </w:rPr>
  </w:style>
  <w:style w:type="paragraph" w:styleId="Header">
    <w:name w:val="header"/>
    <w:basedOn w:val="Normal"/>
    <w:link w:val="HeaderChar"/>
    <w:uiPriority w:val="99"/>
    <w:rsid w:val="00D92F6C"/>
    <w:pPr>
      <w:tabs>
        <w:tab w:val="right" w:pos="9071"/>
      </w:tabs>
    </w:pPr>
  </w:style>
  <w:style w:type="character" w:customStyle="1" w:styleId="HeaderChar">
    <w:name w:val="Header Char"/>
    <w:basedOn w:val="DefaultParagraphFont"/>
    <w:link w:val="Header"/>
    <w:uiPriority w:val="99"/>
    <w:rsid w:val="00D92F6C"/>
    <w:rPr>
      <w:rFonts w:ascii="Calibri" w:eastAsia="Times New Roman" w:hAnsi="Calibri" w:cs="Times New Roman"/>
      <w:lang w:val="en-GB" w:eastAsia="en-GB"/>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No Spacing1"/>
    <w:basedOn w:val="Normal"/>
    <w:link w:val="ListParagraphChar"/>
    <w:qFormat/>
    <w:rsid w:val="00D92F6C"/>
    <w:pPr>
      <w:ind w:left="720"/>
      <w:contextualSpacing/>
    </w:pPr>
  </w:style>
  <w:style w:type="character" w:customStyle="1" w:styleId="FootnoteTextChar1">
    <w:name w:val="Footnote Text Char1"/>
    <w:aliases w:val="Footnote Text Char Char Char Char,Footnote Text Char Char Char1,Fußnote Char,Footnote Char,Footnote Text Char1 Char Char,Footnote Text Char1 Char Char Char Char,Footnote Text Char Char Char Char Char Char,Fußnotentextf Char"/>
    <w:link w:val="FootnoteText"/>
    <w:rsid w:val="00D92F6C"/>
    <w:rPr>
      <w:rFonts w:ascii="Calibri" w:eastAsia="Times New Roman" w:hAnsi="Calibri" w:cs="Times New Roman"/>
      <w:sz w:val="20"/>
      <w:szCs w:val="20"/>
      <w:lang w:val="en-GB" w:eastAsia="en-GB"/>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uiPriority w:val="99"/>
    <w:rsid w:val="00D92F6C"/>
    <w:pPr>
      <w:spacing w:before="120" w:after="160" w:line="240" w:lineRule="exact"/>
      <w:jc w:val="both"/>
    </w:pPr>
    <w:rPr>
      <w:rFonts w:asciiTheme="minorHAnsi" w:eastAsiaTheme="minorHAnsi" w:hAnsiTheme="minorHAnsi" w:cstheme="minorBidi"/>
      <w:vertAlign w:val="superscript"/>
      <w:lang w:val="fr-BE" w:eastAsia="en-US"/>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qFormat/>
    <w:locked/>
    <w:rsid w:val="00D92F6C"/>
    <w:rPr>
      <w:rFonts w:ascii="Calibri" w:eastAsia="Times New Roman" w:hAnsi="Calibri" w:cs="Times New Roman"/>
      <w:lang w:val="en-GB" w:eastAsia="en-GB"/>
    </w:rPr>
  </w:style>
  <w:style w:type="paragraph" w:styleId="BalloonText">
    <w:name w:val="Balloon Text"/>
    <w:basedOn w:val="Normal"/>
    <w:link w:val="BalloonTextChar"/>
    <w:uiPriority w:val="99"/>
    <w:semiHidden/>
    <w:unhideWhenUsed/>
    <w:rsid w:val="00A525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2560"/>
    <w:rPr>
      <w:rFonts w:ascii="Segoe UI" w:eastAsia="Times New Roman" w:hAnsi="Segoe UI" w:cs="Segoe UI"/>
      <w:sz w:val="18"/>
      <w:szCs w:val="18"/>
      <w:lang w:val="en-GB" w:eastAsia="en-GB"/>
    </w:rPr>
  </w:style>
  <w:style w:type="character" w:styleId="CommentReference">
    <w:name w:val="annotation reference"/>
    <w:basedOn w:val="DefaultParagraphFont"/>
    <w:uiPriority w:val="99"/>
    <w:semiHidden/>
    <w:unhideWhenUsed/>
    <w:rsid w:val="006A10C1"/>
    <w:rPr>
      <w:sz w:val="16"/>
      <w:szCs w:val="16"/>
    </w:rPr>
  </w:style>
  <w:style w:type="paragraph" w:styleId="CommentText">
    <w:name w:val="annotation text"/>
    <w:basedOn w:val="Normal"/>
    <w:link w:val="CommentTextChar"/>
    <w:uiPriority w:val="99"/>
    <w:semiHidden/>
    <w:unhideWhenUsed/>
    <w:rsid w:val="006A10C1"/>
    <w:pPr>
      <w:spacing w:line="240" w:lineRule="auto"/>
    </w:pPr>
    <w:rPr>
      <w:sz w:val="20"/>
      <w:szCs w:val="20"/>
    </w:rPr>
  </w:style>
  <w:style w:type="character" w:customStyle="1" w:styleId="CommentTextChar">
    <w:name w:val="Comment Text Char"/>
    <w:basedOn w:val="DefaultParagraphFont"/>
    <w:link w:val="CommentText"/>
    <w:uiPriority w:val="99"/>
    <w:semiHidden/>
    <w:rsid w:val="006A10C1"/>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6A10C1"/>
    <w:rPr>
      <w:b/>
      <w:bCs/>
    </w:rPr>
  </w:style>
  <w:style w:type="character" w:customStyle="1" w:styleId="CommentSubjectChar">
    <w:name w:val="Comment Subject Char"/>
    <w:basedOn w:val="CommentTextChar"/>
    <w:link w:val="CommentSubject"/>
    <w:uiPriority w:val="99"/>
    <w:semiHidden/>
    <w:rsid w:val="006A10C1"/>
    <w:rPr>
      <w:rFonts w:ascii="Calibri" w:eastAsia="Times New Roman" w:hAnsi="Calibri" w:cs="Times New Roman"/>
      <w:b/>
      <w:bCs/>
      <w:sz w:val="20"/>
      <w:szCs w:val="20"/>
      <w:lang w:val="en-GB" w:eastAsia="en-GB"/>
    </w:rPr>
  </w:style>
  <w:style w:type="paragraph" w:customStyle="1" w:styleId="Default">
    <w:name w:val="Default"/>
    <w:rsid w:val="006A10C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Hyperlink">
    <w:name w:val="Hyperlink"/>
    <w:basedOn w:val="DefaultParagraphFont"/>
    <w:uiPriority w:val="99"/>
    <w:semiHidden/>
    <w:unhideWhenUsed/>
    <w:rsid w:val="00B25B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01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3A32015L1480" TargetMode="External"/><Relationship Id="rId3" Type="http://schemas.openxmlformats.org/officeDocument/2006/relationships/settings" Target="settings.xml"/><Relationship Id="rId7" Type="http://schemas.openxmlformats.org/officeDocument/2006/relationships/hyperlink" Target="https://eur-lex.europa.eu/legal-content/EN/TXT/?qid=1486474738782&amp;uri=CELEX:02008L0050-201509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1869</Words>
  <Characters>11180</Characters>
  <Application>Microsoft Office Word</Application>
  <DocSecurity>0</DocSecurity>
  <Lines>508</Lines>
  <Paragraphs>181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SAVIOLO Andrea (NEAR)</dc:creator>
  <cp:keywords/>
  <dc:description/>
  <cp:lastModifiedBy>PRODANOVA Donka (EEAS-SKOPJE)</cp:lastModifiedBy>
  <cp:revision>8</cp:revision>
  <dcterms:created xsi:type="dcterms:W3CDTF">2020-07-06T10:25:00Z</dcterms:created>
  <dcterms:modified xsi:type="dcterms:W3CDTF">2020-07-07T09:19:00Z</dcterms:modified>
</cp:coreProperties>
</file>