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647C" w14:textId="77777777" w:rsidR="00D92F6C" w:rsidRPr="00A40EC1" w:rsidRDefault="00B10991" w:rsidP="00A40EC1">
      <w:pPr>
        <w:pStyle w:val="Ttulo2"/>
        <w:rPr>
          <w:rFonts w:ascii="Times New Roman" w:hAnsi="Times New Roman"/>
          <w:b w:val="0"/>
          <w:bCs w:val="0"/>
          <w:smallCaps/>
          <w:color w:val="000000" w:themeColor="text1"/>
          <w:sz w:val="32"/>
          <w:szCs w:val="24"/>
          <w:lang w:val="it-IT"/>
        </w:rPr>
      </w:pPr>
      <w:bookmarkStart w:id="0" w:name="_Toc33714665"/>
      <w:r w:rsidRPr="00E82A5D">
        <w:rPr>
          <w:rFonts w:ascii="Times New Roman" w:hAnsi="Times New Roman"/>
          <w:smallCaps/>
          <w:color w:val="000000" w:themeColor="text1"/>
          <w:sz w:val="32"/>
          <w:szCs w:val="24"/>
          <w:lang w:val="it-IT"/>
        </w:rPr>
        <w:t xml:space="preserve">ANNEX I –IPA III </w:t>
      </w:r>
      <w:r w:rsidR="00D92F6C" w:rsidRPr="00E82A5D">
        <w:rPr>
          <w:rFonts w:ascii="Times New Roman" w:hAnsi="Times New Roman"/>
          <w:smallCaps/>
          <w:color w:val="000000" w:themeColor="text1"/>
          <w:sz w:val="32"/>
          <w:szCs w:val="24"/>
          <w:lang w:val="it-IT"/>
        </w:rPr>
        <w:t>A</w:t>
      </w:r>
      <w:r w:rsidRPr="00E82A5D">
        <w:rPr>
          <w:rFonts w:ascii="Times New Roman" w:hAnsi="Times New Roman"/>
          <w:smallCaps/>
          <w:color w:val="000000" w:themeColor="text1"/>
          <w:sz w:val="32"/>
          <w:szCs w:val="24"/>
          <w:lang w:val="it-IT"/>
        </w:rPr>
        <w:t xml:space="preserve">ction Fiche </w:t>
      </w:r>
      <w:bookmarkEnd w:id="0"/>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13"/>
        <w:gridCol w:w="7595"/>
      </w:tblGrid>
      <w:tr w:rsidR="00D92F6C" w:rsidRPr="00E82A5D" w14:paraId="4F2BF873" w14:textId="77777777" w:rsidTr="00AE610E">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6B8F611" w14:textId="77777777" w:rsidR="00D92F6C" w:rsidRPr="00E82A5D" w:rsidRDefault="00D92F6C" w:rsidP="004C6FFC">
            <w:pPr>
              <w:spacing w:after="0" w:line="240" w:lineRule="auto"/>
              <w:jc w:val="center"/>
              <w:rPr>
                <w:rFonts w:ascii="Times New Roman" w:hAnsi="Times New Roman"/>
                <w:b/>
                <w:color w:val="000000" w:themeColor="text1"/>
                <w:sz w:val="20"/>
                <w:szCs w:val="20"/>
                <w:lang w:val="it-IT"/>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50C497F5" w14:textId="77777777" w:rsidR="00D92F6C" w:rsidRPr="00E82A5D" w:rsidRDefault="00D92F6C" w:rsidP="00935D04">
            <w:pPr>
              <w:spacing w:after="0" w:line="240" w:lineRule="auto"/>
              <w:rPr>
                <w:rFonts w:ascii="Times New Roman" w:hAnsi="Times New Roman"/>
                <w:color w:val="000000" w:themeColor="text1"/>
              </w:rPr>
            </w:pPr>
            <w:r w:rsidRPr="00E82A5D">
              <w:rPr>
                <w:rFonts w:ascii="Times New Roman" w:hAnsi="Times New Roman"/>
                <w:color w:val="000000" w:themeColor="text1"/>
              </w:rPr>
              <w:t>Indicative title of the Action</w:t>
            </w:r>
          </w:p>
        </w:tc>
        <w:tc>
          <w:tcPr>
            <w:tcW w:w="7595" w:type="dxa"/>
            <w:tcBorders>
              <w:top w:val="single" w:sz="4" w:space="0" w:color="auto"/>
              <w:left w:val="single" w:sz="4" w:space="0" w:color="auto"/>
              <w:bottom w:val="single" w:sz="4" w:space="0" w:color="auto"/>
              <w:right w:val="single" w:sz="4" w:space="0" w:color="auto"/>
            </w:tcBorders>
            <w:shd w:val="clear" w:color="auto" w:fill="auto"/>
            <w:vAlign w:val="center"/>
          </w:tcPr>
          <w:p w14:paraId="0E4A304F" w14:textId="328A262F" w:rsidR="00012297" w:rsidRPr="0039427A" w:rsidRDefault="00935D04" w:rsidP="000B790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 xml:space="preserve">EU </w:t>
            </w:r>
            <w:r w:rsidR="002F0984">
              <w:rPr>
                <w:rFonts w:ascii="Times New Roman" w:hAnsi="Times New Roman"/>
                <w:b/>
                <w:bCs/>
                <w:color w:val="000000" w:themeColor="text1"/>
              </w:rPr>
              <w:t>INTEGRATION FACILITY</w:t>
            </w:r>
          </w:p>
        </w:tc>
      </w:tr>
      <w:tr w:rsidR="004262E0" w:rsidRPr="00E82A5D" w14:paraId="7BDF849E" w14:textId="77777777" w:rsidTr="00AE610E">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41DEF77" w14:textId="77777777" w:rsidR="004262E0" w:rsidRPr="00E82A5D" w:rsidRDefault="004262E0" w:rsidP="004C6FFC">
            <w:pPr>
              <w:spacing w:after="0" w:line="240" w:lineRule="auto"/>
              <w:jc w:val="center"/>
              <w:rPr>
                <w:rFonts w:ascii="Times New Roman" w:hAnsi="Times New Roman"/>
                <w:b/>
                <w:color w:val="000000" w:themeColor="text1"/>
                <w:sz w:val="20"/>
                <w:szCs w:val="20"/>
                <w:lang w:val="it-IT"/>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3B789D92" w14:textId="6CE90E8C" w:rsidR="004262E0" w:rsidRPr="00E82A5D" w:rsidRDefault="004262E0" w:rsidP="00935D04">
            <w:pPr>
              <w:spacing w:after="0" w:line="240" w:lineRule="auto"/>
              <w:rPr>
                <w:rFonts w:ascii="Times New Roman" w:hAnsi="Times New Roman"/>
                <w:color w:val="000000" w:themeColor="text1"/>
              </w:rPr>
            </w:pPr>
            <w:r>
              <w:rPr>
                <w:rFonts w:ascii="Times New Roman" w:hAnsi="Times New Roman"/>
                <w:color w:val="000000" w:themeColor="text1"/>
              </w:rPr>
              <w:t>Programming year</w:t>
            </w:r>
          </w:p>
        </w:tc>
        <w:tc>
          <w:tcPr>
            <w:tcW w:w="7595" w:type="dxa"/>
            <w:tcBorders>
              <w:top w:val="single" w:sz="4" w:space="0" w:color="auto"/>
              <w:left w:val="single" w:sz="4" w:space="0" w:color="auto"/>
              <w:bottom w:val="single" w:sz="4" w:space="0" w:color="auto"/>
              <w:right w:val="single" w:sz="4" w:space="0" w:color="auto"/>
            </w:tcBorders>
            <w:shd w:val="clear" w:color="auto" w:fill="auto"/>
            <w:vAlign w:val="center"/>
          </w:tcPr>
          <w:p w14:paraId="1D41AEE7" w14:textId="2EB43B0C" w:rsidR="004262E0" w:rsidRDefault="00FF324C" w:rsidP="000B790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2023</w:t>
            </w:r>
          </w:p>
        </w:tc>
      </w:tr>
      <w:tr w:rsidR="00D92F6C" w:rsidRPr="00E82A5D" w14:paraId="77D9ECCF" w14:textId="77777777" w:rsidTr="00AE610E">
        <w:trPr>
          <w:trHeight w:val="357"/>
          <w:jc w:val="center"/>
        </w:trPr>
        <w:tc>
          <w:tcPr>
            <w:tcW w:w="534" w:type="dxa"/>
            <w:vMerge w:val="restart"/>
            <w:tcBorders>
              <w:top w:val="single" w:sz="4" w:space="0" w:color="auto"/>
              <w:left w:val="single" w:sz="4" w:space="0" w:color="auto"/>
              <w:right w:val="single" w:sz="4" w:space="0" w:color="auto"/>
            </w:tcBorders>
            <w:textDirection w:val="btLr"/>
          </w:tcPr>
          <w:p w14:paraId="64E744FE" w14:textId="77777777" w:rsidR="00D92F6C" w:rsidRPr="00E82A5D" w:rsidRDefault="00D92F6C" w:rsidP="00935D04">
            <w:pPr>
              <w:spacing w:after="0" w:line="240" w:lineRule="auto"/>
              <w:ind w:left="113" w:right="113"/>
              <w:jc w:val="center"/>
              <w:rPr>
                <w:rFonts w:ascii="Times New Roman" w:hAnsi="Times New Roman"/>
                <w:color w:val="000000" w:themeColor="text1"/>
              </w:rPr>
            </w:pPr>
            <w:r w:rsidRPr="00E82A5D">
              <w:rPr>
                <w:rFonts w:ascii="Times New Roman" w:hAnsi="Times New Roman"/>
                <w:color w:val="000000" w:themeColor="text1"/>
              </w:rPr>
              <w:t>CRITERIA FOR RELEVANCE ASSESSMENT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74EAFB9" w14:textId="7F70582E" w:rsidR="00D92F6C" w:rsidRPr="00E82A5D" w:rsidRDefault="004262E0" w:rsidP="00935D04">
            <w:pPr>
              <w:spacing w:after="0" w:line="240" w:lineRule="auto"/>
              <w:rPr>
                <w:rFonts w:ascii="Times New Roman" w:hAnsi="Times New Roman"/>
                <w:color w:val="000000" w:themeColor="text1"/>
              </w:rPr>
            </w:pPr>
            <w:r>
              <w:rPr>
                <w:rFonts w:ascii="Times New Roman" w:hAnsi="Times New Roman"/>
                <w:color w:val="000000" w:themeColor="text1"/>
              </w:rPr>
              <w:t xml:space="preserve">IPA III Window and thematic </w:t>
            </w:r>
            <w:proofErr w:type="spellStart"/>
            <w:r>
              <w:rPr>
                <w:rFonts w:ascii="Times New Roman" w:hAnsi="Times New Roman"/>
                <w:color w:val="000000" w:themeColor="text1"/>
              </w:rPr>
              <w:t>priorit</w:t>
            </w:r>
            <w:proofErr w:type="spellEnd"/>
            <w:r>
              <w:rPr>
                <w:rFonts w:ascii="Times New Roman" w:hAnsi="Times New Roman"/>
                <w:color w:val="000000" w:themeColor="text1"/>
              </w:rPr>
              <w:t>(y)/(</w:t>
            </w:r>
            <w:proofErr w:type="spellStart"/>
            <w:r>
              <w:rPr>
                <w:rFonts w:ascii="Times New Roman" w:hAnsi="Times New Roman"/>
                <w:color w:val="000000" w:themeColor="text1"/>
              </w:rPr>
              <w:t>ies</w:t>
            </w:r>
            <w:proofErr w:type="spellEnd"/>
            <w:r>
              <w:rPr>
                <w:rFonts w:ascii="Times New Roman" w:hAnsi="Times New Roman"/>
                <w:color w:val="000000" w:themeColor="text1"/>
              </w:rPr>
              <w:t>)</w:t>
            </w:r>
          </w:p>
        </w:tc>
        <w:tc>
          <w:tcPr>
            <w:tcW w:w="7595" w:type="dxa"/>
            <w:tcBorders>
              <w:top w:val="single" w:sz="4" w:space="0" w:color="auto"/>
              <w:left w:val="single" w:sz="4" w:space="0" w:color="auto"/>
              <w:bottom w:val="single" w:sz="4" w:space="0" w:color="auto"/>
              <w:right w:val="single" w:sz="4" w:space="0" w:color="auto"/>
            </w:tcBorders>
            <w:shd w:val="clear" w:color="auto" w:fill="auto"/>
            <w:vAlign w:val="center"/>
          </w:tcPr>
          <w:p w14:paraId="70904EF2" w14:textId="74EEE753" w:rsidR="00335A5E" w:rsidRPr="0039427A" w:rsidRDefault="002F0984" w:rsidP="002F0984">
            <w:pPr>
              <w:spacing w:after="0" w:line="240" w:lineRule="auto"/>
              <w:rPr>
                <w:rFonts w:ascii="Times New Roman" w:hAnsi="Times New Roman"/>
                <w:b/>
                <w:i/>
                <w:iCs/>
                <w:color w:val="000000" w:themeColor="text1"/>
              </w:rPr>
            </w:pPr>
            <w:r w:rsidRPr="00CB49BC">
              <w:rPr>
                <w:rFonts w:ascii="Times New Roman" w:hAnsi="Times New Roman"/>
                <w:b/>
                <w:iCs/>
              </w:rPr>
              <w:t>WINDOW 2 -</w:t>
            </w:r>
            <w:r w:rsidRPr="00CB49BC">
              <w:rPr>
                <w:rFonts w:ascii="Times New Roman" w:hAnsi="Times New Roman"/>
                <w:b/>
                <w:i/>
                <w:iCs/>
              </w:rPr>
              <w:t xml:space="preserve"> </w:t>
            </w:r>
            <w:r w:rsidRPr="00CB49BC">
              <w:rPr>
                <w:rFonts w:ascii="Times New Roman" w:hAnsi="Times New Roman"/>
                <w:b/>
                <w:iCs/>
              </w:rPr>
              <w:t>GOOD GOVERNANCE, ACQUIS ALIGNMENT, GOOD NEIGHBOURLY RELATIONS AND STRATEGIC COMMUNICATION</w:t>
            </w:r>
          </w:p>
          <w:p w14:paraId="0048E154" w14:textId="77777777" w:rsidR="006B18C6" w:rsidRDefault="006B18C6" w:rsidP="006B18C6">
            <w:pPr>
              <w:spacing w:after="0" w:line="240" w:lineRule="auto"/>
              <w:rPr>
                <w:rFonts w:ascii="Times New Roman" w:hAnsi="Times New Roman"/>
                <w:b/>
                <w:i/>
                <w:iCs/>
              </w:rPr>
            </w:pPr>
          </w:p>
          <w:p w14:paraId="44D7261E" w14:textId="77332615" w:rsidR="006B18C6" w:rsidRPr="00CB49BC" w:rsidRDefault="006B18C6" w:rsidP="006B18C6">
            <w:pPr>
              <w:spacing w:after="0" w:line="240" w:lineRule="auto"/>
              <w:rPr>
                <w:rFonts w:ascii="Times New Roman" w:hAnsi="Times New Roman"/>
                <w:b/>
                <w:i/>
                <w:iCs/>
              </w:rPr>
            </w:pPr>
            <w:r w:rsidRPr="00CB49BC">
              <w:rPr>
                <w:rFonts w:ascii="Times New Roman" w:hAnsi="Times New Roman"/>
                <w:b/>
                <w:i/>
                <w:iCs/>
              </w:rPr>
              <w:t>Thematic Priority 2: Administrative capacity and acquis alignment</w:t>
            </w:r>
          </w:p>
          <w:p w14:paraId="0CDE211F" w14:textId="2AB10DDA" w:rsidR="006B18C6" w:rsidRPr="00CB49BC" w:rsidRDefault="006B18C6" w:rsidP="006B18C6">
            <w:pPr>
              <w:spacing w:after="0" w:line="240" w:lineRule="auto"/>
              <w:rPr>
                <w:rFonts w:ascii="Times New Roman" w:hAnsi="Times New Roman"/>
                <w:b/>
                <w:i/>
                <w:iCs/>
              </w:rPr>
            </w:pPr>
            <w:r w:rsidRPr="00CB49BC">
              <w:rPr>
                <w:rFonts w:ascii="Times New Roman" w:hAnsi="Times New Roman"/>
                <w:b/>
                <w:i/>
                <w:iCs/>
              </w:rPr>
              <w:t xml:space="preserve">Thematic Priority 4: Strategic communication, monitoring, </w:t>
            </w:r>
            <w:r w:rsidR="005524C0" w:rsidRPr="00CB49BC">
              <w:rPr>
                <w:rFonts w:ascii="Times New Roman" w:hAnsi="Times New Roman"/>
                <w:b/>
                <w:i/>
                <w:iCs/>
              </w:rPr>
              <w:t>evaluation,</w:t>
            </w:r>
            <w:r w:rsidRPr="00CB49BC">
              <w:rPr>
                <w:rFonts w:ascii="Times New Roman" w:hAnsi="Times New Roman"/>
                <w:b/>
                <w:i/>
                <w:iCs/>
              </w:rPr>
              <w:t xml:space="preserve"> and communication activities</w:t>
            </w:r>
          </w:p>
          <w:p w14:paraId="68E6C329" w14:textId="01430EBB" w:rsidR="00DB4733" w:rsidRPr="0039427A" w:rsidRDefault="00DB4733" w:rsidP="000B7906">
            <w:pPr>
              <w:spacing w:after="0" w:line="240" w:lineRule="auto"/>
              <w:rPr>
                <w:rFonts w:ascii="Times New Roman" w:hAnsi="Times New Roman"/>
                <w:b/>
                <w:i/>
                <w:iCs/>
                <w:color w:val="000000" w:themeColor="text1"/>
              </w:rPr>
            </w:pPr>
          </w:p>
        </w:tc>
      </w:tr>
      <w:tr w:rsidR="00D92F6C" w:rsidRPr="00E82A5D" w14:paraId="2DC3AA04" w14:textId="77777777" w:rsidTr="00AE610E">
        <w:trPr>
          <w:trHeight w:val="557"/>
          <w:jc w:val="center"/>
        </w:trPr>
        <w:tc>
          <w:tcPr>
            <w:tcW w:w="534" w:type="dxa"/>
            <w:vMerge/>
            <w:tcBorders>
              <w:left w:val="single" w:sz="4" w:space="0" w:color="auto"/>
              <w:right w:val="single" w:sz="4" w:space="0" w:color="auto"/>
            </w:tcBorders>
          </w:tcPr>
          <w:p w14:paraId="7E5EB722" w14:textId="77777777" w:rsidR="00D92F6C" w:rsidRPr="00E82A5D" w:rsidRDefault="00D92F6C" w:rsidP="00476031">
            <w:pPr>
              <w:spacing w:after="0"/>
              <w:rPr>
                <w:rFonts w:ascii="Times New Roman" w:hAnsi="Times New Roman"/>
                <w:color w:val="000000" w:themeColor="text1"/>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2A48FF6" w14:textId="77777777" w:rsidR="00D92F6C" w:rsidRPr="00E82A5D" w:rsidRDefault="00D92F6C" w:rsidP="00F57944">
            <w:pPr>
              <w:spacing w:after="0" w:line="240" w:lineRule="auto"/>
              <w:rPr>
                <w:rFonts w:ascii="Times New Roman" w:hAnsi="Times New Roman"/>
                <w:color w:val="000000" w:themeColor="text1"/>
              </w:rPr>
            </w:pPr>
            <w:r w:rsidRPr="00E82A5D">
              <w:rPr>
                <w:rFonts w:ascii="Times New Roman" w:hAnsi="Times New Roman"/>
                <w:color w:val="000000" w:themeColor="text1"/>
              </w:rPr>
              <w:t>Links with specific policy instruments of the enlargement process</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17EFD720" w14:textId="1D588201" w:rsidR="006B18C6" w:rsidRPr="002F58E0" w:rsidRDefault="006B18C6" w:rsidP="00AE610E">
            <w:pPr>
              <w:spacing w:before="120" w:after="0" w:line="240" w:lineRule="auto"/>
              <w:jc w:val="both"/>
              <w:rPr>
                <w:rFonts w:ascii="Times New Roman" w:hAnsi="Times New Roman"/>
              </w:rPr>
            </w:pPr>
            <w:r w:rsidRPr="00AE610E">
              <w:rPr>
                <w:rFonts w:ascii="Times New Roman" w:hAnsi="Times New Roman"/>
              </w:rPr>
              <w:t xml:space="preserve">The EU Integration Facility (EUIF) is established under IPA II as a flexible funding tool, able to mobilise resources quickly to address issues as they arise. This approach will continue with IPA III, while the EUIF will focus more on supporting the accession process since North Macedonia has </w:t>
            </w:r>
            <w:r w:rsidR="00595010" w:rsidRPr="00AE610E">
              <w:rPr>
                <w:rFonts w:ascii="Times New Roman" w:hAnsi="Times New Roman"/>
              </w:rPr>
              <w:t>entered</w:t>
            </w:r>
            <w:r w:rsidRPr="00AE610E">
              <w:rPr>
                <w:rFonts w:ascii="Times New Roman" w:hAnsi="Times New Roman"/>
              </w:rPr>
              <w:t xml:space="preserve"> a new accession stage as of March 2020. The EUIF will </w:t>
            </w:r>
            <w:r w:rsidR="00581FD8" w:rsidRPr="002F58E0">
              <w:rPr>
                <w:rFonts w:ascii="Times New Roman" w:hAnsi="Times New Roman"/>
              </w:rPr>
              <w:t>therefore provide financial assistance for not-programmed</w:t>
            </w:r>
            <w:r w:rsidRPr="00AE610E">
              <w:rPr>
                <w:rFonts w:ascii="Times New Roman" w:hAnsi="Times New Roman"/>
              </w:rPr>
              <w:t xml:space="preserve"> </w:t>
            </w:r>
            <w:r w:rsidR="003F0954" w:rsidRPr="002F58E0">
              <w:rPr>
                <w:rFonts w:ascii="Times New Roman" w:hAnsi="Times New Roman"/>
              </w:rPr>
              <w:t>activities</w:t>
            </w:r>
            <w:r w:rsidR="003F0954" w:rsidRPr="00AE610E">
              <w:rPr>
                <w:rFonts w:ascii="Times New Roman" w:hAnsi="Times New Roman"/>
              </w:rPr>
              <w:t xml:space="preserve"> </w:t>
            </w:r>
            <w:r w:rsidRPr="00AE610E">
              <w:rPr>
                <w:rFonts w:ascii="Times New Roman" w:hAnsi="Times New Roman"/>
              </w:rPr>
              <w:t xml:space="preserve">addressing one of the </w:t>
            </w:r>
            <w:r w:rsidR="00C36F41" w:rsidRPr="002F58E0">
              <w:rPr>
                <w:rFonts w:ascii="Times New Roman" w:hAnsi="Times New Roman"/>
              </w:rPr>
              <w:t>following</w:t>
            </w:r>
            <w:r w:rsidR="00C36F41" w:rsidRPr="00AE610E">
              <w:rPr>
                <w:rFonts w:ascii="Times New Roman" w:hAnsi="Times New Roman"/>
              </w:rPr>
              <w:t xml:space="preserve"> </w:t>
            </w:r>
            <w:r w:rsidRPr="00AE610E">
              <w:rPr>
                <w:rFonts w:ascii="Times New Roman" w:hAnsi="Times New Roman"/>
              </w:rPr>
              <w:t>objectives:</w:t>
            </w:r>
          </w:p>
          <w:p w14:paraId="0CC4DFF7" w14:textId="2D25586F" w:rsidR="00581FD8" w:rsidRPr="002F58E0" w:rsidRDefault="00581FD8" w:rsidP="00AE610E">
            <w:pPr>
              <w:spacing w:before="120" w:after="0" w:line="240" w:lineRule="auto"/>
              <w:jc w:val="both"/>
              <w:rPr>
                <w:rFonts w:ascii="Times New Roman" w:hAnsi="Times New Roman"/>
                <w:b/>
                <w:i/>
              </w:rPr>
            </w:pPr>
            <w:r w:rsidRPr="002F58E0">
              <w:rPr>
                <w:rFonts w:ascii="Times New Roman" w:hAnsi="Times New Roman"/>
                <w:b/>
                <w:i/>
              </w:rPr>
              <w:t xml:space="preserve">Objective 1: </w:t>
            </w:r>
            <w:r w:rsidRPr="00AE610E">
              <w:rPr>
                <w:rFonts w:ascii="Times New Roman" w:hAnsi="Times New Roman"/>
                <w:b/>
                <w:i/>
              </w:rPr>
              <w:t xml:space="preserve">To </w:t>
            </w:r>
            <w:r w:rsidRPr="00AE610E">
              <w:rPr>
                <w:rFonts w:ascii="Times New Roman" w:hAnsi="Times New Roman"/>
                <w:b/>
                <w:i/>
                <w:color w:val="000000"/>
              </w:rPr>
              <w:t>back-up the accession process in its entirety</w:t>
            </w:r>
            <w:r w:rsidRPr="00AE610E">
              <w:rPr>
                <w:rFonts w:ascii="Times New Roman" w:hAnsi="Times New Roman"/>
                <w:b/>
                <w:i/>
              </w:rPr>
              <w:t xml:space="preserve">, to enhance the alignment with the </w:t>
            </w:r>
            <w:r w:rsidRPr="00AE610E">
              <w:rPr>
                <w:rFonts w:ascii="Times New Roman" w:hAnsi="Times New Roman"/>
                <w:b/>
                <w:i/>
                <w:iCs/>
              </w:rPr>
              <w:t xml:space="preserve">EU acquis </w:t>
            </w:r>
            <w:r w:rsidRPr="00AE610E">
              <w:rPr>
                <w:rFonts w:ascii="Times New Roman" w:hAnsi="Times New Roman"/>
                <w:b/>
                <w:i/>
              </w:rPr>
              <w:t xml:space="preserve">and EU/International standards, to ensure the </w:t>
            </w:r>
            <w:r w:rsidRPr="00AE610E">
              <w:rPr>
                <w:rFonts w:ascii="Times New Roman" w:hAnsi="Times New Roman"/>
                <w:b/>
                <w:i/>
                <w:color w:val="000000"/>
              </w:rPr>
              <w:t>implementation of the legal framework in practice,</w:t>
            </w:r>
            <w:r w:rsidRPr="00AE610E">
              <w:rPr>
                <w:rFonts w:ascii="Times New Roman" w:hAnsi="Times New Roman"/>
                <w:b/>
                <w:i/>
              </w:rPr>
              <w:t xml:space="preserve"> and to increase the public suppo</w:t>
            </w:r>
            <w:r w:rsidR="003F0954" w:rsidRPr="002F58E0">
              <w:rPr>
                <w:rFonts w:ascii="Times New Roman" w:hAnsi="Times New Roman"/>
                <w:b/>
                <w:i/>
              </w:rPr>
              <w:t>rt for the EU accession process</w:t>
            </w:r>
          </w:p>
          <w:p w14:paraId="61222373" w14:textId="0069BC49" w:rsidR="002F58E0" w:rsidRPr="00AE610E" w:rsidRDefault="003B6BFC" w:rsidP="00AE610E">
            <w:pPr>
              <w:autoSpaceDE w:val="0"/>
              <w:autoSpaceDN w:val="0"/>
              <w:adjustRightInd w:val="0"/>
              <w:spacing w:before="120" w:after="0" w:line="240" w:lineRule="auto"/>
              <w:jc w:val="both"/>
              <w:rPr>
                <w:rFonts w:ascii="Times New Roman" w:hAnsi="Times New Roman"/>
                <w:i/>
                <w:iCs/>
              </w:rPr>
            </w:pPr>
            <w:r w:rsidRPr="002F58E0">
              <w:rPr>
                <w:rFonts w:ascii="Times New Roman" w:hAnsi="Times New Roman"/>
                <w:szCs w:val="24"/>
              </w:rPr>
              <w:t xml:space="preserve">The </w:t>
            </w:r>
            <w:r w:rsidR="003F0954" w:rsidRPr="00AE610E">
              <w:rPr>
                <w:rFonts w:ascii="Times New Roman" w:hAnsi="Times New Roman"/>
                <w:szCs w:val="24"/>
              </w:rPr>
              <w:t xml:space="preserve">EUIF can provide support for </w:t>
            </w:r>
            <w:r>
              <w:rPr>
                <w:rFonts w:ascii="Times New Roman" w:hAnsi="Times New Roman"/>
                <w:szCs w:val="24"/>
              </w:rPr>
              <w:t xml:space="preserve">ad hoc </w:t>
            </w:r>
            <w:r w:rsidR="003F0954" w:rsidRPr="00AE610E">
              <w:rPr>
                <w:rFonts w:ascii="Times New Roman" w:hAnsi="Times New Roman"/>
                <w:szCs w:val="24"/>
              </w:rPr>
              <w:t>projects s</w:t>
            </w:r>
            <w:r w:rsidR="003F0954" w:rsidRPr="00AE610E">
              <w:rPr>
                <w:rFonts w:ascii="Times New Roman" w:hAnsi="Times New Roman"/>
              </w:rPr>
              <w:t xml:space="preserve">trengthening the management of the EU accession process and enhancing the alignment of the national legislation with the </w:t>
            </w:r>
            <w:r w:rsidR="003F0954" w:rsidRPr="00AE610E">
              <w:rPr>
                <w:rFonts w:ascii="Times New Roman" w:hAnsi="Times New Roman"/>
                <w:i/>
                <w:iCs/>
              </w:rPr>
              <w:t xml:space="preserve">EU acquis. </w:t>
            </w:r>
          </w:p>
          <w:p w14:paraId="0252D161" w14:textId="6750CC07" w:rsidR="002F58E0" w:rsidRPr="00AE610E" w:rsidRDefault="002F58E0" w:rsidP="00AE610E">
            <w:pPr>
              <w:autoSpaceDE w:val="0"/>
              <w:autoSpaceDN w:val="0"/>
              <w:adjustRightInd w:val="0"/>
              <w:spacing w:before="120" w:after="0" w:line="240" w:lineRule="auto"/>
              <w:jc w:val="both"/>
              <w:rPr>
                <w:rFonts w:ascii="Times New Roman" w:hAnsi="Times New Roman"/>
                <w:iCs/>
              </w:rPr>
            </w:pPr>
            <w:r w:rsidRPr="00AE610E">
              <w:rPr>
                <w:rFonts w:ascii="Times New Roman" w:hAnsi="Times New Roman"/>
              </w:rPr>
              <w:t>EU financial assistance</w:t>
            </w:r>
            <w:r>
              <w:rPr>
                <w:rFonts w:ascii="Times New Roman" w:hAnsi="Times New Roman"/>
              </w:rPr>
              <w:t xml:space="preserve"> can be used for specific and targeted capacity-building measures, helping the </w:t>
            </w:r>
            <w:r w:rsidRPr="00AE610E">
              <w:rPr>
                <w:rFonts w:ascii="Times New Roman" w:hAnsi="Times New Roman"/>
              </w:rPr>
              <w:t xml:space="preserve">national institutions to implement the </w:t>
            </w:r>
            <w:r>
              <w:rPr>
                <w:rFonts w:ascii="Times New Roman" w:hAnsi="Times New Roman"/>
              </w:rPr>
              <w:t xml:space="preserve">new harmonised </w:t>
            </w:r>
            <w:r w:rsidRPr="00AE610E">
              <w:rPr>
                <w:rFonts w:ascii="Times New Roman" w:hAnsi="Times New Roman"/>
              </w:rPr>
              <w:t>legislation and progress on the fun</w:t>
            </w:r>
            <w:r>
              <w:rPr>
                <w:rFonts w:ascii="Times New Roman" w:hAnsi="Times New Roman"/>
              </w:rPr>
              <w:t xml:space="preserve">damental and structural reforms, </w:t>
            </w:r>
            <w:r w:rsidRPr="00AE610E">
              <w:rPr>
                <w:rFonts w:ascii="Times New Roman" w:hAnsi="Times New Roman"/>
              </w:rPr>
              <w:t>support</w:t>
            </w:r>
            <w:r>
              <w:rPr>
                <w:rFonts w:ascii="Times New Roman" w:hAnsi="Times New Roman"/>
              </w:rPr>
              <w:t>ing</w:t>
            </w:r>
            <w:r w:rsidRPr="00AE610E">
              <w:rPr>
                <w:rFonts w:ascii="Times New Roman" w:hAnsi="Times New Roman"/>
              </w:rPr>
              <w:t xml:space="preserve"> the country’s accession</w:t>
            </w:r>
            <w:r>
              <w:rPr>
                <w:rFonts w:ascii="Times New Roman" w:hAnsi="Times New Roman"/>
                <w:iCs/>
              </w:rPr>
              <w:t xml:space="preserve">. </w:t>
            </w:r>
          </w:p>
          <w:p w14:paraId="5029FE0E" w14:textId="5824FA74" w:rsidR="002F58E0" w:rsidRPr="002F58E0" w:rsidRDefault="002F58E0" w:rsidP="00AE610E">
            <w:pPr>
              <w:spacing w:before="120" w:after="0" w:line="240" w:lineRule="auto"/>
              <w:jc w:val="both"/>
              <w:rPr>
                <w:rFonts w:ascii="Times New Roman" w:hAnsi="Times New Roman"/>
              </w:rPr>
            </w:pPr>
            <w:r w:rsidRPr="002F58E0">
              <w:rPr>
                <w:rFonts w:ascii="Times New Roman" w:hAnsi="Times New Roman"/>
              </w:rPr>
              <w:t xml:space="preserve">Under this objective, the EUIF may also support North Macedonia </w:t>
            </w:r>
            <w:r>
              <w:rPr>
                <w:rFonts w:ascii="Times New Roman" w:hAnsi="Times New Roman"/>
              </w:rPr>
              <w:t xml:space="preserve">to build an adequate </w:t>
            </w:r>
            <w:r w:rsidRPr="002F58E0">
              <w:rPr>
                <w:rFonts w:ascii="Times New Roman" w:hAnsi="Times New Roman"/>
              </w:rPr>
              <w:t xml:space="preserve">response to force majeure events, </w:t>
            </w:r>
            <w:r w:rsidRPr="00162258">
              <w:rPr>
                <w:rFonts w:ascii="Times New Roman" w:hAnsi="Times New Roman"/>
              </w:rPr>
              <w:t>when needed</w:t>
            </w:r>
            <w:r>
              <w:rPr>
                <w:rFonts w:ascii="Times New Roman" w:hAnsi="Times New Roman"/>
              </w:rPr>
              <w:t xml:space="preserve"> and</w:t>
            </w:r>
            <w:r w:rsidRPr="002F58E0">
              <w:rPr>
                <w:rFonts w:ascii="Times New Roman" w:hAnsi="Times New Roman"/>
              </w:rPr>
              <w:t xml:space="preserve"> in line with the IPA III thematic priorities. EUIF turned very useful in 2015 when the migration crisis hit Europe and in 2020 with the COVID19 pandemic. Other critical situations may arise in the future, demanding swift and targeted actions by the EU to support North Macedonia. </w:t>
            </w:r>
          </w:p>
          <w:p w14:paraId="2E7D2722" w14:textId="5444096E" w:rsidR="003F0954" w:rsidRDefault="003F0954" w:rsidP="00AE610E">
            <w:pPr>
              <w:autoSpaceDE w:val="0"/>
              <w:autoSpaceDN w:val="0"/>
              <w:adjustRightInd w:val="0"/>
              <w:spacing w:before="120" w:after="0" w:line="240" w:lineRule="auto"/>
              <w:jc w:val="both"/>
              <w:rPr>
                <w:rFonts w:ascii="Times New Roman" w:hAnsi="Times New Roman"/>
              </w:rPr>
            </w:pPr>
            <w:r w:rsidRPr="00AE610E">
              <w:rPr>
                <w:rFonts w:ascii="Times New Roman" w:hAnsi="Times New Roman"/>
                <w:iCs/>
              </w:rPr>
              <w:t>EU assistance can be allocated to</w:t>
            </w:r>
            <w:r w:rsidRPr="00AE610E">
              <w:rPr>
                <w:rFonts w:ascii="Times New Roman" w:hAnsi="Times New Roman"/>
                <w:i/>
                <w:iCs/>
              </w:rPr>
              <w:t xml:space="preserve"> </w:t>
            </w:r>
            <w:r w:rsidRPr="00AE610E">
              <w:rPr>
                <w:rFonts w:ascii="Times New Roman" w:hAnsi="Times New Roman"/>
              </w:rPr>
              <w:t>measures, which will improve the transparency of the accession process and will raise the awareness of the citizens of North Macedonia on the benefits and obligations stemming from the EU accession process.</w:t>
            </w:r>
          </w:p>
          <w:p w14:paraId="1C848070" w14:textId="4CD462F4" w:rsidR="00581FD8" w:rsidRPr="00AE610E" w:rsidRDefault="00581FD8" w:rsidP="00AE610E">
            <w:pPr>
              <w:spacing w:before="120" w:after="0" w:line="240" w:lineRule="auto"/>
              <w:jc w:val="both"/>
              <w:rPr>
                <w:rFonts w:ascii="Times New Roman" w:hAnsi="Times New Roman"/>
                <w:b/>
                <w:i/>
              </w:rPr>
            </w:pPr>
            <w:r w:rsidRPr="002F58E0">
              <w:rPr>
                <w:rFonts w:ascii="Times New Roman" w:hAnsi="Times New Roman"/>
                <w:b/>
                <w:i/>
              </w:rPr>
              <w:t xml:space="preserve">Objective 2:  </w:t>
            </w:r>
            <w:r w:rsidRPr="00AE610E">
              <w:rPr>
                <w:rFonts w:ascii="Times New Roman" w:hAnsi="Times New Roman"/>
                <w:b/>
                <w:i/>
              </w:rPr>
              <w:t>To improve the effectiveness and visibility of the EU funds invested in the country, to upscale the sector approach, and to ensure that EU funding and policy create a sustainable and visible development change.</w:t>
            </w:r>
          </w:p>
          <w:p w14:paraId="4086F9E1" w14:textId="77777777" w:rsidR="003D7E3C" w:rsidRDefault="003B6BFC" w:rsidP="00AE610E">
            <w:pPr>
              <w:spacing w:before="120" w:after="0" w:line="240" w:lineRule="auto"/>
              <w:rPr>
                <w:rFonts w:ascii="Times New Roman" w:hAnsi="Times New Roman"/>
              </w:rPr>
            </w:pPr>
            <w:r w:rsidRPr="00AE610E">
              <w:rPr>
                <w:rFonts w:ascii="Times New Roman" w:hAnsi="Times New Roman"/>
              </w:rPr>
              <w:t xml:space="preserve">The EUIF will support North Macedonia in strengthening the national capacity for management of the EU funds and addressing the requirements of Chapter 22. </w:t>
            </w:r>
          </w:p>
          <w:p w14:paraId="33050164" w14:textId="67801CFA" w:rsidR="003B6BFC" w:rsidRPr="00AE610E" w:rsidRDefault="003D7E3C" w:rsidP="00AE610E">
            <w:pPr>
              <w:spacing w:before="120" w:after="0" w:line="240" w:lineRule="auto"/>
              <w:rPr>
                <w:rFonts w:ascii="Times New Roman" w:hAnsi="Times New Roman"/>
              </w:rPr>
            </w:pPr>
            <w:r>
              <w:rPr>
                <w:rFonts w:ascii="Times New Roman" w:hAnsi="Times New Roman"/>
              </w:rPr>
              <w:t>EU financial assistance will be used to implement targeted c</w:t>
            </w:r>
            <w:r w:rsidR="003B6BFC" w:rsidRPr="00AE610E">
              <w:rPr>
                <w:rFonts w:ascii="Times New Roman" w:hAnsi="Times New Roman"/>
              </w:rPr>
              <w:t>ommunication and visibility measures and events on various topics related to the use of the EU funds</w:t>
            </w:r>
            <w:r>
              <w:rPr>
                <w:rFonts w:ascii="Times New Roman" w:hAnsi="Times New Roman"/>
              </w:rPr>
              <w:t xml:space="preserve">. </w:t>
            </w:r>
            <w:r w:rsidR="001F443F">
              <w:rPr>
                <w:rFonts w:ascii="Times New Roman" w:hAnsi="Times New Roman"/>
              </w:rPr>
              <w:t>(</w:t>
            </w:r>
            <w:r>
              <w:rPr>
                <w:rFonts w:ascii="Times New Roman" w:hAnsi="Times New Roman"/>
              </w:rPr>
              <w:t xml:space="preserve">According to the 2022 spring </w:t>
            </w:r>
            <w:r w:rsidR="001F443F">
              <w:rPr>
                <w:rFonts w:ascii="Times New Roman" w:hAnsi="Times New Roman"/>
              </w:rPr>
              <w:t xml:space="preserve">opinion poll, conducted in North Macedonia, only 41% of the citizens consider themselves informed about the use of the EU funds, and 35% of the respondents found that EU aid for addressing COVID19 pandemic was either not adequate or not quick). </w:t>
            </w:r>
          </w:p>
          <w:p w14:paraId="04DD7BA3" w14:textId="40FD878E" w:rsidR="009F2CF3" w:rsidRPr="002F58E0" w:rsidRDefault="006B18C6" w:rsidP="00AE610E">
            <w:pPr>
              <w:spacing w:before="120" w:after="0" w:line="240" w:lineRule="auto"/>
              <w:jc w:val="both"/>
              <w:rPr>
                <w:rFonts w:ascii="Times New Roman" w:hAnsi="Times New Roman"/>
              </w:rPr>
            </w:pPr>
            <w:r w:rsidRPr="002F58E0">
              <w:rPr>
                <w:rFonts w:ascii="Times New Roman" w:hAnsi="Times New Roman"/>
              </w:rPr>
              <w:lastRenderedPageBreak/>
              <w:t xml:space="preserve">The </w:t>
            </w:r>
            <w:r w:rsidR="00996B01" w:rsidRPr="002F58E0">
              <w:rPr>
                <w:rFonts w:ascii="Times New Roman" w:hAnsi="Times New Roman"/>
              </w:rPr>
              <w:t>A</w:t>
            </w:r>
            <w:r w:rsidRPr="002F58E0">
              <w:rPr>
                <w:rFonts w:ascii="Times New Roman" w:hAnsi="Times New Roman"/>
              </w:rPr>
              <w:t xml:space="preserve">ction </w:t>
            </w:r>
            <w:r w:rsidR="009F2CF3" w:rsidRPr="002F58E0">
              <w:rPr>
                <w:rFonts w:ascii="Times New Roman" w:hAnsi="Times New Roman"/>
              </w:rPr>
              <w:t xml:space="preserve">builds on the requirements set in the 2018 </w:t>
            </w:r>
            <w:r w:rsidR="009F2CF3" w:rsidRPr="00AE610E">
              <w:rPr>
                <w:rFonts w:ascii="Times New Roman" w:hAnsi="Times New Roman"/>
              </w:rPr>
              <w:t>“</w:t>
            </w:r>
            <w:r w:rsidR="009F2CF3" w:rsidRPr="00AE610E">
              <w:rPr>
                <w:rFonts w:ascii="Times New Roman" w:hAnsi="Times New Roman"/>
                <w:b/>
                <w:bCs/>
              </w:rPr>
              <w:t>A c</w:t>
            </w:r>
            <w:r w:rsidR="009F2CF3" w:rsidRPr="002F58E0">
              <w:rPr>
                <w:rFonts w:ascii="Times New Roman" w:hAnsi="Times New Roman"/>
                <w:b/>
              </w:rPr>
              <w:t xml:space="preserve">redible enlargement perspective for and enhanced EU engagement with the Western Balkans” </w:t>
            </w:r>
            <w:r w:rsidR="009F2CF3" w:rsidRPr="00AE610E">
              <w:rPr>
                <w:rFonts w:ascii="Times New Roman" w:hAnsi="Times New Roman"/>
                <w:b/>
              </w:rPr>
              <w:t>(COM (2018)65)</w:t>
            </w:r>
            <w:r w:rsidR="009F2CF3" w:rsidRPr="002F58E0">
              <w:rPr>
                <w:rFonts w:ascii="Times New Roman" w:hAnsi="Times New Roman"/>
              </w:rPr>
              <w:t xml:space="preserve"> to address reforms </w:t>
            </w:r>
            <w:r w:rsidR="004B21B4" w:rsidRPr="002F58E0">
              <w:rPr>
                <w:rFonts w:ascii="Times New Roman" w:hAnsi="Times New Roman"/>
              </w:rPr>
              <w:t>in</w:t>
            </w:r>
            <w:r w:rsidR="009F2CF3" w:rsidRPr="002F58E0">
              <w:rPr>
                <w:rFonts w:ascii="Times New Roman" w:hAnsi="Times New Roman"/>
              </w:rPr>
              <w:t xml:space="preserve"> the rule of law, fundamental </w:t>
            </w:r>
            <w:r w:rsidR="00B0507B" w:rsidRPr="002F58E0">
              <w:rPr>
                <w:rFonts w:ascii="Times New Roman" w:hAnsi="Times New Roman"/>
              </w:rPr>
              <w:t>rights,</w:t>
            </w:r>
            <w:r w:rsidR="009F2CF3" w:rsidRPr="002F58E0">
              <w:rPr>
                <w:rFonts w:ascii="Times New Roman" w:hAnsi="Times New Roman"/>
              </w:rPr>
              <w:t xml:space="preserve"> and good governance.</w:t>
            </w:r>
          </w:p>
          <w:p w14:paraId="1E3013CA" w14:textId="43768EB0" w:rsidR="005524C0" w:rsidRPr="002F58E0" w:rsidRDefault="004B21B4" w:rsidP="00AE610E">
            <w:pPr>
              <w:spacing w:before="120" w:after="0" w:line="240" w:lineRule="auto"/>
              <w:jc w:val="both"/>
              <w:rPr>
                <w:rFonts w:ascii="Times New Roman" w:hAnsi="Times New Roman"/>
              </w:rPr>
            </w:pPr>
            <w:r w:rsidRPr="002F58E0">
              <w:rPr>
                <w:rFonts w:ascii="Times New Roman" w:hAnsi="Times New Roman"/>
              </w:rPr>
              <w:t>It also considers the new negotiating methodology</w:t>
            </w:r>
            <w:r w:rsidR="00BF41C8" w:rsidRPr="002F58E0">
              <w:rPr>
                <w:rFonts w:ascii="Times New Roman" w:hAnsi="Times New Roman"/>
              </w:rPr>
              <w:t>,</w:t>
            </w:r>
            <w:r w:rsidRPr="002F58E0">
              <w:rPr>
                <w:rFonts w:ascii="Times New Roman" w:hAnsi="Times New Roman"/>
              </w:rPr>
              <w:t xml:space="preserve"> </w:t>
            </w:r>
            <w:r w:rsidRPr="002F58E0">
              <w:rPr>
                <w:rFonts w:ascii="Times New Roman" w:hAnsi="Times New Roman"/>
                <w:b/>
              </w:rPr>
              <w:t>“Enhancing the accession process - A credible EU perspective for the Western Balkans”</w:t>
            </w:r>
            <w:r w:rsidR="00B0507B" w:rsidRPr="00AE610E">
              <w:rPr>
                <w:rFonts w:ascii="Times New Roman" w:hAnsi="Times New Roman"/>
                <w:b/>
              </w:rPr>
              <w:t xml:space="preserve"> (</w:t>
            </w:r>
            <w:proofErr w:type="gramStart"/>
            <w:r w:rsidR="00B0507B" w:rsidRPr="00AE610E">
              <w:rPr>
                <w:rFonts w:ascii="Times New Roman" w:hAnsi="Times New Roman"/>
                <w:b/>
              </w:rPr>
              <w:t>COM(</w:t>
            </w:r>
            <w:proofErr w:type="gramEnd"/>
            <w:r w:rsidR="00B0507B" w:rsidRPr="00AE610E">
              <w:rPr>
                <w:rFonts w:ascii="Times New Roman" w:hAnsi="Times New Roman"/>
                <w:b/>
              </w:rPr>
              <w:t>2020)57final)</w:t>
            </w:r>
            <w:r w:rsidRPr="002F58E0">
              <w:rPr>
                <w:rFonts w:ascii="Times New Roman" w:hAnsi="Times New Roman"/>
              </w:rPr>
              <w:t xml:space="preserve"> which aims to increase the effectiveness of the overall accession process and its credibility and, thus, make it more predictable, more </w:t>
            </w:r>
            <w:r w:rsidR="005524C0" w:rsidRPr="002F58E0">
              <w:rPr>
                <w:rFonts w:ascii="Times New Roman" w:hAnsi="Times New Roman"/>
              </w:rPr>
              <w:t>credible,</w:t>
            </w:r>
            <w:r w:rsidRPr="002F58E0">
              <w:rPr>
                <w:rFonts w:ascii="Times New Roman" w:hAnsi="Times New Roman"/>
              </w:rPr>
              <w:t xml:space="preserve"> and more dynamic. </w:t>
            </w:r>
            <w:r w:rsidR="005524C0" w:rsidRPr="002F58E0">
              <w:rPr>
                <w:rFonts w:ascii="Times New Roman" w:hAnsi="Times New Roman"/>
              </w:rPr>
              <w:t xml:space="preserve">The principles of the new methodology will be translated into the Negotiating </w:t>
            </w:r>
            <w:r w:rsidR="009F0D6F" w:rsidRPr="002F58E0">
              <w:rPr>
                <w:rFonts w:ascii="Times New Roman" w:hAnsi="Times New Roman"/>
              </w:rPr>
              <w:t>F</w:t>
            </w:r>
            <w:r w:rsidR="005524C0" w:rsidRPr="002F58E0">
              <w:rPr>
                <w:rFonts w:ascii="Times New Roman" w:hAnsi="Times New Roman"/>
              </w:rPr>
              <w:t xml:space="preserve">ramework for North Macedonia. The methodology introduces clusters of chapters, </w:t>
            </w:r>
            <w:r w:rsidR="00BF41C8" w:rsidRPr="002F58E0">
              <w:rPr>
                <w:rFonts w:ascii="Times New Roman" w:hAnsi="Times New Roman"/>
              </w:rPr>
              <w:t xml:space="preserve">focusing on the Fundamentals Cluster as the most important for the </w:t>
            </w:r>
            <w:r w:rsidR="005524C0" w:rsidRPr="002F58E0">
              <w:rPr>
                <w:rFonts w:ascii="Times New Roman" w:hAnsi="Times New Roman"/>
              </w:rPr>
              <w:t>country’s advancement in the accession negotiations. The Action also considers the announced Economic and Investment Plan in support of the reform processes in the Western Balkan countries towards full-fledged membership including transformation of local economies into fully functional market economies able to fully assume the obligations and integrate in EU’s Single Market.</w:t>
            </w:r>
          </w:p>
          <w:p w14:paraId="180C5FCB" w14:textId="59461725" w:rsidR="00D14DE4" w:rsidRPr="00AE610E" w:rsidRDefault="005B3206" w:rsidP="00AE610E">
            <w:pPr>
              <w:spacing w:before="120" w:after="0" w:line="240" w:lineRule="auto"/>
              <w:jc w:val="both"/>
              <w:rPr>
                <w:rFonts w:ascii="Times New Roman" w:hAnsi="Times New Roman"/>
                <w:lang w:val="mk-MK"/>
              </w:rPr>
            </w:pPr>
            <w:r w:rsidRPr="002F58E0">
              <w:rPr>
                <w:rFonts w:ascii="Times New Roman" w:hAnsi="Times New Roman"/>
              </w:rPr>
              <w:t xml:space="preserve">The country has been implementing the </w:t>
            </w:r>
            <w:r w:rsidRPr="002F58E0">
              <w:rPr>
                <w:rFonts w:ascii="Times New Roman" w:hAnsi="Times New Roman"/>
                <w:b/>
              </w:rPr>
              <w:t>Stabilization and Association Agreement (SAA)</w:t>
            </w:r>
            <w:r w:rsidRPr="002F58E0">
              <w:rPr>
                <w:rFonts w:ascii="Times New Roman" w:hAnsi="Times New Roman"/>
              </w:rPr>
              <w:t xml:space="preserve"> for over 15 years, has positive track record in implementation and an advanced level of harmonisation. As of 2018, North Macedonia has entered in the second stage of the SAA. The new negotiating methodology further underlines the importance of SAA and its bodies for steering accession negotiations as a platform to ensure stronger monitoring of progress and address aspects of accelerated integration in the respective clusters.</w:t>
            </w:r>
          </w:p>
        </w:tc>
      </w:tr>
      <w:tr w:rsidR="004262E0" w:rsidRPr="00E82A5D" w14:paraId="3E42F3E6" w14:textId="77777777" w:rsidTr="00AE610E">
        <w:trPr>
          <w:jc w:val="center"/>
        </w:trPr>
        <w:tc>
          <w:tcPr>
            <w:tcW w:w="534" w:type="dxa"/>
            <w:vMerge/>
            <w:tcBorders>
              <w:left w:val="single" w:sz="4" w:space="0" w:color="auto"/>
              <w:right w:val="single" w:sz="4" w:space="0" w:color="auto"/>
            </w:tcBorders>
          </w:tcPr>
          <w:p w14:paraId="548E591D" w14:textId="77777777" w:rsidR="004262E0" w:rsidRPr="00E82A5D" w:rsidRDefault="004262E0" w:rsidP="00476031">
            <w:pPr>
              <w:spacing w:after="0"/>
              <w:rPr>
                <w:rFonts w:ascii="Times New Roman" w:hAnsi="Times New Roman"/>
                <w:color w:val="000000" w:themeColor="text1"/>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3FD89C5" w14:textId="101E6926" w:rsidR="004262E0" w:rsidRPr="00E82A5D" w:rsidRDefault="004262E0" w:rsidP="004878F8">
            <w:pPr>
              <w:spacing w:after="0" w:line="240" w:lineRule="auto"/>
              <w:rPr>
                <w:rFonts w:ascii="Times New Roman" w:hAnsi="Times New Roman"/>
                <w:color w:val="000000" w:themeColor="text1"/>
              </w:rPr>
            </w:pPr>
            <w:r>
              <w:rPr>
                <w:rFonts w:ascii="Times New Roman" w:hAnsi="Times New Roman"/>
                <w:color w:val="000000" w:themeColor="text1"/>
              </w:rPr>
              <w:t>Contribution to the IPA III Programming Framework objectives</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57BBE39E" w14:textId="73E37A03" w:rsidR="004262E0" w:rsidRPr="00AE610E" w:rsidRDefault="00FF324C" w:rsidP="00FF324C">
            <w:pPr>
              <w:spacing w:after="0" w:line="240" w:lineRule="auto"/>
              <w:jc w:val="both"/>
              <w:rPr>
                <w:rFonts w:ascii="Times New Roman" w:hAnsi="Times New Roman"/>
                <w:iCs/>
              </w:rPr>
            </w:pPr>
            <w:r w:rsidRPr="00AE610E">
              <w:rPr>
                <w:rFonts w:ascii="Times New Roman" w:hAnsi="Times New Roman"/>
              </w:rPr>
              <w:t>The Action is designed to contribute to the achievement of the specific objective</w:t>
            </w:r>
            <w:r w:rsidR="00BF41C8" w:rsidRPr="00AE610E">
              <w:rPr>
                <w:rFonts w:ascii="Times New Roman" w:hAnsi="Times New Roman"/>
              </w:rPr>
              <w:t xml:space="preserve">s of the </w:t>
            </w:r>
            <w:r w:rsidR="00BD7DD6" w:rsidRPr="00AE610E">
              <w:rPr>
                <w:rFonts w:ascii="Times New Roman" w:hAnsi="Times New Roman"/>
              </w:rPr>
              <w:t>t</w:t>
            </w:r>
            <w:r w:rsidR="00BF41C8" w:rsidRPr="00AE610E">
              <w:rPr>
                <w:rFonts w:ascii="Times New Roman" w:hAnsi="Times New Roman"/>
              </w:rPr>
              <w:t xml:space="preserve">hematic priorities </w:t>
            </w:r>
            <w:r w:rsidR="00BF41C8" w:rsidRPr="00AE610E">
              <w:rPr>
                <w:rFonts w:ascii="Times New Roman" w:hAnsi="Times New Roman"/>
                <w:b/>
                <w:bCs/>
              </w:rPr>
              <w:t xml:space="preserve">2. Administrative capacity and </w:t>
            </w:r>
            <w:r w:rsidR="00BF41C8" w:rsidRPr="00AE610E">
              <w:rPr>
                <w:rFonts w:ascii="Times New Roman" w:hAnsi="Times New Roman"/>
                <w:b/>
                <w:bCs/>
                <w:i/>
                <w:iCs/>
              </w:rPr>
              <w:t>acquis</w:t>
            </w:r>
            <w:r w:rsidR="00BF41C8" w:rsidRPr="00AE610E">
              <w:rPr>
                <w:rFonts w:ascii="Times New Roman" w:hAnsi="Times New Roman"/>
                <w:b/>
                <w:bCs/>
              </w:rPr>
              <w:t xml:space="preserve"> alignment</w:t>
            </w:r>
            <w:r w:rsidR="00BD7DD6" w:rsidRPr="00AE610E">
              <w:rPr>
                <w:rFonts w:ascii="Times New Roman" w:hAnsi="Times New Roman"/>
                <w:b/>
                <w:bCs/>
              </w:rPr>
              <w:t>,</w:t>
            </w:r>
            <w:r w:rsidR="00BF41C8" w:rsidRPr="00AE610E">
              <w:rPr>
                <w:rFonts w:ascii="Times New Roman" w:hAnsi="Times New Roman"/>
                <w:b/>
                <w:bCs/>
              </w:rPr>
              <w:t xml:space="preserve"> </w:t>
            </w:r>
            <w:r w:rsidR="008C47D9" w:rsidRPr="00AE610E">
              <w:rPr>
                <w:rFonts w:ascii="Times New Roman" w:hAnsi="Times New Roman"/>
              </w:rPr>
              <w:t xml:space="preserve">(to bring beneficiaries’ policies and legislation in line with the EU policies and the acquis, and to build administrative capacity to fully and effectively implement sector policies and building the ability to take on the obligations of membership) </w:t>
            </w:r>
            <w:r w:rsidR="00BF41C8" w:rsidRPr="00AE610E">
              <w:rPr>
                <w:rFonts w:ascii="Times New Roman" w:hAnsi="Times New Roman"/>
                <w:b/>
                <w:bCs/>
              </w:rPr>
              <w:t>and 4. Strategic communication, monitoring, evaluation and communication activities</w:t>
            </w:r>
            <w:r w:rsidRPr="00AE610E">
              <w:rPr>
                <w:rFonts w:ascii="Times New Roman" w:hAnsi="Times New Roman"/>
              </w:rPr>
              <w:t xml:space="preserve"> </w:t>
            </w:r>
            <w:r w:rsidR="008C47D9" w:rsidRPr="00AE610E">
              <w:rPr>
                <w:rFonts w:ascii="Times New Roman" w:hAnsi="Times New Roman"/>
              </w:rPr>
              <w:t>(to ensure public support for the EU values, policies and to necessary reforms entailed by the accession process</w:t>
            </w:r>
            <w:r w:rsidR="00C3480A" w:rsidRPr="00AE610E">
              <w:rPr>
                <w:rFonts w:ascii="Times New Roman" w:hAnsi="Times New Roman"/>
              </w:rPr>
              <w:t xml:space="preserve">) </w:t>
            </w:r>
            <w:r w:rsidRPr="00AE610E">
              <w:rPr>
                <w:rFonts w:ascii="Times New Roman" w:hAnsi="Times New Roman"/>
              </w:rPr>
              <w:t xml:space="preserve">of the IPA III Programming Framework </w:t>
            </w:r>
            <w:r w:rsidRPr="00AE610E">
              <w:rPr>
                <w:rFonts w:ascii="Times New Roman" w:hAnsi="Times New Roman"/>
                <w:b/>
              </w:rPr>
              <w:t xml:space="preserve">Window </w:t>
            </w:r>
            <w:r w:rsidR="00BF41C8" w:rsidRPr="00AE610E">
              <w:rPr>
                <w:rFonts w:ascii="Times New Roman" w:hAnsi="Times New Roman"/>
                <w:b/>
              </w:rPr>
              <w:t>2</w:t>
            </w:r>
            <w:r w:rsidR="00560E50" w:rsidRPr="00AE610E">
              <w:rPr>
                <w:rFonts w:ascii="Times New Roman" w:hAnsi="Times New Roman"/>
                <w:b/>
              </w:rPr>
              <w:t xml:space="preserve"> Good governance, acquis alignment, good neighbourly relations and strategic communication. </w:t>
            </w:r>
            <w:r w:rsidRPr="00AE610E">
              <w:rPr>
                <w:rFonts w:ascii="Times New Roman" w:hAnsi="Times New Roman"/>
                <w:i/>
              </w:rPr>
              <w:t xml:space="preserve"> </w:t>
            </w:r>
          </w:p>
          <w:p w14:paraId="3CE74BB2" w14:textId="77777777" w:rsidR="00C01662" w:rsidRPr="00AE610E" w:rsidRDefault="00C01662" w:rsidP="00FF324C">
            <w:pPr>
              <w:spacing w:after="0" w:line="240" w:lineRule="auto"/>
              <w:jc w:val="both"/>
              <w:rPr>
                <w:rFonts w:ascii="Times New Roman" w:hAnsi="Times New Roman"/>
                <w:iCs/>
              </w:rPr>
            </w:pPr>
          </w:p>
          <w:p w14:paraId="609B3B68" w14:textId="7540259C" w:rsidR="007C5A2B" w:rsidRPr="00AE610E" w:rsidRDefault="00EC64F4" w:rsidP="00FF324C">
            <w:pPr>
              <w:spacing w:after="0" w:line="240" w:lineRule="auto"/>
              <w:jc w:val="both"/>
              <w:rPr>
                <w:rFonts w:ascii="Times New Roman" w:hAnsi="Times New Roman"/>
                <w:iCs/>
              </w:rPr>
            </w:pPr>
            <w:r w:rsidRPr="00AE610E">
              <w:rPr>
                <w:rFonts w:ascii="Times New Roman" w:hAnsi="Times New Roman"/>
                <w:iCs/>
              </w:rPr>
              <w:t>Along with these objectives, the Action provides support for crises that may arise, for instance, climate changes or migration crises, following the practice developed in the financial framework (2014-2020), which proved to be very efficient in delivering ad-hoc, urgent, and much-needed help for the country.</w:t>
            </w:r>
          </w:p>
        </w:tc>
      </w:tr>
      <w:tr w:rsidR="00D92F6C" w:rsidRPr="00E82A5D" w14:paraId="52911801" w14:textId="77777777" w:rsidTr="00AE610E">
        <w:trPr>
          <w:jc w:val="center"/>
        </w:trPr>
        <w:tc>
          <w:tcPr>
            <w:tcW w:w="534" w:type="dxa"/>
            <w:vMerge/>
            <w:tcBorders>
              <w:left w:val="single" w:sz="4" w:space="0" w:color="auto"/>
              <w:right w:val="single" w:sz="4" w:space="0" w:color="auto"/>
            </w:tcBorders>
          </w:tcPr>
          <w:p w14:paraId="465E28EE" w14:textId="20EA097F" w:rsidR="00D92F6C" w:rsidRPr="00E82A5D" w:rsidRDefault="00D92F6C" w:rsidP="00476031">
            <w:pPr>
              <w:spacing w:after="0"/>
              <w:rPr>
                <w:rFonts w:ascii="Times New Roman" w:hAnsi="Times New Roman"/>
                <w:color w:val="000000" w:themeColor="text1"/>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5550542" w14:textId="77777777" w:rsidR="00D92F6C" w:rsidRPr="00E82A5D" w:rsidRDefault="00D92F6C" w:rsidP="004878F8">
            <w:pPr>
              <w:spacing w:after="0" w:line="240" w:lineRule="auto"/>
              <w:rPr>
                <w:rFonts w:ascii="Times New Roman" w:hAnsi="Times New Roman"/>
                <w:color w:val="000000" w:themeColor="text1"/>
              </w:rPr>
            </w:pPr>
            <w:r w:rsidRPr="00E82A5D">
              <w:rPr>
                <w:rFonts w:ascii="Times New Roman" w:hAnsi="Times New Roman"/>
                <w:color w:val="000000" w:themeColor="text1"/>
              </w:rPr>
              <w:t>Links with national, regional and global strategies</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49B783CD" w14:textId="3194AC14" w:rsidR="00793149" w:rsidRPr="00AE610E" w:rsidRDefault="00035874" w:rsidP="00476031">
            <w:pPr>
              <w:spacing w:after="120" w:line="240" w:lineRule="auto"/>
              <w:jc w:val="both"/>
              <w:rPr>
                <w:rFonts w:ascii="Times New Roman" w:eastAsia="Arial Unicode MS" w:hAnsi="Times New Roman"/>
                <w:lang w:eastAsia="de-DE"/>
              </w:rPr>
            </w:pPr>
            <w:r w:rsidRPr="00AE610E">
              <w:rPr>
                <w:rFonts w:ascii="Times New Roman" w:eastAsia="Arial Unicode MS" w:hAnsi="Times New Roman"/>
                <w:lang w:eastAsia="de-DE"/>
              </w:rPr>
              <w:t>The proposed Action is in line with</w:t>
            </w:r>
            <w:r w:rsidR="00DD5E5F" w:rsidRPr="00AE610E">
              <w:rPr>
                <w:rFonts w:ascii="Times New Roman" w:eastAsia="Arial Unicode MS" w:hAnsi="Times New Roman"/>
                <w:lang w:eastAsia="de-DE"/>
              </w:rPr>
              <w:t xml:space="preserve"> the following</w:t>
            </w:r>
            <w:r w:rsidRPr="00AE610E">
              <w:rPr>
                <w:rFonts w:ascii="Times New Roman" w:eastAsia="Arial Unicode MS" w:hAnsi="Times New Roman"/>
                <w:lang w:eastAsia="de-DE"/>
              </w:rPr>
              <w:t xml:space="preserve"> </w:t>
            </w:r>
            <w:r w:rsidR="009F0D61" w:rsidRPr="00AE610E">
              <w:rPr>
                <w:rFonts w:ascii="Times New Roman" w:eastAsia="Arial Unicode MS" w:hAnsi="Times New Roman"/>
                <w:lang w:eastAsia="de-DE"/>
              </w:rPr>
              <w:t xml:space="preserve">global, regional and national </w:t>
            </w:r>
            <w:r w:rsidR="00793149" w:rsidRPr="00AE610E">
              <w:rPr>
                <w:rFonts w:ascii="Times New Roman" w:eastAsia="Arial Unicode MS" w:hAnsi="Times New Roman"/>
                <w:lang w:eastAsia="de-DE"/>
              </w:rPr>
              <w:t>strategies in the field</w:t>
            </w:r>
            <w:r w:rsidR="00A050F0" w:rsidRPr="00AE610E">
              <w:rPr>
                <w:rFonts w:ascii="Times New Roman" w:eastAsia="Arial Unicode MS" w:hAnsi="Times New Roman"/>
                <w:lang w:eastAsia="de-DE"/>
              </w:rPr>
              <w:t xml:space="preserve"> of</w:t>
            </w:r>
            <w:r w:rsidR="00793149" w:rsidRPr="00AE610E">
              <w:rPr>
                <w:rFonts w:ascii="Times New Roman" w:eastAsia="Arial Unicode MS" w:hAnsi="Times New Roman"/>
                <w:lang w:eastAsia="de-DE"/>
              </w:rPr>
              <w:t xml:space="preserve"> </w:t>
            </w:r>
            <w:r w:rsidR="009F0D61" w:rsidRPr="00AE610E">
              <w:rPr>
                <w:rFonts w:ascii="Times New Roman" w:eastAsia="Arial Unicode MS" w:hAnsi="Times New Roman"/>
                <w:lang w:eastAsia="de-DE"/>
              </w:rPr>
              <w:t>health</w:t>
            </w:r>
            <w:r w:rsidR="00B25866" w:rsidRPr="00AE610E">
              <w:rPr>
                <w:rFonts w:ascii="Times New Roman" w:eastAsia="Arial Unicode MS" w:hAnsi="Times New Roman"/>
                <w:lang w:eastAsia="de-DE"/>
              </w:rPr>
              <w:t xml:space="preserve"> reforms</w:t>
            </w:r>
            <w:r w:rsidR="00DF465F" w:rsidRPr="00AE610E">
              <w:rPr>
                <w:rFonts w:ascii="Times New Roman" w:eastAsia="Arial Unicode MS" w:hAnsi="Times New Roman"/>
                <w:lang w:eastAsia="de-DE"/>
              </w:rPr>
              <w:t>:</w:t>
            </w:r>
          </w:p>
          <w:p w14:paraId="08C1A88F" w14:textId="3C42EB78" w:rsidR="00417208" w:rsidRPr="00C36F41" w:rsidRDefault="00417208" w:rsidP="00417208">
            <w:pPr>
              <w:pStyle w:val="Prrafodelista"/>
              <w:numPr>
                <w:ilvl w:val="0"/>
                <w:numId w:val="38"/>
              </w:numPr>
              <w:spacing w:after="120" w:line="240" w:lineRule="auto"/>
              <w:jc w:val="both"/>
              <w:rPr>
                <w:rFonts w:ascii="Times New Roman" w:hAnsi="Times New Roman"/>
              </w:rPr>
            </w:pPr>
            <w:r w:rsidRPr="00C36F41">
              <w:rPr>
                <w:rFonts w:ascii="Times New Roman" w:hAnsi="Times New Roman"/>
              </w:rPr>
              <w:t xml:space="preserve">The Action is contributing to the objectives of </w:t>
            </w:r>
            <w:r w:rsidRPr="00C36F41">
              <w:rPr>
                <w:rFonts w:ascii="Times New Roman" w:hAnsi="Times New Roman"/>
                <w:b/>
                <w:bCs/>
              </w:rPr>
              <w:t>United Nation’s 2030</w:t>
            </w:r>
            <w:r w:rsidRPr="00C36F41">
              <w:rPr>
                <w:rFonts w:ascii="Times New Roman" w:hAnsi="Times New Roman"/>
                <w:b/>
              </w:rPr>
              <w:t xml:space="preserve"> Agenda for Sustainable Development</w:t>
            </w:r>
            <w:r w:rsidRPr="00C36F41">
              <w:rPr>
                <w:rFonts w:ascii="Times New Roman" w:hAnsi="Times New Roman"/>
              </w:rPr>
              <w:t>; more specifically, the Action contributes to meeting one of North Macedonia’s priority sustainable development goals - SDG16. Promote peaceful and inclusive societies for sustainable development, provide access to justice for all and build effective, accountable, and inclusive institutions at all levels, as well as SDG 8. Promote sustained, inclusive, and sustainable economic growth, full and productive employment and decent work for all.</w:t>
            </w:r>
          </w:p>
          <w:p w14:paraId="48150902" w14:textId="77777777" w:rsidR="00777C7E" w:rsidRPr="00AE610E" w:rsidRDefault="00777C7E" w:rsidP="00777C7E">
            <w:pPr>
              <w:pStyle w:val="Prrafodelista"/>
              <w:spacing w:after="0" w:line="240" w:lineRule="auto"/>
              <w:jc w:val="both"/>
              <w:rPr>
                <w:rFonts w:ascii="Times New Roman" w:hAnsi="Times New Roman"/>
                <w:iCs/>
              </w:rPr>
            </w:pPr>
          </w:p>
          <w:p w14:paraId="37819676" w14:textId="75C677A0" w:rsidR="00417208" w:rsidRPr="00C36F41" w:rsidRDefault="00417208" w:rsidP="00417208">
            <w:pPr>
              <w:pStyle w:val="Prrafodelista"/>
              <w:numPr>
                <w:ilvl w:val="0"/>
                <w:numId w:val="37"/>
              </w:numPr>
              <w:spacing w:after="0" w:line="240" w:lineRule="auto"/>
              <w:jc w:val="both"/>
              <w:rPr>
                <w:rFonts w:ascii="Times New Roman" w:hAnsi="Times New Roman"/>
              </w:rPr>
            </w:pPr>
            <w:r w:rsidRPr="00C36F41">
              <w:rPr>
                <w:rFonts w:ascii="Times New Roman" w:hAnsi="Times New Roman"/>
              </w:rPr>
              <w:t xml:space="preserve">The Action is designed to support the implementation of the </w:t>
            </w:r>
            <w:r w:rsidRPr="00C36F41">
              <w:rPr>
                <w:rFonts w:ascii="Times New Roman" w:hAnsi="Times New Roman"/>
                <w:b/>
              </w:rPr>
              <w:t>National Program for adoption of the Acquis (NPAA)</w:t>
            </w:r>
            <w:r w:rsidRPr="00C36F41">
              <w:rPr>
                <w:rFonts w:ascii="Times New Roman" w:hAnsi="Times New Roman"/>
              </w:rPr>
              <w:t xml:space="preserve"> as North Macedonia’s key strategic and programming document aiming to steer the process of </w:t>
            </w:r>
            <w:r w:rsidRPr="00C36F41">
              <w:rPr>
                <w:rFonts w:ascii="Times New Roman" w:hAnsi="Times New Roman"/>
              </w:rPr>
              <w:lastRenderedPageBreak/>
              <w:t xml:space="preserve">European integration by defining priorities, dynamics, and resources necessary for alignment of national legislation with ЕU </w:t>
            </w:r>
            <w:r w:rsidRPr="00C36F41">
              <w:rPr>
                <w:rFonts w:ascii="Times New Roman" w:hAnsi="Times New Roman"/>
                <w:i/>
              </w:rPr>
              <w:t>acquis</w:t>
            </w:r>
            <w:r w:rsidRPr="00C36F41">
              <w:rPr>
                <w:rFonts w:ascii="Times New Roman" w:hAnsi="Times New Roman"/>
              </w:rPr>
              <w:t xml:space="preserve">, as well as activities for adjustment of national institutions to European administrative structures. NPAA is revised annually and includes short-term and mid-term priorities. It has recently been restructured to respond to the clustering of chapters under the new methodology and will be basis for the bilateral screenings. It incorporates recommendations of the EC Country Report, SAA obligations, pending Urgent Reform Priorities, recommendations from peer review missions and UN SDGs and other international bodies. The most recent update of NPAA also includes plans for alignment based on the screening lists presented at the explanatory meetings for each chapter. </w:t>
            </w:r>
          </w:p>
          <w:p w14:paraId="14C41B79" w14:textId="77777777" w:rsidR="002527F3" w:rsidRPr="00C36F41" w:rsidRDefault="002527F3" w:rsidP="002527F3">
            <w:pPr>
              <w:pStyle w:val="Prrafodelista"/>
              <w:spacing w:after="120" w:line="240" w:lineRule="auto"/>
              <w:jc w:val="both"/>
              <w:rPr>
                <w:rFonts w:ascii="Times New Roman" w:hAnsi="Times New Roman"/>
              </w:rPr>
            </w:pPr>
          </w:p>
          <w:p w14:paraId="467FCAEF" w14:textId="0FE9BB53" w:rsidR="002527F3" w:rsidRPr="00C36F41" w:rsidRDefault="002527F3" w:rsidP="002527F3">
            <w:pPr>
              <w:pStyle w:val="Prrafodelista"/>
              <w:spacing w:after="120" w:line="240" w:lineRule="auto"/>
              <w:jc w:val="both"/>
              <w:rPr>
                <w:rFonts w:ascii="Times New Roman" w:hAnsi="Times New Roman"/>
              </w:rPr>
            </w:pPr>
            <w:r w:rsidRPr="00C36F41">
              <w:rPr>
                <w:rFonts w:ascii="Times New Roman" w:hAnsi="Times New Roman"/>
              </w:rPr>
              <w:t>The Action is in line and directly linked with the reform priorities identified in NPAA as a key strategic document of overall EU related reforms and basis for the bilateral screening. It is a horizontal document which, including but not limited to the above listed sectoral strategies:</w:t>
            </w:r>
          </w:p>
          <w:p w14:paraId="2F991894" w14:textId="586F58AC"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Public Administration Reform Strategy (PAR).</w:t>
            </w:r>
          </w:p>
          <w:p w14:paraId="1F50B2DF" w14:textId="37513C32"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 xml:space="preserve">Justice Reform Strategy. </w:t>
            </w:r>
          </w:p>
          <w:p w14:paraId="75EAC4F6" w14:textId="20E01FB2"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State Program for prevention and suppression of corruption and conflict of interests.</w:t>
            </w:r>
          </w:p>
          <w:p w14:paraId="4A931B29" w14:textId="3A4D18CD"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 xml:space="preserve">Strategy for ICT in Judiciary 2019-2024. </w:t>
            </w:r>
          </w:p>
          <w:p w14:paraId="0885CF3C" w14:textId="63B144DD"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National Strategy for Reform of Penitentiary System.</w:t>
            </w:r>
          </w:p>
          <w:p w14:paraId="106BF463" w14:textId="1EDD18E7"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Police Reform Strategy.</w:t>
            </w:r>
          </w:p>
          <w:p w14:paraId="188B274D" w14:textId="407FAF2B"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Strategy for fight against human trafficking and illegal migration.</w:t>
            </w:r>
          </w:p>
          <w:p w14:paraId="2D6F6454" w14:textId="49A4904B"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National Strategy for Counter Terrorism.</w:t>
            </w:r>
          </w:p>
          <w:p w14:paraId="2568BC90" w14:textId="49B66686"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National Strategy for Countering Violent Extremism.</w:t>
            </w:r>
          </w:p>
          <w:p w14:paraId="3E16B62E" w14:textId="7ACD248F"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 xml:space="preserve">Strategy for Financial Investigations. </w:t>
            </w:r>
          </w:p>
          <w:p w14:paraId="0857E2B3" w14:textId="2AB6020B"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Economic Reform Program (ERP).</w:t>
            </w:r>
          </w:p>
          <w:p w14:paraId="2EA0944B" w14:textId="7A457416"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Public Finance Management Strategy.</w:t>
            </w:r>
          </w:p>
          <w:p w14:paraId="6165BB9D" w14:textId="7638DE2E"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Government Communication Strategy.</w:t>
            </w:r>
          </w:p>
          <w:p w14:paraId="16DB62FC" w14:textId="6477A21B" w:rsidR="002527F3" w:rsidRPr="00C36F41" w:rsidRDefault="002527F3" w:rsidP="002527F3">
            <w:pPr>
              <w:numPr>
                <w:ilvl w:val="0"/>
                <w:numId w:val="39"/>
              </w:numPr>
              <w:spacing w:after="120" w:line="240" w:lineRule="auto"/>
              <w:jc w:val="both"/>
              <w:rPr>
                <w:rFonts w:ascii="Times New Roman" w:hAnsi="Times New Roman"/>
              </w:rPr>
            </w:pPr>
            <w:r w:rsidRPr="00C36F41">
              <w:rPr>
                <w:rFonts w:ascii="Times New Roman" w:hAnsi="Times New Roman"/>
              </w:rPr>
              <w:t>Transparency Strategy.</w:t>
            </w:r>
          </w:p>
          <w:p w14:paraId="01760DD4" w14:textId="257CD903" w:rsidR="00417208" w:rsidRPr="00C36F41" w:rsidRDefault="002527F3" w:rsidP="002527F3">
            <w:pPr>
              <w:pStyle w:val="Prrafodelista"/>
              <w:numPr>
                <w:ilvl w:val="0"/>
                <w:numId w:val="40"/>
              </w:numPr>
              <w:spacing w:after="0" w:line="240" w:lineRule="auto"/>
              <w:jc w:val="both"/>
              <w:rPr>
                <w:rFonts w:ascii="Times New Roman" w:hAnsi="Times New Roman"/>
              </w:rPr>
            </w:pPr>
            <w:r w:rsidRPr="00C36F41">
              <w:rPr>
                <w:rFonts w:ascii="Times New Roman" w:hAnsi="Times New Roman"/>
              </w:rPr>
              <w:t>Open Government Partnership National Action Plan.</w:t>
            </w:r>
          </w:p>
          <w:p w14:paraId="4D22AE26" w14:textId="77777777" w:rsidR="002527F3" w:rsidRPr="00C36F41" w:rsidRDefault="002527F3" w:rsidP="00417208">
            <w:pPr>
              <w:spacing w:after="0" w:line="240" w:lineRule="auto"/>
              <w:jc w:val="both"/>
              <w:rPr>
                <w:rFonts w:ascii="Times New Roman" w:hAnsi="Times New Roman"/>
              </w:rPr>
            </w:pPr>
          </w:p>
          <w:p w14:paraId="28FD3324" w14:textId="77777777" w:rsidR="00417208" w:rsidRPr="00C36F41" w:rsidRDefault="00417208" w:rsidP="00417208">
            <w:pPr>
              <w:pStyle w:val="Prrafodelista"/>
              <w:numPr>
                <w:ilvl w:val="0"/>
                <w:numId w:val="37"/>
              </w:numPr>
              <w:spacing w:after="0" w:line="240" w:lineRule="auto"/>
              <w:jc w:val="both"/>
              <w:rPr>
                <w:rFonts w:ascii="Times New Roman" w:hAnsi="Times New Roman"/>
              </w:rPr>
            </w:pPr>
            <w:r w:rsidRPr="00C36F41">
              <w:rPr>
                <w:rFonts w:ascii="Times New Roman" w:hAnsi="Times New Roman"/>
              </w:rPr>
              <w:t xml:space="preserve">NPAA is aligned with the </w:t>
            </w:r>
            <w:r w:rsidRPr="00C36F41">
              <w:rPr>
                <w:rFonts w:ascii="Times New Roman" w:hAnsi="Times New Roman"/>
                <w:b/>
              </w:rPr>
              <w:t>Government Annual Work Plan</w:t>
            </w:r>
            <w:r w:rsidRPr="00C36F41">
              <w:rPr>
                <w:rFonts w:ascii="Times New Roman" w:hAnsi="Times New Roman"/>
              </w:rPr>
              <w:t xml:space="preserve">, the </w:t>
            </w:r>
            <w:r w:rsidRPr="00C36F41">
              <w:rPr>
                <w:rFonts w:ascii="Times New Roman" w:hAnsi="Times New Roman"/>
                <w:b/>
              </w:rPr>
              <w:t xml:space="preserve">Economic Reform Programme </w:t>
            </w:r>
            <w:r w:rsidRPr="00C36F41">
              <w:rPr>
                <w:rFonts w:ascii="Times New Roman" w:hAnsi="Times New Roman"/>
                <w:b/>
                <w:bCs/>
              </w:rPr>
              <w:t>(ERP)</w:t>
            </w:r>
            <w:r w:rsidRPr="00C36F41">
              <w:rPr>
                <w:rFonts w:ascii="Times New Roman" w:hAnsi="Times New Roman"/>
              </w:rPr>
              <w:t xml:space="preserve"> and other national sectoral strategies.</w:t>
            </w:r>
            <w:r w:rsidRPr="00C36F41" w:rsidDel="00F70900">
              <w:rPr>
                <w:rFonts w:ascii="Times New Roman" w:hAnsi="Times New Roman"/>
              </w:rPr>
              <w:t xml:space="preserve"> </w:t>
            </w:r>
            <w:r w:rsidRPr="00C36F41">
              <w:rPr>
                <w:rFonts w:ascii="Times New Roman" w:hAnsi="Times New Roman"/>
              </w:rPr>
              <w:t xml:space="preserve">Efficient NPAA coordination, monitoring and reporting mechanism has been set. </w:t>
            </w:r>
          </w:p>
          <w:p w14:paraId="4261C45B" w14:textId="77777777" w:rsidR="00417208" w:rsidRPr="00AE610E" w:rsidRDefault="00417208" w:rsidP="00417208">
            <w:pPr>
              <w:spacing w:after="0" w:line="240" w:lineRule="auto"/>
              <w:ind w:left="360"/>
              <w:jc w:val="both"/>
              <w:rPr>
                <w:rFonts w:ascii="Times New Roman" w:hAnsi="Times New Roman"/>
                <w:iCs/>
              </w:rPr>
            </w:pPr>
          </w:p>
          <w:p w14:paraId="0C24A418" w14:textId="7CB4CB9D" w:rsidR="009033D1" w:rsidRPr="00C36F41" w:rsidRDefault="009033D1" w:rsidP="009033D1">
            <w:pPr>
              <w:pStyle w:val="Prrafodelista"/>
              <w:numPr>
                <w:ilvl w:val="0"/>
                <w:numId w:val="37"/>
              </w:numPr>
              <w:spacing w:after="0" w:line="240" w:lineRule="auto"/>
              <w:jc w:val="both"/>
              <w:rPr>
                <w:rFonts w:ascii="Times New Roman" w:hAnsi="Times New Roman"/>
              </w:rPr>
            </w:pPr>
            <w:r w:rsidRPr="00C36F41">
              <w:rPr>
                <w:rFonts w:ascii="Times New Roman" w:hAnsi="Times New Roman"/>
              </w:rPr>
              <w:t xml:space="preserve">The Action also considers the </w:t>
            </w:r>
            <w:r w:rsidRPr="00C36F41">
              <w:rPr>
                <w:rFonts w:ascii="Times New Roman" w:hAnsi="Times New Roman"/>
                <w:b/>
                <w:bCs/>
              </w:rPr>
              <w:t>Economic Reform Program (ERP)</w:t>
            </w:r>
            <w:r w:rsidRPr="00C36F41">
              <w:rPr>
                <w:rFonts w:ascii="Times New Roman" w:hAnsi="Times New Roman"/>
              </w:rPr>
              <w:t xml:space="preserve"> and the joint conclusions adopted in the frame of the Economic and Financial Dialogue with EU. The European Commission's assessment of the ERP 2020 – 2022 states that the country has achieved 46.7% implementation of the jointly adopted country-specific policy guidance at the Economic and Financial Dialogue in May 2019 and has best performance in comparison to other candidate and potential candidate countries in the Western Balkans. </w:t>
            </w:r>
          </w:p>
          <w:p w14:paraId="74B7EB65" w14:textId="77777777" w:rsidR="009033D1" w:rsidRPr="00C36F41" w:rsidRDefault="009033D1" w:rsidP="009033D1">
            <w:pPr>
              <w:spacing w:after="0" w:line="240" w:lineRule="auto"/>
              <w:jc w:val="both"/>
              <w:rPr>
                <w:rFonts w:ascii="Times New Roman" w:hAnsi="Times New Roman"/>
              </w:rPr>
            </w:pPr>
          </w:p>
          <w:p w14:paraId="3BB6BC4A" w14:textId="699912A6" w:rsidR="00417208" w:rsidRPr="00C36F41" w:rsidRDefault="009033D1" w:rsidP="009033D1">
            <w:pPr>
              <w:spacing w:after="0" w:line="240" w:lineRule="auto"/>
              <w:jc w:val="both"/>
              <w:rPr>
                <w:rFonts w:ascii="Times New Roman" w:hAnsi="Times New Roman"/>
              </w:rPr>
            </w:pPr>
            <w:r w:rsidRPr="00C36F41">
              <w:rPr>
                <w:rFonts w:ascii="Times New Roman" w:hAnsi="Times New Roman"/>
              </w:rPr>
              <w:t xml:space="preserve">The EU Council in March 2020 adopted decision for start of accession negotiations with North Macedonia. Given the new methodology, it will be crucial to provide </w:t>
            </w:r>
            <w:r w:rsidRPr="00C36F41">
              <w:rPr>
                <w:rFonts w:ascii="Times New Roman" w:hAnsi="Times New Roman"/>
              </w:rPr>
              <w:lastRenderedPageBreak/>
              <w:t xml:space="preserve">systematic, targeted and streamlined assistance to the negotiation structures, with emphasis on chapters from Fundamentals Cluster as well as other selected linked chapters from other clusters. This Action is also designed to address potential alignment gaps in other IPA III Action fiches or additionally identified priority intervention areas arising from bilateral screening reports.  </w:t>
            </w:r>
          </w:p>
          <w:p w14:paraId="147473F4" w14:textId="7034538D" w:rsidR="007B5046" w:rsidRPr="00AE610E" w:rsidRDefault="0014009D" w:rsidP="009033D1">
            <w:pPr>
              <w:spacing w:after="0" w:line="240" w:lineRule="auto"/>
              <w:jc w:val="both"/>
              <w:rPr>
                <w:rFonts w:ascii="Times New Roman" w:hAnsi="Times New Roman"/>
                <w:iCs/>
              </w:rPr>
            </w:pPr>
            <w:r w:rsidRPr="00C36F41">
              <w:rPr>
                <w:rFonts w:ascii="Times New Roman" w:hAnsi="Times New Roman"/>
              </w:rPr>
              <w:t xml:space="preserve"> </w:t>
            </w:r>
          </w:p>
        </w:tc>
      </w:tr>
      <w:tr w:rsidR="00D92F6C" w:rsidRPr="00E82A5D" w14:paraId="2DCC87A4" w14:textId="77777777" w:rsidTr="00AE610E">
        <w:trPr>
          <w:jc w:val="center"/>
        </w:trPr>
        <w:tc>
          <w:tcPr>
            <w:tcW w:w="534" w:type="dxa"/>
            <w:vMerge/>
            <w:tcBorders>
              <w:left w:val="single" w:sz="4" w:space="0" w:color="auto"/>
              <w:right w:val="single" w:sz="4" w:space="0" w:color="auto"/>
            </w:tcBorders>
          </w:tcPr>
          <w:p w14:paraId="2352B954" w14:textId="77777777" w:rsidR="00D92F6C" w:rsidRPr="00E82A5D" w:rsidRDefault="00D92F6C" w:rsidP="00476031">
            <w:pPr>
              <w:rPr>
                <w:rFonts w:ascii="Times New Roman" w:hAnsi="Times New Roman"/>
                <w:color w:val="000000" w:themeColor="text1"/>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79C92A0" w14:textId="77777777" w:rsidR="00D92F6C" w:rsidRPr="00E82A5D" w:rsidRDefault="00D92F6C" w:rsidP="004878F8">
            <w:pPr>
              <w:spacing w:line="240" w:lineRule="auto"/>
              <w:rPr>
                <w:rFonts w:ascii="Times New Roman" w:hAnsi="Times New Roman"/>
                <w:color w:val="000000" w:themeColor="text1"/>
              </w:rPr>
            </w:pPr>
            <w:r w:rsidRPr="00E82A5D">
              <w:rPr>
                <w:rFonts w:ascii="Times New Roman" w:hAnsi="Times New Roman"/>
                <w:color w:val="000000" w:themeColor="text1"/>
              </w:rPr>
              <w:t xml:space="preserve">Coherence </w:t>
            </w:r>
            <w:r w:rsidR="00E11A2B" w:rsidRPr="00E82A5D">
              <w:rPr>
                <w:rFonts w:ascii="Times New Roman" w:hAnsi="Times New Roman"/>
                <w:color w:val="000000" w:themeColor="text1"/>
              </w:rPr>
              <w:t>with the</w:t>
            </w:r>
            <w:r w:rsidRPr="00E82A5D">
              <w:rPr>
                <w:rFonts w:ascii="Times New Roman" w:hAnsi="Times New Roman"/>
                <w:color w:val="000000" w:themeColor="text1"/>
              </w:rPr>
              <w:t xml:space="preserve"> Sector Approach</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55F44E59" w14:textId="2F089A0C" w:rsidR="009033D1" w:rsidRPr="00CB49BC" w:rsidRDefault="009033D1" w:rsidP="009033D1">
            <w:pPr>
              <w:spacing w:after="120" w:line="240" w:lineRule="auto"/>
              <w:jc w:val="both"/>
              <w:rPr>
                <w:rFonts w:ascii="Times New Roman" w:hAnsi="Times New Roman"/>
              </w:rPr>
            </w:pPr>
            <w:r>
              <w:rPr>
                <w:rFonts w:ascii="Times New Roman" w:hAnsi="Times New Roman"/>
              </w:rPr>
              <w:t xml:space="preserve">The Action will support all sectors, windows, and thematic priorities. </w:t>
            </w:r>
            <w:r w:rsidRPr="00CB49BC">
              <w:rPr>
                <w:rFonts w:ascii="Times New Roman" w:hAnsi="Times New Roman"/>
              </w:rPr>
              <w:t xml:space="preserve">All Sector Working Groups (SWGs) will be involved in the implementation of this Action taking into consideration the crosscutting aspects of the negotiation process, the </w:t>
            </w:r>
            <w:r w:rsidRPr="00CB49BC">
              <w:rPr>
                <w:rFonts w:ascii="Times New Roman" w:hAnsi="Times New Roman"/>
                <w:i/>
              </w:rPr>
              <w:t>acquis</w:t>
            </w:r>
            <w:r w:rsidRPr="00CB49BC">
              <w:rPr>
                <w:rFonts w:ascii="Times New Roman" w:hAnsi="Times New Roman"/>
              </w:rPr>
              <w:t xml:space="preserve"> related issues and the communication to the general public on the different impacts of the EU integration. Thus, the Action will contribute to improving the relevant strategic framework in all sectors and serve as platform of discussion and debate of the legal implications of the negotiation process, including the donors and civil society organisations. </w:t>
            </w:r>
          </w:p>
          <w:p w14:paraId="186E820E" w14:textId="77777777" w:rsidR="009033D1" w:rsidRPr="00CB49BC" w:rsidRDefault="009033D1" w:rsidP="009033D1">
            <w:pPr>
              <w:spacing w:after="120" w:line="240" w:lineRule="auto"/>
              <w:jc w:val="both"/>
              <w:rPr>
                <w:rFonts w:ascii="Times New Roman" w:hAnsi="Times New Roman"/>
              </w:rPr>
            </w:pPr>
            <w:r w:rsidRPr="00CB49BC">
              <w:rPr>
                <w:rFonts w:ascii="Times New Roman" w:hAnsi="Times New Roman"/>
              </w:rPr>
              <w:t>Linked with IPA 3 Window 2 TP 1 but is closely linked to priorities under W1 and W4</w:t>
            </w:r>
          </w:p>
          <w:p w14:paraId="758C98BD" w14:textId="627FFEC4" w:rsidR="00F524B5" w:rsidRPr="00486BD3" w:rsidRDefault="009033D1" w:rsidP="009033D1">
            <w:pPr>
              <w:tabs>
                <w:tab w:val="left" w:pos="1418"/>
                <w:tab w:val="left" w:pos="8931"/>
              </w:tabs>
              <w:autoSpaceDE w:val="0"/>
              <w:autoSpaceDN w:val="0"/>
              <w:adjustRightInd w:val="0"/>
              <w:spacing w:before="120" w:after="120" w:line="240" w:lineRule="auto"/>
              <w:ind w:right="-2"/>
              <w:jc w:val="both"/>
              <w:rPr>
                <w:rFonts w:ascii="Times New Roman" w:hAnsi="Times New Roman"/>
                <w:color w:val="000000" w:themeColor="text1"/>
              </w:rPr>
            </w:pPr>
            <w:r w:rsidRPr="00CB49BC">
              <w:rPr>
                <w:rFonts w:ascii="Times New Roman" w:hAnsi="Times New Roman"/>
              </w:rPr>
              <w:t>Linked with sector working groups on Rule of Law (Justice and Home Affairs), Democracy and Governance (PAR and PFM), Education, Employment and Social Affairs, and Roma.</w:t>
            </w:r>
          </w:p>
        </w:tc>
      </w:tr>
      <w:tr w:rsidR="00D92F6C" w:rsidRPr="00E82A5D" w14:paraId="354C6B42" w14:textId="77777777" w:rsidTr="00AE610E">
        <w:trPr>
          <w:jc w:val="center"/>
        </w:trPr>
        <w:tc>
          <w:tcPr>
            <w:tcW w:w="534" w:type="dxa"/>
            <w:vMerge/>
            <w:tcBorders>
              <w:left w:val="single" w:sz="4" w:space="0" w:color="auto"/>
              <w:bottom w:val="single" w:sz="4" w:space="0" w:color="auto"/>
              <w:right w:val="single" w:sz="4" w:space="0" w:color="auto"/>
            </w:tcBorders>
          </w:tcPr>
          <w:p w14:paraId="1A7C7785" w14:textId="0D0BE0D3" w:rsidR="00D92F6C" w:rsidRPr="00E82A5D" w:rsidRDefault="00D92F6C" w:rsidP="00476031">
            <w:pPr>
              <w:rPr>
                <w:rFonts w:ascii="Times New Roman" w:hAnsi="Times New Roman"/>
                <w:color w:val="000000" w:themeColor="text1"/>
                <w:sz w:val="20"/>
                <w:szCs w:val="20"/>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401F419" w14:textId="77777777" w:rsidR="00D92F6C" w:rsidRPr="00E82A5D" w:rsidRDefault="00D92F6C" w:rsidP="00476031">
            <w:pPr>
              <w:rPr>
                <w:rFonts w:ascii="Times New Roman" w:hAnsi="Times New Roman"/>
                <w:color w:val="000000" w:themeColor="text1"/>
              </w:rPr>
            </w:pPr>
            <w:r w:rsidRPr="00E82A5D">
              <w:rPr>
                <w:rFonts w:ascii="Times New Roman" w:hAnsi="Times New Roman"/>
                <w:color w:val="000000" w:themeColor="text1"/>
              </w:rPr>
              <w:t>Regional dimension</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49FE2133" w14:textId="77777777" w:rsidR="00074669" w:rsidRPr="00E82A5D" w:rsidRDefault="001E31F5" w:rsidP="005F5A43">
            <w:pPr>
              <w:spacing w:after="0" w:line="240" w:lineRule="auto"/>
              <w:rPr>
                <w:rFonts w:ascii="Times New Roman" w:hAnsi="Times New Roman"/>
                <w:color w:val="000000" w:themeColor="text1"/>
                <w:lang w:val="en-US" w:eastAsia="en-US"/>
              </w:rPr>
            </w:pPr>
            <w:r w:rsidRPr="00E82A5D">
              <w:rPr>
                <w:rFonts w:ascii="Times New Roman" w:hAnsi="Times New Roman"/>
                <w:color w:val="000000" w:themeColor="text1"/>
                <w:lang w:val="en-US" w:eastAsia="en-US"/>
              </w:rPr>
              <w:t>Not applicable</w:t>
            </w:r>
          </w:p>
        </w:tc>
      </w:tr>
      <w:tr w:rsidR="00D92F6C" w:rsidRPr="00E82A5D" w14:paraId="49C50225" w14:textId="77777777" w:rsidTr="00AE610E">
        <w:trPr>
          <w:jc w:val="center"/>
        </w:trPr>
        <w:tc>
          <w:tcPr>
            <w:tcW w:w="2547" w:type="dxa"/>
            <w:gridSpan w:val="2"/>
            <w:tcBorders>
              <w:top w:val="single" w:sz="4" w:space="0" w:color="auto"/>
              <w:left w:val="single" w:sz="4" w:space="0" w:color="auto"/>
              <w:bottom w:val="single" w:sz="4" w:space="0" w:color="auto"/>
              <w:right w:val="single" w:sz="4" w:space="0" w:color="auto"/>
            </w:tcBorders>
          </w:tcPr>
          <w:p w14:paraId="4FBB92A0" w14:textId="24BC73DA" w:rsidR="00D92F6C" w:rsidRPr="0039427A" w:rsidRDefault="00D92F6C" w:rsidP="00476031">
            <w:pPr>
              <w:rPr>
                <w:rFonts w:ascii="Times New Roman" w:hAnsi="Times New Roman"/>
                <w:color w:val="000000" w:themeColor="text1"/>
              </w:rPr>
            </w:pPr>
            <w:r w:rsidRPr="0039427A">
              <w:rPr>
                <w:rFonts w:ascii="Times New Roman" w:hAnsi="Times New Roman"/>
                <w:color w:val="000000" w:themeColor="text1"/>
              </w:rPr>
              <w:t>Indicative budget</w:t>
            </w:r>
            <w:r w:rsidR="004262E0">
              <w:rPr>
                <w:rFonts w:ascii="Times New Roman" w:hAnsi="Times New Roman"/>
                <w:color w:val="000000" w:themeColor="text1"/>
              </w:rPr>
              <w:t xml:space="preserve"> (in EUR)</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69F4E12F" w14:textId="64CAC067" w:rsidR="009B6E58" w:rsidRPr="00AE610E" w:rsidRDefault="00C6650E" w:rsidP="009B6E58">
            <w:pPr>
              <w:spacing w:after="120" w:line="240" w:lineRule="auto"/>
              <w:jc w:val="both"/>
              <w:rPr>
                <w:rFonts w:ascii="Times New Roman" w:hAnsi="Times New Roman"/>
                <w:iCs/>
              </w:rPr>
            </w:pPr>
            <w:r w:rsidRPr="00AE610E">
              <w:rPr>
                <w:rFonts w:ascii="Times New Roman" w:hAnsi="Times New Roman"/>
                <w:iCs/>
              </w:rPr>
              <w:t>Total</w:t>
            </w:r>
            <w:r w:rsidR="00EF4101" w:rsidRPr="00AE610E">
              <w:rPr>
                <w:rFonts w:ascii="Times New Roman" w:hAnsi="Times New Roman"/>
                <w:iCs/>
              </w:rPr>
              <w:t>: EUR</w:t>
            </w:r>
            <w:r w:rsidR="001114DA" w:rsidRPr="00AE610E">
              <w:rPr>
                <w:rFonts w:ascii="Times New Roman" w:hAnsi="Times New Roman"/>
                <w:iCs/>
              </w:rPr>
              <w:t xml:space="preserve"> </w:t>
            </w:r>
            <w:r w:rsidR="00536B94" w:rsidRPr="00AE610E">
              <w:rPr>
                <w:rFonts w:ascii="Times New Roman" w:hAnsi="Times New Roman"/>
                <w:iCs/>
              </w:rPr>
              <w:t>1</w:t>
            </w:r>
            <w:r w:rsidR="009033D1" w:rsidRPr="00AE610E">
              <w:rPr>
                <w:rFonts w:ascii="Times New Roman" w:hAnsi="Times New Roman"/>
                <w:iCs/>
              </w:rPr>
              <w:t>5</w:t>
            </w:r>
            <w:r w:rsidR="00B05E1C" w:rsidRPr="00AE610E">
              <w:rPr>
                <w:rFonts w:ascii="Times New Roman" w:hAnsi="Times New Roman"/>
                <w:iCs/>
              </w:rPr>
              <w:t xml:space="preserve"> million</w:t>
            </w:r>
            <w:r w:rsidR="001F443F">
              <w:rPr>
                <w:rStyle w:val="Refdenotaalpie"/>
                <w:rFonts w:ascii="Times New Roman" w:hAnsi="Times New Roman"/>
                <w:iCs/>
              </w:rPr>
              <w:footnoteReference w:id="1"/>
            </w:r>
          </w:p>
          <w:p w14:paraId="726FB8D7" w14:textId="6C85BFE2" w:rsidR="00D92F6C" w:rsidRDefault="00C6650E" w:rsidP="00EF4101">
            <w:pPr>
              <w:spacing w:after="120" w:line="240" w:lineRule="auto"/>
              <w:jc w:val="both"/>
              <w:rPr>
                <w:rFonts w:ascii="Times New Roman" w:hAnsi="Times New Roman"/>
                <w:iCs/>
                <w:color w:val="000000" w:themeColor="text1"/>
              </w:rPr>
            </w:pPr>
            <w:r w:rsidRPr="0039427A">
              <w:rPr>
                <w:rFonts w:ascii="Times New Roman" w:hAnsi="Times New Roman"/>
                <w:iCs/>
                <w:color w:val="000000" w:themeColor="text1"/>
              </w:rPr>
              <w:t>EU funding</w:t>
            </w:r>
            <w:r w:rsidR="00EF4101" w:rsidRPr="0039427A">
              <w:rPr>
                <w:rFonts w:ascii="Times New Roman" w:hAnsi="Times New Roman"/>
                <w:iCs/>
                <w:color w:val="000000" w:themeColor="text1"/>
              </w:rPr>
              <w:t xml:space="preserve">: </w:t>
            </w:r>
            <w:r w:rsidR="00EF4101" w:rsidRPr="00AE610E">
              <w:rPr>
                <w:rFonts w:ascii="Times New Roman" w:hAnsi="Times New Roman"/>
                <w:iCs/>
              </w:rPr>
              <w:t>EUR</w:t>
            </w:r>
            <w:r w:rsidR="00741ED3" w:rsidRPr="00AE610E">
              <w:rPr>
                <w:rFonts w:ascii="Times New Roman" w:hAnsi="Times New Roman"/>
                <w:iCs/>
              </w:rPr>
              <w:t xml:space="preserve"> </w:t>
            </w:r>
            <w:r w:rsidR="005039C4" w:rsidRPr="00AE610E">
              <w:rPr>
                <w:rFonts w:ascii="Times New Roman" w:hAnsi="Times New Roman"/>
                <w:iCs/>
              </w:rPr>
              <w:t>15</w:t>
            </w:r>
            <w:r w:rsidR="00741ED3" w:rsidRPr="00AE610E">
              <w:rPr>
                <w:rFonts w:ascii="Times New Roman" w:hAnsi="Times New Roman"/>
                <w:iCs/>
              </w:rPr>
              <w:t xml:space="preserve"> </w:t>
            </w:r>
            <w:r w:rsidR="00EF4101" w:rsidRPr="00AE610E">
              <w:rPr>
                <w:rFonts w:ascii="Times New Roman" w:hAnsi="Times New Roman"/>
                <w:iCs/>
              </w:rPr>
              <w:t>million</w:t>
            </w:r>
          </w:p>
          <w:p w14:paraId="4312F81B" w14:textId="60BDA5AD" w:rsidR="00EF4101" w:rsidRPr="0039427A" w:rsidRDefault="00C149AF" w:rsidP="00FF6CD6">
            <w:pPr>
              <w:spacing w:after="120" w:line="240" w:lineRule="auto"/>
              <w:jc w:val="both"/>
              <w:rPr>
                <w:rFonts w:ascii="Times New Roman" w:hAnsi="Times New Roman"/>
                <w:i/>
                <w:color w:val="000000" w:themeColor="text1"/>
              </w:rPr>
            </w:pPr>
            <w:r w:rsidRPr="0039427A">
              <w:rPr>
                <w:rFonts w:ascii="Times New Roman" w:hAnsi="Times New Roman"/>
                <w:iCs/>
                <w:color w:val="000000" w:themeColor="text1"/>
              </w:rPr>
              <w:t xml:space="preserve">National </w:t>
            </w:r>
            <w:r w:rsidR="00FF6CD6">
              <w:rPr>
                <w:rFonts w:ascii="Times New Roman" w:hAnsi="Times New Roman"/>
                <w:iCs/>
                <w:color w:val="000000" w:themeColor="text1"/>
              </w:rPr>
              <w:t>co-financing</w:t>
            </w:r>
            <w:r w:rsidR="00EF4101" w:rsidRPr="0039427A">
              <w:rPr>
                <w:rFonts w:ascii="Times New Roman" w:hAnsi="Times New Roman"/>
                <w:iCs/>
                <w:color w:val="000000" w:themeColor="text1"/>
              </w:rPr>
              <w:t>:</w:t>
            </w:r>
            <w:r w:rsidRPr="0039427A">
              <w:rPr>
                <w:rFonts w:ascii="Times New Roman" w:hAnsi="Times New Roman"/>
                <w:iCs/>
                <w:color w:val="000000" w:themeColor="text1"/>
              </w:rPr>
              <w:t xml:space="preserve"> </w:t>
            </w:r>
            <w:r w:rsidR="00EF4101" w:rsidRPr="0039427A">
              <w:rPr>
                <w:rFonts w:ascii="Times New Roman" w:hAnsi="Times New Roman"/>
                <w:iCs/>
                <w:color w:val="000000" w:themeColor="text1"/>
              </w:rPr>
              <w:t>EUR</w:t>
            </w:r>
            <w:r w:rsidR="001114DA" w:rsidRPr="0039427A">
              <w:rPr>
                <w:rFonts w:ascii="Times New Roman" w:hAnsi="Times New Roman"/>
                <w:iCs/>
                <w:color w:val="000000" w:themeColor="text1"/>
              </w:rPr>
              <w:t xml:space="preserve"> </w:t>
            </w:r>
            <w:r w:rsidR="005039C4">
              <w:rPr>
                <w:rFonts w:ascii="Times New Roman" w:hAnsi="Times New Roman"/>
                <w:iCs/>
                <w:color w:val="000000" w:themeColor="text1"/>
              </w:rPr>
              <w:t>0</w:t>
            </w:r>
            <w:r w:rsidR="00741ED3">
              <w:rPr>
                <w:rFonts w:ascii="Times New Roman" w:hAnsi="Times New Roman"/>
                <w:iCs/>
                <w:color w:val="000000" w:themeColor="text1"/>
              </w:rPr>
              <w:t xml:space="preserve"> </w:t>
            </w:r>
            <w:r w:rsidR="00EF4101" w:rsidRPr="0039427A">
              <w:rPr>
                <w:rFonts w:ascii="Times New Roman" w:hAnsi="Times New Roman"/>
                <w:iCs/>
                <w:color w:val="000000" w:themeColor="text1"/>
              </w:rPr>
              <w:t>million</w:t>
            </w:r>
          </w:p>
        </w:tc>
      </w:tr>
      <w:tr w:rsidR="00D92F6C" w:rsidRPr="00E82A5D" w14:paraId="57CC5E12" w14:textId="77777777" w:rsidTr="00AE610E">
        <w:trPr>
          <w:jc w:val="center"/>
        </w:trPr>
        <w:tc>
          <w:tcPr>
            <w:tcW w:w="2547" w:type="dxa"/>
            <w:gridSpan w:val="2"/>
            <w:tcBorders>
              <w:top w:val="single" w:sz="4" w:space="0" w:color="auto"/>
              <w:left w:val="single" w:sz="4" w:space="0" w:color="auto"/>
              <w:bottom w:val="single" w:sz="4" w:space="0" w:color="auto"/>
              <w:right w:val="single" w:sz="4" w:space="0" w:color="auto"/>
            </w:tcBorders>
          </w:tcPr>
          <w:p w14:paraId="25F01338" w14:textId="77777777" w:rsidR="00D92F6C" w:rsidRPr="0039427A" w:rsidRDefault="00D92F6C" w:rsidP="00476031">
            <w:pPr>
              <w:rPr>
                <w:rFonts w:ascii="Times New Roman" w:hAnsi="Times New Roman"/>
                <w:color w:val="000000" w:themeColor="text1"/>
              </w:rPr>
            </w:pPr>
            <w:r w:rsidRPr="0039427A">
              <w:rPr>
                <w:rFonts w:ascii="Times New Roman" w:hAnsi="Times New Roman"/>
                <w:color w:val="000000" w:themeColor="text1"/>
              </w:rPr>
              <w:t>Implementation Modality</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41A7A75C" w14:textId="0B5E2F24" w:rsidR="000E1DFC" w:rsidRPr="00EC42B9" w:rsidRDefault="00EC42B9" w:rsidP="003A4032">
            <w:pPr>
              <w:spacing w:after="120" w:line="240" w:lineRule="auto"/>
              <w:jc w:val="both"/>
              <w:rPr>
                <w:rFonts w:ascii="Times New Roman" w:hAnsi="Times New Roman"/>
                <w:iCs/>
              </w:rPr>
            </w:pPr>
            <w:r w:rsidRPr="00EC42B9">
              <w:rPr>
                <w:rFonts w:ascii="Times New Roman" w:hAnsi="Times New Roman"/>
                <w:iCs/>
              </w:rPr>
              <w:t>Direct Management</w:t>
            </w:r>
          </w:p>
        </w:tc>
      </w:tr>
      <w:tr w:rsidR="00D92F6C" w:rsidRPr="00E82A5D" w14:paraId="076E35B2" w14:textId="77777777" w:rsidTr="00AE610E">
        <w:trPr>
          <w:jc w:val="center"/>
        </w:trPr>
        <w:tc>
          <w:tcPr>
            <w:tcW w:w="2547" w:type="dxa"/>
            <w:gridSpan w:val="2"/>
            <w:tcBorders>
              <w:top w:val="single" w:sz="4" w:space="0" w:color="auto"/>
              <w:left w:val="single" w:sz="4" w:space="0" w:color="auto"/>
              <w:bottom w:val="single" w:sz="4" w:space="0" w:color="auto"/>
              <w:right w:val="single" w:sz="4" w:space="0" w:color="auto"/>
            </w:tcBorders>
          </w:tcPr>
          <w:p w14:paraId="5641B6B9" w14:textId="578B996D" w:rsidR="00D92F6C" w:rsidRPr="00E82A5D" w:rsidRDefault="00D92F6C" w:rsidP="007A1353">
            <w:pPr>
              <w:rPr>
                <w:rFonts w:ascii="Times New Roman" w:hAnsi="Times New Roman"/>
                <w:color w:val="000000" w:themeColor="text1"/>
              </w:rPr>
            </w:pPr>
            <w:r w:rsidRPr="00E82A5D">
              <w:rPr>
                <w:rFonts w:ascii="Times New Roman" w:hAnsi="Times New Roman"/>
                <w:color w:val="000000" w:themeColor="text1"/>
              </w:rPr>
              <w:t xml:space="preserve">Budget Support Readiness </w:t>
            </w:r>
            <w:r w:rsidR="004262E0">
              <w:rPr>
                <w:rFonts w:ascii="Times New Roman" w:hAnsi="Times New Roman"/>
                <w:color w:val="000000" w:themeColor="text1"/>
              </w:rPr>
              <w:t>(only in the action is implemented through Budget Support)</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320BBD69" w14:textId="77777777" w:rsidR="00D92F6C" w:rsidRPr="00E82A5D" w:rsidRDefault="00AD107F" w:rsidP="00476031">
            <w:pPr>
              <w:spacing w:after="120" w:line="240" w:lineRule="auto"/>
              <w:jc w:val="both"/>
              <w:rPr>
                <w:rFonts w:ascii="Times New Roman" w:hAnsi="Times New Roman"/>
                <w:i/>
                <w:color w:val="000000" w:themeColor="text1"/>
              </w:rPr>
            </w:pPr>
            <w:r w:rsidRPr="00E82A5D">
              <w:rPr>
                <w:rFonts w:ascii="Times New Roman" w:hAnsi="Times New Roman"/>
                <w:iCs/>
                <w:color w:val="000000" w:themeColor="text1"/>
              </w:rPr>
              <w:t>Not applicable</w:t>
            </w:r>
          </w:p>
        </w:tc>
      </w:tr>
    </w:tbl>
    <w:p w14:paraId="2A0EAB42" w14:textId="77777777" w:rsidR="00D92F6C" w:rsidRPr="00E82A5D" w:rsidRDefault="00D92F6C" w:rsidP="00D92F6C">
      <w:pPr>
        <w:spacing w:after="0" w:line="240" w:lineRule="auto"/>
        <w:jc w:val="both"/>
        <w:rPr>
          <w:rFonts w:ascii="Times New Roman" w:hAnsi="Times New Roman"/>
          <w:i/>
          <w:color w:val="000000" w:themeColor="text1"/>
          <w:sz w:val="20"/>
          <w:szCs w:val="20"/>
        </w:rPr>
        <w:sectPr w:rsidR="00D92F6C" w:rsidRPr="00E82A5D">
          <w:pgSz w:w="11906" w:h="16838"/>
          <w:pgMar w:top="1440" w:right="1440" w:bottom="1440" w:left="1440" w:header="708" w:footer="708" w:gutter="0"/>
          <w:cols w:space="708"/>
          <w:docGrid w:linePitch="360"/>
        </w:sectPr>
      </w:pPr>
    </w:p>
    <w:p w14:paraId="49285393" w14:textId="3B645165" w:rsidR="00353814" w:rsidRDefault="009033D1" w:rsidP="009033D1">
      <w:pPr>
        <w:rPr>
          <w:rFonts w:ascii="Times New Roman" w:hAnsi="Times New Roman"/>
          <w:b/>
          <w:bCs/>
          <w:smallCaps/>
          <w:sz w:val="18"/>
          <w:szCs w:val="18"/>
          <w:lang w:val="fr-FR"/>
        </w:rPr>
      </w:pPr>
      <w:bookmarkStart w:id="1" w:name="_Toc33698402"/>
      <w:r w:rsidRPr="009033D1">
        <w:rPr>
          <w:rFonts w:ascii="Times New Roman" w:hAnsi="Times New Roman"/>
          <w:b/>
          <w:bCs/>
          <w:smallCaps/>
          <w:sz w:val="18"/>
          <w:szCs w:val="18"/>
          <w:lang w:val="fr-FR"/>
        </w:rPr>
        <w:lastRenderedPageBreak/>
        <w:t xml:space="preserve">LOGICAL FRAMEWORK MATRIX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396"/>
        <w:gridCol w:w="3646"/>
        <w:gridCol w:w="1760"/>
        <w:gridCol w:w="1409"/>
        <w:gridCol w:w="1610"/>
        <w:gridCol w:w="1880"/>
      </w:tblGrid>
      <w:tr w:rsidR="00353814" w:rsidRPr="004F51D5" w14:paraId="7CC69A23" w14:textId="77777777" w:rsidTr="00AE610E">
        <w:trPr>
          <w:cantSplit/>
          <w:trHeight w:val="719"/>
          <w:tblHeader/>
        </w:trPr>
        <w:tc>
          <w:tcPr>
            <w:tcW w:w="447" w:type="pct"/>
            <w:tcBorders>
              <w:bottom w:val="single" w:sz="4" w:space="0" w:color="auto"/>
            </w:tcBorders>
            <w:shd w:val="clear" w:color="auto" w:fill="BFBFBF" w:themeFill="background1" w:themeFillShade="BF"/>
            <w:vAlign w:val="center"/>
          </w:tcPr>
          <w:p w14:paraId="395339F6" w14:textId="77777777" w:rsidR="00353814" w:rsidRPr="00AE610E" w:rsidRDefault="00353814" w:rsidP="00AE610E">
            <w:pPr>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Results</w:t>
            </w:r>
          </w:p>
        </w:tc>
        <w:tc>
          <w:tcPr>
            <w:tcW w:w="859" w:type="pct"/>
            <w:tcBorders>
              <w:bottom w:val="single" w:sz="4" w:space="0" w:color="auto"/>
            </w:tcBorders>
            <w:shd w:val="clear" w:color="auto" w:fill="BFBFBF" w:themeFill="background1" w:themeFillShade="BF"/>
            <w:vAlign w:val="center"/>
          </w:tcPr>
          <w:p w14:paraId="48E3714D" w14:textId="77777777" w:rsidR="00353814" w:rsidRPr="00AE610E" w:rsidRDefault="00353814" w:rsidP="00AE610E">
            <w:pPr>
              <w:tabs>
                <w:tab w:val="left" w:pos="5670"/>
              </w:tabs>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Results chain: Main expected results</w:t>
            </w:r>
          </w:p>
          <w:p w14:paraId="587E7621" w14:textId="77777777" w:rsidR="00353814" w:rsidRPr="00AE610E" w:rsidRDefault="00353814" w:rsidP="00AE610E">
            <w:pPr>
              <w:spacing w:after="0" w:line="240" w:lineRule="auto"/>
              <w:jc w:val="center"/>
              <w:rPr>
                <w:rFonts w:ascii="Times New Roman" w:hAnsi="Times New Roman"/>
                <w:b/>
                <w:color w:val="0D0D0D" w:themeColor="text1" w:themeTint="F2"/>
                <w:sz w:val="20"/>
                <w:szCs w:val="20"/>
                <w:lang w:val="en-IE"/>
              </w:rPr>
            </w:pPr>
          </w:p>
        </w:tc>
        <w:tc>
          <w:tcPr>
            <w:tcW w:w="1307" w:type="pct"/>
            <w:tcBorders>
              <w:bottom w:val="single" w:sz="4" w:space="0" w:color="auto"/>
            </w:tcBorders>
            <w:shd w:val="clear" w:color="auto" w:fill="BFBFBF" w:themeFill="background1" w:themeFillShade="BF"/>
            <w:vAlign w:val="center"/>
          </w:tcPr>
          <w:p w14:paraId="0686C40E" w14:textId="77777777" w:rsidR="00353814" w:rsidRPr="00AE610E" w:rsidRDefault="00353814" w:rsidP="00AE610E">
            <w:pPr>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Indicators</w:t>
            </w:r>
          </w:p>
          <w:p w14:paraId="7B1C0E6C" w14:textId="77777777" w:rsidR="00353814" w:rsidRPr="00AE610E" w:rsidRDefault="00353814" w:rsidP="00AE610E">
            <w:pPr>
              <w:spacing w:after="0" w:line="240" w:lineRule="auto"/>
              <w:jc w:val="center"/>
              <w:rPr>
                <w:rFonts w:ascii="Times New Roman" w:hAnsi="Times New Roman"/>
                <w:b/>
                <w:color w:val="0D0D0D" w:themeColor="text1" w:themeTint="F2"/>
                <w:sz w:val="20"/>
                <w:szCs w:val="20"/>
                <w:lang w:val="en-IE"/>
              </w:rPr>
            </w:pPr>
          </w:p>
        </w:tc>
        <w:tc>
          <w:tcPr>
            <w:tcW w:w="631" w:type="pct"/>
            <w:tcBorders>
              <w:bottom w:val="single" w:sz="4" w:space="0" w:color="auto"/>
            </w:tcBorders>
            <w:shd w:val="clear" w:color="auto" w:fill="BFBFBF" w:themeFill="background1" w:themeFillShade="BF"/>
            <w:vAlign w:val="center"/>
          </w:tcPr>
          <w:p w14:paraId="7E622E0E" w14:textId="77777777" w:rsidR="00353814" w:rsidRPr="00AE610E" w:rsidRDefault="00353814" w:rsidP="00AE610E">
            <w:pPr>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Baselines</w:t>
            </w:r>
          </w:p>
          <w:p w14:paraId="178DD3C9" w14:textId="77777777" w:rsidR="00353814" w:rsidRPr="00AE610E" w:rsidRDefault="00353814" w:rsidP="00AE610E">
            <w:pPr>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color w:val="0D0D0D" w:themeColor="text1" w:themeTint="F2"/>
                <w:sz w:val="20"/>
                <w:szCs w:val="20"/>
                <w:lang w:val="en-IE"/>
              </w:rPr>
              <w:t>[values and years]</w:t>
            </w:r>
          </w:p>
        </w:tc>
        <w:tc>
          <w:tcPr>
            <w:tcW w:w="505" w:type="pct"/>
            <w:tcBorders>
              <w:bottom w:val="single" w:sz="4" w:space="0" w:color="auto"/>
            </w:tcBorders>
            <w:shd w:val="clear" w:color="auto" w:fill="BFBFBF" w:themeFill="background1" w:themeFillShade="BF"/>
            <w:vAlign w:val="center"/>
          </w:tcPr>
          <w:p w14:paraId="370293DF" w14:textId="77777777" w:rsidR="00353814" w:rsidRPr="00AE610E" w:rsidRDefault="00353814" w:rsidP="00AE610E">
            <w:pPr>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Target</w:t>
            </w:r>
          </w:p>
          <w:p w14:paraId="78EFA148" w14:textId="77777777" w:rsidR="00353814" w:rsidRPr="00AE610E" w:rsidRDefault="00353814" w:rsidP="00AE610E">
            <w:pPr>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color w:val="0D0D0D" w:themeColor="text1" w:themeTint="F2"/>
                <w:sz w:val="20"/>
                <w:szCs w:val="20"/>
                <w:lang w:val="en-IE"/>
              </w:rPr>
              <w:t>[values and years]</w:t>
            </w:r>
          </w:p>
        </w:tc>
        <w:tc>
          <w:tcPr>
            <w:tcW w:w="577" w:type="pct"/>
            <w:tcBorders>
              <w:bottom w:val="single" w:sz="4" w:space="0" w:color="auto"/>
            </w:tcBorders>
            <w:shd w:val="clear" w:color="auto" w:fill="BFBFBF" w:themeFill="background1" w:themeFillShade="BF"/>
            <w:vAlign w:val="center"/>
          </w:tcPr>
          <w:p w14:paraId="1C0B4E1B" w14:textId="77777777" w:rsidR="00353814" w:rsidRPr="00AE610E" w:rsidRDefault="00353814" w:rsidP="00AE610E">
            <w:pPr>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Sources of data</w:t>
            </w:r>
          </w:p>
        </w:tc>
        <w:tc>
          <w:tcPr>
            <w:tcW w:w="674" w:type="pct"/>
            <w:tcBorders>
              <w:bottom w:val="single" w:sz="4" w:space="0" w:color="auto"/>
            </w:tcBorders>
            <w:shd w:val="clear" w:color="auto" w:fill="BFBFBF" w:themeFill="background1" w:themeFillShade="BF"/>
            <w:vAlign w:val="center"/>
          </w:tcPr>
          <w:p w14:paraId="78C01A87" w14:textId="77777777" w:rsidR="00353814" w:rsidRPr="00AE610E" w:rsidRDefault="00353814" w:rsidP="00AE610E">
            <w:pPr>
              <w:spacing w:after="0" w:line="240" w:lineRule="auto"/>
              <w:jc w:val="center"/>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Assumptions</w:t>
            </w:r>
          </w:p>
        </w:tc>
      </w:tr>
      <w:tr w:rsidR="00353814" w:rsidRPr="000E4B0D" w14:paraId="0D3354B9" w14:textId="77777777" w:rsidTr="00AE610E">
        <w:trPr>
          <w:cantSplit/>
          <w:trHeight w:val="679"/>
        </w:trPr>
        <w:tc>
          <w:tcPr>
            <w:tcW w:w="447" w:type="pct"/>
            <w:shd w:val="clear" w:color="auto" w:fill="D9D9D9" w:themeFill="background1" w:themeFillShade="D9"/>
            <w:vAlign w:val="center"/>
          </w:tcPr>
          <w:p w14:paraId="6A141C89" w14:textId="77777777" w:rsidR="00353814" w:rsidRPr="00AE610E" w:rsidRDefault="00353814" w:rsidP="00AE610E">
            <w:pPr>
              <w:tabs>
                <w:tab w:val="left" w:pos="0"/>
                <w:tab w:val="left" w:pos="132"/>
              </w:tabs>
              <w:spacing w:after="0" w:line="240" w:lineRule="auto"/>
              <w:ind w:right="113"/>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Impact</w:t>
            </w:r>
          </w:p>
        </w:tc>
        <w:tc>
          <w:tcPr>
            <w:tcW w:w="859" w:type="pct"/>
            <w:shd w:val="clear" w:color="auto" w:fill="auto"/>
          </w:tcPr>
          <w:p w14:paraId="20979C4C"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 xml:space="preserve">To enhance the EU accession process of North Macedonia </w:t>
            </w:r>
          </w:p>
        </w:tc>
        <w:tc>
          <w:tcPr>
            <w:tcW w:w="1307" w:type="pct"/>
            <w:shd w:val="clear" w:color="auto" w:fill="auto"/>
          </w:tcPr>
          <w:p w14:paraId="7353D1FE"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Progress made in the EU accession process</w:t>
            </w:r>
          </w:p>
        </w:tc>
        <w:tc>
          <w:tcPr>
            <w:tcW w:w="631" w:type="pct"/>
          </w:tcPr>
          <w:p w14:paraId="71ABFAED"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Decision to open accession negotiations (2020)</w:t>
            </w:r>
          </w:p>
        </w:tc>
        <w:tc>
          <w:tcPr>
            <w:tcW w:w="505" w:type="pct"/>
          </w:tcPr>
          <w:p w14:paraId="6DC64776"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Further progress in the EU accession path (2027)</w:t>
            </w:r>
          </w:p>
        </w:tc>
        <w:tc>
          <w:tcPr>
            <w:tcW w:w="577" w:type="pct"/>
            <w:shd w:val="clear" w:color="auto" w:fill="auto"/>
          </w:tcPr>
          <w:p w14:paraId="6AB07353"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Report of the European Commission; decisions by the Member States;</w:t>
            </w:r>
          </w:p>
        </w:tc>
        <w:tc>
          <w:tcPr>
            <w:tcW w:w="674" w:type="pct"/>
            <w:shd w:val="clear" w:color="auto" w:fill="7F7F7F" w:themeFill="background1" w:themeFillShade="7F"/>
            <w:vAlign w:val="center"/>
          </w:tcPr>
          <w:p w14:paraId="0E4521EE" w14:textId="77777777" w:rsidR="00353814" w:rsidRPr="00AE610E" w:rsidRDefault="00353814" w:rsidP="00AE610E">
            <w:pPr>
              <w:spacing w:after="0" w:line="240" w:lineRule="auto"/>
              <w:rPr>
                <w:rFonts w:ascii="Times New Roman" w:hAnsi="Times New Roman"/>
                <w:i/>
                <w:iCs/>
                <w:color w:val="0D0D0D" w:themeColor="text1" w:themeTint="F2"/>
                <w:sz w:val="20"/>
                <w:szCs w:val="20"/>
                <w:lang w:val="en-IE"/>
              </w:rPr>
            </w:pPr>
          </w:p>
        </w:tc>
      </w:tr>
      <w:tr w:rsidR="00353814" w:rsidRPr="004F51D5" w14:paraId="0A3CF068" w14:textId="77777777" w:rsidTr="00AE610E">
        <w:trPr>
          <w:cantSplit/>
          <w:trHeight w:val="496"/>
        </w:trPr>
        <w:tc>
          <w:tcPr>
            <w:tcW w:w="447" w:type="pct"/>
            <w:vMerge w:val="restart"/>
            <w:shd w:val="clear" w:color="auto" w:fill="D9D9D9" w:themeFill="background1" w:themeFillShade="D9"/>
            <w:vAlign w:val="center"/>
          </w:tcPr>
          <w:p w14:paraId="0545E599" w14:textId="77777777" w:rsidR="00353814" w:rsidRPr="00AE610E" w:rsidRDefault="00353814" w:rsidP="00AE610E">
            <w:pPr>
              <w:tabs>
                <w:tab w:val="left" w:pos="12"/>
              </w:tabs>
              <w:spacing w:after="0" w:line="240" w:lineRule="auto"/>
              <w:ind w:left="12"/>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Outcome 1</w:t>
            </w:r>
          </w:p>
        </w:tc>
        <w:tc>
          <w:tcPr>
            <w:tcW w:w="859" w:type="pct"/>
            <w:vMerge w:val="restart"/>
            <w:shd w:val="clear" w:color="auto" w:fill="auto"/>
            <w:vAlign w:val="center"/>
          </w:tcPr>
          <w:p w14:paraId="6585CE62"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00000" w:themeColor="text1"/>
                <w:sz w:val="20"/>
                <w:szCs w:val="20"/>
              </w:rPr>
              <w:t>Accession process backed-up in its entirety</w:t>
            </w:r>
            <w:r w:rsidRPr="00AE610E">
              <w:rPr>
                <w:rFonts w:ascii="Times New Roman" w:hAnsi="Times New Roman"/>
                <w:sz w:val="20"/>
                <w:szCs w:val="20"/>
              </w:rPr>
              <w:t xml:space="preserve"> (enhanced alignment with the </w:t>
            </w:r>
            <w:r w:rsidRPr="00AE610E">
              <w:rPr>
                <w:rFonts w:ascii="Times New Roman" w:hAnsi="Times New Roman"/>
                <w:i/>
                <w:iCs/>
                <w:sz w:val="20"/>
                <w:szCs w:val="20"/>
              </w:rPr>
              <w:t>EU acquis</w:t>
            </w:r>
            <w:r w:rsidRPr="00AE610E">
              <w:rPr>
                <w:rFonts w:ascii="Times New Roman" w:hAnsi="Times New Roman"/>
                <w:sz w:val="20"/>
                <w:szCs w:val="20"/>
              </w:rPr>
              <w:t xml:space="preserve"> and EU/International standards, improved </w:t>
            </w:r>
            <w:r w:rsidRPr="00AE610E">
              <w:rPr>
                <w:rFonts w:ascii="Times New Roman" w:hAnsi="Times New Roman"/>
                <w:color w:val="000000" w:themeColor="text1"/>
                <w:sz w:val="20"/>
                <w:szCs w:val="20"/>
              </w:rPr>
              <w:t>implementation of the legal framework in practice,</w:t>
            </w:r>
            <w:r w:rsidRPr="00AE610E">
              <w:rPr>
                <w:rFonts w:ascii="Times New Roman" w:hAnsi="Times New Roman"/>
                <w:sz w:val="20"/>
                <w:szCs w:val="20"/>
              </w:rPr>
              <w:t xml:space="preserve"> and increased public support for the EU accession process)</w:t>
            </w:r>
          </w:p>
        </w:tc>
        <w:tc>
          <w:tcPr>
            <w:tcW w:w="1307" w:type="pct"/>
            <w:tcBorders>
              <w:bottom w:val="single" w:sz="4" w:space="0" w:color="auto"/>
            </w:tcBorders>
            <w:shd w:val="clear" w:color="auto" w:fill="auto"/>
            <w:vAlign w:val="center"/>
          </w:tcPr>
          <w:p w14:paraId="40B24902" w14:textId="7134CAF6"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eastAsia="Calibri" w:hAnsi="Times New Roman"/>
                <w:sz w:val="20"/>
                <w:szCs w:val="20"/>
              </w:rPr>
              <w:t>Number of open/closed chapters/clusters</w:t>
            </w:r>
          </w:p>
        </w:tc>
        <w:tc>
          <w:tcPr>
            <w:tcW w:w="631" w:type="pct"/>
            <w:tcBorders>
              <w:bottom w:val="single" w:sz="4" w:space="0" w:color="auto"/>
            </w:tcBorders>
            <w:vAlign w:val="center"/>
          </w:tcPr>
          <w:p w14:paraId="12A7B3F6"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0 (2020)</w:t>
            </w:r>
          </w:p>
        </w:tc>
        <w:tc>
          <w:tcPr>
            <w:tcW w:w="505" w:type="pct"/>
            <w:tcBorders>
              <w:bottom w:val="single" w:sz="4" w:space="0" w:color="auto"/>
            </w:tcBorders>
            <w:vAlign w:val="center"/>
          </w:tcPr>
          <w:p w14:paraId="46AF9CDD"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Higher number (2027)</w:t>
            </w:r>
          </w:p>
        </w:tc>
        <w:tc>
          <w:tcPr>
            <w:tcW w:w="577" w:type="pct"/>
            <w:tcBorders>
              <w:bottom w:val="single" w:sz="4" w:space="0" w:color="auto"/>
            </w:tcBorders>
            <w:shd w:val="clear" w:color="auto" w:fill="auto"/>
            <w:vAlign w:val="center"/>
          </w:tcPr>
          <w:p w14:paraId="5A21A279"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Commission’s reports; decision by Member States</w:t>
            </w:r>
          </w:p>
        </w:tc>
        <w:tc>
          <w:tcPr>
            <w:tcW w:w="674" w:type="pct"/>
            <w:vMerge w:val="restart"/>
            <w:shd w:val="clear" w:color="auto" w:fill="auto"/>
            <w:vAlign w:val="center"/>
          </w:tcPr>
          <w:p w14:paraId="5762F424"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EU integration remains a government priority, which entails a continuous high-level political commitment to EU accession, support for the reforms and active participation in the sector policy dialogue</w:t>
            </w:r>
          </w:p>
        </w:tc>
      </w:tr>
      <w:tr w:rsidR="00353814" w:rsidRPr="004F51D5" w14:paraId="29630FEC" w14:textId="77777777" w:rsidTr="00AE610E">
        <w:trPr>
          <w:cantSplit/>
          <w:trHeight w:val="496"/>
        </w:trPr>
        <w:tc>
          <w:tcPr>
            <w:tcW w:w="447" w:type="pct"/>
            <w:vMerge/>
            <w:tcBorders>
              <w:bottom w:val="single" w:sz="4" w:space="0" w:color="auto"/>
            </w:tcBorders>
            <w:shd w:val="clear" w:color="auto" w:fill="D9D9D9" w:themeFill="background1" w:themeFillShade="D9"/>
            <w:vAlign w:val="center"/>
          </w:tcPr>
          <w:p w14:paraId="5EDF8BC3" w14:textId="77777777" w:rsidR="00353814" w:rsidRPr="00AE610E" w:rsidRDefault="00353814" w:rsidP="00AE610E">
            <w:pPr>
              <w:tabs>
                <w:tab w:val="left" w:pos="12"/>
              </w:tabs>
              <w:spacing w:after="0" w:line="240" w:lineRule="auto"/>
              <w:ind w:left="12"/>
              <w:rPr>
                <w:rFonts w:ascii="Times New Roman" w:hAnsi="Times New Roman"/>
                <w:b/>
                <w:color w:val="0D0D0D" w:themeColor="text1" w:themeTint="F2"/>
                <w:sz w:val="20"/>
                <w:szCs w:val="20"/>
                <w:lang w:val="en-IE"/>
              </w:rPr>
            </w:pPr>
          </w:p>
        </w:tc>
        <w:tc>
          <w:tcPr>
            <w:tcW w:w="859" w:type="pct"/>
            <w:vMerge/>
            <w:tcBorders>
              <w:bottom w:val="single" w:sz="4" w:space="0" w:color="auto"/>
            </w:tcBorders>
            <w:shd w:val="clear" w:color="auto" w:fill="auto"/>
            <w:vAlign w:val="center"/>
          </w:tcPr>
          <w:p w14:paraId="4101AAB5"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tcBorders>
              <w:bottom w:val="single" w:sz="4" w:space="0" w:color="auto"/>
            </w:tcBorders>
            <w:shd w:val="clear" w:color="auto" w:fill="auto"/>
            <w:vAlign w:val="center"/>
          </w:tcPr>
          <w:p w14:paraId="77FEA6AF"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Societal support for the accession process/ Eurobarometer / Positive attitude</w:t>
            </w:r>
          </w:p>
        </w:tc>
        <w:tc>
          <w:tcPr>
            <w:tcW w:w="631" w:type="pct"/>
            <w:tcBorders>
              <w:bottom w:val="single" w:sz="4" w:space="0" w:color="auto"/>
            </w:tcBorders>
            <w:vAlign w:val="center"/>
          </w:tcPr>
          <w:p w14:paraId="7F4D8BF8"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52% (11/2019)</w:t>
            </w:r>
          </w:p>
        </w:tc>
        <w:tc>
          <w:tcPr>
            <w:tcW w:w="505" w:type="pct"/>
            <w:tcBorders>
              <w:bottom w:val="single" w:sz="4" w:space="0" w:color="auto"/>
            </w:tcBorders>
            <w:vAlign w:val="center"/>
          </w:tcPr>
          <w:p w14:paraId="5CFFA7CC"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&gt; 80% (2027)</w:t>
            </w:r>
          </w:p>
        </w:tc>
        <w:tc>
          <w:tcPr>
            <w:tcW w:w="577" w:type="pct"/>
            <w:tcBorders>
              <w:bottom w:val="single" w:sz="4" w:space="0" w:color="auto"/>
            </w:tcBorders>
            <w:shd w:val="clear" w:color="auto" w:fill="auto"/>
            <w:vAlign w:val="center"/>
          </w:tcPr>
          <w:p w14:paraId="56D51CF1"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Eurobarometer</w:t>
            </w:r>
          </w:p>
        </w:tc>
        <w:tc>
          <w:tcPr>
            <w:tcW w:w="674" w:type="pct"/>
            <w:vMerge/>
            <w:shd w:val="clear" w:color="auto" w:fill="auto"/>
            <w:vAlign w:val="center"/>
          </w:tcPr>
          <w:p w14:paraId="48C42F9A"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22219310" w14:textId="77777777" w:rsidTr="00AE610E">
        <w:trPr>
          <w:cantSplit/>
          <w:trHeight w:val="1148"/>
        </w:trPr>
        <w:tc>
          <w:tcPr>
            <w:tcW w:w="447" w:type="pct"/>
            <w:vMerge w:val="restart"/>
            <w:shd w:val="clear" w:color="auto" w:fill="D9D9D9" w:themeFill="background1" w:themeFillShade="D9"/>
            <w:vAlign w:val="center"/>
          </w:tcPr>
          <w:p w14:paraId="58669691"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Outcome 2</w:t>
            </w:r>
          </w:p>
          <w:p w14:paraId="72AB1D9A" w14:textId="77777777" w:rsidR="00353814" w:rsidRPr="00AE610E" w:rsidRDefault="00353814" w:rsidP="00AE610E">
            <w:pPr>
              <w:tabs>
                <w:tab w:val="left" w:pos="0"/>
              </w:tabs>
              <w:spacing w:after="0" w:line="240" w:lineRule="auto"/>
              <w:rPr>
                <w:rFonts w:ascii="Times New Roman" w:hAnsi="Times New Roman"/>
                <w:b/>
                <w:color w:val="0D0D0D" w:themeColor="text1" w:themeTint="F2"/>
                <w:sz w:val="20"/>
                <w:szCs w:val="20"/>
                <w:lang w:val="en-IE"/>
              </w:rPr>
            </w:pPr>
          </w:p>
        </w:tc>
        <w:tc>
          <w:tcPr>
            <w:tcW w:w="859" w:type="pct"/>
            <w:vMerge w:val="restart"/>
            <w:shd w:val="clear" w:color="auto" w:fill="auto"/>
            <w:vAlign w:val="center"/>
          </w:tcPr>
          <w:p w14:paraId="299B907D" w14:textId="77777777" w:rsidR="00353814" w:rsidRPr="00AE610E" w:rsidRDefault="00353814" w:rsidP="00AE610E">
            <w:pPr>
              <w:spacing w:after="0" w:line="240" w:lineRule="auto"/>
              <w:rPr>
                <w:rFonts w:ascii="Times New Roman" w:hAnsi="Times New Roman"/>
                <w:sz w:val="20"/>
                <w:szCs w:val="20"/>
              </w:rPr>
            </w:pPr>
            <w:r w:rsidRPr="00AE610E">
              <w:rPr>
                <w:rFonts w:ascii="Times New Roman" w:hAnsi="Times New Roman"/>
                <w:sz w:val="20"/>
                <w:szCs w:val="20"/>
              </w:rPr>
              <w:t>Improved effectiveness and visibility of the EU funds invested in the country (sector approach up scaled, EU funding and policy created a sustainable and visible development change)</w:t>
            </w:r>
          </w:p>
          <w:p w14:paraId="5002C27B"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14EBD5EF"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Level of absorption of EU funds:</w:t>
            </w:r>
          </w:p>
          <w:p w14:paraId="367ADEDB"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IPA II</w:t>
            </w:r>
          </w:p>
          <w:p w14:paraId="22C457C5" w14:textId="77777777" w:rsidR="00353814" w:rsidRPr="00AE610E" w:rsidRDefault="00353814" w:rsidP="00AE610E">
            <w:pPr>
              <w:numPr>
                <w:ilvl w:val="0"/>
                <w:numId w:val="39"/>
              </w:numPr>
              <w:shd w:val="clear" w:color="auto" w:fill="FFFFFF" w:themeFill="background1"/>
              <w:spacing w:after="0" w:line="240" w:lineRule="auto"/>
              <w:ind w:left="217" w:hanging="217"/>
              <w:rPr>
                <w:rFonts w:ascii="Times New Roman" w:hAnsi="Times New Roman"/>
                <w:sz w:val="20"/>
                <w:szCs w:val="20"/>
              </w:rPr>
            </w:pPr>
            <w:r w:rsidRPr="00AE610E">
              <w:rPr>
                <w:rFonts w:ascii="Times New Roman" w:hAnsi="Times New Roman"/>
                <w:sz w:val="20"/>
                <w:szCs w:val="20"/>
              </w:rPr>
              <w:t>Programming rate / value</w:t>
            </w:r>
          </w:p>
          <w:p w14:paraId="6167DCBB" w14:textId="77777777" w:rsidR="00353814" w:rsidRPr="00AE610E" w:rsidRDefault="00353814" w:rsidP="00AE610E">
            <w:pPr>
              <w:numPr>
                <w:ilvl w:val="0"/>
                <w:numId w:val="39"/>
              </w:numPr>
              <w:shd w:val="clear" w:color="auto" w:fill="FFFFFF" w:themeFill="background1"/>
              <w:spacing w:after="0" w:line="240" w:lineRule="auto"/>
              <w:ind w:left="217" w:hanging="217"/>
              <w:rPr>
                <w:rFonts w:ascii="Times New Roman" w:hAnsi="Times New Roman"/>
                <w:sz w:val="20"/>
                <w:szCs w:val="20"/>
              </w:rPr>
            </w:pPr>
            <w:r w:rsidRPr="00AE610E">
              <w:rPr>
                <w:rFonts w:ascii="Times New Roman" w:hAnsi="Times New Roman"/>
                <w:sz w:val="20"/>
                <w:szCs w:val="20"/>
              </w:rPr>
              <w:t>Contracting rate</w:t>
            </w:r>
          </w:p>
          <w:p w14:paraId="688BECAA" w14:textId="77777777" w:rsidR="00353814" w:rsidRPr="00AE610E" w:rsidRDefault="00353814" w:rsidP="00AE610E">
            <w:pPr>
              <w:numPr>
                <w:ilvl w:val="0"/>
                <w:numId w:val="39"/>
              </w:numPr>
              <w:shd w:val="clear" w:color="auto" w:fill="FFFFFF" w:themeFill="background1"/>
              <w:spacing w:after="0" w:line="240" w:lineRule="auto"/>
              <w:ind w:left="217" w:hanging="217"/>
              <w:jc w:val="both"/>
              <w:rPr>
                <w:rFonts w:ascii="Times New Roman" w:hAnsi="Times New Roman"/>
                <w:sz w:val="20"/>
                <w:szCs w:val="20"/>
              </w:rPr>
            </w:pPr>
            <w:r w:rsidRPr="00AE610E">
              <w:rPr>
                <w:rFonts w:ascii="Times New Roman" w:hAnsi="Times New Roman"/>
                <w:sz w:val="20"/>
                <w:szCs w:val="20"/>
              </w:rPr>
              <w:t xml:space="preserve">Disbursement rate </w:t>
            </w:r>
          </w:p>
        </w:tc>
        <w:tc>
          <w:tcPr>
            <w:tcW w:w="631" w:type="pct"/>
            <w:shd w:val="clear" w:color="auto" w:fill="FFFFFF" w:themeFill="background1"/>
            <w:vAlign w:val="center"/>
          </w:tcPr>
          <w:p w14:paraId="5B0323D3"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IPA II</w:t>
            </w:r>
          </w:p>
          <w:p w14:paraId="22824F57"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- 104% (MEUR 633)</w:t>
            </w:r>
          </w:p>
          <w:p w14:paraId="7C2A6F7A"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- 26% (end 2019)</w:t>
            </w:r>
          </w:p>
          <w:p w14:paraId="0303A857"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- 12% (end 2019)</w:t>
            </w:r>
          </w:p>
        </w:tc>
        <w:tc>
          <w:tcPr>
            <w:tcW w:w="505" w:type="pct"/>
            <w:shd w:val="clear" w:color="auto" w:fill="FFFFFF" w:themeFill="background1"/>
            <w:vAlign w:val="center"/>
          </w:tcPr>
          <w:p w14:paraId="3E5DBF63" w14:textId="77777777" w:rsidR="00353814" w:rsidRPr="00AE610E" w:rsidRDefault="00353814" w:rsidP="00AE610E">
            <w:pPr>
              <w:shd w:val="clear" w:color="auto" w:fill="FFFFFF" w:themeFill="background1"/>
              <w:spacing w:after="0" w:line="240" w:lineRule="auto"/>
              <w:rPr>
                <w:rFonts w:ascii="Times New Roman" w:hAnsi="Times New Roman"/>
                <w:sz w:val="20"/>
                <w:szCs w:val="20"/>
                <w:lang w:val="fr-BE"/>
              </w:rPr>
            </w:pPr>
            <w:r w:rsidRPr="00AE610E">
              <w:rPr>
                <w:rFonts w:ascii="Times New Roman" w:hAnsi="Times New Roman"/>
                <w:sz w:val="20"/>
                <w:szCs w:val="20"/>
                <w:lang w:val="fr-BE"/>
              </w:rPr>
              <w:t>No change</w:t>
            </w:r>
          </w:p>
          <w:p w14:paraId="2D841222" w14:textId="77777777" w:rsidR="00353814" w:rsidRPr="00AE610E" w:rsidRDefault="00353814" w:rsidP="00AE610E">
            <w:pPr>
              <w:shd w:val="clear" w:color="auto" w:fill="FFFFFF" w:themeFill="background1"/>
              <w:spacing w:after="0" w:line="240" w:lineRule="auto"/>
              <w:rPr>
                <w:rFonts w:ascii="Times New Roman" w:hAnsi="Times New Roman"/>
                <w:sz w:val="20"/>
                <w:szCs w:val="20"/>
                <w:lang w:val="fr-BE"/>
              </w:rPr>
            </w:pPr>
            <w:r w:rsidRPr="00AE610E">
              <w:rPr>
                <w:rFonts w:ascii="Times New Roman" w:hAnsi="Times New Roman"/>
                <w:sz w:val="20"/>
                <w:szCs w:val="20"/>
                <w:lang w:val="fr-BE"/>
              </w:rPr>
              <w:t>95% (2026)</w:t>
            </w:r>
          </w:p>
          <w:p w14:paraId="3EB872AD" w14:textId="77777777" w:rsidR="00353814" w:rsidRPr="00AE610E" w:rsidRDefault="00353814" w:rsidP="00AE610E">
            <w:pPr>
              <w:shd w:val="clear" w:color="auto" w:fill="FFFFFF" w:themeFill="background1"/>
              <w:spacing w:after="0" w:line="240" w:lineRule="auto"/>
              <w:rPr>
                <w:rFonts w:ascii="Times New Roman" w:hAnsi="Times New Roman"/>
                <w:sz w:val="20"/>
                <w:szCs w:val="20"/>
                <w:lang w:val="fr-BE"/>
              </w:rPr>
            </w:pPr>
            <w:r w:rsidRPr="00AE610E">
              <w:rPr>
                <w:rFonts w:ascii="Times New Roman" w:hAnsi="Times New Roman"/>
                <w:sz w:val="20"/>
                <w:szCs w:val="20"/>
                <w:lang w:val="fr-BE"/>
              </w:rPr>
              <w:t>85% (2026)</w:t>
            </w:r>
          </w:p>
        </w:tc>
        <w:tc>
          <w:tcPr>
            <w:tcW w:w="577" w:type="pct"/>
            <w:vMerge w:val="restart"/>
            <w:shd w:val="clear" w:color="auto" w:fill="FFFFFF" w:themeFill="background1"/>
            <w:vAlign w:val="center"/>
          </w:tcPr>
          <w:p w14:paraId="451425E6"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xml:space="preserve">Commission report on implementation of IPA </w:t>
            </w:r>
          </w:p>
          <w:p w14:paraId="30FEB43C"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365526CF"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Annual IPA Report</w:t>
            </w:r>
          </w:p>
          <w:p w14:paraId="7BBE91D6"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58EDB940"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Financing agreement</w:t>
            </w:r>
          </w:p>
        </w:tc>
        <w:tc>
          <w:tcPr>
            <w:tcW w:w="674" w:type="pct"/>
            <w:vMerge/>
            <w:shd w:val="clear" w:color="auto" w:fill="auto"/>
            <w:vAlign w:val="center"/>
          </w:tcPr>
          <w:p w14:paraId="32E8A57E"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45AF134A" w14:textId="77777777" w:rsidTr="00AE610E">
        <w:trPr>
          <w:cantSplit/>
          <w:trHeight w:val="418"/>
        </w:trPr>
        <w:tc>
          <w:tcPr>
            <w:tcW w:w="447" w:type="pct"/>
            <w:vMerge/>
            <w:shd w:val="clear" w:color="auto" w:fill="D9D9D9" w:themeFill="background1" w:themeFillShade="D9"/>
            <w:vAlign w:val="center"/>
          </w:tcPr>
          <w:p w14:paraId="7D13A0CE"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750CF06D"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0C706D87"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Level of absorption of EU funds:</w:t>
            </w:r>
          </w:p>
          <w:p w14:paraId="5026851F"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IPA III</w:t>
            </w:r>
          </w:p>
          <w:p w14:paraId="70CDCF20"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Value of programmed funds</w:t>
            </w:r>
          </w:p>
          <w:p w14:paraId="228FE8CD"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Contracting rate</w:t>
            </w:r>
          </w:p>
          <w:p w14:paraId="05E2C2CA"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 Disbursement rate</w:t>
            </w:r>
          </w:p>
        </w:tc>
        <w:tc>
          <w:tcPr>
            <w:tcW w:w="631" w:type="pct"/>
            <w:shd w:val="clear" w:color="auto" w:fill="FFFFFF" w:themeFill="background1"/>
            <w:vAlign w:val="center"/>
          </w:tcPr>
          <w:p w14:paraId="67576957"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xml:space="preserve"> IPA III (2020)</w:t>
            </w:r>
          </w:p>
          <w:p w14:paraId="1F712405"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xml:space="preserve">MEUR 200  </w:t>
            </w:r>
          </w:p>
          <w:p w14:paraId="527F9F7E"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0%</w:t>
            </w:r>
          </w:p>
          <w:p w14:paraId="05169026"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0%</w:t>
            </w:r>
          </w:p>
        </w:tc>
        <w:tc>
          <w:tcPr>
            <w:tcW w:w="505" w:type="pct"/>
            <w:shd w:val="clear" w:color="auto" w:fill="FFFFFF" w:themeFill="background1"/>
            <w:vAlign w:val="center"/>
          </w:tcPr>
          <w:p w14:paraId="4DA4C072" w14:textId="77777777" w:rsidR="00353814" w:rsidRPr="00AE610E" w:rsidRDefault="00353814" w:rsidP="00AE610E">
            <w:pPr>
              <w:shd w:val="clear" w:color="auto" w:fill="FFFFFF" w:themeFill="background1"/>
              <w:spacing w:after="0" w:line="240" w:lineRule="auto"/>
              <w:rPr>
                <w:rFonts w:ascii="Times New Roman" w:hAnsi="Times New Roman"/>
                <w:sz w:val="20"/>
                <w:szCs w:val="20"/>
                <w:lang w:val="fr-BE"/>
              </w:rPr>
            </w:pPr>
            <w:r w:rsidRPr="00AE610E">
              <w:rPr>
                <w:rFonts w:ascii="Times New Roman" w:hAnsi="Times New Roman"/>
                <w:sz w:val="20"/>
                <w:szCs w:val="20"/>
                <w:lang w:val="fr-BE"/>
              </w:rPr>
              <w:t>IPA III (2027)</w:t>
            </w:r>
          </w:p>
          <w:p w14:paraId="4477A98F" w14:textId="77777777" w:rsidR="00353814" w:rsidRPr="00AE610E" w:rsidRDefault="00353814" w:rsidP="00AE610E">
            <w:pPr>
              <w:shd w:val="clear" w:color="auto" w:fill="FFFFFF" w:themeFill="background1"/>
              <w:spacing w:after="0" w:line="240" w:lineRule="auto"/>
              <w:rPr>
                <w:rFonts w:ascii="Times New Roman" w:hAnsi="Times New Roman"/>
                <w:sz w:val="20"/>
                <w:szCs w:val="20"/>
                <w:lang w:val="fr-BE"/>
              </w:rPr>
            </w:pPr>
            <w:r w:rsidRPr="00AE610E">
              <w:rPr>
                <w:rFonts w:ascii="Times New Roman" w:hAnsi="Times New Roman"/>
                <w:sz w:val="20"/>
                <w:szCs w:val="20"/>
                <w:lang w:val="fr-BE"/>
              </w:rPr>
              <w:t xml:space="preserve">&gt; MEUR 600 </w:t>
            </w:r>
          </w:p>
          <w:p w14:paraId="3DB0AC1D" w14:textId="77777777" w:rsidR="00353814" w:rsidRPr="00AE610E" w:rsidRDefault="00353814" w:rsidP="00AE610E">
            <w:pPr>
              <w:shd w:val="clear" w:color="auto" w:fill="FFFFFF" w:themeFill="background1"/>
              <w:spacing w:after="0" w:line="240" w:lineRule="auto"/>
              <w:rPr>
                <w:rFonts w:ascii="Times New Roman" w:hAnsi="Times New Roman"/>
                <w:sz w:val="20"/>
                <w:szCs w:val="20"/>
                <w:lang w:val="fr-BE"/>
              </w:rPr>
            </w:pPr>
            <w:r w:rsidRPr="00AE610E">
              <w:rPr>
                <w:rFonts w:ascii="Times New Roman" w:hAnsi="Times New Roman"/>
                <w:sz w:val="20"/>
                <w:szCs w:val="20"/>
                <w:lang w:val="fr-BE"/>
              </w:rPr>
              <w:t>100%</w:t>
            </w:r>
          </w:p>
          <w:p w14:paraId="3DC7B438"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lang w:val="fr-BE"/>
              </w:rPr>
              <w:t>90%</w:t>
            </w:r>
          </w:p>
        </w:tc>
        <w:tc>
          <w:tcPr>
            <w:tcW w:w="577" w:type="pct"/>
            <w:vMerge/>
            <w:shd w:val="clear" w:color="auto" w:fill="FFFFFF" w:themeFill="background1"/>
            <w:vAlign w:val="center"/>
          </w:tcPr>
          <w:p w14:paraId="3159A076"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674" w:type="pct"/>
            <w:vMerge/>
            <w:shd w:val="clear" w:color="auto" w:fill="auto"/>
            <w:vAlign w:val="center"/>
          </w:tcPr>
          <w:p w14:paraId="566D99B8"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666A03" w14:paraId="413F53CD" w14:textId="77777777" w:rsidTr="00AE610E">
        <w:trPr>
          <w:cantSplit/>
          <w:trHeight w:val="398"/>
        </w:trPr>
        <w:tc>
          <w:tcPr>
            <w:tcW w:w="447" w:type="pct"/>
            <w:vMerge w:val="restart"/>
            <w:shd w:val="clear" w:color="auto" w:fill="D9D9D9" w:themeFill="background1" w:themeFillShade="D9"/>
            <w:vAlign w:val="center"/>
          </w:tcPr>
          <w:p w14:paraId="6883E9DA"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 xml:space="preserve">Output 1 </w:t>
            </w:r>
          </w:p>
          <w:p w14:paraId="27AF4695"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related to Outcome 1</w:t>
            </w:r>
          </w:p>
        </w:tc>
        <w:tc>
          <w:tcPr>
            <w:tcW w:w="859" w:type="pct"/>
            <w:vMerge w:val="restart"/>
            <w:shd w:val="clear" w:color="auto" w:fill="auto"/>
            <w:vAlign w:val="center"/>
          </w:tcPr>
          <w:p w14:paraId="0A339BAC" w14:textId="77777777" w:rsidR="00353814" w:rsidRPr="00AE610E" w:rsidRDefault="00353814" w:rsidP="00AE610E">
            <w:pPr>
              <w:autoSpaceDE w:val="0"/>
              <w:autoSpaceDN w:val="0"/>
              <w:adjustRightInd w:val="0"/>
              <w:spacing w:after="0" w:line="240" w:lineRule="auto"/>
              <w:rPr>
                <w:rFonts w:ascii="Times New Roman" w:hAnsi="Times New Roman"/>
                <w:sz w:val="20"/>
                <w:szCs w:val="20"/>
              </w:rPr>
            </w:pPr>
            <w:r w:rsidRPr="00AE610E">
              <w:rPr>
                <w:rFonts w:ascii="Times New Roman" w:hAnsi="Times New Roman"/>
                <w:sz w:val="20"/>
                <w:szCs w:val="20"/>
              </w:rPr>
              <w:t xml:space="preserve">Strengthened management of the accession process; </w:t>
            </w:r>
          </w:p>
          <w:p w14:paraId="78E7CB48"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6F6E7307"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Number of adopted key documents</w:t>
            </w:r>
          </w:p>
          <w:p w14:paraId="7B3FC6B4"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631" w:type="pct"/>
            <w:shd w:val="clear" w:color="auto" w:fill="FFFFFF" w:themeFill="background1"/>
            <w:vAlign w:val="center"/>
          </w:tcPr>
          <w:p w14:paraId="58B6EEA3"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0 (2020)</w:t>
            </w:r>
          </w:p>
          <w:p w14:paraId="7CEDB7CE"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05" w:type="pct"/>
            <w:shd w:val="clear" w:color="auto" w:fill="FFFFFF" w:themeFill="background1"/>
            <w:vAlign w:val="center"/>
          </w:tcPr>
          <w:p w14:paraId="46B15CCF"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xml:space="preserve">&gt;15 </w:t>
            </w:r>
          </w:p>
          <w:p w14:paraId="1D425E86"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77" w:type="pct"/>
            <w:shd w:val="clear" w:color="auto" w:fill="FFFFFF" w:themeFill="background1"/>
            <w:vAlign w:val="center"/>
          </w:tcPr>
          <w:p w14:paraId="1630EEAF" w14:textId="77777777" w:rsidR="00353814" w:rsidRPr="00AE610E" w:rsidRDefault="00353814" w:rsidP="00AE610E">
            <w:pPr>
              <w:autoSpaceDE w:val="0"/>
              <w:autoSpaceDN w:val="0"/>
              <w:adjustRightInd w:val="0"/>
              <w:spacing w:after="0" w:line="240" w:lineRule="auto"/>
              <w:rPr>
                <w:rFonts w:ascii="Times New Roman" w:eastAsia="Calibri" w:hAnsi="Times New Roman"/>
                <w:sz w:val="20"/>
                <w:szCs w:val="20"/>
                <w:lang w:val="en-US"/>
              </w:rPr>
            </w:pPr>
            <w:r w:rsidRPr="00AE610E">
              <w:rPr>
                <w:rFonts w:ascii="Times New Roman" w:eastAsia="Calibri" w:hAnsi="Times New Roman"/>
                <w:sz w:val="20"/>
                <w:szCs w:val="20"/>
                <w:lang w:val="en-US"/>
              </w:rPr>
              <w:t>Government legislative agenda reports</w:t>
            </w:r>
          </w:p>
          <w:p w14:paraId="6E41654C"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674" w:type="pct"/>
            <w:shd w:val="clear" w:color="auto" w:fill="auto"/>
            <w:vAlign w:val="center"/>
          </w:tcPr>
          <w:p w14:paraId="5DD7F783" w14:textId="77777777" w:rsidR="00353814" w:rsidRPr="00AE610E" w:rsidRDefault="00353814" w:rsidP="00AE610E">
            <w:pPr>
              <w:autoSpaceDE w:val="0"/>
              <w:autoSpaceDN w:val="0"/>
              <w:adjustRightInd w:val="0"/>
              <w:spacing w:after="0" w:line="240" w:lineRule="auto"/>
              <w:rPr>
                <w:rFonts w:ascii="Times New Roman" w:eastAsia="Calibri" w:hAnsi="Times New Roman"/>
                <w:color w:val="000000"/>
                <w:sz w:val="20"/>
                <w:szCs w:val="20"/>
                <w:lang w:val="en-US"/>
              </w:rPr>
            </w:pPr>
            <w:r w:rsidRPr="00AE610E">
              <w:rPr>
                <w:rFonts w:ascii="Times New Roman" w:eastAsia="Calibri" w:hAnsi="Times New Roman"/>
                <w:color w:val="000000"/>
                <w:sz w:val="20"/>
                <w:szCs w:val="20"/>
                <w:lang w:val="en-US"/>
              </w:rPr>
              <w:t>Strong support for the accession to the European Union on behalf of the public administration, authorities, civil society, media and business.</w:t>
            </w:r>
          </w:p>
        </w:tc>
      </w:tr>
      <w:tr w:rsidR="00353814" w:rsidRPr="004F51D5" w14:paraId="11A456FE" w14:textId="77777777" w:rsidTr="00AE610E">
        <w:trPr>
          <w:cantSplit/>
          <w:trHeight w:val="398"/>
        </w:trPr>
        <w:tc>
          <w:tcPr>
            <w:tcW w:w="447" w:type="pct"/>
            <w:vMerge/>
            <w:shd w:val="clear" w:color="auto" w:fill="D9D9D9" w:themeFill="background1" w:themeFillShade="D9"/>
            <w:vAlign w:val="center"/>
          </w:tcPr>
          <w:p w14:paraId="357EB8F0"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5989A461"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10740B3C" w14:textId="77777777" w:rsidR="00353814" w:rsidRPr="00AE610E" w:rsidRDefault="00353814" w:rsidP="00AE610E">
            <w:pPr>
              <w:shd w:val="clear" w:color="auto" w:fill="FFFFFF" w:themeFill="background1"/>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 xml:space="preserve">Number of prepared guidelines, instructions, rules of procedure and unified methodology tools for effective coordination </w:t>
            </w:r>
          </w:p>
        </w:tc>
        <w:tc>
          <w:tcPr>
            <w:tcW w:w="631" w:type="pct"/>
            <w:shd w:val="clear" w:color="auto" w:fill="FFFFFF" w:themeFill="background1"/>
            <w:vAlign w:val="center"/>
          </w:tcPr>
          <w:p w14:paraId="4EDFC926"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0 (2020)</w:t>
            </w:r>
          </w:p>
          <w:p w14:paraId="7A34942A"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05" w:type="pct"/>
            <w:shd w:val="clear" w:color="auto" w:fill="FFFFFF" w:themeFill="background1"/>
            <w:vAlign w:val="center"/>
          </w:tcPr>
          <w:p w14:paraId="4E24F589"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&gt;50</w:t>
            </w:r>
          </w:p>
          <w:p w14:paraId="7AEC605C"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77" w:type="pct"/>
            <w:shd w:val="clear" w:color="auto" w:fill="FFFFFF" w:themeFill="background1"/>
            <w:vAlign w:val="center"/>
          </w:tcPr>
          <w:p w14:paraId="59399039" w14:textId="77777777" w:rsidR="00353814" w:rsidRPr="00AE610E" w:rsidRDefault="00353814" w:rsidP="00AE610E">
            <w:pPr>
              <w:shd w:val="clear" w:color="auto" w:fill="FFFFFF" w:themeFill="background1"/>
              <w:spacing w:after="0" w:line="240" w:lineRule="auto"/>
              <w:rPr>
                <w:rFonts w:ascii="Times New Roman" w:hAnsi="Times New Roman"/>
                <w:color w:val="000000" w:themeColor="text1"/>
                <w:sz w:val="20"/>
                <w:szCs w:val="20"/>
                <w:lang w:val="en-IE"/>
              </w:rPr>
            </w:pPr>
            <w:r w:rsidRPr="00AE610E">
              <w:rPr>
                <w:rFonts w:ascii="Times New Roman" w:hAnsi="Times New Roman"/>
                <w:color w:val="0D0D0D" w:themeColor="text1" w:themeTint="F2"/>
                <w:sz w:val="20"/>
                <w:szCs w:val="20"/>
                <w:lang w:val="en-IE"/>
              </w:rPr>
              <w:t>Project report</w:t>
            </w:r>
          </w:p>
        </w:tc>
        <w:tc>
          <w:tcPr>
            <w:tcW w:w="674" w:type="pct"/>
            <w:vMerge w:val="restart"/>
            <w:shd w:val="clear" w:color="auto" w:fill="auto"/>
            <w:vAlign w:val="center"/>
          </w:tcPr>
          <w:p w14:paraId="105EBCA4" w14:textId="77777777" w:rsidR="00353814" w:rsidRPr="00AE610E" w:rsidRDefault="00353814" w:rsidP="00AE610E">
            <w:pPr>
              <w:spacing w:after="0" w:line="240" w:lineRule="auto"/>
              <w:rPr>
                <w:rFonts w:ascii="Times New Roman" w:hAnsi="Times New Roman"/>
                <w:sz w:val="20"/>
                <w:szCs w:val="20"/>
              </w:rPr>
            </w:pPr>
            <w:r w:rsidRPr="00AE610E">
              <w:rPr>
                <w:rFonts w:ascii="Times New Roman" w:hAnsi="Times New Roman"/>
                <w:sz w:val="20"/>
                <w:szCs w:val="20"/>
              </w:rPr>
              <w:t xml:space="preserve">The fundamental reforms (such as Public Finance Management, Public Administration Reform, Judiciary) are well progressing </w:t>
            </w:r>
            <w:r w:rsidRPr="00AE610E">
              <w:rPr>
                <w:rFonts w:ascii="Times New Roman" w:hAnsi="Times New Roman"/>
                <w:sz w:val="20"/>
                <w:szCs w:val="20"/>
              </w:rPr>
              <w:lastRenderedPageBreak/>
              <w:t xml:space="preserve">and create a favourable environment for the alignment with the </w:t>
            </w:r>
            <w:r w:rsidRPr="00AE610E">
              <w:rPr>
                <w:rFonts w:ascii="Times New Roman" w:hAnsi="Times New Roman"/>
                <w:i/>
                <w:iCs/>
                <w:sz w:val="20"/>
                <w:szCs w:val="20"/>
              </w:rPr>
              <w:t xml:space="preserve">acquis </w:t>
            </w:r>
            <w:r w:rsidRPr="00AE610E">
              <w:rPr>
                <w:rFonts w:ascii="Times New Roman" w:hAnsi="Times New Roman"/>
                <w:sz w:val="20"/>
                <w:szCs w:val="20"/>
              </w:rPr>
              <w:t>and the implementation in practice of the new legislation.</w:t>
            </w:r>
          </w:p>
          <w:p w14:paraId="1D77A291"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Macroeconomic and political stability is maintained.</w:t>
            </w:r>
          </w:p>
        </w:tc>
      </w:tr>
      <w:tr w:rsidR="00353814" w:rsidRPr="004F51D5" w14:paraId="77AED243" w14:textId="77777777" w:rsidTr="00AE610E">
        <w:trPr>
          <w:cantSplit/>
          <w:trHeight w:val="398"/>
        </w:trPr>
        <w:tc>
          <w:tcPr>
            <w:tcW w:w="447" w:type="pct"/>
            <w:vMerge/>
            <w:shd w:val="clear" w:color="auto" w:fill="D9D9D9" w:themeFill="background1" w:themeFillShade="D9"/>
            <w:vAlign w:val="center"/>
          </w:tcPr>
          <w:p w14:paraId="68A9F83B"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5BA4E4D8"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01417A9A" w14:textId="58E5F22C"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Number of civil servants and other participants in negotiation structures trained</w:t>
            </w:r>
          </w:p>
        </w:tc>
        <w:tc>
          <w:tcPr>
            <w:tcW w:w="631" w:type="pct"/>
            <w:shd w:val="clear" w:color="auto" w:fill="FFFFFF" w:themeFill="background1"/>
            <w:vAlign w:val="center"/>
          </w:tcPr>
          <w:p w14:paraId="48092496"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0 (2020)</w:t>
            </w:r>
          </w:p>
          <w:p w14:paraId="21CD62A4"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05" w:type="pct"/>
            <w:shd w:val="clear" w:color="auto" w:fill="FFFFFF" w:themeFill="background1"/>
            <w:vAlign w:val="center"/>
          </w:tcPr>
          <w:p w14:paraId="5F4DEBD8"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 5000 (2027)</w:t>
            </w:r>
          </w:p>
          <w:p w14:paraId="4B5D9522"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77" w:type="pct"/>
            <w:shd w:val="clear" w:color="auto" w:fill="FFFFFF" w:themeFill="background1"/>
            <w:vAlign w:val="center"/>
          </w:tcPr>
          <w:p w14:paraId="602F271F" w14:textId="77777777" w:rsidR="00353814" w:rsidRPr="00AE610E" w:rsidRDefault="00353814" w:rsidP="00AE610E">
            <w:pPr>
              <w:shd w:val="clear" w:color="auto" w:fill="FFFFFF" w:themeFill="background1"/>
              <w:spacing w:after="0" w:line="240" w:lineRule="auto"/>
              <w:rPr>
                <w:rFonts w:ascii="Times New Roman" w:hAnsi="Times New Roman"/>
                <w:color w:val="000000" w:themeColor="text1"/>
                <w:sz w:val="20"/>
                <w:szCs w:val="20"/>
                <w:lang w:val="en-IE"/>
              </w:rPr>
            </w:pPr>
            <w:r w:rsidRPr="00AE610E">
              <w:rPr>
                <w:rFonts w:ascii="Times New Roman" w:hAnsi="Times New Roman"/>
                <w:color w:val="0D0D0D" w:themeColor="text1" w:themeTint="F2"/>
                <w:sz w:val="20"/>
                <w:szCs w:val="20"/>
                <w:lang w:val="en-IE"/>
              </w:rPr>
              <w:t>Project report</w:t>
            </w:r>
          </w:p>
        </w:tc>
        <w:tc>
          <w:tcPr>
            <w:tcW w:w="674" w:type="pct"/>
            <w:vMerge/>
            <w:shd w:val="clear" w:color="auto" w:fill="auto"/>
            <w:vAlign w:val="center"/>
          </w:tcPr>
          <w:p w14:paraId="0BFCAE13"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71A62DB7" w14:textId="77777777" w:rsidTr="00AE610E">
        <w:trPr>
          <w:cantSplit/>
          <w:trHeight w:val="398"/>
        </w:trPr>
        <w:tc>
          <w:tcPr>
            <w:tcW w:w="447" w:type="pct"/>
            <w:vMerge/>
            <w:shd w:val="clear" w:color="auto" w:fill="D9D9D9" w:themeFill="background1" w:themeFillShade="D9"/>
            <w:vAlign w:val="center"/>
          </w:tcPr>
          <w:p w14:paraId="08C5397F"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113B7902"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319DFA39"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E-Accession IT tools developed and operational:</w:t>
            </w:r>
          </w:p>
          <w:p w14:paraId="149534E7"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xml:space="preserve">- Software for translated national and translated </w:t>
            </w:r>
            <w:r w:rsidRPr="00AE610E">
              <w:rPr>
                <w:rFonts w:ascii="Times New Roman" w:hAnsi="Times New Roman"/>
                <w:i/>
                <w:iCs/>
                <w:sz w:val="20"/>
                <w:szCs w:val="20"/>
              </w:rPr>
              <w:t>EU acquis</w:t>
            </w:r>
            <w:r w:rsidRPr="00AE610E">
              <w:rPr>
                <w:rFonts w:ascii="Times New Roman" w:hAnsi="Times New Roman"/>
                <w:sz w:val="20"/>
                <w:szCs w:val="20"/>
              </w:rPr>
              <w:t xml:space="preserve">; </w:t>
            </w:r>
          </w:p>
          <w:p w14:paraId="3B1B2D61"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 E-learning software on various EU topics) – number of logs</w:t>
            </w:r>
          </w:p>
        </w:tc>
        <w:tc>
          <w:tcPr>
            <w:tcW w:w="631" w:type="pct"/>
            <w:shd w:val="clear" w:color="auto" w:fill="FFFFFF" w:themeFill="background1"/>
            <w:vAlign w:val="center"/>
          </w:tcPr>
          <w:p w14:paraId="1CA8A334"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0C89C7E1"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1CC5A8E1"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65EC84AC"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0 (2020)</w:t>
            </w:r>
          </w:p>
          <w:p w14:paraId="3DAA9885"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0 (2020)</w:t>
            </w:r>
          </w:p>
          <w:p w14:paraId="54A9FE95"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05" w:type="pct"/>
            <w:shd w:val="clear" w:color="auto" w:fill="FFFFFF" w:themeFill="background1"/>
            <w:vAlign w:val="center"/>
          </w:tcPr>
          <w:p w14:paraId="189872EC"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2B7D8494"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0953E821"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1</w:t>
            </w:r>
          </w:p>
          <w:p w14:paraId="72FCDC9A"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 xml:space="preserve">&gt;10,000/year </w:t>
            </w:r>
          </w:p>
        </w:tc>
        <w:tc>
          <w:tcPr>
            <w:tcW w:w="577" w:type="pct"/>
            <w:shd w:val="clear" w:color="auto" w:fill="FFFFFF" w:themeFill="background1"/>
            <w:vAlign w:val="center"/>
          </w:tcPr>
          <w:p w14:paraId="69A7FD00"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e-Accession on-line</w:t>
            </w:r>
          </w:p>
          <w:p w14:paraId="6CA1C8FB"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674" w:type="pct"/>
            <w:vMerge/>
            <w:shd w:val="clear" w:color="auto" w:fill="auto"/>
            <w:vAlign w:val="center"/>
          </w:tcPr>
          <w:p w14:paraId="15A8392D"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44E02942" w14:textId="77777777" w:rsidTr="00AE610E">
        <w:trPr>
          <w:cantSplit/>
          <w:trHeight w:val="418"/>
        </w:trPr>
        <w:tc>
          <w:tcPr>
            <w:tcW w:w="447" w:type="pct"/>
            <w:shd w:val="clear" w:color="auto" w:fill="D9D9D9" w:themeFill="background1" w:themeFillShade="D9"/>
            <w:vAlign w:val="center"/>
          </w:tcPr>
          <w:p w14:paraId="0F34B26E"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Output 2 related to Outcome 1</w:t>
            </w:r>
          </w:p>
        </w:tc>
        <w:tc>
          <w:tcPr>
            <w:tcW w:w="859" w:type="pct"/>
            <w:shd w:val="clear" w:color="auto" w:fill="auto"/>
            <w:vAlign w:val="center"/>
          </w:tcPr>
          <w:p w14:paraId="73ADDDA1"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 xml:space="preserve">Increased level of alignment of the national legislation with the </w:t>
            </w:r>
            <w:r w:rsidRPr="00AE610E">
              <w:rPr>
                <w:rFonts w:ascii="Times New Roman" w:hAnsi="Times New Roman"/>
                <w:i/>
                <w:iCs/>
                <w:sz w:val="20"/>
                <w:szCs w:val="20"/>
              </w:rPr>
              <w:t>EU acquis</w:t>
            </w:r>
            <w:r w:rsidRPr="00AE610E" w:rsidDel="00EB6234">
              <w:rPr>
                <w:rFonts w:ascii="Times New Roman" w:hAnsi="Times New Roman"/>
                <w:i/>
                <w:iCs/>
                <w:color w:val="0D0D0D" w:themeColor="text1" w:themeTint="F2"/>
                <w:sz w:val="20"/>
                <w:szCs w:val="20"/>
                <w:lang w:val="en-IE"/>
              </w:rPr>
              <w:t xml:space="preserve"> </w:t>
            </w:r>
          </w:p>
        </w:tc>
        <w:tc>
          <w:tcPr>
            <w:tcW w:w="1307" w:type="pct"/>
            <w:shd w:val="clear" w:color="auto" w:fill="FFFFFF" w:themeFill="background1"/>
          </w:tcPr>
          <w:p w14:paraId="701C681D"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 xml:space="preserve">Number of adopted laws ensuring the harmonisation with the </w:t>
            </w:r>
            <w:r w:rsidRPr="00AE610E">
              <w:rPr>
                <w:rFonts w:ascii="Times New Roman" w:hAnsi="Times New Roman"/>
                <w:i/>
                <w:iCs/>
                <w:sz w:val="20"/>
                <w:szCs w:val="20"/>
              </w:rPr>
              <w:t>acquis</w:t>
            </w:r>
          </w:p>
        </w:tc>
        <w:tc>
          <w:tcPr>
            <w:tcW w:w="631" w:type="pct"/>
            <w:shd w:val="clear" w:color="auto" w:fill="FFFFFF" w:themeFill="background1"/>
          </w:tcPr>
          <w:p w14:paraId="0CD31FD7"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0 (2020)</w:t>
            </w:r>
          </w:p>
          <w:p w14:paraId="1A7945F6"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397DB374"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05" w:type="pct"/>
            <w:shd w:val="clear" w:color="auto" w:fill="FFFFFF" w:themeFill="background1"/>
          </w:tcPr>
          <w:p w14:paraId="265A2EC0"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 180 laws (2027)</w:t>
            </w:r>
          </w:p>
          <w:p w14:paraId="6CC04BC5"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2827C479"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77" w:type="pct"/>
            <w:shd w:val="clear" w:color="auto" w:fill="FFFFFF" w:themeFill="background1"/>
            <w:vAlign w:val="center"/>
          </w:tcPr>
          <w:p w14:paraId="18A90BD5"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NPAA monitoring reports</w:t>
            </w:r>
          </w:p>
          <w:p w14:paraId="2837B4DC"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674" w:type="pct"/>
            <w:vMerge/>
            <w:shd w:val="clear" w:color="auto" w:fill="auto"/>
            <w:vAlign w:val="center"/>
          </w:tcPr>
          <w:p w14:paraId="7C222486"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28E2E587" w14:textId="77777777" w:rsidTr="00AE610E">
        <w:trPr>
          <w:cantSplit/>
          <w:trHeight w:val="689"/>
        </w:trPr>
        <w:tc>
          <w:tcPr>
            <w:tcW w:w="447" w:type="pct"/>
            <w:vMerge w:val="restart"/>
            <w:shd w:val="clear" w:color="auto" w:fill="D9D9D9" w:themeFill="background1" w:themeFillShade="D9"/>
            <w:vAlign w:val="center"/>
          </w:tcPr>
          <w:p w14:paraId="669B9720"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Output 3</w:t>
            </w:r>
          </w:p>
          <w:p w14:paraId="7A0191C5"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related to Outcome 1</w:t>
            </w:r>
          </w:p>
        </w:tc>
        <w:tc>
          <w:tcPr>
            <w:tcW w:w="859" w:type="pct"/>
            <w:vMerge w:val="restart"/>
            <w:shd w:val="clear" w:color="auto" w:fill="auto"/>
            <w:vAlign w:val="center"/>
          </w:tcPr>
          <w:p w14:paraId="29422908"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Improved capacity of the national institutions to implement the aligned legislation and progress on the fundamental and structural reforms in support of the country’s accession</w:t>
            </w:r>
            <w:r w:rsidRPr="00AE610E" w:rsidDel="00466183">
              <w:rPr>
                <w:rFonts w:ascii="Times New Roman" w:hAnsi="Times New Roman"/>
                <w:color w:val="0D0D0D" w:themeColor="text1" w:themeTint="F2"/>
                <w:sz w:val="20"/>
                <w:szCs w:val="20"/>
                <w:lang w:val="en-IE"/>
              </w:rPr>
              <w:t xml:space="preserve"> </w:t>
            </w:r>
          </w:p>
        </w:tc>
        <w:tc>
          <w:tcPr>
            <w:tcW w:w="1307" w:type="pct"/>
            <w:shd w:val="clear" w:color="auto" w:fill="FFFFFF" w:themeFill="background1"/>
            <w:vAlign w:val="center"/>
          </w:tcPr>
          <w:p w14:paraId="5485F4A2" w14:textId="0B99DBF2"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Number of people trained on the new laws</w:t>
            </w:r>
          </w:p>
        </w:tc>
        <w:tc>
          <w:tcPr>
            <w:tcW w:w="631" w:type="pct"/>
            <w:shd w:val="clear" w:color="auto" w:fill="FFFFFF" w:themeFill="background1"/>
            <w:vAlign w:val="center"/>
          </w:tcPr>
          <w:p w14:paraId="3206D0FB"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0 (2020)</w:t>
            </w:r>
          </w:p>
        </w:tc>
        <w:tc>
          <w:tcPr>
            <w:tcW w:w="505" w:type="pct"/>
            <w:shd w:val="clear" w:color="auto" w:fill="FFFFFF" w:themeFill="background1"/>
            <w:vAlign w:val="center"/>
          </w:tcPr>
          <w:p w14:paraId="4A8BF6C3"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20 000 (2027)</w:t>
            </w:r>
          </w:p>
          <w:p w14:paraId="76867EEA"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77" w:type="pct"/>
            <w:shd w:val="clear" w:color="auto" w:fill="FFFFFF" w:themeFill="background1"/>
            <w:vAlign w:val="center"/>
          </w:tcPr>
          <w:p w14:paraId="20BFBC50"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NPAA monitoring reports</w:t>
            </w:r>
            <w:r w:rsidRPr="00AE610E" w:rsidDel="00466183">
              <w:rPr>
                <w:rFonts w:ascii="Times New Roman" w:hAnsi="Times New Roman"/>
                <w:color w:val="0D0D0D" w:themeColor="text1" w:themeTint="F2"/>
                <w:sz w:val="20"/>
                <w:szCs w:val="20"/>
                <w:lang w:val="en-IE"/>
              </w:rPr>
              <w:t xml:space="preserve"> </w:t>
            </w:r>
          </w:p>
        </w:tc>
        <w:tc>
          <w:tcPr>
            <w:tcW w:w="674" w:type="pct"/>
            <w:vMerge/>
            <w:shd w:val="clear" w:color="auto" w:fill="auto"/>
            <w:vAlign w:val="center"/>
          </w:tcPr>
          <w:p w14:paraId="76A812B7"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005EDC34" w14:textId="77777777" w:rsidTr="00AE610E">
        <w:trPr>
          <w:cantSplit/>
          <w:trHeight w:val="418"/>
        </w:trPr>
        <w:tc>
          <w:tcPr>
            <w:tcW w:w="447" w:type="pct"/>
            <w:vMerge/>
            <w:shd w:val="clear" w:color="auto" w:fill="D9D9D9" w:themeFill="background1" w:themeFillShade="D9"/>
            <w:vAlign w:val="center"/>
          </w:tcPr>
          <w:p w14:paraId="238C2703"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52C1760E" w14:textId="77777777" w:rsidR="00353814" w:rsidRPr="00AE610E" w:rsidRDefault="00353814" w:rsidP="00AE610E">
            <w:pPr>
              <w:autoSpaceDE w:val="0"/>
              <w:autoSpaceDN w:val="0"/>
              <w:adjustRightInd w:val="0"/>
              <w:spacing w:after="0" w:line="240" w:lineRule="auto"/>
              <w:rPr>
                <w:rFonts w:ascii="Times New Roman" w:hAnsi="Times New Roman"/>
                <w:sz w:val="20"/>
                <w:szCs w:val="20"/>
              </w:rPr>
            </w:pPr>
          </w:p>
        </w:tc>
        <w:tc>
          <w:tcPr>
            <w:tcW w:w="1307" w:type="pct"/>
            <w:shd w:val="clear" w:color="auto" w:fill="FFFFFF" w:themeFill="background1"/>
            <w:vAlign w:val="center"/>
          </w:tcPr>
          <w:p w14:paraId="62DADA5D" w14:textId="77777777" w:rsidR="00353814" w:rsidRPr="00AE610E" w:rsidDel="00466183"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Number of institutions with enhanced administrative capacity to implement the harmonised legislation</w:t>
            </w:r>
          </w:p>
        </w:tc>
        <w:tc>
          <w:tcPr>
            <w:tcW w:w="631" w:type="pct"/>
            <w:shd w:val="clear" w:color="auto" w:fill="FFFFFF" w:themeFill="background1"/>
            <w:vAlign w:val="center"/>
          </w:tcPr>
          <w:p w14:paraId="00F8157B" w14:textId="77777777" w:rsidR="00353814" w:rsidRPr="00AE610E" w:rsidDel="00466183"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0 (2020)</w:t>
            </w:r>
          </w:p>
        </w:tc>
        <w:tc>
          <w:tcPr>
            <w:tcW w:w="505" w:type="pct"/>
            <w:shd w:val="clear" w:color="auto" w:fill="FFFFFF" w:themeFill="background1"/>
            <w:vAlign w:val="center"/>
          </w:tcPr>
          <w:p w14:paraId="485CAE2E"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 300 (2027)</w:t>
            </w:r>
          </w:p>
          <w:p w14:paraId="2692F1C8" w14:textId="77777777" w:rsidR="00353814" w:rsidRPr="00AE610E" w:rsidDel="00466183" w:rsidRDefault="00353814" w:rsidP="00AE610E">
            <w:pPr>
              <w:spacing w:after="0" w:line="240" w:lineRule="auto"/>
              <w:rPr>
                <w:rFonts w:ascii="Times New Roman" w:hAnsi="Times New Roman"/>
                <w:color w:val="0D0D0D" w:themeColor="text1" w:themeTint="F2"/>
                <w:sz w:val="20"/>
                <w:szCs w:val="20"/>
                <w:lang w:val="en-IE"/>
              </w:rPr>
            </w:pPr>
          </w:p>
        </w:tc>
        <w:tc>
          <w:tcPr>
            <w:tcW w:w="577" w:type="pct"/>
            <w:shd w:val="clear" w:color="auto" w:fill="FFFFFF" w:themeFill="background1"/>
            <w:vAlign w:val="center"/>
          </w:tcPr>
          <w:p w14:paraId="6E524724" w14:textId="77777777" w:rsidR="00353814" w:rsidRPr="00AE610E" w:rsidDel="00466183"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NPAA monitoring reports</w:t>
            </w:r>
          </w:p>
        </w:tc>
        <w:tc>
          <w:tcPr>
            <w:tcW w:w="674" w:type="pct"/>
            <w:vMerge/>
            <w:shd w:val="clear" w:color="auto" w:fill="auto"/>
            <w:vAlign w:val="center"/>
          </w:tcPr>
          <w:p w14:paraId="658026D6"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1566DE4F" w14:textId="77777777" w:rsidTr="00AE610E">
        <w:trPr>
          <w:cantSplit/>
          <w:trHeight w:val="418"/>
        </w:trPr>
        <w:tc>
          <w:tcPr>
            <w:tcW w:w="447" w:type="pct"/>
            <w:vMerge w:val="restart"/>
            <w:shd w:val="clear" w:color="auto" w:fill="D9D9D9" w:themeFill="background1" w:themeFillShade="D9"/>
            <w:vAlign w:val="center"/>
          </w:tcPr>
          <w:p w14:paraId="52325F0D"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Output 4 related to Outcome 1</w:t>
            </w:r>
          </w:p>
        </w:tc>
        <w:tc>
          <w:tcPr>
            <w:tcW w:w="859" w:type="pct"/>
            <w:vMerge w:val="restart"/>
            <w:shd w:val="clear" w:color="auto" w:fill="auto"/>
            <w:vAlign w:val="center"/>
          </w:tcPr>
          <w:p w14:paraId="71755D59"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Increased support of the citizens of North Macedonia on the country’s accession to EU</w:t>
            </w:r>
          </w:p>
        </w:tc>
        <w:tc>
          <w:tcPr>
            <w:tcW w:w="1307" w:type="pct"/>
            <w:shd w:val="clear" w:color="auto" w:fill="FFFFFF" w:themeFill="background1"/>
            <w:vAlign w:val="center"/>
          </w:tcPr>
          <w:p w14:paraId="77E15822" w14:textId="1EC89DC0"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xml:space="preserve">Number of stakeholders reached through the implementation of the communication strategy </w:t>
            </w:r>
          </w:p>
        </w:tc>
        <w:tc>
          <w:tcPr>
            <w:tcW w:w="631" w:type="pct"/>
            <w:shd w:val="clear" w:color="auto" w:fill="FFFFFF" w:themeFill="background1"/>
            <w:vAlign w:val="center"/>
          </w:tcPr>
          <w:p w14:paraId="1AFF1979"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0 (2020)</w:t>
            </w:r>
          </w:p>
        </w:tc>
        <w:tc>
          <w:tcPr>
            <w:tcW w:w="505" w:type="pct"/>
            <w:shd w:val="clear" w:color="auto" w:fill="FFFFFF" w:themeFill="background1"/>
            <w:vAlign w:val="center"/>
          </w:tcPr>
          <w:p w14:paraId="4780FA05"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&gt;300,000/year</w:t>
            </w:r>
          </w:p>
          <w:p w14:paraId="3A045B19"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77" w:type="pct"/>
            <w:vMerge w:val="restart"/>
            <w:shd w:val="clear" w:color="auto" w:fill="FFFFFF" w:themeFill="background1"/>
            <w:vAlign w:val="center"/>
          </w:tcPr>
          <w:p w14:paraId="54279A48"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Project report</w:t>
            </w:r>
          </w:p>
          <w:p w14:paraId="0E56B1F2"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Media</w:t>
            </w:r>
          </w:p>
        </w:tc>
        <w:tc>
          <w:tcPr>
            <w:tcW w:w="674" w:type="pct"/>
            <w:vMerge/>
            <w:shd w:val="clear" w:color="auto" w:fill="auto"/>
            <w:vAlign w:val="center"/>
          </w:tcPr>
          <w:p w14:paraId="2EF55912"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1CF017DC" w14:textId="77777777" w:rsidTr="00AE610E">
        <w:trPr>
          <w:cantSplit/>
          <w:trHeight w:val="418"/>
        </w:trPr>
        <w:tc>
          <w:tcPr>
            <w:tcW w:w="447" w:type="pct"/>
            <w:vMerge/>
            <w:shd w:val="clear" w:color="auto" w:fill="D9D9D9" w:themeFill="background1" w:themeFillShade="D9"/>
            <w:vAlign w:val="center"/>
          </w:tcPr>
          <w:p w14:paraId="266B3D37"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7B182983"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62DDD7D5" w14:textId="0E0E3E16"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Number of EU-specific spokespersons in national institutions trained</w:t>
            </w:r>
          </w:p>
        </w:tc>
        <w:tc>
          <w:tcPr>
            <w:tcW w:w="631" w:type="pct"/>
            <w:shd w:val="clear" w:color="auto" w:fill="FFFFFF" w:themeFill="background1"/>
          </w:tcPr>
          <w:p w14:paraId="73AE0082"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p w14:paraId="75567E46"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0 (2020)</w:t>
            </w:r>
          </w:p>
        </w:tc>
        <w:tc>
          <w:tcPr>
            <w:tcW w:w="505" w:type="pct"/>
            <w:shd w:val="clear" w:color="auto" w:fill="FFFFFF" w:themeFill="background1"/>
          </w:tcPr>
          <w:p w14:paraId="123737CC"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p w14:paraId="6B644408"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50 (2027)</w:t>
            </w:r>
          </w:p>
        </w:tc>
        <w:tc>
          <w:tcPr>
            <w:tcW w:w="577" w:type="pct"/>
            <w:vMerge/>
            <w:shd w:val="clear" w:color="auto" w:fill="FFFFFF" w:themeFill="background1"/>
            <w:vAlign w:val="center"/>
          </w:tcPr>
          <w:p w14:paraId="0092C638"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674" w:type="pct"/>
            <w:vMerge/>
            <w:shd w:val="clear" w:color="auto" w:fill="auto"/>
            <w:vAlign w:val="center"/>
          </w:tcPr>
          <w:p w14:paraId="19CB079F"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1F488F9C" w14:textId="77777777" w:rsidTr="00AE610E">
        <w:trPr>
          <w:cantSplit/>
          <w:trHeight w:val="418"/>
        </w:trPr>
        <w:tc>
          <w:tcPr>
            <w:tcW w:w="447" w:type="pct"/>
            <w:vMerge/>
            <w:shd w:val="clear" w:color="auto" w:fill="D9D9D9" w:themeFill="background1" w:themeFillShade="D9"/>
            <w:vAlign w:val="center"/>
          </w:tcPr>
          <w:p w14:paraId="41D021A2"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68A729B7"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21297D5D" w14:textId="1AD87A7D"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Number of journalists on EU affairs trained</w:t>
            </w:r>
          </w:p>
        </w:tc>
        <w:tc>
          <w:tcPr>
            <w:tcW w:w="631" w:type="pct"/>
            <w:shd w:val="clear" w:color="auto" w:fill="FFFFFF" w:themeFill="background1"/>
          </w:tcPr>
          <w:p w14:paraId="4FBB2BBB"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p w14:paraId="5A8981B2"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0 (2020)</w:t>
            </w:r>
          </w:p>
        </w:tc>
        <w:tc>
          <w:tcPr>
            <w:tcW w:w="505" w:type="pct"/>
            <w:shd w:val="clear" w:color="auto" w:fill="FFFFFF" w:themeFill="background1"/>
          </w:tcPr>
          <w:p w14:paraId="68415E8E"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2ED56612"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 100 (2027)</w:t>
            </w:r>
          </w:p>
          <w:p w14:paraId="4BB99D60"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77" w:type="pct"/>
            <w:vMerge/>
            <w:shd w:val="clear" w:color="auto" w:fill="FFFFFF" w:themeFill="background1"/>
            <w:vAlign w:val="center"/>
          </w:tcPr>
          <w:p w14:paraId="2AD747BD"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674" w:type="pct"/>
            <w:vMerge/>
            <w:shd w:val="clear" w:color="auto" w:fill="auto"/>
            <w:vAlign w:val="center"/>
          </w:tcPr>
          <w:p w14:paraId="1FE7EBAA"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7B30CADD" w14:textId="77777777" w:rsidTr="00AE610E">
        <w:trPr>
          <w:cantSplit/>
          <w:trHeight w:val="418"/>
        </w:trPr>
        <w:tc>
          <w:tcPr>
            <w:tcW w:w="447" w:type="pct"/>
            <w:vMerge/>
            <w:shd w:val="clear" w:color="auto" w:fill="D9D9D9" w:themeFill="background1" w:themeFillShade="D9"/>
            <w:vAlign w:val="center"/>
          </w:tcPr>
          <w:p w14:paraId="3DBA05A6"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24779111"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4AC0CB49" w14:textId="0EBED7C2"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Number of outreach events and communication products produced</w:t>
            </w:r>
          </w:p>
        </w:tc>
        <w:tc>
          <w:tcPr>
            <w:tcW w:w="631" w:type="pct"/>
            <w:shd w:val="clear" w:color="auto" w:fill="FFFFFF" w:themeFill="background1"/>
          </w:tcPr>
          <w:p w14:paraId="61439B57"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p w14:paraId="79AB410D"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5 (2020)</w:t>
            </w:r>
          </w:p>
        </w:tc>
        <w:tc>
          <w:tcPr>
            <w:tcW w:w="505" w:type="pct"/>
            <w:shd w:val="clear" w:color="auto" w:fill="FFFFFF" w:themeFill="background1"/>
          </w:tcPr>
          <w:p w14:paraId="39EB97DE"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p>
          <w:p w14:paraId="1E2DFB23"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 500 (2027)</w:t>
            </w:r>
          </w:p>
          <w:p w14:paraId="65083F3C"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577" w:type="pct"/>
            <w:vMerge/>
            <w:shd w:val="clear" w:color="auto" w:fill="FFFFFF" w:themeFill="background1"/>
            <w:vAlign w:val="center"/>
          </w:tcPr>
          <w:p w14:paraId="086ED29E"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674" w:type="pct"/>
            <w:vMerge/>
            <w:shd w:val="clear" w:color="auto" w:fill="auto"/>
            <w:vAlign w:val="center"/>
          </w:tcPr>
          <w:p w14:paraId="1E92A781"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62C7EAA6" w14:textId="77777777" w:rsidTr="00AE610E">
        <w:trPr>
          <w:cantSplit/>
          <w:trHeight w:val="418"/>
        </w:trPr>
        <w:tc>
          <w:tcPr>
            <w:tcW w:w="447" w:type="pct"/>
            <w:vMerge/>
            <w:shd w:val="clear" w:color="auto" w:fill="D9D9D9" w:themeFill="background1" w:themeFillShade="D9"/>
            <w:vAlign w:val="center"/>
          </w:tcPr>
          <w:p w14:paraId="19E379AC"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46BF78DA"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3A8C13F8"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Number of entities involved in communication activities on EU accession</w:t>
            </w:r>
          </w:p>
        </w:tc>
        <w:tc>
          <w:tcPr>
            <w:tcW w:w="631" w:type="pct"/>
            <w:shd w:val="clear" w:color="auto" w:fill="FFFFFF" w:themeFill="background1"/>
          </w:tcPr>
          <w:p w14:paraId="2AE6E397"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p w14:paraId="76B5F12B"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TBD</w:t>
            </w:r>
          </w:p>
        </w:tc>
        <w:tc>
          <w:tcPr>
            <w:tcW w:w="505" w:type="pct"/>
            <w:shd w:val="clear" w:color="auto" w:fill="FFFFFF" w:themeFill="background1"/>
          </w:tcPr>
          <w:p w14:paraId="3CF1EC3E" w14:textId="77777777" w:rsidR="00353814" w:rsidRPr="00AE610E" w:rsidRDefault="00353814" w:rsidP="00AE610E">
            <w:pPr>
              <w:spacing w:after="0" w:line="240" w:lineRule="auto"/>
              <w:rPr>
                <w:rFonts w:ascii="Times New Roman" w:hAnsi="Times New Roman"/>
                <w:sz w:val="20"/>
                <w:szCs w:val="20"/>
              </w:rPr>
            </w:pPr>
          </w:p>
          <w:p w14:paraId="2800D679"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&gt;200 (2027)</w:t>
            </w:r>
          </w:p>
        </w:tc>
        <w:tc>
          <w:tcPr>
            <w:tcW w:w="577" w:type="pct"/>
            <w:vMerge/>
            <w:shd w:val="clear" w:color="auto" w:fill="FFFFFF" w:themeFill="background1"/>
            <w:vAlign w:val="center"/>
          </w:tcPr>
          <w:p w14:paraId="4330B287"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p>
        </w:tc>
        <w:tc>
          <w:tcPr>
            <w:tcW w:w="674" w:type="pct"/>
            <w:vMerge/>
            <w:shd w:val="clear" w:color="auto" w:fill="auto"/>
            <w:vAlign w:val="center"/>
          </w:tcPr>
          <w:p w14:paraId="3E3DC554"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2F36E160" w14:textId="77777777" w:rsidTr="00AE610E">
        <w:trPr>
          <w:cantSplit/>
          <w:trHeight w:val="418"/>
        </w:trPr>
        <w:tc>
          <w:tcPr>
            <w:tcW w:w="447" w:type="pct"/>
            <w:vMerge w:val="restart"/>
            <w:shd w:val="clear" w:color="auto" w:fill="D9D9D9" w:themeFill="background1" w:themeFillShade="D9"/>
            <w:vAlign w:val="center"/>
          </w:tcPr>
          <w:p w14:paraId="2A81D8EB"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Output 1 related to Outcome 2</w:t>
            </w:r>
          </w:p>
        </w:tc>
        <w:tc>
          <w:tcPr>
            <w:tcW w:w="859" w:type="pct"/>
            <w:vMerge w:val="restart"/>
            <w:shd w:val="clear" w:color="auto" w:fill="auto"/>
            <w:vAlign w:val="center"/>
          </w:tcPr>
          <w:p w14:paraId="526B7774"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Strengthened national capacity for management of the EU funds</w:t>
            </w:r>
          </w:p>
        </w:tc>
        <w:tc>
          <w:tcPr>
            <w:tcW w:w="1307" w:type="pct"/>
            <w:shd w:val="clear" w:color="auto" w:fill="FFFFFF" w:themeFill="background1"/>
            <w:vAlign w:val="center"/>
          </w:tcPr>
          <w:p w14:paraId="46AA1E2F" w14:textId="0FB4B0BA"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IPA III - Value of funds under indirect management</w:t>
            </w:r>
          </w:p>
        </w:tc>
        <w:tc>
          <w:tcPr>
            <w:tcW w:w="631" w:type="pct"/>
            <w:shd w:val="clear" w:color="auto" w:fill="FFFFFF" w:themeFill="background1"/>
          </w:tcPr>
          <w:p w14:paraId="0754D99A"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0% (2020)</w:t>
            </w:r>
          </w:p>
        </w:tc>
        <w:tc>
          <w:tcPr>
            <w:tcW w:w="505" w:type="pct"/>
            <w:shd w:val="clear" w:color="auto" w:fill="FFFFFF" w:themeFill="background1"/>
          </w:tcPr>
          <w:p w14:paraId="5D2CAB55"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&gt;50% (2027)</w:t>
            </w:r>
          </w:p>
          <w:p w14:paraId="15B5B32C" w14:textId="77777777" w:rsidR="00353814" w:rsidRPr="00AE610E" w:rsidRDefault="00353814" w:rsidP="00AE610E">
            <w:pPr>
              <w:spacing w:after="0" w:line="240" w:lineRule="auto"/>
              <w:rPr>
                <w:rFonts w:ascii="Times New Roman" w:hAnsi="Times New Roman"/>
                <w:sz w:val="20"/>
                <w:szCs w:val="20"/>
              </w:rPr>
            </w:pPr>
          </w:p>
        </w:tc>
        <w:tc>
          <w:tcPr>
            <w:tcW w:w="577" w:type="pct"/>
            <w:shd w:val="clear" w:color="auto" w:fill="FFFFFF" w:themeFill="background1"/>
            <w:vAlign w:val="center"/>
          </w:tcPr>
          <w:p w14:paraId="76A769E9"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Financing Agreement</w:t>
            </w:r>
          </w:p>
        </w:tc>
        <w:tc>
          <w:tcPr>
            <w:tcW w:w="674" w:type="pct"/>
            <w:vMerge/>
            <w:shd w:val="clear" w:color="auto" w:fill="auto"/>
            <w:vAlign w:val="center"/>
          </w:tcPr>
          <w:p w14:paraId="0F970210"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586A5454" w14:textId="77777777" w:rsidTr="00AE610E">
        <w:trPr>
          <w:cantSplit/>
          <w:trHeight w:val="418"/>
        </w:trPr>
        <w:tc>
          <w:tcPr>
            <w:tcW w:w="447" w:type="pct"/>
            <w:vMerge/>
            <w:shd w:val="clear" w:color="auto" w:fill="D9D9D9" w:themeFill="background1" w:themeFillShade="D9"/>
            <w:vAlign w:val="center"/>
          </w:tcPr>
          <w:p w14:paraId="6770F73D"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73C9D76B"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215A122B" w14:textId="77777777" w:rsidR="00353814" w:rsidRPr="00AE610E" w:rsidRDefault="00353814" w:rsidP="00AE610E">
            <w:pPr>
              <w:autoSpaceDE w:val="0"/>
              <w:autoSpaceDN w:val="0"/>
              <w:adjustRightInd w:val="0"/>
              <w:spacing w:after="0" w:line="240" w:lineRule="auto"/>
              <w:rPr>
                <w:rFonts w:ascii="Times New Roman" w:hAnsi="Times New Roman"/>
                <w:sz w:val="20"/>
                <w:szCs w:val="20"/>
              </w:rPr>
            </w:pPr>
            <w:r w:rsidRPr="00AE610E">
              <w:rPr>
                <w:rFonts w:ascii="Times New Roman" w:hAnsi="Times New Roman"/>
                <w:sz w:val="20"/>
                <w:szCs w:val="20"/>
              </w:rPr>
              <w:t>Financial management and control systems operate smoothly (number of critical audit findings)</w:t>
            </w:r>
          </w:p>
        </w:tc>
        <w:tc>
          <w:tcPr>
            <w:tcW w:w="631" w:type="pct"/>
            <w:shd w:val="clear" w:color="auto" w:fill="FFFFFF" w:themeFill="background1"/>
          </w:tcPr>
          <w:p w14:paraId="1777BD7C"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AA: 10</w:t>
            </w:r>
          </w:p>
          <w:p w14:paraId="67AD0AEC"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EC: 5</w:t>
            </w:r>
          </w:p>
        </w:tc>
        <w:tc>
          <w:tcPr>
            <w:tcW w:w="505" w:type="pct"/>
            <w:shd w:val="clear" w:color="auto" w:fill="FFFFFF" w:themeFill="background1"/>
          </w:tcPr>
          <w:p w14:paraId="7488E782"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Max</w:t>
            </w:r>
          </w:p>
          <w:p w14:paraId="43265605"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AA: 5</w:t>
            </w:r>
          </w:p>
          <w:p w14:paraId="30BED7F5" w14:textId="77777777" w:rsidR="00353814" w:rsidRPr="00AE610E" w:rsidRDefault="00353814" w:rsidP="00AE610E">
            <w:pPr>
              <w:spacing w:after="0" w:line="240" w:lineRule="auto"/>
              <w:rPr>
                <w:rFonts w:ascii="Times New Roman" w:hAnsi="Times New Roman"/>
                <w:sz w:val="20"/>
                <w:szCs w:val="20"/>
              </w:rPr>
            </w:pPr>
            <w:r w:rsidRPr="00AE610E">
              <w:rPr>
                <w:rFonts w:ascii="Times New Roman" w:hAnsi="Times New Roman"/>
                <w:sz w:val="20"/>
                <w:szCs w:val="20"/>
              </w:rPr>
              <w:t>EC: 1</w:t>
            </w:r>
          </w:p>
        </w:tc>
        <w:tc>
          <w:tcPr>
            <w:tcW w:w="577" w:type="pct"/>
            <w:shd w:val="clear" w:color="auto" w:fill="FFFFFF" w:themeFill="background1"/>
            <w:vAlign w:val="center"/>
          </w:tcPr>
          <w:p w14:paraId="246F9930"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Audit authority report</w:t>
            </w:r>
          </w:p>
          <w:p w14:paraId="68548F57"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Commission report</w:t>
            </w:r>
          </w:p>
        </w:tc>
        <w:tc>
          <w:tcPr>
            <w:tcW w:w="674" w:type="pct"/>
            <w:vMerge/>
            <w:shd w:val="clear" w:color="auto" w:fill="auto"/>
            <w:vAlign w:val="center"/>
          </w:tcPr>
          <w:p w14:paraId="0F0BF2B2"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34DED40B" w14:textId="77777777" w:rsidTr="00AE610E">
        <w:trPr>
          <w:cantSplit/>
          <w:trHeight w:val="418"/>
        </w:trPr>
        <w:tc>
          <w:tcPr>
            <w:tcW w:w="447" w:type="pct"/>
            <w:vMerge w:val="restart"/>
            <w:shd w:val="clear" w:color="auto" w:fill="D9D9D9" w:themeFill="background1" w:themeFillShade="D9"/>
            <w:vAlign w:val="center"/>
          </w:tcPr>
          <w:p w14:paraId="0232072A" w14:textId="77777777" w:rsidR="00353814" w:rsidRPr="00AE610E" w:rsidRDefault="00353814" w:rsidP="00AE610E">
            <w:pPr>
              <w:tabs>
                <w:tab w:val="left" w:pos="0"/>
                <w:tab w:val="left" w:pos="132"/>
              </w:tabs>
              <w:spacing w:after="0" w:line="240" w:lineRule="auto"/>
              <w:rPr>
                <w:rFonts w:ascii="Times New Roman" w:hAnsi="Times New Roman"/>
                <w:b/>
                <w:bCs/>
                <w:color w:val="0D0D0D" w:themeColor="text1" w:themeTint="F2"/>
                <w:sz w:val="20"/>
                <w:szCs w:val="20"/>
                <w:lang w:val="en-IE"/>
              </w:rPr>
            </w:pPr>
            <w:r w:rsidRPr="00AE610E">
              <w:rPr>
                <w:rFonts w:ascii="Times New Roman" w:hAnsi="Times New Roman"/>
                <w:b/>
                <w:bCs/>
                <w:color w:val="0D0D0D" w:themeColor="text1" w:themeTint="F2"/>
                <w:sz w:val="20"/>
                <w:szCs w:val="20"/>
                <w:lang w:val="en-IE"/>
              </w:rPr>
              <w:t>Output 2 related to Outcome 2</w:t>
            </w:r>
          </w:p>
        </w:tc>
        <w:tc>
          <w:tcPr>
            <w:tcW w:w="859" w:type="pct"/>
            <w:vMerge w:val="restart"/>
            <w:shd w:val="clear" w:color="auto" w:fill="auto"/>
            <w:vAlign w:val="center"/>
          </w:tcPr>
          <w:p w14:paraId="54499845"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r w:rsidRPr="00AE610E">
              <w:rPr>
                <w:rFonts w:ascii="Times New Roman" w:hAnsi="Times New Roman"/>
                <w:sz w:val="20"/>
                <w:szCs w:val="20"/>
              </w:rPr>
              <w:t>Improved awareness of the citizens of North Macedonia on the country’s accession to EU</w:t>
            </w:r>
          </w:p>
        </w:tc>
        <w:tc>
          <w:tcPr>
            <w:tcW w:w="1307" w:type="pct"/>
            <w:shd w:val="clear" w:color="auto" w:fill="FFFFFF" w:themeFill="background1"/>
            <w:vAlign w:val="center"/>
          </w:tcPr>
          <w:p w14:paraId="4EE1D346" w14:textId="72A8AC8B"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 xml:space="preserve">Number of stakeholders reached through the visibility measures and events on various topics related to the use of EU funds </w:t>
            </w:r>
          </w:p>
        </w:tc>
        <w:tc>
          <w:tcPr>
            <w:tcW w:w="631" w:type="pct"/>
            <w:shd w:val="clear" w:color="auto" w:fill="FFFFFF" w:themeFill="background1"/>
          </w:tcPr>
          <w:p w14:paraId="48730BE8"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0 (2020)</w:t>
            </w:r>
          </w:p>
        </w:tc>
        <w:tc>
          <w:tcPr>
            <w:tcW w:w="505" w:type="pct"/>
            <w:shd w:val="clear" w:color="auto" w:fill="FFFFFF" w:themeFill="background1"/>
          </w:tcPr>
          <w:p w14:paraId="009C9735" w14:textId="77777777" w:rsidR="00353814" w:rsidRPr="00AE610E" w:rsidRDefault="00353814" w:rsidP="00AE610E">
            <w:pPr>
              <w:shd w:val="clear" w:color="auto" w:fill="FFFFFF" w:themeFill="background1"/>
              <w:spacing w:after="0" w:line="240" w:lineRule="auto"/>
              <w:rPr>
                <w:rFonts w:ascii="Times New Roman" w:hAnsi="Times New Roman"/>
                <w:sz w:val="20"/>
                <w:szCs w:val="20"/>
              </w:rPr>
            </w:pPr>
            <w:r w:rsidRPr="00AE610E">
              <w:rPr>
                <w:rFonts w:ascii="Times New Roman" w:hAnsi="Times New Roman"/>
                <w:sz w:val="20"/>
                <w:szCs w:val="20"/>
              </w:rPr>
              <w:t>&gt;300,000/year</w:t>
            </w:r>
          </w:p>
          <w:p w14:paraId="12616A27" w14:textId="77777777" w:rsidR="00353814" w:rsidRPr="00AE610E" w:rsidRDefault="00353814" w:rsidP="00AE610E">
            <w:pPr>
              <w:spacing w:after="0" w:line="240" w:lineRule="auto"/>
              <w:rPr>
                <w:rFonts w:ascii="Times New Roman" w:hAnsi="Times New Roman"/>
                <w:sz w:val="20"/>
                <w:szCs w:val="20"/>
              </w:rPr>
            </w:pPr>
          </w:p>
        </w:tc>
        <w:tc>
          <w:tcPr>
            <w:tcW w:w="577" w:type="pct"/>
            <w:shd w:val="clear" w:color="auto" w:fill="FFFFFF" w:themeFill="background1"/>
            <w:vAlign w:val="center"/>
          </w:tcPr>
          <w:p w14:paraId="3E321FDA"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Project reports</w:t>
            </w:r>
          </w:p>
        </w:tc>
        <w:tc>
          <w:tcPr>
            <w:tcW w:w="674" w:type="pct"/>
            <w:vMerge/>
            <w:shd w:val="clear" w:color="auto" w:fill="auto"/>
            <w:vAlign w:val="center"/>
          </w:tcPr>
          <w:p w14:paraId="23FCD0B1"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r w:rsidR="00353814" w:rsidRPr="004F51D5" w14:paraId="714D8CE0" w14:textId="77777777" w:rsidTr="00AE610E">
        <w:trPr>
          <w:cantSplit/>
          <w:trHeight w:val="418"/>
        </w:trPr>
        <w:tc>
          <w:tcPr>
            <w:tcW w:w="447" w:type="pct"/>
            <w:vMerge/>
            <w:shd w:val="clear" w:color="auto" w:fill="D9D9D9" w:themeFill="background1" w:themeFillShade="D9"/>
            <w:vAlign w:val="center"/>
          </w:tcPr>
          <w:p w14:paraId="6379773F" w14:textId="77777777" w:rsidR="00353814" w:rsidRPr="00AE610E" w:rsidRDefault="00353814" w:rsidP="00AE610E">
            <w:pPr>
              <w:tabs>
                <w:tab w:val="left" w:pos="0"/>
                <w:tab w:val="left" w:pos="132"/>
              </w:tabs>
              <w:spacing w:after="0" w:line="240" w:lineRule="auto"/>
              <w:rPr>
                <w:rFonts w:ascii="Times New Roman" w:hAnsi="Times New Roman"/>
                <w:b/>
                <w:color w:val="0D0D0D" w:themeColor="text1" w:themeTint="F2"/>
                <w:sz w:val="20"/>
                <w:szCs w:val="20"/>
                <w:lang w:val="en-IE"/>
              </w:rPr>
            </w:pPr>
          </w:p>
        </w:tc>
        <w:tc>
          <w:tcPr>
            <w:tcW w:w="859" w:type="pct"/>
            <w:vMerge/>
            <w:shd w:val="clear" w:color="auto" w:fill="auto"/>
            <w:vAlign w:val="center"/>
          </w:tcPr>
          <w:p w14:paraId="45E09024"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c>
          <w:tcPr>
            <w:tcW w:w="1307" w:type="pct"/>
            <w:shd w:val="clear" w:color="auto" w:fill="FFFFFF" w:themeFill="background1"/>
            <w:vAlign w:val="center"/>
          </w:tcPr>
          <w:p w14:paraId="53069044" w14:textId="77777777" w:rsidR="00353814" w:rsidRPr="00AE610E" w:rsidRDefault="00353814" w:rsidP="00AE610E">
            <w:pPr>
              <w:autoSpaceDE w:val="0"/>
              <w:autoSpaceDN w:val="0"/>
              <w:adjustRightInd w:val="0"/>
              <w:spacing w:after="0" w:line="240" w:lineRule="auto"/>
              <w:rPr>
                <w:rFonts w:ascii="Times New Roman" w:hAnsi="Times New Roman"/>
                <w:sz w:val="20"/>
                <w:szCs w:val="20"/>
              </w:rPr>
            </w:pPr>
            <w:r w:rsidRPr="00AE610E">
              <w:rPr>
                <w:rFonts w:ascii="Times New Roman" w:hAnsi="Times New Roman"/>
                <w:sz w:val="20"/>
                <w:szCs w:val="20"/>
              </w:rPr>
              <w:t>Number of outreach events and communication products produced</w:t>
            </w:r>
          </w:p>
        </w:tc>
        <w:tc>
          <w:tcPr>
            <w:tcW w:w="631" w:type="pct"/>
            <w:shd w:val="clear" w:color="auto" w:fill="FFFFFF" w:themeFill="background1"/>
          </w:tcPr>
          <w:p w14:paraId="3DD95CB7"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5 (2020)</w:t>
            </w:r>
          </w:p>
        </w:tc>
        <w:tc>
          <w:tcPr>
            <w:tcW w:w="505" w:type="pct"/>
            <w:shd w:val="clear" w:color="auto" w:fill="FFFFFF" w:themeFill="background1"/>
          </w:tcPr>
          <w:p w14:paraId="56C6B46B" w14:textId="77777777" w:rsidR="00353814" w:rsidRPr="00AE610E" w:rsidRDefault="00353814" w:rsidP="00AE610E">
            <w:pPr>
              <w:spacing w:after="0" w:line="240" w:lineRule="auto"/>
              <w:rPr>
                <w:rFonts w:ascii="Times New Roman" w:hAnsi="Times New Roman"/>
                <w:sz w:val="20"/>
                <w:szCs w:val="20"/>
              </w:rPr>
            </w:pPr>
            <w:r w:rsidRPr="00AE610E">
              <w:rPr>
                <w:rFonts w:ascii="Times New Roman" w:hAnsi="Times New Roman"/>
                <w:sz w:val="20"/>
                <w:szCs w:val="20"/>
              </w:rPr>
              <w:t>&gt;500 (2027)</w:t>
            </w:r>
          </w:p>
        </w:tc>
        <w:tc>
          <w:tcPr>
            <w:tcW w:w="577" w:type="pct"/>
            <w:shd w:val="clear" w:color="auto" w:fill="FFFFFF" w:themeFill="background1"/>
            <w:vAlign w:val="center"/>
          </w:tcPr>
          <w:p w14:paraId="200441D8" w14:textId="77777777" w:rsidR="00353814" w:rsidRPr="00AE610E" w:rsidRDefault="00353814" w:rsidP="00AE610E">
            <w:pPr>
              <w:spacing w:after="0" w:line="240" w:lineRule="auto"/>
              <w:rPr>
                <w:rFonts w:ascii="Times New Roman" w:hAnsi="Times New Roman"/>
                <w:color w:val="0D0D0D" w:themeColor="text1" w:themeTint="F2"/>
                <w:sz w:val="20"/>
                <w:szCs w:val="20"/>
                <w:lang w:val="en-IE"/>
              </w:rPr>
            </w:pPr>
            <w:r w:rsidRPr="00AE610E">
              <w:rPr>
                <w:rFonts w:ascii="Times New Roman" w:hAnsi="Times New Roman"/>
                <w:color w:val="0D0D0D" w:themeColor="text1" w:themeTint="F2"/>
                <w:sz w:val="20"/>
                <w:szCs w:val="20"/>
                <w:lang w:val="en-IE"/>
              </w:rPr>
              <w:t>Media</w:t>
            </w:r>
          </w:p>
        </w:tc>
        <w:tc>
          <w:tcPr>
            <w:tcW w:w="674" w:type="pct"/>
            <w:vMerge/>
            <w:shd w:val="clear" w:color="auto" w:fill="auto"/>
            <w:vAlign w:val="center"/>
          </w:tcPr>
          <w:p w14:paraId="5E5EAE32" w14:textId="77777777" w:rsidR="00353814" w:rsidRPr="00AE610E" w:rsidRDefault="00353814" w:rsidP="00AE610E">
            <w:pPr>
              <w:autoSpaceDE w:val="0"/>
              <w:autoSpaceDN w:val="0"/>
              <w:adjustRightInd w:val="0"/>
              <w:spacing w:after="0" w:line="240" w:lineRule="auto"/>
              <w:rPr>
                <w:rFonts w:ascii="Times New Roman" w:hAnsi="Times New Roman"/>
                <w:color w:val="0D0D0D" w:themeColor="text1" w:themeTint="F2"/>
                <w:sz w:val="20"/>
                <w:szCs w:val="20"/>
                <w:lang w:val="en-IE"/>
              </w:rPr>
            </w:pPr>
          </w:p>
        </w:tc>
      </w:tr>
    </w:tbl>
    <w:p w14:paraId="37DD25E9" w14:textId="77777777" w:rsidR="00E70524" w:rsidRPr="00E82A5D" w:rsidRDefault="00E70524">
      <w:pPr>
        <w:rPr>
          <w:rFonts w:ascii="Times New Roman" w:hAnsi="Times New Roman"/>
          <w:color w:val="000000" w:themeColor="text1"/>
        </w:rPr>
      </w:pPr>
      <w:bookmarkStart w:id="2" w:name="page3"/>
      <w:bookmarkEnd w:id="1"/>
      <w:bookmarkEnd w:id="2"/>
    </w:p>
    <w:sectPr w:rsidR="00E70524" w:rsidRPr="00E82A5D" w:rsidSect="00275CA9">
      <w:pgSz w:w="16838" w:h="11906" w:orient="landscape"/>
      <w:pgMar w:top="567" w:right="1440" w:bottom="426"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476F" w14:textId="77777777" w:rsidR="00996EBC" w:rsidRDefault="00996EBC" w:rsidP="00D92F6C">
      <w:pPr>
        <w:spacing w:after="0" w:line="240" w:lineRule="auto"/>
      </w:pPr>
      <w:r>
        <w:separator/>
      </w:r>
    </w:p>
  </w:endnote>
  <w:endnote w:type="continuationSeparator" w:id="0">
    <w:p w14:paraId="123318BB" w14:textId="77777777" w:rsidR="00996EBC" w:rsidRDefault="00996EBC" w:rsidP="00D9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B744" w14:textId="77777777" w:rsidR="00996EBC" w:rsidRDefault="00996EBC" w:rsidP="00D92F6C">
      <w:pPr>
        <w:spacing w:after="0" w:line="240" w:lineRule="auto"/>
      </w:pPr>
      <w:r>
        <w:separator/>
      </w:r>
    </w:p>
  </w:footnote>
  <w:footnote w:type="continuationSeparator" w:id="0">
    <w:p w14:paraId="32CA59C2" w14:textId="77777777" w:rsidR="00996EBC" w:rsidRDefault="00996EBC" w:rsidP="00D92F6C">
      <w:pPr>
        <w:spacing w:after="0" w:line="240" w:lineRule="auto"/>
      </w:pPr>
      <w:r>
        <w:continuationSeparator/>
      </w:r>
    </w:p>
  </w:footnote>
  <w:footnote w:id="1">
    <w:p w14:paraId="51442834" w14:textId="7CDE736E" w:rsidR="001F443F" w:rsidRDefault="001F443F">
      <w:pPr>
        <w:pStyle w:val="Textonotapie"/>
      </w:pPr>
      <w:r>
        <w:rPr>
          <w:rStyle w:val="Refdenotaalpie"/>
        </w:rPr>
        <w:footnoteRef/>
      </w:r>
      <w:r>
        <w:t xml:space="preserve"> This huge EUIF envelope for 2023 will offset the last minute cut of the EUIF 2022 due to budget shortage.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Wingdings" w:hAnsi="Wingdings" w:cs="Wingdings"/>
        <w:sz w:val="22"/>
        <w:szCs w:val="22"/>
      </w:rPr>
    </w:lvl>
  </w:abstractNum>
  <w:abstractNum w:abstractNumId="1" w15:restartNumberingAfterBreak="0">
    <w:nsid w:val="011C416A"/>
    <w:multiLevelType w:val="hybridMultilevel"/>
    <w:tmpl w:val="9CF4D4C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97312"/>
    <w:multiLevelType w:val="hybridMultilevel"/>
    <w:tmpl w:val="A43ACC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D708F"/>
    <w:multiLevelType w:val="hybridMultilevel"/>
    <w:tmpl w:val="188E6FC2"/>
    <w:lvl w:ilvl="0" w:tplc="8898C7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E4041"/>
    <w:multiLevelType w:val="hybridMultilevel"/>
    <w:tmpl w:val="95EC232A"/>
    <w:lvl w:ilvl="0" w:tplc="7A5A5A44">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B93465F"/>
    <w:multiLevelType w:val="hybridMultilevel"/>
    <w:tmpl w:val="C854C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0A6D14"/>
    <w:multiLevelType w:val="hybridMultilevel"/>
    <w:tmpl w:val="ACB88DB8"/>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DBD2E54"/>
    <w:multiLevelType w:val="hybridMultilevel"/>
    <w:tmpl w:val="F84E84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F8E6677"/>
    <w:multiLevelType w:val="hybridMultilevel"/>
    <w:tmpl w:val="1EBEEAC4"/>
    <w:lvl w:ilvl="0" w:tplc="62D05E8C">
      <w:start w:val="2019"/>
      <w:numFmt w:val="bullet"/>
      <w:lvlText w:val="-"/>
      <w:lvlJc w:val="left"/>
      <w:pPr>
        <w:ind w:left="720" w:hanging="360"/>
      </w:pPr>
      <w:rPr>
        <w:rFonts w:ascii="Arial" w:eastAsia="Times New Roman" w:hAnsi="Arial" w:cs="Arial"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07819"/>
    <w:multiLevelType w:val="hybridMultilevel"/>
    <w:tmpl w:val="2946E67A"/>
    <w:lvl w:ilvl="0" w:tplc="04090001">
      <w:start w:val="1"/>
      <w:numFmt w:val="bullet"/>
      <w:lvlText w:val=""/>
      <w:lvlJc w:val="left"/>
      <w:pPr>
        <w:tabs>
          <w:tab w:val="num" w:pos="650"/>
        </w:tabs>
        <w:ind w:left="650" w:hanging="360"/>
      </w:pPr>
      <w:rPr>
        <w:rFonts w:ascii="Symbol" w:hAnsi="Symbol" w:hint="default"/>
      </w:rPr>
    </w:lvl>
    <w:lvl w:ilvl="1" w:tplc="04090003">
      <w:start w:val="1"/>
      <w:numFmt w:val="bullet"/>
      <w:lvlText w:val="o"/>
      <w:lvlJc w:val="left"/>
      <w:pPr>
        <w:tabs>
          <w:tab w:val="num" w:pos="1370"/>
        </w:tabs>
        <w:ind w:left="1370" w:hanging="360"/>
      </w:pPr>
      <w:rPr>
        <w:rFonts w:ascii="Courier New" w:hAnsi="Courier New" w:cs="Times New Roman" w:hint="default"/>
      </w:rPr>
    </w:lvl>
    <w:lvl w:ilvl="2" w:tplc="04090005">
      <w:start w:val="1"/>
      <w:numFmt w:val="bullet"/>
      <w:lvlText w:val=""/>
      <w:lvlJc w:val="left"/>
      <w:pPr>
        <w:tabs>
          <w:tab w:val="num" w:pos="2090"/>
        </w:tabs>
        <w:ind w:left="2090" w:hanging="360"/>
      </w:pPr>
      <w:rPr>
        <w:rFonts w:ascii="Wingdings" w:hAnsi="Wingdings" w:hint="default"/>
      </w:rPr>
    </w:lvl>
    <w:lvl w:ilvl="3" w:tplc="04090001">
      <w:start w:val="1"/>
      <w:numFmt w:val="bullet"/>
      <w:lvlText w:val=""/>
      <w:lvlJc w:val="left"/>
      <w:pPr>
        <w:tabs>
          <w:tab w:val="num" w:pos="2810"/>
        </w:tabs>
        <w:ind w:left="2810" w:hanging="360"/>
      </w:pPr>
      <w:rPr>
        <w:rFonts w:ascii="Symbol" w:hAnsi="Symbol" w:hint="default"/>
      </w:rPr>
    </w:lvl>
    <w:lvl w:ilvl="4" w:tplc="04090003">
      <w:start w:val="1"/>
      <w:numFmt w:val="bullet"/>
      <w:lvlText w:val="o"/>
      <w:lvlJc w:val="left"/>
      <w:pPr>
        <w:tabs>
          <w:tab w:val="num" w:pos="3530"/>
        </w:tabs>
        <w:ind w:left="3530" w:hanging="360"/>
      </w:pPr>
      <w:rPr>
        <w:rFonts w:ascii="Courier New" w:hAnsi="Courier New" w:cs="Times New Roman" w:hint="default"/>
      </w:rPr>
    </w:lvl>
    <w:lvl w:ilvl="5" w:tplc="04090005">
      <w:start w:val="1"/>
      <w:numFmt w:val="bullet"/>
      <w:lvlText w:val=""/>
      <w:lvlJc w:val="left"/>
      <w:pPr>
        <w:tabs>
          <w:tab w:val="num" w:pos="4250"/>
        </w:tabs>
        <w:ind w:left="4250" w:hanging="360"/>
      </w:pPr>
      <w:rPr>
        <w:rFonts w:ascii="Wingdings" w:hAnsi="Wingdings" w:hint="default"/>
      </w:rPr>
    </w:lvl>
    <w:lvl w:ilvl="6" w:tplc="04090001">
      <w:start w:val="1"/>
      <w:numFmt w:val="bullet"/>
      <w:lvlText w:val=""/>
      <w:lvlJc w:val="left"/>
      <w:pPr>
        <w:tabs>
          <w:tab w:val="num" w:pos="4970"/>
        </w:tabs>
        <w:ind w:left="4970" w:hanging="360"/>
      </w:pPr>
      <w:rPr>
        <w:rFonts w:ascii="Symbol" w:hAnsi="Symbol" w:hint="default"/>
      </w:rPr>
    </w:lvl>
    <w:lvl w:ilvl="7" w:tplc="04090003">
      <w:start w:val="1"/>
      <w:numFmt w:val="bullet"/>
      <w:lvlText w:val="o"/>
      <w:lvlJc w:val="left"/>
      <w:pPr>
        <w:tabs>
          <w:tab w:val="num" w:pos="5690"/>
        </w:tabs>
        <w:ind w:left="5690" w:hanging="360"/>
      </w:pPr>
      <w:rPr>
        <w:rFonts w:ascii="Courier New" w:hAnsi="Courier New" w:cs="Times New Roman" w:hint="default"/>
      </w:rPr>
    </w:lvl>
    <w:lvl w:ilvl="8" w:tplc="04090005">
      <w:start w:val="1"/>
      <w:numFmt w:val="bullet"/>
      <w:lvlText w:val=""/>
      <w:lvlJc w:val="left"/>
      <w:pPr>
        <w:tabs>
          <w:tab w:val="num" w:pos="6410"/>
        </w:tabs>
        <w:ind w:left="6410" w:hanging="360"/>
      </w:pPr>
      <w:rPr>
        <w:rFonts w:ascii="Wingdings" w:hAnsi="Wingdings" w:hint="default"/>
      </w:rPr>
    </w:lvl>
  </w:abstractNum>
  <w:abstractNum w:abstractNumId="10" w15:restartNumberingAfterBreak="0">
    <w:nsid w:val="163F1334"/>
    <w:multiLevelType w:val="hybridMultilevel"/>
    <w:tmpl w:val="90741FF6"/>
    <w:lvl w:ilvl="0" w:tplc="08D4EB9E">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600DE"/>
    <w:multiLevelType w:val="hybridMultilevel"/>
    <w:tmpl w:val="F1DAF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AC3116"/>
    <w:multiLevelType w:val="hybridMultilevel"/>
    <w:tmpl w:val="C1B61354"/>
    <w:lvl w:ilvl="0" w:tplc="8898C7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261CF"/>
    <w:multiLevelType w:val="hybridMultilevel"/>
    <w:tmpl w:val="D9E49596"/>
    <w:lvl w:ilvl="0" w:tplc="DE8884C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23D36"/>
    <w:multiLevelType w:val="multilevel"/>
    <w:tmpl w:val="8B28E0D6"/>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5" w15:restartNumberingAfterBreak="0">
    <w:nsid w:val="23FC21AF"/>
    <w:multiLevelType w:val="hybridMultilevel"/>
    <w:tmpl w:val="D514E406"/>
    <w:lvl w:ilvl="0" w:tplc="04090001">
      <w:start w:val="1"/>
      <w:numFmt w:val="bullet"/>
      <w:lvlText w:val=""/>
      <w:lvlJc w:val="left"/>
      <w:pPr>
        <w:tabs>
          <w:tab w:val="num" w:pos="650"/>
        </w:tabs>
        <w:ind w:left="650" w:hanging="360"/>
      </w:pPr>
      <w:rPr>
        <w:rFonts w:ascii="Symbol" w:hAnsi="Symbol" w:hint="default"/>
      </w:rPr>
    </w:lvl>
    <w:lvl w:ilvl="1" w:tplc="04090003">
      <w:start w:val="1"/>
      <w:numFmt w:val="bullet"/>
      <w:lvlText w:val="o"/>
      <w:lvlJc w:val="left"/>
      <w:pPr>
        <w:tabs>
          <w:tab w:val="num" w:pos="1370"/>
        </w:tabs>
        <w:ind w:left="1370" w:hanging="360"/>
      </w:pPr>
      <w:rPr>
        <w:rFonts w:ascii="Courier New" w:hAnsi="Courier New" w:cs="Courier New" w:hint="default"/>
      </w:rPr>
    </w:lvl>
    <w:lvl w:ilvl="2" w:tplc="04090005">
      <w:start w:val="1"/>
      <w:numFmt w:val="bullet"/>
      <w:lvlText w:val=""/>
      <w:lvlJc w:val="left"/>
      <w:pPr>
        <w:tabs>
          <w:tab w:val="num" w:pos="2090"/>
        </w:tabs>
        <w:ind w:left="2090" w:hanging="360"/>
      </w:pPr>
      <w:rPr>
        <w:rFonts w:ascii="Wingdings" w:hAnsi="Wingdings" w:hint="default"/>
      </w:rPr>
    </w:lvl>
    <w:lvl w:ilvl="3" w:tplc="04090001">
      <w:start w:val="1"/>
      <w:numFmt w:val="bullet"/>
      <w:lvlText w:val=""/>
      <w:lvlJc w:val="left"/>
      <w:pPr>
        <w:tabs>
          <w:tab w:val="num" w:pos="2810"/>
        </w:tabs>
        <w:ind w:left="2810" w:hanging="360"/>
      </w:pPr>
      <w:rPr>
        <w:rFonts w:ascii="Symbol" w:hAnsi="Symbol" w:hint="default"/>
      </w:rPr>
    </w:lvl>
    <w:lvl w:ilvl="4" w:tplc="04090003">
      <w:start w:val="1"/>
      <w:numFmt w:val="bullet"/>
      <w:lvlText w:val="o"/>
      <w:lvlJc w:val="left"/>
      <w:pPr>
        <w:tabs>
          <w:tab w:val="num" w:pos="3530"/>
        </w:tabs>
        <w:ind w:left="3530" w:hanging="360"/>
      </w:pPr>
      <w:rPr>
        <w:rFonts w:ascii="Courier New" w:hAnsi="Courier New" w:cs="Courier New" w:hint="default"/>
      </w:rPr>
    </w:lvl>
    <w:lvl w:ilvl="5" w:tplc="04090005">
      <w:start w:val="1"/>
      <w:numFmt w:val="bullet"/>
      <w:lvlText w:val=""/>
      <w:lvlJc w:val="left"/>
      <w:pPr>
        <w:tabs>
          <w:tab w:val="num" w:pos="4250"/>
        </w:tabs>
        <w:ind w:left="4250" w:hanging="360"/>
      </w:pPr>
      <w:rPr>
        <w:rFonts w:ascii="Wingdings" w:hAnsi="Wingdings" w:hint="default"/>
      </w:rPr>
    </w:lvl>
    <w:lvl w:ilvl="6" w:tplc="04090001">
      <w:start w:val="1"/>
      <w:numFmt w:val="bullet"/>
      <w:lvlText w:val=""/>
      <w:lvlJc w:val="left"/>
      <w:pPr>
        <w:tabs>
          <w:tab w:val="num" w:pos="4970"/>
        </w:tabs>
        <w:ind w:left="4970" w:hanging="360"/>
      </w:pPr>
      <w:rPr>
        <w:rFonts w:ascii="Symbol" w:hAnsi="Symbol" w:hint="default"/>
      </w:rPr>
    </w:lvl>
    <w:lvl w:ilvl="7" w:tplc="04090003">
      <w:start w:val="1"/>
      <w:numFmt w:val="bullet"/>
      <w:lvlText w:val="o"/>
      <w:lvlJc w:val="left"/>
      <w:pPr>
        <w:tabs>
          <w:tab w:val="num" w:pos="5690"/>
        </w:tabs>
        <w:ind w:left="5690" w:hanging="360"/>
      </w:pPr>
      <w:rPr>
        <w:rFonts w:ascii="Courier New" w:hAnsi="Courier New" w:cs="Courier New" w:hint="default"/>
      </w:rPr>
    </w:lvl>
    <w:lvl w:ilvl="8" w:tplc="04090005">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24976370"/>
    <w:multiLevelType w:val="hybridMultilevel"/>
    <w:tmpl w:val="2166A8EA"/>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4425DA"/>
    <w:multiLevelType w:val="hybridMultilevel"/>
    <w:tmpl w:val="C85A98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92106F1"/>
    <w:multiLevelType w:val="hybridMultilevel"/>
    <w:tmpl w:val="1C2C3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7B23C6"/>
    <w:multiLevelType w:val="hybridMultilevel"/>
    <w:tmpl w:val="C7A0EC80"/>
    <w:lvl w:ilvl="0" w:tplc="74D0D352">
      <w:start w:val="1"/>
      <w:numFmt w:val="decimal"/>
      <w:lvlText w:val="%1"/>
      <w:lvlJc w:val="left"/>
    </w:lvl>
    <w:lvl w:ilvl="1" w:tplc="990A7CB8">
      <w:numFmt w:val="decimal"/>
      <w:lvlText w:val=""/>
      <w:lvlJc w:val="left"/>
    </w:lvl>
    <w:lvl w:ilvl="2" w:tplc="02A83D16">
      <w:numFmt w:val="decimal"/>
      <w:lvlText w:val=""/>
      <w:lvlJc w:val="left"/>
    </w:lvl>
    <w:lvl w:ilvl="3" w:tplc="CF2E9902">
      <w:numFmt w:val="decimal"/>
      <w:lvlText w:val=""/>
      <w:lvlJc w:val="left"/>
    </w:lvl>
    <w:lvl w:ilvl="4" w:tplc="4EF81490">
      <w:numFmt w:val="decimal"/>
      <w:lvlText w:val=""/>
      <w:lvlJc w:val="left"/>
    </w:lvl>
    <w:lvl w:ilvl="5" w:tplc="4B067DF4">
      <w:numFmt w:val="decimal"/>
      <w:lvlText w:val=""/>
      <w:lvlJc w:val="left"/>
    </w:lvl>
    <w:lvl w:ilvl="6" w:tplc="64627048">
      <w:numFmt w:val="decimal"/>
      <w:lvlText w:val=""/>
      <w:lvlJc w:val="left"/>
    </w:lvl>
    <w:lvl w:ilvl="7" w:tplc="D6E46714">
      <w:numFmt w:val="decimal"/>
      <w:lvlText w:val=""/>
      <w:lvlJc w:val="left"/>
    </w:lvl>
    <w:lvl w:ilvl="8" w:tplc="CBF02AE8">
      <w:numFmt w:val="decimal"/>
      <w:lvlText w:val=""/>
      <w:lvlJc w:val="left"/>
    </w:lvl>
  </w:abstractNum>
  <w:abstractNum w:abstractNumId="20" w15:restartNumberingAfterBreak="0">
    <w:nsid w:val="33591339"/>
    <w:multiLevelType w:val="hybridMultilevel"/>
    <w:tmpl w:val="1E6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71362"/>
    <w:multiLevelType w:val="hybridMultilevel"/>
    <w:tmpl w:val="AB763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449B3"/>
    <w:multiLevelType w:val="hybridMultilevel"/>
    <w:tmpl w:val="38044F48"/>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1451B7"/>
    <w:multiLevelType w:val="hybridMultilevel"/>
    <w:tmpl w:val="3BDE21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85E0A"/>
    <w:multiLevelType w:val="hybridMultilevel"/>
    <w:tmpl w:val="DC38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21572"/>
    <w:multiLevelType w:val="hybridMultilevel"/>
    <w:tmpl w:val="72965246"/>
    <w:lvl w:ilvl="0" w:tplc="FFFFFFFF">
      <w:start w:val="1"/>
      <w:numFmt w:val="bullet"/>
      <w:lvlText w:val="-"/>
      <w:lvlJc w:val="left"/>
      <w:pPr>
        <w:tabs>
          <w:tab w:val="num" w:pos="720"/>
        </w:tabs>
        <w:ind w:left="720" w:hanging="360"/>
      </w:pPr>
      <w:rPr>
        <w:rFonts w:ascii="Times New Roman" w:eastAsia="Arial Unicode MS"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332038"/>
    <w:multiLevelType w:val="hybridMultilevel"/>
    <w:tmpl w:val="BF549EB8"/>
    <w:lvl w:ilvl="0" w:tplc="B7EEAFA2">
      <w:start w:val="3"/>
      <w:numFmt w:val="bullet"/>
      <w:lvlText w:val="-"/>
      <w:lvlJc w:val="left"/>
      <w:pPr>
        <w:ind w:left="360" w:hanging="360"/>
      </w:pPr>
      <w:rPr>
        <w:rFonts w:ascii="Calibri" w:eastAsiaTheme="minorHAnsi" w:hAnsi="Calibri" w:cs="Calibri" w:hint="default"/>
      </w:rPr>
    </w:lvl>
    <w:lvl w:ilvl="1" w:tplc="2BFCB584">
      <w:start w:val="1"/>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323419"/>
    <w:multiLevelType w:val="hybridMultilevel"/>
    <w:tmpl w:val="AEF0E450"/>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2024DEB"/>
    <w:multiLevelType w:val="hybridMultilevel"/>
    <w:tmpl w:val="0B1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443EE"/>
    <w:multiLevelType w:val="hybridMultilevel"/>
    <w:tmpl w:val="A6B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71B8B"/>
    <w:multiLevelType w:val="hybridMultilevel"/>
    <w:tmpl w:val="CD2A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880033"/>
    <w:multiLevelType w:val="hybridMultilevel"/>
    <w:tmpl w:val="CA92B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A77E92"/>
    <w:multiLevelType w:val="hybridMultilevel"/>
    <w:tmpl w:val="42480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9725E8"/>
    <w:multiLevelType w:val="multilevel"/>
    <w:tmpl w:val="267CC1BA"/>
    <w:lvl w:ilvl="0">
      <w:start w:val="1"/>
      <w:numFmt w:val="decimal"/>
      <w:lvlText w:val="%1."/>
      <w:lvlJc w:val="left"/>
      <w:pPr>
        <w:ind w:left="360" w:hanging="360"/>
      </w:pPr>
      <w:rPr>
        <w:color w:val="auto"/>
      </w:rPr>
    </w:lvl>
    <w:lvl w:ilvl="1">
      <w:start w:val="1"/>
      <w:numFmt w:val="decimal"/>
      <w:lvlText w:val="%1.%2."/>
      <w:lvlJc w:val="left"/>
      <w:pPr>
        <w:ind w:left="792" w:hanging="432"/>
      </w:pPr>
      <w:rPr>
        <w:b/>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C11613"/>
    <w:multiLevelType w:val="hybridMultilevel"/>
    <w:tmpl w:val="36D620E0"/>
    <w:lvl w:ilvl="0" w:tplc="F440F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E1C09"/>
    <w:multiLevelType w:val="multilevel"/>
    <w:tmpl w:val="58FE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3F1E75"/>
    <w:multiLevelType w:val="hybridMultilevel"/>
    <w:tmpl w:val="57DA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368EB"/>
    <w:multiLevelType w:val="hybridMultilevel"/>
    <w:tmpl w:val="10B8AA4E"/>
    <w:lvl w:ilvl="0" w:tplc="2AF6AE3E">
      <w:start w:val="6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3D6293"/>
    <w:multiLevelType w:val="hybridMultilevel"/>
    <w:tmpl w:val="CD6E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A65BD"/>
    <w:multiLevelType w:val="hybridMultilevel"/>
    <w:tmpl w:val="54F6BB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6C93FA8"/>
    <w:multiLevelType w:val="hybridMultilevel"/>
    <w:tmpl w:val="09A8F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CA0236"/>
    <w:multiLevelType w:val="hybridMultilevel"/>
    <w:tmpl w:val="0C046D0A"/>
    <w:lvl w:ilvl="0" w:tplc="B7EEAFA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A5656"/>
    <w:multiLevelType w:val="hybridMultilevel"/>
    <w:tmpl w:val="E0A6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B5FEB"/>
    <w:multiLevelType w:val="multilevel"/>
    <w:tmpl w:val="1992584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7E5A0B9D"/>
    <w:multiLevelType w:val="hybridMultilevel"/>
    <w:tmpl w:val="72080EE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E722696"/>
    <w:multiLevelType w:val="hybridMultilevel"/>
    <w:tmpl w:val="86027DE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
  </w:num>
  <w:num w:numId="4">
    <w:abstractNumId w:val="5"/>
  </w:num>
  <w:num w:numId="5">
    <w:abstractNumId w:val="30"/>
  </w:num>
  <w:num w:numId="6">
    <w:abstractNumId w:val="8"/>
  </w:num>
  <w:num w:numId="7">
    <w:abstractNumId w:val="18"/>
  </w:num>
  <w:num w:numId="8">
    <w:abstractNumId w:val="34"/>
  </w:num>
  <w:num w:numId="9">
    <w:abstractNumId w:val="10"/>
  </w:num>
  <w:num w:numId="10">
    <w:abstractNumId w:val="42"/>
  </w:num>
  <w:num w:numId="11">
    <w:abstractNumId w:val="13"/>
  </w:num>
  <w:num w:numId="12">
    <w:abstractNumId w:val="14"/>
  </w:num>
  <w:num w:numId="13">
    <w:abstractNumId w:val="35"/>
  </w:num>
  <w:num w:numId="14">
    <w:abstractNumId w:val="25"/>
  </w:num>
  <w:num w:numId="15">
    <w:abstractNumId w:val="15"/>
  </w:num>
  <w:num w:numId="16">
    <w:abstractNumId w:val="9"/>
  </w:num>
  <w:num w:numId="17">
    <w:abstractNumId w:val="6"/>
  </w:num>
  <w:num w:numId="18">
    <w:abstractNumId w:val="40"/>
  </w:num>
  <w:num w:numId="19">
    <w:abstractNumId w:val="0"/>
  </w:num>
  <w:num w:numId="20">
    <w:abstractNumId w:val="32"/>
  </w:num>
  <w:num w:numId="21">
    <w:abstractNumId w:val="31"/>
  </w:num>
  <w:num w:numId="22">
    <w:abstractNumId w:val="36"/>
  </w:num>
  <w:num w:numId="23">
    <w:abstractNumId w:val="21"/>
  </w:num>
  <w:num w:numId="24">
    <w:abstractNumId w:val="11"/>
  </w:num>
  <w:num w:numId="25">
    <w:abstractNumId w:val="43"/>
  </w:num>
  <w:num w:numId="26">
    <w:abstractNumId w:val="26"/>
  </w:num>
  <w:num w:numId="27">
    <w:abstractNumId w:val="41"/>
  </w:num>
  <w:num w:numId="28">
    <w:abstractNumId w:val="38"/>
  </w:num>
  <w:num w:numId="29">
    <w:abstractNumId w:val="20"/>
  </w:num>
  <w:num w:numId="30">
    <w:abstractNumId w:val="29"/>
  </w:num>
  <w:num w:numId="31">
    <w:abstractNumId w:val="33"/>
  </w:num>
  <w:num w:numId="32">
    <w:abstractNumId w:val="37"/>
  </w:num>
  <w:num w:numId="33">
    <w:abstractNumId w:val="19"/>
  </w:num>
  <w:num w:numId="34">
    <w:abstractNumId w:val="23"/>
  </w:num>
  <w:num w:numId="35">
    <w:abstractNumId w:val="16"/>
  </w:num>
  <w:num w:numId="36">
    <w:abstractNumId w:val="22"/>
  </w:num>
  <w:num w:numId="37">
    <w:abstractNumId w:val="39"/>
  </w:num>
  <w:num w:numId="38">
    <w:abstractNumId w:val="7"/>
  </w:num>
  <w:num w:numId="39">
    <w:abstractNumId w:val="12"/>
  </w:num>
  <w:num w:numId="40">
    <w:abstractNumId w:val="4"/>
  </w:num>
  <w:num w:numId="41">
    <w:abstractNumId w:val="28"/>
  </w:num>
  <w:num w:numId="42">
    <w:abstractNumId w:val="44"/>
  </w:num>
  <w:num w:numId="43">
    <w:abstractNumId w:val="2"/>
  </w:num>
  <w:num w:numId="44">
    <w:abstractNumId w:val="27"/>
  </w:num>
  <w:num w:numId="45">
    <w:abstractNumId w:val="4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92F6C"/>
    <w:rsid w:val="00003B04"/>
    <w:rsid w:val="00005F23"/>
    <w:rsid w:val="00006153"/>
    <w:rsid w:val="00012297"/>
    <w:rsid w:val="000178C6"/>
    <w:rsid w:val="0003291A"/>
    <w:rsid w:val="00035874"/>
    <w:rsid w:val="0003650D"/>
    <w:rsid w:val="00036BEA"/>
    <w:rsid w:val="0004402B"/>
    <w:rsid w:val="00047FEC"/>
    <w:rsid w:val="00050A0D"/>
    <w:rsid w:val="00051C9A"/>
    <w:rsid w:val="000571A8"/>
    <w:rsid w:val="0006006D"/>
    <w:rsid w:val="00060152"/>
    <w:rsid w:val="00066FA2"/>
    <w:rsid w:val="00070472"/>
    <w:rsid w:val="00074669"/>
    <w:rsid w:val="0007728C"/>
    <w:rsid w:val="00077842"/>
    <w:rsid w:val="000841C6"/>
    <w:rsid w:val="0008420D"/>
    <w:rsid w:val="00091409"/>
    <w:rsid w:val="00091764"/>
    <w:rsid w:val="000921EA"/>
    <w:rsid w:val="0009346B"/>
    <w:rsid w:val="000949E9"/>
    <w:rsid w:val="0009576A"/>
    <w:rsid w:val="000A3B7B"/>
    <w:rsid w:val="000A470C"/>
    <w:rsid w:val="000A75B1"/>
    <w:rsid w:val="000B7906"/>
    <w:rsid w:val="000C25DE"/>
    <w:rsid w:val="000C3D05"/>
    <w:rsid w:val="000C601A"/>
    <w:rsid w:val="000C69BE"/>
    <w:rsid w:val="000E058D"/>
    <w:rsid w:val="000E1DFC"/>
    <w:rsid w:val="000F0D22"/>
    <w:rsid w:val="000F6CBF"/>
    <w:rsid w:val="000F6E56"/>
    <w:rsid w:val="0010002F"/>
    <w:rsid w:val="001071FD"/>
    <w:rsid w:val="00111109"/>
    <w:rsid w:val="001114DA"/>
    <w:rsid w:val="00113CA6"/>
    <w:rsid w:val="00113D18"/>
    <w:rsid w:val="001179A5"/>
    <w:rsid w:val="001241F3"/>
    <w:rsid w:val="001249A1"/>
    <w:rsid w:val="001251CF"/>
    <w:rsid w:val="00131B39"/>
    <w:rsid w:val="0013582C"/>
    <w:rsid w:val="00137F72"/>
    <w:rsid w:val="0014009D"/>
    <w:rsid w:val="0014014A"/>
    <w:rsid w:val="001470DE"/>
    <w:rsid w:val="00150A5A"/>
    <w:rsid w:val="00151EFF"/>
    <w:rsid w:val="001544FA"/>
    <w:rsid w:val="0016591C"/>
    <w:rsid w:val="00171A3A"/>
    <w:rsid w:val="00176D2A"/>
    <w:rsid w:val="0018632C"/>
    <w:rsid w:val="00187C85"/>
    <w:rsid w:val="001963DD"/>
    <w:rsid w:val="001A14D7"/>
    <w:rsid w:val="001A35F9"/>
    <w:rsid w:val="001A3642"/>
    <w:rsid w:val="001A5379"/>
    <w:rsid w:val="001A6E63"/>
    <w:rsid w:val="001A7DA8"/>
    <w:rsid w:val="001B02B9"/>
    <w:rsid w:val="001B3624"/>
    <w:rsid w:val="001B38FF"/>
    <w:rsid w:val="001C25DF"/>
    <w:rsid w:val="001C31CA"/>
    <w:rsid w:val="001C55D6"/>
    <w:rsid w:val="001C7E52"/>
    <w:rsid w:val="001D3E38"/>
    <w:rsid w:val="001E116D"/>
    <w:rsid w:val="001E31F5"/>
    <w:rsid w:val="001E4289"/>
    <w:rsid w:val="001E479E"/>
    <w:rsid w:val="001E71C9"/>
    <w:rsid w:val="001F10CF"/>
    <w:rsid w:val="001F1325"/>
    <w:rsid w:val="001F4126"/>
    <w:rsid w:val="001F443F"/>
    <w:rsid w:val="001F75A2"/>
    <w:rsid w:val="00200390"/>
    <w:rsid w:val="00200E7F"/>
    <w:rsid w:val="00202EE4"/>
    <w:rsid w:val="002075B8"/>
    <w:rsid w:val="0022273A"/>
    <w:rsid w:val="00223C4C"/>
    <w:rsid w:val="002264DA"/>
    <w:rsid w:val="00234525"/>
    <w:rsid w:val="00236708"/>
    <w:rsid w:val="002412C8"/>
    <w:rsid w:val="00242DA8"/>
    <w:rsid w:val="00242EAC"/>
    <w:rsid w:val="0024548D"/>
    <w:rsid w:val="00245D59"/>
    <w:rsid w:val="00245F5D"/>
    <w:rsid w:val="00246332"/>
    <w:rsid w:val="0025011C"/>
    <w:rsid w:val="002527F3"/>
    <w:rsid w:val="00254AB8"/>
    <w:rsid w:val="00254B95"/>
    <w:rsid w:val="00254F64"/>
    <w:rsid w:val="00260EE2"/>
    <w:rsid w:val="00262710"/>
    <w:rsid w:val="00263473"/>
    <w:rsid w:val="00263549"/>
    <w:rsid w:val="00263A0F"/>
    <w:rsid w:val="00264597"/>
    <w:rsid w:val="002664B1"/>
    <w:rsid w:val="002669CC"/>
    <w:rsid w:val="002741F1"/>
    <w:rsid w:val="00275B86"/>
    <w:rsid w:val="00275CA9"/>
    <w:rsid w:val="002760C6"/>
    <w:rsid w:val="0028288B"/>
    <w:rsid w:val="002837AE"/>
    <w:rsid w:val="002878D2"/>
    <w:rsid w:val="00290399"/>
    <w:rsid w:val="00296FEE"/>
    <w:rsid w:val="002A2A0A"/>
    <w:rsid w:val="002B13ED"/>
    <w:rsid w:val="002B20EB"/>
    <w:rsid w:val="002B2A48"/>
    <w:rsid w:val="002B2F2A"/>
    <w:rsid w:val="002C7AA5"/>
    <w:rsid w:val="002D36E6"/>
    <w:rsid w:val="002D41BF"/>
    <w:rsid w:val="002D41C6"/>
    <w:rsid w:val="002E0E38"/>
    <w:rsid w:val="002E5124"/>
    <w:rsid w:val="002E6861"/>
    <w:rsid w:val="002E7BE4"/>
    <w:rsid w:val="002F0984"/>
    <w:rsid w:val="002F27D9"/>
    <w:rsid w:val="002F45E7"/>
    <w:rsid w:val="002F4A98"/>
    <w:rsid w:val="002F58E0"/>
    <w:rsid w:val="002F6F9D"/>
    <w:rsid w:val="00300298"/>
    <w:rsid w:val="0032618B"/>
    <w:rsid w:val="00326F34"/>
    <w:rsid w:val="00332633"/>
    <w:rsid w:val="00335766"/>
    <w:rsid w:val="00335A5E"/>
    <w:rsid w:val="00340975"/>
    <w:rsid w:val="00340A16"/>
    <w:rsid w:val="00343DB4"/>
    <w:rsid w:val="003454A8"/>
    <w:rsid w:val="0034726F"/>
    <w:rsid w:val="00347934"/>
    <w:rsid w:val="00350AFB"/>
    <w:rsid w:val="00353814"/>
    <w:rsid w:val="00357528"/>
    <w:rsid w:val="00373085"/>
    <w:rsid w:val="00381168"/>
    <w:rsid w:val="00391215"/>
    <w:rsid w:val="003925CE"/>
    <w:rsid w:val="0039427A"/>
    <w:rsid w:val="0039429B"/>
    <w:rsid w:val="00396756"/>
    <w:rsid w:val="00396C0B"/>
    <w:rsid w:val="003A4032"/>
    <w:rsid w:val="003A454C"/>
    <w:rsid w:val="003A552E"/>
    <w:rsid w:val="003B3F13"/>
    <w:rsid w:val="003B4036"/>
    <w:rsid w:val="003B6BFC"/>
    <w:rsid w:val="003C10F1"/>
    <w:rsid w:val="003C1430"/>
    <w:rsid w:val="003C1BD6"/>
    <w:rsid w:val="003C4568"/>
    <w:rsid w:val="003C64A0"/>
    <w:rsid w:val="003D02B1"/>
    <w:rsid w:val="003D1B1E"/>
    <w:rsid w:val="003D1C5F"/>
    <w:rsid w:val="003D264E"/>
    <w:rsid w:val="003D2819"/>
    <w:rsid w:val="003D58A8"/>
    <w:rsid w:val="003D6CBA"/>
    <w:rsid w:val="003D7E3C"/>
    <w:rsid w:val="003E4927"/>
    <w:rsid w:val="003E6F2A"/>
    <w:rsid w:val="003F0559"/>
    <w:rsid w:val="003F0954"/>
    <w:rsid w:val="003F2D9F"/>
    <w:rsid w:val="003F7587"/>
    <w:rsid w:val="003F7755"/>
    <w:rsid w:val="00401BE0"/>
    <w:rsid w:val="00404826"/>
    <w:rsid w:val="004066F5"/>
    <w:rsid w:val="00406848"/>
    <w:rsid w:val="00410930"/>
    <w:rsid w:val="004110B4"/>
    <w:rsid w:val="00413F12"/>
    <w:rsid w:val="00417208"/>
    <w:rsid w:val="00420281"/>
    <w:rsid w:val="00421781"/>
    <w:rsid w:val="004232C7"/>
    <w:rsid w:val="00424A46"/>
    <w:rsid w:val="004262E0"/>
    <w:rsid w:val="00430A40"/>
    <w:rsid w:val="00430EE3"/>
    <w:rsid w:val="00432E8E"/>
    <w:rsid w:val="00436C23"/>
    <w:rsid w:val="00436EDC"/>
    <w:rsid w:val="0044051C"/>
    <w:rsid w:val="0044068E"/>
    <w:rsid w:val="00454752"/>
    <w:rsid w:val="0045706C"/>
    <w:rsid w:val="004607A5"/>
    <w:rsid w:val="00463EAF"/>
    <w:rsid w:val="0046760A"/>
    <w:rsid w:val="00473720"/>
    <w:rsid w:val="00476031"/>
    <w:rsid w:val="0048379A"/>
    <w:rsid w:val="00486BD3"/>
    <w:rsid w:val="004878F8"/>
    <w:rsid w:val="00492385"/>
    <w:rsid w:val="004A3531"/>
    <w:rsid w:val="004A4F61"/>
    <w:rsid w:val="004B1057"/>
    <w:rsid w:val="004B124E"/>
    <w:rsid w:val="004B21B4"/>
    <w:rsid w:val="004B7C58"/>
    <w:rsid w:val="004C3857"/>
    <w:rsid w:val="004C3C8F"/>
    <w:rsid w:val="004C4F3D"/>
    <w:rsid w:val="004C6F5A"/>
    <w:rsid w:val="004C6FFC"/>
    <w:rsid w:val="004D411D"/>
    <w:rsid w:val="004D4CE4"/>
    <w:rsid w:val="004E0442"/>
    <w:rsid w:val="004E094D"/>
    <w:rsid w:val="004E448D"/>
    <w:rsid w:val="004E4F30"/>
    <w:rsid w:val="004F0DB6"/>
    <w:rsid w:val="004F6D9B"/>
    <w:rsid w:val="00501C67"/>
    <w:rsid w:val="005039C4"/>
    <w:rsid w:val="00505E08"/>
    <w:rsid w:val="005061D9"/>
    <w:rsid w:val="0050659E"/>
    <w:rsid w:val="00511EB3"/>
    <w:rsid w:val="00513464"/>
    <w:rsid w:val="005144BB"/>
    <w:rsid w:val="0051450C"/>
    <w:rsid w:val="005146E2"/>
    <w:rsid w:val="005179D2"/>
    <w:rsid w:val="00521902"/>
    <w:rsid w:val="00533498"/>
    <w:rsid w:val="0053447B"/>
    <w:rsid w:val="00536B94"/>
    <w:rsid w:val="005422DE"/>
    <w:rsid w:val="0054507E"/>
    <w:rsid w:val="00550DA9"/>
    <w:rsid w:val="005524C0"/>
    <w:rsid w:val="005576FF"/>
    <w:rsid w:val="005579DB"/>
    <w:rsid w:val="00557CD0"/>
    <w:rsid w:val="00560C40"/>
    <w:rsid w:val="00560E50"/>
    <w:rsid w:val="005640EC"/>
    <w:rsid w:val="00566BD1"/>
    <w:rsid w:val="00577A6A"/>
    <w:rsid w:val="00580322"/>
    <w:rsid w:val="00581FD8"/>
    <w:rsid w:val="0058681F"/>
    <w:rsid w:val="0058713B"/>
    <w:rsid w:val="0059098D"/>
    <w:rsid w:val="00592C91"/>
    <w:rsid w:val="00595010"/>
    <w:rsid w:val="00595099"/>
    <w:rsid w:val="00597A80"/>
    <w:rsid w:val="005A1414"/>
    <w:rsid w:val="005A497D"/>
    <w:rsid w:val="005A6C7E"/>
    <w:rsid w:val="005A6D50"/>
    <w:rsid w:val="005B0288"/>
    <w:rsid w:val="005B14BB"/>
    <w:rsid w:val="005B3206"/>
    <w:rsid w:val="005B328F"/>
    <w:rsid w:val="005B38D2"/>
    <w:rsid w:val="005B77E4"/>
    <w:rsid w:val="005C255A"/>
    <w:rsid w:val="005C4FAD"/>
    <w:rsid w:val="005D1A77"/>
    <w:rsid w:val="005D296D"/>
    <w:rsid w:val="005D4B7A"/>
    <w:rsid w:val="005E104B"/>
    <w:rsid w:val="005E4754"/>
    <w:rsid w:val="005E52D4"/>
    <w:rsid w:val="005E7201"/>
    <w:rsid w:val="005F0B88"/>
    <w:rsid w:val="005F1841"/>
    <w:rsid w:val="005F372E"/>
    <w:rsid w:val="005F5A43"/>
    <w:rsid w:val="005F732A"/>
    <w:rsid w:val="006009FB"/>
    <w:rsid w:val="006131D0"/>
    <w:rsid w:val="006151F9"/>
    <w:rsid w:val="00615DA2"/>
    <w:rsid w:val="0062118D"/>
    <w:rsid w:val="00623B87"/>
    <w:rsid w:val="006267F6"/>
    <w:rsid w:val="00627C1E"/>
    <w:rsid w:val="00632398"/>
    <w:rsid w:val="00635993"/>
    <w:rsid w:val="00635DF6"/>
    <w:rsid w:val="00647406"/>
    <w:rsid w:val="00653CC6"/>
    <w:rsid w:val="00654FC2"/>
    <w:rsid w:val="00661468"/>
    <w:rsid w:val="00664D03"/>
    <w:rsid w:val="006675BB"/>
    <w:rsid w:val="0066795B"/>
    <w:rsid w:val="006702BC"/>
    <w:rsid w:val="00671F34"/>
    <w:rsid w:val="0067421E"/>
    <w:rsid w:val="006744C8"/>
    <w:rsid w:val="00675EE0"/>
    <w:rsid w:val="006813CA"/>
    <w:rsid w:val="0068514B"/>
    <w:rsid w:val="00686C2E"/>
    <w:rsid w:val="006A5247"/>
    <w:rsid w:val="006B18C6"/>
    <w:rsid w:val="006B303B"/>
    <w:rsid w:val="006B43BC"/>
    <w:rsid w:val="006B790E"/>
    <w:rsid w:val="006C0377"/>
    <w:rsid w:val="006C16BB"/>
    <w:rsid w:val="006C182C"/>
    <w:rsid w:val="006C545C"/>
    <w:rsid w:val="006D1308"/>
    <w:rsid w:val="006D439F"/>
    <w:rsid w:val="006D6A4D"/>
    <w:rsid w:val="006E3668"/>
    <w:rsid w:val="006E4DE6"/>
    <w:rsid w:val="006F4218"/>
    <w:rsid w:val="006F5366"/>
    <w:rsid w:val="006F5B24"/>
    <w:rsid w:val="006F7403"/>
    <w:rsid w:val="006F7E36"/>
    <w:rsid w:val="007007F8"/>
    <w:rsid w:val="00700B70"/>
    <w:rsid w:val="007078E2"/>
    <w:rsid w:val="00713D1C"/>
    <w:rsid w:val="00716D4C"/>
    <w:rsid w:val="0071750C"/>
    <w:rsid w:val="00721782"/>
    <w:rsid w:val="007221B2"/>
    <w:rsid w:val="007227CB"/>
    <w:rsid w:val="00724454"/>
    <w:rsid w:val="00726A64"/>
    <w:rsid w:val="00735547"/>
    <w:rsid w:val="007363D9"/>
    <w:rsid w:val="00741787"/>
    <w:rsid w:val="00741ED3"/>
    <w:rsid w:val="00747EFA"/>
    <w:rsid w:val="00752409"/>
    <w:rsid w:val="00756C31"/>
    <w:rsid w:val="007647D6"/>
    <w:rsid w:val="00775409"/>
    <w:rsid w:val="007771AE"/>
    <w:rsid w:val="0077780E"/>
    <w:rsid w:val="00777C7E"/>
    <w:rsid w:val="00784084"/>
    <w:rsid w:val="00785C34"/>
    <w:rsid w:val="00790BF5"/>
    <w:rsid w:val="00791157"/>
    <w:rsid w:val="00793149"/>
    <w:rsid w:val="00793FE4"/>
    <w:rsid w:val="007946B4"/>
    <w:rsid w:val="007A0CAB"/>
    <w:rsid w:val="007A1353"/>
    <w:rsid w:val="007A60C7"/>
    <w:rsid w:val="007A700C"/>
    <w:rsid w:val="007B412B"/>
    <w:rsid w:val="007B482E"/>
    <w:rsid w:val="007B5046"/>
    <w:rsid w:val="007B7391"/>
    <w:rsid w:val="007C0FCE"/>
    <w:rsid w:val="007C490A"/>
    <w:rsid w:val="007C5A2B"/>
    <w:rsid w:val="007C5BAE"/>
    <w:rsid w:val="007C6C38"/>
    <w:rsid w:val="007C7937"/>
    <w:rsid w:val="007C7948"/>
    <w:rsid w:val="007D08A8"/>
    <w:rsid w:val="007D241E"/>
    <w:rsid w:val="007D2505"/>
    <w:rsid w:val="007D2E24"/>
    <w:rsid w:val="007D7993"/>
    <w:rsid w:val="007E0BCD"/>
    <w:rsid w:val="007E4F8A"/>
    <w:rsid w:val="007E4FE3"/>
    <w:rsid w:val="007E53FB"/>
    <w:rsid w:val="007F1055"/>
    <w:rsid w:val="00800ED0"/>
    <w:rsid w:val="008052C7"/>
    <w:rsid w:val="0081053D"/>
    <w:rsid w:val="008105FD"/>
    <w:rsid w:val="008114CF"/>
    <w:rsid w:val="0081380D"/>
    <w:rsid w:val="00813A44"/>
    <w:rsid w:val="008143F9"/>
    <w:rsid w:val="008172A0"/>
    <w:rsid w:val="00823FEA"/>
    <w:rsid w:val="00827EDF"/>
    <w:rsid w:val="0083029D"/>
    <w:rsid w:val="008312F1"/>
    <w:rsid w:val="00833F86"/>
    <w:rsid w:val="008341DC"/>
    <w:rsid w:val="00834263"/>
    <w:rsid w:val="00835B06"/>
    <w:rsid w:val="00845149"/>
    <w:rsid w:val="00847041"/>
    <w:rsid w:val="00850187"/>
    <w:rsid w:val="008563C7"/>
    <w:rsid w:val="00863A85"/>
    <w:rsid w:val="00864F22"/>
    <w:rsid w:val="00874D04"/>
    <w:rsid w:val="008763CF"/>
    <w:rsid w:val="00881789"/>
    <w:rsid w:val="00881831"/>
    <w:rsid w:val="00884E92"/>
    <w:rsid w:val="008854CC"/>
    <w:rsid w:val="008918F5"/>
    <w:rsid w:val="00891CD0"/>
    <w:rsid w:val="008931E6"/>
    <w:rsid w:val="00895557"/>
    <w:rsid w:val="0089752E"/>
    <w:rsid w:val="00897983"/>
    <w:rsid w:val="008A0213"/>
    <w:rsid w:val="008A0DBE"/>
    <w:rsid w:val="008A2CAE"/>
    <w:rsid w:val="008B325A"/>
    <w:rsid w:val="008B6830"/>
    <w:rsid w:val="008C47D9"/>
    <w:rsid w:val="008C634B"/>
    <w:rsid w:val="008C7455"/>
    <w:rsid w:val="008D3CC1"/>
    <w:rsid w:val="008E1388"/>
    <w:rsid w:val="008E215D"/>
    <w:rsid w:val="008E294C"/>
    <w:rsid w:val="008E43F4"/>
    <w:rsid w:val="008E4E35"/>
    <w:rsid w:val="008E55D1"/>
    <w:rsid w:val="008E63D4"/>
    <w:rsid w:val="008F4BD8"/>
    <w:rsid w:val="008F53E1"/>
    <w:rsid w:val="008F6288"/>
    <w:rsid w:val="008F779E"/>
    <w:rsid w:val="008F7999"/>
    <w:rsid w:val="009033D1"/>
    <w:rsid w:val="009065CB"/>
    <w:rsid w:val="0091087B"/>
    <w:rsid w:val="0091452A"/>
    <w:rsid w:val="00915D99"/>
    <w:rsid w:val="0092586F"/>
    <w:rsid w:val="009274BA"/>
    <w:rsid w:val="00930DA2"/>
    <w:rsid w:val="00931D8E"/>
    <w:rsid w:val="009338FF"/>
    <w:rsid w:val="009345C9"/>
    <w:rsid w:val="00935D04"/>
    <w:rsid w:val="00936329"/>
    <w:rsid w:val="009415F4"/>
    <w:rsid w:val="00944BA9"/>
    <w:rsid w:val="009464D6"/>
    <w:rsid w:val="009509BF"/>
    <w:rsid w:val="00956B8D"/>
    <w:rsid w:val="009634DB"/>
    <w:rsid w:val="00965DB0"/>
    <w:rsid w:val="00966CB0"/>
    <w:rsid w:val="00967245"/>
    <w:rsid w:val="009729B6"/>
    <w:rsid w:val="00974B55"/>
    <w:rsid w:val="00976273"/>
    <w:rsid w:val="009832C9"/>
    <w:rsid w:val="00983CC7"/>
    <w:rsid w:val="00985619"/>
    <w:rsid w:val="009857B1"/>
    <w:rsid w:val="00986C54"/>
    <w:rsid w:val="00987D4D"/>
    <w:rsid w:val="00994B64"/>
    <w:rsid w:val="00996B01"/>
    <w:rsid w:val="00996EBC"/>
    <w:rsid w:val="00997482"/>
    <w:rsid w:val="009A0452"/>
    <w:rsid w:val="009A0CCB"/>
    <w:rsid w:val="009A1E9B"/>
    <w:rsid w:val="009A3268"/>
    <w:rsid w:val="009A4E73"/>
    <w:rsid w:val="009A57A2"/>
    <w:rsid w:val="009A7797"/>
    <w:rsid w:val="009B2332"/>
    <w:rsid w:val="009B2762"/>
    <w:rsid w:val="009B30BC"/>
    <w:rsid w:val="009B4893"/>
    <w:rsid w:val="009B65FF"/>
    <w:rsid w:val="009B6E58"/>
    <w:rsid w:val="009C31A8"/>
    <w:rsid w:val="009C6C35"/>
    <w:rsid w:val="009D2D82"/>
    <w:rsid w:val="009D3CA4"/>
    <w:rsid w:val="009D65C6"/>
    <w:rsid w:val="009D7559"/>
    <w:rsid w:val="009E39AE"/>
    <w:rsid w:val="009F0D61"/>
    <w:rsid w:val="009F0D6F"/>
    <w:rsid w:val="009F2864"/>
    <w:rsid w:val="009F2CF3"/>
    <w:rsid w:val="009F5C39"/>
    <w:rsid w:val="009F6D57"/>
    <w:rsid w:val="00A03C24"/>
    <w:rsid w:val="00A03FBC"/>
    <w:rsid w:val="00A04502"/>
    <w:rsid w:val="00A0473B"/>
    <w:rsid w:val="00A04C81"/>
    <w:rsid w:val="00A050F0"/>
    <w:rsid w:val="00A12102"/>
    <w:rsid w:val="00A1226A"/>
    <w:rsid w:val="00A14404"/>
    <w:rsid w:val="00A23604"/>
    <w:rsid w:val="00A244A6"/>
    <w:rsid w:val="00A25C62"/>
    <w:rsid w:val="00A35528"/>
    <w:rsid w:val="00A40EC1"/>
    <w:rsid w:val="00A42DAB"/>
    <w:rsid w:val="00A52120"/>
    <w:rsid w:val="00A57D82"/>
    <w:rsid w:val="00A62341"/>
    <w:rsid w:val="00A62A90"/>
    <w:rsid w:val="00A62E39"/>
    <w:rsid w:val="00A64215"/>
    <w:rsid w:val="00A65E2C"/>
    <w:rsid w:val="00A71069"/>
    <w:rsid w:val="00A7638B"/>
    <w:rsid w:val="00A77AE1"/>
    <w:rsid w:val="00A8404E"/>
    <w:rsid w:val="00A841F9"/>
    <w:rsid w:val="00A86C7A"/>
    <w:rsid w:val="00A86DE4"/>
    <w:rsid w:val="00A919E7"/>
    <w:rsid w:val="00A91EEA"/>
    <w:rsid w:val="00A92EE5"/>
    <w:rsid w:val="00A93F95"/>
    <w:rsid w:val="00A94060"/>
    <w:rsid w:val="00A95F96"/>
    <w:rsid w:val="00A97A85"/>
    <w:rsid w:val="00AA1820"/>
    <w:rsid w:val="00AA2707"/>
    <w:rsid w:val="00AA31E5"/>
    <w:rsid w:val="00AA7641"/>
    <w:rsid w:val="00AB25DF"/>
    <w:rsid w:val="00AB363C"/>
    <w:rsid w:val="00AB6295"/>
    <w:rsid w:val="00AC13FB"/>
    <w:rsid w:val="00AC38B3"/>
    <w:rsid w:val="00AC7C08"/>
    <w:rsid w:val="00AD107F"/>
    <w:rsid w:val="00AD3013"/>
    <w:rsid w:val="00AE0A7A"/>
    <w:rsid w:val="00AE49EA"/>
    <w:rsid w:val="00AE592F"/>
    <w:rsid w:val="00AE610E"/>
    <w:rsid w:val="00AE76F1"/>
    <w:rsid w:val="00AF1197"/>
    <w:rsid w:val="00AF1505"/>
    <w:rsid w:val="00AF16EB"/>
    <w:rsid w:val="00AF237B"/>
    <w:rsid w:val="00AF6420"/>
    <w:rsid w:val="00B03D94"/>
    <w:rsid w:val="00B0507B"/>
    <w:rsid w:val="00B05E1C"/>
    <w:rsid w:val="00B07FA4"/>
    <w:rsid w:val="00B10582"/>
    <w:rsid w:val="00B10991"/>
    <w:rsid w:val="00B23443"/>
    <w:rsid w:val="00B24F10"/>
    <w:rsid w:val="00B25866"/>
    <w:rsid w:val="00B279C7"/>
    <w:rsid w:val="00B3010F"/>
    <w:rsid w:val="00B379D8"/>
    <w:rsid w:val="00B410BE"/>
    <w:rsid w:val="00B4246A"/>
    <w:rsid w:val="00B45266"/>
    <w:rsid w:val="00B47D3A"/>
    <w:rsid w:val="00B508CD"/>
    <w:rsid w:val="00B50A1C"/>
    <w:rsid w:val="00B602D4"/>
    <w:rsid w:val="00B60832"/>
    <w:rsid w:val="00B62852"/>
    <w:rsid w:val="00B62F89"/>
    <w:rsid w:val="00B63237"/>
    <w:rsid w:val="00B63AA0"/>
    <w:rsid w:val="00B64614"/>
    <w:rsid w:val="00B67893"/>
    <w:rsid w:val="00B71D9A"/>
    <w:rsid w:val="00B732C9"/>
    <w:rsid w:val="00B7643C"/>
    <w:rsid w:val="00B770F1"/>
    <w:rsid w:val="00B85ECA"/>
    <w:rsid w:val="00B86736"/>
    <w:rsid w:val="00B875C5"/>
    <w:rsid w:val="00B90294"/>
    <w:rsid w:val="00B91AFB"/>
    <w:rsid w:val="00B92E28"/>
    <w:rsid w:val="00B93284"/>
    <w:rsid w:val="00B9362F"/>
    <w:rsid w:val="00BA03D6"/>
    <w:rsid w:val="00BA05EE"/>
    <w:rsid w:val="00BA1069"/>
    <w:rsid w:val="00BA2012"/>
    <w:rsid w:val="00BA272E"/>
    <w:rsid w:val="00BB059D"/>
    <w:rsid w:val="00BB1868"/>
    <w:rsid w:val="00BB1F1D"/>
    <w:rsid w:val="00BB36A8"/>
    <w:rsid w:val="00BC4A10"/>
    <w:rsid w:val="00BC759C"/>
    <w:rsid w:val="00BD0A18"/>
    <w:rsid w:val="00BD1EB4"/>
    <w:rsid w:val="00BD396A"/>
    <w:rsid w:val="00BD7109"/>
    <w:rsid w:val="00BD7DD6"/>
    <w:rsid w:val="00BE2B80"/>
    <w:rsid w:val="00BE43DB"/>
    <w:rsid w:val="00BE645C"/>
    <w:rsid w:val="00BE7159"/>
    <w:rsid w:val="00BF41C8"/>
    <w:rsid w:val="00BF71FC"/>
    <w:rsid w:val="00C000A9"/>
    <w:rsid w:val="00C01662"/>
    <w:rsid w:val="00C05009"/>
    <w:rsid w:val="00C06140"/>
    <w:rsid w:val="00C10BA0"/>
    <w:rsid w:val="00C10FF8"/>
    <w:rsid w:val="00C11AD7"/>
    <w:rsid w:val="00C11F3B"/>
    <w:rsid w:val="00C13698"/>
    <w:rsid w:val="00C149AF"/>
    <w:rsid w:val="00C20BAA"/>
    <w:rsid w:val="00C20F05"/>
    <w:rsid w:val="00C256A4"/>
    <w:rsid w:val="00C258AE"/>
    <w:rsid w:val="00C2796F"/>
    <w:rsid w:val="00C27B06"/>
    <w:rsid w:val="00C311D0"/>
    <w:rsid w:val="00C3480A"/>
    <w:rsid w:val="00C369B9"/>
    <w:rsid w:val="00C36F41"/>
    <w:rsid w:val="00C37B53"/>
    <w:rsid w:val="00C37FAF"/>
    <w:rsid w:val="00C41A1B"/>
    <w:rsid w:val="00C44A43"/>
    <w:rsid w:val="00C44C91"/>
    <w:rsid w:val="00C461DB"/>
    <w:rsid w:val="00C47286"/>
    <w:rsid w:val="00C545C3"/>
    <w:rsid w:val="00C6650E"/>
    <w:rsid w:val="00C6734E"/>
    <w:rsid w:val="00C720E5"/>
    <w:rsid w:val="00C74A8F"/>
    <w:rsid w:val="00C750ED"/>
    <w:rsid w:val="00C86090"/>
    <w:rsid w:val="00C91C5D"/>
    <w:rsid w:val="00C93A21"/>
    <w:rsid w:val="00C94063"/>
    <w:rsid w:val="00C97199"/>
    <w:rsid w:val="00CA3B43"/>
    <w:rsid w:val="00CA720E"/>
    <w:rsid w:val="00CA7CEB"/>
    <w:rsid w:val="00CB2C73"/>
    <w:rsid w:val="00CB3462"/>
    <w:rsid w:val="00CB4016"/>
    <w:rsid w:val="00CB6C7A"/>
    <w:rsid w:val="00CB77D7"/>
    <w:rsid w:val="00CC072D"/>
    <w:rsid w:val="00CC0A7E"/>
    <w:rsid w:val="00CC0D73"/>
    <w:rsid w:val="00CC2140"/>
    <w:rsid w:val="00CC2BEF"/>
    <w:rsid w:val="00CD2545"/>
    <w:rsid w:val="00CD4E99"/>
    <w:rsid w:val="00CD5834"/>
    <w:rsid w:val="00CD6A36"/>
    <w:rsid w:val="00CE2CB3"/>
    <w:rsid w:val="00CE6353"/>
    <w:rsid w:val="00CE6C02"/>
    <w:rsid w:val="00CF15E0"/>
    <w:rsid w:val="00CF65E1"/>
    <w:rsid w:val="00D009B6"/>
    <w:rsid w:val="00D00A19"/>
    <w:rsid w:val="00D012DF"/>
    <w:rsid w:val="00D14DE4"/>
    <w:rsid w:val="00D17C8D"/>
    <w:rsid w:val="00D2243F"/>
    <w:rsid w:val="00D22636"/>
    <w:rsid w:val="00D227BE"/>
    <w:rsid w:val="00D233D3"/>
    <w:rsid w:val="00D2351C"/>
    <w:rsid w:val="00D31BB7"/>
    <w:rsid w:val="00D35252"/>
    <w:rsid w:val="00D352E2"/>
    <w:rsid w:val="00D54CCB"/>
    <w:rsid w:val="00D54F5F"/>
    <w:rsid w:val="00D578BD"/>
    <w:rsid w:val="00D639BC"/>
    <w:rsid w:val="00D65293"/>
    <w:rsid w:val="00D653D6"/>
    <w:rsid w:val="00D67E8A"/>
    <w:rsid w:val="00D71574"/>
    <w:rsid w:val="00D71FE2"/>
    <w:rsid w:val="00D7351B"/>
    <w:rsid w:val="00D844E4"/>
    <w:rsid w:val="00D92F6C"/>
    <w:rsid w:val="00D94235"/>
    <w:rsid w:val="00DA076A"/>
    <w:rsid w:val="00DA1E7F"/>
    <w:rsid w:val="00DA2D73"/>
    <w:rsid w:val="00DA4F53"/>
    <w:rsid w:val="00DB4733"/>
    <w:rsid w:val="00DB473F"/>
    <w:rsid w:val="00DB5BB0"/>
    <w:rsid w:val="00DC205E"/>
    <w:rsid w:val="00DC3861"/>
    <w:rsid w:val="00DC48DE"/>
    <w:rsid w:val="00DC66E8"/>
    <w:rsid w:val="00DD36A6"/>
    <w:rsid w:val="00DD406E"/>
    <w:rsid w:val="00DD5E5F"/>
    <w:rsid w:val="00DD7347"/>
    <w:rsid w:val="00DD7911"/>
    <w:rsid w:val="00DE155B"/>
    <w:rsid w:val="00DF056E"/>
    <w:rsid w:val="00DF0BB4"/>
    <w:rsid w:val="00DF128A"/>
    <w:rsid w:val="00DF465F"/>
    <w:rsid w:val="00DF4F5A"/>
    <w:rsid w:val="00E0041E"/>
    <w:rsid w:val="00E023B6"/>
    <w:rsid w:val="00E03CF1"/>
    <w:rsid w:val="00E047F9"/>
    <w:rsid w:val="00E06161"/>
    <w:rsid w:val="00E07415"/>
    <w:rsid w:val="00E1065D"/>
    <w:rsid w:val="00E11A2B"/>
    <w:rsid w:val="00E23DD4"/>
    <w:rsid w:val="00E27327"/>
    <w:rsid w:val="00E30466"/>
    <w:rsid w:val="00E33583"/>
    <w:rsid w:val="00E34BE2"/>
    <w:rsid w:val="00E4208A"/>
    <w:rsid w:val="00E42F7C"/>
    <w:rsid w:val="00E43175"/>
    <w:rsid w:val="00E46221"/>
    <w:rsid w:val="00E5046E"/>
    <w:rsid w:val="00E523C4"/>
    <w:rsid w:val="00E53E8A"/>
    <w:rsid w:val="00E55152"/>
    <w:rsid w:val="00E56287"/>
    <w:rsid w:val="00E60507"/>
    <w:rsid w:val="00E607F2"/>
    <w:rsid w:val="00E6139B"/>
    <w:rsid w:val="00E62ED7"/>
    <w:rsid w:val="00E63735"/>
    <w:rsid w:val="00E64314"/>
    <w:rsid w:val="00E7011A"/>
    <w:rsid w:val="00E70524"/>
    <w:rsid w:val="00E80528"/>
    <w:rsid w:val="00E820CF"/>
    <w:rsid w:val="00E82A5D"/>
    <w:rsid w:val="00E93532"/>
    <w:rsid w:val="00E93B92"/>
    <w:rsid w:val="00E97AC2"/>
    <w:rsid w:val="00EA1C2E"/>
    <w:rsid w:val="00EB17DD"/>
    <w:rsid w:val="00EB195C"/>
    <w:rsid w:val="00EB34C5"/>
    <w:rsid w:val="00EB6C3C"/>
    <w:rsid w:val="00EB6D5D"/>
    <w:rsid w:val="00EC29C1"/>
    <w:rsid w:val="00EC3EDA"/>
    <w:rsid w:val="00EC42B9"/>
    <w:rsid w:val="00EC5A02"/>
    <w:rsid w:val="00EC64F4"/>
    <w:rsid w:val="00ED15D6"/>
    <w:rsid w:val="00ED53F6"/>
    <w:rsid w:val="00ED6728"/>
    <w:rsid w:val="00EE537D"/>
    <w:rsid w:val="00EE6866"/>
    <w:rsid w:val="00EE70CC"/>
    <w:rsid w:val="00EF037B"/>
    <w:rsid w:val="00EF4101"/>
    <w:rsid w:val="00EF41CC"/>
    <w:rsid w:val="00F07183"/>
    <w:rsid w:val="00F120A5"/>
    <w:rsid w:val="00F12C46"/>
    <w:rsid w:val="00F17ACD"/>
    <w:rsid w:val="00F20230"/>
    <w:rsid w:val="00F21AE2"/>
    <w:rsid w:val="00F22A75"/>
    <w:rsid w:val="00F23D1F"/>
    <w:rsid w:val="00F26FEA"/>
    <w:rsid w:val="00F42D79"/>
    <w:rsid w:val="00F46D18"/>
    <w:rsid w:val="00F51A94"/>
    <w:rsid w:val="00F524B5"/>
    <w:rsid w:val="00F54CAB"/>
    <w:rsid w:val="00F57944"/>
    <w:rsid w:val="00F64AE5"/>
    <w:rsid w:val="00F66BD1"/>
    <w:rsid w:val="00F73AB3"/>
    <w:rsid w:val="00F76F3E"/>
    <w:rsid w:val="00F8033D"/>
    <w:rsid w:val="00F80F53"/>
    <w:rsid w:val="00F85199"/>
    <w:rsid w:val="00F85ECB"/>
    <w:rsid w:val="00F85FA5"/>
    <w:rsid w:val="00F9061A"/>
    <w:rsid w:val="00F97749"/>
    <w:rsid w:val="00F97DF5"/>
    <w:rsid w:val="00FA29A4"/>
    <w:rsid w:val="00FA2E4A"/>
    <w:rsid w:val="00FA404E"/>
    <w:rsid w:val="00FA5AD8"/>
    <w:rsid w:val="00FB2548"/>
    <w:rsid w:val="00FC1A81"/>
    <w:rsid w:val="00FC1B81"/>
    <w:rsid w:val="00FC7128"/>
    <w:rsid w:val="00FD2277"/>
    <w:rsid w:val="00FD23DA"/>
    <w:rsid w:val="00FD2D2B"/>
    <w:rsid w:val="00FD43F6"/>
    <w:rsid w:val="00FD462F"/>
    <w:rsid w:val="00FD4812"/>
    <w:rsid w:val="00FE58E3"/>
    <w:rsid w:val="00FF0141"/>
    <w:rsid w:val="00FF1545"/>
    <w:rsid w:val="00FF324C"/>
    <w:rsid w:val="00FF33B0"/>
    <w:rsid w:val="00FF3B10"/>
    <w:rsid w:val="00FF6C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90FC8"/>
  <w15:docId w15:val="{FADF7EC6-DB0B-354F-8515-A2F9A2B8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35"/>
    <w:pPr>
      <w:spacing w:after="200" w:line="276" w:lineRule="auto"/>
    </w:pPr>
    <w:rPr>
      <w:rFonts w:ascii="Calibri" w:eastAsia="Times New Roman" w:hAnsi="Calibri" w:cs="Times New Roman"/>
      <w:lang w:val="en-GB" w:eastAsia="en-GB"/>
    </w:rPr>
  </w:style>
  <w:style w:type="paragraph" w:styleId="Ttulo1">
    <w:name w:val="heading 1"/>
    <w:basedOn w:val="Normal"/>
    <w:next w:val="Normal"/>
    <w:link w:val="Ttulo1Car"/>
    <w:uiPriority w:val="9"/>
    <w:qFormat/>
    <w:rsid w:val="00B1058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
    <w:uiPriority w:val="9"/>
    <w:unhideWhenUsed/>
    <w:qFormat/>
    <w:rsid w:val="00D92F6C"/>
    <w:pPr>
      <w:keepNext/>
      <w:keepLines/>
      <w:spacing w:before="200" w:after="0"/>
      <w:outlineLvl w:val="1"/>
    </w:pPr>
    <w:rPr>
      <w:rFonts w:ascii="Cambria" w:hAnsi="Cambria"/>
      <w:b/>
      <w:bCs/>
      <w:color w:val="2DA2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92F6C"/>
    <w:rPr>
      <w:rFonts w:ascii="Cambria" w:eastAsia="Times New Roman" w:hAnsi="Cambria" w:cs="Times New Roman"/>
      <w:b/>
      <w:bCs/>
      <w:color w:val="2DA2BF"/>
      <w:sz w:val="26"/>
      <w:szCs w:val="26"/>
    </w:rPr>
  </w:style>
  <w:style w:type="paragraph" w:styleId="Piedepgina">
    <w:name w:val="footer"/>
    <w:basedOn w:val="Normal"/>
    <w:link w:val="PiedepginaCar"/>
    <w:uiPriority w:val="99"/>
    <w:rsid w:val="00D92F6C"/>
    <w:pPr>
      <w:tabs>
        <w:tab w:val="center" w:pos="4535"/>
        <w:tab w:val="right" w:pos="9071"/>
        <w:tab w:val="right" w:pos="9921"/>
      </w:tabs>
      <w:spacing w:before="360" w:after="0"/>
      <w:ind w:left="-850" w:right="-850"/>
    </w:pPr>
    <w:rPr>
      <w:rFonts w:ascii="Tunga" w:eastAsia="Arial Unicode MS" w:hAnsi="Tunga"/>
      <w:lang w:eastAsia="de-DE"/>
    </w:rPr>
  </w:style>
  <w:style w:type="character" w:customStyle="1" w:styleId="PiedepginaCar">
    <w:name w:val="Pie de página Car"/>
    <w:basedOn w:val="Fuentedeprrafopredeter"/>
    <w:link w:val="Piedepgina"/>
    <w:uiPriority w:val="99"/>
    <w:rsid w:val="00D92F6C"/>
    <w:rPr>
      <w:rFonts w:ascii="Tunga" w:eastAsia="Arial Unicode MS" w:hAnsi="Tunga" w:cs="Times New Roman"/>
      <w:lang w:eastAsia="de-DE"/>
    </w:rPr>
  </w:style>
  <w:style w:type="character" w:styleId="Refdenotaalpi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D92F6C"/>
    <w:rPr>
      <w:vertAlign w:val="superscript"/>
    </w:rPr>
  </w:style>
  <w:style w:type="paragraph" w:styleId="Textonotapie">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TextonotapieCar"/>
    <w:qFormat/>
    <w:rsid w:val="00D92F6C"/>
    <w:pPr>
      <w:spacing w:after="0"/>
      <w:ind w:left="720" w:hanging="720"/>
    </w:pPr>
    <w:rPr>
      <w:sz w:val="20"/>
      <w:szCs w:val="20"/>
    </w:rPr>
  </w:style>
  <w:style w:type="character" w:customStyle="1" w:styleId="FootnoteTextChar">
    <w:name w:val="Footnote Text Char"/>
    <w:aliases w:val="Footnote Text Char1 Char1 Char Char,single space Char,fn Char,ft Char"/>
    <w:basedOn w:val="Fuentedeprrafopredeter"/>
    <w:uiPriority w:val="99"/>
    <w:qFormat/>
    <w:rsid w:val="00D92F6C"/>
    <w:rPr>
      <w:rFonts w:ascii="Calibri" w:eastAsia="Times New Roman" w:hAnsi="Calibri" w:cs="Times New Roman"/>
      <w:sz w:val="20"/>
      <w:szCs w:val="20"/>
      <w:lang w:val="en-GB" w:eastAsia="en-GB"/>
    </w:rPr>
  </w:style>
  <w:style w:type="paragraph" w:styleId="Encabezado">
    <w:name w:val="header"/>
    <w:basedOn w:val="Normal"/>
    <w:link w:val="EncabezadoCar"/>
    <w:uiPriority w:val="99"/>
    <w:rsid w:val="00D92F6C"/>
    <w:pPr>
      <w:tabs>
        <w:tab w:val="right" w:pos="9071"/>
      </w:tabs>
    </w:pPr>
  </w:style>
  <w:style w:type="character" w:customStyle="1" w:styleId="EncabezadoCar">
    <w:name w:val="Encabezado Car"/>
    <w:basedOn w:val="Fuentedeprrafopredeter"/>
    <w:link w:val="Encabezado"/>
    <w:uiPriority w:val="99"/>
    <w:rsid w:val="00D92F6C"/>
    <w:rPr>
      <w:rFonts w:ascii="Calibri" w:eastAsia="Times New Roman" w:hAnsi="Calibri" w:cs="Times New Roman"/>
      <w:lang w:val="en-GB" w:eastAsia="en-GB"/>
    </w:rPr>
  </w:style>
  <w:style w:type="paragraph" w:styleId="Prrafodelista">
    <w:name w:val="List Paragraph"/>
    <w:aliases w:val="Bullet point,Table of contents numbered,Colorful List - Accent 11,List Paragraph2,Light Grid - Accent 31,Akapit z listą BS,Bullet1,List Paragraph in table,PROVERE 1,Table/Figure Heading,Dot pt,F5 List Paragraph,List Paragraph1,EC"/>
    <w:basedOn w:val="Normal"/>
    <w:link w:val="PrrafodelistaCar"/>
    <w:uiPriority w:val="34"/>
    <w:qFormat/>
    <w:rsid w:val="00D92F6C"/>
    <w:pPr>
      <w:ind w:left="720"/>
      <w:contextualSpacing/>
    </w:pPr>
  </w:style>
  <w:style w:type="character" w:customStyle="1" w:styleId="TextonotapieCar">
    <w:name w:val="Texto nota pie Car"/>
    <w:aliases w:val="Footnote Text Char Char Char Car,Footnote Text Char Char Car,Fußnote Car,Footnote Car,Footnote Text Char1 Char Car,Footnote Text Char1 Char Char Char Car,Footnote Text Char Char Char Char Char Car,Footnote Text Char1 Char1 Char Car"/>
    <w:link w:val="Textonotapie"/>
    <w:qFormat/>
    <w:rsid w:val="00D92F6C"/>
    <w:rPr>
      <w:rFonts w:ascii="Calibri" w:eastAsia="Times New Roman" w:hAnsi="Calibri" w:cs="Times New Roman"/>
      <w:sz w:val="20"/>
      <w:szCs w:val="20"/>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Refdenotaalpie"/>
    <w:uiPriority w:val="99"/>
    <w:rsid w:val="00D92F6C"/>
    <w:pPr>
      <w:spacing w:before="120" w:after="160" w:line="240" w:lineRule="exact"/>
      <w:jc w:val="both"/>
    </w:pPr>
    <w:rPr>
      <w:rFonts w:asciiTheme="minorHAnsi" w:eastAsiaTheme="minorHAnsi" w:hAnsiTheme="minorHAnsi" w:cstheme="minorBidi"/>
      <w:vertAlign w:val="superscript"/>
      <w:lang w:val="fr-BE" w:eastAsia="en-US"/>
    </w:rPr>
  </w:style>
  <w:style w:type="character" w:customStyle="1" w:styleId="PrrafodelistaCar">
    <w:name w:val="Párrafo de lista Car"/>
    <w:aliases w:val="Bullet point Car,Table of contents numbered Car,Colorful List - Accent 11 Car,List Paragraph2 Car,Light Grid - Accent 31 Car,Akapit z listą BS Car,Bullet1 Car,List Paragraph in table Car,PROVERE 1 Car,Table/Figure Heading Car,EC Car"/>
    <w:link w:val="Prrafodelista"/>
    <w:uiPriority w:val="34"/>
    <w:qFormat/>
    <w:locked/>
    <w:rsid w:val="00D92F6C"/>
    <w:rPr>
      <w:rFonts w:ascii="Calibri" w:eastAsia="Times New Roman" w:hAnsi="Calibri" w:cs="Times New Roman"/>
      <w:lang w:val="en-GB" w:eastAsia="en-GB"/>
    </w:rPr>
  </w:style>
  <w:style w:type="paragraph" w:customStyle="1" w:styleId="Default">
    <w:name w:val="Default"/>
    <w:rsid w:val="003D1B1E"/>
    <w:pPr>
      <w:autoSpaceDE w:val="0"/>
      <w:autoSpaceDN w:val="0"/>
      <w:adjustRightInd w:val="0"/>
      <w:spacing w:after="0" w:line="240" w:lineRule="auto"/>
    </w:pPr>
    <w:rPr>
      <w:rFonts w:ascii="Times New Roman" w:eastAsia="Calibri" w:hAnsi="Times New Roman" w:cs="Times New Roman"/>
      <w:color w:val="000000"/>
      <w:sz w:val="24"/>
      <w:szCs w:val="24"/>
      <w:lang w:val="mk-MK" w:eastAsia="mk-MK"/>
    </w:rPr>
  </w:style>
  <w:style w:type="paragraph" w:styleId="Textonotaalfinal">
    <w:name w:val="endnote text"/>
    <w:basedOn w:val="Normal"/>
    <w:link w:val="TextonotaalfinalCar"/>
    <w:uiPriority w:val="99"/>
    <w:semiHidden/>
    <w:unhideWhenUsed/>
    <w:rsid w:val="007E4FE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E4FE3"/>
    <w:rPr>
      <w:rFonts w:ascii="Calibri" w:eastAsia="Times New Roman" w:hAnsi="Calibri" w:cs="Times New Roman"/>
      <w:sz w:val="20"/>
      <w:szCs w:val="20"/>
      <w:lang w:val="en-GB" w:eastAsia="en-GB"/>
    </w:rPr>
  </w:style>
  <w:style w:type="character" w:styleId="Refdenotaalfinal">
    <w:name w:val="endnote reference"/>
    <w:basedOn w:val="Fuentedeprrafopredeter"/>
    <w:uiPriority w:val="99"/>
    <w:semiHidden/>
    <w:unhideWhenUsed/>
    <w:rsid w:val="007E4FE3"/>
    <w:rPr>
      <w:vertAlign w:val="superscript"/>
    </w:rPr>
  </w:style>
  <w:style w:type="paragraph" w:customStyle="1" w:styleId="Titreobjet">
    <w:name w:val="Titre objet"/>
    <w:basedOn w:val="Normal"/>
    <w:next w:val="Normal"/>
    <w:rsid w:val="00F46D18"/>
    <w:pPr>
      <w:spacing w:before="180" w:after="180" w:line="240" w:lineRule="auto"/>
      <w:jc w:val="center"/>
    </w:pPr>
    <w:rPr>
      <w:rFonts w:ascii="Times New Roman" w:eastAsia="Calibri" w:hAnsi="Times New Roman"/>
      <w:b/>
      <w:sz w:val="24"/>
    </w:rPr>
  </w:style>
  <w:style w:type="paragraph" w:customStyle="1" w:styleId="Typeacteprincipal">
    <w:name w:val="Type acte principal"/>
    <w:basedOn w:val="Normal"/>
    <w:next w:val="Objetacteprincipal"/>
    <w:rsid w:val="00F46D18"/>
    <w:pPr>
      <w:spacing w:after="240" w:line="240" w:lineRule="auto"/>
      <w:jc w:val="center"/>
    </w:pPr>
    <w:rPr>
      <w:rFonts w:ascii="Times New Roman" w:eastAsia="Calibri" w:hAnsi="Times New Roman"/>
      <w:b/>
      <w:sz w:val="24"/>
    </w:rPr>
  </w:style>
  <w:style w:type="paragraph" w:customStyle="1" w:styleId="Accompagnant">
    <w:name w:val="Accompagnant"/>
    <w:basedOn w:val="Normal"/>
    <w:next w:val="Typeacteprincipal"/>
    <w:rsid w:val="00F46D18"/>
    <w:pPr>
      <w:spacing w:before="180" w:after="240" w:line="240" w:lineRule="auto"/>
      <w:jc w:val="center"/>
    </w:pPr>
    <w:rPr>
      <w:rFonts w:ascii="Times New Roman" w:eastAsia="Calibri" w:hAnsi="Times New Roman"/>
      <w:b/>
      <w:sz w:val="24"/>
    </w:rPr>
  </w:style>
  <w:style w:type="paragraph" w:customStyle="1" w:styleId="Objetacteprincipal">
    <w:name w:val="Objet acte principal"/>
    <w:basedOn w:val="Normal"/>
    <w:next w:val="Normal"/>
    <w:rsid w:val="00F46D18"/>
    <w:pPr>
      <w:spacing w:after="360" w:line="240" w:lineRule="auto"/>
      <w:jc w:val="center"/>
    </w:pPr>
    <w:rPr>
      <w:rFonts w:ascii="Times New Roman" w:eastAsia="Calibri" w:hAnsi="Times New Roman"/>
      <w:b/>
      <w:sz w:val="24"/>
    </w:rPr>
  </w:style>
  <w:style w:type="paragraph" w:styleId="Textodeglobo">
    <w:name w:val="Balloon Text"/>
    <w:basedOn w:val="Normal"/>
    <w:link w:val="TextodegloboCar"/>
    <w:uiPriority w:val="99"/>
    <w:semiHidden/>
    <w:unhideWhenUsed/>
    <w:rsid w:val="00BA20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012"/>
    <w:rPr>
      <w:rFonts w:ascii="Tahoma" w:eastAsia="Times New Roman" w:hAnsi="Tahoma" w:cs="Tahoma"/>
      <w:sz w:val="16"/>
      <w:szCs w:val="16"/>
      <w:lang w:val="en-GB" w:eastAsia="en-GB"/>
    </w:rPr>
  </w:style>
  <w:style w:type="character" w:styleId="Refdecomentario">
    <w:name w:val="annotation reference"/>
    <w:basedOn w:val="Fuentedeprrafopredeter"/>
    <w:uiPriority w:val="99"/>
    <w:unhideWhenUsed/>
    <w:qFormat/>
    <w:rsid w:val="0004402B"/>
    <w:rPr>
      <w:sz w:val="16"/>
      <w:szCs w:val="16"/>
    </w:rPr>
  </w:style>
  <w:style w:type="paragraph" w:styleId="Textocomentario">
    <w:name w:val="annotation text"/>
    <w:aliases w:val="Char Char"/>
    <w:basedOn w:val="Normal"/>
    <w:link w:val="TextocomentarioCar"/>
    <w:uiPriority w:val="99"/>
    <w:unhideWhenUsed/>
    <w:rsid w:val="0004402B"/>
    <w:pPr>
      <w:spacing w:line="240" w:lineRule="auto"/>
    </w:pPr>
    <w:rPr>
      <w:sz w:val="20"/>
      <w:szCs w:val="20"/>
    </w:rPr>
  </w:style>
  <w:style w:type="character" w:customStyle="1" w:styleId="TextocomentarioCar">
    <w:name w:val="Texto comentario Car"/>
    <w:aliases w:val="Char Char Car"/>
    <w:basedOn w:val="Fuentedeprrafopredeter"/>
    <w:link w:val="Textocomentario"/>
    <w:uiPriority w:val="99"/>
    <w:rsid w:val="0004402B"/>
    <w:rPr>
      <w:rFonts w:ascii="Calibri" w:eastAsia="Times New Roman" w:hAnsi="Calibri"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04402B"/>
    <w:rPr>
      <w:b/>
      <w:bCs/>
    </w:rPr>
  </w:style>
  <w:style w:type="character" w:customStyle="1" w:styleId="AsuntodelcomentarioCar">
    <w:name w:val="Asunto del comentario Car"/>
    <w:basedOn w:val="TextocomentarioCar"/>
    <w:link w:val="Asuntodelcomentario"/>
    <w:uiPriority w:val="99"/>
    <w:semiHidden/>
    <w:rsid w:val="0004402B"/>
    <w:rPr>
      <w:rFonts w:ascii="Calibri" w:eastAsia="Times New Roman" w:hAnsi="Calibri" w:cs="Times New Roman"/>
      <w:b/>
      <w:bCs/>
      <w:sz w:val="20"/>
      <w:szCs w:val="20"/>
      <w:lang w:val="en-GB" w:eastAsia="en-GB"/>
    </w:rPr>
  </w:style>
  <w:style w:type="paragraph" w:customStyle="1" w:styleId="Char2CharCharCharCharCharCharCharCharChar">
    <w:name w:val="Char2 Char Char Char Char Char Char Char Char Char"/>
    <w:basedOn w:val="Normal"/>
    <w:rsid w:val="00784084"/>
    <w:pPr>
      <w:spacing w:after="160" w:line="240" w:lineRule="exact"/>
    </w:pPr>
    <w:rPr>
      <w:rFonts w:ascii="Tahoma" w:hAnsi="Tahoma"/>
      <w:sz w:val="20"/>
      <w:szCs w:val="20"/>
      <w:lang w:val="en-US" w:eastAsia="en-US"/>
    </w:rPr>
  </w:style>
  <w:style w:type="paragraph" w:styleId="Sinespaciado">
    <w:name w:val="No Spacing"/>
    <w:qFormat/>
    <w:rsid w:val="00931D8E"/>
    <w:pPr>
      <w:spacing w:after="0" w:line="240" w:lineRule="auto"/>
    </w:pPr>
    <w:rPr>
      <w:rFonts w:ascii="Calibri" w:eastAsia="Times New Roman" w:hAnsi="Calibri" w:cs="Times New Roman"/>
      <w:lang w:val="en-IE"/>
    </w:rPr>
  </w:style>
  <w:style w:type="paragraph" w:styleId="Textoindependiente">
    <w:name w:val="Body Text"/>
    <w:basedOn w:val="Normal"/>
    <w:link w:val="TextoindependienteCar"/>
    <w:uiPriority w:val="1"/>
    <w:qFormat/>
    <w:rsid w:val="00CA3B43"/>
    <w:pPr>
      <w:widowControl w:val="0"/>
      <w:autoSpaceDE w:val="0"/>
      <w:autoSpaceDN w:val="0"/>
      <w:spacing w:after="0" w:line="240" w:lineRule="auto"/>
    </w:pPr>
    <w:rPr>
      <w:rFonts w:eastAsia="Calibri" w:cs="Calibri"/>
      <w:lang w:val="en-US" w:eastAsia="en-US"/>
    </w:rPr>
  </w:style>
  <w:style w:type="character" w:customStyle="1" w:styleId="TextoindependienteCar">
    <w:name w:val="Texto independiente Car"/>
    <w:basedOn w:val="Fuentedeprrafopredeter"/>
    <w:link w:val="Textoindependiente"/>
    <w:uiPriority w:val="1"/>
    <w:rsid w:val="00CA3B43"/>
    <w:rPr>
      <w:rFonts w:ascii="Calibri" w:eastAsia="Calibri" w:hAnsi="Calibri" w:cs="Calibri"/>
      <w:lang w:val="en-US"/>
    </w:rPr>
  </w:style>
  <w:style w:type="character" w:customStyle="1" w:styleId="Ttulo1Car">
    <w:name w:val="Título 1 Car"/>
    <w:basedOn w:val="Fuentedeprrafopredeter"/>
    <w:link w:val="Ttulo1"/>
    <w:uiPriority w:val="9"/>
    <w:rsid w:val="00B10582"/>
    <w:rPr>
      <w:rFonts w:asciiTheme="majorHAnsi" w:eastAsiaTheme="majorEastAsia" w:hAnsiTheme="majorHAnsi" w:cstheme="majorBidi"/>
      <w:b/>
      <w:bCs/>
      <w:color w:val="2C6EAB" w:themeColor="accent1" w:themeShade="B5"/>
      <w:sz w:val="32"/>
      <w:szCs w:val="32"/>
      <w:lang w:val="en-GB" w:eastAsia="en-GB"/>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uiPriority w:val="99"/>
    <w:rsid w:val="00B10582"/>
    <w:pPr>
      <w:spacing w:after="0" w:line="240" w:lineRule="exact"/>
      <w:jc w:val="both"/>
    </w:pPr>
    <w:rPr>
      <w:rFonts w:ascii="Times New Roman" w:eastAsiaTheme="minorHAnsi" w:hAnsi="Times New Roman" w:cstheme="minorBidi"/>
      <w:sz w:val="24"/>
      <w:vertAlign w:val="superscript"/>
      <w:lang w:eastAsia="en-US"/>
    </w:rPr>
  </w:style>
  <w:style w:type="paragraph" w:customStyle="1" w:styleId="FootnoteText1">
    <w:name w:val="Footnote Text1"/>
    <w:basedOn w:val="Normal"/>
    <w:rsid w:val="00B10582"/>
    <w:pPr>
      <w:spacing w:after="0"/>
      <w:ind w:left="720" w:hanging="720"/>
    </w:pPr>
    <w:rPr>
      <w:rFonts w:cs="Calibri"/>
      <w:sz w:val="20"/>
      <w:szCs w:val="20"/>
      <w:lang w:val="en-US" w:eastAsia="en-US"/>
    </w:rPr>
  </w:style>
  <w:style w:type="character" w:styleId="Hipervnculo">
    <w:name w:val="Hyperlink"/>
    <w:basedOn w:val="Fuentedeprrafopredeter"/>
    <w:uiPriority w:val="99"/>
    <w:unhideWhenUsed/>
    <w:rsid w:val="00C369B9"/>
    <w:rPr>
      <w:color w:val="0563C1" w:themeColor="hyperlink"/>
      <w:u w:val="single"/>
    </w:rPr>
  </w:style>
  <w:style w:type="table" w:styleId="Tablaconcuadrcula">
    <w:name w:val="Table Grid"/>
    <w:basedOn w:val="Tablanormal"/>
    <w:uiPriority w:val="39"/>
    <w:rsid w:val="0089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5D1"/>
    <w:rPr>
      <w:color w:val="605E5C"/>
      <w:shd w:val="clear" w:color="auto" w:fill="E1DFDD"/>
    </w:rPr>
  </w:style>
  <w:style w:type="character" w:styleId="Referenciasutil">
    <w:name w:val="Subtle Reference"/>
    <w:basedOn w:val="Fuentedeprrafopredeter"/>
    <w:uiPriority w:val="31"/>
    <w:qFormat/>
    <w:rsid w:val="0035381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527">
      <w:bodyDiv w:val="1"/>
      <w:marLeft w:val="0"/>
      <w:marRight w:val="0"/>
      <w:marTop w:val="0"/>
      <w:marBottom w:val="0"/>
      <w:divBdr>
        <w:top w:val="none" w:sz="0" w:space="0" w:color="auto"/>
        <w:left w:val="none" w:sz="0" w:space="0" w:color="auto"/>
        <w:bottom w:val="none" w:sz="0" w:space="0" w:color="auto"/>
        <w:right w:val="none" w:sz="0" w:space="0" w:color="auto"/>
      </w:divBdr>
    </w:div>
    <w:div w:id="203637741">
      <w:bodyDiv w:val="1"/>
      <w:marLeft w:val="0"/>
      <w:marRight w:val="0"/>
      <w:marTop w:val="0"/>
      <w:marBottom w:val="0"/>
      <w:divBdr>
        <w:top w:val="none" w:sz="0" w:space="0" w:color="auto"/>
        <w:left w:val="none" w:sz="0" w:space="0" w:color="auto"/>
        <w:bottom w:val="none" w:sz="0" w:space="0" w:color="auto"/>
        <w:right w:val="none" w:sz="0" w:space="0" w:color="auto"/>
      </w:divBdr>
    </w:div>
    <w:div w:id="232934481">
      <w:bodyDiv w:val="1"/>
      <w:marLeft w:val="0"/>
      <w:marRight w:val="0"/>
      <w:marTop w:val="0"/>
      <w:marBottom w:val="0"/>
      <w:divBdr>
        <w:top w:val="none" w:sz="0" w:space="0" w:color="auto"/>
        <w:left w:val="none" w:sz="0" w:space="0" w:color="auto"/>
        <w:bottom w:val="none" w:sz="0" w:space="0" w:color="auto"/>
        <w:right w:val="none" w:sz="0" w:space="0" w:color="auto"/>
      </w:divBdr>
      <w:divsChild>
        <w:div w:id="649863894">
          <w:marLeft w:val="0"/>
          <w:marRight w:val="0"/>
          <w:marTop w:val="0"/>
          <w:marBottom w:val="0"/>
          <w:divBdr>
            <w:top w:val="none" w:sz="0" w:space="0" w:color="auto"/>
            <w:left w:val="none" w:sz="0" w:space="0" w:color="auto"/>
            <w:bottom w:val="none" w:sz="0" w:space="0" w:color="auto"/>
            <w:right w:val="none" w:sz="0" w:space="0" w:color="auto"/>
          </w:divBdr>
        </w:div>
        <w:div w:id="1219973113">
          <w:marLeft w:val="0"/>
          <w:marRight w:val="0"/>
          <w:marTop w:val="0"/>
          <w:marBottom w:val="120"/>
          <w:divBdr>
            <w:top w:val="none" w:sz="0" w:space="0" w:color="auto"/>
            <w:left w:val="none" w:sz="0" w:space="0" w:color="auto"/>
            <w:bottom w:val="none" w:sz="0" w:space="0" w:color="auto"/>
            <w:right w:val="none" w:sz="0" w:space="0" w:color="auto"/>
          </w:divBdr>
        </w:div>
      </w:divsChild>
    </w:div>
    <w:div w:id="234053863">
      <w:bodyDiv w:val="1"/>
      <w:marLeft w:val="0"/>
      <w:marRight w:val="0"/>
      <w:marTop w:val="0"/>
      <w:marBottom w:val="0"/>
      <w:divBdr>
        <w:top w:val="none" w:sz="0" w:space="0" w:color="auto"/>
        <w:left w:val="none" w:sz="0" w:space="0" w:color="auto"/>
        <w:bottom w:val="none" w:sz="0" w:space="0" w:color="auto"/>
        <w:right w:val="none" w:sz="0" w:space="0" w:color="auto"/>
      </w:divBdr>
    </w:div>
    <w:div w:id="517695841">
      <w:bodyDiv w:val="1"/>
      <w:marLeft w:val="0"/>
      <w:marRight w:val="0"/>
      <w:marTop w:val="0"/>
      <w:marBottom w:val="0"/>
      <w:divBdr>
        <w:top w:val="none" w:sz="0" w:space="0" w:color="auto"/>
        <w:left w:val="none" w:sz="0" w:space="0" w:color="auto"/>
        <w:bottom w:val="none" w:sz="0" w:space="0" w:color="auto"/>
        <w:right w:val="none" w:sz="0" w:space="0" w:color="auto"/>
      </w:divBdr>
    </w:div>
    <w:div w:id="532965825">
      <w:bodyDiv w:val="1"/>
      <w:marLeft w:val="0"/>
      <w:marRight w:val="0"/>
      <w:marTop w:val="0"/>
      <w:marBottom w:val="0"/>
      <w:divBdr>
        <w:top w:val="none" w:sz="0" w:space="0" w:color="auto"/>
        <w:left w:val="none" w:sz="0" w:space="0" w:color="auto"/>
        <w:bottom w:val="none" w:sz="0" w:space="0" w:color="auto"/>
        <w:right w:val="none" w:sz="0" w:space="0" w:color="auto"/>
      </w:divBdr>
    </w:div>
    <w:div w:id="606929480">
      <w:bodyDiv w:val="1"/>
      <w:marLeft w:val="0"/>
      <w:marRight w:val="0"/>
      <w:marTop w:val="0"/>
      <w:marBottom w:val="0"/>
      <w:divBdr>
        <w:top w:val="none" w:sz="0" w:space="0" w:color="auto"/>
        <w:left w:val="none" w:sz="0" w:space="0" w:color="auto"/>
        <w:bottom w:val="none" w:sz="0" w:space="0" w:color="auto"/>
        <w:right w:val="none" w:sz="0" w:space="0" w:color="auto"/>
      </w:divBdr>
    </w:div>
    <w:div w:id="612785356">
      <w:bodyDiv w:val="1"/>
      <w:marLeft w:val="0"/>
      <w:marRight w:val="0"/>
      <w:marTop w:val="0"/>
      <w:marBottom w:val="0"/>
      <w:divBdr>
        <w:top w:val="none" w:sz="0" w:space="0" w:color="auto"/>
        <w:left w:val="none" w:sz="0" w:space="0" w:color="auto"/>
        <w:bottom w:val="none" w:sz="0" w:space="0" w:color="auto"/>
        <w:right w:val="none" w:sz="0" w:space="0" w:color="auto"/>
      </w:divBdr>
      <w:divsChild>
        <w:div w:id="21975978">
          <w:marLeft w:val="0"/>
          <w:marRight w:val="0"/>
          <w:marTop w:val="280"/>
          <w:marBottom w:val="0"/>
          <w:divBdr>
            <w:top w:val="none" w:sz="0" w:space="0" w:color="auto"/>
            <w:left w:val="none" w:sz="0" w:space="0" w:color="auto"/>
            <w:bottom w:val="none" w:sz="0" w:space="0" w:color="auto"/>
            <w:right w:val="none" w:sz="0" w:space="0" w:color="auto"/>
          </w:divBdr>
        </w:div>
        <w:div w:id="257715901">
          <w:marLeft w:val="0"/>
          <w:marRight w:val="0"/>
          <w:marTop w:val="240"/>
          <w:marBottom w:val="280"/>
          <w:divBdr>
            <w:top w:val="none" w:sz="0" w:space="0" w:color="auto"/>
            <w:left w:val="none" w:sz="0" w:space="0" w:color="auto"/>
            <w:bottom w:val="none" w:sz="0" w:space="0" w:color="auto"/>
            <w:right w:val="none" w:sz="0" w:space="0" w:color="auto"/>
          </w:divBdr>
        </w:div>
        <w:div w:id="1341617268">
          <w:marLeft w:val="0"/>
          <w:marRight w:val="0"/>
          <w:marTop w:val="240"/>
          <w:marBottom w:val="280"/>
          <w:divBdr>
            <w:top w:val="none" w:sz="0" w:space="0" w:color="auto"/>
            <w:left w:val="none" w:sz="0" w:space="0" w:color="auto"/>
            <w:bottom w:val="none" w:sz="0" w:space="0" w:color="auto"/>
            <w:right w:val="none" w:sz="0" w:space="0" w:color="auto"/>
          </w:divBdr>
        </w:div>
      </w:divsChild>
    </w:div>
    <w:div w:id="628440992">
      <w:bodyDiv w:val="1"/>
      <w:marLeft w:val="0"/>
      <w:marRight w:val="0"/>
      <w:marTop w:val="0"/>
      <w:marBottom w:val="0"/>
      <w:divBdr>
        <w:top w:val="none" w:sz="0" w:space="0" w:color="auto"/>
        <w:left w:val="none" w:sz="0" w:space="0" w:color="auto"/>
        <w:bottom w:val="none" w:sz="0" w:space="0" w:color="auto"/>
        <w:right w:val="none" w:sz="0" w:space="0" w:color="auto"/>
      </w:divBdr>
    </w:div>
    <w:div w:id="685252040">
      <w:bodyDiv w:val="1"/>
      <w:marLeft w:val="0"/>
      <w:marRight w:val="0"/>
      <w:marTop w:val="0"/>
      <w:marBottom w:val="0"/>
      <w:divBdr>
        <w:top w:val="none" w:sz="0" w:space="0" w:color="auto"/>
        <w:left w:val="none" w:sz="0" w:space="0" w:color="auto"/>
        <w:bottom w:val="none" w:sz="0" w:space="0" w:color="auto"/>
        <w:right w:val="none" w:sz="0" w:space="0" w:color="auto"/>
      </w:divBdr>
    </w:div>
    <w:div w:id="841092185">
      <w:bodyDiv w:val="1"/>
      <w:marLeft w:val="0"/>
      <w:marRight w:val="0"/>
      <w:marTop w:val="0"/>
      <w:marBottom w:val="0"/>
      <w:divBdr>
        <w:top w:val="none" w:sz="0" w:space="0" w:color="auto"/>
        <w:left w:val="none" w:sz="0" w:space="0" w:color="auto"/>
        <w:bottom w:val="none" w:sz="0" w:space="0" w:color="auto"/>
        <w:right w:val="none" w:sz="0" w:space="0" w:color="auto"/>
      </w:divBdr>
    </w:div>
    <w:div w:id="958338994">
      <w:bodyDiv w:val="1"/>
      <w:marLeft w:val="0"/>
      <w:marRight w:val="0"/>
      <w:marTop w:val="0"/>
      <w:marBottom w:val="0"/>
      <w:divBdr>
        <w:top w:val="none" w:sz="0" w:space="0" w:color="auto"/>
        <w:left w:val="none" w:sz="0" w:space="0" w:color="auto"/>
        <w:bottom w:val="none" w:sz="0" w:space="0" w:color="auto"/>
        <w:right w:val="none" w:sz="0" w:space="0" w:color="auto"/>
      </w:divBdr>
    </w:div>
    <w:div w:id="1005785443">
      <w:bodyDiv w:val="1"/>
      <w:marLeft w:val="0"/>
      <w:marRight w:val="0"/>
      <w:marTop w:val="0"/>
      <w:marBottom w:val="0"/>
      <w:divBdr>
        <w:top w:val="none" w:sz="0" w:space="0" w:color="auto"/>
        <w:left w:val="none" w:sz="0" w:space="0" w:color="auto"/>
        <w:bottom w:val="none" w:sz="0" w:space="0" w:color="auto"/>
        <w:right w:val="none" w:sz="0" w:space="0" w:color="auto"/>
      </w:divBdr>
      <w:divsChild>
        <w:div w:id="1403795406">
          <w:marLeft w:val="0"/>
          <w:marRight w:val="0"/>
          <w:marTop w:val="280"/>
          <w:marBottom w:val="0"/>
          <w:divBdr>
            <w:top w:val="none" w:sz="0" w:space="0" w:color="auto"/>
            <w:left w:val="none" w:sz="0" w:space="0" w:color="auto"/>
            <w:bottom w:val="none" w:sz="0" w:space="0" w:color="auto"/>
            <w:right w:val="none" w:sz="0" w:space="0" w:color="auto"/>
          </w:divBdr>
        </w:div>
        <w:div w:id="1669358117">
          <w:marLeft w:val="0"/>
          <w:marRight w:val="0"/>
          <w:marTop w:val="280"/>
          <w:marBottom w:val="0"/>
          <w:divBdr>
            <w:top w:val="none" w:sz="0" w:space="0" w:color="auto"/>
            <w:left w:val="none" w:sz="0" w:space="0" w:color="auto"/>
            <w:bottom w:val="none" w:sz="0" w:space="0" w:color="auto"/>
            <w:right w:val="none" w:sz="0" w:space="0" w:color="auto"/>
          </w:divBdr>
        </w:div>
      </w:divsChild>
    </w:div>
    <w:div w:id="1283685133">
      <w:bodyDiv w:val="1"/>
      <w:marLeft w:val="0"/>
      <w:marRight w:val="0"/>
      <w:marTop w:val="0"/>
      <w:marBottom w:val="0"/>
      <w:divBdr>
        <w:top w:val="none" w:sz="0" w:space="0" w:color="auto"/>
        <w:left w:val="none" w:sz="0" w:space="0" w:color="auto"/>
        <w:bottom w:val="none" w:sz="0" w:space="0" w:color="auto"/>
        <w:right w:val="none" w:sz="0" w:space="0" w:color="auto"/>
      </w:divBdr>
    </w:div>
    <w:div w:id="1327660966">
      <w:bodyDiv w:val="1"/>
      <w:marLeft w:val="0"/>
      <w:marRight w:val="0"/>
      <w:marTop w:val="0"/>
      <w:marBottom w:val="0"/>
      <w:divBdr>
        <w:top w:val="none" w:sz="0" w:space="0" w:color="auto"/>
        <w:left w:val="none" w:sz="0" w:space="0" w:color="auto"/>
        <w:bottom w:val="none" w:sz="0" w:space="0" w:color="auto"/>
        <w:right w:val="none" w:sz="0" w:space="0" w:color="auto"/>
      </w:divBdr>
    </w:div>
    <w:div w:id="1381592108">
      <w:bodyDiv w:val="1"/>
      <w:marLeft w:val="0"/>
      <w:marRight w:val="0"/>
      <w:marTop w:val="0"/>
      <w:marBottom w:val="0"/>
      <w:divBdr>
        <w:top w:val="none" w:sz="0" w:space="0" w:color="auto"/>
        <w:left w:val="none" w:sz="0" w:space="0" w:color="auto"/>
        <w:bottom w:val="none" w:sz="0" w:space="0" w:color="auto"/>
        <w:right w:val="none" w:sz="0" w:space="0" w:color="auto"/>
      </w:divBdr>
    </w:div>
    <w:div w:id="1391155135">
      <w:bodyDiv w:val="1"/>
      <w:marLeft w:val="0"/>
      <w:marRight w:val="0"/>
      <w:marTop w:val="0"/>
      <w:marBottom w:val="0"/>
      <w:divBdr>
        <w:top w:val="none" w:sz="0" w:space="0" w:color="auto"/>
        <w:left w:val="none" w:sz="0" w:space="0" w:color="auto"/>
        <w:bottom w:val="none" w:sz="0" w:space="0" w:color="auto"/>
        <w:right w:val="none" w:sz="0" w:space="0" w:color="auto"/>
      </w:divBdr>
    </w:div>
    <w:div w:id="1484664512">
      <w:bodyDiv w:val="1"/>
      <w:marLeft w:val="0"/>
      <w:marRight w:val="0"/>
      <w:marTop w:val="0"/>
      <w:marBottom w:val="0"/>
      <w:divBdr>
        <w:top w:val="none" w:sz="0" w:space="0" w:color="auto"/>
        <w:left w:val="none" w:sz="0" w:space="0" w:color="auto"/>
        <w:bottom w:val="none" w:sz="0" w:space="0" w:color="auto"/>
        <w:right w:val="none" w:sz="0" w:space="0" w:color="auto"/>
      </w:divBdr>
    </w:div>
    <w:div w:id="1607349915">
      <w:bodyDiv w:val="1"/>
      <w:marLeft w:val="0"/>
      <w:marRight w:val="0"/>
      <w:marTop w:val="0"/>
      <w:marBottom w:val="0"/>
      <w:divBdr>
        <w:top w:val="none" w:sz="0" w:space="0" w:color="auto"/>
        <w:left w:val="none" w:sz="0" w:space="0" w:color="auto"/>
        <w:bottom w:val="none" w:sz="0" w:space="0" w:color="auto"/>
        <w:right w:val="none" w:sz="0" w:space="0" w:color="auto"/>
      </w:divBdr>
    </w:div>
    <w:div w:id="1698777629">
      <w:bodyDiv w:val="1"/>
      <w:marLeft w:val="0"/>
      <w:marRight w:val="0"/>
      <w:marTop w:val="0"/>
      <w:marBottom w:val="0"/>
      <w:divBdr>
        <w:top w:val="none" w:sz="0" w:space="0" w:color="auto"/>
        <w:left w:val="none" w:sz="0" w:space="0" w:color="auto"/>
        <w:bottom w:val="none" w:sz="0" w:space="0" w:color="auto"/>
        <w:right w:val="none" w:sz="0" w:space="0" w:color="auto"/>
      </w:divBdr>
    </w:div>
    <w:div w:id="1825124623">
      <w:bodyDiv w:val="1"/>
      <w:marLeft w:val="0"/>
      <w:marRight w:val="0"/>
      <w:marTop w:val="0"/>
      <w:marBottom w:val="0"/>
      <w:divBdr>
        <w:top w:val="none" w:sz="0" w:space="0" w:color="auto"/>
        <w:left w:val="none" w:sz="0" w:space="0" w:color="auto"/>
        <w:bottom w:val="none" w:sz="0" w:space="0" w:color="auto"/>
        <w:right w:val="none" w:sz="0" w:space="0" w:color="auto"/>
      </w:divBdr>
    </w:div>
    <w:div w:id="1900096077">
      <w:bodyDiv w:val="1"/>
      <w:marLeft w:val="0"/>
      <w:marRight w:val="0"/>
      <w:marTop w:val="0"/>
      <w:marBottom w:val="0"/>
      <w:divBdr>
        <w:top w:val="none" w:sz="0" w:space="0" w:color="auto"/>
        <w:left w:val="none" w:sz="0" w:space="0" w:color="auto"/>
        <w:bottom w:val="none" w:sz="0" w:space="0" w:color="auto"/>
        <w:right w:val="none" w:sz="0" w:space="0" w:color="auto"/>
      </w:divBdr>
    </w:div>
    <w:div w:id="1942756497">
      <w:bodyDiv w:val="1"/>
      <w:marLeft w:val="0"/>
      <w:marRight w:val="0"/>
      <w:marTop w:val="0"/>
      <w:marBottom w:val="0"/>
      <w:divBdr>
        <w:top w:val="none" w:sz="0" w:space="0" w:color="auto"/>
        <w:left w:val="none" w:sz="0" w:space="0" w:color="auto"/>
        <w:bottom w:val="none" w:sz="0" w:space="0" w:color="auto"/>
        <w:right w:val="none" w:sz="0" w:space="0" w:color="auto"/>
      </w:divBdr>
    </w:div>
    <w:div w:id="1953323910">
      <w:bodyDiv w:val="1"/>
      <w:marLeft w:val="0"/>
      <w:marRight w:val="0"/>
      <w:marTop w:val="0"/>
      <w:marBottom w:val="0"/>
      <w:divBdr>
        <w:top w:val="none" w:sz="0" w:space="0" w:color="auto"/>
        <w:left w:val="none" w:sz="0" w:space="0" w:color="auto"/>
        <w:bottom w:val="none" w:sz="0" w:space="0" w:color="auto"/>
        <w:right w:val="none" w:sz="0" w:space="0" w:color="auto"/>
      </w:divBdr>
      <w:divsChild>
        <w:div w:id="1454446737">
          <w:marLeft w:val="0"/>
          <w:marRight w:val="0"/>
          <w:marTop w:val="280"/>
          <w:marBottom w:val="280"/>
          <w:divBdr>
            <w:top w:val="none" w:sz="0" w:space="0" w:color="auto"/>
            <w:left w:val="none" w:sz="0" w:space="0" w:color="auto"/>
            <w:bottom w:val="none" w:sz="0" w:space="0" w:color="auto"/>
            <w:right w:val="none" w:sz="0" w:space="0" w:color="auto"/>
          </w:divBdr>
        </w:div>
        <w:div w:id="1454709080">
          <w:marLeft w:val="0"/>
          <w:marRight w:val="0"/>
          <w:marTop w:val="280"/>
          <w:marBottom w:val="280"/>
          <w:divBdr>
            <w:top w:val="none" w:sz="0" w:space="0" w:color="auto"/>
            <w:left w:val="none" w:sz="0" w:space="0" w:color="auto"/>
            <w:bottom w:val="none" w:sz="0" w:space="0" w:color="auto"/>
            <w:right w:val="none" w:sz="0" w:space="0" w:color="auto"/>
          </w:divBdr>
        </w:div>
      </w:divsChild>
    </w:div>
    <w:div w:id="20933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CF15115B254438B72036D0DB6B8E3" ma:contentTypeVersion="0" ma:contentTypeDescription="Create a new document." ma:contentTypeScope="" ma:versionID="6b99e1834085a207847516c83d9c8f9f">
  <xsd:schema xmlns:xsd="http://www.w3.org/2001/XMLSchema" xmlns:xs="http://www.w3.org/2001/XMLSchema" xmlns:p="http://schemas.microsoft.com/office/2006/metadata/properties" targetNamespace="http://schemas.microsoft.com/office/2006/metadata/properties" ma:root="true" ma:fieldsID="55780e068fda866f9b450b89e46cd8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6309C-1DFF-4F2F-99B0-A7099A2B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F378FE-EC44-4998-98F1-631B9E8C1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EB1BD-DCAB-4EEA-B70A-5D79DD7E52DE}">
  <ds:schemaRefs>
    <ds:schemaRef ds:uri="http://schemas.openxmlformats.org/officeDocument/2006/bibliography"/>
  </ds:schemaRefs>
</ds:datastoreItem>
</file>

<file path=customXml/itemProps4.xml><?xml version="1.0" encoding="utf-8"?>
<ds:datastoreItem xmlns:ds="http://schemas.openxmlformats.org/officeDocument/2006/customXml" ds:itemID="{3E345D20-526F-4D06-89F8-DB4FC3D64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2468</Words>
  <Characters>13577</Characters>
  <Application>Microsoft Office Word</Application>
  <DocSecurity>0</DocSecurity>
  <Lines>113</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SAVIOLO Andrea (NEAR)</dc:creator>
  <cp:keywords/>
  <dc:description/>
  <cp:lastModifiedBy>Miguel Lucena</cp:lastModifiedBy>
  <cp:revision>9</cp:revision>
  <dcterms:created xsi:type="dcterms:W3CDTF">2022-04-19T08:56:00Z</dcterms:created>
  <dcterms:modified xsi:type="dcterms:W3CDTF">2022-07-14T11:57:00Z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0x010100689CF15115B254438B72036D0DB6B8E3</vt:lpwstr>
  </property>
  <property fmtid="{D5CDD505-2E9C-101B-9397-08002B2CF9AE}" pid="3" name="IsMyDocuments">
    <vt:bool>true</vt:bool>
  </property>
</Properties>
</file>