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A9EF4" w14:textId="77777777" w:rsidR="00BA668B" w:rsidRDefault="00BA1B15">
      <w:pPr>
        <w:pStyle w:val="Heading2"/>
        <w:rPr>
          <w:rFonts w:ascii="Times New Roman" w:hAnsi="Times New Roman"/>
          <w:b w:val="0"/>
          <w:bCs w:val="0"/>
          <w:smallCaps/>
          <w:color w:val="auto"/>
          <w:sz w:val="22"/>
          <w:szCs w:val="22"/>
          <w:lang w:val="it-IT"/>
        </w:rPr>
      </w:pPr>
      <w:bookmarkStart w:id="0" w:name="_Toc33714665"/>
      <w:bookmarkEnd w:id="0"/>
      <w:r>
        <w:rPr>
          <w:rFonts w:ascii="Times New Roman" w:hAnsi="Times New Roman"/>
          <w:smallCaps/>
          <w:color w:val="auto"/>
          <w:sz w:val="22"/>
          <w:szCs w:val="22"/>
          <w:lang w:val="it-IT"/>
        </w:rPr>
        <w:t xml:space="preserve">ANNEX I –IPA III Action Fiche </w:t>
      </w:r>
    </w:p>
    <w:tbl>
      <w:tblPr>
        <w:tblW w:w="10031" w:type="dxa"/>
        <w:jc w:val="center"/>
        <w:tblCellMar>
          <w:left w:w="10" w:type="dxa"/>
          <w:right w:w="10" w:type="dxa"/>
        </w:tblCellMar>
        <w:tblLook w:val="04A0" w:firstRow="1" w:lastRow="0" w:firstColumn="1" w:lastColumn="0" w:noHBand="0" w:noVBand="1"/>
      </w:tblPr>
      <w:tblGrid>
        <w:gridCol w:w="534"/>
        <w:gridCol w:w="2379"/>
        <w:gridCol w:w="7118"/>
      </w:tblGrid>
      <w:tr w:rsidR="00BA668B" w14:paraId="29E98DB1" w14:textId="77777777">
        <w:trPr>
          <w:jc w:val="center"/>
        </w:trPr>
        <w:tc>
          <w:tcPr>
            <w:tcW w:w="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2F0CD68" w14:textId="77777777" w:rsidR="00BA668B" w:rsidRDefault="00BA668B">
            <w:pPr>
              <w:spacing w:after="0" w:line="240" w:lineRule="auto"/>
              <w:jc w:val="center"/>
              <w:rPr>
                <w:rFonts w:ascii="Times New Roman" w:hAnsi="Times New Roman"/>
                <w:b/>
                <w:bCs/>
                <w:lang w:val="it-IT"/>
              </w:rPr>
            </w:pPr>
          </w:p>
        </w:tc>
        <w:tc>
          <w:tcPr>
            <w:tcW w:w="2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B04F5A8" w14:textId="77777777" w:rsidR="00BA668B" w:rsidRPr="007315B9" w:rsidRDefault="00BA1B15">
            <w:pPr>
              <w:spacing w:after="0" w:line="240" w:lineRule="auto"/>
              <w:rPr>
                <w:rFonts w:ascii="Times New Roman" w:hAnsi="Times New Roman"/>
                <w:b/>
                <w:bCs/>
              </w:rPr>
            </w:pPr>
            <w:r w:rsidRPr="007315B9">
              <w:rPr>
                <w:rFonts w:ascii="Times New Roman" w:hAnsi="Times New Roman"/>
                <w:b/>
                <w:bCs/>
              </w:rPr>
              <w:t>Indicative title of the Action</w:t>
            </w:r>
          </w:p>
        </w:tc>
        <w:tc>
          <w:tcPr>
            <w:tcW w:w="7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85116EF" w14:textId="77777777" w:rsidR="00BA668B" w:rsidRDefault="00BA1B15">
            <w:pPr>
              <w:spacing w:after="0" w:line="240" w:lineRule="auto"/>
              <w:jc w:val="center"/>
              <w:rPr>
                <w:rFonts w:ascii="Times New Roman" w:hAnsi="Times New Roman"/>
                <w:b/>
                <w:bCs/>
              </w:rPr>
            </w:pPr>
            <w:r>
              <w:rPr>
                <w:rFonts w:ascii="Times New Roman" w:hAnsi="Times New Roman"/>
                <w:b/>
                <w:bCs/>
              </w:rPr>
              <w:t>EU FOR FUNDAMENTAL RIGHTS</w:t>
            </w:r>
          </w:p>
        </w:tc>
      </w:tr>
      <w:tr w:rsidR="00BA668B" w14:paraId="63076A84" w14:textId="77777777">
        <w:trPr>
          <w:jc w:val="center"/>
        </w:trPr>
        <w:tc>
          <w:tcPr>
            <w:tcW w:w="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FED81FC" w14:textId="77777777" w:rsidR="00BA668B" w:rsidRDefault="00BA668B">
            <w:pPr>
              <w:spacing w:after="0" w:line="240" w:lineRule="auto"/>
              <w:jc w:val="center"/>
              <w:rPr>
                <w:rFonts w:ascii="Times New Roman" w:hAnsi="Times New Roman"/>
                <w:b/>
                <w:bCs/>
              </w:rPr>
            </w:pPr>
          </w:p>
        </w:tc>
        <w:tc>
          <w:tcPr>
            <w:tcW w:w="2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5A093B6" w14:textId="77777777" w:rsidR="00BA668B" w:rsidRPr="007315B9" w:rsidRDefault="00BA1B15">
            <w:pPr>
              <w:spacing w:after="0" w:line="240" w:lineRule="auto"/>
              <w:rPr>
                <w:rFonts w:ascii="Times New Roman" w:hAnsi="Times New Roman"/>
                <w:b/>
                <w:bCs/>
              </w:rPr>
            </w:pPr>
            <w:r w:rsidRPr="007315B9">
              <w:rPr>
                <w:rFonts w:ascii="Times New Roman" w:hAnsi="Times New Roman"/>
                <w:b/>
                <w:bCs/>
              </w:rPr>
              <w:t>Programming year</w:t>
            </w:r>
          </w:p>
        </w:tc>
        <w:tc>
          <w:tcPr>
            <w:tcW w:w="7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C4F8E01" w14:textId="77777777" w:rsidR="00BA668B" w:rsidRDefault="00BA1B15">
            <w:pPr>
              <w:spacing w:after="0" w:line="240" w:lineRule="auto"/>
              <w:jc w:val="center"/>
              <w:rPr>
                <w:rFonts w:ascii="Times New Roman" w:hAnsi="Times New Roman"/>
                <w:b/>
                <w:bCs/>
              </w:rPr>
            </w:pPr>
            <w:r>
              <w:rPr>
                <w:rFonts w:ascii="Times New Roman" w:hAnsi="Times New Roman"/>
                <w:b/>
                <w:bCs/>
              </w:rPr>
              <w:t>2023</w:t>
            </w:r>
          </w:p>
        </w:tc>
      </w:tr>
      <w:tr w:rsidR="00BA668B" w14:paraId="0825D4B2" w14:textId="77777777">
        <w:trPr>
          <w:trHeight w:val="357"/>
          <w:jc w:val="center"/>
        </w:trPr>
        <w:tc>
          <w:tcPr>
            <w:tcW w:w="53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tcPr>
          <w:p w14:paraId="2E8E45F6" w14:textId="77777777" w:rsidR="00BA668B" w:rsidRDefault="00BA668B">
            <w:pPr>
              <w:spacing w:after="0" w:line="240" w:lineRule="auto"/>
              <w:ind w:left="113" w:right="113"/>
              <w:rPr>
                <w:rFonts w:ascii="Times New Roman" w:hAnsi="Times New Roman"/>
                <w:b/>
                <w:bCs/>
              </w:rPr>
            </w:pPr>
          </w:p>
        </w:tc>
        <w:tc>
          <w:tcPr>
            <w:tcW w:w="2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31EB973" w14:textId="77777777" w:rsidR="00BA668B" w:rsidRPr="007315B9" w:rsidRDefault="00BA1B15">
            <w:pPr>
              <w:spacing w:after="0" w:line="240" w:lineRule="auto"/>
              <w:rPr>
                <w:rFonts w:ascii="Times New Roman" w:hAnsi="Times New Roman"/>
                <w:b/>
                <w:bCs/>
              </w:rPr>
            </w:pPr>
            <w:r w:rsidRPr="007315B9">
              <w:rPr>
                <w:rFonts w:ascii="Times New Roman" w:hAnsi="Times New Roman"/>
                <w:b/>
                <w:bCs/>
              </w:rPr>
              <w:t>IPA III Window and thematic priorit(y)/(ies)</w:t>
            </w:r>
          </w:p>
        </w:tc>
        <w:tc>
          <w:tcPr>
            <w:tcW w:w="7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CBD2467" w14:textId="62907F54" w:rsidR="00BA668B" w:rsidRDefault="00BA1B15" w:rsidP="007315B9">
            <w:pPr>
              <w:spacing w:after="0" w:line="240" w:lineRule="auto"/>
              <w:jc w:val="center"/>
              <w:rPr>
                <w:rFonts w:ascii="Times New Roman" w:hAnsi="Times New Roman"/>
                <w:b/>
                <w:i/>
                <w:iCs/>
              </w:rPr>
            </w:pPr>
            <w:r>
              <w:rPr>
                <w:rFonts w:ascii="Times New Roman" w:hAnsi="Times New Roman"/>
                <w:b/>
                <w:iCs/>
              </w:rPr>
              <w:t>WINDOW 1 - RULE OF LAW, FUNDAMENTAL RIGHTS AND DEMOCRAC</w:t>
            </w:r>
            <w:r w:rsidR="00AD53F7">
              <w:rPr>
                <w:rFonts w:ascii="Times New Roman" w:hAnsi="Times New Roman"/>
                <w:b/>
                <w:iCs/>
              </w:rPr>
              <w:t>Y</w:t>
            </w:r>
          </w:p>
          <w:p w14:paraId="2F2A6307" w14:textId="77777777" w:rsidR="00BA668B" w:rsidRDefault="00BA1B15" w:rsidP="007315B9">
            <w:pPr>
              <w:spacing w:after="0" w:line="240" w:lineRule="auto"/>
              <w:jc w:val="center"/>
              <w:rPr>
                <w:rFonts w:ascii="Times New Roman" w:hAnsi="Times New Roman"/>
                <w:b/>
                <w:i/>
                <w:iCs/>
              </w:rPr>
            </w:pPr>
            <w:r>
              <w:rPr>
                <w:rFonts w:ascii="Times New Roman" w:hAnsi="Times New Roman"/>
                <w:b/>
                <w:i/>
                <w:iCs/>
              </w:rPr>
              <w:t>Thematic Priority 5: Fundamental rights</w:t>
            </w:r>
          </w:p>
        </w:tc>
      </w:tr>
      <w:tr w:rsidR="00BA668B" w14:paraId="4A08BEF5" w14:textId="77777777">
        <w:trPr>
          <w:trHeight w:val="557"/>
          <w:jc w:val="center"/>
        </w:trPr>
        <w:tc>
          <w:tcPr>
            <w:tcW w:w="53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E5D5947" w14:textId="77777777" w:rsidR="00BA668B" w:rsidRDefault="00BA668B"/>
        </w:tc>
        <w:tc>
          <w:tcPr>
            <w:tcW w:w="2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E36BD80" w14:textId="77777777" w:rsidR="00BA668B" w:rsidRPr="007315B9" w:rsidRDefault="00BA1B15">
            <w:pPr>
              <w:spacing w:after="0" w:line="240" w:lineRule="auto"/>
              <w:rPr>
                <w:rFonts w:ascii="Times New Roman" w:hAnsi="Times New Roman"/>
                <w:b/>
                <w:bCs/>
              </w:rPr>
            </w:pPr>
            <w:r w:rsidRPr="007315B9">
              <w:rPr>
                <w:rFonts w:ascii="Times New Roman" w:hAnsi="Times New Roman"/>
                <w:b/>
                <w:bCs/>
              </w:rPr>
              <w:t>Links with specific policy instruments of the enlargement process</w:t>
            </w:r>
          </w:p>
        </w:tc>
        <w:tc>
          <w:tcPr>
            <w:tcW w:w="7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FAEE2E8" w14:textId="4BF342E2" w:rsidR="00BA668B" w:rsidRPr="00D559CE" w:rsidRDefault="00BA1B15" w:rsidP="00600D83">
            <w:pPr>
              <w:spacing w:before="120" w:after="0" w:line="240" w:lineRule="auto"/>
              <w:jc w:val="both"/>
              <w:rPr>
                <w:rFonts w:ascii="Times New Roman" w:hAnsi="Times New Roman"/>
                <w:b/>
                <w:bCs/>
              </w:rPr>
            </w:pPr>
            <w:r w:rsidRPr="00D559CE">
              <w:rPr>
                <w:rFonts w:ascii="Times New Roman" w:hAnsi="Times New Roman"/>
                <w:b/>
                <w:bCs/>
              </w:rPr>
              <w:t>The overall objective of the Action is</w:t>
            </w:r>
            <w:r w:rsidRPr="00D559CE">
              <w:rPr>
                <w:rFonts w:ascii="Times New Roman" w:hAnsi="Times New Roman"/>
              </w:rPr>
              <w:t xml:space="preserve"> </w:t>
            </w:r>
            <w:r w:rsidRPr="00D559CE">
              <w:rPr>
                <w:rFonts w:ascii="Times New Roman" w:hAnsi="Times New Roman"/>
                <w:b/>
                <w:bCs/>
              </w:rPr>
              <w:t>to fight discrimination and ensure the protection of</w:t>
            </w:r>
            <w:r w:rsidR="000415A5" w:rsidRPr="00D559CE">
              <w:rPr>
                <w:rFonts w:ascii="Times New Roman" w:hAnsi="Times New Roman"/>
                <w:b/>
                <w:bCs/>
              </w:rPr>
              <w:t xml:space="preserve">, and the social integration of </w:t>
            </w:r>
            <w:r w:rsidRPr="00D559CE">
              <w:rPr>
                <w:rFonts w:ascii="Times New Roman" w:hAnsi="Times New Roman"/>
                <w:b/>
                <w:bCs/>
              </w:rPr>
              <w:t>children and women, LGBTI</w:t>
            </w:r>
            <w:r w:rsidR="00D41EC0" w:rsidRPr="00D559CE">
              <w:rPr>
                <w:rFonts w:ascii="Times New Roman" w:hAnsi="Times New Roman"/>
                <w:b/>
                <w:bCs/>
              </w:rPr>
              <w:t>,</w:t>
            </w:r>
            <w:r w:rsidRPr="00D559CE">
              <w:rPr>
                <w:rFonts w:ascii="Times New Roman" w:hAnsi="Times New Roman"/>
                <w:b/>
                <w:bCs/>
              </w:rPr>
              <w:t xml:space="preserve"> </w:t>
            </w:r>
            <w:r w:rsidR="00D41EC0" w:rsidRPr="00D559CE">
              <w:rPr>
                <w:rFonts w:ascii="Times New Roman" w:hAnsi="Times New Roman"/>
                <w:b/>
                <w:bCs/>
              </w:rPr>
              <w:t xml:space="preserve">people with disabilities </w:t>
            </w:r>
            <w:r w:rsidRPr="00D559CE">
              <w:rPr>
                <w:rFonts w:ascii="Times New Roman" w:hAnsi="Times New Roman"/>
                <w:b/>
                <w:bCs/>
              </w:rPr>
              <w:t xml:space="preserve">and minorities.  </w:t>
            </w:r>
          </w:p>
          <w:p w14:paraId="43438F96" w14:textId="77777777" w:rsidR="00BA668B" w:rsidRPr="00D559CE" w:rsidRDefault="00BA1B15" w:rsidP="00600D83">
            <w:pPr>
              <w:spacing w:before="120" w:after="0" w:line="240" w:lineRule="auto"/>
              <w:jc w:val="both"/>
              <w:rPr>
                <w:rFonts w:ascii="Times New Roman" w:hAnsi="Times New Roman"/>
                <w:b/>
                <w:bCs/>
              </w:rPr>
            </w:pPr>
            <w:r w:rsidRPr="00D559CE">
              <w:rPr>
                <w:rFonts w:ascii="Times New Roman" w:hAnsi="Times New Roman"/>
              </w:rPr>
              <w:t>The Action encompasses three components:</w:t>
            </w:r>
          </w:p>
          <w:p w14:paraId="1442395E" w14:textId="046ABB5F" w:rsidR="00BA668B" w:rsidRPr="00D559CE" w:rsidRDefault="00BA1B15" w:rsidP="00600D83">
            <w:pPr>
              <w:spacing w:before="120" w:after="0" w:line="240" w:lineRule="auto"/>
              <w:jc w:val="both"/>
              <w:rPr>
                <w:rFonts w:ascii="Times New Roman" w:hAnsi="Times New Roman"/>
                <w:b/>
                <w:bCs/>
                <w:i/>
              </w:rPr>
            </w:pPr>
            <w:r w:rsidRPr="00D559CE">
              <w:rPr>
                <w:rFonts w:ascii="Times New Roman" w:hAnsi="Times New Roman"/>
                <w:b/>
                <w:bCs/>
                <w:i/>
              </w:rPr>
              <w:t xml:space="preserve">Component 1:  </w:t>
            </w:r>
            <w:r w:rsidR="0045458C" w:rsidRPr="00D559CE">
              <w:rPr>
                <w:rFonts w:ascii="Times New Roman" w:hAnsi="Times New Roman"/>
                <w:b/>
                <w:bCs/>
                <w:i/>
              </w:rPr>
              <w:t>Enhanced response to</w:t>
            </w:r>
            <w:r w:rsidRPr="00D559CE">
              <w:rPr>
                <w:rFonts w:ascii="Times New Roman" w:hAnsi="Times New Roman"/>
                <w:b/>
                <w:bCs/>
                <w:i/>
              </w:rPr>
              <w:t xml:space="preserve"> gender-based and domestic violence</w:t>
            </w:r>
          </w:p>
          <w:p w14:paraId="5B97869D" w14:textId="02E909FE" w:rsidR="00BA668B" w:rsidRPr="00600D83" w:rsidRDefault="00BA1B15" w:rsidP="00600D83">
            <w:pPr>
              <w:spacing w:before="120" w:after="0"/>
              <w:rPr>
                <w:rFonts w:ascii="Times New Roman" w:hAnsi="Times New Roman"/>
              </w:rPr>
            </w:pPr>
            <w:r w:rsidRPr="00600D83">
              <w:rPr>
                <w:rFonts w:ascii="Times New Roman" w:hAnsi="Times New Roman"/>
              </w:rPr>
              <w:t xml:space="preserve">This Component </w:t>
            </w:r>
            <w:r w:rsidR="009F208F">
              <w:rPr>
                <w:rFonts w:ascii="Times New Roman" w:hAnsi="Times New Roman"/>
              </w:rPr>
              <w:t xml:space="preserve">will be implemented </w:t>
            </w:r>
            <w:r w:rsidR="0060276A" w:rsidRPr="00600D83">
              <w:rPr>
                <w:rFonts w:ascii="Times New Roman" w:hAnsi="Times New Roman"/>
              </w:rPr>
              <w:t>encompasses the following outputs:</w:t>
            </w:r>
          </w:p>
          <w:p w14:paraId="5F14243A" w14:textId="7EA88064" w:rsidR="00BA668B" w:rsidRPr="00600D83" w:rsidRDefault="0060276A" w:rsidP="00600D83">
            <w:pPr>
              <w:spacing w:before="120" w:after="0" w:line="240" w:lineRule="auto"/>
              <w:jc w:val="both"/>
              <w:rPr>
                <w:rFonts w:ascii="Times New Roman" w:hAnsi="Times New Roman"/>
              </w:rPr>
            </w:pPr>
            <w:r w:rsidRPr="00D559CE">
              <w:rPr>
                <w:rFonts w:ascii="Times New Roman" w:hAnsi="Times New Roman"/>
                <w:b/>
                <w:bCs/>
              </w:rPr>
              <w:t>Output 1</w:t>
            </w:r>
            <w:r w:rsidR="007C4BFC" w:rsidRPr="00D559CE">
              <w:rPr>
                <w:rFonts w:ascii="Times New Roman" w:hAnsi="Times New Roman"/>
                <w:b/>
                <w:bCs/>
              </w:rPr>
              <w:t>.1</w:t>
            </w:r>
            <w:r w:rsidRPr="00D559CE">
              <w:rPr>
                <w:rFonts w:ascii="Times New Roman" w:hAnsi="Times New Roman"/>
                <w:b/>
                <w:bCs/>
              </w:rPr>
              <w:t xml:space="preserve">: </w:t>
            </w:r>
            <w:r w:rsidR="005676FC" w:rsidRPr="00D559CE">
              <w:rPr>
                <w:rFonts w:ascii="Times New Roman" w:hAnsi="Times New Roman"/>
                <w:b/>
                <w:bCs/>
              </w:rPr>
              <w:t xml:space="preserve">Improved protection services for </w:t>
            </w:r>
            <w:r w:rsidR="00E2253D" w:rsidRPr="00FB328F">
              <w:rPr>
                <w:rFonts w:ascii="Times New Roman" w:hAnsi="Times New Roman"/>
                <w:b/>
                <w:bCs/>
              </w:rPr>
              <w:t>victims of gender-based and domestic violence</w:t>
            </w:r>
            <w:r w:rsidR="00BA1B15" w:rsidRPr="00FB328F">
              <w:rPr>
                <w:rFonts w:ascii="Times New Roman" w:hAnsi="Times New Roman"/>
                <w:b/>
                <w:bCs/>
              </w:rPr>
              <w:t xml:space="preserve"> </w:t>
            </w:r>
          </w:p>
          <w:p w14:paraId="33F2B6B7" w14:textId="4DFD3B64" w:rsidR="00BA668B" w:rsidRPr="00D559CE" w:rsidRDefault="0060276A" w:rsidP="00600D83">
            <w:pPr>
              <w:spacing w:before="120" w:after="0" w:line="240" w:lineRule="auto"/>
              <w:jc w:val="both"/>
              <w:rPr>
                <w:rFonts w:ascii="Times New Roman" w:hAnsi="Times New Roman"/>
              </w:rPr>
            </w:pPr>
            <w:r w:rsidRPr="00D559CE">
              <w:rPr>
                <w:rFonts w:ascii="Times New Roman" w:hAnsi="Times New Roman"/>
                <w:lang w:val="en-US"/>
              </w:rPr>
              <w:t xml:space="preserve">The Action will enhance the system for </w:t>
            </w:r>
            <w:r w:rsidR="009F208F">
              <w:rPr>
                <w:rFonts w:ascii="Times New Roman" w:hAnsi="Times New Roman"/>
                <w:lang w:val="en-US"/>
              </w:rPr>
              <w:t>protecting the victims of violence</w:t>
            </w:r>
            <w:r w:rsidRPr="00D559CE">
              <w:rPr>
                <w:rFonts w:ascii="Times New Roman" w:hAnsi="Times New Roman"/>
                <w:lang w:val="en-US"/>
              </w:rPr>
              <w:t>. It builds upon the IPA 2022 Action “</w:t>
            </w:r>
            <w:r w:rsidRPr="00D559CE">
              <w:rPr>
                <w:rFonts w:ascii="Times New Roman" w:hAnsi="Times New Roman"/>
                <w:bCs/>
                <w:i/>
                <w:iCs/>
              </w:rPr>
              <w:t>EU for Improved Health and Social Protection and Gender Equality”</w:t>
            </w:r>
            <w:r w:rsidRPr="00D559CE">
              <w:rPr>
                <w:rFonts w:ascii="Times New Roman" w:hAnsi="Times New Roman"/>
                <w:bCs/>
              </w:rPr>
              <w:t xml:space="preserve">, which </w:t>
            </w:r>
            <w:r w:rsidR="00444758">
              <w:rPr>
                <w:rFonts w:ascii="Times New Roman" w:hAnsi="Times New Roman"/>
                <w:bCs/>
              </w:rPr>
              <w:t>provides seed funding for</w:t>
            </w:r>
            <w:r w:rsidRPr="00D559CE">
              <w:rPr>
                <w:rFonts w:ascii="Times New Roman" w:hAnsi="Times New Roman"/>
                <w:bCs/>
              </w:rPr>
              <w:t xml:space="preserve"> the establishment </w:t>
            </w:r>
            <w:r w:rsidRPr="00D559CE">
              <w:rPr>
                <w:rFonts w:ascii="Times New Roman" w:hAnsi="Times New Roman"/>
                <w:bCs/>
                <w:lang w:val="en-US"/>
              </w:rPr>
              <w:t xml:space="preserve">of new </w:t>
            </w:r>
            <w:r w:rsidRPr="00D559CE">
              <w:rPr>
                <w:rFonts w:ascii="Times New Roman" w:hAnsi="Times New Roman"/>
                <w:bCs/>
              </w:rPr>
              <w:t xml:space="preserve">and </w:t>
            </w:r>
            <w:r w:rsidR="00600D83">
              <w:rPr>
                <w:rFonts w:ascii="Times New Roman" w:hAnsi="Times New Roman"/>
                <w:bCs/>
              </w:rPr>
              <w:t>expansion</w:t>
            </w:r>
            <w:r w:rsidRPr="00D559CE">
              <w:rPr>
                <w:rFonts w:ascii="Times New Roman" w:hAnsi="Times New Roman"/>
                <w:bCs/>
              </w:rPr>
              <w:t xml:space="preserve"> </w:t>
            </w:r>
            <w:r w:rsidR="00444758">
              <w:rPr>
                <w:rFonts w:ascii="Times New Roman" w:hAnsi="Times New Roman"/>
                <w:bCs/>
              </w:rPr>
              <w:t xml:space="preserve">of existing services for victims of domestic violence by creating modern </w:t>
            </w:r>
            <w:r w:rsidR="002113FA">
              <w:rPr>
                <w:rFonts w:ascii="Times New Roman" w:hAnsi="Times New Roman"/>
                <w:bCs/>
              </w:rPr>
              <w:t xml:space="preserve">shelters providing </w:t>
            </w:r>
            <w:r w:rsidRPr="00D559CE">
              <w:rPr>
                <w:rFonts w:ascii="Times New Roman" w:hAnsi="Times New Roman"/>
                <w:bCs/>
              </w:rPr>
              <w:t>counselling</w:t>
            </w:r>
            <w:r w:rsidR="00A378E5">
              <w:rPr>
                <w:rFonts w:ascii="Times New Roman" w:hAnsi="Times New Roman"/>
                <w:bCs/>
              </w:rPr>
              <w:t xml:space="preserve">, </w:t>
            </w:r>
            <w:r w:rsidR="00444758">
              <w:rPr>
                <w:rFonts w:ascii="Times New Roman" w:hAnsi="Times New Roman"/>
                <w:bCs/>
              </w:rPr>
              <w:t xml:space="preserve">support and </w:t>
            </w:r>
            <w:r w:rsidR="00A378E5">
              <w:rPr>
                <w:rFonts w:ascii="Times New Roman" w:hAnsi="Times New Roman"/>
                <w:bCs/>
              </w:rPr>
              <w:t xml:space="preserve">reintegration </w:t>
            </w:r>
            <w:r w:rsidRPr="00D559CE">
              <w:rPr>
                <w:rFonts w:ascii="Times New Roman" w:hAnsi="Times New Roman"/>
                <w:bCs/>
              </w:rPr>
              <w:t>services for victims of gender-based and domestic violence</w:t>
            </w:r>
            <w:r w:rsidR="00C01256">
              <w:rPr>
                <w:rFonts w:ascii="Times New Roman" w:hAnsi="Times New Roman"/>
                <w:bCs/>
              </w:rPr>
              <w:t>, including LGBTI community</w:t>
            </w:r>
            <w:r w:rsidRPr="00FB328F">
              <w:rPr>
                <w:rFonts w:ascii="Times New Roman" w:hAnsi="Times New Roman"/>
                <w:bCs/>
              </w:rPr>
              <w:t xml:space="preserve">. This </w:t>
            </w:r>
            <w:r w:rsidR="00600D83" w:rsidRPr="00FB328F">
              <w:rPr>
                <w:rFonts w:ascii="Times New Roman" w:hAnsi="Times New Roman"/>
                <w:bCs/>
              </w:rPr>
              <w:t>A</w:t>
            </w:r>
            <w:r w:rsidRPr="00FB328F">
              <w:rPr>
                <w:rFonts w:ascii="Times New Roman" w:hAnsi="Times New Roman"/>
                <w:bCs/>
              </w:rPr>
              <w:t xml:space="preserve">ction will provide operational grants to successful </w:t>
            </w:r>
            <w:r w:rsidR="00C01256" w:rsidRPr="00FB328F">
              <w:rPr>
                <w:rFonts w:ascii="Times New Roman" w:hAnsi="Times New Roman"/>
                <w:bCs/>
              </w:rPr>
              <w:t xml:space="preserve">grantees of </w:t>
            </w:r>
            <w:r w:rsidRPr="00FB328F">
              <w:rPr>
                <w:rFonts w:ascii="Times New Roman" w:hAnsi="Times New Roman"/>
                <w:bCs/>
              </w:rPr>
              <w:t xml:space="preserve">IPA 2022 </w:t>
            </w:r>
            <w:r w:rsidR="00881403" w:rsidRPr="00FB328F">
              <w:rPr>
                <w:rFonts w:ascii="Times New Roman" w:hAnsi="Times New Roman"/>
                <w:bCs/>
              </w:rPr>
              <w:t xml:space="preserve">and other </w:t>
            </w:r>
            <w:r w:rsidR="00C01256" w:rsidRPr="00FB328F">
              <w:rPr>
                <w:rFonts w:ascii="Times New Roman" w:hAnsi="Times New Roman"/>
                <w:bCs/>
              </w:rPr>
              <w:t xml:space="preserve">shelter </w:t>
            </w:r>
            <w:r w:rsidR="00881403" w:rsidRPr="00FB328F">
              <w:rPr>
                <w:rFonts w:ascii="Times New Roman" w:hAnsi="Times New Roman"/>
                <w:bCs/>
              </w:rPr>
              <w:t>operators</w:t>
            </w:r>
            <w:r w:rsidR="00444758" w:rsidRPr="00FB328F">
              <w:rPr>
                <w:rStyle w:val="FootnoteReference"/>
                <w:rFonts w:ascii="Times New Roman" w:hAnsi="Times New Roman"/>
                <w:bCs/>
              </w:rPr>
              <w:footnoteReference w:id="1"/>
            </w:r>
            <w:r w:rsidR="00444758" w:rsidRPr="00FB328F">
              <w:rPr>
                <w:rFonts w:ascii="Times New Roman" w:hAnsi="Times New Roman"/>
                <w:bCs/>
              </w:rPr>
              <w:t xml:space="preserve"> </w:t>
            </w:r>
            <w:r w:rsidR="00C01256" w:rsidRPr="00FB328F">
              <w:rPr>
                <w:rFonts w:ascii="Times New Roman" w:hAnsi="Times New Roman"/>
                <w:bCs/>
              </w:rPr>
              <w:t>in the country</w:t>
            </w:r>
            <w:r w:rsidRPr="00FB328F">
              <w:rPr>
                <w:rFonts w:ascii="Times New Roman" w:hAnsi="Times New Roman"/>
                <w:bCs/>
              </w:rPr>
              <w:t xml:space="preserve"> to maintain</w:t>
            </w:r>
            <w:r w:rsidR="00C01256" w:rsidRPr="00FB328F">
              <w:rPr>
                <w:rFonts w:ascii="Times New Roman" w:hAnsi="Times New Roman"/>
                <w:bCs/>
              </w:rPr>
              <w:t xml:space="preserve">, </w:t>
            </w:r>
            <w:r w:rsidR="002113FA" w:rsidRPr="00FB328F">
              <w:rPr>
                <w:rFonts w:ascii="Times New Roman" w:hAnsi="Times New Roman"/>
                <w:bCs/>
              </w:rPr>
              <w:t>extend</w:t>
            </w:r>
            <w:r w:rsidRPr="00FB328F">
              <w:rPr>
                <w:rFonts w:ascii="Times New Roman" w:hAnsi="Times New Roman"/>
                <w:bCs/>
              </w:rPr>
              <w:t xml:space="preserve"> </w:t>
            </w:r>
            <w:r w:rsidR="00C01256" w:rsidRPr="00FB328F">
              <w:rPr>
                <w:rFonts w:ascii="Times New Roman" w:hAnsi="Times New Roman"/>
                <w:bCs/>
              </w:rPr>
              <w:t xml:space="preserve">and introduce </w:t>
            </w:r>
            <w:r w:rsidRPr="00FB328F">
              <w:rPr>
                <w:rFonts w:ascii="Times New Roman" w:hAnsi="Times New Roman"/>
                <w:bCs/>
              </w:rPr>
              <w:t xml:space="preserve">new </w:t>
            </w:r>
            <w:r w:rsidR="00C01256" w:rsidRPr="00FB328F">
              <w:rPr>
                <w:rFonts w:ascii="Times New Roman" w:hAnsi="Times New Roman"/>
                <w:bCs/>
              </w:rPr>
              <w:t xml:space="preserve">protection </w:t>
            </w:r>
            <w:r w:rsidRPr="00FB328F">
              <w:rPr>
                <w:rFonts w:ascii="Times New Roman" w:hAnsi="Times New Roman"/>
                <w:bCs/>
              </w:rPr>
              <w:t>services and integrate them into the national system of social public services.</w:t>
            </w:r>
            <w:r w:rsidRPr="00D559CE">
              <w:rPr>
                <w:rFonts w:ascii="Times New Roman" w:hAnsi="Times New Roman"/>
                <w:bCs/>
              </w:rPr>
              <w:t xml:space="preserve"> </w:t>
            </w:r>
            <w:r w:rsidR="00BA1B15" w:rsidRPr="00D559CE">
              <w:rPr>
                <w:rFonts w:ascii="Times New Roman" w:hAnsi="Times New Roman"/>
              </w:rPr>
              <w:t xml:space="preserve">The operational grants will </w:t>
            </w:r>
            <w:r w:rsidR="00C01256">
              <w:rPr>
                <w:rFonts w:ascii="Times New Roman" w:hAnsi="Times New Roman"/>
              </w:rPr>
              <w:t xml:space="preserve">support the shelter operators </w:t>
            </w:r>
            <w:r w:rsidR="000E71CE">
              <w:rPr>
                <w:rFonts w:ascii="Times New Roman" w:hAnsi="Times New Roman"/>
              </w:rPr>
              <w:t xml:space="preserve">(1) </w:t>
            </w:r>
            <w:r w:rsidR="00C01256">
              <w:rPr>
                <w:rFonts w:ascii="Times New Roman" w:hAnsi="Times New Roman"/>
              </w:rPr>
              <w:t xml:space="preserve">improve the in-house </w:t>
            </w:r>
            <w:r w:rsidR="00122B34" w:rsidRPr="00D559CE">
              <w:rPr>
                <w:rFonts w:ascii="Times New Roman" w:hAnsi="Times New Roman"/>
              </w:rPr>
              <w:t xml:space="preserve">services </w:t>
            </w:r>
            <w:r w:rsidR="000E71CE">
              <w:rPr>
                <w:rFonts w:ascii="Times New Roman" w:hAnsi="Times New Roman"/>
              </w:rPr>
              <w:t>provided at the shelters which should cover a large spectrum of support such</w:t>
            </w:r>
            <w:r w:rsidR="000E71CE" w:rsidRPr="007666B0">
              <w:rPr>
                <w:rFonts w:ascii="Times New Roman" w:hAnsi="Times New Roman"/>
              </w:rPr>
              <w:t xml:space="preserve"> as preventive, counselling, temporary housing, legal aid, labour market activation, healthcare and other</w:t>
            </w:r>
            <w:r w:rsidR="000E71CE">
              <w:rPr>
                <w:rFonts w:ascii="Times New Roman" w:hAnsi="Times New Roman"/>
              </w:rPr>
              <w:t xml:space="preserve">, </w:t>
            </w:r>
            <w:r w:rsidR="00C01256">
              <w:rPr>
                <w:rFonts w:ascii="Times New Roman" w:hAnsi="Times New Roman"/>
              </w:rPr>
              <w:t xml:space="preserve">and </w:t>
            </w:r>
            <w:r w:rsidR="000E71CE">
              <w:rPr>
                <w:rFonts w:ascii="Times New Roman" w:hAnsi="Times New Roman"/>
              </w:rPr>
              <w:t xml:space="preserve">(2). </w:t>
            </w:r>
            <w:r w:rsidR="00C01256">
              <w:rPr>
                <w:rFonts w:ascii="Times New Roman" w:hAnsi="Times New Roman"/>
              </w:rPr>
              <w:t>make sure that the</w:t>
            </w:r>
            <w:r w:rsidR="000E71CE">
              <w:rPr>
                <w:rFonts w:ascii="Times New Roman" w:hAnsi="Times New Roman"/>
              </w:rPr>
              <w:t xml:space="preserve"> services</w:t>
            </w:r>
            <w:r w:rsidR="00C01256">
              <w:rPr>
                <w:rFonts w:ascii="Times New Roman" w:hAnsi="Times New Roman"/>
              </w:rPr>
              <w:t xml:space="preserve"> respond to the national and international standards</w:t>
            </w:r>
            <w:r w:rsidR="000E71CE">
              <w:rPr>
                <w:rStyle w:val="FootnoteReference"/>
                <w:rFonts w:ascii="Times New Roman" w:hAnsi="Times New Roman"/>
              </w:rPr>
              <w:footnoteReference w:id="2"/>
            </w:r>
            <w:r w:rsidR="00C01256">
              <w:rPr>
                <w:rFonts w:ascii="Times New Roman" w:hAnsi="Times New Roman"/>
              </w:rPr>
              <w:t xml:space="preserve">. </w:t>
            </w:r>
            <w:r w:rsidR="00BA1B15" w:rsidRPr="00D559CE">
              <w:rPr>
                <w:rFonts w:ascii="Times New Roman" w:hAnsi="Times New Roman"/>
              </w:rPr>
              <w:t xml:space="preserve">Special attention will be given to </w:t>
            </w:r>
            <w:r w:rsidR="009E4162" w:rsidRPr="00D559CE">
              <w:rPr>
                <w:rFonts w:ascii="Times New Roman" w:hAnsi="Times New Roman"/>
              </w:rPr>
              <w:t>the social reintegration of the victims in the labour market</w:t>
            </w:r>
            <w:r w:rsidR="00BA1B15" w:rsidRPr="00D559CE">
              <w:rPr>
                <w:rFonts w:ascii="Times New Roman" w:hAnsi="Times New Roman"/>
              </w:rPr>
              <w:t>,</w:t>
            </w:r>
            <w:r w:rsidR="009E4162" w:rsidRPr="00D559CE">
              <w:rPr>
                <w:rFonts w:ascii="Times New Roman" w:hAnsi="Times New Roman"/>
              </w:rPr>
              <w:t xml:space="preserve"> health, educational and</w:t>
            </w:r>
            <w:r w:rsidR="00BA1B15" w:rsidRPr="00D559CE">
              <w:rPr>
                <w:rFonts w:ascii="Times New Roman" w:hAnsi="Times New Roman"/>
              </w:rPr>
              <w:t xml:space="preserve"> social protection</w:t>
            </w:r>
            <w:r w:rsidR="009E4162" w:rsidRPr="00D559CE">
              <w:rPr>
                <w:rFonts w:ascii="Times New Roman" w:hAnsi="Times New Roman"/>
              </w:rPr>
              <w:t xml:space="preserve"> system</w:t>
            </w:r>
            <w:r w:rsidR="00BA1B15" w:rsidRPr="00D559CE">
              <w:rPr>
                <w:rFonts w:ascii="Times New Roman" w:hAnsi="Times New Roman"/>
              </w:rPr>
              <w:t xml:space="preserve">. </w:t>
            </w:r>
          </w:p>
          <w:p w14:paraId="01586838" w14:textId="6CB1C3A3" w:rsidR="00BA668B" w:rsidRPr="00225ED5" w:rsidRDefault="005676FC" w:rsidP="00225ED5">
            <w:pPr>
              <w:spacing w:before="120" w:after="0" w:line="240" w:lineRule="auto"/>
              <w:jc w:val="both"/>
              <w:rPr>
                <w:rFonts w:ascii="Times New Roman" w:hAnsi="Times New Roman"/>
              </w:rPr>
            </w:pPr>
            <w:r w:rsidRPr="00D559CE">
              <w:rPr>
                <w:rFonts w:ascii="Times New Roman" w:hAnsi="Times New Roman"/>
                <w:b/>
                <w:bCs/>
              </w:rPr>
              <w:t xml:space="preserve">Output </w:t>
            </w:r>
            <w:r w:rsidR="007C4BFC" w:rsidRPr="00D559CE">
              <w:rPr>
                <w:rFonts w:ascii="Times New Roman" w:hAnsi="Times New Roman"/>
                <w:b/>
                <w:bCs/>
              </w:rPr>
              <w:t>1.</w:t>
            </w:r>
            <w:r w:rsidRPr="00D559CE">
              <w:rPr>
                <w:rFonts w:ascii="Times New Roman" w:hAnsi="Times New Roman"/>
                <w:b/>
                <w:bCs/>
              </w:rPr>
              <w:t xml:space="preserve">2: </w:t>
            </w:r>
            <w:r w:rsidR="00E2253D" w:rsidRPr="00225ED5">
              <w:rPr>
                <w:rFonts w:ascii="Times New Roman" w:hAnsi="Times New Roman"/>
                <w:b/>
                <w:bCs/>
                <w:lang w:val="en-US"/>
              </w:rPr>
              <w:t>Enhanced inter-institutional cooperation at national and local level on gender-based and -domestic violence</w:t>
            </w:r>
          </w:p>
          <w:p w14:paraId="689AF10D" w14:textId="0D4830B6" w:rsidR="00E32125" w:rsidRDefault="00E15E51" w:rsidP="00E15E51">
            <w:pPr>
              <w:spacing w:before="120" w:after="0" w:line="240" w:lineRule="auto"/>
              <w:jc w:val="both"/>
              <w:rPr>
                <w:rFonts w:ascii="Times New Roman" w:hAnsi="Times New Roman"/>
              </w:rPr>
            </w:pPr>
            <w:r w:rsidRPr="0024598B">
              <w:rPr>
                <w:rFonts w:ascii="Times New Roman" w:hAnsi="Times New Roman"/>
              </w:rPr>
              <w:t xml:space="preserve">The activity will </w:t>
            </w:r>
            <w:r w:rsidR="00E32125">
              <w:rPr>
                <w:rFonts w:ascii="Times New Roman" w:hAnsi="Times New Roman"/>
              </w:rPr>
              <w:t xml:space="preserve">address the </w:t>
            </w:r>
            <w:r w:rsidRPr="0024598B">
              <w:rPr>
                <w:rFonts w:ascii="Times New Roman" w:hAnsi="Times New Roman"/>
              </w:rPr>
              <w:t>data gap on violence against women</w:t>
            </w:r>
            <w:r>
              <w:rPr>
                <w:rFonts w:ascii="Times New Roman" w:hAnsi="Times New Roman"/>
              </w:rPr>
              <w:t>. It will</w:t>
            </w:r>
            <w:r w:rsidRPr="0024598B">
              <w:rPr>
                <w:rFonts w:ascii="Times New Roman" w:hAnsi="Times New Roman"/>
              </w:rPr>
              <w:t xml:space="preserve"> put in place a national online register for cases of domestic violence</w:t>
            </w:r>
            <w:r w:rsidR="00A470F3">
              <w:rPr>
                <w:rFonts w:ascii="Times New Roman" w:hAnsi="Times New Roman"/>
              </w:rPr>
              <w:t xml:space="preserve">, supported by the interoperability platform, and integrated in the existing data management systems of the country. </w:t>
            </w:r>
            <w:r>
              <w:rPr>
                <w:rFonts w:ascii="Times New Roman" w:hAnsi="Times New Roman"/>
              </w:rPr>
              <w:t>The activities will encompass</w:t>
            </w:r>
            <w:r w:rsidR="00E32125">
              <w:rPr>
                <w:rFonts w:ascii="Times New Roman" w:hAnsi="Times New Roman"/>
              </w:rPr>
              <w:t>:</w:t>
            </w:r>
            <w:r>
              <w:rPr>
                <w:rFonts w:ascii="Times New Roman" w:hAnsi="Times New Roman"/>
              </w:rPr>
              <w:t xml:space="preserve"> </w:t>
            </w:r>
          </w:p>
          <w:p w14:paraId="16441E3A" w14:textId="11BD74FC" w:rsidR="00E32125" w:rsidRDefault="00E32125" w:rsidP="006B77EB">
            <w:pPr>
              <w:pStyle w:val="ListParagraph"/>
              <w:numPr>
                <w:ilvl w:val="0"/>
                <w:numId w:val="38"/>
              </w:numPr>
              <w:spacing w:before="120" w:after="0" w:line="240" w:lineRule="auto"/>
              <w:ind w:left="714" w:hanging="357"/>
              <w:contextualSpacing w:val="0"/>
              <w:jc w:val="both"/>
              <w:rPr>
                <w:rFonts w:ascii="Times New Roman" w:hAnsi="Times New Roman"/>
              </w:rPr>
            </w:pPr>
            <w:r>
              <w:rPr>
                <w:rFonts w:ascii="Times New Roman" w:hAnsi="Times New Roman"/>
              </w:rPr>
              <w:t>Establishing of the legal and methodological grounds for data collection and processing on domestic violence, which involves the development of a r</w:t>
            </w:r>
            <w:r w:rsidR="00A470F3" w:rsidRPr="006B77EB">
              <w:rPr>
                <w:rFonts w:ascii="Times New Roman" w:hAnsi="Times New Roman"/>
              </w:rPr>
              <w:t xml:space="preserve">ulebook for </w:t>
            </w:r>
            <w:r>
              <w:rPr>
                <w:rFonts w:ascii="Times New Roman" w:hAnsi="Times New Roman"/>
              </w:rPr>
              <w:t xml:space="preserve">data collection and monitoring </w:t>
            </w:r>
            <w:r w:rsidR="00A470F3" w:rsidRPr="006B77EB">
              <w:rPr>
                <w:rFonts w:ascii="Times New Roman" w:hAnsi="Times New Roman"/>
              </w:rPr>
              <w:t xml:space="preserve">and harmonization of the relevant legislative act with other related laws, </w:t>
            </w:r>
          </w:p>
          <w:p w14:paraId="558AFA80" w14:textId="69A89D80" w:rsidR="00E32125" w:rsidRDefault="00E15E51" w:rsidP="006B77EB">
            <w:pPr>
              <w:pStyle w:val="ListParagraph"/>
              <w:numPr>
                <w:ilvl w:val="0"/>
                <w:numId w:val="38"/>
              </w:numPr>
              <w:spacing w:before="120" w:after="0" w:line="240" w:lineRule="auto"/>
              <w:ind w:left="714" w:hanging="357"/>
              <w:contextualSpacing w:val="0"/>
              <w:jc w:val="both"/>
              <w:rPr>
                <w:rFonts w:ascii="Times New Roman" w:hAnsi="Times New Roman"/>
              </w:rPr>
            </w:pPr>
            <w:r w:rsidRPr="006B77EB">
              <w:rPr>
                <w:rFonts w:ascii="Times New Roman" w:hAnsi="Times New Roman"/>
                <w:lang w:val="en-US"/>
              </w:rPr>
              <w:t>defin</w:t>
            </w:r>
            <w:r w:rsidR="00A470F3" w:rsidRPr="006B77EB">
              <w:rPr>
                <w:rFonts w:ascii="Times New Roman" w:hAnsi="Times New Roman"/>
                <w:lang w:val="en-US"/>
              </w:rPr>
              <w:t>ition of</w:t>
            </w:r>
            <w:r w:rsidRPr="006B77EB">
              <w:rPr>
                <w:rFonts w:ascii="Times New Roman" w:hAnsi="Times New Roman"/>
                <w:lang w:val="en-US"/>
              </w:rPr>
              <w:t xml:space="preserve"> the architecture and the optimal model of data collection and exchange</w:t>
            </w:r>
            <w:r w:rsidR="00E32125">
              <w:rPr>
                <w:rFonts w:ascii="Times New Roman" w:hAnsi="Times New Roman"/>
                <w:lang w:val="en-US"/>
              </w:rPr>
              <w:t>, involving also</w:t>
            </w:r>
            <w:r w:rsidR="00A470F3" w:rsidRPr="006B77EB">
              <w:rPr>
                <w:rFonts w:ascii="Times New Roman" w:hAnsi="Times New Roman"/>
                <w:lang w:val="en-US"/>
              </w:rPr>
              <w:t xml:space="preserve"> definition of </w:t>
            </w:r>
            <w:r w:rsidRPr="006B77EB">
              <w:rPr>
                <w:rFonts w:ascii="Times New Roman" w:hAnsi="Times New Roman"/>
                <w:lang w:val="en-US"/>
              </w:rPr>
              <w:t>the roles of relevant institutions,</w:t>
            </w:r>
            <w:r w:rsidR="00A470F3" w:rsidRPr="006B77EB">
              <w:rPr>
                <w:rFonts w:ascii="Times New Roman" w:hAnsi="Times New Roman"/>
                <w:lang w:val="en-US"/>
              </w:rPr>
              <w:t xml:space="preserve"> </w:t>
            </w:r>
            <w:r w:rsidR="00E32125">
              <w:rPr>
                <w:rFonts w:ascii="Times New Roman" w:hAnsi="Times New Roman"/>
                <w:lang w:val="en-US"/>
              </w:rPr>
              <w:t>and</w:t>
            </w:r>
            <w:r w:rsidRPr="006B77EB">
              <w:rPr>
                <w:rFonts w:ascii="Times New Roman" w:hAnsi="Times New Roman"/>
                <w:lang w:val="en-US"/>
              </w:rPr>
              <w:t xml:space="preserve"> </w:t>
            </w:r>
            <w:r w:rsidRPr="006B77EB">
              <w:rPr>
                <w:rFonts w:ascii="Times New Roman" w:hAnsi="Times New Roman"/>
              </w:rPr>
              <w:t xml:space="preserve">development of business processes, </w:t>
            </w:r>
          </w:p>
          <w:p w14:paraId="1EDD44A4" w14:textId="153FE83C" w:rsidR="00E32125" w:rsidRDefault="00E15E51" w:rsidP="006B77EB">
            <w:pPr>
              <w:pStyle w:val="ListParagraph"/>
              <w:numPr>
                <w:ilvl w:val="0"/>
                <w:numId w:val="38"/>
              </w:numPr>
              <w:spacing w:before="120" w:after="0" w:line="240" w:lineRule="auto"/>
              <w:ind w:left="714" w:hanging="357"/>
              <w:contextualSpacing w:val="0"/>
              <w:jc w:val="both"/>
              <w:rPr>
                <w:rFonts w:ascii="Times New Roman" w:hAnsi="Times New Roman"/>
              </w:rPr>
            </w:pPr>
            <w:r w:rsidRPr="006B77EB">
              <w:rPr>
                <w:rFonts w:ascii="Times New Roman" w:hAnsi="Times New Roman"/>
              </w:rPr>
              <w:lastRenderedPageBreak/>
              <w:t>preparation of technical specifications for putting in place of database and technical specifications for</w:t>
            </w:r>
            <w:r w:rsidR="006F2F9B">
              <w:rPr>
                <w:rFonts w:ascii="Times New Roman" w:hAnsi="Times New Roman"/>
              </w:rPr>
              <w:t xml:space="preserve"> further </w:t>
            </w:r>
            <w:r w:rsidR="00A470F3" w:rsidRPr="006B77EB">
              <w:rPr>
                <w:rFonts w:ascii="Times New Roman" w:hAnsi="Times New Roman"/>
              </w:rPr>
              <w:t xml:space="preserve">development of the software to support the register and/or the interface, and provide the </w:t>
            </w:r>
            <w:r w:rsidRPr="006B77EB">
              <w:rPr>
                <w:rFonts w:ascii="Times New Roman" w:hAnsi="Times New Roman"/>
              </w:rPr>
              <w:t xml:space="preserve">necessary equipment. </w:t>
            </w:r>
          </w:p>
          <w:p w14:paraId="309EC4FD" w14:textId="33260B1E" w:rsidR="00E15E51" w:rsidRPr="006B77EB" w:rsidRDefault="00E15E51">
            <w:pPr>
              <w:spacing w:before="120" w:after="0" w:line="240" w:lineRule="auto"/>
              <w:jc w:val="both"/>
              <w:rPr>
                <w:rFonts w:ascii="Times New Roman" w:hAnsi="Times New Roman"/>
              </w:rPr>
            </w:pPr>
            <w:r w:rsidRPr="006B77EB">
              <w:rPr>
                <w:rFonts w:ascii="Times New Roman" w:hAnsi="Times New Roman"/>
              </w:rPr>
              <w:t xml:space="preserve">The action </w:t>
            </w:r>
            <w:r w:rsidR="00E32125">
              <w:rPr>
                <w:rFonts w:ascii="Times New Roman" w:hAnsi="Times New Roman"/>
              </w:rPr>
              <w:t>involves</w:t>
            </w:r>
            <w:r w:rsidRPr="006B77EB">
              <w:rPr>
                <w:rFonts w:ascii="Times New Roman" w:hAnsi="Times New Roman"/>
              </w:rPr>
              <w:t xml:space="preserve"> the </w:t>
            </w:r>
            <w:r w:rsidR="006F2F9B">
              <w:rPr>
                <w:rFonts w:ascii="Times New Roman" w:hAnsi="Times New Roman"/>
              </w:rPr>
              <w:t xml:space="preserve">MLSP, </w:t>
            </w:r>
            <w:r w:rsidRPr="006B77EB">
              <w:rPr>
                <w:rFonts w:ascii="Times New Roman" w:hAnsi="Times New Roman"/>
              </w:rPr>
              <w:t>police stations/Ministry of Interior, the social work centres, the e-Health system and licenced providers for the services (i.e. counselling services, shelters for victims of violence, etc.).</w:t>
            </w:r>
            <w:r w:rsidR="00DE648D">
              <w:rPr>
                <w:rFonts w:ascii="Times New Roman" w:hAnsi="Times New Roman"/>
              </w:rPr>
              <w:t xml:space="preserve"> </w:t>
            </w:r>
            <w:r w:rsidR="00DE648D">
              <w:rPr>
                <w:rFonts w:ascii="Times New Roman" w:hAnsi="Times New Roman"/>
                <w:lang w:val="en-US"/>
              </w:rPr>
              <w:t xml:space="preserve">The activity </w:t>
            </w:r>
            <w:r w:rsidRPr="006B77EB">
              <w:rPr>
                <w:rFonts w:ascii="Times New Roman" w:hAnsi="Times New Roman"/>
              </w:rPr>
              <w:t>will support the enhanced data exchange</w:t>
            </w:r>
            <w:r w:rsidRPr="00E32125">
              <w:rPr>
                <w:rStyle w:val="CommentReference"/>
                <w:rFonts w:ascii="Times New Roman" w:hAnsi="Times New Roman"/>
                <w:sz w:val="22"/>
                <w:szCs w:val="22"/>
              </w:rPr>
              <w:t xml:space="preserve"> and the </w:t>
            </w:r>
            <w:r w:rsidRPr="006B77EB">
              <w:rPr>
                <w:rFonts w:ascii="Times New Roman" w:hAnsi="Times New Roman"/>
                <w:lang w:val="en-US"/>
              </w:rPr>
              <w:t xml:space="preserve">practical implementation of the Law for </w:t>
            </w:r>
            <w:r w:rsidRPr="006B77EB">
              <w:rPr>
                <w:rFonts w:ascii="Times New Roman" w:hAnsi="Times New Roman"/>
                <w:kern w:val="1"/>
              </w:rPr>
              <w:t>Prevention and Protection of Violence against Women, and Domestic Violence</w:t>
            </w:r>
            <w:r w:rsidRPr="006B77EB">
              <w:rPr>
                <w:rFonts w:ascii="Times New Roman" w:hAnsi="Times New Roman"/>
                <w:lang w:val="en-US"/>
              </w:rPr>
              <w:t xml:space="preserve"> adopted in January 2021 and in force since May 2021. The Law implements in practice the Istanbul Convention</w:t>
            </w:r>
            <w:r w:rsidRPr="00E15E51">
              <w:rPr>
                <w:rStyle w:val="FootnoteReference"/>
                <w:rFonts w:ascii="Times New Roman" w:hAnsi="Times New Roman"/>
                <w:lang w:val="en-US"/>
              </w:rPr>
              <w:footnoteReference w:id="3"/>
            </w:r>
            <w:r w:rsidRPr="006B77EB">
              <w:rPr>
                <w:rFonts w:ascii="Times New Roman" w:hAnsi="Times New Roman"/>
                <w:lang w:val="en-US"/>
              </w:rPr>
              <w:t>, which is in force in the country since 2018</w:t>
            </w:r>
            <w:r w:rsidRPr="006B77EB">
              <w:rPr>
                <w:rFonts w:ascii="Times New Roman" w:hAnsi="Times New Roman"/>
              </w:rPr>
              <w:t>.</w:t>
            </w:r>
            <w:r w:rsidRPr="006B77EB">
              <w:rPr>
                <w:rFonts w:ascii="Times New Roman" w:hAnsi="Times New Roman"/>
                <w:lang w:val="en-US"/>
              </w:rPr>
              <w:t xml:space="preserve"> </w:t>
            </w:r>
          </w:p>
          <w:p w14:paraId="077EBF1F" w14:textId="2ACBD31C" w:rsidR="00BA668B" w:rsidRPr="00D559CE" w:rsidRDefault="00BA1B15" w:rsidP="00225ED5">
            <w:pPr>
              <w:tabs>
                <w:tab w:val="left" w:pos="1470"/>
              </w:tabs>
              <w:spacing w:before="120" w:after="0" w:line="240" w:lineRule="auto"/>
              <w:jc w:val="both"/>
              <w:rPr>
                <w:rFonts w:ascii="Times New Roman" w:hAnsi="Times New Roman"/>
                <w:b/>
                <w:bCs/>
                <w:i/>
              </w:rPr>
            </w:pPr>
            <w:r w:rsidRPr="00D559CE">
              <w:rPr>
                <w:rFonts w:ascii="Times New Roman" w:hAnsi="Times New Roman"/>
                <w:b/>
                <w:bCs/>
                <w:i/>
              </w:rPr>
              <w:t xml:space="preserve">Component 2: </w:t>
            </w:r>
            <w:r w:rsidR="007C4BFC" w:rsidRPr="00D559CE">
              <w:rPr>
                <w:rFonts w:ascii="Times New Roman" w:hAnsi="Times New Roman"/>
                <w:b/>
                <w:bCs/>
                <w:i/>
              </w:rPr>
              <w:t xml:space="preserve">Right </w:t>
            </w:r>
            <w:r w:rsidRPr="00D559CE">
              <w:rPr>
                <w:rFonts w:ascii="Times New Roman" w:hAnsi="Times New Roman"/>
                <w:b/>
                <w:bCs/>
                <w:i/>
              </w:rPr>
              <w:t>to education for vulnerable people</w:t>
            </w:r>
            <w:r w:rsidR="00D41EC0" w:rsidRPr="00D559CE">
              <w:rPr>
                <w:rFonts w:ascii="Times New Roman" w:hAnsi="Times New Roman"/>
                <w:b/>
                <w:bCs/>
                <w:i/>
              </w:rPr>
              <w:t xml:space="preserve"> </w:t>
            </w:r>
            <w:r w:rsidR="007C4BFC" w:rsidRPr="00D559CE">
              <w:rPr>
                <w:rFonts w:ascii="Times New Roman" w:hAnsi="Times New Roman"/>
                <w:b/>
                <w:bCs/>
                <w:i/>
              </w:rPr>
              <w:t xml:space="preserve">promoted </w:t>
            </w:r>
            <w:r w:rsidR="0045458C" w:rsidRPr="00D559CE">
              <w:rPr>
                <w:rFonts w:ascii="Times New Roman" w:hAnsi="Times New Roman"/>
                <w:b/>
                <w:bCs/>
                <w:i/>
              </w:rPr>
              <w:t>in line with the</w:t>
            </w:r>
            <w:r w:rsidR="00D41EC0" w:rsidRPr="00D559CE">
              <w:rPr>
                <w:rFonts w:ascii="Times New Roman" w:hAnsi="Times New Roman"/>
                <w:b/>
                <w:bCs/>
                <w:i/>
              </w:rPr>
              <w:t xml:space="preserve"> EU </w:t>
            </w:r>
            <w:r w:rsidRPr="00D559CE">
              <w:rPr>
                <w:rFonts w:ascii="Times New Roman" w:hAnsi="Times New Roman"/>
                <w:b/>
                <w:bCs/>
                <w:i/>
              </w:rPr>
              <w:t>No-one-left-Behind</w:t>
            </w:r>
            <w:r w:rsidR="00D41EC0" w:rsidRPr="00D559CE">
              <w:rPr>
                <w:rFonts w:ascii="Times New Roman" w:hAnsi="Times New Roman"/>
                <w:b/>
                <w:bCs/>
                <w:i/>
              </w:rPr>
              <w:t xml:space="preserve"> principle. </w:t>
            </w:r>
          </w:p>
          <w:p w14:paraId="694F920E" w14:textId="7BD753DE" w:rsidR="008C4A52" w:rsidRPr="00D559CE" w:rsidRDefault="008C4A52" w:rsidP="00225ED5">
            <w:pPr>
              <w:pBdr>
                <w:top w:val="nil"/>
                <w:left w:val="nil"/>
                <w:bottom w:val="nil"/>
                <w:right w:val="nil"/>
                <w:between w:val="nil"/>
              </w:pBdr>
              <w:shd w:val="solid" w:color="FFFFFF" w:fill="auto"/>
              <w:spacing w:before="120" w:after="0" w:line="240" w:lineRule="auto"/>
              <w:jc w:val="both"/>
              <w:rPr>
                <w:rFonts w:ascii="Times New Roman" w:hAnsi="Times New Roman"/>
              </w:rPr>
            </w:pPr>
            <w:r w:rsidRPr="00D559CE">
              <w:rPr>
                <w:rFonts w:ascii="Times New Roman" w:hAnsi="Times New Roman"/>
              </w:rPr>
              <w:t xml:space="preserve">The Action will contribute to combating poverty and social exclusion by providing </w:t>
            </w:r>
            <w:r w:rsidR="007C4BFC" w:rsidRPr="00D559CE">
              <w:rPr>
                <w:rFonts w:ascii="Times New Roman" w:hAnsi="Times New Roman"/>
              </w:rPr>
              <w:t xml:space="preserve">vulnerable people </w:t>
            </w:r>
            <w:r w:rsidRPr="00D559CE">
              <w:rPr>
                <w:rFonts w:ascii="Times New Roman" w:hAnsi="Times New Roman"/>
              </w:rPr>
              <w:t>with enhanced chance to</w:t>
            </w:r>
            <w:r w:rsidR="007C4BFC" w:rsidRPr="00D559CE">
              <w:rPr>
                <w:rFonts w:ascii="Times New Roman" w:hAnsi="Times New Roman"/>
              </w:rPr>
              <w:t xml:space="preserve"> complete their education</w:t>
            </w:r>
            <w:r w:rsidR="00E32125">
              <w:rPr>
                <w:rFonts w:ascii="Times New Roman" w:hAnsi="Times New Roman"/>
              </w:rPr>
              <w:t>.</w:t>
            </w:r>
          </w:p>
          <w:p w14:paraId="702CFAFE" w14:textId="495F0963" w:rsidR="00BA668B" w:rsidRPr="00D559CE" w:rsidRDefault="008C4A52" w:rsidP="00225ED5">
            <w:pPr>
              <w:pBdr>
                <w:top w:val="nil"/>
                <w:left w:val="nil"/>
                <w:bottom w:val="nil"/>
                <w:right w:val="nil"/>
                <w:between w:val="nil"/>
              </w:pBdr>
              <w:shd w:val="solid" w:color="FFFFFF" w:fill="auto"/>
              <w:spacing w:before="120" w:after="0" w:line="240" w:lineRule="auto"/>
              <w:jc w:val="both"/>
              <w:rPr>
                <w:rFonts w:ascii="Times New Roman" w:hAnsi="Times New Roman"/>
              </w:rPr>
            </w:pPr>
            <w:r w:rsidRPr="00D559CE">
              <w:rPr>
                <w:rFonts w:ascii="Times New Roman" w:hAnsi="Times New Roman"/>
              </w:rPr>
              <w:t>This component</w:t>
            </w:r>
            <w:r w:rsidR="00823001" w:rsidRPr="00225ED5">
              <w:rPr>
                <w:rFonts w:ascii="Times New Roman" w:hAnsi="Times New Roman"/>
              </w:rPr>
              <w:t xml:space="preserve"> </w:t>
            </w:r>
            <w:r w:rsidR="00BA1B15" w:rsidRPr="00225ED5">
              <w:rPr>
                <w:rFonts w:ascii="Times New Roman" w:hAnsi="Times New Roman"/>
              </w:rPr>
              <w:t xml:space="preserve">will </w:t>
            </w:r>
            <w:r w:rsidR="007C4BFC" w:rsidRPr="00225ED5">
              <w:rPr>
                <w:rFonts w:ascii="Times New Roman" w:hAnsi="Times New Roman"/>
              </w:rPr>
              <w:t>achieve the following outputs</w:t>
            </w:r>
            <w:r w:rsidR="00823001" w:rsidRPr="00225ED5">
              <w:rPr>
                <w:rFonts w:ascii="Times New Roman" w:hAnsi="Times New Roman"/>
              </w:rPr>
              <w:t>:</w:t>
            </w:r>
          </w:p>
          <w:p w14:paraId="6148698E" w14:textId="6CB16FE5" w:rsidR="00BA668B" w:rsidRPr="00FB328F" w:rsidRDefault="00823001" w:rsidP="00225ED5">
            <w:pPr>
              <w:spacing w:before="120" w:after="0" w:line="240" w:lineRule="auto"/>
              <w:jc w:val="both"/>
              <w:rPr>
                <w:rFonts w:ascii="Times New Roman" w:hAnsi="Times New Roman"/>
                <w:b/>
                <w:bCs/>
              </w:rPr>
            </w:pPr>
            <w:r w:rsidRPr="00225ED5">
              <w:rPr>
                <w:rFonts w:ascii="Times New Roman" w:hAnsi="Times New Roman"/>
                <w:b/>
                <w:bCs/>
              </w:rPr>
              <w:t>Output 2.</w:t>
            </w:r>
            <w:r w:rsidR="008F0039">
              <w:rPr>
                <w:rFonts w:ascii="Times New Roman" w:hAnsi="Times New Roman"/>
                <w:b/>
                <w:bCs/>
              </w:rPr>
              <w:t>1</w:t>
            </w:r>
            <w:r w:rsidRPr="00225ED5">
              <w:rPr>
                <w:rFonts w:ascii="Times New Roman" w:hAnsi="Times New Roman"/>
                <w:b/>
                <w:bCs/>
              </w:rPr>
              <w:t xml:space="preserve">. </w:t>
            </w:r>
            <w:r w:rsidRPr="00D559CE">
              <w:rPr>
                <w:rFonts w:ascii="Times New Roman" w:hAnsi="Times New Roman"/>
                <w:b/>
                <w:bCs/>
              </w:rPr>
              <w:t>Improved school a</w:t>
            </w:r>
            <w:r w:rsidRPr="00225ED5">
              <w:rPr>
                <w:rFonts w:ascii="Times New Roman" w:hAnsi="Times New Roman"/>
                <w:b/>
                <w:bCs/>
              </w:rPr>
              <w:t>ccessibility</w:t>
            </w:r>
            <w:r w:rsidRPr="00D559CE">
              <w:rPr>
                <w:rFonts w:ascii="Times New Roman" w:hAnsi="Times New Roman"/>
                <w:b/>
                <w:bCs/>
              </w:rPr>
              <w:t xml:space="preserve"> for children with disabilities</w:t>
            </w:r>
          </w:p>
          <w:p w14:paraId="38ED710F" w14:textId="0EB96975" w:rsidR="00BA668B" w:rsidRPr="00225ED5" w:rsidRDefault="00F773F2" w:rsidP="00225ED5">
            <w:pPr>
              <w:spacing w:before="120" w:after="0" w:line="240" w:lineRule="auto"/>
              <w:jc w:val="both"/>
              <w:rPr>
                <w:rFonts w:ascii="Times New Roman" w:hAnsi="Times New Roman"/>
              </w:rPr>
            </w:pPr>
            <w:r w:rsidRPr="00D559CE">
              <w:rPr>
                <w:rFonts w:ascii="Times New Roman" w:hAnsi="Times New Roman"/>
              </w:rPr>
              <w:t xml:space="preserve">The Action will continue the process of </w:t>
            </w:r>
            <w:r w:rsidR="00BA1B15" w:rsidRPr="00FB328F">
              <w:rPr>
                <w:rFonts w:ascii="Times New Roman" w:hAnsi="Times New Roman"/>
              </w:rPr>
              <w:t xml:space="preserve">adapting </w:t>
            </w:r>
            <w:r w:rsidRPr="00D559CE">
              <w:rPr>
                <w:rFonts w:ascii="Times New Roman" w:hAnsi="Times New Roman"/>
              </w:rPr>
              <w:t xml:space="preserve">the </w:t>
            </w:r>
            <w:r w:rsidR="00CB2D56" w:rsidRPr="00D559CE">
              <w:rPr>
                <w:rFonts w:ascii="Times New Roman" w:hAnsi="Times New Roman"/>
              </w:rPr>
              <w:t xml:space="preserve">educational </w:t>
            </w:r>
            <w:r w:rsidR="00BA1B15" w:rsidRPr="00225ED5">
              <w:rPr>
                <w:rFonts w:ascii="Times New Roman" w:hAnsi="Times New Roman"/>
              </w:rPr>
              <w:t xml:space="preserve">infrastructure </w:t>
            </w:r>
            <w:r w:rsidR="00CB2D56" w:rsidRPr="00D559CE">
              <w:rPr>
                <w:rFonts w:ascii="Times New Roman" w:hAnsi="Times New Roman"/>
              </w:rPr>
              <w:t xml:space="preserve">to the needs of </w:t>
            </w:r>
            <w:r w:rsidR="00BA1B15" w:rsidRPr="00225ED5">
              <w:rPr>
                <w:rFonts w:ascii="Times New Roman" w:hAnsi="Times New Roman"/>
              </w:rPr>
              <w:t xml:space="preserve">students with </w:t>
            </w:r>
            <w:r w:rsidR="00CB2D56" w:rsidRPr="00D559CE">
              <w:rPr>
                <w:rFonts w:ascii="Times New Roman" w:hAnsi="Times New Roman"/>
              </w:rPr>
              <w:t xml:space="preserve">disabilities / </w:t>
            </w:r>
            <w:r w:rsidR="00BA1B15" w:rsidRPr="00225ED5">
              <w:rPr>
                <w:rFonts w:ascii="Times New Roman" w:hAnsi="Times New Roman"/>
              </w:rPr>
              <w:t>special needs (SEN).</w:t>
            </w:r>
          </w:p>
          <w:p w14:paraId="171E0395" w14:textId="3C61C67F" w:rsidR="00BA668B" w:rsidRPr="00225ED5" w:rsidRDefault="00BA1B15" w:rsidP="00225ED5">
            <w:pPr>
              <w:spacing w:before="120" w:after="0" w:line="240" w:lineRule="auto"/>
              <w:jc w:val="both"/>
              <w:rPr>
                <w:rFonts w:ascii="Times New Roman" w:hAnsi="Times New Roman"/>
              </w:rPr>
            </w:pPr>
            <w:r w:rsidRPr="00225ED5">
              <w:rPr>
                <w:rFonts w:ascii="Times New Roman" w:hAnsi="Times New Roman"/>
              </w:rPr>
              <w:t xml:space="preserve">In the school year 2021/2022, </w:t>
            </w:r>
            <w:r w:rsidR="00CB2D56" w:rsidRPr="00D559CE">
              <w:rPr>
                <w:rFonts w:ascii="Times New Roman" w:hAnsi="Times New Roman"/>
              </w:rPr>
              <w:t xml:space="preserve">185.874 </w:t>
            </w:r>
            <w:r w:rsidRPr="00FB328F">
              <w:rPr>
                <w:rFonts w:ascii="Times New Roman" w:hAnsi="Times New Roman"/>
              </w:rPr>
              <w:t xml:space="preserve">students </w:t>
            </w:r>
            <w:r w:rsidR="00CB2D56" w:rsidRPr="00D559CE">
              <w:rPr>
                <w:rFonts w:ascii="Times New Roman" w:hAnsi="Times New Roman"/>
              </w:rPr>
              <w:t xml:space="preserve">were enrolled </w:t>
            </w:r>
            <w:r w:rsidRPr="00225ED5">
              <w:rPr>
                <w:rFonts w:ascii="Times New Roman" w:hAnsi="Times New Roman"/>
              </w:rPr>
              <w:t>in the regular primary and lower secondary schools</w:t>
            </w:r>
            <w:r w:rsidR="00CB2D56" w:rsidRPr="00D559CE">
              <w:rPr>
                <w:rFonts w:ascii="Times New Roman" w:hAnsi="Times New Roman"/>
              </w:rPr>
              <w:t xml:space="preserve">. Of them </w:t>
            </w:r>
            <w:r w:rsidRPr="00FB328F">
              <w:rPr>
                <w:rFonts w:ascii="Times New Roman" w:hAnsi="Times New Roman"/>
              </w:rPr>
              <w:t xml:space="preserve">911 </w:t>
            </w:r>
            <w:r w:rsidR="00CB2D56" w:rsidRPr="00D559CE">
              <w:rPr>
                <w:rFonts w:ascii="Times New Roman" w:hAnsi="Times New Roman"/>
              </w:rPr>
              <w:t xml:space="preserve">are </w:t>
            </w:r>
            <w:r w:rsidRPr="00225ED5">
              <w:rPr>
                <w:rFonts w:ascii="Times New Roman" w:hAnsi="Times New Roman"/>
              </w:rPr>
              <w:t xml:space="preserve">SEN students. </w:t>
            </w:r>
            <w:r w:rsidR="00CB2D56" w:rsidRPr="00D559CE">
              <w:rPr>
                <w:rFonts w:ascii="Times New Roman" w:hAnsi="Times New Roman"/>
              </w:rPr>
              <w:t xml:space="preserve">In </w:t>
            </w:r>
            <w:r w:rsidRPr="00225ED5">
              <w:rPr>
                <w:rFonts w:ascii="Times New Roman" w:hAnsi="Times New Roman"/>
              </w:rPr>
              <w:t>secondary schools</w:t>
            </w:r>
            <w:r w:rsidR="00CB2D56" w:rsidRPr="00D559CE">
              <w:rPr>
                <w:rFonts w:ascii="Times New Roman" w:hAnsi="Times New Roman"/>
              </w:rPr>
              <w:t>, there are</w:t>
            </w:r>
            <w:r w:rsidRPr="00FB328F">
              <w:rPr>
                <w:rFonts w:ascii="Times New Roman" w:hAnsi="Times New Roman"/>
              </w:rPr>
              <w:t xml:space="preserve"> 69.223 students</w:t>
            </w:r>
            <w:r w:rsidR="00CB2D56" w:rsidRPr="00D559CE">
              <w:rPr>
                <w:rFonts w:ascii="Times New Roman" w:hAnsi="Times New Roman"/>
              </w:rPr>
              <w:t xml:space="preserve"> enrolled. 3</w:t>
            </w:r>
            <w:r w:rsidRPr="00FB328F">
              <w:rPr>
                <w:rFonts w:ascii="Times New Roman" w:hAnsi="Times New Roman"/>
              </w:rPr>
              <w:t xml:space="preserve">12 SEN students </w:t>
            </w:r>
            <w:r w:rsidR="00CB2D56" w:rsidRPr="00D559CE">
              <w:rPr>
                <w:rFonts w:ascii="Times New Roman" w:hAnsi="Times New Roman"/>
              </w:rPr>
              <w:t>are enrolled in</w:t>
            </w:r>
            <w:r w:rsidR="00CB2D56" w:rsidRPr="00225ED5">
              <w:rPr>
                <w:rFonts w:ascii="Times New Roman" w:hAnsi="Times New Roman"/>
              </w:rPr>
              <w:t xml:space="preserve"> </w:t>
            </w:r>
            <w:r w:rsidRPr="00225ED5">
              <w:rPr>
                <w:rFonts w:ascii="Times New Roman" w:hAnsi="Times New Roman"/>
              </w:rPr>
              <w:t xml:space="preserve">regular secondary schools and 232 in special schools. </w:t>
            </w:r>
            <w:r w:rsidR="00CB2D56" w:rsidRPr="00D559CE">
              <w:rPr>
                <w:rFonts w:ascii="Times New Roman" w:hAnsi="Times New Roman"/>
              </w:rPr>
              <w:t>Only</w:t>
            </w:r>
            <w:r w:rsidRPr="00225ED5">
              <w:rPr>
                <w:rFonts w:ascii="Times New Roman" w:hAnsi="Times New Roman"/>
              </w:rPr>
              <w:t xml:space="preserve"> 14% of the schools</w:t>
            </w:r>
            <w:r w:rsidR="00CB2D56" w:rsidRPr="00D559CE">
              <w:rPr>
                <w:rFonts w:ascii="Times New Roman" w:hAnsi="Times New Roman"/>
              </w:rPr>
              <w:t xml:space="preserve"> dispose with </w:t>
            </w:r>
            <w:r w:rsidRPr="00FB328F">
              <w:rPr>
                <w:rFonts w:ascii="Times New Roman" w:hAnsi="Times New Roman"/>
              </w:rPr>
              <w:t>partially adapted</w:t>
            </w:r>
            <w:r w:rsidR="00CB2D56" w:rsidRPr="00D559CE">
              <w:rPr>
                <w:rFonts w:ascii="Times New Roman" w:hAnsi="Times New Roman"/>
              </w:rPr>
              <w:t xml:space="preserve"> facilities</w:t>
            </w:r>
            <w:r w:rsidRPr="00FB328F">
              <w:rPr>
                <w:rFonts w:ascii="Times New Roman" w:hAnsi="Times New Roman"/>
              </w:rPr>
              <w:t xml:space="preserve">. </w:t>
            </w:r>
            <w:r w:rsidR="00525033" w:rsidRPr="00D559CE">
              <w:rPr>
                <w:rFonts w:ascii="Times New Roman" w:hAnsi="Times New Roman"/>
              </w:rPr>
              <w:t xml:space="preserve">The EU financing under </w:t>
            </w:r>
            <w:r w:rsidRPr="00225ED5">
              <w:rPr>
                <w:rFonts w:ascii="Times New Roman" w:hAnsi="Times New Roman"/>
              </w:rPr>
              <w:t xml:space="preserve">IPA 2017 </w:t>
            </w:r>
            <w:r w:rsidR="00525033" w:rsidRPr="00D559CE">
              <w:rPr>
                <w:rFonts w:ascii="Times New Roman" w:hAnsi="Times New Roman"/>
              </w:rPr>
              <w:t>has improved</w:t>
            </w:r>
            <w:r w:rsidRPr="00225ED5">
              <w:rPr>
                <w:rFonts w:ascii="Times New Roman" w:hAnsi="Times New Roman"/>
              </w:rPr>
              <w:t xml:space="preserve"> </w:t>
            </w:r>
            <w:r w:rsidR="00525033" w:rsidRPr="00D559CE">
              <w:rPr>
                <w:rFonts w:ascii="Times New Roman" w:hAnsi="Times New Roman"/>
              </w:rPr>
              <w:t xml:space="preserve">the accessibility of </w:t>
            </w:r>
            <w:r w:rsidRPr="00FB328F">
              <w:rPr>
                <w:rFonts w:ascii="Times New Roman" w:hAnsi="Times New Roman"/>
              </w:rPr>
              <w:t>14 key educational establishments located in the most underdeveloped regions – Polog, North-East, South-West + Prespa.</w:t>
            </w:r>
            <w:r w:rsidR="004C5987" w:rsidRPr="00D559CE">
              <w:rPr>
                <w:rFonts w:ascii="Times New Roman" w:hAnsi="Times New Roman"/>
              </w:rPr>
              <w:t xml:space="preserve"> This action will target other 20 educational establishments</w:t>
            </w:r>
            <w:r w:rsidR="0024668E" w:rsidRPr="00D559CE">
              <w:rPr>
                <w:rFonts w:ascii="Times New Roman" w:hAnsi="Times New Roman"/>
              </w:rPr>
              <w:t xml:space="preserve">, </w:t>
            </w:r>
            <w:r w:rsidRPr="00225ED5">
              <w:rPr>
                <w:rFonts w:ascii="Times New Roman" w:hAnsi="Times New Roman"/>
              </w:rPr>
              <w:t>selected based on a public call for applications</w:t>
            </w:r>
            <w:r w:rsidR="0024668E" w:rsidRPr="00D559CE">
              <w:rPr>
                <w:rFonts w:ascii="Times New Roman" w:hAnsi="Times New Roman"/>
              </w:rPr>
              <w:t xml:space="preserve">. </w:t>
            </w:r>
            <w:r w:rsidRPr="00225ED5">
              <w:rPr>
                <w:rFonts w:ascii="Times New Roman" w:hAnsi="Times New Roman"/>
              </w:rPr>
              <w:t xml:space="preserve"> </w:t>
            </w:r>
          </w:p>
          <w:p w14:paraId="5F8596CF" w14:textId="3C32E3AB" w:rsidR="004B0B62" w:rsidRPr="00AC0D71" w:rsidRDefault="004B0B62" w:rsidP="004B0B62">
            <w:pPr>
              <w:spacing w:before="120" w:after="0" w:line="240" w:lineRule="auto"/>
              <w:jc w:val="both"/>
              <w:rPr>
                <w:rFonts w:ascii="Times New Roman" w:hAnsi="Times New Roman"/>
                <w:b/>
                <w:bCs/>
              </w:rPr>
            </w:pPr>
            <w:r w:rsidRPr="00AC0D71">
              <w:rPr>
                <w:rFonts w:ascii="Times New Roman" w:hAnsi="Times New Roman"/>
                <w:b/>
                <w:bCs/>
              </w:rPr>
              <w:t>Output 2.</w:t>
            </w:r>
            <w:r>
              <w:rPr>
                <w:rFonts w:ascii="Times New Roman" w:hAnsi="Times New Roman"/>
                <w:b/>
                <w:bCs/>
              </w:rPr>
              <w:t>2</w:t>
            </w:r>
            <w:r w:rsidRPr="00AC0D71">
              <w:rPr>
                <w:rFonts w:ascii="Times New Roman" w:hAnsi="Times New Roman"/>
                <w:b/>
                <w:bCs/>
              </w:rPr>
              <w:t xml:space="preserve">. </w:t>
            </w:r>
            <w:r>
              <w:rPr>
                <w:rFonts w:ascii="Times New Roman" w:hAnsi="Times New Roman"/>
                <w:b/>
                <w:bCs/>
              </w:rPr>
              <w:t>Stepped-Up Non-discrimination at school</w:t>
            </w:r>
          </w:p>
          <w:p w14:paraId="61356C88" w14:textId="77777777" w:rsidR="004B0B62" w:rsidRPr="003E06AF" w:rsidRDefault="004B0B62" w:rsidP="00225ED5">
            <w:pPr>
              <w:spacing w:before="120" w:after="0" w:line="240" w:lineRule="auto"/>
              <w:jc w:val="both"/>
              <w:rPr>
                <w:rFonts w:ascii="Times New Roman" w:hAnsi="Times New Roman"/>
                <w:lang w:eastAsia="en-GB"/>
              </w:rPr>
            </w:pPr>
            <w:r w:rsidRPr="003E06AF">
              <w:rPr>
                <w:rFonts w:ascii="Times New Roman" w:hAnsi="Times New Roman"/>
                <w:lang w:eastAsia="en-GB"/>
              </w:rPr>
              <w:t>This activity will advance inclusive education of children and students from vulnerable groups such as: children and students from families with low income, drop-out students (focus on females, Roma, other ethnic communities) and children and students with disabilities and special educational needs. It builds up on a successful model for supporting school integration of Roma students in the country, which will be enhanced and expanded by including a wider range of vulnerable children (children with disabilities and other vulnerable children).</w:t>
            </w:r>
          </w:p>
          <w:p w14:paraId="59918FE5" w14:textId="44CF1DA4" w:rsidR="004B0B62" w:rsidRPr="003E06AF" w:rsidRDefault="004B0B62" w:rsidP="00225ED5">
            <w:pPr>
              <w:spacing w:before="120" w:after="0" w:line="240" w:lineRule="auto"/>
              <w:jc w:val="both"/>
              <w:rPr>
                <w:rFonts w:ascii="Times New Roman" w:hAnsi="Times New Roman"/>
                <w:lang w:eastAsia="en-GB"/>
              </w:rPr>
            </w:pPr>
            <w:r w:rsidRPr="003E06AF">
              <w:rPr>
                <w:rFonts w:ascii="Times New Roman" w:hAnsi="Times New Roman"/>
                <w:lang w:eastAsia="en-GB"/>
              </w:rPr>
              <w:t xml:space="preserve">The activity encompasses </w:t>
            </w:r>
            <w:r w:rsidR="002D5DAD">
              <w:rPr>
                <w:rFonts w:ascii="Times New Roman" w:hAnsi="Times New Roman"/>
                <w:lang w:eastAsia="en-GB"/>
              </w:rPr>
              <w:t xml:space="preserve">1). </w:t>
            </w:r>
            <w:r w:rsidRPr="003E06AF">
              <w:rPr>
                <w:rFonts w:ascii="Times New Roman" w:hAnsi="Times New Roman"/>
                <w:lang w:eastAsia="en-GB"/>
              </w:rPr>
              <w:t xml:space="preserve">a scholarship scheme to strengthen motivation for school participation and improving the quality of additional teaching service offered to vulnerable children. </w:t>
            </w:r>
            <w:r w:rsidR="002D5DAD">
              <w:rPr>
                <w:rFonts w:ascii="Times New Roman" w:hAnsi="Times New Roman"/>
                <w:lang w:eastAsia="en-GB"/>
              </w:rPr>
              <w:t xml:space="preserve">2). </w:t>
            </w:r>
            <w:r w:rsidR="00FB6CDA">
              <w:rPr>
                <w:rFonts w:ascii="Times New Roman" w:hAnsi="Times New Roman"/>
                <w:lang w:eastAsia="en-GB"/>
              </w:rPr>
              <w:t>Capacity-building measures to raise the skills and motivation of the</w:t>
            </w:r>
            <w:r w:rsidRPr="003E06AF">
              <w:rPr>
                <w:rFonts w:ascii="Times New Roman" w:hAnsi="Times New Roman"/>
                <w:lang w:eastAsia="en-GB"/>
              </w:rPr>
              <w:t xml:space="preserve"> </w:t>
            </w:r>
            <w:r w:rsidRPr="003E06AF">
              <w:rPr>
                <w:rFonts w:ascii="Times New Roman" w:hAnsi="Times New Roman"/>
              </w:rPr>
              <w:t>teachers working with</w:t>
            </w:r>
            <w:r w:rsidR="002D5DAD">
              <w:rPr>
                <w:rFonts w:ascii="Times New Roman" w:hAnsi="Times New Roman"/>
              </w:rPr>
              <w:t xml:space="preserve"> vulnerable</w:t>
            </w:r>
            <w:r w:rsidRPr="003E06AF">
              <w:rPr>
                <w:rFonts w:ascii="Times New Roman" w:hAnsi="Times New Roman"/>
              </w:rPr>
              <w:t xml:space="preserve"> students and </w:t>
            </w:r>
            <w:r w:rsidR="002D5DAD">
              <w:rPr>
                <w:rFonts w:ascii="Times New Roman" w:hAnsi="Times New Roman"/>
              </w:rPr>
              <w:t xml:space="preserve">their </w:t>
            </w:r>
            <w:r w:rsidRPr="003E06AF">
              <w:rPr>
                <w:rFonts w:ascii="Times New Roman" w:hAnsi="Times New Roman"/>
              </w:rPr>
              <w:t>parents in either carrying out formative assessments or targeted/tailored instruction</w:t>
            </w:r>
            <w:r w:rsidRPr="003E06AF">
              <w:rPr>
                <w:rFonts w:ascii="Times New Roman" w:hAnsi="Times New Roman"/>
                <w:lang w:eastAsia="en-GB"/>
              </w:rPr>
              <w:t>.</w:t>
            </w:r>
          </w:p>
          <w:p w14:paraId="404A3303" w14:textId="58B101CE" w:rsidR="004B0B62" w:rsidRPr="00616955" w:rsidRDefault="004B0B62" w:rsidP="00225ED5">
            <w:pPr>
              <w:spacing w:before="120" w:after="0" w:line="240" w:lineRule="auto"/>
              <w:jc w:val="both"/>
              <w:rPr>
                <w:rFonts w:ascii="Times New Roman" w:hAnsi="Times New Roman"/>
                <w:color w:val="000000" w:themeColor="text1"/>
              </w:rPr>
            </w:pPr>
            <w:r w:rsidRPr="003E06AF">
              <w:rPr>
                <w:rFonts w:ascii="Times New Roman" w:hAnsi="Times New Roman"/>
                <w:lang w:eastAsia="en-GB"/>
              </w:rPr>
              <w:t xml:space="preserve">The activity is expected to increase student retention rates, raise of individuals' Grade Point Average (GPA) and decrease of dropouts. The activity is in line with the </w:t>
            </w:r>
            <w:hyperlink r:id="rId8" w:history="1">
              <w:r w:rsidRPr="00616955">
                <w:rPr>
                  <w:rStyle w:val="Hyperlink"/>
                  <w:rFonts w:ascii="Times New Roman" w:hAnsi="Times New Roman"/>
                  <w:color w:val="000000" w:themeColor="text1"/>
                </w:rPr>
                <w:t>EU Guidelines on the Promotion and Protection of the Rights of the Child - Leave no Child Behind</w:t>
              </w:r>
            </w:hyperlink>
            <w:r w:rsidRPr="00616955">
              <w:rPr>
                <w:rFonts w:ascii="Times New Roman" w:hAnsi="Times New Roman"/>
                <w:color w:val="000000" w:themeColor="text1"/>
                <w:u w:val="single"/>
              </w:rPr>
              <w:t>.</w:t>
            </w:r>
          </w:p>
          <w:p w14:paraId="40F8188A" w14:textId="77777777" w:rsidR="00BA668B" w:rsidRPr="00225ED5" w:rsidRDefault="00BA1B15">
            <w:pPr>
              <w:spacing w:before="120" w:after="0" w:line="240" w:lineRule="auto"/>
              <w:jc w:val="both"/>
              <w:rPr>
                <w:rFonts w:ascii="Times New Roman" w:hAnsi="Times New Roman"/>
                <w:b/>
                <w:bCs/>
                <w:i/>
              </w:rPr>
            </w:pPr>
            <w:r w:rsidRPr="00225ED5">
              <w:rPr>
                <w:rFonts w:ascii="Times New Roman" w:hAnsi="Times New Roman"/>
                <w:b/>
                <w:bCs/>
                <w:i/>
              </w:rPr>
              <w:t>Component 3: To ensure the right of Roma people to legal housing</w:t>
            </w:r>
          </w:p>
          <w:p w14:paraId="600B216D" w14:textId="77061D76" w:rsidR="00BA668B" w:rsidRPr="00225ED5" w:rsidRDefault="00BA1B15" w:rsidP="00225ED5">
            <w:pPr>
              <w:spacing w:before="120" w:after="0" w:line="240" w:lineRule="auto"/>
              <w:jc w:val="both"/>
              <w:rPr>
                <w:rFonts w:ascii="Times New Roman" w:hAnsi="Times New Roman"/>
                <w:bCs/>
                <w:iCs/>
              </w:rPr>
            </w:pPr>
            <w:r w:rsidRPr="00225ED5">
              <w:rPr>
                <w:rFonts w:ascii="Times New Roman" w:hAnsi="Times New Roman"/>
                <w:bCs/>
                <w:iCs/>
              </w:rPr>
              <w:lastRenderedPageBreak/>
              <w:t xml:space="preserve">This Component will </w:t>
            </w:r>
            <w:r w:rsidR="000169B9" w:rsidRPr="00D559CE">
              <w:rPr>
                <w:rFonts w:ascii="Times New Roman" w:hAnsi="Times New Roman"/>
                <w:bCs/>
                <w:iCs/>
              </w:rPr>
              <w:t xml:space="preserve">support North Macedonia to </w:t>
            </w:r>
            <w:r w:rsidR="00FB328F" w:rsidRPr="00D559CE">
              <w:rPr>
                <w:rFonts w:ascii="Times New Roman" w:hAnsi="Times New Roman"/>
                <w:bCs/>
                <w:iCs/>
              </w:rPr>
              <w:t xml:space="preserve">prepare </w:t>
            </w:r>
            <w:r w:rsidR="00FB328F" w:rsidRPr="00FB328F">
              <w:rPr>
                <w:rFonts w:ascii="Times New Roman" w:hAnsi="Times New Roman"/>
                <w:bCs/>
                <w:iCs/>
              </w:rPr>
              <w:t>urban</w:t>
            </w:r>
            <w:r w:rsidRPr="00FB328F">
              <w:rPr>
                <w:rFonts w:ascii="Times New Roman" w:hAnsi="Times New Roman"/>
                <w:bCs/>
                <w:iCs/>
              </w:rPr>
              <w:t>-spatial</w:t>
            </w:r>
            <w:r w:rsidR="00DF2BAF" w:rsidRPr="00FB328F">
              <w:rPr>
                <w:rFonts w:ascii="Times New Roman" w:hAnsi="Times New Roman"/>
                <w:bCs/>
                <w:iCs/>
              </w:rPr>
              <w:t xml:space="preserve"> plan</w:t>
            </w:r>
            <w:r w:rsidR="000169B9" w:rsidRPr="00D559CE">
              <w:rPr>
                <w:rFonts w:ascii="Times New Roman" w:hAnsi="Times New Roman"/>
                <w:bCs/>
                <w:iCs/>
              </w:rPr>
              <w:t>s</w:t>
            </w:r>
            <w:r w:rsidR="00DF2BAF" w:rsidRPr="00225ED5">
              <w:rPr>
                <w:rFonts w:ascii="Times New Roman" w:hAnsi="Times New Roman"/>
                <w:bCs/>
                <w:iCs/>
              </w:rPr>
              <w:t xml:space="preserve"> for </w:t>
            </w:r>
            <w:r w:rsidR="000169B9" w:rsidRPr="00D559CE">
              <w:rPr>
                <w:rFonts w:ascii="Times New Roman" w:hAnsi="Times New Roman"/>
                <w:bCs/>
                <w:iCs/>
              </w:rPr>
              <w:t xml:space="preserve">6 </w:t>
            </w:r>
            <w:r w:rsidR="00FD5850" w:rsidRPr="00FB328F">
              <w:rPr>
                <w:rFonts w:ascii="Times New Roman" w:hAnsi="Times New Roman"/>
                <w:bCs/>
                <w:iCs/>
              </w:rPr>
              <w:t>municipalities with a high concentration of Roma people</w:t>
            </w:r>
            <w:r w:rsidR="0037690E" w:rsidRPr="00D559CE">
              <w:rPr>
                <w:rFonts w:ascii="Times New Roman" w:hAnsi="Times New Roman"/>
                <w:bCs/>
                <w:iCs/>
              </w:rPr>
              <w:t xml:space="preserve">. </w:t>
            </w:r>
            <w:r w:rsidR="00E15E51" w:rsidRPr="00D559CE">
              <w:rPr>
                <w:rFonts w:ascii="Times New Roman" w:hAnsi="Times New Roman"/>
                <w:bCs/>
                <w:iCs/>
              </w:rPr>
              <w:t>The feasibility</w:t>
            </w:r>
            <w:r w:rsidR="0037690E" w:rsidRPr="00D559CE">
              <w:rPr>
                <w:rFonts w:ascii="Times New Roman" w:hAnsi="Times New Roman"/>
                <w:bCs/>
                <w:iCs/>
              </w:rPr>
              <w:t xml:space="preserve"> studies on social housing of Roma prepared by the RCC in 2022 concluded that t</w:t>
            </w:r>
            <w:r w:rsidR="000169B9" w:rsidRPr="00225ED5">
              <w:rPr>
                <w:rFonts w:ascii="Times New Roman" w:hAnsi="Times New Roman"/>
                <w:iCs/>
              </w:rPr>
              <w:t>he detailed urban planning</w:t>
            </w:r>
            <w:r w:rsidR="0037690E" w:rsidRPr="00D559CE">
              <w:rPr>
                <w:rFonts w:ascii="Times New Roman" w:hAnsi="Times New Roman"/>
                <w:bCs/>
                <w:iCs/>
              </w:rPr>
              <w:t xml:space="preserve"> is</w:t>
            </w:r>
            <w:r w:rsidR="000169B9" w:rsidRPr="00225ED5">
              <w:rPr>
                <w:rFonts w:ascii="Times New Roman" w:hAnsi="Times New Roman"/>
                <w:bCs/>
                <w:iCs/>
              </w:rPr>
              <w:t xml:space="preserve"> </w:t>
            </w:r>
            <w:r w:rsidR="000169B9" w:rsidRPr="00D559CE">
              <w:rPr>
                <w:rFonts w:ascii="Times New Roman" w:hAnsi="Times New Roman"/>
                <w:bCs/>
                <w:iCs/>
              </w:rPr>
              <w:t xml:space="preserve">necessary to legalise the settlements where Roma live, offer them urban infrastructure, and make possible the (re)construction of social houses. </w:t>
            </w:r>
            <w:r w:rsidR="00643AD5">
              <w:rPr>
                <w:rFonts w:ascii="Times New Roman" w:hAnsi="Times New Roman"/>
                <w:bCs/>
                <w:iCs/>
              </w:rPr>
              <w:t xml:space="preserve">The Action will prepare the </w:t>
            </w:r>
            <w:r w:rsidR="00AD383F">
              <w:rPr>
                <w:rFonts w:ascii="Times New Roman" w:hAnsi="Times New Roman"/>
                <w:bCs/>
                <w:iCs/>
              </w:rPr>
              <w:t xml:space="preserve">full </w:t>
            </w:r>
            <w:r w:rsidR="00643AD5">
              <w:rPr>
                <w:rFonts w:ascii="Times New Roman" w:hAnsi="Times New Roman"/>
                <w:bCs/>
                <w:iCs/>
              </w:rPr>
              <w:t xml:space="preserve">technical documentation for the future EU investments in urbanising the Roma settlements. </w:t>
            </w:r>
          </w:p>
          <w:p w14:paraId="0496D8AA" w14:textId="589A0C89" w:rsidR="00D559CE" w:rsidRDefault="00BA1B15" w:rsidP="00225ED5">
            <w:pPr>
              <w:spacing w:before="120" w:after="0" w:line="240" w:lineRule="auto"/>
              <w:jc w:val="both"/>
              <w:rPr>
                <w:rFonts w:ascii="Times New Roman" w:hAnsi="Times New Roman"/>
                <w:bCs/>
                <w:iCs/>
              </w:rPr>
            </w:pPr>
            <w:r w:rsidRPr="00225ED5">
              <w:rPr>
                <w:rFonts w:ascii="Times New Roman" w:hAnsi="Times New Roman"/>
                <w:bCs/>
                <w:iCs/>
              </w:rPr>
              <w:t xml:space="preserve">This Component will promote and support partnerships between the MLSP and Local Self-Government Units (LSGUs) in social housing, especially related to urbanisation aspects (amendment </w:t>
            </w:r>
            <w:r w:rsidR="00DF2BAF" w:rsidRPr="00225ED5">
              <w:rPr>
                <w:rFonts w:ascii="Times New Roman" w:hAnsi="Times New Roman"/>
                <w:bCs/>
                <w:iCs/>
              </w:rPr>
              <w:t>of the</w:t>
            </w:r>
            <w:r w:rsidRPr="00225ED5">
              <w:rPr>
                <w:rFonts w:ascii="Times New Roman" w:hAnsi="Times New Roman"/>
                <w:bCs/>
                <w:iCs/>
              </w:rPr>
              <w:t xml:space="preserve"> municipal GUPs and DUPs</w:t>
            </w:r>
            <w:r w:rsidR="00DF2BAF" w:rsidRPr="00225ED5">
              <w:rPr>
                <w:rStyle w:val="FootnoteReference"/>
                <w:rFonts w:ascii="Times New Roman" w:hAnsi="Times New Roman"/>
                <w:bCs/>
                <w:iCs/>
              </w:rPr>
              <w:footnoteReference w:id="4"/>
            </w:r>
            <w:r w:rsidRPr="00225ED5">
              <w:rPr>
                <w:rFonts w:ascii="Times New Roman" w:hAnsi="Times New Roman"/>
                <w:bCs/>
                <w:iCs/>
              </w:rPr>
              <w:t>).</w:t>
            </w:r>
          </w:p>
          <w:p w14:paraId="28DFDC1B" w14:textId="378F8C1F" w:rsidR="00643AD5" w:rsidRDefault="00643AD5" w:rsidP="00225ED5">
            <w:pPr>
              <w:spacing w:before="120" w:after="0" w:line="240" w:lineRule="auto"/>
              <w:jc w:val="both"/>
              <w:rPr>
                <w:rFonts w:ascii="Times New Roman" w:hAnsi="Times New Roman"/>
                <w:bCs/>
                <w:iCs/>
              </w:rPr>
            </w:pPr>
          </w:p>
          <w:p w14:paraId="402D2525" w14:textId="5177518C" w:rsidR="00BA668B" w:rsidRPr="00D559CE" w:rsidRDefault="00BA1B15" w:rsidP="00225ED5">
            <w:pPr>
              <w:spacing w:before="120" w:after="0" w:line="240" w:lineRule="auto"/>
              <w:jc w:val="both"/>
              <w:rPr>
                <w:rFonts w:ascii="Times New Roman" w:hAnsi="Times New Roman"/>
                <w:lang w:val="en-US"/>
              </w:rPr>
            </w:pPr>
            <w:r w:rsidRPr="00D559CE">
              <w:rPr>
                <w:rFonts w:ascii="Times New Roman" w:hAnsi="Times New Roman"/>
              </w:rPr>
              <w:t>The Action support</w:t>
            </w:r>
            <w:r w:rsidR="004C5987" w:rsidRPr="00D559CE">
              <w:rPr>
                <w:rFonts w:ascii="Times New Roman" w:hAnsi="Times New Roman"/>
              </w:rPr>
              <w:t>s</w:t>
            </w:r>
            <w:r w:rsidRPr="00D559CE">
              <w:rPr>
                <w:rFonts w:ascii="Times New Roman" w:hAnsi="Times New Roman"/>
              </w:rPr>
              <w:t xml:space="preserve"> the legal and policy reforms relevant for the EU accession process and contribute to address some recommendations of the </w:t>
            </w:r>
            <w:r w:rsidRPr="00D559CE">
              <w:rPr>
                <w:rFonts w:ascii="Times New Roman" w:hAnsi="Times New Roman"/>
                <w:b/>
              </w:rPr>
              <w:t xml:space="preserve">EC Country Report 2021 in </w:t>
            </w:r>
            <w:r w:rsidRPr="00D559CE">
              <w:rPr>
                <w:rFonts w:ascii="Times New Roman" w:hAnsi="Times New Roman"/>
                <w:b/>
                <w:bCs/>
                <w:iCs/>
                <w:lang w:val="en-US"/>
              </w:rPr>
              <w:t>Chapter 23: Judiciary and Fundamental Rights, Chapter 19: Social Policy and Employment and Chapter 26: Education and culture.</w:t>
            </w:r>
            <w:r w:rsidRPr="00D559CE">
              <w:rPr>
                <w:rFonts w:ascii="Times New Roman" w:hAnsi="Times New Roman"/>
              </w:rPr>
              <w:t xml:space="preserve"> </w:t>
            </w:r>
          </w:p>
          <w:p w14:paraId="7B9BFB73" w14:textId="4A35E063" w:rsidR="00BA668B" w:rsidRPr="00D559CE" w:rsidRDefault="00BA1B15" w:rsidP="00225ED5">
            <w:pPr>
              <w:spacing w:before="120" w:after="0" w:line="240" w:lineRule="auto"/>
              <w:jc w:val="both"/>
              <w:rPr>
                <w:rFonts w:ascii="Times New Roman" w:hAnsi="Times New Roman"/>
                <w:bCs/>
              </w:rPr>
            </w:pPr>
            <w:r w:rsidRPr="00D559CE">
              <w:rPr>
                <w:rFonts w:ascii="Times New Roman" w:hAnsi="Times New Roman"/>
              </w:rPr>
              <w:t xml:space="preserve">The Action is also in line with the conclusions and recommendations of the </w:t>
            </w:r>
            <w:r w:rsidRPr="00D559CE">
              <w:rPr>
                <w:rFonts w:ascii="Times New Roman" w:hAnsi="Times New Roman"/>
                <w:b/>
              </w:rPr>
              <w:t xml:space="preserve">Stabilisation and Association Sub-Committee Justice, Liberty and Security </w:t>
            </w:r>
            <w:r w:rsidRPr="00D559CE">
              <w:rPr>
                <w:rFonts w:ascii="Times New Roman" w:hAnsi="Times New Roman"/>
                <w:bCs/>
              </w:rPr>
              <w:t xml:space="preserve">hold in November 2021 as concern the fields of the Fundamental Rights anti-discrimination; equality between women and men and Roma people.  </w:t>
            </w:r>
          </w:p>
          <w:p w14:paraId="6C3E365C" w14:textId="354DD460" w:rsidR="00BA668B" w:rsidRPr="00D559CE" w:rsidRDefault="00CB1C94" w:rsidP="00225ED5">
            <w:pPr>
              <w:spacing w:before="120" w:after="0" w:line="240" w:lineRule="auto"/>
              <w:jc w:val="both"/>
              <w:rPr>
                <w:rFonts w:ascii="Times New Roman" w:hAnsi="Times New Roman"/>
                <w:bCs/>
              </w:rPr>
            </w:pPr>
            <w:r w:rsidRPr="00D559CE">
              <w:rPr>
                <w:rFonts w:ascii="Times New Roman" w:eastAsia="Arial Unicode MS" w:hAnsi="Times New Roman"/>
              </w:rPr>
              <w:t xml:space="preserve">In relation to </w:t>
            </w:r>
            <w:r w:rsidR="00BA1B15" w:rsidRPr="00D559CE">
              <w:rPr>
                <w:rFonts w:ascii="Times New Roman" w:eastAsia="Arial Unicode MS" w:hAnsi="Times New Roman"/>
              </w:rPr>
              <w:t xml:space="preserve">the Commission Communication </w:t>
            </w:r>
            <w:r w:rsidR="00BA1B15" w:rsidRPr="00D559CE">
              <w:rPr>
                <w:rFonts w:ascii="Times New Roman" w:eastAsia="Arial Unicode MS" w:hAnsi="Times New Roman"/>
                <w:b/>
                <w:bCs/>
              </w:rPr>
              <w:t>"A credible enlargement perspective and a stronger EU engagement with the Western Balkans"</w:t>
            </w:r>
            <w:r w:rsidR="00BA1B15" w:rsidRPr="00D559CE">
              <w:rPr>
                <w:rFonts w:ascii="Times New Roman" w:eastAsia="Arial Unicode MS" w:hAnsi="Times New Roman"/>
              </w:rPr>
              <w:t xml:space="preserve"> (COM(2018) 65), this Action supports its strategic purpose related to the rule of law, fundamental rights and the need to increase efforts to protect minorities and fight discrimination, in particular against Roma, for whom social inclusion should be promoted more strongly, and the LGBTI community. Similarly, the Communication stresses the need to ensure equality between women and men and address domestic violence.</w:t>
            </w:r>
          </w:p>
          <w:p w14:paraId="3183377B" w14:textId="77777777" w:rsidR="00881403" w:rsidRDefault="00BA1B15" w:rsidP="00225ED5">
            <w:pPr>
              <w:spacing w:before="120" w:after="0" w:line="240" w:lineRule="auto"/>
              <w:jc w:val="both"/>
              <w:rPr>
                <w:rFonts w:ascii="Times New Roman" w:hAnsi="Times New Roman"/>
              </w:rPr>
            </w:pPr>
            <w:r w:rsidRPr="00D559CE">
              <w:rPr>
                <w:rFonts w:ascii="Times New Roman" w:hAnsi="Times New Roman"/>
              </w:rPr>
              <w:t xml:space="preserve">The Action follows the </w:t>
            </w:r>
            <w:r w:rsidRPr="00D559CE">
              <w:rPr>
                <w:rFonts w:ascii="Times New Roman" w:hAnsi="Times New Roman"/>
                <w:b/>
                <w:bCs/>
              </w:rPr>
              <w:t xml:space="preserve">Economic Reform Programme (ERP) 2022-2024 </w:t>
            </w:r>
            <w:r w:rsidRPr="00D559CE">
              <w:rPr>
                <w:rFonts w:ascii="Times New Roman" w:hAnsi="Times New Roman"/>
              </w:rPr>
              <w:t xml:space="preserve">and represent a solid contribution to overcoming the country’s challenges. </w:t>
            </w:r>
          </w:p>
          <w:p w14:paraId="75A99D51" w14:textId="6AC8B98D" w:rsidR="00BA668B" w:rsidRPr="00D559CE" w:rsidRDefault="00BA1B15" w:rsidP="00225ED5">
            <w:pPr>
              <w:spacing w:before="120" w:after="0" w:line="240" w:lineRule="auto"/>
              <w:jc w:val="both"/>
              <w:rPr>
                <w:rFonts w:ascii="Times New Roman" w:hAnsi="Times New Roman"/>
              </w:rPr>
            </w:pPr>
            <w:r w:rsidRPr="00D559CE">
              <w:rPr>
                <w:rFonts w:ascii="Times New Roman" w:hAnsi="Times New Roman"/>
              </w:rPr>
              <w:t xml:space="preserve">The Programme recognises that the Government committed to take over the principles and approach stipulated in the </w:t>
            </w:r>
            <w:r w:rsidRPr="00225ED5">
              <w:rPr>
                <w:rFonts w:ascii="Times New Roman" w:hAnsi="Times New Roman"/>
                <w:b/>
              </w:rPr>
              <w:t>EU Gender Strategy 2020-2025</w:t>
            </w:r>
            <w:r w:rsidRPr="00D559CE">
              <w:rPr>
                <w:rFonts w:ascii="Times New Roman" w:hAnsi="Times New Roman"/>
              </w:rPr>
              <w:t xml:space="preserve"> and apply them to all sector reforms and support measures. As concern the education, the Programme also establishes it as one of the cornerstones in the development of human capital which must adapt to the needs of the labour market. This includes the need for reforms not only in the primary education, vocational education, and training (VET), and higher education, but also in the legal framework concerned with the school-to-work transition.</w:t>
            </w:r>
          </w:p>
          <w:p w14:paraId="6D292740" w14:textId="0867962B" w:rsidR="00BA668B" w:rsidRPr="00D559CE" w:rsidRDefault="00BA1B15" w:rsidP="00225ED5">
            <w:pPr>
              <w:spacing w:before="120" w:after="0" w:line="240" w:lineRule="auto"/>
              <w:jc w:val="both"/>
              <w:rPr>
                <w:rFonts w:ascii="Times New Roman" w:hAnsi="Times New Roman"/>
              </w:rPr>
            </w:pPr>
            <w:r w:rsidRPr="00D559CE">
              <w:rPr>
                <w:rFonts w:ascii="Times New Roman" w:hAnsi="Times New Roman"/>
              </w:rPr>
              <w:t xml:space="preserve">The proposed Action will contribute as well to achieve the objectives of the </w:t>
            </w:r>
            <w:r w:rsidRPr="00D559CE">
              <w:rPr>
                <w:rFonts w:ascii="Times New Roman" w:hAnsi="Times New Roman"/>
                <w:b/>
              </w:rPr>
              <w:t xml:space="preserve">Economic and Investment Plan (EIP) for the Western Balkans (COM (2020) 641 final). </w:t>
            </w:r>
            <w:r w:rsidRPr="00D559CE">
              <w:rPr>
                <w:rFonts w:ascii="Times New Roman" w:hAnsi="Times New Roman"/>
              </w:rPr>
              <w:t>Boosting investment and economic growth is only possible if the fundamental reforms, particularly those that strengthen or improve human and entrepreneurial capacity to innovate and develop an economic niche. As well, the EIP states that the Rule of law and respect of human rights, functioning of democratic institutions and public administration are not only at the heart of the accession process, but also the main engines for the economic recovery of the region. Respect for the Rule of law and human rights is also necessary to protect EU funds.</w:t>
            </w:r>
          </w:p>
          <w:p w14:paraId="79373795" w14:textId="42B530DB" w:rsidR="00BA668B" w:rsidRPr="00D559CE" w:rsidRDefault="00BA1B15" w:rsidP="00225ED5">
            <w:pPr>
              <w:spacing w:before="120" w:after="0" w:line="240" w:lineRule="auto"/>
              <w:jc w:val="both"/>
              <w:rPr>
                <w:rFonts w:ascii="Times New Roman" w:hAnsi="Times New Roman"/>
              </w:rPr>
            </w:pPr>
            <w:r w:rsidRPr="00D559CE">
              <w:rPr>
                <w:rFonts w:ascii="Times New Roman" w:hAnsi="Times New Roman"/>
              </w:rPr>
              <w:t xml:space="preserve">The Action is entirely in line with the </w:t>
            </w:r>
            <w:r w:rsidRPr="00D559CE">
              <w:rPr>
                <w:rFonts w:ascii="Times New Roman" w:hAnsi="Times New Roman"/>
                <w:b/>
                <w:bCs/>
              </w:rPr>
              <w:t>EU Roma strategic framework for equality, inclusion and participation 2020-2030</w:t>
            </w:r>
            <w:r w:rsidRPr="00D559CE">
              <w:rPr>
                <w:rStyle w:val="FootnoteReference"/>
                <w:rFonts w:ascii="Times New Roman" w:hAnsi="Times New Roman"/>
                <w:b/>
                <w:bCs/>
              </w:rPr>
              <w:footnoteReference w:id="5"/>
            </w:r>
            <w:r w:rsidRPr="00D559CE">
              <w:rPr>
                <w:rFonts w:ascii="Times New Roman" w:hAnsi="Times New Roman"/>
                <w:b/>
                <w:bCs/>
              </w:rPr>
              <w:t xml:space="preserve"> </w:t>
            </w:r>
            <w:r w:rsidRPr="00D559CE">
              <w:rPr>
                <w:rFonts w:ascii="Times New Roman" w:hAnsi="Times New Roman"/>
              </w:rPr>
              <w:t>and</w:t>
            </w:r>
            <w:r w:rsidRPr="00D559CE">
              <w:rPr>
                <w:rFonts w:ascii="Times New Roman" w:hAnsi="Times New Roman"/>
                <w:b/>
                <w:bCs/>
              </w:rPr>
              <w:t xml:space="preserve"> </w:t>
            </w:r>
            <w:r w:rsidRPr="00D559CE">
              <w:rPr>
                <w:rFonts w:ascii="Times New Roman" w:hAnsi="Times New Roman"/>
                <w:bCs/>
              </w:rPr>
              <w:t>addresses</w:t>
            </w:r>
            <w:r w:rsidRPr="00D559CE">
              <w:rPr>
                <w:rFonts w:ascii="Times New Roman" w:hAnsi="Times New Roman"/>
              </w:rPr>
              <w:t xml:space="preserve"> a need to </w:t>
            </w:r>
            <w:r w:rsidRPr="00D559CE">
              <w:rPr>
                <w:rFonts w:ascii="Times New Roman" w:hAnsi="Times New Roman"/>
              </w:rPr>
              <w:lastRenderedPageBreak/>
              <w:t>renew and intensify the commitment to Roma equality, inclusion and participation, both at European and national levels. A strengthened commitment is reported as necessary to improve Roma inclusion in education, employment, health, and housing, as well to tackle persistent discrimination, including anti-gypsism. At the same time, the diversity and needs of specific groups within the Roma population must be recognised.</w:t>
            </w:r>
          </w:p>
          <w:p w14:paraId="2C8D7686" w14:textId="3C2006FA" w:rsidR="00BA668B" w:rsidRPr="00D559CE" w:rsidRDefault="00BA1B15" w:rsidP="00225ED5">
            <w:pPr>
              <w:spacing w:before="120" w:after="0" w:line="240" w:lineRule="auto"/>
              <w:jc w:val="both"/>
              <w:rPr>
                <w:rFonts w:ascii="Times New Roman" w:hAnsi="Times New Roman"/>
              </w:rPr>
            </w:pPr>
            <w:r w:rsidRPr="00D559CE">
              <w:rPr>
                <w:rFonts w:ascii="Times New Roman" w:eastAsia="SimSun" w:hAnsi="Times New Roman"/>
                <w:kern w:val="1"/>
              </w:rPr>
              <w:t xml:space="preserve">The Action is also linked to </w:t>
            </w:r>
            <w:r w:rsidRPr="00D559CE">
              <w:rPr>
                <w:rFonts w:ascii="Times New Roman" w:eastAsia="SimSun" w:hAnsi="Times New Roman"/>
                <w:b/>
                <w:kern w:val="1"/>
              </w:rPr>
              <w:t>the</w:t>
            </w:r>
            <w:r w:rsidRPr="00D559CE">
              <w:rPr>
                <w:rFonts w:ascii="Times New Roman" w:hAnsi="Times New Roman"/>
                <w:b/>
                <w:bCs/>
              </w:rPr>
              <w:t xml:space="preserve"> </w:t>
            </w:r>
            <w:r w:rsidRPr="00D559CE">
              <w:rPr>
                <w:rFonts w:ascii="Times New Roman" w:hAnsi="Times New Roman"/>
                <w:b/>
                <w:kern w:val="1"/>
              </w:rPr>
              <w:t>European Convention of Human Rights</w:t>
            </w:r>
            <w:r w:rsidRPr="00D559CE">
              <w:rPr>
                <w:rStyle w:val="FootnoteReference"/>
                <w:rFonts w:ascii="Times New Roman" w:hAnsi="Times New Roman"/>
                <w:lang w:val="en-US"/>
              </w:rPr>
              <w:footnoteReference w:id="6"/>
            </w:r>
            <w:r w:rsidRPr="00D559CE">
              <w:rPr>
                <w:rFonts w:ascii="Times New Roman" w:hAnsi="Times New Roman"/>
                <w:b/>
                <w:kern w:val="1"/>
              </w:rPr>
              <w:t xml:space="preserve"> </w:t>
            </w:r>
            <w:r w:rsidRPr="00D559CE">
              <w:rPr>
                <w:rFonts w:ascii="Times New Roman" w:hAnsi="Times New Roman"/>
                <w:kern w:val="1"/>
              </w:rPr>
              <w:t>and</w:t>
            </w:r>
            <w:r w:rsidRPr="00D559CE">
              <w:rPr>
                <w:rFonts w:ascii="Times New Roman" w:hAnsi="Times New Roman"/>
                <w:b/>
                <w:kern w:val="1"/>
              </w:rPr>
              <w:t xml:space="preserve"> European Social Charter</w:t>
            </w:r>
            <w:r w:rsidRPr="00D559CE">
              <w:rPr>
                <w:rStyle w:val="FootnoteReference"/>
                <w:rFonts w:ascii="Times New Roman" w:hAnsi="Times New Roman"/>
                <w:lang w:val="en-US"/>
              </w:rPr>
              <w:footnoteReference w:id="7"/>
            </w:r>
            <w:r w:rsidRPr="00D559CE">
              <w:rPr>
                <w:rFonts w:ascii="Times New Roman" w:hAnsi="Times New Roman"/>
                <w:b/>
                <w:kern w:val="1"/>
              </w:rPr>
              <w:t xml:space="preserve"> </w:t>
            </w:r>
            <w:r w:rsidRPr="00D559CE">
              <w:rPr>
                <w:rFonts w:ascii="Times New Roman" w:hAnsi="Times New Roman"/>
                <w:kern w:val="1"/>
              </w:rPr>
              <w:t>of the Council of Europe.</w:t>
            </w:r>
          </w:p>
        </w:tc>
      </w:tr>
      <w:tr w:rsidR="00BA668B" w14:paraId="440B4120" w14:textId="77777777">
        <w:trPr>
          <w:jc w:val="center"/>
        </w:trPr>
        <w:tc>
          <w:tcPr>
            <w:tcW w:w="53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C929365" w14:textId="77777777" w:rsidR="00BA668B" w:rsidRDefault="00BA668B"/>
        </w:tc>
        <w:tc>
          <w:tcPr>
            <w:tcW w:w="2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E2D7417" w14:textId="77777777" w:rsidR="00BA668B" w:rsidRPr="001C0183" w:rsidRDefault="00BA1B15">
            <w:pPr>
              <w:spacing w:after="0" w:line="240" w:lineRule="auto"/>
              <w:rPr>
                <w:rFonts w:ascii="Times New Roman" w:hAnsi="Times New Roman"/>
                <w:b/>
                <w:bCs/>
              </w:rPr>
            </w:pPr>
            <w:r w:rsidRPr="001C0183">
              <w:rPr>
                <w:rFonts w:ascii="Times New Roman" w:hAnsi="Times New Roman"/>
                <w:b/>
                <w:bCs/>
              </w:rPr>
              <w:t>Contribution to the IPA III Programming Framework objectives</w:t>
            </w:r>
          </w:p>
        </w:tc>
        <w:tc>
          <w:tcPr>
            <w:tcW w:w="7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0CB6D80" w14:textId="77777777" w:rsidR="00BA668B" w:rsidRDefault="00BA1B15">
            <w:pPr>
              <w:spacing w:after="0" w:line="240" w:lineRule="auto"/>
              <w:jc w:val="both"/>
              <w:rPr>
                <w:rFonts w:ascii="Times New Roman" w:hAnsi="Times New Roman"/>
              </w:rPr>
            </w:pPr>
            <w:r>
              <w:rPr>
                <w:rFonts w:ascii="Times New Roman" w:hAnsi="Times New Roman"/>
              </w:rPr>
              <w:t xml:space="preserve">The Action is designed to contribute to the achievement of the objectives of the IPA III Programming Framework, thematic priority 5: </w:t>
            </w:r>
            <w:r>
              <w:rPr>
                <w:rFonts w:ascii="Times New Roman" w:hAnsi="Times New Roman"/>
                <w:b/>
              </w:rPr>
              <w:t>Fundamental rights</w:t>
            </w:r>
            <w:r>
              <w:rPr>
                <w:rFonts w:ascii="Times New Roman" w:hAnsi="Times New Roman"/>
              </w:rPr>
              <w:t xml:space="preserve"> within </w:t>
            </w:r>
            <w:r>
              <w:rPr>
                <w:rFonts w:ascii="Times New Roman" w:hAnsi="Times New Roman"/>
                <w:b/>
              </w:rPr>
              <w:t>Window 1: Rule of law, fundamental rights, and democracy</w:t>
            </w:r>
            <w:r>
              <w:rPr>
                <w:rFonts w:ascii="Times New Roman" w:hAnsi="Times New Roman"/>
              </w:rPr>
              <w:t xml:space="preserve">, related to ensuring gender equality, combating all forms of sexual and gender-based; domestic violence and discrimination. Furthermore, the Action is also in relation to efforts needed to protect minorities and other vulnerable groups, and fight discrimination, including against persons of the Roma community whose continue to face social exclusion, marginalisation, and discrimination. </w:t>
            </w:r>
          </w:p>
          <w:p w14:paraId="44483547" w14:textId="05D94A29" w:rsidR="00BA668B" w:rsidRDefault="00BA1B15">
            <w:pPr>
              <w:pStyle w:val="Default"/>
              <w:jc w:val="both"/>
              <w:rPr>
                <w:color w:val="auto"/>
                <w:sz w:val="22"/>
                <w:szCs w:val="22"/>
                <w:lang w:val="en-GB"/>
              </w:rPr>
            </w:pPr>
            <w:r>
              <w:rPr>
                <w:color w:val="auto"/>
                <w:sz w:val="22"/>
                <w:szCs w:val="22"/>
                <w:lang w:val="en-GB"/>
              </w:rPr>
              <w:t xml:space="preserve">The Action will contribute to the achievement of the objective 5.2 of the Strategic Response 2021-2027 that aims </w:t>
            </w:r>
            <w:r>
              <w:rPr>
                <w:b/>
                <w:color w:val="auto"/>
                <w:sz w:val="22"/>
                <w:szCs w:val="22"/>
                <w:lang w:val="en-GB"/>
              </w:rPr>
              <w:t>at</w:t>
            </w:r>
            <w:r>
              <w:rPr>
                <w:sz w:val="22"/>
                <w:szCs w:val="22"/>
                <w:lang w:val="en-GB"/>
              </w:rPr>
              <w:t xml:space="preserve"> </w:t>
            </w:r>
            <w:r>
              <w:rPr>
                <w:b/>
                <w:color w:val="auto"/>
                <w:sz w:val="22"/>
                <w:szCs w:val="22"/>
                <w:lang w:val="en-GB"/>
              </w:rPr>
              <w:t>fighting discrimination and ensure the protection of children and women, people with disabilities, LGBTI and minorities.</w:t>
            </w:r>
          </w:p>
          <w:p w14:paraId="65B222A9" w14:textId="7BFEADDB" w:rsidR="00BA668B" w:rsidRDefault="00BA1B15">
            <w:pPr>
              <w:spacing w:after="0" w:line="240" w:lineRule="auto"/>
              <w:contextualSpacing/>
              <w:jc w:val="both"/>
              <w:rPr>
                <w:rStyle w:val="Emphasis"/>
                <w:rFonts w:ascii="Times New Roman" w:hAnsi="Times New Roman"/>
                <w:bCs/>
                <w:i w:val="0"/>
                <w:color w:val="000000"/>
                <w:kern w:val="1"/>
                <w:lang w:val="en-US"/>
              </w:rPr>
            </w:pPr>
            <w:r>
              <w:rPr>
                <w:rStyle w:val="Emphasis"/>
                <w:rFonts w:ascii="Times New Roman" w:hAnsi="Times New Roman"/>
                <w:bCs/>
                <w:i w:val="0"/>
              </w:rPr>
              <w:t>The Action aims at:</w:t>
            </w:r>
          </w:p>
          <w:p w14:paraId="7DE89791" w14:textId="77777777" w:rsidR="00BA668B" w:rsidRDefault="00BA1B15" w:rsidP="001C0183">
            <w:pPr>
              <w:pStyle w:val="ListParagraph"/>
              <w:numPr>
                <w:ilvl w:val="0"/>
                <w:numId w:val="4"/>
              </w:numPr>
              <w:spacing w:after="0" w:line="240" w:lineRule="auto"/>
              <w:ind w:left="772" w:hanging="360"/>
              <w:jc w:val="both"/>
            </w:pPr>
            <w:r>
              <w:rPr>
                <w:rFonts w:ascii="Times New Roman" w:hAnsi="Times New Roman"/>
              </w:rPr>
              <w:t>Preventing discrimination and marginalisation of Roma people, considering the intersectional approach.</w:t>
            </w:r>
          </w:p>
          <w:p w14:paraId="5F0B7E46" w14:textId="77777777" w:rsidR="00BA668B" w:rsidRDefault="00BA1B15">
            <w:pPr>
              <w:numPr>
                <w:ilvl w:val="0"/>
                <w:numId w:val="4"/>
              </w:numPr>
              <w:spacing w:after="0" w:line="240" w:lineRule="auto"/>
              <w:ind w:left="772" w:hanging="360"/>
              <w:jc w:val="both"/>
              <w:outlineLvl w:val="1"/>
              <w:rPr>
                <w:rFonts w:ascii="Times New Roman" w:eastAsia="Arial Unicode MS" w:hAnsi="Times New Roman"/>
              </w:rPr>
            </w:pPr>
            <w:r>
              <w:rPr>
                <w:rFonts w:ascii="Times New Roman" w:hAnsi="Times New Roman"/>
              </w:rPr>
              <w:t>Preventing and combating gender-based violence, considering intersectional approach, including domestic violence, and violence against LGBTI community</w:t>
            </w:r>
            <w:r>
              <w:rPr>
                <w:rFonts w:ascii="Times New Roman" w:eastAsia="Arial Unicode MS" w:hAnsi="Times New Roman"/>
                <w:vertAlign w:val="superscript"/>
              </w:rPr>
              <w:footnoteReference w:id="8"/>
            </w:r>
            <w:r>
              <w:rPr>
                <w:rFonts w:ascii="Times New Roman" w:eastAsia="Arial Unicode MS" w:hAnsi="Times New Roman"/>
              </w:rPr>
              <w:t>.</w:t>
            </w:r>
          </w:p>
          <w:p w14:paraId="56F83326" w14:textId="77777777" w:rsidR="00BA668B" w:rsidRDefault="00BA1B15">
            <w:pPr>
              <w:numPr>
                <w:ilvl w:val="0"/>
                <w:numId w:val="4"/>
              </w:numPr>
              <w:spacing w:after="0" w:line="240" w:lineRule="auto"/>
              <w:ind w:left="772" w:hanging="360"/>
              <w:jc w:val="both"/>
              <w:outlineLvl w:val="1"/>
              <w:rPr>
                <w:rFonts w:ascii="Times New Roman" w:eastAsia="Arial Unicode MS" w:hAnsi="Times New Roman"/>
              </w:rPr>
            </w:pPr>
            <w:r>
              <w:rPr>
                <w:rFonts w:ascii="Times New Roman" w:eastAsia="Arial Unicode MS" w:hAnsi="Times New Roman"/>
              </w:rPr>
              <w:t>Promoting Gender equality and intersectional equality.</w:t>
            </w:r>
          </w:p>
          <w:p w14:paraId="0ACF0BFB" w14:textId="77777777" w:rsidR="00BA668B" w:rsidRDefault="00BA1B15" w:rsidP="001C0183">
            <w:pPr>
              <w:pStyle w:val="ListParagraph"/>
              <w:numPr>
                <w:ilvl w:val="0"/>
                <w:numId w:val="4"/>
              </w:numPr>
              <w:spacing w:after="0" w:line="240" w:lineRule="auto"/>
              <w:ind w:left="772" w:hanging="360"/>
              <w:jc w:val="both"/>
            </w:pPr>
            <w:r>
              <w:rPr>
                <w:rFonts w:ascii="Times New Roman" w:hAnsi="Times New Roman"/>
              </w:rPr>
              <w:t>Enhancing equal opportunities and independence of people with disabilities, empower them to enjoy their full rights and participate in society.</w:t>
            </w:r>
          </w:p>
        </w:tc>
      </w:tr>
      <w:tr w:rsidR="00BA668B" w14:paraId="7FC71860" w14:textId="77777777">
        <w:trPr>
          <w:jc w:val="center"/>
        </w:trPr>
        <w:tc>
          <w:tcPr>
            <w:tcW w:w="53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CE3127" w14:textId="77777777" w:rsidR="00BA668B" w:rsidRDefault="00BA668B"/>
        </w:tc>
        <w:tc>
          <w:tcPr>
            <w:tcW w:w="2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7409EC7" w14:textId="77777777" w:rsidR="00BA668B" w:rsidRPr="001C0183" w:rsidRDefault="00BA1B15">
            <w:pPr>
              <w:spacing w:after="0" w:line="240" w:lineRule="auto"/>
              <w:rPr>
                <w:rFonts w:ascii="Times New Roman" w:hAnsi="Times New Roman"/>
                <w:b/>
                <w:bCs/>
              </w:rPr>
            </w:pPr>
            <w:r w:rsidRPr="001C0183">
              <w:rPr>
                <w:rFonts w:ascii="Times New Roman" w:hAnsi="Times New Roman"/>
                <w:b/>
                <w:bCs/>
              </w:rPr>
              <w:t>Links with national, regional and global strategies</w:t>
            </w:r>
          </w:p>
        </w:tc>
        <w:tc>
          <w:tcPr>
            <w:tcW w:w="7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65D00F4" w14:textId="2C0C3947" w:rsidR="00BA668B" w:rsidRPr="004C5987" w:rsidRDefault="00BA1B15" w:rsidP="00225ED5">
            <w:pPr>
              <w:spacing w:before="120" w:after="0" w:line="240" w:lineRule="auto"/>
              <w:jc w:val="both"/>
              <w:rPr>
                <w:rFonts w:ascii="Times New Roman" w:hAnsi="Times New Roman"/>
                <w:lang w:val="en-US"/>
              </w:rPr>
            </w:pPr>
            <w:r w:rsidRPr="004C5987">
              <w:rPr>
                <w:rFonts w:ascii="Times New Roman" w:hAnsi="Times New Roman"/>
                <w:lang w:val="en-US"/>
              </w:rPr>
              <w:t xml:space="preserve">More globally, the Action is linked to </w:t>
            </w:r>
            <w:r w:rsidRPr="004C5987">
              <w:rPr>
                <w:rFonts w:ascii="Times New Roman" w:hAnsi="Times New Roman"/>
                <w:b/>
                <w:bCs/>
                <w:lang w:val="en-US"/>
              </w:rPr>
              <w:t>UN Sustainable Development Agenda 2030</w:t>
            </w:r>
            <w:r w:rsidRPr="004C5987">
              <w:rPr>
                <w:rFonts w:ascii="Times New Roman" w:hAnsi="Times New Roman"/>
                <w:lang w:val="en-US"/>
              </w:rPr>
              <w:t>, which defines 17 SDGs</w:t>
            </w:r>
            <w:r w:rsidR="00B45608" w:rsidRPr="004C5987">
              <w:rPr>
                <w:rFonts w:ascii="Times New Roman" w:hAnsi="Times New Roman"/>
                <w:lang w:val="en-US"/>
              </w:rPr>
              <w:t>. In 2018, the Government of Republic of North Macedonia through National Council for Sustainable Development, has determined 5 priority sustainable development goals (SDGs) (1, 4, 8, 13 and 16). In 2020, the Government published the first Voluntary National Review (VNR) for the progress of the country in accomplishment of SDGs of Agenda 2030. In 2020, the UN Framework for Sustainable Development Cooperation between Republic of North Macedonia and United Nation 2021 – 2025 was signed. It establishes the actions planned by UN Agencies in the country in following 5 years. This UN Framework provides clear guidelines for progress in accordance with national development documents adjusted to SDGs and the EU legislation.</w:t>
            </w:r>
          </w:p>
          <w:p w14:paraId="6BFE346E" w14:textId="2E2FDE04" w:rsidR="00E93450" w:rsidRPr="004C5987" w:rsidRDefault="00E93450" w:rsidP="00225ED5">
            <w:pPr>
              <w:spacing w:before="120" w:after="0" w:line="240" w:lineRule="auto"/>
              <w:jc w:val="both"/>
              <w:rPr>
                <w:rFonts w:ascii="Times New Roman" w:hAnsi="Times New Roman"/>
                <w:lang w:val="en-US"/>
              </w:rPr>
            </w:pPr>
            <w:r w:rsidRPr="004C5987">
              <w:rPr>
                <w:rFonts w:ascii="Times New Roman" w:hAnsi="Times New Roman"/>
                <w:lang w:val="en-US"/>
              </w:rPr>
              <w:t>The proposed Action is relevant for the following SDGs:</w:t>
            </w:r>
          </w:p>
          <w:p w14:paraId="4E06D1FD" w14:textId="385EF0CC" w:rsidR="00BA668B" w:rsidRPr="00FB328F" w:rsidRDefault="00BA1B15" w:rsidP="00225ED5">
            <w:pPr>
              <w:spacing w:before="120" w:after="0" w:line="240" w:lineRule="auto"/>
              <w:jc w:val="both"/>
              <w:rPr>
                <w:rFonts w:ascii="Times New Roman" w:hAnsi="Times New Roman"/>
              </w:rPr>
            </w:pPr>
            <w:r w:rsidRPr="00FB328F">
              <w:rPr>
                <w:rFonts w:ascii="Times New Roman" w:hAnsi="Times New Roman"/>
                <w:b/>
                <w:bCs/>
              </w:rPr>
              <w:t xml:space="preserve">SDG 5. Achieve gender equality and empower all women and girls, </w:t>
            </w:r>
            <w:r w:rsidRPr="00FB328F">
              <w:rPr>
                <w:rFonts w:ascii="Times New Roman" w:hAnsi="Times New Roman"/>
              </w:rPr>
              <w:t xml:space="preserve">and more specifically with the target 5.2. Eliminate all forms of violence against all women and girls in the public and private spheres, including trafficking and sexual; and target 5.4. Recognise and value unpaid care and domestic work through the provision of public services, infrastructure and social protection policies and the promotion of shared responsibilities within the household and the family as nationally appropriate. </w:t>
            </w:r>
          </w:p>
          <w:p w14:paraId="0952B0B7" w14:textId="77777777" w:rsidR="00E93450" w:rsidRPr="004C5987" w:rsidRDefault="00BA1B15" w:rsidP="00FB328F">
            <w:pPr>
              <w:spacing w:before="120" w:after="0" w:line="240" w:lineRule="auto"/>
              <w:jc w:val="both"/>
              <w:rPr>
                <w:rFonts w:ascii="Times New Roman" w:hAnsi="Times New Roman"/>
                <w:color w:val="000000"/>
                <w:lang w:val="en-US"/>
              </w:rPr>
            </w:pPr>
            <w:r w:rsidRPr="004C5987">
              <w:rPr>
                <w:rFonts w:ascii="Times New Roman" w:hAnsi="Times New Roman"/>
                <w:b/>
                <w:bCs/>
                <w:color w:val="000000"/>
                <w:lang w:val="en-US"/>
              </w:rPr>
              <w:lastRenderedPageBreak/>
              <w:t>SDG 4.</w:t>
            </w:r>
            <w:r w:rsidRPr="004C5987">
              <w:rPr>
                <w:rFonts w:ascii="Times New Roman" w:hAnsi="Times New Roman"/>
                <w:color w:val="000000"/>
                <w:lang w:val="en-US"/>
              </w:rPr>
              <w:t xml:space="preserve"> </w:t>
            </w:r>
            <w:r w:rsidRPr="004C5987">
              <w:rPr>
                <w:rFonts w:ascii="Times New Roman" w:hAnsi="Times New Roman"/>
                <w:b/>
                <w:bCs/>
                <w:color w:val="000000"/>
                <w:lang w:val="en-US"/>
              </w:rPr>
              <w:t>Ensure inclusive and equitable quality education and promote lifelong learning opportunities for all</w:t>
            </w:r>
            <w:r w:rsidRPr="004C5987">
              <w:rPr>
                <w:rFonts w:ascii="Times New Roman" w:hAnsi="Times New Roman"/>
                <w:color w:val="000000"/>
                <w:lang w:val="en-US"/>
              </w:rPr>
              <w:t xml:space="preserve">.  Target 4.5. Eliminate gender disparities in education and ensure equal access to all levels of education and vocational training for the vulnerable, including persons with disabilities, indigenous peoples, and children in vulnerable situations; and Target 4.6. Ensure that all youth and a substantial proportion of adults, both men and women, achieve literacy and numeracy. </w:t>
            </w:r>
          </w:p>
          <w:p w14:paraId="33685BA1" w14:textId="2729CAB8" w:rsidR="00BA668B" w:rsidRPr="00225ED5" w:rsidRDefault="00BA1B15" w:rsidP="00225ED5">
            <w:pPr>
              <w:spacing w:before="120" w:after="0" w:line="240" w:lineRule="auto"/>
              <w:jc w:val="both"/>
              <w:rPr>
                <w:rFonts w:ascii="Times New Roman" w:hAnsi="Times New Roman"/>
              </w:rPr>
            </w:pPr>
            <w:r w:rsidRPr="004C5987">
              <w:rPr>
                <w:rFonts w:ascii="Times New Roman" w:hAnsi="Times New Roman"/>
                <w:b/>
                <w:bCs/>
                <w:color w:val="000000"/>
              </w:rPr>
              <w:t>SDG 16. Promote peaceful and inclusive societies for sustainable development, provide access to justice for all and build effective, accountable,</w:t>
            </w:r>
            <w:r w:rsidRPr="004C5987">
              <w:rPr>
                <w:rFonts w:ascii="Times New Roman" w:hAnsi="Times New Roman"/>
                <w:color w:val="000000"/>
              </w:rPr>
              <w:t xml:space="preserve"> and inclusive institutions at all levels.</w:t>
            </w:r>
            <w:r w:rsidRPr="004C5987">
              <w:rPr>
                <w:rFonts w:ascii="Times New Roman" w:hAnsi="Times New Roman"/>
                <w:color w:val="000000"/>
                <w:lang w:val="en-US"/>
              </w:rPr>
              <w:t xml:space="preserve"> The main aim being to significantly reduce all forms of violence, promoting the rule of law and human rights as the key factors for this process.</w:t>
            </w:r>
          </w:p>
          <w:p w14:paraId="3D562024" w14:textId="3B7B57AC" w:rsidR="00BA668B" w:rsidRPr="004C5987" w:rsidRDefault="00BA1B15" w:rsidP="00225ED5">
            <w:pPr>
              <w:widowControl w:val="0"/>
              <w:tabs>
                <w:tab w:val="left" w:pos="170"/>
              </w:tabs>
              <w:spacing w:before="120" w:after="0" w:line="240" w:lineRule="auto"/>
              <w:jc w:val="both"/>
              <w:rPr>
                <w:rFonts w:ascii="Times New Roman" w:hAnsi="Times New Roman"/>
              </w:rPr>
            </w:pPr>
            <w:r w:rsidRPr="004C5987">
              <w:rPr>
                <w:rFonts w:ascii="Times New Roman" w:eastAsia="SimSun" w:hAnsi="Times New Roman"/>
                <w:kern w:val="1"/>
              </w:rPr>
              <w:t xml:space="preserve">Overall, the Action will contribute towards compliance with the international law, including the </w:t>
            </w:r>
            <w:r w:rsidRPr="004C5987">
              <w:rPr>
                <w:rFonts w:ascii="Times New Roman" w:eastAsia="SimSun" w:hAnsi="Times New Roman"/>
                <w:b/>
                <w:kern w:val="1"/>
              </w:rPr>
              <w:t>Universal Declaration for Human Rights</w:t>
            </w:r>
            <w:r w:rsidRPr="004C5987">
              <w:rPr>
                <w:rStyle w:val="FootnoteReference"/>
                <w:rFonts w:ascii="Times New Roman" w:eastAsia="SimSun" w:hAnsi="Times New Roman"/>
                <w:b/>
                <w:kern w:val="1"/>
              </w:rPr>
              <w:footnoteReference w:id="9"/>
            </w:r>
            <w:r w:rsidRPr="004C5987">
              <w:rPr>
                <w:rFonts w:ascii="Times New Roman" w:eastAsia="SimSun" w:hAnsi="Times New Roman"/>
                <w:b/>
                <w:kern w:val="1"/>
              </w:rPr>
              <w:t xml:space="preserve">; </w:t>
            </w:r>
            <w:r w:rsidRPr="004C5987">
              <w:rPr>
                <w:rFonts w:ascii="Times New Roman" w:hAnsi="Times New Roman"/>
                <w:b/>
                <w:kern w:val="1"/>
              </w:rPr>
              <w:t>International Covenant for Civil and Political Rights</w:t>
            </w:r>
            <w:r w:rsidRPr="004C5987">
              <w:rPr>
                <w:rStyle w:val="FootnoteReference"/>
                <w:rFonts w:ascii="Times New Roman" w:hAnsi="Times New Roman"/>
              </w:rPr>
              <w:footnoteReference w:id="10"/>
            </w:r>
            <w:r w:rsidRPr="004C5987">
              <w:rPr>
                <w:rFonts w:ascii="Times New Roman" w:eastAsia="SimSun" w:hAnsi="Times New Roman"/>
                <w:b/>
                <w:kern w:val="1"/>
              </w:rPr>
              <w:t>; International Covenant for Economic, Social and Cultural Rights</w:t>
            </w:r>
            <w:r w:rsidRPr="004C5987">
              <w:rPr>
                <w:rStyle w:val="FootnoteReference"/>
                <w:rFonts w:ascii="Times New Roman" w:eastAsia="SimSun" w:hAnsi="Times New Roman"/>
                <w:b/>
                <w:kern w:val="1"/>
              </w:rPr>
              <w:footnoteReference w:id="11"/>
            </w:r>
            <w:r w:rsidRPr="004C5987">
              <w:rPr>
                <w:rFonts w:ascii="Times New Roman" w:eastAsia="SimSun" w:hAnsi="Times New Roman"/>
                <w:b/>
                <w:kern w:val="1"/>
              </w:rPr>
              <w:t>, Convention of the Rights of a Child</w:t>
            </w:r>
            <w:r w:rsidRPr="004C5987">
              <w:rPr>
                <w:rStyle w:val="FootnoteReference"/>
                <w:rFonts w:ascii="Times New Roman" w:eastAsia="SimSun" w:hAnsi="Times New Roman"/>
                <w:b/>
                <w:kern w:val="1"/>
              </w:rPr>
              <w:footnoteReference w:id="12"/>
            </w:r>
            <w:r w:rsidRPr="004C5987">
              <w:rPr>
                <w:rFonts w:ascii="Times New Roman" w:eastAsia="SimSun" w:hAnsi="Times New Roman"/>
                <w:b/>
                <w:kern w:val="1"/>
              </w:rPr>
              <w:t xml:space="preserve"> </w:t>
            </w:r>
            <w:r w:rsidRPr="004C5987">
              <w:rPr>
                <w:rFonts w:ascii="Times New Roman" w:eastAsia="SimSun" w:hAnsi="Times New Roman"/>
                <w:kern w:val="1"/>
              </w:rPr>
              <w:t>and</w:t>
            </w:r>
            <w:r w:rsidRPr="004C5987">
              <w:rPr>
                <w:rFonts w:ascii="Times New Roman" w:eastAsia="SimSun" w:hAnsi="Times New Roman"/>
                <w:b/>
                <w:kern w:val="1"/>
              </w:rPr>
              <w:t xml:space="preserve"> Convention of the Rights of Persons with Disabilities</w:t>
            </w:r>
            <w:r w:rsidRPr="004C5987">
              <w:rPr>
                <w:rStyle w:val="FootnoteReference"/>
                <w:rFonts w:ascii="Times New Roman" w:eastAsia="SimSun" w:hAnsi="Times New Roman"/>
                <w:b/>
                <w:kern w:val="1"/>
              </w:rPr>
              <w:footnoteReference w:id="13"/>
            </w:r>
            <w:r w:rsidRPr="004C5987">
              <w:rPr>
                <w:rFonts w:ascii="Times New Roman" w:eastAsia="SimSun" w:hAnsi="Times New Roman"/>
                <w:b/>
                <w:kern w:val="1"/>
              </w:rPr>
              <w:t xml:space="preserve">, </w:t>
            </w:r>
            <w:r w:rsidRPr="004C5987">
              <w:rPr>
                <w:rFonts w:ascii="Times New Roman" w:eastAsia="SimSun" w:hAnsi="Times New Roman"/>
                <w:kern w:val="1"/>
              </w:rPr>
              <w:t>as well</w:t>
            </w:r>
            <w:r w:rsidRPr="004C5987">
              <w:rPr>
                <w:rFonts w:ascii="Times New Roman" w:eastAsia="SimSun" w:hAnsi="Times New Roman"/>
                <w:b/>
                <w:kern w:val="1"/>
              </w:rPr>
              <w:t xml:space="preserve"> ILO Decent Work Agenda</w:t>
            </w:r>
            <w:r w:rsidRPr="004C5987">
              <w:rPr>
                <w:rStyle w:val="FootnoteReference"/>
                <w:rFonts w:ascii="Times New Roman" w:eastAsia="SimSun" w:hAnsi="Times New Roman"/>
                <w:b/>
                <w:kern w:val="1"/>
              </w:rPr>
              <w:footnoteReference w:id="14"/>
            </w:r>
            <w:r w:rsidRPr="004C5987">
              <w:rPr>
                <w:rFonts w:ascii="Times New Roman" w:eastAsia="SimSun" w:hAnsi="Times New Roman"/>
                <w:b/>
                <w:kern w:val="1"/>
              </w:rPr>
              <w:t>.</w:t>
            </w:r>
            <w:r w:rsidRPr="004C5987">
              <w:rPr>
                <w:rFonts w:ascii="Times New Roman" w:hAnsi="Times New Roman"/>
              </w:rPr>
              <w:t xml:space="preserve"> </w:t>
            </w:r>
          </w:p>
          <w:p w14:paraId="5FA140E4" w14:textId="5FA61450" w:rsidR="00BA668B" w:rsidRPr="004C5987" w:rsidRDefault="00BA1B15" w:rsidP="00225ED5">
            <w:pPr>
              <w:widowControl w:val="0"/>
              <w:tabs>
                <w:tab w:val="left" w:pos="170"/>
              </w:tabs>
              <w:spacing w:before="120" w:after="0" w:line="240" w:lineRule="auto"/>
              <w:jc w:val="both"/>
              <w:rPr>
                <w:rFonts w:ascii="Times New Roman" w:hAnsi="Times New Roman"/>
              </w:rPr>
            </w:pPr>
            <w:r w:rsidRPr="004C5987">
              <w:rPr>
                <w:rFonts w:ascii="Times New Roman" w:hAnsi="Times New Roman"/>
                <w:iCs/>
                <w:color w:val="000000"/>
              </w:rPr>
              <w:t xml:space="preserve">The </w:t>
            </w:r>
            <w:r w:rsidRPr="004C5987">
              <w:rPr>
                <w:rFonts w:ascii="Times New Roman" w:hAnsi="Times New Roman"/>
                <w:b/>
                <w:iCs/>
                <w:color w:val="000000"/>
              </w:rPr>
              <w:t xml:space="preserve">South East Europe (SEE) 2030 Strategy </w:t>
            </w:r>
            <w:r w:rsidRPr="004C5987">
              <w:rPr>
                <w:rFonts w:ascii="Times New Roman" w:hAnsi="Times New Roman"/>
                <w:iCs/>
                <w:color w:val="000000"/>
              </w:rPr>
              <w:t>whose objective is to reach regionally sustainable economic growth shared by all. The Strategy aims to reduce poverty and inequality, empower women, improve social inclusion, decelerate depopulation of the region through enhancing the quality of life for its citizens and speed up the green agenda and digital transition, without widening socio-economic inequalities and disrupting competitiveness and private sector development, through a genuinely regionally owned political process. The SEE establishes, among others, priority 6: Better utilisation of human capital potential of the SEE Region; priority 8: Facilitating access to education and supporting improvement of its quality; and priority 10: Improving equal access to and quality of justice and public services in SEE.</w:t>
            </w:r>
          </w:p>
          <w:p w14:paraId="592C7497" w14:textId="01663CFF" w:rsidR="00BA668B" w:rsidRPr="004C5987" w:rsidRDefault="00BA1B15" w:rsidP="00225ED5">
            <w:pPr>
              <w:widowControl w:val="0"/>
              <w:tabs>
                <w:tab w:val="left" w:pos="170"/>
              </w:tabs>
              <w:spacing w:before="120" w:after="0" w:line="240" w:lineRule="auto"/>
              <w:jc w:val="both"/>
              <w:rPr>
                <w:rFonts w:ascii="Times New Roman" w:hAnsi="Times New Roman"/>
              </w:rPr>
            </w:pPr>
            <w:r w:rsidRPr="004C5987">
              <w:rPr>
                <w:rFonts w:ascii="Times New Roman" w:hAnsi="Times New Roman"/>
              </w:rPr>
              <w:t>At national level, the Action is in line with the following strategies:</w:t>
            </w:r>
          </w:p>
          <w:p w14:paraId="20B9D5E9" w14:textId="1A6FCB9F" w:rsidR="00BA668B" w:rsidRPr="006B77EB" w:rsidRDefault="00BA1B15" w:rsidP="006B77EB">
            <w:pPr>
              <w:pStyle w:val="ListParagraph"/>
              <w:numPr>
                <w:ilvl w:val="0"/>
                <w:numId w:val="36"/>
              </w:numPr>
              <w:tabs>
                <w:tab w:val="left" w:pos="170"/>
              </w:tabs>
              <w:spacing w:before="120" w:after="0" w:line="240" w:lineRule="auto"/>
              <w:ind w:left="714" w:hanging="357"/>
              <w:contextualSpacing w:val="0"/>
              <w:jc w:val="both"/>
              <w:rPr>
                <w:rFonts w:ascii="Times New Roman" w:hAnsi="Times New Roman"/>
                <w:b/>
                <w:bCs/>
                <w:kern w:val="1"/>
              </w:rPr>
            </w:pPr>
            <w:r w:rsidRPr="006B77EB">
              <w:rPr>
                <w:rFonts w:ascii="Times New Roman" w:hAnsi="Times New Roman"/>
                <w:b/>
                <w:bCs/>
                <w:kern w:val="1"/>
              </w:rPr>
              <w:t xml:space="preserve">National Strategy for Gender Equality 2021-2026 and Action Plan for 2022-2024 and Operational Plan for 2022 </w:t>
            </w:r>
            <w:r w:rsidRPr="006B77EB">
              <w:rPr>
                <w:rFonts w:ascii="Times New Roman" w:hAnsi="Times New Roman"/>
                <w:kern w:val="1"/>
              </w:rPr>
              <w:t xml:space="preserve">envisions measures </w:t>
            </w:r>
            <w:r w:rsidR="00FB328F" w:rsidRPr="006B77EB">
              <w:rPr>
                <w:rFonts w:ascii="Times New Roman" w:hAnsi="Times New Roman"/>
                <w:kern w:val="1"/>
              </w:rPr>
              <w:t>regarding</w:t>
            </w:r>
            <w:r w:rsidRPr="006B77EB">
              <w:rPr>
                <w:rFonts w:ascii="Times New Roman" w:hAnsi="Times New Roman"/>
                <w:kern w:val="1"/>
              </w:rPr>
              <w:t xml:space="preserve"> advancement of gender equality in the society in which women and men, </w:t>
            </w:r>
            <w:r w:rsidR="00FB328F" w:rsidRPr="006B77EB">
              <w:rPr>
                <w:rFonts w:ascii="Times New Roman" w:hAnsi="Times New Roman"/>
                <w:kern w:val="1"/>
              </w:rPr>
              <w:t>girls,</w:t>
            </w:r>
            <w:r w:rsidRPr="006B77EB">
              <w:rPr>
                <w:rFonts w:ascii="Times New Roman" w:hAnsi="Times New Roman"/>
                <w:kern w:val="1"/>
              </w:rPr>
              <w:t xml:space="preserve"> and boys, have equal rights, </w:t>
            </w:r>
            <w:r w:rsidR="002D26E3" w:rsidRPr="006B77EB">
              <w:rPr>
                <w:rFonts w:ascii="Times New Roman" w:hAnsi="Times New Roman"/>
                <w:kern w:val="1"/>
              </w:rPr>
              <w:t>access</w:t>
            </w:r>
            <w:r w:rsidRPr="006B77EB">
              <w:rPr>
                <w:rFonts w:ascii="Times New Roman" w:hAnsi="Times New Roman"/>
                <w:kern w:val="1"/>
              </w:rPr>
              <w:t xml:space="preserve"> to </w:t>
            </w:r>
            <w:r w:rsidR="002D26E3" w:rsidRPr="006B77EB">
              <w:rPr>
                <w:rFonts w:ascii="Times New Roman" w:hAnsi="Times New Roman"/>
                <w:kern w:val="1"/>
              </w:rPr>
              <w:t>resources</w:t>
            </w:r>
            <w:r w:rsidRPr="006B77EB">
              <w:rPr>
                <w:rFonts w:ascii="Times New Roman" w:hAnsi="Times New Roman"/>
                <w:kern w:val="1"/>
              </w:rPr>
              <w:t xml:space="preserve">, </w:t>
            </w:r>
            <w:r w:rsidR="00FB328F" w:rsidRPr="006B77EB">
              <w:rPr>
                <w:rFonts w:ascii="Times New Roman" w:hAnsi="Times New Roman"/>
                <w:kern w:val="1"/>
              </w:rPr>
              <w:t>opportunities,</w:t>
            </w:r>
            <w:r w:rsidRPr="006B77EB">
              <w:rPr>
                <w:rFonts w:ascii="Times New Roman" w:hAnsi="Times New Roman"/>
                <w:kern w:val="1"/>
              </w:rPr>
              <w:t xml:space="preserve"> and protection in all spheres of life. One of its specific </w:t>
            </w:r>
            <w:r w:rsidR="002D26E3" w:rsidRPr="006B77EB">
              <w:rPr>
                <w:rFonts w:ascii="Times New Roman" w:hAnsi="Times New Roman"/>
                <w:kern w:val="1"/>
              </w:rPr>
              <w:t>objectives</w:t>
            </w:r>
            <w:r w:rsidRPr="006B77EB">
              <w:rPr>
                <w:rFonts w:ascii="Times New Roman" w:hAnsi="Times New Roman"/>
                <w:kern w:val="1"/>
              </w:rPr>
              <w:t xml:space="preserve"> defines measures in regard to combating and fight against gender-based violence.</w:t>
            </w:r>
          </w:p>
          <w:p w14:paraId="4DE36003" w14:textId="26E73759" w:rsidR="00067CC7" w:rsidRPr="006B77EB" w:rsidRDefault="00067CC7" w:rsidP="006B77EB">
            <w:pPr>
              <w:pStyle w:val="ListParagraph"/>
              <w:numPr>
                <w:ilvl w:val="0"/>
                <w:numId w:val="36"/>
              </w:numPr>
              <w:tabs>
                <w:tab w:val="left" w:pos="170"/>
              </w:tabs>
              <w:spacing w:before="120" w:after="0" w:line="240" w:lineRule="auto"/>
              <w:ind w:left="714" w:hanging="357"/>
              <w:contextualSpacing w:val="0"/>
              <w:jc w:val="both"/>
              <w:rPr>
                <w:rFonts w:ascii="Times New Roman" w:hAnsi="Times New Roman"/>
                <w:b/>
                <w:bCs/>
                <w:kern w:val="1"/>
              </w:rPr>
            </w:pPr>
            <w:r w:rsidRPr="0032050C">
              <w:rPr>
                <w:rFonts w:ascii="Times New Roman" w:hAnsi="Times New Roman"/>
              </w:rPr>
              <w:t xml:space="preserve">The </w:t>
            </w:r>
            <w:r w:rsidRPr="0032050C">
              <w:rPr>
                <w:rFonts w:ascii="Times New Roman" w:hAnsi="Times New Roman"/>
                <w:b/>
                <w:bCs/>
              </w:rPr>
              <w:t>Strategy for Gender Equality 2022-2027</w:t>
            </w:r>
            <w:r w:rsidRPr="0032050C">
              <w:rPr>
                <w:rFonts w:ascii="Times New Roman" w:hAnsi="Times New Roman"/>
              </w:rPr>
              <w:t xml:space="preserve"> (under parliamentarian approval). </w:t>
            </w:r>
            <w:r w:rsidRPr="0032050C">
              <w:rPr>
                <w:rFonts w:ascii="Times New Roman" w:hAnsi="Times New Roman"/>
                <w:lang w:val="en-US"/>
              </w:rPr>
              <w:t>The vision of the Strategy for Gender Equality</w:t>
            </w:r>
            <w:r w:rsidRPr="0032050C">
              <w:rPr>
                <w:rFonts w:ascii="Times New Roman" w:hAnsi="Times New Roman"/>
              </w:rPr>
              <w:t xml:space="preserve"> 2022– 2027 aims at accomplishing gender equality in society in which women and men, girls and boys have equal rights, access to resources, opportunities and protection in all spheres of life, as a condition for complete and sustainable economic, demographic and social development and progress of the country, i.e. a society in which women and men will have same privileges and responsibilities accomplished in real joint partnership.</w:t>
            </w:r>
            <w:r w:rsidRPr="0032050C">
              <w:rPr>
                <w:rFonts w:ascii="Times New Roman" w:hAnsi="Times New Roman"/>
                <w:lang w:val="mk-MK"/>
              </w:rPr>
              <w:t xml:space="preserve">  </w:t>
            </w:r>
            <w:bookmarkStart w:id="1" w:name="_GoBack"/>
            <w:bookmarkEnd w:id="1"/>
          </w:p>
          <w:p w14:paraId="14500F62" w14:textId="4729645C" w:rsidR="00BA668B" w:rsidRPr="006B77EB" w:rsidRDefault="00BA1B15" w:rsidP="006B77EB">
            <w:pPr>
              <w:pStyle w:val="ListParagraph"/>
              <w:numPr>
                <w:ilvl w:val="0"/>
                <w:numId w:val="37"/>
              </w:numPr>
              <w:tabs>
                <w:tab w:val="left" w:pos="170"/>
              </w:tabs>
              <w:spacing w:before="120" w:after="0" w:line="240" w:lineRule="auto"/>
              <w:ind w:left="714" w:hanging="357"/>
              <w:contextualSpacing w:val="0"/>
              <w:jc w:val="both"/>
              <w:rPr>
                <w:rFonts w:ascii="Times New Roman" w:hAnsi="Times New Roman"/>
                <w:b/>
                <w:bCs/>
                <w:kern w:val="1"/>
              </w:rPr>
            </w:pPr>
            <w:r w:rsidRPr="006B77EB">
              <w:rPr>
                <w:rFonts w:ascii="Times New Roman" w:hAnsi="Times New Roman"/>
                <w:b/>
                <w:bCs/>
                <w:color w:val="000000"/>
                <w:kern w:val="1"/>
              </w:rPr>
              <w:t>National Strategy for Equality and Non-Discrimination 2022-2026 and Operational Plan 2022-2024</w:t>
            </w:r>
            <w:r w:rsidRPr="006B77EB">
              <w:rPr>
                <w:rFonts w:ascii="Times New Roman" w:hAnsi="Times New Roman"/>
              </w:rPr>
              <w:t xml:space="preserve"> defines measures </w:t>
            </w:r>
            <w:r w:rsidR="00FB328F" w:rsidRPr="006B77EB">
              <w:rPr>
                <w:rFonts w:ascii="Times New Roman" w:hAnsi="Times New Roman"/>
              </w:rPr>
              <w:t>regarding</w:t>
            </w:r>
            <w:r w:rsidRPr="006B77EB">
              <w:rPr>
                <w:rFonts w:ascii="Times New Roman" w:hAnsi="Times New Roman"/>
              </w:rPr>
              <w:t xml:space="preserve"> </w:t>
            </w:r>
            <w:r w:rsidRPr="006B77EB">
              <w:rPr>
                <w:rFonts w:ascii="Times New Roman" w:hAnsi="Times New Roman"/>
              </w:rPr>
              <w:lastRenderedPageBreak/>
              <w:t>prevention from hate speech and violence, as all forms of discrimination</w:t>
            </w:r>
            <w:r w:rsidRPr="006B77EB">
              <w:rPr>
                <w:rFonts w:ascii="Times New Roman" w:hAnsi="Times New Roman"/>
                <w:b/>
                <w:bCs/>
                <w:kern w:val="1"/>
              </w:rPr>
              <w:t>.</w:t>
            </w:r>
          </w:p>
          <w:p w14:paraId="414A6B35" w14:textId="12CFBAC9" w:rsidR="00BA668B" w:rsidRPr="0030336A" w:rsidRDefault="00BA1B15" w:rsidP="006B77EB">
            <w:pPr>
              <w:pStyle w:val="ListParagraph"/>
              <w:numPr>
                <w:ilvl w:val="0"/>
                <w:numId w:val="37"/>
              </w:numPr>
              <w:tabs>
                <w:tab w:val="left" w:pos="170"/>
              </w:tabs>
              <w:spacing w:before="120" w:after="0" w:line="240" w:lineRule="auto"/>
              <w:jc w:val="both"/>
              <w:rPr>
                <w:rStyle w:val="y2iqfc"/>
                <w:rFonts w:ascii="Times New Roman" w:hAnsi="Times New Roman"/>
                <w:kern w:val="1"/>
              </w:rPr>
            </w:pPr>
            <w:r w:rsidRPr="006B77EB">
              <w:rPr>
                <w:rFonts w:ascii="Times New Roman" w:eastAsia="StobiSerifRegular" w:hAnsi="Times New Roman"/>
                <w:b/>
                <w:lang w:val="en-US"/>
              </w:rPr>
              <w:t>National Strategy for Roma Inclusion 2022-2030</w:t>
            </w:r>
            <w:r w:rsidRPr="00225ED5">
              <w:rPr>
                <w:rStyle w:val="FootnoteReference"/>
                <w:rFonts w:ascii="Times New Roman" w:eastAsia="Calibri" w:hAnsi="Times New Roman"/>
                <w:lang w:val="fr-BE"/>
              </w:rPr>
              <w:footnoteReference w:id="15"/>
            </w:r>
          </w:p>
          <w:p w14:paraId="5EFF9F14" w14:textId="77777777" w:rsidR="00BA668B" w:rsidRPr="004C5987" w:rsidRDefault="00BA1B15" w:rsidP="006B77EB">
            <w:pPr>
              <w:numPr>
                <w:ilvl w:val="0"/>
                <w:numId w:val="1"/>
              </w:numPr>
              <w:tabs>
                <w:tab w:val="left" w:pos="170"/>
              </w:tabs>
              <w:spacing w:before="120" w:after="0" w:line="240" w:lineRule="auto"/>
              <w:ind w:left="1082" w:hanging="360"/>
              <w:jc w:val="both"/>
              <w:rPr>
                <w:rStyle w:val="y2iqfc"/>
                <w:rFonts w:ascii="Times New Roman" w:hAnsi="Times New Roman"/>
                <w:kern w:val="1"/>
              </w:rPr>
            </w:pPr>
            <w:r w:rsidRPr="004C5987">
              <w:rPr>
                <w:rStyle w:val="y2iqfc"/>
                <w:rFonts w:ascii="Times New Roman" w:hAnsi="Times New Roman"/>
                <w:color w:val="202124"/>
              </w:rPr>
              <w:t xml:space="preserve">increasing the employment rate of Roma by widening the scope of active employment measures and services, creating an enabling </w:t>
            </w:r>
            <w:r w:rsidRPr="00225ED5">
              <w:rPr>
                <w:rStyle w:val="y2iqfc"/>
                <w:rFonts w:ascii="Times New Roman" w:hAnsi="Times New Roman"/>
              </w:rPr>
              <w:t xml:space="preserve">environment for formalization and stimulation of entrepreneurship in the Roma community and reducing the rate of young Roma in NEET. </w:t>
            </w:r>
          </w:p>
          <w:p w14:paraId="33B2E5A0" w14:textId="330B44FE" w:rsidR="004C5987" w:rsidRPr="00225ED5" w:rsidRDefault="00BA1B15" w:rsidP="006B77EB">
            <w:pPr>
              <w:numPr>
                <w:ilvl w:val="0"/>
                <w:numId w:val="1"/>
              </w:numPr>
              <w:tabs>
                <w:tab w:val="left" w:pos="170"/>
              </w:tabs>
              <w:spacing w:before="120" w:after="0" w:line="240" w:lineRule="auto"/>
              <w:ind w:left="1082" w:hanging="360"/>
              <w:jc w:val="both"/>
              <w:rPr>
                <w:rStyle w:val="y2iqfc"/>
                <w:rFonts w:ascii="Times New Roman" w:hAnsi="Times New Roman"/>
                <w:kern w:val="1"/>
              </w:rPr>
            </w:pPr>
            <w:r w:rsidRPr="00225ED5">
              <w:rPr>
                <w:rStyle w:val="y2iqfc"/>
                <w:rFonts w:ascii="Times New Roman" w:hAnsi="Times New Roman"/>
              </w:rPr>
              <w:t xml:space="preserve">providing permanent, dignified, and non-segregated housing for Roma; and </w:t>
            </w:r>
          </w:p>
          <w:p w14:paraId="5B044043" w14:textId="463D6685" w:rsidR="00BA668B" w:rsidRPr="004C5987" w:rsidRDefault="00BA1B15" w:rsidP="006B77EB">
            <w:pPr>
              <w:numPr>
                <w:ilvl w:val="0"/>
                <w:numId w:val="1"/>
              </w:numPr>
              <w:tabs>
                <w:tab w:val="left" w:pos="170"/>
              </w:tabs>
              <w:spacing w:before="120" w:after="0" w:line="240" w:lineRule="auto"/>
              <w:ind w:left="1082" w:hanging="360"/>
              <w:jc w:val="both"/>
              <w:rPr>
                <w:rFonts w:ascii="Times New Roman" w:hAnsi="Times New Roman"/>
                <w:kern w:val="1"/>
              </w:rPr>
            </w:pPr>
            <w:r w:rsidRPr="00225ED5">
              <w:rPr>
                <w:rStyle w:val="y2iqfc"/>
                <w:rFonts w:ascii="Times New Roman" w:hAnsi="Times New Roman"/>
              </w:rPr>
              <w:t>increasing the coverage of Roma children and improving their success in all spheres of education.</w:t>
            </w:r>
          </w:p>
          <w:p w14:paraId="79B2FD9C" w14:textId="199F24E3" w:rsidR="0030336A" w:rsidRPr="004C5987" w:rsidRDefault="00BA1B15" w:rsidP="00225ED5">
            <w:pPr>
              <w:pStyle w:val="ListParagraph"/>
              <w:widowControl w:val="0"/>
              <w:numPr>
                <w:ilvl w:val="0"/>
                <w:numId w:val="6"/>
              </w:numPr>
              <w:tabs>
                <w:tab w:val="left" w:pos="170"/>
              </w:tabs>
              <w:spacing w:before="120" w:after="0" w:line="240" w:lineRule="auto"/>
              <w:ind w:left="720" w:hanging="360"/>
              <w:contextualSpacing w:val="0"/>
              <w:jc w:val="both"/>
              <w:rPr>
                <w:rFonts w:ascii="Times New Roman" w:hAnsi="Times New Roman"/>
                <w:b/>
                <w:bCs/>
                <w:iCs/>
              </w:rPr>
            </w:pPr>
            <w:r w:rsidRPr="004C5987">
              <w:rPr>
                <w:rFonts w:ascii="Times New Roman" w:hAnsi="Times New Roman"/>
                <w:b/>
                <w:bCs/>
                <w:iCs/>
              </w:rPr>
              <w:t>National Action Plan for protection, promotion, and fulfilment of the human rights of Roma women and girls 2022-2024</w:t>
            </w:r>
            <w:r w:rsidRPr="00225ED5">
              <w:rPr>
                <w:rStyle w:val="FootnoteReference"/>
                <w:rFonts w:ascii="Times New Roman" w:hAnsi="Times New Roman"/>
                <w:b/>
              </w:rPr>
              <w:footnoteReference w:id="16"/>
            </w:r>
            <w:r w:rsidRPr="004C5987">
              <w:rPr>
                <w:rFonts w:ascii="Times New Roman" w:hAnsi="Times New Roman"/>
                <w:b/>
                <w:bCs/>
                <w:iCs/>
              </w:rPr>
              <w:t xml:space="preserve"> </w:t>
            </w:r>
            <w:r w:rsidRPr="004C5987">
              <w:rPr>
                <w:rFonts w:ascii="Times New Roman" w:hAnsi="Times New Roman"/>
                <w:iCs/>
              </w:rPr>
              <w:t>foresees activities in regard to improved effective support of Roma women and girls of all forms of gender-based and domestic violence</w:t>
            </w:r>
            <w:r w:rsidRPr="004C5987">
              <w:rPr>
                <w:rFonts w:ascii="Times New Roman" w:hAnsi="Times New Roman"/>
                <w:b/>
                <w:bCs/>
                <w:iCs/>
              </w:rPr>
              <w:t>.</w:t>
            </w:r>
          </w:p>
          <w:p w14:paraId="3FC78DC4" w14:textId="0956E545" w:rsidR="0030336A" w:rsidRPr="006B77EB" w:rsidRDefault="00BA1B15" w:rsidP="006B77EB">
            <w:pPr>
              <w:pStyle w:val="ListParagraph"/>
              <w:widowControl w:val="0"/>
              <w:numPr>
                <w:ilvl w:val="0"/>
                <w:numId w:val="6"/>
              </w:numPr>
              <w:tabs>
                <w:tab w:val="left" w:pos="170"/>
              </w:tabs>
              <w:spacing w:before="120" w:after="0" w:line="240" w:lineRule="auto"/>
              <w:ind w:left="720" w:hanging="360"/>
              <w:contextualSpacing w:val="0"/>
              <w:jc w:val="both"/>
              <w:rPr>
                <w:rFonts w:ascii="Times New Roman" w:hAnsi="Times New Roman"/>
                <w:iCs/>
                <w:color w:val="000000"/>
              </w:rPr>
            </w:pPr>
            <w:r w:rsidRPr="006B77EB">
              <w:rPr>
                <w:rFonts w:ascii="Times New Roman" w:hAnsi="Times New Roman"/>
                <w:iCs/>
                <w:color w:val="000000"/>
              </w:rPr>
              <w:t xml:space="preserve">The </w:t>
            </w:r>
            <w:r w:rsidRPr="006B77EB">
              <w:rPr>
                <w:rFonts w:ascii="Times New Roman" w:hAnsi="Times New Roman"/>
                <w:b/>
                <w:iCs/>
                <w:color w:val="000000"/>
              </w:rPr>
              <w:t xml:space="preserve">Education Strategy 2018-2025 and Action Plan of the Republic of North Macedonia </w:t>
            </w:r>
            <w:r w:rsidRPr="006B77EB">
              <w:rPr>
                <w:rFonts w:ascii="Times New Roman" w:hAnsi="Times New Roman"/>
                <w:iCs/>
                <w:color w:val="000000"/>
              </w:rPr>
              <w:t>defines a vision comprehensive, inclusive, and integrated education focused on the learner, based on modern programmes for equipping future generations with knowledge, skills, and competencies in accordance with the needs of the democratic, multicultural society, labour market and the new challenges in the global scientific-technological environment. The Strategy covers six main pillars of education system: -Pre-school Education; -Primary Education; -Secondary Education; -Vocational Education and Training; -Higher Education and Research; and –Adult Learning and Education. These are followed by a seventh pillar, covering general issues in the education system.</w:t>
            </w:r>
          </w:p>
          <w:p w14:paraId="7159094F" w14:textId="4A24C6A8" w:rsidR="00B45608" w:rsidRPr="006B77EB" w:rsidRDefault="00B45608" w:rsidP="006B77EB">
            <w:pPr>
              <w:pStyle w:val="ListParagraph"/>
              <w:widowControl w:val="0"/>
              <w:tabs>
                <w:tab w:val="left" w:pos="170"/>
              </w:tabs>
              <w:spacing w:before="120" w:after="0" w:line="240" w:lineRule="auto"/>
              <w:contextualSpacing w:val="0"/>
              <w:jc w:val="both"/>
              <w:rPr>
                <w:rFonts w:ascii="Times New Roman" w:hAnsi="Times New Roman"/>
              </w:rPr>
            </w:pPr>
          </w:p>
        </w:tc>
      </w:tr>
      <w:tr w:rsidR="00BA668B" w14:paraId="5A3F5845" w14:textId="77777777">
        <w:trPr>
          <w:jc w:val="center"/>
        </w:trPr>
        <w:tc>
          <w:tcPr>
            <w:tcW w:w="53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3FF24AC" w14:textId="77777777" w:rsidR="00BA668B" w:rsidRDefault="00BA668B"/>
        </w:tc>
        <w:tc>
          <w:tcPr>
            <w:tcW w:w="2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E2E8F76" w14:textId="77777777" w:rsidR="00BA668B" w:rsidRPr="001C0183" w:rsidRDefault="00BA1B15">
            <w:pPr>
              <w:spacing w:line="240" w:lineRule="auto"/>
              <w:rPr>
                <w:rFonts w:ascii="Times New Roman" w:hAnsi="Times New Roman"/>
                <w:b/>
                <w:bCs/>
              </w:rPr>
            </w:pPr>
            <w:r w:rsidRPr="001C0183">
              <w:rPr>
                <w:rFonts w:ascii="Times New Roman" w:hAnsi="Times New Roman"/>
                <w:b/>
                <w:bCs/>
              </w:rPr>
              <w:t>Coherence with the Sector Approach</w:t>
            </w:r>
          </w:p>
        </w:tc>
        <w:tc>
          <w:tcPr>
            <w:tcW w:w="7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426574" w14:textId="77777777" w:rsidR="00BA668B" w:rsidRDefault="00BA1B15" w:rsidP="00225ED5">
            <w:pPr>
              <w:spacing w:before="120" w:after="0" w:line="240" w:lineRule="auto"/>
              <w:jc w:val="both"/>
              <w:rPr>
                <w:rFonts w:ascii="Times New Roman" w:hAnsi="Times New Roman"/>
              </w:rPr>
            </w:pPr>
            <w:r>
              <w:rPr>
                <w:rFonts w:ascii="Times New Roman" w:hAnsi="Times New Roman"/>
              </w:rPr>
              <w:t xml:space="preserve">The Action is envisioned under the sector for Justice and Fundamental Rights., However, it is in “codeshare” with the sector for Education, Employment and Social Policy. </w:t>
            </w:r>
          </w:p>
          <w:p w14:paraId="37B67576" w14:textId="4D9CDF8E" w:rsidR="00BA668B" w:rsidRDefault="00BA1B15" w:rsidP="00225ED5">
            <w:pPr>
              <w:spacing w:before="120" w:after="0" w:line="240" w:lineRule="auto"/>
              <w:jc w:val="both"/>
              <w:rPr>
                <w:rFonts w:ascii="Times New Roman" w:hAnsi="Times New Roman"/>
              </w:rPr>
            </w:pPr>
            <w:r>
              <w:rPr>
                <w:rFonts w:ascii="Times New Roman" w:hAnsi="Times New Roman"/>
              </w:rPr>
              <w:t xml:space="preserve">The sector </w:t>
            </w:r>
            <w:r>
              <w:rPr>
                <w:rFonts w:ascii="Times New Roman" w:hAnsi="Times New Roman"/>
                <w:b/>
                <w:bCs/>
              </w:rPr>
              <w:t>strategic framework</w:t>
            </w:r>
            <w:r>
              <w:rPr>
                <w:rFonts w:ascii="Times New Roman" w:hAnsi="Times New Roman"/>
              </w:rPr>
              <w:t xml:space="preserve"> is well established, and the Action correlates with the country's strategic objectives on fundamental rights related to Social Policy and Education.  The Ministry of Labour and Social Policy (MLSP) and the Ministry of Education and Science (MES) are the lead institutions respectively responsible for creating and </w:t>
            </w:r>
            <w:r w:rsidR="00C27F29">
              <w:rPr>
                <w:rFonts w:ascii="Times New Roman" w:hAnsi="Times New Roman"/>
              </w:rPr>
              <w:t>implementing</w:t>
            </w:r>
            <w:r>
              <w:rPr>
                <w:rFonts w:ascii="Times New Roman" w:hAnsi="Times New Roman"/>
              </w:rPr>
              <w:t xml:space="preserve"> the employment, social and equal opportunity policies and the creation and implementation Education policy. Within this Action, the aspects of these policies dealing with the fundamental rights will be addressed. These institutions are responsible for approximation and implementation of </w:t>
            </w:r>
            <w:r>
              <w:rPr>
                <w:rFonts w:ascii="Times New Roman" w:hAnsi="Times New Roman"/>
                <w:i/>
                <w:iCs/>
              </w:rPr>
              <w:t>acquis</w:t>
            </w:r>
            <w:r>
              <w:rPr>
                <w:rFonts w:ascii="Times New Roman" w:hAnsi="Times New Roman"/>
              </w:rPr>
              <w:t xml:space="preserve"> across the sectors and for overall coordination of development assistance to the sectors. While their institutional capacity has been improving, more investments are needed to strengthen the institutional capacity of the stakeholders involved in combating gender-based and domestic violence, right to education and legal housing. This Action will address these needs.</w:t>
            </w:r>
          </w:p>
          <w:p w14:paraId="39E743E0" w14:textId="17A2A3EA" w:rsidR="00BA668B" w:rsidRDefault="00BA1B15" w:rsidP="00225ED5">
            <w:pPr>
              <w:spacing w:before="120" w:after="0" w:line="240" w:lineRule="auto"/>
              <w:jc w:val="both"/>
              <w:rPr>
                <w:rFonts w:ascii="Times New Roman" w:hAnsi="Times New Roman"/>
              </w:rPr>
            </w:pPr>
            <w:r>
              <w:rPr>
                <w:rFonts w:ascii="Times New Roman" w:hAnsi="Times New Roman"/>
              </w:rPr>
              <w:t xml:space="preserve">North Macedonia benefits from a well-established </w:t>
            </w:r>
            <w:r>
              <w:rPr>
                <w:rFonts w:ascii="Times New Roman" w:hAnsi="Times New Roman"/>
                <w:b/>
                <w:bCs/>
              </w:rPr>
              <w:t>monitoring system</w:t>
            </w:r>
            <w:r>
              <w:rPr>
                <w:rFonts w:ascii="Times New Roman" w:hAnsi="Times New Roman"/>
              </w:rPr>
              <w:t xml:space="preserve">, allowing regular feedback to the decision-makers and the public on the level of implementation of strategic objectives. As of 2019, the country has put in place a </w:t>
            </w:r>
            <w:r>
              <w:rPr>
                <w:rFonts w:ascii="Times New Roman" w:hAnsi="Times New Roman"/>
                <w:b/>
                <w:bCs/>
              </w:rPr>
              <w:t>performance assessment framework</w:t>
            </w:r>
            <w:r>
              <w:rPr>
                <w:rFonts w:ascii="Times New Roman" w:hAnsi="Times New Roman"/>
              </w:rPr>
              <w:t xml:space="preserve">, streamlining the policy objectives, </w:t>
            </w:r>
            <w:r>
              <w:rPr>
                <w:rFonts w:ascii="Times New Roman" w:hAnsi="Times New Roman"/>
              </w:rPr>
              <w:lastRenderedPageBreak/>
              <w:t xml:space="preserve">the indicators, and the targets. </w:t>
            </w:r>
            <w:r w:rsidR="00CB1C94">
              <w:rPr>
                <w:rFonts w:ascii="Times New Roman" w:hAnsi="Times New Roman"/>
              </w:rPr>
              <w:t xml:space="preserve">The PAF is available under </w:t>
            </w:r>
            <w:hyperlink r:id="rId9" w:history="1">
              <w:r w:rsidR="00CB1C94" w:rsidRPr="003B33FD">
                <w:rPr>
                  <w:rStyle w:val="Hyperlink"/>
                  <w:rFonts w:ascii="Times New Roman" w:hAnsi="Times New Roman"/>
                </w:rPr>
                <w:t>https://pafnorthmacedonia.mk/PAF/</w:t>
              </w:r>
            </w:hyperlink>
            <w:r w:rsidR="00CB1C94">
              <w:rPr>
                <w:rFonts w:ascii="Times New Roman" w:hAnsi="Times New Roman"/>
              </w:rPr>
              <w:t xml:space="preserve">  </w:t>
            </w:r>
          </w:p>
          <w:p w14:paraId="0FCFFECB" w14:textId="6667C3BC" w:rsidR="00BA668B" w:rsidRDefault="00BA1B15" w:rsidP="00225ED5">
            <w:pPr>
              <w:spacing w:before="120" w:after="0" w:line="240" w:lineRule="auto"/>
              <w:jc w:val="both"/>
              <w:rPr>
                <w:rFonts w:ascii="Times New Roman" w:hAnsi="Times New Roman"/>
              </w:rPr>
            </w:pPr>
            <w:r>
              <w:rPr>
                <w:rFonts w:ascii="Times New Roman" w:hAnsi="Times New Roman"/>
              </w:rPr>
              <w:t xml:space="preserve">The </w:t>
            </w:r>
            <w:r>
              <w:rPr>
                <w:rFonts w:ascii="Times New Roman" w:hAnsi="Times New Roman"/>
                <w:b/>
                <w:bCs/>
              </w:rPr>
              <w:t>policy dialogue</w:t>
            </w:r>
            <w:r>
              <w:rPr>
                <w:rFonts w:ascii="Times New Roman" w:hAnsi="Times New Roman"/>
              </w:rPr>
              <w:t xml:space="preserve"> is channelled mainly through the Sector Working Group (SWG) for Education, Employment and Social Policy, as well taking part in SWG for Justice and Fundamental Rights, which comprises all relevant national authorities, donors, partners, and civil society organisations. Both SWGs also embed the IPA programming. The SWGs meet regularly 2 to 4 times per year in the decision-making format, chaired by relevant ministers, and when necessary, in the technical format. The public dialogue is smooth and intensive. It is centred on the definition and implementation of the country's sector priorities.</w:t>
            </w:r>
            <w:r w:rsidR="00CB1C94">
              <w:rPr>
                <w:rFonts w:ascii="Times New Roman" w:hAnsi="Times New Roman"/>
              </w:rPr>
              <w:t xml:space="preserve"> The contents of the AF were discussed at the Plenary session of the SWG held on the 16 of March 2022 and of the Technical session of the SWG held on the 28 of march 2022.</w:t>
            </w:r>
          </w:p>
          <w:p w14:paraId="5B000F72" w14:textId="77777777" w:rsidR="00BA668B" w:rsidRDefault="00BA1B15" w:rsidP="00225ED5">
            <w:pPr>
              <w:spacing w:before="120" w:after="0" w:line="240" w:lineRule="auto"/>
              <w:jc w:val="both"/>
              <w:rPr>
                <w:rFonts w:ascii="Times New Roman" w:hAnsi="Times New Roman"/>
              </w:rPr>
            </w:pPr>
            <w:r>
              <w:rPr>
                <w:rFonts w:ascii="Times New Roman" w:hAnsi="Times New Roman"/>
              </w:rPr>
              <w:t xml:space="preserve">The sector policy </w:t>
            </w:r>
            <w:r>
              <w:rPr>
                <w:rFonts w:ascii="Times New Roman" w:hAnsi="Times New Roman"/>
                <w:b/>
                <w:bCs/>
              </w:rPr>
              <w:t>budgeting</w:t>
            </w:r>
            <w:r>
              <w:rPr>
                <w:rFonts w:ascii="Times New Roman" w:hAnsi="Times New Roman"/>
              </w:rPr>
              <w:t xml:space="preserve"> needs improvement. North Macedonia does not yet benefit from a robust Medium-Term Expenditure Framework (MTEF) to anchor the costs for the major reforms and ensure their credibility. The ongoing Public Financial Management (PFM) reform programme is expected to address this issue by adopting the new Organic Budget Law. Significant IPA support is already allocated, and implementation is ongoing to support the country in this challenge. In the absence of a solid MTEF, the country has tried to target-programmes for policies for equal opportunities and social policies to back up the sector policy objectives. </w:t>
            </w:r>
          </w:p>
          <w:p w14:paraId="199FBA79" w14:textId="77777777" w:rsidR="00BA668B" w:rsidRDefault="00BA1B15" w:rsidP="00225ED5">
            <w:pPr>
              <w:spacing w:before="120" w:after="0" w:line="240" w:lineRule="auto"/>
              <w:jc w:val="both"/>
              <w:rPr>
                <w:rFonts w:ascii="Times New Roman" w:hAnsi="Times New Roman"/>
              </w:rPr>
            </w:pPr>
            <w:r>
              <w:rPr>
                <w:rFonts w:ascii="Times New Roman" w:hAnsi="Times New Roman"/>
              </w:rPr>
              <w:t>As assessed so far, North Macedonia has demonstrated continuous progress performance in PFM and Domestic Revenue Mobilisation. Improvements are evident in the Fiscal Framework, budget planning, budget execution, revenue mobilisation, transparent reporting of the Budget, public financial internal control, external control, and Parliamentary oversight.</w:t>
            </w:r>
          </w:p>
          <w:p w14:paraId="1FC16B55" w14:textId="77777777" w:rsidR="00BA668B" w:rsidRDefault="00BA1B15" w:rsidP="00C375D2">
            <w:pPr>
              <w:tabs>
                <w:tab w:val="left" w:pos="1418"/>
                <w:tab w:val="left" w:pos="8931"/>
              </w:tabs>
              <w:spacing w:before="120" w:after="0" w:line="240" w:lineRule="auto"/>
              <w:ind w:right="-2"/>
              <w:jc w:val="both"/>
              <w:rPr>
                <w:rFonts w:ascii="Times New Roman" w:hAnsi="Times New Roman"/>
              </w:rPr>
            </w:pPr>
            <w:r>
              <w:rPr>
                <w:rFonts w:ascii="Times New Roman" w:hAnsi="Times New Roman"/>
              </w:rPr>
              <w:t>The budget for policies in equal opportunities and social protection is constantly increasing which is a sign of state commitment to the established sector priorities and ongoing reforms.</w:t>
            </w:r>
          </w:p>
        </w:tc>
      </w:tr>
      <w:tr w:rsidR="00BA668B" w14:paraId="7C95D1E6" w14:textId="77777777">
        <w:trPr>
          <w:jc w:val="center"/>
        </w:trPr>
        <w:tc>
          <w:tcPr>
            <w:tcW w:w="53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2A3857" w14:textId="77777777" w:rsidR="00BA668B" w:rsidRDefault="00BA668B"/>
        </w:tc>
        <w:tc>
          <w:tcPr>
            <w:tcW w:w="2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DC04350" w14:textId="77777777" w:rsidR="00BA668B" w:rsidRPr="001C0183" w:rsidRDefault="00BA1B15">
            <w:pPr>
              <w:rPr>
                <w:rFonts w:ascii="Times New Roman" w:hAnsi="Times New Roman"/>
                <w:b/>
                <w:bCs/>
              </w:rPr>
            </w:pPr>
            <w:r w:rsidRPr="001C0183">
              <w:rPr>
                <w:rFonts w:ascii="Times New Roman" w:hAnsi="Times New Roman"/>
                <w:b/>
                <w:bCs/>
              </w:rPr>
              <w:t>Regional dimension</w:t>
            </w:r>
          </w:p>
        </w:tc>
        <w:tc>
          <w:tcPr>
            <w:tcW w:w="7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3E32882" w14:textId="77777777" w:rsidR="00BA668B" w:rsidRDefault="00BA1B15">
            <w:pPr>
              <w:spacing w:after="0" w:line="240" w:lineRule="auto"/>
              <w:rPr>
                <w:rFonts w:ascii="Times New Roman" w:hAnsi="Times New Roman"/>
                <w:lang w:val="en-US"/>
              </w:rPr>
            </w:pPr>
            <w:r>
              <w:rPr>
                <w:rFonts w:ascii="Times New Roman" w:hAnsi="Times New Roman"/>
                <w:lang w:val="en-US"/>
              </w:rPr>
              <w:t>Not applicable</w:t>
            </w:r>
          </w:p>
        </w:tc>
      </w:tr>
      <w:tr w:rsidR="00BA668B" w14:paraId="34C778F6" w14:textId="77777777">
        <w:trPr>
          <w:jc w:val="center"/>
        </w:trPr>
        <w:tc>
          <w:tcPr>
            <w:tcW w:w="29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A25A1F" w14:textId="77777777" w:rsidR="00BA668B" w:rsidRPr="00385F6A" w:rsidRDefault="00BA1B15">
            <w:pPr>
              <w:rPr>
                <w:rFonts w:ascii="Times New Roman" w:hAnsi="Times New Roman"/>
                <w:b/>
                <w:bCs/>
              </w:rPr>
            </w:pPr>
            <w:r w:rsidRPr="00385F6A">
              <w:rPr>
                <w:rFonts w:ascii="Times New Roman" w:hAnsi="Times New Roman"/>
                <w:b/>
                <w:bCs/>
              </w:rPr>
              <w:t>Indicative budget (in EUR)</w:t>
            </w:r>
          </w:p>
        </w:tc>
        <w:tc>
          <w:tcPr>
            <w:tcW w:w="7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1680A96" w14:textId="69804F8F" w:rsidR="00BA668B" w:rsidRDefault="00BA1B15">
            <w:pPr>
              <w:spacing w:after="120" w:line="240" w:lineRule="auto"/>
              <w:jc w:val="both"/>
              <w:rPr>
                <w:rFonts w:ascii="Times New Roman" w:hAnsi="Times New Roman"/>
                <w:iCs/>
              </w:rPr>
            </w:pPr>
            <w:r>
              <w:rPr>
                <w:rFonts w:ascii="Times New Roman" w:hAnsi="Times New Roman"/>
                <w:iCs/>
              </w:rPr>
              <w:t xml:space="preserve">Total: EUR </w:t>
            </w:r>
            <w:r w:rsidR="00B23DB3">
              <w:rPr>
                <w:rFonts w:ascii="Times New Roman" w:hAnsi="Times New Roman"/>
                <w:iCs/>
              </w:rPr>
              <w:t>12,1</w:t>
            </w:r>
            <w:r>
              <w:rPr>
                <w:rFonts w:ascii="Times New Roman" w:hAnsi="Times New Roman"/>
                <w:iCs/>
              </w:rPr>
              <w:t xml:space="preserve"> million</w:t>
            </w:r>
          </w:p>
          <w:p w14:paraId="6F6B0697" w14:textId="0281CD3E" w:rsidR="00BA668B" w:rsidRDefault="00BA1B15">
            <w:pPr>
              <w:spacing w:after="120" w:line="240" w:lineRule="auto"/>
              <w:jc w:val="both"/>
              <w:rPr>
                <w:rFonts w:ascii="Times New Roman" w:hAnsi="Times New Roman"/>
                <w:iCs/>
              </w:rPr>
            </w:pPr>
            <w:r>
              <w:rPr>
                <w:rFonts w:ascii="Times New Roman" w:hAnsi="Times New Roman"/>
                <w:iCs/>
              </w:rPr>
              <w:t>EU funding: EUR</w:t>
            </w:r>
            <w:r w:rsidR="00385F6A">
              <w:rPr>
                <w:rFonts w:ascii="Times New Roman" w:hAnsi="Times New Roman"/>
                <w:iCs/>
              </w:rPr>
              <w:t xml:space="preserve"> </w:t>
            </w:r>
            <w:r w:rsidR="00B23DB3">
              <w:rPr>
                <w:rFonts w:ascii="Times New Roman" w:hAnsi="Times New Roman"/>
                <w:iCs/>
              </w:rPr>
              <w:t>11,8</w:t>
            </w:r>
            <w:r>
              <w:rPr>
                <w:rFonts w:ascii="Times New Roman" w:hAnsi="Times New Roman"/>
                <w:iCs/>
              </w:rPr>
              <w:t xml:space="preserve"> million</w:t>
            </w:r>
          </w:p>
          <w:p w14:paraId="77E8B07C" w14:textId="149C06B8" w:rsidR="00BA668B" w:rsidRDefault="00BA1B15">
            <w:pPr>
              <w:spacing w:after="120" w:line="240" w:lineRule="auto"/>
              <w:jc w:val="both"/>
              <w:rPr>
                <w:rFonts w:ascii="Times New Roman" w:hAnsi="Times New Roman"/>
                <w:i/>
              </w:rPr>
            </w:pPr>
            <w:r>
              <w:rPr>
                <w:rFonts w:ascii="Times New Roman" w:hAnsi="Times New Roman"/>
                <w:iCs/>
              </w:rPr>
              <w:t>National</w:t>
            </w:r>
            <w:r w:rsidR="000942DC">
              <w:rPr>
                <w:rFonts w:ascii="Times New Roman" w:hAnsi="Times New Roman"/>
                <w:iCs/>
              </w:rPr>
              <w:t>/Third party</w:t>
            </w:r>
            <w:r>
              <w:rPr>
                <w:rFonts w:ascii="Times New Roman" w:hAnsi="Times New Roman"/>
                <w:iCs/>
              </w:rPr>
              <w:t xml:space="preserve"> co-financing: </w:t>
            </w:r>
            <w:r w:rsidR="00B23DB3">
              <w:rPr>
                <w:rFonts w:ascii="Times New Roman" w:hAnsi="Times New Roman"/>
                <w:iCs/>
              </w:rPr>
              <w:t>EUR 0,3 million</w:t>
            </w:r>
          </w:p>
        </w:tc>
      </w:tr>
      <w:tr w:rsidR="00BA668B" w14:paraId="4AEB798E" w14:textId="77777777">
        <w:trPr>
          <w:jc w:val="center"/>
        </w:trPr>
        <w:tc>
          <w:tcPr>
            <w:tcW w:w="29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3784F34" w14:textId="77777777" w:rsidR="00BA668B" w:rsidRPr="00385F6A" w:rsidRDefault="00BA1B15">
            <w:pPr>
              <w:rPr>
                <w:rFonts w:ascii="Times New Roman" w:hAnsi="Times New Roman"/>
                <w:b/>
                <w:bCs/>
              </w:rPr>
            </w:pPr>
            <w:r w:rsidRPr="00385F6A">
              <w:rPr>
                <w:rFonts w:ascii="Times New Roman" w:hAnsi="Times New Roman"/>
                <w:b/>
                <w:bCs/>
              </w:rPr>
              <w:t>Implementation Modality</w:t>
            </w:r>
          </w:p>
        </w:tc>
        <w:tc>
          <w:tcPr>
            <w:tcW w:w="7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98375EE" w14:textId="1078CF31" w:rsidR="00BA668B" w:rsidRDefault="00BA1B15">
            <w:pPr>
              <w:spacing w:before="20" w:after="20" w:line="240" w:lineRule="auto"/>
              <w:contextualSpacing/>
              <w:jc w:val="both"/>
              <w:rPr>
                <w:rFonts w:ascii="Times New Roman" w:hAnsi="Times New Roman"/>
              </w:rPr>
            </w:pPr>
            <w:bookmarkStart w:id="2" w:name="_Hlk95485408"/>
            <w:bookmarkEnd w:id="2"/>
            <w:r>
              <w:rPr>
                <w:rFonts w:ascii="Times New Roman" w:hAnsi="Times New Roman"/>
              </w:rPr>
              <w:t xml:space="preserve">Direct Management </w:t>
            </w:r>
          </w:p>
          <w:p w14:paraId="73F64CC1" w14:textId="58AA2869" w:rsidR="00BA668B" w:rsidRDefault="00BA668B">
            <w:pPr>
              <w:spacing w:before="60" w:after="60" w:line="240" w:lineRule="auto"/>
              <w:contextualSpacing/>
              <w:jc w:val="both"/>
              <w:rPr>
                <w:rFonts w:ascii="Times New Roman" w:hAnsi="Times New Roman"/>
                <w:iCs/>
              </w:rPr>
            </w:pPr>
          </w:p>
        </w:tc>
      </w:tr>
      <w:tr w:rsidR="00BA668B" w14:paraId="48DC4905" w14:textId="77777777">
        <w:trPr>
          <w:jc w:val="center"/>
        </w:trPr>
        <w:tc>
          <w:tcPr>
            <w:tcW w:w="29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6A316B9" w14:textId="77777777" w:rsidR="00BA668B" w:rsidRPr="001C0183" w:rsidRDefault="00BA1B15">
            <w:pPr>
              <w:rPr>
                <w:rFonts w:ascii="Times New Roman" w:hAnsi="Times New Roman"/>
                <w:b/>
                <w:bCs/>
              </w:rPr>
            </w:pPr>
            <w:r w:rsidRPr="001C0183">
              <w:rPr>
                <w:rFonts w:ascii="Times New Roman" w:hAnsi="Times New Roman"/>
                <w:b/>
                <w:bCs/>
              </w:rPr>
              <w:t>Budget Support Readiness (only in the action is implemented through Budget Support)</w:t>
            </w:r>
          </w:p>
        </w:tc>
        <w:tc>
          <w:tcPr>
            <w:tcW w:w="7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9ABA4C0" w14:textId="77777777" w:rsidR="00BA668B" w:rsidRDefault="00BA1B15">
            <w:pPr>
              <w:spacing w:after="120" w:line="240" w:lineRule="auto"/>
              <w:jc w:val="both"/>
              <w:rPr>
                <w:rFonts w:ascii="Times New Roman" w:hAnsi="Times New Roman"/>
                <w:i/>
              </w:rPr>
            </w:pPr>
            <w:r>
              <w:rPr>
                <w:rFonts w:ascii="Times New Roman" w:hAnsi="Times New Roman"/>
                <w:iCs/>
              </w:rPr>
              <w:t>Not applicable</w:t>
            </w:r>
          </w:p>
        </w:tc>
      </w:tr>
    </w:tbl>
    <w:p w14:paraId="45EA149D" w14:textId="77777777" w:rsidR="00BA668B" w:rsidRDefault="00BA668B">
      <w:pPr>
        <w:sectPr w:rsidR="00BA668B">
          <w:endnotePr>
            <w:numFmt w:val="decimal"/>
          </w:endnotePr>
          <w:pgSz w:w="11906" w:h="16838"/>
          <w:pgMar w:top="1134" w:right="1134" w:bottom="1134" w:left="1134" w:header="720" w:footer="720" w:gutter="0"/>
          <w:cols w:space="720"/>
        </w:sectPr>
      </w:pPr>
    </w:p>
    <w:p w14:paraId="4025B608" w14:textId="77777777" w:rsidR="00BA668B" w:rsidRDefault="00BA1B15">
      <w:pPr>
        <w:rPr>
          <w:rFonts w:ascii="Times New Roman" w:hAnsi="Times New Roman"/>
        </w:rPr>
      </w:pPr>
      <w:bookmarkStart w:id="3" w:name="_Hlk103086270"/>
      <w:r>
        <w:rPr>
          <w:rFonts w:ascii="Times New Roman" w:eastAsia="Arial" w:hAnsi="Times New Roman"/>
          <w:b/>
          <w:bCs/>
        </w:rPr>
        <w:lastRenderedPageBreak/>
        <w:t xml:space="preserve">LOGICAL FRAMEWORK MATRIX </w:t>
      </w:r>
    </w:p>
    <w:tbl>
      <w:tblPr>
        <w:tblW w:w="15189" w:type="dxa"/>
        <w:tblInd w:w="202" w:type="dxa"/>
        <w:tblCellMar>
          <w:left w:w="10" w:type="dxa"/>
          <w:right w:w="10" w:type="dxa"/>
        </w:tblCellMar>
        <w:tblLook w:val="04A0" w:firstRow="1" w:lastRow="0" w:firstColumn="1" w:lastColumn="0" w:noHBand="0" w:noVBand="1"/>
      </w:tblPr>
      <w:tblGrid>
        <w:gridCol w:w="2784"/>
        <w:gridCol w:w="2664"/>
        <w:gridCol w:w="1685"/>
        <w:gridCol w:w="1925"/>
        <w:gridCol w:w="2019"/>
        <w:gridCol w:w="2106"/>
        <w:gridCol w:w="2006"/>
      </w:tblGrid>
      <w:tr w:rsidR="00BA668B" w14:paraId="25219681" w14:textId="77777777" w:rsidTr="001C0183">
        <w:trPr>
          <w:trHeight w:val="1145"/>
        </w:trPr>
        <w:tc>
          <w:tcPr>
            <w:tcW w:w="278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1C5396F" w14:textId="77777777" w:rsidR="00BA668B" w:rsidRDefault="00BA1B15">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OVERALL OBJECTIVE(S) / (IMPACT(S))</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63919B7" w14:textId="77777777" w:rsidR="00BA668B" w:rsidRDefault="00BA1B15">
            <w:pPr>
              <w:pBdr>
                <w:top w:val="nil"/>
                <w:left w:val="nil"/>
                <w:bottom w:val="nil"/>
                <w:right w:val="nil"/>
                <w:between w:val="nil"/>
              </w:pBdr>
              <w:shd w:val="solid" w:color="FFFFFF" w:fill="auto"/>
              <w:spacing w:before="20" w:after="20" w:line="240" w:lineRule="auto"/>
              <w:jc w:val="center"/>
              <w:rPr>
                <w:rFonts w:ascii="Times New Roman" w:hAnsi="Times New Roman"/>
                <w:b/>
              </w:rPr>
            </w:pPr>
            <w:r>
              <w:rPr>
                <w:rFonts w:ascii="Times New Roman" w:hAnsi="Times New Roman"/>
                <w:b/>
                <w:bCs/>
              </w:rPr>
              <w:t>OBJECTIVELY VERIFIABLE INDICATORS</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79C3269" w14:textId="77777777" w:rsidR="00BA668B" w:rsidRDefault="00BA1B15">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BASELINES (VALUE AND YEAR</w:t>
            </w:r>
            <w:r>
              <w:rPr>
                <w:rStyle w:val="FootnoteReference"/>
                <w:rFonts w:ascii="Times New Roman" w:hAnsi="Times New Roman"/>
                <w:b/>
                <w:bCs/>
              </w:rPr>
              <w:footnoteReference w:id="17"/>
            </w:r>
            <w:r>
              <w:rPr>
                <w:rFonts w:ascii="Times New Roman" w:hAnsi="Times New Roman"/>
                <w:b/>
                <w:bCs/>
              </w:rPr>
              <w:t>)</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E46C812" w14:textId="77777777" w:rsidR="00BA668B" w:rsidRDefault="00BA1B15">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MILESTONES (OPTIONAL)</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C760E3E" w14:textId="77777777" w:rsidR="00BA668B" w:rsidRDefault="00BA1B15">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TARGETS</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80D20BC" w14:textId="77777777" w:rsidR="00BA668B" w:rsidRDefault="00BA1B15">
            <w:pPr>
              <w:pBdr>
                <w:top w:val="nil"/>
                <w:left w:val="nil"/>
                <w:bottom w:val="nil"/>
                <w:right w:val="nil"/>
                <w:between w:val="nil"/>
              </w:pBdr>
              <w:shd w:val="solid" w:color="FFFFFF" w:fill="auto"/>
              <w:spacing w:before="40" w:after="40" w:line="240" w:lineRule="auto"/>
              <w:jc w:val="center"/>
              <w:rPr>
                <w:rFonts w:ascii="Times New Roman" w:hAnsi="Times New Roman"/>
              </w:rPr>
            </w:pPr>
            <w:r>
              <w:rPr>
                <w:rFonts w:ascii="Times New Roman" w:hAnsi="Times New Roman"/>
                <w:b/>
                <w:bCs/>
              </w:rPr>
              <w:t>SOURCES &amp; MEANS OF VERIFICATION</w:t>
            </w:r>
          </w:p>
        </w:tc>
        <w:tc>
          <w:tcPr>
            <w:tcW w:w="2006" w:type="dxa"/>
            <w:vMerge w:val="restart"/>
            <w:tcBorders>
              <w:top w:val="nil"/>
              <w:left w:val="single" w:sz="4" w:space="0" w:color="000000"/>
              <w:bottom w:val="single" w:sz="4" w:space="0" w:color="000000"/>
              <w:right w:val="nil"/>
              <w:tl2br w:val="nil"/>
              <w:tr2bl w:val="nil"/>
            </w:tcBorders>
            <w:tcMar>
              <w:top w:w="0" w:type="dxa"/>
              <w:left w:w="70" w:type="dxa"/>
              <w:bottom w:w="0" w:type="dxa"/>
              <w:right w:w="70" w:type="dxa"/>
            </w:tcMar>
            <w:vAlign w:val="center"/>
          </w:tcPr>
          <w:p w14:paraId="2AADBFB0" w14:textId="77777777" w:rsidR="00BA668B" w:rsidRDefault="00BA668B">
            <w:pPr>
              <w:pBdr>
                <w:top w:val="nil"/>
                <w:left w:val="nil"/>
                <w:bottom w:val="nil"/>
                <w:right w:val="nil"/>
                <w:between w:val="nil"/>
              </w:pBdr>
              <w:shd w:val="solid" w:color="FFFFFF" w:fill="auto"/>
              <w:spacing w:before="40" w:after="40" w:line="240" w:lineRule="auto"/>
              <w:jc w:val="center"/>
              <w:rPr>
                <w:rFonts w:ascii="Times New Roman" w:hAnsi="Times New Roman"/>
                <w:highlight w:val="yellow"/>
              </w:rPr>
            </w:pPr>
          </w:p>
          <w:p w14:paraId="669F9249" w14:textId="77777777" w:rsidR="00BA668B" w:rsidRDefault="00BA668B">
            <w:pPr>
              <w:pBdr>
                <w:top w:val="nil"/>
                <w:left w:val="nil"/>
                <w:bottom w:val="nil"/>
                <w:right w:val="nil"/>
                <w:between w:val="nil"/>
              </w:pBdr>
              <w:shd w:val="solid" w:color="FFFFFF" w:fill="auto"/>
              <w:spacing w:before="40" w:after="40" w:line="240" w:lineRule="auto"/>
              <w:jc w:val="center"/>
              <w:rPr>
                <w:rFonts w:ascii="Times New Roman" w:hAnsi="Times New Roman"/>
                <w:highlight w:val="yellow"/>
              </w:rPr>
            </w:pPr>
          </w:p>
          <w:p w14:paraId="12BBE213" w14:textId="77777777" w:rsidR="00BA668B" w:rsidRDefault="00BA668B">
            <w:pPr>
              <w:pBdr>
                <w:top w:val="nil"/>
                <w:left w:val="nil"/>
                <w:bottom w:val="nil"/>
                <w:right w:val="nil"/>
                <w:between w:val="nil"/>
              </w:pBdr>
              <w:shd w:val="solid" w:color="FFFFFF" w:fill="auto"/>
              <w:spacing w:before="40" w:after="40" w:line="240" w:lineRule="auto"/>
              <w:jc w:val="center"/>
              <w:rPr>
                <w:rFonts w:ascii="Times New Roman" w:hAnsi="Times New Roman"/>
                <w:highlight w:val="yellow"/>
              </w:rPr>
            </w:pPr>
          </w:p>
          <w:p w14:paraId="4CDCA76D" w14:textId="77777777" w:rsidR="00BA668B" w:rsidRDefault="00BA668B">
            <w:pPr>
              <w:pBdr>
                <w:top w:val="nil"/>
                <w:left w:val="nil"/>
                <w:bottom w:val="nil"/>
                <w:right w:val="nil"/>
                <w:between w:val="nil"/>
              </w:pBdr>
              <w:shd w:val="solid" w:color="FFFFFF" w:fill="auto"/>
              <w:spacing w:before="40" w:after="40" w:line="240" w:lineRule="auto"/>
              <w:jc w:val="center"/>
              <w:rPr>
                <w:rFonts w:ascii="Times New Roman" w:hAnsi="Times New Roman"/>
                <w:highlight w:val="yellow"/>
              </w:rPr>
            </w:pPr>
          </w:p>
          <w:p w14:paraId="480FE719" w14:textId="77777777" w:rsidR="00BA668B" w:rsidRDefault="00BA668B">
            <w:pPr>
              <w:pBdr>
                <w:top w:val="nil"/>
                <w:left w:val="nil"/>
                <w:bottom w:val="nil"/>
                <w:right w:val="nil"/>
                <w:between w:val="nil"/>
              </w:pBdr>
              <w:shd w:val="solid" w:color="FFFFFF" w:fill="auto"/>
              <w:spacing w:before="40" w:after="40" w:line="240" w:lineRule="auto"/>
              <w:jc w:val="center"/>
              <w:rPr>
                <w:rFonts w:ascii="Times New Roman" w:hAnsi="Times New Roman"/>
                <w:highlight w:val="yellow"/>
              </w:rPr>
            </w:pPr>
          </w:p>
        </w:tc>
      </w:tr>
      <w:tr w:rsidR="00BA668B" w14:paraId="77054D7C" w14:textId="77777777" w:rsidTr="001C0183">
        <w:trPr>
          <w:trHeight w:val="179"/>
        </w:trPr>
        <w:tc>
          <w:tcPr>
            <w:tcW w:w="278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497A656" w14:textId="77777777" w:rsidR="00BA668B" w:rsidRDefault="00BA1B15">
            <w:pPr>
              <w:tabs>
                <w:tab w:val="left" w:pos="240"/>
              </w:tabs>
              <w:spacing w:before="40" w:after="40" w:line="240" w:lineRule="auto"/>
              <w:rPr>
                <w:rFonts w:ascii="Times New Roman" w:hAnsi="Times New Roman"/>
                <w:sz w:val="18"/>
                <w:szCs w:val="18"/>
              </w:rPr>
            </w:pPr>
            <w:r>
              <w:rPr>
                <w:rFonts w:ascii="Times New Roman" w:hAnsi="Times New Roman"/>
                <w:sz w:val="18"/>
                <w:szCs w:val="18"/>
              </w:rPr>
              <w:t>To fight discrimination and ensure the protection of children and women, people with disabilities, LGBTI and minorities</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8D4F20F" w14:textId="77777777" w:rsidR="00BA668B" w:rsidRDefault="00BA1B15">
            <w:pPr>
              <w:spacing w:before="20" w:after="20" w:line="240" w:lineRule="auto"/>
              <w:contextualSpacing/>
              <w:rPr>
                <w:rFonts w:ascii="Times New Roman" w:hAnsi="Times New Roman"/>
                <w:iCs/>
                <w:sz w:val="18"/>
                <w:szCs w:val="18"/>
              </w:rPr>
            </w:pPr>
            <w:r>
              <w:rPr>
                <w:rFonts w:ascii="Times New Roman" w:hAnsi="Times New Roman"/>
                <w:iCs/>
                <w:sz w:val="18"/>
                <w:szCs w:val="18"/>
              </w:rPr>
              <w:t>At-the-risk of poverty rate</w:t>
            </w:r>
            <w:r>
              <w:rPr>
                <w:rStyle w:val="FootnoteReference"/>
                <w:rFonts w:ascii="Times New Roman" w:hAnsi="Times New Roman"/>
                <w:sz w:val="18"/>
                <w:szCs w:val="18"/>
              </w:rPr>
              <w:footnoteReference w:id="18"/>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C56E17F" w14:textId="77777777" w:rsidR="00BA668B" w:rsidRDefault="00BA1B15">
            <w:pPr>
              <w:spacing w:before="40" w:after="40" w:line="240" w:lineRule="auto"/>
              <w:jc w:val="center"/>
              <w:rPr>
                <w:rFonts w:ascii="Times New Roman" w:hAnsi="Times New Roman"/>
                <w:sz w:val="18"/>
                <w:szCs w:val="18"/>
              </w:rPr>
            </w:pPr>
            <w:r>
              <w:rPr>
                <w:rFonts w:ascii="Times New Roman" w:hAnsi="Times New Roman"/>
                <w:sz w:val="18"/>
                <w:szCs w:val="18"/>
              </w:rPr>
              <w:t>21.6 (2019)</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C1599E1" w14:textId="77777777" w:rsidR="00BA668B" w:rsidRDefault="00BA1B15">
            <w:pPr>
              <w:spacing w:before="40" w:after="40" w:line="240" w:lineRule="auto"/>
              <w:jc w:val="center"/>
              <w:rPr>
                <w:rFonts w:ascii="Times New Roman" w:hAnsi="Times New Roman"/>
                <w:sz w:val="18"/>
                <w:szCs w:val="18"/>
              </w:rPr>
            </w:pPr>
            <w:r>
              <w:rPr>
                <w:rFonts w:ascii="Times New Roman" w:hAnsi="Times New Roman"/>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3BD374A" w14:textId="77777777" w:rsidR="00BA668B" w:rsidRDefault="00BA1B15">
            <w:pPr>
              <w:pStyle w:val="Default"/>
              <w:jc w:val="center"/>
              <w:rPr>
                <w:iCs/>
                <w:sz w:val="18"/>
                <w:szCs w:val="18"/>
                <w:lang w:val="en-GB"/>
              </w:rPr>
            </w:pPr>
            <w:r>
              <w:rPr>
                <w:iCs/>
                <w:sz w:val="18"/>
                <w:szCs w:val="18"/>
              </w:rPr>
              <w:t>≤</w:t>
            </w:r>
            <w:r>
              <w:rPr>
                <w:iCs/>
                <w:sz w:val="18"/>
                <w:szCs w:val="18"/>
                <w:lang w:val="de-DE"/>
              </w:rPr>
              <w:t xml:space="preserve"> </w:t>
            </w:r>
            <w:r>
              <w:rPr>
                <w:iCs/>
                <w:sz w:val="18"/>
                <w:szCs w:val="18"/>
              </w:rPr>
              <w:t>1</w:t>
            </w:r>
            <w:r>
              <w:rPr>
                <w:iCs/>
                <w:sz w:val="18"/>
                <w:szCs w:val="18"/>
                <w:lang w:val="en-GB"/>
              </w:rPr>
              <w:t>4.</w:t>
            </w:r>
            <w:r>
              <w:rPr>
                <w:iCs/>
                <w:sz w:val="18"/>
                <w:szCs w:val="18"/>
              </w:rPr>
              <w:t xml:space="preserve"> 1</w:t>
            </w:r>
            <w:r>
              <w:rPr>
                <w:iCs/>
                <w:sz w:val="18"/>
                <w:szCs w:val="18"/>
                <w:lang w:val="de-DE"/>
              </w:rPr>
              <w:t xml:space="preserve"> </w:t>
            </w:r>
            <w:r>
              <w:rPr>
                <w:iCs/>
                <w:sz w:val="18"/>
                <w:szCs w:val="18"/>
                <w:lang w:val="en-GB"/>
              </w:rPr>
              <w:t>% (2027)</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CFED0BF" w14:textId="77777777" w:rsidR="00BA668B" w:rsidRDefault="00BA1B15">
            <w:pPr>
              <w:spacing w:before="40" w:after="40" w:line="240" w:lineRule="auto"/>
              <w:jc w:val="center"/>
              <w:rPr>
                <w:rFonts w:ascii="Times New Roman" w:hAnsi="Times New Roman"/>
                <w:iCs/>
                <w:sz w:val="18"/>
                <w:szCs w:val="18"/>
                <w:lang w:val="en-US"/>
              </w:rPr>
            </w:pPr>
            <w:r>
              <w:rPr>
                <w:rFonts w:ascii="Times New Roman" w:hAnsi="Times New Roman"/>
                <w:iCs/>
                <w:sz w:val="18"/>
                <w:szCs w:val="18"/>
                <w:lang w:val="en-US"/>
              </w:rPr>
              <w:t>EUROSTAT</w:t>
            </w:r>
          </w:p>
        </w:tc>
        <w:tc>
          <w:tcPr>
            <w:tcW w:w="2006" w:type="dxa"/>
            <w:vMerge/>
            <w:tcBorders>
              <w:top w:val="single" w:sz="4" w:space="0" w:color="000000"/>
              <w:left w:val="single" w:sz="4" w:space="0" w:color="000000"/>
              <w:bottom w:val="single" w:sz="4" w:space="0" w:color="000000"/>
              <w:right w:val="nil"/>
              <w:tl2br w:val="nil"/>
              <w:tr2bl w:val="nil"/>
            </w:tcBorders>
            <w:shd w:val="solid" w:color="FFFFFF" w:fill="auto"/>
            <w:tcMar>
              <w:top w:w="0" w:type="dxa"/>
              <w:left w:w="70" w:type="dxa"/>
              <w:bottom w:w="0" w:type="dxa"/>
              <w:right w:w="70" w:type="dxa"/>
            </w:tcMar>
            <w:vAlign w:val="center"/>
          </w:tcPr>
          <w:p w14:paraId="369B1870" w14:textId="77777777" w:rsidR="00BA668B" w:rsidRDefault="00BA668B"/>
        </w:tc>
      </w:tr>
      <w:tr w:rsidR="00BA668B" w14:paraId="1CD7193F" w14:textId="77777777" w:rsidTr="001C0183">
        <w:trPr>
          <w:trHeight w:val="179"/>
        </w:trPr>
        <w:tc>
          <w:tcPr>
            <w:tcW w:w="2784" w:type="dxa"/>
            <w:vMerge/>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17A9538" w14:textId="77777777" w:rsidR="00BA668B" w:rsidRDefault="00BA668B"/>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6BB52E4" w14:textId="77777777" w:rsidR="00BA668B" w:rsidRDefault="00BA1B15">
            <w:pPr>
              <w:spacing w:before="20" w:after="20" w:line="240" w:lineRule="auto"/>
              <w:contextualSpacing/>
              <w:rPr>
                <w:rFonts w:ascii="Times New Roman" w:hAnsi="Times New Roman"/>
                <w:iCs/>
                <w:sz w:val="18"/>
                <w:szCs w:val="18"/>
              </w:rPr>
            </w:pPr>
            <w:r>
              <w:rPr>
                <w:rFonts w:ascii="Times New Roman" w:hAnsi="Times New Roman"/>
                <w:iCs/>
                <w:sz w:val="18"/>
                <w:szCs w:val="18"/>
              </w:rPr>
              <w:t>Gender Equality Index</w:t>
            </w:r>
            <w:r>
              <w:rPr>
                <w:rStyle w:val="FootnoteReference"/>
                <w:rFonts w:ascii="Times New Roman" w:hAnsi="Times New Roman"/>
                <w:iCs/>
                <w:sz w:val="18"/>
                <w:szCs w:val="18"/>
              </w:rPr>
              <w:footnoteReference w:id="19"/>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B67F4F6" w14:textId="77777777" w:rsidR="00BA668B" w:rsidRDefault="00BA1B15">
            <w:pPr>
              <w:spacing w:after="0" w:line="240" w:lineRule="auto"/>
              <w:jc w:val="center"/>
              <w:rPr>
                <w:rFonts w:ascii="Times New Roman" w:hAnsi="Times New Roman"/>
                <w:iCs/>
                <w:sz w:val="18"/>
                <w:szCs w:val="18"/>
              </w:rPr>
            </w:pPr>
            <w:r>
              <w:rPr>
                <w:rFonts w:ascii="Times New Roman" w:hAnsi="Times New Roman"/>
                <w:iCs/>
                <w:sz w:val="18"/>
                <w:szCs w:val="18"/>
              </w:rPr>
              <w:t>62 points</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E2D25DC" w14:textId="77777777" w:rsidR="00BA668B" w:rsidRDefault="00BA1B15">
            <w:pPr>
              <w:pStyle w:val="Default"/>
              <w:jc w:val="center"/>
              <w:rPr>
                <w:iCs/>
                <w:sz w:val="18"/>
                <w:szCs w:val="18"/>
                <w:lang w:val="en-GB"/>
              </w:rPr>
            </w:pPr>
            <w:r>
              <w:rPr>
                <w:iCs/>
                <w:color w:val="auto"/>
                <w:sz w:val="18"/>
                <w:szCs w:val="18"/>
                <w:lang w:val="en-GB"/>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5122E02" w14:textId="77777777" w:rsidR="00BA668B" w:rsidRDefault="00BA1B15">
            <w:pPr>
              <w:pStyle w:val="Default"/>
              <w:jc w:val="center"/>
              <w:rPr>
                <w:iCs/>
                <w:sz w:val="18"/>
                <w:szCs w:val="18"/>
                <w:lang w:val="en-GB"/>
              </w:rPr>
            </w:pPr>
            <w:r>
              <w:rPr>
                <w:iCs/>
                <w:sz w:val="18"/>
                <w:szCs w:val="18"/>
              </w:rPr>
              <w:t>66 points (2027)</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57BC855" w14:textId="77777777" w:rsidR="00BA668B" w:rsidRDefault="00BA1B15">
            <w:pPr>
              <w:spacing w:before="40" w:after="40" w:line="240" w:lineRule="auto"/>
              <w:jc w:val="center"/>
              <w:rPr>
                <w:rFonts w:ascii="Times New Roman" w:hAnsi="Times New Roman"/>
                <w:iCs/>
                <w:sz w:val="18"/>
                <w:szCs w:val="18"/>
                <w:highlight w:val="green"/>
                <w:lang w:val="en-US"/>
              </w:rPr>
            </w:pPr>
            <w:r>
              <w:rPr>
                <w:rFonts w:ascii="Times New Roman" w:hAnsi="Times New Roman"/>
                <w:iCs/>
                <w:sz w:val="18"/>
                <w:szCs w:val="18"/>
                <w:lang w:val="en-US"/>
              </w:rPr>
              <w:t>European Institute for Gender Equality (EIGE)</w:t>
            </w:r>
          </w:p>
        </w:tc>
        <w:tc>
          <w:tcPr>
            <w:tcW w:w="2006" w:type="dxa"/>
            <w:vMerge/>
            <w:tcBorders>
              <w:top w:val="single" w:sz="4" w:space="0" w:color="000000"/>
              <w:left w:val="single" w:sz="4" w:space="0" w:color="000000"/>
              <w:bottom w:val="single" w:sz="4" w:space="0" w:color="000000"/>
              <w:right w:val="nil"/>
              <w:tl2br w:val="nil"/>
              <w:tr2bl w:val="nil"/>
            </w:tcBorders>
            <w:shd w:val="solid" w:color="FFFFFF" w:fill="auto"/>
            <w:tcMar>
              <w:top w:w="0" w:type="dxa"/>
              <w:left w:w="70" w:type="dxa"/>
              <w:bottom w:w="0" w:type="dxa"/>
              <w:right w:w="70" w:type="dxa"/>
            </w:tcMar>
            <w:vAlign w:val="center"/>
          </w:tcPr>
          <w:p w14:paraId="28C15B44" w14:textId="77777777" w:rsidR="00BA668B" w:rsidRDefault="00BA668B"/>
        </w:tc>
      </w:tr>
      <w:tr w:rsidR="001C0183" w14:paraId="5D396C56" w14:textId="77777777" w:rsidTr="001C0183">
        <w:trPr>
          <w:trHeight w:val="179"/>
        </w:trPr>
        <w:tc>
          <w:tcPr>
            <w:tcW w:w="2784" w:type="dxa"/>
            <w:vMerge/>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2F03BB0" w14:textId="77777777" w:rsidR="00BA668B" w:rsidRDefault="00BA668B"/>
        </w:tc>
        <w:tc>
          <w:tcPr>
            <w:tcW w:w="2664"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552E9272" w14:textId="77777777" w:rsidR="00BA668B" w:rsidRDefault="00BA1B15">
            <w:pPr>
              <w:spacing w:before="20" w:after="20" w:line="240" w:lineRule="auto"/>
              <w:contextualSpacing/>
              <w:rPr>
                <w:rFonts w:ascii="Times New Roman" w:hAnsi="Times New Roman"/>
                <w:iCs/>
                <w:sz w:val="18"/>
                <w:szCs w:val="18"/>
              </w:rPr>
            </w:pPr>
            <w:r>
              <w:rPr>
                <w:rFonts w:ascii="Times New Roman" w:hAnsi="Times New Roman"/>
                <w:sz w:val="18"/>
                <w:szCs w:val="18"/>
              </w:rPr>
              <w:t>Human Development Index</w:t>
            </w:r>
            <w:r>
              <w:rPr>
                <w:rStyle w:val="FootnoteReference"/>
                <w:rFonts w:ascii="Times New Roman" w:hAnsi="Times New Roman"/>
                <w:sz w:val="18"/>
                <w:szCs w:val="18"/>
              </w:rPr>
              <w:footnoteReference w:id="20"/>
            </w:r>
          </w:p>
        </w:tc>
        <w:tc>
          <w:tcPr>
            <w:tcW w:w="1685"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76B51281" w14:textId="77777777" w:rsidR="00BA668B" w:rsidRDefault="00BA1B15">
            <w:pPr>
              <w:spacing w:after="0" w:line="240" w:lineRule="auto"/>
              <w:jc w:val="center"/>
              <w:rPr>
                <w:rFonts w:ascii="Times New Roman" w:hAnsi="Times New Roman"/>
                <w:iCs/>
                <w:sz w:val="18"/>
                <w:szCs w:val="18"/>
              </w:rPr>
            </w:pPr>
            <w:r>
              <w:rPr>
                <w:rFonts w:ascii="Times New Roman" w:hAnsi="Times New Roman"/>
                <w:sz w:val="18"/>
                <w:szCs w:val="18"/>
              </w:rPr>
              <w:t>0,77 (2019)</w:t>
            </w:r>
          </w:p>
        </w:tc>
        <w:tc>
          <w:tcPr>
            <w:tcW w:w="1925"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1B93CFB5" w14:textId="77777777" w:rsidR="00BA668B" w:rsidRDefault="00BA1B15">
            <w:pPr>
              <w:pStyle w:val="Default"/>
              <w:jc w:val="center"/>
              <w:rPr>
                <w:iCs/>
                <w:sz w:val="18"/>
                <w:szCs w:val="18"/>
                <w:lang w:val="en-GB"/>
              </w:rPr>
            </w:pPr>
            <w:r>
              <w:rPr>
                <w:b/>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10941B83" w14:textId="77777777" w:rsidR="00BA668B" w:rsidRDefault="00BA1B15">
            <w:pPr>
              <w:pStyle w:val="Default"/>
              <w:jc w:val="center"/>
              <w:rPr>
                <w:iCs/>
                <w:sz w:val="18"/>
                <w:szCs w:val="18"/>
                <w:lang w:val="en-GB"/>
              </w:rPr>
            </w:pPr>
            <w:r>
              <w:rPr>
                <w:sz w:val="18"/>
                <w:szCs w:val="18"/>
              </w:rPr>
              <w:t>0,790 (2027)</w:t>
            </w:r>
          </w:p>
        </w:tc>
        <w:tc>
          <w:tcPr>
            <w:tcW w:w="210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1CF03261" w14:textId="77777777" w:rsidR="00BA668B" w:rsidRDefault="00BA1B15">
            <w:pPr>
              <w:spacing w:before="40" w:after="40" w:line="240" w:lineRule="auto"/>
              <w:jc w:val="center"/>
              <w:rPr>
                <w:rFonts w:ascii="Times New Roman" w:hAnsi="Times New Roman"/>
                <w:iCs/>
                <w:sz w:val="18"/>
                <w:szCs w:val="18"/>
                <w:highlight w:val="green"/>
                <w:lang w:val="en-US"/>
              </w:rPr>
            </w:pPr>
            <w:r>
              <w:rPr>
                <w:rFonts w:ascii="Times New Roman" w:hAnsi="Times New Roman"/>
                <w:sz w:val="18"/>
                <w:szCs w:val="18"/>
              </w:rPr>
              <w:t>HRD UNDP</w:t>
            </w:r>
          </w:p>
        </w:tc>
        <w:tc>
          <w:tcPr>
            <w:tcW w:w="2006" w:type="dxa"/>
            <w:vMerge/>
            <w:tcBorders>
              <w:top w:val="single" w:sz="4" w:space="0" w:color="000000"/>
              <w:left w:val="single" w:sz="4" w:space="0" w:color="000000"/>
              <w:bottom w:val="single" w:sz="4" w:space="0" w:color="000000"/>
              <w:right w:val="nil"/>
              <w:tl2br w:val="nil"/>
              <w:tr2bl w:val="nil"/>
            </w:tcBorders>
            <w:shd w:val="solid" w:color="FFFFFF" w:fill="auto"/>
            <w:tcMar>
              <w:top w:w="0" w:type="dxa"/>
              <w:left w:w="70" w:type="dxa"/>
              <w:bottom w:w="0" w:type="dxa"/>
              <w:right w:w="70" w:type="dxa"/>
            </w:tcMar>
            <w:vAlign w:val="center"/>
          </w:tcPr>
          <w:p w14:paraId="45C97925" w14:textId="77777777" w:rsidR="00BA668B" w:rsidRDefault="00BA668B"/>
        </w:tc>
      </w:tr>
      <w:tr w:rsidR="00BA668B" w14:paraId="06B948F2" w14:textId="77777777" w:rsidTr="001C0183">
        <w:trPr>
          <w:trHeight w:val="762"/>
        </w:trPr>
        <w:tc>
          <w:tcPr>
            <w:tcW w:w="278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EFE0EA8" w14:textId="77777777" w:rsidR="00BA668B" w:rsidRDefault="00BA668B">
            <w:pPr>
              <w:spacing w:after="0" w:line="240" w:lineRule="auto"/>
              <w:jc w:val="center"/>
              <w:rPr>
                <w:rFonts w:ascii="Times New Roman" w:hAnsi="Times New Roman"/>
                <w:b/>
                <w:bCs/>
              </w:rPr>
            </w:pPr>
          </w:p>
          <w:p w14:paraId="7385470D" w14:textId="77777777" w:rsidR="00BA668B" w:rsidRDefault="00BA1B15">
            <w:pPr>
              <w:spacing w:after="0" w:line="240" w:lineRule="auto"/>
              <w:jc w:val="center"/>
              <w:rPr>
                <w:rFonts w:ascii="Times New Roman" w:hAnsi="Times New Roman"/>
                <w:b/>
                <w:bCs/>
              </w:rPr>
            </w:pPr>
            <w:r>
              <w:rPr>
                <w:rFonts w:ascii="Times New Roman" w:hAnsi="Times New Roman"/>
                <w:b/>
                <w:bCs/>
              </w:rPr>
              <w:t>SPECIFIC OBJECTIVE(S) / OUTCOME(S)</w:t>
            </w:r>
          </w:p>
          <w:p w14:paraId="5B03C006" w14:textId="77777777" w:rsidR="00BA668B" w:rsidRDefault="00BA668B">
            <w:pPr>
              <w:pBdr>
                <w:top w:val="nil"/>
                <w:left w:val="nil"/>
                <w:bottom w:val="nil"/>
                <w:right w:val="nil"/>
                <w:between w:val="nil"/>
              </w:pBdr>
              <w:shd w:val="solid" w:color="FFFFFF" w:fill="auto"/>
              <w:spacing w:before="40" w:after="40" w:line="240" w:lineRule="auto"/>
              <w:jc w:val="center"/>
              <w:rPr>
                <w:rFonts w:ascii="Times New Roman" w:hAnsi="Times New Roman"/>
              </w:rPr>
            </w:pP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9EA7B39" w14:textId="77777777" w:rsidR="00BA668B" w:rsidRDefault="00BA1B15">
            <w:pPr>
              <w:pBdr>
                <w:top w:val="nil"/>
                <w:left w:val="nil"/>
                <w:bottom w:val="nil"/>
                <w:right w:val="nil"/>
                <w:between w:val="nil"/>
              </w:pBdr>
              <w:shd w:val="solid" w:color="FFFFFF" w:fill="auto"/>
              <w:spacing w:before="20" w:after="20" w:line="240" w:lineRule="auto"/>
              <w:jc w:val="center"/>
              <w:rPr>
                <w:rFonts w:ascii="Times New Roman" w:hAnsi="Times New Roman"/>
              </w:rPr>
            </w:pPr>
            <w:r>
              <w:rPr>
                <w:rFonts w:ascii="Times New Roman" w:hAnsi="Times New Roman"/>
                <w:b/>
                <w:bCs/>
              </w:rPr>
              <w:t>OBJECTIVELY VERIFIABLE INDICATORS</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38619C3" w14:textId="77777777" w:rsidR="00BA668B" w:rsidRDefault="00BA1B15">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BASELINE</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A9748CB" w14:textId="77777777" w:rsidR="00BA668B" w:rsidRDefault="00BA1B15">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MILESTONES</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8D096CC" w14:textId="77777777" w:rsidR="00BA668B" w:rsidRDefault="00BA1B15">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TARGETS</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535DE1D" w14:textId="77777777" w:rsidR="00BA668B" w:rsidRDefault="00BA1B15">
            <w:pPr>
              <w:pBdr>
                <w:top w:val="nil"/>
                <w:left w:val="nil"/>
                <w:bottom w:val="nil"/>
                <w:right w:val="nil"/>
                <w:between w:val="nil"/>
              </w:pBdr>
              <w:shd w:val="solid" w:color="FFFFFF" w:fill="auto"/>
              <w:spacing w:before="40" w:after="40" w:line="240" w:lineRule="auto"/>
              <w:jc w:val="center"/>
              <w:rPr>
                <w:rFonts w:ascii="Times New Roman" w:hAnsi="Times New Roman"/>
              </w:rPr>
            </w:pPr>
            <w:r>
              <w:rPr>
                <w:rFonts w:ascii="Times New Roman" w:hAnsi="Times New Roman"/>
                <w:b/>
                <w:bCs/>
              </w:rPr>
              <w:t>SOURCES OF VERIFICATION</w:t>
            </w:r>
          </w:p>
        </w:tc>
        <w:tc>
          <w:tcPr>
            <w:tcW w:w="20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4E96B562" w14:textId="77777777" w:rsidR="00BA668B" w:rsidRDefault="00BA1B15">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ASSUMPTIONS</w:t>
            </w:r>
          </w:p>
        </w:tc>
      </w:tr>
      <w:tr w:rsidR="00084B65" w14:paraId="7403623A" w14:textId="77777777" w:rsidTr="00B073F9">
        <w:trPr>
          <w:trHeight w:val="1282"/>
        </w:trPr>
        <w:tc>
          <w:tcPr>
            <w:tcW w:w="278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D302550" w14:textId="12DD22B5" w:rsidR="00084B65" w:rsidRDefault="00084B65">
            <w:pPr>
              <w:spacing w:before="40" w:after="40" w:line="240" w:lineRule="auto"/>
              <w:rPr>
                <w:rFonts w:ascii="Times New Roman" w:hAnsi="Times New Roman"/>
                <w:iCs/>
                <w:sz w:val="18"/>
                <w:szCs w:val="18"/>
              </w:rPr>
            </w:pPr>
            <w:r>
              <w:rPr>
                <w:rFonts w:ascii="Times New Roman" w:hAnsi="Times New Roman"/>
                <w:iCs/>
                <w:sz w:val="18"/>
                <w:szCs w:val="18"/>
              </w:rPr>
              <w:t>1. To enhance response to gender-based violence and domestic violence</w:t>
            </w:r>
          </w:p>
        </w:tc>
        <w:tc>
          <w:tcPr>
            <w:tcW w:w="2664" w:type="dxa"/>
            <w:tcBorders>
              <w:top w:val="single" w:sz="8" w:space="0" w:color="000000"/>
              <w:left w:val="single" w:sz="8" w:space="0" w:color="000000"/>
              <w:right w:val="single" w:sz="8" w:space="0" w:color="000000"/>
              <w:tl2br w:val="nil"/>
              <w:tr2bl w:val="nil"/>
            </w:tcBorders>
            <w:tcMar>
              <w:top w:w="0" w:type="dxa"/>
              <w:left w:w="70" w:type="dxa"/>
              <w:bottom w:w="0" w:type="dxa"/>
              <w:right w:w="70" w:type="dxa"/>
            </w:tcMar>
            <w:vAlign w:val="center"/>
          </w:tcPr>
          <w:p w14:paraId="0B1426C9" w14:textId="1530E6E0" w:rsidR="00084B65" w:rsidRDefault="00084B65" w:rsidP="00FB328F">
            <w:pPr>
              <w:spacing w:before="20" w:after="20" w:line="240" w:lineRule="auto"/>
              <w:rPr>
                <w:rFonts w:ascii="Times New Roman" w:hAnsi="Times New Roman"/>
                <w:sz w:val="18"/>
                <w:szCs w:val="18"/>
              </w:rPr>
            </w:pPr>
            <w:r>
              <w:rPr>
                <w:rFonts w:ascii="Times New Roman" w:hAnsi="Times New Roman"/>
                <w:bCs/>
                <w:iCs/>
                <w:sz w:val="18"/>
                <w:szCs w:val="18"/>
              </w:rPr>
              <w:t>Percentage of participants (women, LGBTI, disables and minorities) in employment, including self-employment or training, six months after leaving the support measure</w:t>
            </w:r>
            <w:r>
              <w:rPr>
                <w:rStyle w:val="FootnoteReference"/>
                <w:rFonts w:ascii="Times New Roman" w:hAnsi="Times New Roman"/>
                <w:bCs/>
                <w:iCs/>
                <w:sz w:val="18"/>
                <w:szCs w:val="18"/>
              </w:rPr>
              <w:footnoteReference w:id="21"/>
            </w:r>
          </w:p>
        </w:tc>
        <w:tc>
          <w:tcPr>
            <w:tcW w:w="1685" w:type="dxa"/>
            <w:tcBorders>
              <w:top w:val="single" w:sz="8" w:space="0" w:color="000000"/>
              <w:left w:val="single" w:sz="8" w:space="0" w:color="000000"/>
              <w:right w:val="single" w:sz="8" w:space="0" w:color="000000"/>
              <w:tl2br w:val="nil"/>
              <w:tr2bl w:val="nil"/>
            </w:tcBorders>
            <w:tcMar>
              <w:top w:w="0" w:type="dxa"/>
              <w:left w:w="70" w:type="dxa"/>
              <w:bottom w:w="0" w:type="dxa"/>
              <w:right w:w="70" w:type="dxa"/>
            </w:tcMar>
            <w:vAlign w:val="center"/>
          </w:tcPr>
          <w:p w14:paraId="3D4D40A0" w14:textId="7CFF2DAD" w:rsidR="00084B65" w:rsidRPr="00084B65" w:rsidRDefault="00084B65" w:rsidP="00084B65">
            <w:pPr>
              <w:spacing w:after="0" w:line="240" w:lineRule="auto"/>
              <w:jc w:val="center"/>
              <w:rPr>
                <w:rFonts w:ascii="Times New Roman" w:hAnsi="Times New Roman"/>
                <w:strike/>
                <w:sz w:val="18"/>
                <w:szCs w:val="18"/>
              </w:rPr>
            </w:pPr>
            <w:r w:rsidRPr="00084B65">
              <w:rPr>
                <w:rStyle w:val="tlid-translation"/>
                <w:rFonts w:ascii="Times New Roman" w:hAnsi="Times New Roman"/>
                <w:strike/>
                <w:sz w:val="18"/>
                <w:szCs w:val="18"/>
                <w:lang w:val="mk-MK"/>
              </w:rPr>
              <w:t xml:space="preserve"> </w:t>
            </w:r>
          </w:p>
          <w:p w14:paraId="449CB892" w14:textId="57B4FF35" w:rsidR="00084B65" w:rsidRPr="00084B65" w:rsidRDefault="00084B65" w:rsidP="00FB328F">
            <w:pPr>
              <w:spacing w:after="0" w:line="240" w:lineRule="auto"/>
              <w:jc w:val="center"/>
              <w:rPr>
                <w:rFonts w:ascii="Times New Roman" w:hAnsi="Times New Roman"/>
                <w:strike/>
                <w:sz w:val="18"/>
                <w:szCs w:val="18"/>
              </w:rPr>
            </w:pPr>
            <w:r w:rsidRPr="00084B65">
              <w:rPr>
                <w:rStyle w:val="tlid-translation"/>
                <w:rFonts w:ascii="Times New Roman" w:hAnsi="Times New Roman"/>
                <w:sz w:val="18"/>
                <w:szCs w:val="18"/>
                <w:lang w:val="en-US"/>
              </w:rPr>
              <w:t>0 (2021)</w:t>
            </w:r>
          </w:p>
        </w:tc>
        <w:tc>
          <w:tcPr>
            <w:tcW w:w="1925" w:type="dxa"/>
            <w:tcBorders>
              <w:top w:val="single" w:sz="8" w:space="0" w:color="000000"/>
              <w:left w:val="single" w:sz="8" w:space="0" w:color="000000"/>
              <w:right w:val="single" w:sz="8" w:space="0" w:color="000000"/>
              <w:tl2br w:val="nil"/>
              <w:tr2bl w:val="nil"/>
            </w:tcBorders>
            <w:tcMar>
              <w:top w:w="0" w:type="dxa"/>
              <w:left w:w="70" w:type="dxa"/>
              <w:bottom w:w="0" w:type="dxa"/>
              <w:right w:w="70" w:type="dxa"/>
            </w:tcMar>
            <w:vAlign w:val="center"/>
          </w:tcPr>
          <w:p w14:paraId="118A6C7A" w14:textId="64883E68" w:rsidR="00084B65" w:rsidRPr="00084B65" w:rsidRDefault="00084B65" w:rsidP="00084B65">
            <w:pPr>
              <w:spacing w:after="0" w:line="240" w:lineRule="auto"/>
              <w:jc w:val="center"/>
              <w:rPr>
                <w:rFonts w:ascii="Times New Roman" w:hAnsi="Times New Roman"/>
                <w:strike/>
                <w:sz w:val="18"/>
                <w:szCs w:val="18"/>
              </w:rPr>
            </w:pPr>
          </w:p>
          <w:p w14:paraId="4B61A17D" w14:textId="06704583" w:rsidR="00084B65" w:rsidRPr="00084B65" w:rsidRDefault="00084B65" w:rsidP="00FB328F">
            <w:pPr>
              <w:spacing w:after="0" w:line="240" w:lineRule="auto"/>
              <w:jc w:val="center"/>
              <w:rPr>
                <w:rFonts w:ascii="Times New Roman" w:hAnsi="Times New Roman"/>
                <w:strike/>
                <w:sz w:val="18"/>
                <w:szCs w:val="18"/>
              </w:rPr>
            </w:pPr>
            <w:r w:rsidRPr="00FB328F">
              <w:rPr>
                <w:rFonts w:ascii="Times New Roman" w:hAnsi="Times New Roman"/>
                <w:sz w:val="18"/>
                <w:szCs w:val="18"/>
              </w:rPr>
              <w:t>/</w:t>
            </w:r>
          </w:p>
        </w:tc>
        <w:tc>
          <w:tcPr>
            <w:tcW w:w="2019" w:type="dxa"/>
            <w:tcBorders>
              <w:top w:val="single" w:sz="8" w:space="0" w:color="000000"/>
              <w:left w:val="single" w:sz="8" w:space="0" w:color="000000"/>
              <w:right w:val="single" w:sz="8" w:space="0" w:color="000000"/>
              <w:tl2br w:val="nil"/>
              <w:tr2bl w:val="nil"/>
            </w:tcBorders>
            <w:tcMar>
              <w:top w:w="0" w:type="dxa"/>
              <w:left w:w="70" w:type="dxa"/>
              <w:bottom w:w="0" w:type="dxa"/>
              <w:right w:w="70" w:type="dxa"/>
            </w:tcMar>
            <w:vAlign w:val="center"/>
          </w:tcPr>
          <w:p w14:paraId="3E8AD23A" w14:textId="77777777" w:rsidR="00084B65" w:rsidRPr="00FB328F" w:rsidRDefault="00084B65" w:rsidP="00FB328F">
            <w:pPr>
              <w:pStyle w:val="Default"/>
              <w:jc w:val="center"/>
              <w:rPr>
                <w:sz w:val="18"/>
                <w:szCs w:val="18"/>
              </w:rPr>
            </w:pPr>
            <w:r w:rsidRPr="00FB328F">
              <w:rPr>
                <w:rFonts w:eastAsia="Times New Roman"/>
                <w:color w:val="auto"/>
                <w:sz w:val="18"/>
                <w:szCs w:val="18"/>
                <w:lang w:val="en-GB"/>
              </w:rPr>
              <w:t xml:space="preserve">≥ 30% </w:t>
            </w:r>
          </w:p>
          <w:p w14:paraId="0962A538" w14:textId="6EAFDECC" w:rsidR="00084B65" w:rsidRPr="00084B65" w:rsidRDefault="00084B65" w:rsidP="00FB328F">
            <w:pPr>
              <w:spacing w:after="0" w:line="240" w:lineRule="auto"/>
              <w:jc w:val="center"/>
              <w:rPr>
                <w:rFonts w:ascii="Times New Roman" w:hAnsi="Times New Roman"/>
                <w:iCs/>
                <w:strike/>
                <w:sz w:val="18"/>
                <w:szCs w:val="18"/>
              </w:rPr>
            </w:pPr>
            <w:r w:rsidRPr="00FB328F">
              <w:rPr>
                <w:rFonts w:ascii="Times New Roman" w:hAnsi="Times New Roman"/>
                <w:sz w:val="18"/>
                <w:szCs w:val="18"/>
              </w:rPr>
              <w:t>(2026)</w:t>
            </w:r>
          </w:p>
        </w:tc>
        <w:tc>
          <w:tcPr>
            <w:tcW w:w="2106" w:type="dxa"/>
            <w:tcBorders>
              <w:top w:val="single" w:sz="8" w:space="0" w:color="000000"/>
              <w:left w:val="single" w:sz="8" w:space="0" w:color="000000"/>
              <w:right w:val="single" w:sz="8" w:space="0" w:color="000000"/>
              <w:tl2br w:val="nil"/>
              <w:tr2bl w:val="nil"/>
            </w:tcBorders>
            <w:shd w:val="solid" w:color="FFFFFF" w:fill="auto"/>
            <w:tcMar>
              <w:top w:w="0" w:type="dxa"/>
              <w:left w:w="70" w:type="dxa"/>
              <w:bottom w:w="0" w:type="dxa"/>
              <w:right w:w="70" w:type="dxa"/>
            </w:tcMar>
            <w:vAlign w:val="center"/>
          </w:tcPr>
          <w:p w14:paraId="4F2D0384" w14:textId="7532D51A" w:rsidR="00084B65" w:rsidRPr="00084B65" w:rsidRDefault="00084B65" w:rsidP="00084B65">
            <w:pPr>
              <w:pBdr>
                <w:top w:val="nil"/>
                <w:left w:val="nil"/>
                <w:bottom w:val="nil"/>
                <w:right w:val="nil"/>
                <w:between w:val="nil"/>
              </w:pBdr>
              <w:shd w:val="solid" w:color="FFFFFF" w:fill="auto"/>
              <w:spacing w:after="0" w:line="240" w:lineRule="auto"/>
              <w:jc w:val="center"/>
              <w:rPr>
                <w:rFonts w:ascii="Times New Roman" w:hAnsi="Times New Roman"/>
                <w:b/>
                <w:strike/>
                <w:sz w:val="18"/>
                <w:szCs w:val="18"/>
              </w:rPr>
            </w:pPr>
          </w:p>
          <w:p w14:paraId="2868F989" w14:textId="0CECB26D" w:rsidR="00084B65" w:rsidRPr="00084B65" w:rsidRDefault="00084B65" w:rsidP="00FB328F">
            <w:pPr>
              <w:pBdr>
                <w:top w:val="nil"/>
                <w:left w:val="nil"/>
                <w:bottom w:val="nil"/>
                <w:right w:val="nil"/>
                <w:between w:val="nil"/>
              </w:pBdr>
              <w:shd w:val="solid" w:color="FFFFFF" w:fill="auto"/>
              <w:spacing w:after="0" w:line="240" w:lineRule="auto"/>
              <w:jc w:val="center"/>
              <w:rPr>
                <w:rFonts w:ascii="Times New Roman" w:hAnsi="Times New Roman"/>
                <w:b/>
                <w:strike/>
                <w:sz w:val="18"/>
                <w:szCs w:val="18"/>
              </w:rPr>
            </w:pPr>
            <w:r w:rsidRPr="00084B65">
              <w:rPr>
                <w:rFonts w:ascii="Times New Roman" w:hAnsi="Times New Roman"/>
                <w:iCs/>
                <w:sz w:val="18"/>
                <w:szCs w:val="18"/>
                <w:lang w:val="en-US"/>
              </w:rPr>
              <w:t>Employment Service Agency</w:t>
            </w:r>
          </w:p>
        </w:tc>
        <w:tc>
          <w:tcPr>
            <w:tcW w:w="200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5E39CC58" w14:textId="29054107" w:rsidR="00084B65" w:rsidRDefault="00084B65" w:rsidP="00FB328F">
            <w:pPr>
              <w:pBdr>
                <w:top w:val="nil"/>
                <w:left w:val="nil"/>
                <w:bottom w:val="nil"/>
                <w:right w:val="nil"/>
                <w:between w:val="nil"/>
              </w:pBdr>
              <w:shd w:val="solid" w:color="FFFFFF" w:fill="auto"/>
              <w:spacing w:after="0" w:line="240" w:lineRule="auto"/>
              <w:rPr>
                <w:rFonts w:ascii="Times New Roman" w:hAnsi="Times New Roman"/>
                <w:sz w:val="18"/>
                <w:szCs w:val="18"/>
              </w:rPr>
            </w:pPr>
            <w:r>
              <w:rPr>
                <w:rFonts w:ascii="Times New Roman" w:hAnsi="Times New Roman"/>
                <w:sz w:val="18"/>
                <w:szCs w:val="18"/>
              </w:rPr>
              <w:t xml:space="preserve">Positive dynamic on the societal flows and improved socioeconomic conditions in the post-pandemic </w:t>
            </w:r>
            <w:r w:rsidR="00814409">
              <w:rPr>
                <w:rFonts w:ascii="Times New Roman" w:hAnsi="Times New Roman"/>
                <w:sz w:val="18"/>
                <w:szCs w:val="18"/>
              </w:rPr>
              <w:t>period.</w:t>
            </w:r>
            <w:r>
              <w:rPr>
                <w:rFonts w:ascii="Times New Roman" w:hAnsi="Times New Roman"/>
                <w:sz w:val="18"/>
                <w:szCs w:val="18"/>
              </w:rPr>
              <w:t xml:space="preserve"> </w:t>
            </w:r>
          </w:p>
          <w:p w14:paraId="6A61220F" w14:textId="77777777" w:rsidR="00084B65" w:rsidRDefault="00084B65" w:rsidP="00FB328F">
            <w:pPr>
              <w:pBdr>
                <w:top w:val="nil"/>
                <w:left w:val="nil"/>
                <w:bottom w:val="nil"/>
                <w:right w:val="nil"/>
                <w:between w:val="nil"/>
              </w:pBdr>
              <w:shd w:val="solid" w:color="FFFFFF" w:fill="auto"/>
              <w:spacing w:after="0" w:line="240" w:lineRule="auto"/>
              <w:rPr>
                <w:rFonts w:ascii="Times New Roman" w:hAnsi="Times New Roman"/>
                <w:sz w:val="18"/>
                <w:szCs w:val="18"/>
              </w:rPr>
            </w:pPr>
          </w:p>
          <w:p w14:paraId="2B648E57" w14:textId="77777777" w:rsidR="00084B65" w:rsidRDefault="00084B65" w:rsidP="00FB328F">
            <w:pPr>
              <w:pBdr>
                <w:top w:val="nil"/>
                <w:left w:val="nil"/>
                <w:bottom w:val="nil"/>
                <w:right w:val="nil"/>
                <w:between w:val="nil"/>
              </w:pBdr>
              <w:shd w:val="solid" w:color="FFFFFF" w:fill="auto"/>
              <w:spacing w:after="0" w:line="240" w:lineRule="auto"/>
              <w:rPr>
                <w:rFonts w:ascii="Times New Roman" w:hAnsi="Times New Roman"/>
                <w:sz w:val="18"/>
                <w:szCs w:val="18"/>
              </w:rPr>
            </w:pPr>
            <w:r>
              <w:rPr>
                <w:rFonts w:ascii="Times New Roman" w:hAnsi="Times New Roman"/>
                <w:sz w:val="18"/>
                <w:szCs w:val="18"/>
              </w:rPr>
              <w:t>Stable political situation and consistent reform orientation of any new government.</w:t>
            </w:r>
          </w:p>
          <w:p w14:paraId="4BB560DE" w14:textId="77777777" w:rsidR="00084B65" w:rsidRDefault="00084B65" w:rsidP="00DF5A53">
            <w:pPr>
              <w:pBdr>
                <w:top w:val="nil"/>
                <w:left w:val="nil"/>
                <w:bottom w:val="nil"/>
                <w:right w:val="nil"/>
                <w:between w:val="nil"/>
              </w:pBdr>
              <w:shd w:val="solid" w:color="FFFFFF" w:fill="auto"/>
              <w:spacing w:after="0" w:line="240" w:lineRule="auto"/>
              <w:rPr>
                <w:rFonts w:ascii="Times New Roman" w:hAnsi="Times New Roman"/>
                <w:sz w:val="18"/>
                <w:szCs w:val="18"/>
              </w:rPr>
            </w:pPr>
          </w:p>
          <w:p w14:paraId="08520682" w14:textId="77777777" w:rsidR="00084B65" w:rsidRDefault="00084B65">
            <w:pPr>
              <w:pBdr>
                <w:top w:val="nil"/>
                <w:left w:val="nil"/>
                <w:bottom w:val="nil"/>
                <w:right w:val="nil"/>
                <w:between w:val="nil"/>
              </w:pBdr>
              <w:shd w:val="solid" w:color="FFFFFF" w:fill="auto"/>
              <w:spacing w:after="0" w:line="240" w:lineRule="auto"/>
              <w:rPr>
                <w:rFonts w:ascii="Times New Roman" w:hAnsi="Times New Roman"/>
                <w:sz w:val="18"/>
                <w:szCs w:val="18"/>
              </w:rPr>
            </w:pPr>
          </w:p>
          <w:p w14:paraId="4DD0653E" w14:textId="77777777" w:rsidR="00084B65" w:rsidRDefault="00084B65">
            <w:pPr>
              <w:pBdr>
                <w:top w:val="nil"/>
                <w:left w:val="nil"/>
                <w:bottom w:val="nil"/>
                <w:right w:val="nil"/>
                <w:between w:val="nil"/>
              </w:pBdr>
              <w:shd w:val="solid" w:color="FFFFFF" w:fill="auto"/>
              <w:spacing w:after="0" w:line="240" w:lineRule="auto"/>
              <w:rPr>
                <w:rFonts w:ascii="Times New Roman" w:hAnsi="Times New Roman"/>
                <w:sz w:val="18"/>
                <w:szCs w:val="18"/>
              </w:rPr>
            </w:pPr>
          </w:p>
          <w:p w14:paraId="4EC8E852" w14:textId="77777777" w:rsidR="00084B65" w:rsidRDefault="00084B65">
            <w:pPr>
              <w:pBdr>
                <w:top w:val="nil"/>
                <w:left w:val="nil"/>
                <w:bottom w:val="nil"/>
                <w:right w:val="nil"/>
                <w:between w:val="nil"/>
              </w:pBdr>
              <w:shd w:val="solid" w:color="FFFFFF" w:fill="auto"/>
              <w:spacing w:after="0" w:line="240" w:lineRule="auto"/>
              <w:rPr>
                <w:rFonts w:ascii="Times New Roman" w:hAnsi="Times New Roman"/>
                <w:sz w:val="18"/>
                <w:szCs w:val="18"/>
              </w:rPr>
            </w:pPr>
          </w:p>
          <w:p w14:paraId="771B6AD9" w14:textId="77777777" w:rsidR="00084B65" w:rsidRDefault="00084B65">
            <w:pPr>
              <w:pBdr>
                <w:top w:val="nil"/>
                <w:left w:val="nil"/>
                <w:bottom w:val="nil"/>
                <w:right w:val="nil"/>
                <w:between w:val="nil"/>
              </w:pBdr>
              <w:shd w:val="solid" w:color="FFFFFF" w:fill="auto"/>
              <w:spacing w:after="0" w:line="240" w:lineRule="auto"/>
              <w:rPr>
                <w:rFonts w:ascii="Times New Roman" w:hAnsi="Times New Roman"/>
                <w:sz w:val="18"/>
                <w:szCs w:val="18"/>
              </w:rPr>
            </w:pPr>
          </w:p>
          <w:p w14:paraId="0C8561BE" w14:textId="1B7BCAAF" w:rsidR="00084B65" w:rsidRDefault="00084B65">
            <w:pPr>
              <w:pBdr>
                <w:top w:val="nil"/>
                <w:left w:val="nil"/>
                <w:bottom w:val="nil"/>
                <w:right w:val="nil"/>
                <w:between w:val="nil"/>
              </w:pBdr>
              <w:shd w:val="solid" w:color="FFFFFF" w:fill="auto"/>
              <w:spacing w:after="0" w:line="240" w:lineRule="auto"/>
              <w:rPr>
                <w:rFonts w:ascii="Times New Roman" w:hAnsi="Times New Roman"/>
                <w:sz w:val="18"/>
                <w:szCs w:val="18"/>
              </w:rPr>
            </w:pPr>
          </w:p>
        </w:tc>
      </w:tr>
      <w:tr w:rsidR="00BA668B" w14:paraId="262DA994" w14:textId="77777777" w:rsidTr="001C0183">
        <w:trPr>
          <w:trHeight w:val="189"/>
        </w:trPr>
        <w:tc>
          <w:tcPr>
            <w:tcW w:w="2784" w:type="dxa"/>
            <w:vMerge/>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47C5C935" w14:textId="77777777" w:rsidR="00BA668B" w:rsidRDefault="00BA668B"/>
        </w:tc>
        <w:tc>
          <w:tcPr>
            <w:tcW w:w="2664"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09C4C9CD" w14:textId="77777777" w:rsidR="00BA668B" w:rsidRDefault="00BA1B15">
            <w:pPr>
              <w:pBdr>
                <w:top w:val="nil"/>
                <w:left w:val="nil"/>
                <w:bottom w:val="nil"/>
                <w:right w:val="nil"/>
                <w:between w:val="nil"/>
              </w:pBdr>
              <w:shd w:val="solid" w:color="FFFFFF" w:fill="auto"/>
              <w:spacing w:before="20" w:after="20" w:line="240" w:lineRule="auto"/>
              <w:jc w:val="center"/>
              <w:rPr>
                <w:rFonts w:ascii="Times New Roman" w:hAnsi="Times New Roman"/>
                <w:b/>
              </w:rPr>
            </w:pPr>
            <w:r>
              <w:rPr>
                <w:rStyle w:val="tlid-translation"/>
                <w:rFonts w:ascii="Times New Roman" w:hAnsi="Times New Roman"/>
                <w:sz w:val="18"/>
                <w:szCs w:val="18"/>
              </w:rPr>
              <w:t>Number of newly registered victims of domestic violence</w:t>
            </w:r>
          </w:p>
        </w:tc>
        <w:tc>
          <w:tcPr>
            <w:tcW w:w="1685"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5D7E8541" w14:textId="77777777" w:rsidR="00BA668B" w:rsidRPr="00814409" w:rsidRDefault="00BA1B15">
            <w:pPr>
              <w:pBdr>
                <w:top w:val="nil"/>
                <w:left w:val="nil"/>
                <w:bottom w:val="nil"/>
                <w:right w:val="nil"/>
                <w:between w:val="nil"/>
              </w:pBdr>
              <w:shd w:val="solid" w:color="FFFFFF" w:fill="auto"/>
              <w:spacing w:before="40" w:after="40" w:line="240" w:lineRule="auto"/>
              <w:jc w:val="center"/>
              <w:rPr>
                <w:rFonts w:ascii="Times New Roman" w:hAnsi="Times New Roman"/>
                <w:b/>
              </w:rPr>
            </w:pPr>
            <w:r w:rsidRPr="00814409">
              <w:rPr>
                <w:rFonts w:ascii="Times New Roman" w:hAnsi="Times New Roman"/>
                <w:iCs/>
                <w:sz w:val="18"/>
                <w:szCs w:val="18"/>
              </w:rPr>
              <w:t>1608 (2021)</w:t>
            </w:r>
          </w:p>
        </w:tc>
        <w:tc>
          <w:tcPr>
            <w:tcW w:w="1925"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59CAE8E7" w14:textId="77777777" w:rsidR="00BA668B" w:rsidRPr="00814409" w:rsidRDefault="00BA1B15">
            <w:pPr>
              <w:pBdr>
                <w:top w:val="nil"/>
                <w:left w:val="nil"/>
                <w:bottom w:val="nil"/>
                <w:right w:val="nil"/>
                <w:between w:val="nil"/>
              </w:pBdr>
              <w:shd w:val="solid" w:color="FFFFFF" w:fill="auto"/>
              <w:spacing w:before="40" w:after="40" w:line="240" w:lineRule="auto"/>
              <w:jc w:val="center"/>
              <w:rPr>
                <w:rFonts w:ascii="Times New Roman" w:hAnsi="Times New Roman"/>
                <w:b/>
              </w:rPr>
            </w:pPr>
            <w:r w:rsidRPr="00814409">
              <w:rPr>
                <w:rFonts w:ascii="Times New Roman" w:hAnsi="Times New Roman"/>
                <w:b/>
              </w:rPr>
              <w:t>/</w:t>
            </w:r>
          </w:p>
        </w:tc>
        <w:tc>
          <w:tcPr>
            <w:tcW w:w="2019"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5855BB09" w14:textId="77777777" w:rsidR="00BA668B" w:rsidRPr="00814409" w:rsidRDefault="00BA1B15" w:rsidP="001C0183">
            <w:pPr>
              <w:pStyle w:val="Default"/>
              <w:spacing w:before="60" w:after="60"/>
              <w:jc w:val="center"/>
            </w:pPr>
            <w:r w:rsidRPr="00814409">
              <w:rPr>
                <w:rFonts w:eastAsia="Times New Roman"/>
                <w:iCs/>
                <w:color w:val="auto"/>
                <w:sz w:val="18"/>
                <w:szCs w:val="18"/>
                <w:lang w:val="en-GB"/>
              </w:rPr>
              <w:t>1400</w:t>
            </w:r>
          </w:p>
          <w:p w14:paraId="6BF52F4B" w14:textId="733C9188" w:rsidR="00BA668B" w:rsidRPr="00814409" w:rsidRDefault="00BA1B15" w:rsidP="001C0183">
            <w:pPr>
              <w:pBdr>
                <w:top w:val="nil"/>
                <w:left w:val="nil"/>
                <w:bottom w:val="nil"/>
                <w:right w:val="nil"/>
                <w:between w:val="nil"/>
              </w:pBdr>
              <w:shd w:val="solid" w:color="FFFFFF" w:fill="auto"/>
              <w:spacing w:before="40" w:after="40" w:line="240" w:lineRule="auto"/>
              <w:jc w:val="center"/>
              <w:rPr>
                <w:rFonts w:ascii="Times New Roman" w:hAnsi="Times New Roman"/>
                <w:b/>
              </w:rPr>
            </w:pPr>
            <w:r w:rsidRPr="00814409">
              <w:rPr>
                <w:rFonts w:ascii="Times New Roman" w:hAnsi="Times New Roman"/>
                <w:iCs/>
                <w:sz w:val="18"/>
                <w:szCs w:val="18"/>
              </w:rPr>
              <w:t>(2026)</w:t>
            </w:r>
          </w:p>
        </w:tc>
        <w:tc>
          <w:tcPr>
            <w:tcW w:w="2106" w:type="dxa"/>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70" w:type="dxa"/>
              <w:bottom w:w="0" w:type="dxa"/>
              <w:right w:w="70" w:type="dxa"/>
            </w:tcMar>
            <w:vAlign w:val="center"/>
          </w:tcPr>
          <w:p w14:paraId="38244715" w14:textId="77777777" w:rsidR="00BA668B" w:rsidRPr="001C0183" w:rsidRDefault="00BA1B15">
            <w:pPr>
              <w:pBdr>
                <w:top w:val="nil"/>
                <w:left w:val="nil"/>
                <w:bottom w:val="nil"/>
                <w:right w:val="nil"/>
                <w:between w:val="nil"/>
              </w:pBdr>
              <w:shd w:val="solid" w:color="FFFFFF" w:fill="auto"/>
              <w:spacing w:before="40" w:after="40" w:line="240" w:lineRule="auto"/>
              <w:jc w:val="center"/>
              <w:rPr>
                <w:rFonts w:ascii="Times New Roman" w:hAnsi="Times New Roman"/>
                <w:b/>
                <w:sz w:val="18"/>
                <w:szCs w:val="18"/>
              </w:rPr>
            </w:pPr>
            <w:r w:rsidRPr="001C0183">
              <w:rPr>
                <w:rFonts w:ascii="Times New Roman" w:hAnsi="Times New Roman"/>
                <w:iCs/>
                <w:sz w:val="18"/>
                <w:szCs w:val="18"/>
              </w:rPr>
              <w:t>State Statistical Office</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62C7CDC3" w14:textId="77777777" w:rsidR="00BA668B" w:rsidRDefault="00BA668B"/>
        </w:tc>
      </w:tr>
      <w:tr w:rsidR="006C0F83" w14:paraId="0A3ECD3C" w14:textId="77777777" w:rsidTr="00516AAA">
        <w:trPr>
          <w:trHeight w:val="342"/>
        </w:trPr>
        <w:tc>
          <w:tcPr>
            <w:tcW w:w="2784" w:type="dxa"/>
            <w:vMerge w:val="restart"/>
            <w:tcBorders>
              <w:top w:val="single" w:sz="4" w:space="0" w:color="000000"/>
              <w:left w:val="single" w:sz="4" w:space="0" w:color="000000"/>
              <w:right w:val="single" w:sz="4" w:space="0" w:color="000000"/>
              <w:tl2br w:val="nil"/>
              <w:tr2bl w:val="nil"/>
            </w:tcBorders>
            <w:tcMar>
              <w:top w:w="0" w:type="dxa"/>
              <w:left w:w="70" w:type="dxa"/>
              <w:bottom w:w="0" w:type="dxa"/>
              <w:right w:w="70" w:type="dxa"/>
            </w:tcMar>
            <w:vAlign w:val="center"/>
          </w:tcPr>
          <w:p w14:paraId="6C47B8DD" w14:textId="3A263710" w:rsidR="006C0F83" w:rsidRDefault="006C0F83">
            <w:pPr>
              <w:spacing w:before="40" w:after="40" w:line="240" w:lineRule="auto"/>
              <w:rPr>
                <w:rFonts w:ascii="Times New Roman" w:hAnsi="Times New Roman"/>
                <w:bCs/>
                <w:iCs/>
                <w:sz w:val="18"/>
                <w:szCs w:val="18"/>
              </w:rPr>
            </w:pPr>
            <w:r>
              <w:rPr>
                <w:rFonts w:ascii="Times New Roman" w:hAnsi="Times New Roman"/>
                <w:iCs/>
                <w:sz w:val="18"/>
                <w:szCs w:val="18"/>
              </w:rPr>
              <w:t>2. To promote</w:t>
            </w:r>
            <w:r w:rsidR="00084B65">
              <w:rPr>
                <w:rFonts w:ascii="Times New Roman" w:hAnsi="Times New Roman"/>
                <w:iCs/>
                <w:sz w:val="18"/>
                <w:szCs w:val="18"/>
              </w:rPr>
              <w:t xml:space="preserve"> the</w:t>
            </w:r>
            <w:r>
              <w:rPr>
                <w:rFonts w:ascii="Times New Roman" w:hAnsi="Times New Roman"/>
                <w:iCs/>
                <w:sz w:val="18"/>
                <w:szCs w:val="18"/>
              </w:rPr>
              <w:t xml:space="preserve"> right to education for vulnerable people </w:t>
            </w:r>
            <w:r w:rsidR="00084B65">
              <w:rPr>
                <w:rFonts w:ascii="Times New Roman" w:hAnsi="Times New Roman"/>
                <w:iCs/>
                <w:sz w:val="18"/>
                <w:szCs w:val="18"/>
              </w:rPr>
              <w:t>in line with the EU No-one-left-Behind principle</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68BE6E8" w14:textId="671B3AF3" w:rsidR="006C0F83" w:rsidRPr="00814409" w:rsidRDefault="006C0F83" w:rsidP="00FB328F">
            <w:pPr>
              <w:spacing w:before="20" w:after="20" w:line="240" w:lineRule="auto"/>
              <w:rPr>
                <w:rFonts w:ascii="Times New Roman" w:hAnsi="Times New Roman"/>
                <w:color w:val="000000" w:themeColor="text1"/>
                <w:sz w:val="18"/>
                <w:szCs w:val="18"/>
              </w:rPr>
            </w:pPr>
            <w:r w:rsidRPr="00814409">
              <w:rPr>
                <w:rFonts w:ascii="Times New Roman" w:hAnsi="Times New Roman"/>
                <w:color w:val="000000" w:themeColor="text1"/>
                <w:sz w:val="18"/>
                <w:szCs w:val="18"/>
              </w:rPr>
              <w:t>Number of SEN students</w:t>
            </w:r>
            <w:r w:rsidRPr="00814409">
              <w:rPr>
                <w:color w:val="000000" w:themeColor="text1"/>
                <w:sz w:val="18"/>
                <w:szCs w:val="18"/>
              </w:rPr>
              <w:t xml:space="preserve"> </w:t>
            </w:r>
            <w:r w:rsidRPr="00814409">
              <w:rPr>
                <w:rFonts w:ascii="Times New Roman" w:hAnsi="Times New Roman"/>
                <w:color w:val="000000" w:themeColor="text1"/>
                <w:sz w:val="18"/>
                <w:szCs w:val="18"/>
              </w:rPr>
              <w:t>enrolled in the regular primary, lower secondary, and special schools</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026060F" w14:textId="5FCF13CF" w:rsidR="006C0F83" w:rsidRPr="00814409" w:rsidRDefault="006C0F83">
            <w:pPr>
              <w:spacing w:before="40" w:after="40" w:line="240" w:lineRule="auto"/>
              <w:jc w:val="center"/>
              <w:rPr>
                <w:rFonts w:ascii="Times New Roman" w:hAnsi="Times New Roman"/>
                <w:iCs/>
                <w:color w:val="000000" w:themeColor="text1"/>
                <w:sz w:val="18"/>
                <w:szCs w:val="18"/>
              </w:rPr>
            </w:pPr>
            <w:r w:rsidRPr="00814409">
              <w:rPr>
                <w:rFonts w:ascii="Times New Roman" w:hAnsi="Times New Roman"/>
                <w:iCs/>
                <w:color w:val="000000" w:themeColor="text1"/>
                <w:sz w:val="18"/>
                <w:szCs w:val="18"/>
              </w:rPr>
              <w:t>1,455 (2021/2022)</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DC334A2" w14:textId="77777777" w:rsidR="006C0F83" w:rsidRPr="00814409" w:rsidRDefault="006C0F83">
            <w:pPr>
              <w:spacing w:before="40" w:after="40" w:line="240" w:lineRule="auto"/>
              <w:jc w:val="center"/>
              <w:rPr>
                <w:rFonts w:ascii="Times New Roman" w:hAnsi="Times New Roman"/>
                <w:iCs/>
                <w:color w:val="000000" w:themeColor="text1"/>
                <w:sz w:val="18"/>
                <w:szCs w:val="18"/>
              </w:rPr>
            </w:pPr>
            <w:r w:rsidRPr="00814409">
              <w:rPr>
                <w:rFonts w:ascii="Times New Roman" w:hAnsi="Times New Roman"/>
                <w:iCs/>
                <w:color w:val="000000" w:themeColor="text1"/>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4C6F3C1" w14:textId="4C08BFA0" w:rsidR="006C0F83" w:rsidRPr="00814409" w:rsidRDefault="006C0F83" w:rsidP="006C0F83">
            <w:pPr>
              <w:spacing w:before="40" w:after="40" w:line="240" w:lineRule="auto"/>
              <w:jc w:val="center"/>
              <w:rPr>
                <w:rFonts w:ascii="Times New Roman" w:hAnsi="Times New Roman"/>
                <w:iCs/>
                <w:color w:val="000000" w:themeColor="text1"/>
                <w:sz w:val="18"/>
                <w:szCs w:val="18"/>
              </w:rPr>
            </w:pPr>
            <w:r w:rsidRPr="00814409">
              <w:rPr>
                <w:rFonts w:ascii="Times New Roman" w:hAnsi="Times New Roman"/>
                <w:iCs/>
                <w:color w:val="000000" w:themeColor="text1"/>
                <w:sz w:val="18"/>
                <w:szCs w:val="18"/>
              </w:rPr>
              <w:t>≥ 1,800 (2026)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F822933" w14:textId="30077A46" w:rsidR="006C0F83" w:rsidRPr="00814409" w:rsidRDefault="006C0F83">
            <w:pPr>
              <w:spacing w:before="40" w:after="40" w:line="240" w:lineRule="auto"/>
              <w:jc w:val="center"/>
              <w:rPr>
                <w:rFonts w:ascii="Times New Roman" w:hAnsi="Times New Roman"/>
                <w:iCs/>
                <w:color w:val="000000" w:themeColor="text1"/>
                <w:sz w:val="18"/>
                <w:szCs w:val="18"/>
                <w:lang w:val="en-US"/>
              </w:rPr>
            </w:pPr>
            <w:r w:rsidRPr="00814409">
              <w:rPr>
                <w:rFonts w:ascii="Times New Roman" w:hAnsi="Times New Roman"/>
                <w:iCs/>
                <w:color w:val="000000" w:themeColor="text1"/>
                <w:sz w:val="18"/>
                <w:szCs w:val="18"/>
                <w:lang w:val="en-US"/>
              </w:rPr>
              <w:t>MoES</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7F736D8E" w14:textId="77777777" w:rsidR="006C0F83" w:rsidRDefault="006C0F83"/>
        </w:tc>
      </w:tr>
      <w:tr w:rsidR="006C0F83" w14:paraId="372A0DF8" w14:textId="77777777" w:rsidTr="00516AAA">
        <w:trPr>
          <w:trHeight w:val="370"/>
        </w:trPr>
        <w:tc>
          <w:tcPr>
            <w:tcW w:w="2784" w:type="dxa"/>
            <w:vMerge/>
            <w:tcBorders>
              <w:left w:val="single" w:sz="4" w:space="0" w:color="000000"/>
              <w:right w:val="single" w:sz="4" w:space="0" w:color="000000"/>
              <w:tl2br w:val="nil"/>
              <w:tr2bl w:val="nil"/>
            </w:tcBorders>
            <w:tcMar>
              <w:top w:w="0" w:type="dxa"/>
              <w:left w:w="70" w:type="dxa"/>
              <w:bottom w:w="0" w:type="dxa"/>
              <w:right w:w="70" w:type="dxa"/>
            </w:tcMar>
            <w:vAlign w:val="center"/>
          </w:tcPr>
          <w:p w14:paraId="265438F6" w14:textId="77777777" w:rsidR="006C0F83" w:rsidRDefault="006C0F83"/>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819F7C2" w14:textId="15B1B999" w:rsidR="006C0F83" w:rsidRPr="001C0183" w:rsidRDefault="006C0F83" w:rsidP="001C0183">
            <w:pPr>
              <w:spacing w:before="20" w:after="20" w:line="240" w:lineRule="auto"/>
              <w:rPr>
                <w:rFonts w:ascii="Times New Roman" w:hAnsi="Times New Roman"/>
                <w:sz w:val="18"/>
                <w:szCs w:val="18"/>
              </w:rPr>
            </w:pPr>
            <w:r w:rsidRPr="001C0183">
              <w:rPr>
                <w:rFonts w:ascii="Times New Roman" w:hAnsi="Times New Roman"/>
                <w:sz w:val="18"/>
                <w:szCs w:val="18"/>
              </w:rPr>
              <w:t>Percentage of the population over the age of 15 in the country with unsatisfactory level education (2020)</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7427E67" w14:textId="5D6CBC88" w:rsidR="006C0F83" w:rsidRPr="001C0183" w:rsidRDefault="006C0F83">
            <w:pPr>
              <w:spacing w:before="40" w:after="40" w:line="240" w:lineRule="auto"/>
              <w:jc w:val="center"/>
              <w:rPr>
                <w:rFonts w:ascii="Times New Roman" w:hAnsi="Times New Roman"/>
                <w:iCs/>
                <w:sz w:val="18"/>
                <w:szCs w:val="18"/>
              </w:rPr>
            </w:pPr>
            <w:r w:rsidRPr="001C0183">
              <w:rPr>
                <w:rFonts w:ascii="Times New Roman" w:hAnsi="Times New Roman"/>
                <w:iCs/>
                <w:sz w:val="18"/>
                <w:szCs w:val="18"/>
              </w:rPr>
              <w:t>38% (2020)</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CF826B5" w14:textId="77777777" w:rsidR="006C0F83" w:rsidRPr="001C0183" w:rsidRDefault="006C0F83">
            <w:pPr>
              <w:spacing w:before="40" w:after="40" w:line="240" w:lineRule="auto"/>
              <w:jc w:val="center"/>
              <w:rPr>
                <w:rFonts w:ascii="Times New Roman" w:hAnsi="Times New Roman"/>
                <w:iCs/>
                <w:color w:val="000000"/>
                <w:sz w:val="18"/>
                <w:szCs w:val="18"/>
              </w:rPr>
            </w:pPr>
            <w:r w:rsidRPr="001C0183">
              <w:rPr>
                <w:rFonts w:ascii="Times New Roman" w:hAnsi="Times New Roman"/>
                <w:iCs/>
                <w:color w:val="000000"/>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6F1E02B" w14:textId="06AC31DF" w:rsidR="006C0F83" w:rsidRPr="001C0183" w:rsidRDefault="006C0F83">
            <w:pPr>
              <w:spacing w:before="40" w:after="40" w:line="240" w:lineRule="auto"/>
              <w:jc w:val="center"/>
              <w:rPr>
                <w:rFonts w:ascii="Times New Roman" w:hAnsi="Times New Roman"/>
                <w:iCs/>
                <w:color w:val="000000"/>
                <w:sz w:val="18"/>
                <w:szCs w:val="18"/>
              </w:rPr>
            </w:pPr>
            <w:r w:rsidRPr="006C0F83">
              <w:rPr>
                <w:rFonts w:ascii="Times New Roman" w:hAnsi="Times New Roman"/>
                <w:iCs/>
                <w:color w:val="000000"/>
                <w:sz w:val="18"/>
                <w:szCs w:val="18"/>
              </w:rPr>
              <w:t>≤ 30%</w:t>
            </w:r>
            <w:r w:rsidRPr="001C0183">
              <w:rPr>
                <w:rFonts w:ascii="Times New Roman" w:hAnsi="Times New Roman"/>
                <w:iCs/>
                <w:color w:val="000000"/>
                <w:sz w:val="18"/>
                <w:szCs w:val="18"/>
              </w:rPr>
              <w:t xml:space="preserve"> (2026)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831B98D" w14:textId="3365A817" w:rsidR="006C0F83" w:rsidRPr="001C0183" w:rsidRDefault="006C0F83">
            <w:pPr>
              <w:spacing w:before="40" w:after="40" w:line="240" w:lineRule="auto"/>
              <w:jc w:val="center"/>
              <w:rPr>
                <w:rFonts w:ascii="Times New Roman" w:hAnsi="Times New Roman"/>
                <w:iCs/>
                <w:sz w:val="18"/>
                <w:szCs w:val="18"/>
                <w:lang w:val="en-US"/>
              </w:rPr>
            </w:pPr>
            <w:r w:rsidRPr="001C0183">
              <w:rPr>
                <w:rFonts w:ascii="Times New Roman" w:hAnsi="Times New Roman"/>
                <w:iCs/>
                <w:sz w:val="18"/>
                <w:szCs w:val="18"/>
                <w:lang w:val="en-US"/>
              </w:rPr>
              <w:t>MoES</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46A8073A" w14:textId="77777777" w:rsidR="006C0F83" w:rsidRDefault="006C0F83"/>
        </w:tc>
      </w:tr>
      <w:tr w:rsidR="006C0F83" w14:paraId="5BFEC887" w14:textId="77777777" w:rsidTr="00516AAA">
        <w:trPr>
          <w:trHeight w:val="370"/>
        </w:trPr>
        <w:tc>
          <w:tcPr>
            <w:tcW w:w="2784" w:type="dxa"/>
            <w:vMerge/>
            <w:tcBorders>
              <w:left w:val="single" w:sz="4" w:space="0" w:color="000000"/>
              <w:right w:val="single" w:sz="4" w:space="0" w:color="000000"/>
              <w:tl2br w:val="nil"/>
              <w:tr2bl w:val="nil"/>
            </w:tcBorders>
            <w:tcMar>
              <w:top w:w="0" w:type="dxa"/>
              <w:left w:w="70" w:type="dxa"/>
              <w:bottom w:w="0" w:type="dxa"/>
              <w:right w:w="70" w:type="dxa"/>
            </w:tcMar>
            <w:vAlign w:val="center"/>
          </w:tcPr>
          <w:p w14:paraId="6F427751" w14:textId="77777777" w:rsidR="006C0F83" w:rsidRDefault="006C0F83"/>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3E8581C" w14:textId="08ACDF79" w:rsidR="006C0F83" w:rsidRPr="006C0F83" w:rsidRDefault="006C0F83" w:rsidP="006C0F83">
            <w:pPr>
              <w:spacing w:before="20" w:after="20" w:line="240" w:lineRule="auto"/>
              <w:rPr>
                <w:rFonts w:ascii="Times New Roman" w:hAnsi="Times New Roman"/>
                <w:sz w:val="18"/>
                <w:szCs w:val="18"/>
              </w:rPr>
            </w:pPr>
            <w:r>
              <w:rPr>
                <w:rFonts w:ascii="Times New Roman" w:hAnsi="Times New Roman"/>
                <w:sz w:val="18"/>
                <w:szCs w:val="18"/>
              </w:rPr>
              <w:t>T</w:t>
            </w:r>
            <w:r w:rsidRPr="006C0F83">
              <w:rPr>
                <w:rFonts w:ascii="Times New Roman" w:hAnsi="Times New Roman"/>
                <w:sz w:val="18"/>
                <w:szCs w:val="18"/>
              </w:rPr>
              <w:t xml:space="preserve">ransition rate of </w:t>
            </w:r>
            <w:r w:rsidR="00684FA8">
              <w:rPr>
                <w:rFonts w:ascii="Times New Roman" w:hAnsi="Times New Roman"/>
                <w:sz w:val="18"/>
                <w:szCs w:val="18"/>
              </w:rPr>
              <w:t>R</w:t>
            </w:r>
            <w:r w:rsidRPr="006C0F83">
              <w:rPr>
                <w:rFonts w:ascii="Times New Roman" w:hAnsi="Times New Roman"/>
                <w:sz w:val="18"/>
                <w:szCs w:val="18"/>
              </w:rPr>
              <w:t>oma pupils from primary to secondary educatio</w:t>
            </w:r>
            <w:r w:rsidR="00684FA8">
              <w:rPr>
                <w:rFonts w:ascii="Times New Roman" w:hAnsi="Times New Roman"/>
                <w:sz w:val="18"/>
                <w:szCs w:val="18"/>
              </w:rPr>
              <w:t>n</w:t>
            </w:r>
            <w:r w:rsidR="00684FA8">
              <w:rPr>
                <w:rStyle w:val="FootnoteReference"/>
                <w:rFonts w:ascii="Times New Roman" w:hAnsi="Times New Roman"/>
                <w:sz w:val="18"/>
                <w:szCs w:val="18"/>
              </w:rPr>
              <w:footnoteReference w:id="22"/>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3890369" w14:textId="4542DAD3" w:rsidR="006C0F83" w:rsidRPr="006C0F83" w:rsidRDefault="00684FA8">
            <w:pPr>
              <w:spacing w:before="40" w:after="40" w:line="240" w:lineRule="auto"/>
              <w:jc w:val="center"/>
              <w:rPr>
                <w:rFonts w:ascii="Times New Roman" w:hAnsi="Times New Roman"/>
                <w:iCs/>
                <w:sz w:val="18"/>
                <w:szCs w:val="18"/>
              </w:rPr>
            </w:pPr>
            <w:r>
              <w:rPr>
                <w:rFonts w:ascii="Times New Roman" w:hAnsi="Times New Roman"/>
                <w:iCs/>
                <w:sz w:val="18"/>
                <w:szCs w:val="18"/>
              </w:rPr>
              <w:t>87% (2018)</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A54B9CD" w14:textId="77777777" w:rsidR="006C0F83" w:rsidRPr="006C0F83" w:rsidRDefault="006C0F83">
            <w:pPr>
              <w:spacing w:before="40" w:after="40" w:line="240" w:lineRule="auto"/>
              <w:jc w:val="center"/>
              <w:rPr>
                <w:rFonts w:ascii="Times New Roman" w:hAnsi="Times New Roman"/>
                <w:iCs/>
                <w:color w:val="000000"/>
                <w:sz w:val="18"/>
                <w:szCs w:val="18"/>
              </w:rPr>
            </w:pP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F689B1B" w14:textId="1701FC33" w:rsidR="006C0F83" w:rsidRPr="006C0F83" w:rsidRDefault="00684FA8">
            <w:pPr>
              <w:spacing w:before="40" w:after="40" w:line="240" w:lineRule="auto"/>
              <w:jc w:val="center"/>
              <w:rPr>
                <w:rFonts w:ascii="Times New Roman" w:hAnsi="Times New Roman"/>
                <w:iCs/>
                <w:color w:val="000000"/>
                <w:sz w:val="18"/>
                <w:szCs w:val="18"/>
              </w:rPr>
            </w:pPr>
            <w:r w:rsidRPr="006C0F83">
              <w:rPr>
                <w:rFonts w:ascii="Times New Roman" w:hAnsi="Times New Roman"/>
                <w:iCs/>
                <w:color w:val="000000"/>
                <w:sz w:val="18"/>
                <w:szCs w:val="18"/>
              </w:rPr>
              <w:t xml:space="preserve">≥ </w:t>
            </w:r>
            <w:r>
              <w:rPr>
                <w:rFonts w:ascii="Times New Roman" w:hAnsi="Times New Roman"/>
                <w:iCs/>
                <w:color w:val="000000"/>
                <w:sz w:val="18"/>
                <w:szCs w:val="18"/>
              </w:rPr>
              <w:t>91%</w:t>
            </w:r>
            <w:r w:rsidRPr="001C0183">
              <w:rPr>
                <w:rFonts w:ascii="Times New Roman" w:hAnsi="Times New Roman"/>
                <w:iCs/>
                <w:color w:val="000000"/>
                <w:sz w:val="18"/>
                <w:szCs w:val="18"/>
              </w:rPr>
              <w:t xml:space="preserve"> (2026)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B13260A" w14:textId="18081225" w:rsidR="006C0F83" w:rsidRPr="006C0F83" w:rsidRDefault="00684FA8">
            <w:pPr>
              <w:spacing w:before="40" w:after="40" w:line="240" w:lineRule="auto"/>
              <w:jc w:val="center"/>
              <w:rPr>
                <w:rFonts w:ascii="Times New Roman" w:hAnsi="Times New Roman"/>
                <w:iCs/>
                <w:sz w:val="18"/>
                <w:szCs w:val="18"/>
                <w:lang w:val="en-US"/>
              </w:rPr>
            </w:pPr>
            <w:r>
              <w:rPr>
                <w:rFonts w:ascii="Times New Roman" w:hAnsi="Times New Roman"/>
                <w:iCs/>
                <w:sz w:val="18"/>
                <w:szCs w:val="18"/>
                <w:lang w:val="en-US"/>
              </w:rPr>
              <w:t>MoES</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18A70F33" w14:textId="77777777" w:rsidR="006C0F83" w:rsidRDefault="006C0F83"/>
        </w:tc>
      </w:tr>
      <w:tr w:rsidR="00684FA8" w14:paraId="4A3C83CD" w14:textId="77777777" w:rsidTr="00516AAA">
        <w:trPr>
          <w:trHeight w:val="370"/>
        </w:trPr>
        <w:tc>
          <w:tcPr>
            <w:tcW w:w="2784" w:type="dxa"/>
            <w:vMerge/>
            <w:tcBorders>
              <w:left w:val="single" w:sz="4" w:space="0" w:color="000000"/>
              <w:right w:val="single" w:sz="4" w:space="0" w:color="000000"/>
              <w:tl2br w:val="nil"/>
              <w:tr2bl w:val="nil"/>
            </w:tcBorders>
            <w:tcMar>
              <w:top w:w="0" w:type="dxa"/>
              <w:left w:w="70" w:type="dxa"/>
              <w:bottom w:w="0" w:type="dxa"/>
              <w:right w:w="70" w:type="dxa"/>
            </w:tcMar>
            <w:vAlign w:val="center"/>
          </w:tcPr>
          <w:p w14:paraId="59D019DD" w14:textId="77777777" w:rsidR="00684FA8" w:rsidRDefault="00684FA8" w:rsidP="00684FA8"/>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F7D2601" w14:textId="585E19AC" w:rsidR="00684FA8" w:rsidRPr="006C0F83" w:rsidRDefault="00DF5A53" w:rsidP="00684FA8">
            <w:pPr>
              <w:spacing w:before="20" w:after="20" w:line="240" w:lineRule="auto"/>
              <w:rPr>
                <w:rFonts w:ascii="Times New Roman" w:hAnsi="Times New Roman"/>
                <w:sz w:val="18"/>
                <w:szCs w:val="18"/>
              </w:rPr>
            </w:pPr>
            <w:r>
              <w:rPr>
                <w:rFonts w:ascii="Times New Roman" w:hAnsi="Times New Roman"/>
                <w:sz w:val="18"/>
                <w:szCs w:val="18"/>
              </w:rPr>
              <w:t>Transition</w:t>
            </w:r>
            <w:r w:rsidR="00684FA8" w:rsidRPr="00684FA8">
              <w:rPr>
                <w:rFonts w:ascii="Times New Roman" w:hAnsi="Times New Roman"/>
                <w:sz w:val="18"/>
                <w:szCs w:val="18"/>
              </w:rPr>
              <w:t xml:space="preserve"> rate of </w:t>
            </w:r>
            <w:r>
              <w:rPr>
                <w:rFonts w:ascii="Times New Roman" w:hAnsi="Times New Roman"/>
                <w:sz w:val="18"/>
                <w:szCs w:val="18"/>
              </w:rPr>
              <w:t>R</w:t>
            </w:r>
            <w:r w:rsidR="00684FA8" w:rsidRPr="00684FA8">
              <w:rPr>
                <w:rFonts w:ascii="Times New Roman" w:hAnsi="Times New Roman"/>
                <w:sz w:val="18"/>
                <w:szCs w:val="18"/>
              </w:rPr>
              <w:t>oma pupils from secondary education to tertiary education</w:t>
            </w:r>
            <w:r w:rsidR="00684FA8">
              <w:rPr>
                <w:rStyle w:val="FootnoteReference"/>
                <w:rFonts w:ascii="Times New Roman" w:hAnsi="Times New Roman"/>
                <w:sz w:val="18"/>
                <w:szCs w:val="18"/>
              </w:rPr>
              <w:t xml:space="preserve"> </w:t>
            </w:r>
            <w:r w:rsidR="00684FA8">
              <w:rPr>
                <w:rStyle w:val="FootnoteReference"/>
                <w:rFonts w:ascii="Times New Roman" w:hAnsi="Times New Roman"/>
                <w:sz w:val="18"/>
                <w:szCs w:val="18"/>
              </w:rPr>
              <w:footnoteReference w:id="23"/>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F27AB5D" w14:textId="0CB75BA6" w:rsidR="00684FA8" w:rsidRPr="006C0F83" w:rsidRDefault="00684FA8" w:rsidP="00684FA8">
            <w:pPr>
              <w:spacing w:before="40" w:after="40" w:line="240" w:lineRule="auto"/>
              <w:jc w:val="center"/>
              <w:rPr>
                <w:rFonts w:ascii="Times New Roman" w:hAnsi="Times New Roman"/>
                <w:iCs/>
                <w:sz w:val="18"/>
                <w:szCs w:val="18"/>
              </w:rPr>
            </w:pPr>
            <w:r>
              <w:rPr>
                <w:rFonts w:ascii="Times New Roman" w:hAnsi="Times New Roman"/>
                <w:iCs/>
                <w:sz w:val="18"/>
                <w:szCs w:val="18"/>
              </w:rPr>
              <w:t>40% (2018)</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4FE5CEB3" w14:textId="77777777" w:rsidR="00684FA8" w:rsidRPr="006C0F83" w:rsidRDefault="00684FA8" w:rsidP="00684FA8">
            <w:pPr>
              <w:spacing w:before="40" w:after="40" w:line="240" w:lineRule="auto"/>
              <w:jc w:val="center"/>
              <w:rPr>
                <w:rFonts w:ascii="Times New Roman" w:hAnsi="Times New Roman"/>
                <w:iCs/>
                <w:color w:val="000000"/>
                <w:sz w:val="18"/>
                <w:szCs w:val="18"/>
              </w:rPr>
            </w:pP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E37808B" w14:textId="4234EF3E" w:rsidR="00684FA8" w:rsidRPr="006C0F83" w:rsidRDefault="00684FA8" w:rsidP="00684FA8">
            <w:pPr>
              <w:spacing w:before="40" w:after="40" w:line="240" w:lineRule="auto"/>
              <w:jc w:val="center"/>
              <w:rPr>
                <w:rFonts w:ascii="Times New Roman" w:hAnsi="Times New Roman"/>
                <w:iCs/>
                <w:color w:val="000000"/>
                <w:sz w:val="18"/>
                <w:szCs w:val="18"/>
              </w:rPr>
            </w:pPr>
            <w:r w:rsidRPr="006C0F83">
              <w:rPr>
                <w:rFonts w:ascii="Times New Roman" w:hAnsi="Times New Roman"/>
                <w:iCs/>
                <w:color w:val="000000"/>
                <w:sz w:val="18"/>
                <w:szCs w:val="18"/>
              </w:rPr>
              <w:t xml:space="preserve">≥ </w:t>
            </w:r>
            <w:r>
              <w:rPr>
                <w:rFonts w:ascii="Times New Roman" w:hAnsi="Times New Roman"/>
                <w:iCs/>
                <w:color w:val="000000"/>
                <w:sz w:val="18"/>
                <w:szCs w:val="18"/>
              </w:rPr>
              <w:t>54%</w:t>
            </w:r>
            <w:r w:rsidRPr="001C0183">
              <w:rPr>
                <w:rFonts w:ascii="Times New Roman" w:hAnsi="Times New Roman"/>
                <w:iCs/>
                <w:color w:val="000000"/>
                <w:sz w:val="18"/>
                <w:szCs w:val="18"/>
              </w:rPr>
              <w:t xml:space="preserve"> (2026)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24B3454" w14:textId="089A3DCA" w:rsidR="00684FA8" w:rsidRPr="006C0F83" w:rsidRDefault="00684FA8" w:rsidP="00684FA8">
            <w:pPr>
              <w:spacing w:before="40" w:after="40" w:line="240" w:lineRule="auto"/>
              <w:jc w:val="center"/>
              <w:rPr>
                <w:rFonts w:ascii="Times New Roman" w:hAnsi="Times New Roman"/>
                <w:iCs/>
                <w:sz w:val="18"/>
                <w:szCs w:val="18"/>
                <w:lang w:val="en-US"/>
              </w:rPr>
            </w:pPr>
            <w:r>
              <w:rPr>
                <w:rFonts w:ascii="Times New Roman" w:hAnsi="Times New Roman"/>
                <w:iCs/>
                <w:sz w:val="18"/>
                <w:szCs w:val="18"/>
                <w:lang w:val="en-US"/>
              </w:rPr>
              <w:t>MoES</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4A236091" w14:textId="77777777" w:rsidR="00684FA8" w:rsidRDefault="00684FA8" w:rsidP="00684FA8"/>
        </w:tc>
      </w:tr>
      <w:tr w:rsidR="00684FA8" w14:paraId="6DCAAC20" w14:textId="77777777" w:rsidTr="001C0183">
        <w:trPr>
          <w:trHeight w:val="79"/>
        </w:trPr>
        <w:tc>
          <w:tcPr>
            <w:tcW w:w="278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366AB06" w14:textId="71ECD037" w:rsidR="00684FA8" w:rsidRPr="00814409" w:rsidRDefault="00684FA8" w:rsidP="00684FA8">
            <w:pPr>
              <w:spacing w:before="40" w:after="40" w:line="240" w:lineRule="auto"/>
              <w:rPr>
                <w:rFonts w:ascii="Times New Roman" w:hAnsi="Times New Roman"/>
                <w:bCs/>
                <w:iCs/>
                <w:color w:val="000000" w:themeColor="text1"/>
                <w:sz w:val="18"/>
                <w:szCs w:val="18"/>
              </w:rPr>
            </w:pPr>
            <w:r w:rsidRPr="00814409">
              <w:rPr>
                <w:rFonts w:ascii="Times New Roman" w:hAnsi="Times New Roman"/>
                <w:iCs/>
                <w:color w:val="000000" w:themeColor="text1"/>
                <w:sz w:val="18"/>
                <w:szCs w:val="18"/>
              </w:rPr>
              <w:lastRenderedPageBreak/>
              <w:t>3. To ensure the right of Roma people to legal housing</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4BBED67" w14:textId="4208C96A" w:rsidR="00684FA8" w:rsidRPr="00814409" w:rsidRDefault="00684FA8" w:rsidP="00FB328F">
            <w:pPr>
              <w:widowControl w:val="0"/>
              <w:pBdr>
                <w:top w:val="nil"/>
                <w:left w:val="nil"/>
                <w:bottom w:val="nil"/>
                <w:right w:val="nil"/>
                <w:between w:val="nil"/>
              </w:pBdr>
              <w:spacing w:after="0" w:line="240" w:lineRule="auto"/>
              <w:rPr>
                <w:rFonts w:ascii="Times New Roman" w:hAnsi="Times New Roman"/>
                <w:color w:val="000000" w:themeColor="text1"/>
                <w:sz w:val="18"/>
                <w:szCs w:val="18"/>
              </w:rPr>
            </w:pPr>
            <w:r w:rsidRPr="00814409">
              <w:rPr>
                <w:rFonts w:ascii="Times New Roman" w:eastAsia="SimSun" w:hAnsi="Times New Roman"/>
                <w:color w:val="000000" w:themeColor="text1"/>
                <w:kern w:val="1"/>
                <w:sz w:val="18"/>
                <w:szCs w:val="18"/>
              </w:rPr>
              <w:t>Percentage of urbanized settlements</w:t>
            </w:r>
            <w:r w:rsidR="00110FE4" w:rsidRPr="00814409">
              <w:rPr>
                <w:rStyle w:val="FootnoteReference"/>
                <w:rFonts w:ascii="Times New Roman" w:eastAsia="SimSun" w:hAnsi="Times New Roman"/>
                <w:color w:val="000000" w:themeColor="text1"/>
                <w:kern w:val="1"/>
                <w:sz w:val="18"/>
                <w:szCs w:val="18"/>
              </w:rPr>
              <w:footnoteReference w:id="24"/>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88F7BA8" w14:textId="79FC8DD0" w:rsidR="00684FA8" w:rsidRPr="00814409" w:rsidRDefault="00684FA8" w:rsidP="00684FA8">
            <w:pPr>
              <w:spacing w:before="40" w:after="40" w:line="240" w:lineRule="auto"/>
              <w:jc w:val="center"/>
              <w:rPr>
                <w:rFonts w:ascii="Times New Roman" w:hAnsi="Times New Roman"/>
                <w:iCs/>
                <w:color w:val="000000" w:themeColor="text1"/>
                <w:sz w:val="18"/>
                <w:szCs w:val="18"/>
              </w:rPr>
            </w:pPr>
            <w:r w:rsidRPr="00814409">
              <w:rPr>
                <w:rFonts w:ascii="Times New Roman" w:hAnsi="Times New Roman"/>
                <w:iCs/>
                <w:color w:val="000000" w:themeColor="text1"/>
                <w:sz w:val="18"/>
                <w:szCs w:val="18"/>
              </w:rPr>
              <w:t>0 %</w:t>
            </w:r>
            <w:r w:rsidR="00814409">
              <w:rPr>
                <w:rFonts w:ascii="Times New Roman" w:hAnsi="Times New Roman"/>
                <w:iCs/>
                <w:color w:val="000000" w:themeColor="text1"/>
                <w:sz w:val="18"/>
                <w:szCs w:val="18"/>
              </w:rPr>
              <w:t xml:space="preserve"> </w:t>
            </w:r>
            <w:r w:rsidRPr="00814409">
              <w:rPr>
                <w:rFonts w:ascii="Times New Roman" w:hAnsi="Times New Roman"/>
                <w:iCs/>
                <w:color w:val="000000" w:themeColor="text1"/>
                <w:sz w:val="18"/>
                <w:szCs w:val="18"/>
              </w:rPr>
              <w:t>(2021)</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387C3F4" w14:textId="77777777" w:rsidR="00684FA8" w:rsidRPr="00814409" w:rsidRDefault="00684FA8" w:rsidP="00684FA8">
            <w:pPr>
              <w:spacing w:before="40" w:after="40" w:line="240" w:lineRule="auto"/>
              <w:jc w:val="center"/>
              <w:rPr>
                <w:rFonts w:ascii="Times New Roman" w:hAnsi="Times New Roman"/>
                <w:iCs/>
                <w:color w:val="000000" w:themeColor="text1"/>
                <w:sz w:val="18"/>
                <w:szCs w:val="18"/>
              </w:rPr>
            </w:pPr>
            <w:r w:rsidRPr="00814409">
              <w:rPr>
                <w:rFonts w:ascii="Times New Roman" w:hAnsi="Times New Roman"/>
                <w:iCs/>
                <w:color w:val="000000" w:themeColor="text1"/>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A75655E" w14:textId="77777777" w:rsidR="00684FA8" w:rsidRPr="00814409" w:rsidRDefault="00684FA8" w:rsidP="00684FA8">
            <w:pPr>
              <w:spacing w:before="40" w:after="40" w:line="240" w:lineRule="auto"/>
              <w:jc w:val="center"/>
              <w:rPr>
                <w:rFonts w:ascii="Times New Roman" w:hAnsi="Times New Roman"/>
                <w:iCs/>
                <w:color w:val="000000" w:themeColor="text1"/>
                <w:sz w:val="18"/>
                <w:szCs w:val="18"/>
              </w:rPr>
            </w:pPr>
            <w:r w:rsidRPr="00814409">
              <w:rPr>
                <w:rFonts w:ascii="Times New Roman" w:hAnsi="Times New Roman"/>
                <w:iCs/>
                <w:color w:val="000000" w:themeColor="text1"/>
                <w:sz w:val="18"/>
                <w:szCs w:val="18"/>
              </w:rPr>
              <w:t>60% (2026)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4BEBF69" w14:textId="0EE99092" w:rsidR="00684FA8" w:rsidRPr="00814409" w:rsidRDefault="00684FA8" w:rsidP="00684FA8">
            <w:pPr>
              <w:spacing w:before="40" w:after="40" w:line="240" w:lineRule="auto"/>
              <w:jc w:val="center"/>
              <w:rPr>
                <w:rFonts w:ascii="Times New Roman" w:hAnsi="Times New Roman"/>
                <w:iCs/>
                <w:color w:val="000000" w:themeColor="text1"/>
                <w:sz w:val="18"/>
                <w:szCs w:val="18"/>
                <w:lang w:val="en-US"/>
              </w:rPr>
            </w:pPr>
            <w:r w:rsidRPr="00814409">
              <w:rPr>
                <w:rFonts w:ascii="Times New Roman" w:hAnsi="Times New Roman"/>
                <w:iCs/>
                <w:color w:val="000000" w:themeColor="text1"/>
                <w:sz w:val="18"/>
                <w:szCs w:val="18"/>
                <w:lang w:val="en-US"/>
              </w:rPr>
              <w:t>Regional research</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14C1E714" w14:textId="77777777" w:rsidR="00684FA8" w:rsidRDefault="00684FA8" w:rsidP="00684FA8"/>
        </w:tc>
      </w:tr>
      <w:tr w:rsidR="00684FA8" w14:paraId="0474226A" w14:textId="77777777" w:rsidTr="001C0183">
        <w:trPr>
          <w:trHeight w:val="358"/>
        </w:trPr>
        <w:tc>
          <w:tcPr>
            <w:tcW w:w="278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33A3ADE"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OUTPUTS</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BF11836" w14:textId="77777777" w:rsidR="00684FA8" w:rsidRDefault="00684FA8" w:rsidP="00684FA8">
            <w:pPr>
              <w:pBdr>
                <w:top w:val="nil"/>
                <w:left w:val="nil"/>
                <w:bottom w:val="nil"/>
                <w:right w:val="nil"/>
                <w:between w:val="nil"/>
              </w:pBdr>
              <w:shd w:val="solid" w:color="FFFFFF" w:fill="auto"/>
              <w:spacing w:before="20" w:after="20" w:line="240" w:lineRule="auto"/>
              <w:jc w:val="center"/>
              <w:rPr>
                <w:rFonts w:ascii="Times New Roman" w:hAnsi="Times New Roman"/>
              </w:rPr>
            </w:pPr>
            <w:r>
              <w:rPr>
                <w:rFonts w:ascii="Times New Roman" w:hAnsi="Times New Roman"/>
                <w:b/>
                <w:bCs/>
              </w:rPr>
              <w:t>OBJECTIVELY VERIFIABLE INDICATORS</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B3AA6FC"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BASELINE</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424E373"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MILESTONES</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6365459"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TARGETS</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D4E9C32"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rPr>
            </w:pPr>
            <w:r>
              <w:rPr>
                <w:rFonts w:ascii="Times New Roman" w:hAnsi="Times New Roman"/>
                <w:b/>
                <w:bCs/>
              </w:rPr>
              <w:t>SOURCES OF VERIFICATION</w:t>
            </w:r>
          </w:p>
        </w:tc>
        <w:tc>
          <w:tcPr>
            <w:tcW w:w="20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14:paraId="0BCAF70B"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b/>
                <w:bCs/>
              </w:rPr>
              <w:t>ASSUMPTIONS</w:t>
            </w:r>
          </w:p>
        </w:tc>
      </w:tr>
      <w:tr w:rsidR="00684FA8" w14:paraId="4C5FF1A1" w14:textId="77777777" w:rsidTr="001C0183">
        <w:trPr>
          <w:trHeight w:val="85"/>
        </w:trPr>
        <w:tc>
          <w:tcPr>
            <w:tcW w:w="278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14:paraId="7658DF92" w14:textId="36BEF13D" w:rsidR="00684FA8" w:rsidRDefault="00684FA8" w:rsidP="00684FA8">
            <w:pPr>
              <w:pBdr>
                <w:top w:val="nil"/>
                <w:left w:val="nil"/>
                <w:bottom w:val="nil"/>
                <w:right w:val="nil"/>
                <w:between w:val="nil"/>
              </w:pBdr>
              <w:shd w:val="solid" w:color="FFFFFF" w:fill="auto"/>
              <w:spacing w:before="40" w:after="40" w:line="240" w:lineRule="auto"/>
              <w:rPr>
                <w:rFonts w:ascii="Times New Roman" w:hAnsi="Times New Roman"/>
                <w:b/>
                <w:sz w:val="18"/>
                <w:szCs w:val="18"/>
              </w:rPr>
            </w:pPr>
            <w:r>
              <w:rPr>
                <w:rFonts w:ascii="Times New Roman" w:hAnsi="Times New Roman"/>
                <w:sz w:val="18"/>
                <w:szCs w:val="18"/>
                <w:lang w:val="en-US"/>
              </w:rPr>
              <w:t xml:space="preserve">1.1 </w:t>
            </w:r>
            <w:r w:rsidR="00DF5A53">
              <w:rPr>
                <w:rFonts w:ascii="Times New Roman" w:hAnsi="Times New Roman"/>
                <w:sz w:val="18"/>
                <w:szCs w:val="18"/>
                <w:lang w:val="en-US"/>
              </w:rPr>
              <w:t>Improved protection services for victims of gender-based and domestic violence</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4A85E48A" w14:textId="06AEF6C1" w:rsidR="00684FA8" w:rsidRPr="00FB328F" w:rsidRDefault="00684FA8" w:rsidP="00684FA8">
            <w:pPr>
              <w:pBdr>
                <w:top w:val="nil"/>
                <w:left w:val="nil"/>
                <w:bottom w:val="nil"/>
                <w:right w:val="nil"/>
                <w:between w:val="nil"/>
              </w:pBdr>
              <w:shd w:val="solid" w:color="FFFFFF" w:fill="auto"/>
              <w:spacing w:before="40" w:after="40" w:line="240" w:lineRule="auto"/>
              <w:rPr>
                <w:rFonts w:ascii="Times New Roman" w:hAnsi="Times New Roman"/>
                <w:b/>
              </w:rPr>
            </w:pPr>
            <w:r w:rsidRPr="00FB328F">
              <w:rPr>
                <w:rFonts w:ascii="Times New Roman" w:hAnsi="Times New Roman"/>
                <w:sz w:val="18"/>
                <w:szCs w:val="18"/>
              </w:rPr>
              <w:t>Number of support measures</w:t>
            </w:r>
            <w:r w:rsidRPr="00FB328F">
              <w:rPr>
                <w:rStyle w:val="FootnoteReference"/>
                <w:rFonts w:ascii="Times New Roman" w:hAnsi="Times New Roman"/>
                <w:sz w:val="18"/>
                <w:szCs w:val="18"/>
              </w:rPr>
              <w:footnoteReference w:id="25"/>
            </w:r>
            <w:r w:rsidRPr="00FB328F">
              <w:rPr>
                <w:rFonts w:ascii="Times New Roman" w:hAnsi="Times New Roman"/>
                <w:sz w:val="18"/>
                <w:szCs w:val="18"/>
              </w:rPr>
              <w:t xml:space="preserve"> for GRB victims implemented through programmes for their integration in the labour market, access to justice, education, </w:t>
            </w:r>
            <w:r w:rsidR="00FB328F" w:rsidRPr="00FB328F">
              <w:rPr>
                <w:rFonts w:ascii="Times New Roman" w:hAnsi="Times New Roman"/>
                <w:sz w:val="18"/>
                <w:szCs w:val="18"/>
              </w:rPr>
              <w:t>health,</w:t>
            </w:r>
            <w:r w:rsidRPr="00FB328F">
              <w:rPr>
                <w:rFonts w:ascii="Times New Roman" w:hAnsi="Times New Roman"/>
                <w:sz w:val="18"/>
                <w:szCs w:val="18"/>
              </w:rPr>
              <w:t xml:space="preserve"> and social protection </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0D9D6FC2"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iCs/>
                <w:sz w:val="18"/>
                <w:szCs w:val="18"/>
              </w:rPr>
              <w:t>0 (2021)</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6BD50EFC"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iCs/>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67ACCB83" w14:textId="77777777" w:rsidR="00684FA8" w:rsidRPr="00DF5A53" w:rsidRDefault="00684FA8" w:rsidP="001C0183">
            <w:pPr>
              <w:pStyle w:val="Default"/>
              <w:spacing w:before="60" w:after="60"/>
              <w:jc w:val="center"/>
            </w:pPr>
            <w:r w:rsidRPr="00FB328F">
              <w:rPr>
                <w:rFonts w:eastAsia="Times New Roman"/>
                <w:iCs/>
                <w:color w:val="auto"/>
                <w:sz w:val="18"/>
                <w:szCs w:val="18"/>
                <w:lang w:val="en-GB"/>
              </w:rPr>
              <w:t xml:space="preserve">At least 5 </w:t>
            </w:r>
          </w:p>
          <w:p w14:paraId="6B084511" w14:textId="7635FA37" w:rsidR="00684FA8" w:rsidRDefault="00684FA8" w:rsidP="001C0183">
            <w:pPr>
              <w:pBdr>
                <w:top w:val="nil"/>
                <w:left w:val="nil"/>
                <w:bottom w:val="nil"/>
                <w:right w:val="nil"/>
                <w:between w:val="nil"/>
              </w:pBdr>
              <w:shd w:val="solid" w:color="FFFFFF" w:fill="auto"/>
              <w:spacing w:before="40" w:after="40" w:line="240" w:lineRule="auto"/>
              <w:jc w:val="center"/>
              <w:rPr>
                <w:rFonts w:ascii="Times New Roman" w:hAnsi="Times New Roman"/>
                <w:b/>
              </w:rPr>
            </w:pPr>
            <w:r w:rsidRPr="00DF5A53">
              <w:rPr>
                <w:rFonts w:ascii="Times New Roman" w:hAnsi="Times New Roman"/>
                <w:iCs/>
                <w:sz w:val="18"/>
                <w:szCs w:val="18"/>
              </w:rPr>
              <w:t>(2026)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374E8D45"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b/>
              </w:rPr>
            </w:pPr>
            <w:r>
              <w:rPr>
                <w:rFonts w:ascii="Times New Roman" w:hAnsi="Times New Roman"/>
                <w:sz w:val="18"/>
                <w:szCs w:val="18"/>
              </w:rPr>
              <w:t>Project progress reports</w:t>
            </w:r>
          </w:p>
        </w:tc>
        <w:tc>
          <w:tcPr>
            <w:tcW w:w="200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5B8E5FB7" w14:textId="0FCCFC1B" w:rsidR="00684FA8" w:rsidRPr="001C0183" w:rsidRDefault="00684FA8" w:rsidP="00684FA8">
            <w:pPr>
              <w:spacing w:before="40" w:after="40" w:line="240" w:lineRule="auto"/>
              <w:jc w:val="center"/>
              <w:rPr>
                <w:rFonts w:ascii="Times New Roman" w:hAnsi="Times New Roman"/>
                <w:iCs/>
                <w:sz w:val="18"/>
                <w:szCs w:val="18"/>
              </w:rPr>
            </w:pPr>
            <w:r w:rsidRPr="001C0183">
              <w:rPr>
                <w:rFonts w:ascii="Times New Roman" w:hAnsi="Times New Roman"/>
                <w:iCs/>
                <w:sz w:val="18"/>
                <w:szCs w:val="18"/>
              </w:rPr>
              <w:t xml:space="preserve">Relevant institutions are supportive in implementation of </w:t>
            </w:r>
            <w:r>
              <w:rPr>
                <w:rFonts w:ascii="Times New Roman" w:hAnsi="Times New Roman"/>
                <w:iCs/>
                <w:sz w:val="18"/>
                <w:szCs w:val="18"/>
              </w:rPr>
              <w:t>services</w:t>
            </w:r>
            <w:r w:rsidRPr="001C0183">
              <w:rPr>
                <w:rFonts w:ascii="Times New Roman" w:hAnsi="Times New Roman"/>
                <w:iCs/>
                <w:sz w:val="18"/>
                <w:szCs w:val="18"/>
              </w:rPr>
              <w:t>.</w:t>
            </w:r>
          </w:p>
          <w:p w14:paraId="7FFACC8A" w14:textId="77777777" w:rsidR="00684FA8" w:rsidRDefault="00684FA8" w:rsidP="00684FA8">
            <w:pPr>
              <w:spacing w:before="40" w:after="40" w:line="240" w:lineRule="auto"/>
              <w:jc w:val="center"/>
              <w:rPr>
                <w:rFonts w:ascii="Times New Roman" w:hAnsi="Times New Roman"/>
                <w:iCs/>
                <w:sz w:val="18"/>
                <w:szCs w:val="18"/>
              </w:rPr>
            </w:pPr>
          </w:p>
          <w:p w14:paraId="5385BAE6"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iCs/>
                <w:sz w:val="18"/>
                <w:szCs w:val="18"/>
              </w:rPr>
            </w:pPr>
            <w:r w:rsidRPr="00C1476F">
              <w:rPr>
                <w:rFonts w:ascii="Times New Roman" w:hAnsi="Times New Roman"/>
                <w:iCs/>
                <w:sz w:val="18"/>
                <w:szCs w:val="18"/>
              </w:rPr>
              <w:t>National legislation in the area</w:t>
            </w:r>
            <w:r>
              <w:rPr>
                <w:rFonts w:ascii="Times New Roman" w:hAnsi="Times New Roman"/>
                <w:iCs/>
                <w:sz w:val="18"/>
                <w:szCs w:val="18"/>
              </w:rPr>
              <w:t>s of concern</w:t>
            </w:r>
            <w:r w:rsidRPr="00C1476F">
              <w:rPr>
                <w:rFonts w:ascii="Times New Roman" w:hAnsi="Times New Roman"/>
                <w:iCs/>
                <w:sz w:val="18"/>
                <w:szCs w:val="18"/>
              </w:rPr>
              <w:t xml:space="preserve"> improved and in place.</w:t>
            </w:r>
          </w:p>
        </w:tc>
      </w:tr>
      <w:tr w:rsidR="001C0183" w14:paraId="34BE8E08" w14:textId="77777777" w:rsidTr="001C0183">
        <w:trPr>
          <w:trHeight w:val="85"/>
        </w:trPr>
        <w:tc>
          <w:tcPr>
            <w:tcW w:w="2784" w:type="dxa"/>
            <w:vMerge/>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7C592CB" w14:textId="77777777" w:rsidR="00684FA8" w:rsidRDefault="00684FA8" w:rsidP="00684FA8"/>
        </w:tc>
        <w:tc>
          <w:tcPr>
            <w:tcW w:w="2664" w:type="dxa"/>
            <w:tcBorders>
              <w:top w:val="single" w:sz="4" w:space="0" w:color="000000"/>
              <w:left w:val="single" w:sz="4" w:space="0" w:color="000000"/>
              <w:bottom w:val="single" w:sz="8" w:space="0" w:color="000000"/>
              <w:right w:val="single" w:sz="4" w:space="0" w:color="000000"/>
              <w:tl2br w:val="nil"/>
              <w:tr2bl w:val="nil"/>
            </w:tcBorders>
            <w:tcMar>
              <w:top w:w="0" w:type="dxa"/>
              <w:left w:w="10" w:type="dxa"/>
              <w:bottom w:w="0" w:type="dxa"/>
              <w:right w:w="10" w:type="dxa"/>
            </w:tcMar>
            <w:vAlign w:val="center"/>
          </w:tcPr>
          <w:p w14:paraId="119D3F67" w14:textId="230077CE" w:rsidR="00684FA8" w:rsidRPr="00FB328F" w:rsidRDefault="003F4C78" w:rsidP="00684FA8">
            <w:pPr>
              <w:pBdr>
                <w:top w:val="nil"/>
                <w:left w:val="nil"/>
                <w:bottom w:val="nil"/>
                <w:right w:val="nil"/>
                <w:between w:val="nil"/>
              </w:pBdr>
              <w:shd w:val="solid" w:color="FFFFFF" w:fill="auto"/>
              <w:spacing w:before="40" w:after="40" w:line="240" w:lineRule="auto"/>
              <w:rPr>
                <w:rFonts w:ascii="Times New Roman" w:hAnsi="Times New Roman"/>
              </w:rPr>
            </w:pPr>
            <w:r w:rsidRPr="00FB328F">
              <w:rPr>
                <w:rFonts w:ascii="Times New Roman" w:hAnsi="Times New Roman"/>
                <w:sz w:val="18"/>
                <w:szCs w:val="18"/>
              </w:rPr>
              <w:t xml:space="preserve">Percentage of unemployed victims </w:t>
            </w:r>
            <w:r w:rsidR="00684FA8" w:rsidRPr="00FB328F">
              <w:rPr>
                <w:rFonts w:ascii="Times New Roman" w:hAnsi="Times New Roman"/>
                <w:sz w:val="18"/>
                <w:szCs w:val="18"/>
              </w:rPr>
              <w:t>directly supported with measures dedicated to sustainable participation in employment and society</w:t>
            </w:r>
            <w:r w:rsidR="00684FA8" w:rsidRPr="00FB328F">
              <w:rPr>
                <w:rStyle w:val="FootnoteReference"/>
                <w:rFonts w:ascii="Times New Roman" w:hAnsi="Times New Roman"/>
                <w:sz w:val="18"/>
                <w:szCs w:val="18"/>
              </w:rPr>
              <w:footnoteReference w:id="26"/>
            </w:r>
          </w:p>
        </w:tc>
        <w:tc>
          <w:tcPr>
            <w:tcW w:w="1685" w:type="dxa"/>
            <w:tcBorders>
              <w:top w:val="single" w:sz="4" w:space="0" w:color="000000"/>
              <w:left w:val="single" w:sz="4" w:space="0" w:color="000000"/>
              <w:bottom w:val="single" w:sz="8" w:space="0" w:color="000000"/>
              <w:right w:val="single" w:sz="4" w:space="0" w:color="000000"/>
              <w:tl2br w:val="nil"/>
              <w:tr2bl w:val="nil"/>
            </w:tcBorders>
            <w:tcMar>
              <w:top w:w="0" w:type="dxa"/>
              <w:left w:w="10" w:type="dxa"/>
              <w:bottom w:w="0" w:type="dxa"/>
              <w:right w:w="10" w:type="dxa"/>
            </w:tcMar>
            <w:vAlign w:val="center"/>
          </w:tcPr>
          <w:p w14:paraId="58961B19" w14:textId="45F04F7B"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rFonts w:ascii="Times New Roman" w:hAnsi="Times New Roman"/>
                <w:iCs/>
                <w:sz w:val="18"/>
                <w:szCs w:val="18"/>
              </w:rPr>
              <w:t>0 (2021)</w:t>
            </w:r>
          </w:p>
        </w:tc>
        <w:tc>
          <w:tcPr>
            <w:tcW w:w="1925" w:type="dxa"/>
            <w:tcBorders>
              <w:top w:val="single" w:sz="4" w:space="0" w:color="000000"/>
              <w:left w:val="single" w:sz="4" w:space="0" w:color="000000"/>
              <w:bottom w:val="single" w:sz="8" w:space="0" w:color="000000"/>
              <w:right w:val="single" w:sz="4" w:space="0" w:color="000000"/>
              <w:tl2br w:val="nil"/>
              <w:tr2bl w:val="nil"/>
            </w:tcBorders>
            <w:tcMar>
              <w:top w:w="0" w:type="dxa"/>
              <w:left w:w="10" w:type="dxa"/>
              <w:bottom w:w="0" w:type="dxa"/>
              <w:right w:w="10" w:type="dxa"/>
            </w:tcMar>
            <w:vAlign w:val="center"/>
          </w:tcPr>
          <w:p w14:paraId="119A6F44"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iCs/>
                <w:sz w:val="18"/>
                <w:szCs w:val="18"/>
              </w:rPr>
              <w:t>/</w:t>
            </w:r>
          </w:p>
        </w:tc>
        <w:tc>
          <w:tcPr>
            <w:tcW w:w="2019" w:type="dxa"/>
            <w:tcBorders>
              <w:top w:val="single" w:sz="4" w:space="0" w:color="000000"/>
              <w:left w:val="single" w:sz="4" w:space="0" w:color="000000"/>
              <w:bottom w:val="single" w:sz="8" w:space="0" w:color="000000"/>
              <w:right w:val="single" w:sz="4" w:space="0" w:color="000000"/>
              <w:tl2br w:val="nil"/>
              <w:tr2bl w:val="nil"/>
            </w:tcBorders>
            <w:tcMar>
              <w:top w:w="0" w:type="dxa"/>
              <w:left w:w="10" w:type="dxa"/>
              <w:bottom w:w="0" w:type="dxa"/>
              <w:right w:w="10" w:type="dxa"/>
            </w:tcMar>
            <w:vAlign w:val="center"/>
          </w:tcPr>
          <w:p w14:paraId="02D1EA76" w14:textId="1CFA3969" w:rsidR="00684FA8" w:rsidRPr="00FB328F" w:rsidRDefault="00684FA8" w:rsidP="003F4C78">
            <w:pPr>
              <w:pStyle w:val="Default"/>
              <w:spacing w:before="60" w:after="60"/>
              <w:jc w:val="center"/>
              <w:rPr>
                <w:sz w:val="18"/>
                <w:szCs w:val="18"/>
              </w:rPr>
            </w:pPr>
            <w:r w:rsidRPr="00FB328F">
              <w:rPr>
                <w:rFonts w:eastAsia="Times New Roman"/>
                <w:iCs/>
                <w:color w:val="auto"/>
                <w:sz w:val="18"/>
                <w:szCs w:val="18"/>
                <w:lang w:val="en-GB"/>
              </w:rPr>
              <w:t xml:space="preserve">At least </w:t>
            </w:r>
            <w:r w:rsidR="003F4C78" w:rsidRPr="00FB328F">
              <w:rPr>
                <w:rFonts w:eastAsia="Times New Roman"/>
                <w:iCs/>
                <w:color w:val="auto"/>
                <w:sz w:val="18"/>
                <w:szCs w:val="18"/>
                <w:lang w:val="en-GB"/>
              </w:rPr>
              <w:t>30%</w:t>
            </w:r>
          </w:p>
          <w:p w14:paraId="4A1C5728" w14:textId="1F17E65A"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sidRPr="00DF5A53">
              <w:rPr>
                <w:rFonts w:ascii="Times New Roman" w:hAnsi="Times New Roman"/>
                <w:iCs/>
                <w:sz w:val="18"/>
                <w:szCs w:val="18"/>
              </w:rPr>
              <w:t>(2026)</w:t>
            </w:r>
          </w:p>
        </w:tc>
        <w:tc>
          <w:tcPr>
            <w:tcW w:w="2106" w:type="dxa"/>
            <w:tcBorders>
              <w:top w:val="single" w:sz="4" w:space="0" w:color="000000"/>
              <w:left w:val="single" w:sz="4" w:space="0" w:color="000000"/>
              <w:bottom w:val="single" w:sz="8" w:space="0" w:color="000000"/>
              <w:right w:val="single" w:sz="4" w:space="0" w:color="000000"/>
              <w:tl2br w:val="nil"/>
              <w:tr2bl w:val="nil"/>
            </w:tcBorders>
            <w:tcMar>
              <w:top w:w="0" w:type="dxa"/>
              <w:left w:w="10" w:type="dxa"/>
              <w:bottom w:w="0" w:type="dxa"/>
              <w:right w:w="10" w:type="dxa"/>
            </w:tcMar>
            <w:vAlign w:val="center"/>
          </w:tcPr>
          <w:p w14:paraId="3C486C68" w14:textId="77777777" w:rsidR="00684FA8" w:rsidRDefault="00684FA8" w:rsidP="001C0183">
            <w:pPr>
              <w:spacing w:before="60" w:after="60" w:line="240" w:lineRule="auto"/>
              <w:contextualSpacing/>
              <w:jc w:val="center"/>
              <w:rPr>
                <w:rFonts w:ascii="Times New Roman" w:hAnsi="Times New Roman"/>
                <w:sz w:val="18"/>
                <w:szCs w:val="18"/>
              </w:rPr>
            </w:pPr>
            <w:r>
              <w:rPr>
                <w:rFonts w:ascii="Times New Roman" w:hAnsi="Times New Roman"/>
                <w:sz w:val="18"/>
                <w:szCs w:val="18"/>
              </w:rPr>
              <w:t>MLSP</w:t>
            </w:r>
          </w:p>
          <w:p w14:paraId="41739837" w14:textId="77777777" w:rsidR="00684FA8" w:rsidRDefault="00684FA8" w:rsidP="001C0183">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rFonts w:ascii="Times New Roman" w:hAnsi="Times New Roman"/>
                <w:sz w:val="18"/>
                <w:szCs w:val="18"/>
              </w:rPr>
              <w:t>Project progress reports</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0AA345EF" w14:textId="77777777" w:rsidR="00684FA8" w:rsidRDefault="00684FA8" w:rsidP="00684FA8"/>
        </w:tc>
      </w:tr>
      <w:tr w:rsidR="00684FA8" w14:paraId="67718F89" w14:textId="77777777" w:rsidTr="001C0183">
        <w:trPr>
          <w:trHeight w:val="85"/>
        </w:trPr>
        <w:tc>
          <w:tcPr>
            <w:tcW w:w="2784" w:type="dxa"/>
            <w:vMerge/>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D5BA931" w14:textId="77777777" w:rsidR="00684FA8" w:rsidRDefault="00684FA8" w:rsidP="00684FA8"/>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10767FF1" w14:textId="3A81C434" w:rsidR="00684FA8" w:rsidRPr="00FB328F" w:rsidRDefault="003F4C78">
            <w:pPr>
              <w:pBdr>
                <w:top w:val="nil"/>
                <w:left w:val="nil"/>
                <w:bottom w:val="nil"/>
                <w:right w:val="nil"/>
                <w:between w:val="nil"/>
              </w:pBdr>
              <w:shd w:val="solid" w:color="FFFFFF" w:fill="auto"/>
              <w:spacing w:before="40" w:after="40" w:line="240" w:lineRule="auto"/>
              <w:rPr>
                <w:rFonts w:ascii="Times New Roman" w:hAnsi="Times New Roman"/>
              </w:rPr>
            </w:pPr>
            <w:r w:rsidRPr="00FB328F">
              <w:rPr>
                <w:rFonts w:ascii="Times New Roman" w:hAnsi="Times New Roman"/>
                <w:color w:val="000000"/>
                <w:sz w:val="18"/>
                <w:szCs w:val="18"/>
              </w:rPr>
              <w:t xml:space="preserve">Percentage </w:t>
            </w:r>
            <w:r w:rsidR="00684FA8" w:rsidRPr="00FB328F">
              <w:rPr>
                <w:rFonts w:ascii="Times New Roman" w:hAnsi="Times New Roman"/>
                <w:color w:val="000000"/>
                <w:sz w:val="18"/>
                <w:szCs w:val="18"/>
              </w:rPr>
              <w:t>of victims</w:t>
            </w:r>
            <w:r w:rsidRPr="00FB328F">
              <w:rPr>
                <w:rFonts w:ascii="Times New Roman" w:hAnsi="Times New Roman"/>
                <w:color w:val="000000"/>
                <w:sz w:val="18"/>
                <w:szCs w:val="18"/>
              </w:rPr>
              <w:t xml:space="preserve"> </w:t>
            </w:r>
            <w:r w:rsidR="00F46AD7">
              <w:rPr>
                <w:rFonts w:ascii="Times New Roman" w:hAnsi="Times New Roman"/>
                <w:color w:val="000000"/>
                <w:sz w:val="18"/>
                <w:szCs w:val="18"/>
              </w:rPr>
              <w:t>who have received</w:t>
            </w:r>
            <w:r w:rsidR="00FB328F" w:rsidRPr="00FB328F">
              <w:rPr>
                <w:rFonts w:ascii="Times New Roman" w:hAnsi="Times New Roman"/>
                <w:color w:val="000000"/>
                <w:sz w:val="18"/>
                <w:szCs w:val="18"/>
              </w:rPr>
              <w:t xml:space="preserve"> psycho</w:t>
            </w:r>
            <w:r w:rsidR="00684FA8" w:rsidRPr="00FB328F">
              <w:rPr>
                <w:rFonts w:ascii="Times New Roman" w:hAnsi="Times New Roman"/>
                <w:color w:val="000000"/>
                <w:sz w:val="18"/>
                <w:szCs w:val="18"/>
              </w:rPr>
              <w:t xml:space="preserve">-social assistance </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2D16EA70" w14:textId="72ECBB05"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rFonts w:ascii="Times New Roman" w:hAnsi="Times New Roman"/>
                <w:iCs/>
                <w:sz w:val="18"/>
                <w:szCs w:val="18"/>
              </w:rPr>
              <w:t>0 (2021)</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632C92C4"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iCs/>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40075F5E" w14:textId="6DB699B0" w:rsidR="00684FA8" w:rsidRDefault="00464DB7"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rFonts w:ascii="Times New Roman" w:hAnsi="Times New Roman"/>
                <w:iCs/>
                <w:sz w:val="18"/>
                <w:szCs w:val="18"/>
              </w:rPr>
              <w:t xml:space="preserve">≥ </w:t>
            </w:r>
            <w:r w:rsidR="006C224E">
              <w:rPr>
                <w:rFonts w:ascii="Times New Roman" w:hAnsi="Times New Roman"/>
                <w:iCs/>
                <w:sz w:val="18"/>
                <w:szCs w:val="18"/>
              </w:rPr>
              <w:t>60</w:t>
            </w:r>
            <w:r>
              <w:rPr>
                <w:rFonts w:ascii="Times New Roman" w:hAnsi="Times New Roman"/>
                <w:iCs/>
                <w:sz w:val="18"/>
                <w:szCs w:val="18"/>
              </w:rPr>
              <w:t>%</w:t>
            </w:r>
            <w:r w:rsidR="00684FA8">
              <w:rPr>
                <w:rFonts w:ascii="Times New Roman" w:hAnsi="Times New Roman"/>
                <w:iCs/>
                <w:sz w:val="18"/>
                <w:szCs w:val="18"/>
              </w:rPr>
              <w:t xml:space="preserve"> (2026)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75E25DC8"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rFonts w:ascii="Times New Roman" w:hAnsi="Times New Roman"/>
                <w:sz w:val="18"/>
                <w:szCs w:val="18"/>
              </w:rPr>
              <w:t>MLSP</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0834AA2F" w14:textId="77777777" w:rsidR="00684FA8" w:rsidRDefault="00684FA8" w:rsidP="00684FA8"/>
        </w:tc>
      </w:tr>
      <w:tr w:rsidR="00684FA8" w14:paraId="6A08F072" w14:textId="77777777" w:rsidTr="001C0183">
        <w:trPr>
          <w:trHeight w:val="85"/>
        </w:trPr>
        <w:tc>
          <w:tcPr>
            <w:tcW w:w="2784" w:type="dxa"/>
            <w:vMerge/>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A9C5908" w14:textId="77777777" w:rsidR="00684FA8" w:rsidRDefault="00684FA8" w:rsidP="00684FA8"/>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2B104EB7" w14:textId="12EB9CE1" w:rsidR="00684FA8" w:rsidRPr="00FB328F" w:rsidRDefault="003F4C78">
            <w:pPr>
              <w:pBdr>
                <w:top w:val="nil"/>
                <w:left w:val="nil"/>
                <w:bottom w:val="nil"/>
                <w:right w:val="nil"/>
                <w:between w:val="nil"/>
              </w:pBdr>
              <w:shd w:val="solid" w:color="FFFFFF" w:fill="auto"/>
              <w:spacing w:before="40" w:after="40" w:line="240" w:lineRule="auto"/>
              <w:rPr>
                <w:rFonts w:ascii="Times New Roman" w:hAnsi="Times New Roman"/>
              </w:rPr>
            </w:pPr>
            <w:r w:rsidRPr="00FB328F">
              <w:rPr>
                <w:rFonts w:ascii="Times New Roman" w:hAnsi="Times New Roman"/>
                <w:color w:val="000000"/>
                <w:sz w:val="18"/>
                <w:szCs w:val="18"/>
              </w:rPr>
              <w:t>Percentage</w:t>
            </w:r>
            <w:r w:rsidR="00684FA8" w:rsidRPr="00FB328F">
              <w:rPr>
                <w:rFonts w:ascii="Times New Roman" w:hAnsi="Times New Roman"/>
                <w:color w:val="000000"/>
                <w:sz w:val="18"/>
                <w:szCs w:val="18"/>
              </w:rPr>
              <w:t xml:space="preserve"> of victims</w:t>
            </w:r>
            <w:r w:rsidRPr="00FB328F">
              <w:rPr>
                <w:rFonts w:ascii="Times New Roman" w:hAnsi="Times New Roman"/>
                <w:color w:val="000000"/>
                <w:sz w:val="18"/>
                <w:szCs w:val="18"/>
              </w:rPr>
              <w:t xml:space="preserve"> </w:t>
            </w:r>
            <w:r w:rsidR="00A31E81">
              <w:rPr>
                <w:rFonts w:ascii="Times New Roman" w:hAnsi="Times New Roman"/>
                <w:color w:val="000000"/>
                <w:sz w:val="18"/>
                <w:szCs w:val="18"/>
              </w:rPr>
              <w:t>who have received</w:t>
            </w:r>
            <w:r w:rsidR="00A31E81" w:rsidRPr="00FB328F">
              <w:rPr>
                <w:rFonts w:ascii="Times New Roman" w:hAnsi="Times New Roman"/>
                <w:color w:val="000000"/>
                <w:sz w:val="18"/>
                <w:szCs w:val="18"/>
              </w:rPr>
              <w:t xml:space="preserve"> </w:t>
            </w:r>
            <w:r w:rsidR="00684FA8" w:rsidRPr="00FB328F">
              <w:rPr>
                <w:rFonts w:ascii="Times New Roman" w:hAnsi="Times New Roman"/>
                <w:color w:val="000000"/>
                <w:sz w:val="18"/>
                <w:szCs w:val="18"/>
              </w:rPr>
              <w:t>legal aid</w:t>
            </w:r>
            <w:r w:rsidRPr="00FB328F">
              <w:rPr>
                <w:rFonts w:ascii="Times New Roman" w:hAnsi="Times New Roman"/>
                <w:color w:val="000000"/>
                <w:sz w:val="18"/>
                <w:szCs w:val="18"/>
              </w:rPr>
              <w:t xml:space="preserve"> </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2BA88EE9" w14:textId="4D1E2A05"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rFonts w:ascii="Times New Roman" w:hAnsi="Times New Roman"/>
                <w:iCs/>
                <w:sz w:val="18"/>
                <w:szCs w:val="18"/>
              </w:rPr>
              <w:t>0 (2021)</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7C7F3E9B"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iCs/>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3891C8D4" w14:textId="2FEBB2C4" w:rsidR="00684FA8" w:rsidRDefault="00464DB7"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rFonts w:ascii="Times New Roman" w:hAnsi="Times New Roman"/>
                <w:iCs/>
                <w:sz w:val="18"/>
                <w:szCs w:val="18"/>
              </w:rPr>
              <w:t>≥ 60%</w:t>
            </w:r>
            <w:r w:rsidR="00684FA8">
              <w:rPr>
                <w:rFonts w:ascii="Times New Roman" w:hAnsi="Times New Roman"/>
                <w:iCs/>
                <w:sz w:val="18"/>
                <w:szCs w:val="18"/>
              </w:rPr>
              <w:t xml:space="preserve"> (2026)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4BD2450E"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rFonts w:ascii="Times New Roman" w:hAnsi="Times New Roman"/>
                <w:sz w:val="18"/>
                <w:szCs w:val="18"/>
              </w:rPr>
              <w:t>MLSP</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5CB01455" w14:textId="77777777" w:rsidR="00684FA8" w:rsidRDefault="00684FA8" w:rsidP="00684FA8"/>
        </w:tc>
      </w:tr>
      <w:tr w:rsidR="00684FA8" w14:paraId="505AC6E6" w14:textId="77777777" w:rsidTr="001C0183">
        <w:trPr>
          <w:trHeight w:val="85"/>
        </w:trPr>
        <w:tc>
          <w:tcPr>
            <w:tcW w:w="2784" w:type="dxa"/>
            <w:vMerge/>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3FD3102" w14:textId="77777777" w:rsidR="00684FA8" w:rsidRDefault="00684FA8" w:rsidP="00684FA8"/>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534E13A2" w14:textId="59025CBC" w:rsidR="00684FA8" w:rsidRPr="00FB328F" w:rsidRDefault="00464DB7">
            <w:pPr>
              <w:pBdr>
                <w:top w:val="nil"/>
                <w:left w:val="nil"/>
                <w:bottom w:val="nil"/>
                <w:right w:val="nil"/>
                <w:between w:val="nil"/>
              </w:pBdr>
              <w:shd w:val="solid" w:color="FFFFFF" w:fill="auto"/>
              <w:spacing w:before="40" w:after="40" w:line="240" w:lineRule="auto"/>
              <w:rPr>
                <w:rFonts w:ascii="Times New Roman" w:hAnsi="Times New Roman"/>
              </w:rPr>
            </w:pPr>
            <w:r w:rsidRPr="00FB328F">
              <w:rPr>
                <w:rFonts w:ascii="Times New Roman" w:hAnsi="Times New Roman"/>
                <w:color w:val="000000"/>
                <w:sz w:val="18"/>
                <w:szCs w:val="18"/>
              </w:rPr>
              <w:t>Percentage</w:t>
            </w:r>
            <w:r w:rsidR="00684FA8" w:rsidRPr="00FB328F">
              <w:rPr>
                <w:rFonts w:ascii="Times New Roman" w:hAnsi="Times New Roman"/>
                <w:color w:val="000000"/>
                <w:sz w:val="18"/>
                <w:szCs w:val="18"/>
              </w:rPr>
              <w:t xml:space="preserve"> of victims</w:t>
            </w:r>
            <w:r w:rsidRPr="00FB328F">
              <w:rPr>
                <w:rFonts w:ascii="Times New Roman" w:hAnsi="Times New Roman"/>
                <w:color w:val="000000"/>
                <w:sz w:val="18"/>
                <w:szCs w:val="18"/>
              </w:rPr>
              <w:t xml:space="preserve"> </w:t>
            </w:r>
            <w:r w:rsidR="00A31E81">
              <w:rPr>
                <w:rFonts w:ascii="Times New Roman" w:hAnsi="Times New Roman"/>
                <w:color w:val="000000"/>
                <w:sz w:val="18"/>
                <w:szCs w:val="18"/>
              </w:rPr>
              <w:t xml:space="preserve">who have received support for protection of their </w:t>
            </w:r>
            <w:r w:rsidR="00684FA8" w:rsidRPr="00FB328F">
              <w:rPr>
                <w:rFonts w:ascii="Times New Roman" w:hAnsi="Times New Roman"/>
                <w:color w:val="000000"/>
                <w:sz w:val="18"/>
                <w:szCs w:val="18"/>
              </w:rPr>
              <w:t>social rights</w:t>
            </w:r>
            <w:r w:rsidRPr="00FB328F">
              <w:rPr>
                <w:rFonts w:ascii="Times New Roman" w:hAnsi="Times New Roman"/>
                <w:color w:val="000000"/>
                <w:sz w:val="18"/>
                <w:szCs w:val="18"/>
              </w:rPr>
              <w:t xml:space="preserve"> </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75541C11" w14:textId="6FEDF078"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rFonts w:ascii="Times New Roman" w:hAnsi="Times New Roman"/>
                <w:iCs/>
                <w:sz w:val="18"/>
                <w:szCs w:val="18"/>
              </w:rPr>
              <w:t>0 (2021)</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36C5BFCC"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iCs/>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5B5BC641" w14:textId="384C26C2" w:rsidR="00684FA8" w:rsidRDefault="00464DB7"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rFonts w:ascii="Times New Roman" w:hAnsi="Times New Roman"/>
                <w:iCs/>
                <w:sz w:val="18"/>
                <w:szCs w:val="18"/>
              </w:rPr>
              <w:t>≥ 90%</w:t>
            </w:r>
            <w:r w:rsidR="00684FA8">
              <w:rPr>
                <w:rFonts w:ascii="Times New Roman" w:hAnsi="Times New Roman"/>
                <w:iCs/>
                <w:sz w:val="18"/>
                <w:szCs w:val="18"/>
              </w:rPr>
              <w:t xml:space="preserve"> (2026)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6AD1A0F3" w14:textId="77777777" w:rsidR="00684FA8" w:rsidRDefault="00684FA8" w:rsidP="00684FA8">
            <w:pPr>
              <w:pBdr>
                <w:top w:val="nil"/>
                <w:left w:val="nil"/>
                <w:bottom w:val="nil"/>
                <w:right w:val="nil"/>
                <w:between w:val="nil"/>
              </w:pBdr>
              <w:shd w:val="solid" w:color="FFFFFF" w:fill="auto"/>
              <w:spacing w:before="40" w:after="40" w:line="240" w:lineRule="auto"/>
              <w:jc w:val="center"/>
              <w:rPr>
                <w:rFonts w:ascii="Times New Roman" w:hAnsi="Times New Roman"/>
                <w:lang w:val="en-US"/>
              </w:rPr>
            </w:pPr>
            <w:r>
              <w:rPr>
                <w:rFonts w:ascii="Times New Roman" w:hAnsi="Times New Roman"/>
                <w:sz w:val="18"/>
                <w:szCs w:val="18"/>
              </w:rPr>
              <w:t>MLSP</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0718755B" w14:textId="77777777" w:rsidR="00684FA8" w:rsidRDefault="00684FA8" w:rsidP="00684FA8"/>
        </w:tc>
      </w:tr>
      <w:tr w:rsidR="00684FA8" w14:paraId="49471403" w14:textId="77777777" w:rsidTr="001C0183">
        <w:trPr>
          <w:trHeight w:val="85"/>
        </w:trPr>
        <w:tc>
          <w:tcPr>
            <w:tcW w:w="2784" w:type="dxa"/>
            <w:vMerge/>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75084C0" w14:textId="77777777" w:rsidR="00684FA8" w:rsidRDefault="00684FA8" w:rsidP="00684FA8"/>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37016E33" w14:textId="77777777" w:rsidR="00684FA8" w:rsidRPr="00FB328F" w:rsidRDefault="00684FA8" w:rsidP="00684FA8">
            <w:pPr>
              <w:pBdr>
                <w:top w:val="nil"/>
                <w:left w:val="nil"/>
                <w:bottom w:val="nil"/>
                <w:right w:val="nil"/>
                <w:between w:val="nil"/>
              </w:pBdr>
              <w:shd w:val="solid" w:color="FFFFFF" w:fill="auto"/>
              <w:spacing w:after="0" w:line="240" w:lineRule="auto"/>
              <w:rPr>
                <w:rFonts w:ascii="Times New Roman" w:hAnsi="Times New Roman"/>
              </w:rPr>
            </w:pPr>
            <w:r w:rsidRPr="00FB328F">
              <w:rPr>
                <w:rFonts w:ascii="Times New Roman" w:hAnsi="Times New Roman"/>
                <w:sz w:val="18"/>
                <w:szCs w:val="18"/>
              </w:rPr>
              <w:t>Number of victims of gender-based and domestic violence placed in shelters</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4CED7A0F" w14:textId="18C4B54A" w:rsidR="00684FA8" w:rsidRDefault="00684FA8" w:rsidP="00684FA8">
            <w:pPr>
              <w:spacing w:after="0" w:line="240" w:lineRule="auto"/>
              <w:jc w:val="center"/>
              <w:rPr>
                <w:rFonts w:ascii="Times New Roman" w:hAnsi="Times New Roman"/>
                <w:iCs/>
                <w:sz w:val="18"/>
                <w:szCs w:val="18"/>
              </w:rPr>
            </w:pPr>
            <w:r>
              <w:rPr>
                <w:rFonts w:ascii="Times New Roman" w:hAnsi="Times New Roman"/>
                <w:iCs/>
                <w:sz w:val="18"/>
                <w:szCs w:val="18"/>
              </w:rPr>
              <w:t>Total: 58</w:t>
            </w:r>
          </w:p>
          <w:p w14:paraId="4D7081FE" w14:textId="4D6B95B3" w:rsidR="00684FA8" w:rsidRDefault="00684FA8" w:rsidP="00684FA8">
            <w:pPr>
              <w:spacing w:after="0" w:line="240" w:lineRule="auto"/>
              <w:jc w:val="center"/>
              <w:rPr>
                <w:rFonts w:ascii="Times New Roman" w:hAnsi="Times New Roman"/>
                <w:iCs/>
                <w:sz w:val="18"/>
                <w:szCs w:val="18"/>
              </w:rPr>
            </w:pPr>
            <w:r>
              <w:rPr>
                <w:rFonts w:ascii="Times New Roman" w:hAnsi="Times New Roman"/>
                <w:iCs/>
                <w:sz w:val="18"/>
                <w:szCs w:val="18"/>
              </w:rPr>
              <w:t>Women: 34</w:t>
            </w:r>
          </w:p>
          <w:p w14:paraId="7037C05E" w14:textId="335AC83F" w:rsidR="00684FA8" w:rsidRDefault="00684FA8" w:rsidP="00684FA8">
            <w:pPr>
              <w:spacing w:after="0" w:line="240" w:lineRule="auto"/>
              <w:jc w:val="center"/>
              <w:rPr>
                <w:rFonts w:ascii="Times New Roman" w:hAnsi="Times New Roman"/>
                <w:iCs/>
                <w:sz w:val="18"/>
                <w:szCs w:val="18"/>
              </w:rPr>
            </w:pPr>
            <w:r>
              <w:rPr>
                <w:rFonts w:ascii="Times New Roman" w:hAnsi="Times New Roman"/>
                <w:iCs/>
                <w:sz w:val="18"/>
                <w:szCs w:val="18"/>
              </w:rPr>
              <w:t>Children: 24</w:t>
            </w:r>
          </w:p>
          <w:p w14:paraId="25DBC0D9" w14:textId="77777777" w:rsidR="00684FA8" w:rsidRDefault="00684FA8" w:rsidP="00684FA8">
            <w:pPr>
              <w:pBdr>
                <w:top w:val="nil"/>
                <w:left w:val="nil"/>
                <w:bottom w:val="nil"/>
                <w:right w:val="nil"/>
                <w:between w:val="nil"/>
              </w:pBdr>
              <w:shd w:val="solid" w:color="FFFFFF" w:fill="auto"/>
              <w:spacing w:after="0" w:line="240" w:lineRule="auto"/>
              <w:jc w:val="center"/>
              <w:rPr>
                <w:rFonts w:ascii="Times New Roman" w:hAnsi="Times New Roman"/>
                <w:lang w:val="en-US"/>
              </w:rPr>
            </w:pPr>
            <w:r>
              <w:rPr>
                <w:rFonts w:ascii="Times New Roman" w:hAnsi="Times New Roman"/>
                <w:iCs/>
                <w:sz w:val="18"/>
                <w:szCs w:val="18"/>
              </w:rPr>
              <w:t>(2021)</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7A82117B" w14:textId="77777777" w:rsidR="00684FA8" w:rsidRDefault="00684FA8" w:rsidP="00684FA8">
            <w:pPr>
              <w:pBdr>
                <w:top w:val="nil"/>
                <w:left w:val="nil"/>
                <w:bottom w:val="nil"/>
                <w:right w:val="nil"/>
                <w:between w:val="nil"/>
              </w:pBdr>
              <w:shd w:val="solid" w:color="FFFFFF" w:fill="auto"/>
              <w:spacing w:after="0" w:line="240" w:lineRule="auto"/>
              <w:jc w:val="center"/>
              <w:rPr>
                <w:rFonts w:ascii="Times New Roman" w:hAnsi="Times New Roman"/>
                <w:lang w:val="en-US"/>
              </w:rPr>
            </w:pPr>
            <w:r>
              <w:rPr>
                <w:rFonts w:ascii="Times New Roman" w:hAnsi="Times New Roman"/>
                <w:iCs/>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6AE594EA" w14:textId="77777777" w:rsidR="00684FA8" w:rsidRDefault="00684FA8" w:rsidP="00684FA8">
            <w:pPr>
              <w:pStyle w:val="Default"/>
              <w:jc w:val="center"/>
              <w:rPr>
                <w:iCs/>
                <w:color w:val="auto"/>
                <w:sz w:val="18"/>
                <w:szCs w:val="18"/>
                <w:lang w:val="en-GB"/>
              </w:rPr>
            </w:pPr>
            <w:r>
              <w:rPr>
                <w:iCs/>
                <w:color w:val="auto"/>
                <w:sz w:val="18"/>
                <w:szCs w:val="18"/>
                <w:lang w:val="en-GB"/>
              </w:rPr>
              <w:t>Total: 100</w:t>
            </w:r>
          </w:p>
          <w:p w14:paraId="048ED151" w14:textId="77777777" w:rsidR="00684FA8" w:rsidRDefault="00684FA8" w:rsidP="00684FA8">
            <w:pPr>
              <w:pStyle w:val="Default"/>
              <w:jc w:val="center"/>
              <w:rPr>
                <w:iCs/>
                <w:color w:val="auto"/>
                <w:sz w:val="18"/>
                <w:szCs w:val="18"/>
                <w:lang w:val="en-GB"/>
              </w:rPr>
            </w:pPr>
            <w:r>
              <w:rPr>
                <w:iCs/>
                <w:color w:val="auto"/>
                <w:sz w:val="18"/>
                <w:szCs w:val="18"/>
                <w:lang w:val="en-GB"/>
              </w:rPr>
              <w:t>Women: 50</w:t>
            </w:r>
          </w:p>
          <w:p w14:paraId="7600D116" w14:textId="77777777" w:rsidR="00684FA8" w:rsidRDefault="00684FA8" w:rsidP="00684FA8">
            <w:pPr>
              <w:pStyle w:val="Default"/>
              <w:jc w:val="center"/>
              <w:rPr>
                <w:iCs/>
                <w:color w:val="auto"/>
                <w:sz w:val="18"/>
                <w:szCs w:val="18"/>
                <w:lang w:val="en-GB"/>
              </w:rPr>
            </w:pPr>
            <w:r>
              <w:rPr>
                <w:iCs/>
                <w:color w:val="auto"/>
                <w:sz w:val="18"/>
                <w:szCs w:val="18"/>
                <w:lang w:val="en-GB"/>
              </w:rPr>
              <w:t>Children: 40</w:t>
            </w:r>
          </w:p>
          <w:p w14:paraId="18622FD5" w14:textId="3CC0F905" w:rsidR="00684FA8" w:rsidRDefault="00684FA8" w:rsidP="00684FA8">
            <w:pPr>
              <w:pBdr>
                <w:top w:val="nil"/>
                <w:left w:val="nil"/>
                <w:bottom w:val="nil"/>
                <w:right w:val="nil"/>
                <w:between w:val="nil"/>
              </w:pBdr>
              <w:shd w:val="solid" w:color="FFFFFF" w:fill="auto"/>
              <w:spacing w:after="0" w:line="240" w:lineRule="auto"/>
              <w:jc w:val="center"/>
              <w:rPr>
                <w:rFonts w:ascii="Times New Roman" w:hAnsi="Times New Roman"/>
                <w:lang w:val="en-US"/>
              </w:rPr>
            </w:pPr>
            <w:r>
              <w:rPr>
                <w:rFonts w:ascii="Times New Roman" w:hAnsi="Times New Roman"/>
                <w:iCs/>
                <w:sz w:val="18"/>
                <w:szCs w:val="18"/>
              </w:rPr>
              <w:t>(2026)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vAlign w:val="center"/>
          </w:tcPr>
          <w:p w14:paraId="09D1B528" w14:textId="521E1061" w:rsidR="00684FA8" w:rsidRDefault="00684FA8" w:rsidP="00684FA8">
            <w:pPr>
              <w:pBdr>
                <w:top w:val="nil"/>
                <w:left w:val="nil"/>
                <w:bottom w:val="nil"/>
                <w:right w:val="nil"/>
                <w:between w:val="nil"/>
              </w:pBdr>
              <w:shd w:val="solid" w:color="FFFFFF" w:fill="auto"/>
              <w:spacing w:after="0" w:line="240" w:lineRule="auto"/>
              <w:jc w:val="center"/>
              <w:rPr>
                <w:rFonts w:ascii="Times New Roman" w:hAnsi="Times New Roman"/>
                <w:lang w:val="en-US"/>
              </w:rPr>
            </w:pPr>
            <w:r>
              <w:rPr>
                <w:rFonts w:ascii="Times New Roman" w:hAnsi="Times New Roman"/>
                <w:sz w:val="18"/>
                <w:szCs w:val="18"/>
              </w:rPr>
              <w:t>SSO</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4D1F6A8A" w14:textId="77777777" w:rsidR="00684FA8" w:rsidRDefault="00684FA8" w:rsidP="00684FA8"/>
        </w:tc>
      </w:tr>
      <w:tr w:rsidR="00684FA8" w14:paraId="53536AEE" w14:textId="77777777" w:rsidTr="001C0183">
        <w:trPr>
          <w:trHeight w:val="832"/>
        </w:trPr>
        <w:tc>
          <w:tcPr>
            <w:tcW w:w="278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14:paraId="46D795CD" w14:textId="77777777" w:rsidR="00684FA8" w:rsidRDefault="00684FA8" w:rsidP="00684FA8">
            <w:pPr>
              <w:spacing w:before="20" w:after="20" w:line="240" w:lineRule="auto"/>
              <w:rPr>
                <w:rFonts w:ascii="Times New Roman" w:hAnsi="Times New Roman"/>
                <w:sz w:val="18"/>
                <w:szCs w:val="18"/>
              </w:rPr>
            </w:pPr>
            <w:r>
              <w:rPr>
                <w:rFonts w:ascii="Times New Roman" w:hAnsi="Times New Roman"/>
                <w:sz w:val="18"/>
                <w:szCs w:val="18"/>
                <w:lang w:val="en-US"/>
              </w:rPr>
              <w:t xml:space="preserve">1.2 Enhanced inter-institutional cooperation at national and local level on gender-based and -domestic violence </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79AA3BA" w14:textId="77777777" w:rsidR="00684FA8" w:rsidRPr="00FB328F" w:rsidRDefault="00684FA8" w:rsidP="00684FA8">
            <w:pPr>
              <w:spacing w:before="20" w:after="20" w:line="240" w:lineRule="auto"/>
              <w:rPr>
                <w:rFonts w:ascii="Times New Roman" w:hAnsi="Times New Roman"/>
              </w:rPr>
            </w:pPr>
            <w:r w:rsidRPr="00FB328F">
              <w:rPr>
                <w:rStyle w:val="tlid-translation"/>
                <w:rFonts w:ascii="Times New Roman" w:hAnsi="Times New Roman"/>
                <w:sz w:val="18"/>
                <w:szCs w:val="18"/>
              </w:rPr>
              <w:t>Number of integrated systems for data collection on Gender Based Violence</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287F0A2" w14:textId="77777777" w:rsidR="00684FA8" w:rsidRDefault="00684FA8" w:rsidP="00684FA8">
            <w:pPr>
              <w:spacing w:before="40" w:after="40" w:line="240" w:lineRule="auto"/>
              <w:jc w:val="center"/>
              <w:rPr>
                <w:rFonts w:ascii="Times New Roman" w:hAnsi="Times New Roman"/>
              </w:rPr>
            </w:pPr>
            <w:r>
              <w:rPr>
                <w:rFonts w:ascii="Times New Roman" w:hAnsi="Times New Roman"/>
                <w:iCs/>
                <w:sz w:val="18"/>
                <w:szCs w:val="18"/>
              </w:rPr>
              <w:t>0 (2021)</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4275D6E" w14:textId="77777777" w:rsidR="00684FA8" w:rsidRDefault="00684FA8" w:rsidP="00FB328F">
            <w:pPr>
              <w:spacing w:before="40" w:after="40" w:line="240" w:lineRule="auto"/>
              <w:jc w:val="center"/>
              <w:rPr>
                <w:rFonts w:ascii="Times New Roman" w:hAnsi="Times New Roman"/>
              </w:rPr>
            </w:pPr>
            <w: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453811FD" w14:textId="666731BA" w:rsidR="00684FA8" w:rsidRDefault="00684FA8" w:rsidP="00684FA8">
            <w:pPr>
              <w:pStyle w:val="Default"/>
              <w:spacing w:before="60" w:after="60"/>
              <w:jc w:val="center"/>
              <w:rPr>
                <w:iCs/>
                <w:color w:val="auto"/>
                <w:sz w:val="18"/>
                <w:szCs w:val="18"/>
                <w:lang w:val="en-GB"/>
              </w:rPr>
            </w:pPr>
            <w:r>
              <w:rPr>
                <w:iCs/>
                <w:color w:val="auto"/>
                <w:sz w:val="18"/>
                <w:szCs w:val="18"/>
                <w:lang w:val="en-GB"/>
              </w:rPr>
              <w:t xml:space="preserve">1 </w:t>
            </w:r>
            <w:r>
              <w:rPr>
                <w:iCs/>
                <w:sz w:val="18"/>
                <w:szCs w:val="18"/>
              </w:rPr>
              <w:t>(2026)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316E643" w14:textId="77777777" w:rsidR="00684FA8" w:rsidRDefault="00684FA8" w:rsidP="00684FA8">
            <w:pPr>
              <w:spacing w:before="40" w:after="40" w:line="240" w:lineRule="auto"/>
              <w:jc w:val="center"/>
              <w:rPr>
                <w:rFonts w:ascii="Times New Roman" w:hAnsi="Times New Roman"/>
              </w:rPr>
            </w:pPr>
            <w:r>
              <w:rPr>
                <w:rFonts w:ascii="Times New Roman" w:hAnsi="Times New Roman"/>
                <w:sz w:val="18"/>
                <w:szCs w:val="18"/>
              </w:rPr>
              <w:t>MLSP</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708C5986" w14:textId="77777777" w:rsidR="00684FA8" w:rsidRDefault="00684FA8" w:rsidP="00684FA8"/>
        </w:tc>
      </w:tr>
      <w:tr w:rsidR="00684FA8" w14:paraId="72D3B38A" w14:textId="77777777" w:rsidTr="001C0183">
        <w:trPr>
          <w:trHeight w:val="983"/>
        </w:trPr>
        <w:tc>
          <w:tcPr>
            <w:tcW w:w="2784" w:type="dxa"/>
            <w:vMerge/>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14:paraId="423A130A" w14:textId="77777777" w:rsidR="00684FA8" w:rsidRDefault="00684FA8" w:rsidP="00684FA8"/>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48F933A9" w14:textId="564167C3" w:rsidR="00C16196" w:rsidRPr="00FB328F" w:rsidRDefault="00684FA8" w:rsidP="00684FA8">
            <w:pPr>
              <w:spacing w:before="20" w:after="20" w:line="240" w:lineRule="auto"/>
              <w:rPr>
                <w:rFonts w:ascii="Times New Roman" w:hAnsi="Times New Roman"/>
              </w:rPr>
            </w:pPr>
            <w:r w:rsidRPr="00FB328F">
              <w:rPr>
                <w:rFonts w:ascii="Times New Roman" w:hAnsi="Times New Roman"/>
                <w:sz w:val="18"/>
                <w:szCs w:val="18"/>
              </w:rPr>
              <w:t>Number of professionals and stakeholders involved in capacity building activities</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B3FA9BF" w14:textId="77777777" w:rsidR="00684FA8" w:rsidRDefault="00684FA8" w:rsidP="00684FA8">
            <w:pPr>
              <w:spacing w:before="40" w:after="40" w:line="240" w:lineRule="auto"/>
              <w:jc w:val="center"/>
              <w:rPr>
                <w:rFonts w:ascii="Times New Roman" w:hAnsi="Times New Roman"/>
              </w:rPr>
            </w:pPr>
            <w:r>
              <w:rPr>
                <w:rFonts w:ascii="Times New Roman" w:hAnsi="Times New Roman"/>
                <w:iCs/>
                <w:sz w:val="18"/>
                <w:szCs w:val="18"/>
              </w:rPr>
              <w:t>0 (2021)</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45FC592" w14:textId="77777777" w:rsidR="00684FA8" w:rsidRDefault="00684FA8" w:rsidP="00684FA8">
            <w:pPr>
              <w:spacing w:before="40" w:after="40" w:line="240" w:lineRule="auto"/>
              <w:rPr>
                <w:rFonts w:ascii="Times New Roman" w:hAnsi="Times New Roman"/>
              </w:rPr>
            </w:pP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92B734B" w14:textId="1FEB9A45" w:rsidR="00684FA8" w:rsidRDefault="00684FA8" w:rsidP="00684FA8">
            <w:pPr>
              <w:pStyle w:val="Default"/>
              <w:spacing w:before="60" w:after="60"/>
              <w:jc w:val="center"/>
              <w:rPr>
                <w:iCs/>
                <w:color w:val="auto"/>
                <w:sz w:val="18"/>
                <w:szCs w:val="18"/>
                <w:lang w:val="en-GB"/>
              </w:rPr>
            </w:pPr>
            <w:r>
              <w:rPr>
                <w:iCs/>
                <w:color w:val="auto"/>
                <w:sz w:val="18"/>
                <w:szCs w:val="18"/>
                <w:lang w:val="en-GB"/>
              </w:rPr>
              <w:t xml:space="preserve">400 </w:t>
            </w:r>
            <w:r>
              <w:rPr>
                <w:iCs/>
                <w:sz w:val="18"/>
                <w:szCs w:val="18"/>
              </w:rPr>
              <w:t>(2026)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2F2C476" w14:textId="77777777" w:rsidR="00684FA8" w:rsidRDefault="00684FA8" w:rsidP="001C0183">
            <w:pPr>
              <w:spacing w:before="40" w:after="40" w:line="240" w:lineRule="auto"/>
              <w:jc w:val="center"/>
              <w:rPr>
                <w:rFonts w:ascii="Times New Roman" w:hAnsi="Times New Roman"/>
                <w:sz w:val="18"/>
                <w:szCs w:val="18"/>
              </w:rPr>
            </w:pPr>
            <w:r>
              <w:rPr>
                <w:rFonts w:ascii="Times New Roman" w:hAnsi="Times New Roman"/>
                <w:sz w:val="18"/>
                <w:szCs w:val="18"/>
              </w:rPr>
              <w:t>Project progress reports</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2667AFE5" w14:textId="77777777" w:rsidR="00684FA8" w:rsidRDefault="00684FA8" w:rsidP="00684FA8"/>
        </w:tc>
      </w:tr>
      <w:tr w:rsidR="00684FA8" w14:paraId="12873E11" w14:textId="77777777" w:rsidTr="001C0183">
        <w:trPr>
          <w:trHeight w:val="489"/>
        </w:trPr>
        <w:tc>
          <w:tcPr>
            <w:tcW w:w="278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3440920" w14:textId="750439CB" w:rsidR="00684FA8" w:rsidRPr="00814409" w:rsidRDefault="00684FA8" w:rsidP="00684FA8">
            <w:pPr>
              <w:spacing w:before="40" w:after="40" w:line="240" w:lineRule="auto"/>
              <w:rPr>
                <w:rFonts w:ascii="Times New Roman" w:hAnsi="Times New Roman"/>
                <w:bCs/>
                <w:iCs/>
                <w:color w:val="000000" w:themeColor="text1"/>
                <w:sz w:val="18"/>
                <w:szCs w:val="18"/>
              </w:rPr>
            </w:pPr>
            <w:r w:rsidRPr="00814409">
              <w:rPr>
                <w:rFonts w:ascii="Times New Roman" w:hAnsi="Times New Roman"/>
                <w:color w:val="000000" w:themeColor="text1"/>
                <w:sz w:val="18"/>
                <w:szCs w:val="18"/>
              </w:rPr>
              <w:t>2.</w:t>
            </w:r>
            <w:r w:rsidR="00C16196" w:rsidRPr="00814409">
              <w:rPr>
                <w:rFonts w:ascii="Times New Roman" w:hAnsi="Times New Roman"/>
                <w:color w:val="000000" w:themeColor="text1"/>
                <w:sz w:val="18"/>
                <w:szCs w:val="18"/>
              </w:rPr>
              <w:t>1</w:t>
            </w:r>
            <w:r w:rsidRPr="00814409">
              <w:rPr>
                <w:rFonts w:ascii="Times New Roman" w:hAnsi="Times New Roman"/>
                <w:color w:val="000000" w:themeColor="text1"/>
                <w:sz w:val="18"/>
                <w:szCs w:val="18"/>
              </w:rPr>
              <w:t xml:space="preserve"> </w:t>
            </w:r>
            <w:r w:rsidR="00C16196" w:rsidRPr="00814409">
              <w:rPr>
                <w:rFonts w:ascii="Times New Roman" w:hAnsi="Times New Roman"/>
                <w:color w:val="000000" w:themeColor="text1"/>
                <w:sz w:val="18"/>
                <w:szCs w:val="18"/>
              </w:rPr>
              <w:t>School accessibility for children with disabilities improved</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41F17B9" w14:textId="77777777" w:rsidR="00684FA8" w:rsidRPr="00814409" w:rsidRDefault="00684FA8" w:rsidP="00684FA8">
            <w:pPr>
              <w:spacing w:before="20" w:after="20" w:line="240" w:lineRule="auto"/>
              <w:rPr>
                <w:rFonts w:ascii="Times New Roman" w:hAnsi="Times New Roman"/>
                <w:color w:val="000000" w:themeColor="text1"/>
                <w:sz w:val="18"/>
                <w:szCs w:val="18"/>
              </w:rPr>
            </w:pPr>
            <w:r w:rsidRPr="00814409">
              <w:rPr>
                <w:rFonts w:ascii="Times New Roman" w:hAnsi="Times New Roman"/>
                <w:color w:val="000000" w:themeColor="text1"/>
                <w:sz w:val="18"/>
                <w:szCs w:val="18"/>
              </w:rPr>
              <w:t>Number of refurbished schools with this intervention</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7DDDADE" w14:textId="77777777" w:rsidR="00684FA8" w:rsidRPr="00814409" w:rsidRDefault="00684FA8"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0 (2022)</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5223523" w14:textId="77777777" w:rsidR="00684FA8" w:rsidRPr="00814409" w:rsidRDefault="00684FA8"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C5D6C49" w14:textId="77777777" w:rsidR="00684FA8" w:rsidRPr="00814409" w:rsidRDefault="00684FA8"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 15 (2026)</w:t>
            </w:r>
          </w:p>
        </w:tc>
        <w:tc>
          <w:tcPr>
            <w:tcW w:w="2106"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7100DED" w14:textId="73C5D8EC" w:rsidR="00684FA8" w:rsidRPr="00814409" w:rsidRDefault="00814409" w:rsidP="00684FA8">
            <w:pPr>
              <w:spacing w:before="40" w:after="40"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MoES</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1DF31C09" w14:textId="77777777" w:rsidR="00684FA8" w:rsidRDefault="00684FA8" w:rsidP="00684FA8"/>
        </w:tc>
      </w:tr>
      <w:tr w:rsidR="00684FA8" w14:paraId="50BFB856" w14:textId="77777777" w:rsidTr="001C0183">
        <w:trPr>
          <w:trHeight w:val="489"/>
        </w:trPr>
        <w:tc>
          <w:tcPr>
            <w:tcW w:w="2784" w:type="dxa"/>
            <w:vMerge/>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964DFE0" w14:textId="77777777" w:rsidR="00684FA8" w:rsidRPr="00814409" w:rsidRDefault="00684FA8" w:rsidP="00684FA8">
            <w:pPr>
              <w:rPr>
                <w:color w:val="000000" w:themeColor="text1"/>
              </w:rPr>
            </w:pP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DED7C13" w14:textId="3E2A26A5" w:rsidR="00684FA8" w:rsidRPr="00814409" w:rsidRDefault="00684FA8" w:rsidP="00684FA8">
            <w:pPr>
              <w:spacing w:before="20" w:after="20" w:line="240" w:lineRule="auto"/>
              <w:rPr>
                <w:rFonts w:ascii="Times New Roman" w:hAnsi="Times New Roman"/>
                <w:color w:val="000000" w:themeColor="text1"/>
                <w:sz w:val="18"/>
                <w:szCs w:val="18"/>
              </w:rPr>
            </w:pPr>
            <w:r w:rsidRPr="00814409">
              <w:rPr>
                <w:rFonts w:ascii="Times New Roman" w:hAnsi="Times New Roman"/>
                <w:color w:val="000000" w:themeColor="text1"/>
                <w:sz w:val="18"/>
                <w:szCs w:val="18"/>
              </w:rPr>
              <w:t xml:space="preserve">Number of refurbished </w:t>
            </w:r>
            <w:r w:rsidR="00C16196" w:rsidRPr="00814409">
              <w:rPr>
                <w:rFonts w:ascii="Times New Roman" w:hAnsi="Times New Roman"/>
                <w:color w:val="000000" w:themeColor="text1"/>
                <w:sz w:val="18"/>
                <w:szCs w:val="18"/>
              </w:rPr>
              <w:t>r</w:t>
            </w:r>
            <w:r w:rsidRPr="00814409">
              <w:rPr>
                <w:rFonts w:ascii="Times New Roman" w:hAnsi="Times New Roman"/>
                <w:color w:val="000000" w:themeColor="text1"/>
                <w:sz w:val="18"/>
                <w:szCs w:val="18"/>
              </w:rPr>
              <w:t>esource centres with this intervention</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ABDCDB9" w14:textId="77777777" w:rsidR="00684FA8" w:rsidRPr="00814409" w:rsidRDefault="00684FA8"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0 (2022)</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E8A36D4" w14:textId="77777777" w:rsidR="00684FA8" w:rsidRPr="00814409" w:rsidRDefault="00684FA8"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7665055" w14:textId="77777777" w:rsidR="00684FA8" w:rsidRPr="00814409" w:rsidRDefault="00684FA8"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 5 (2026)</w:t>
            </w:r>
          </w:p>
        </w:tc>
        <w:tc>
          <w:tcPr>
            <w:tcW w:w="2106" w:type="dxa"/>
            <w:vMerge/>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B24CD9B" w14:textId="77777777" w:rsidR="00684FA8" w:rsidRPr="00814409" w:rsidRDefault="00684FA8" w:rsidP="00684FA8">
            <w:pPr>
              <w:rPr>
                <w:color w:val="000000" w:themeColor="text1"/>
              </w:rPr>
            </w:pP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3DF08F8C" w14:textId="77777777" w:rsidR="00684FA8" w:rsidRDefault="00684FA8" w:rsidP="00684FA8"/>
        </w:tc>
      </w:tr>
      <w:tr w:rsidR="004B77E6" w14:paraId="787A231B" w14:textId="77777777" w:rsidTr="00F37DEF">
        <w:trPr>
          <w:trHeight w:val="489"/>
        </w:trPr>
        <w:tc>
          <w:tcPr>
            <w:tcW w:w="2784" w:type="dxa"/>
            <w:vMerge w:val="restart"/>
            <w:tcBorders>
              <w:top w:val="single" w:sz="4" w:space="0" w:color="000000"/>
              <w:left w:val="single" w:sz="4" w:space="0" w:color="000000"/>
              <w:right w:val="single" w:sz="4" w:space="0" w:color="000000"/>
              <w:tl2br w:val="nil"/>
              <w:tr2bl w:val="nil"/>
            </w:tcBorders>
            <w:tcMar>
              <w:top w:w="0" w:type="dxa"/>
              <w:left w:w="70" w:type="dxa"/>
              <w:bottom w:w="0" w:type="dxa"/>
              <w:right w:w="70" w:type="dxa"/>
            </w:tcMar>
            <w:vAlign w:val="center"/>
          </w:tcPr>
          <w:p w14:paraId="25296F38" w14:textId="32CA6727" w:rsidR="004B77E6" w:rsidRPr="00814409" w:rsidRDefault="004B77E6" w:rsidP="00684FA8">
            <w:pPr>
              <w:rPr>
                <w:rFonts w:ascii="Times New Roman" w:hAnsi="Times New Roman"/>
                <w:color w:val="000000" w:themeColor="text1"/>
                <w:sz w:val="18"/>
                <w:szCs w:val="18"/>
              </w:rPr>
            </w:pPr>
            <w:r w:rsidRPr="00814409">
              <w:rPr>
                <w:rFonts w:ascii="Times New Roman" w:hAnsi="Times New Roman"/>
                <w:color w:val="000000" w:themeColor="text1"/>
                <w:sz w:val="18"/>
                <w:szCs w:val="18"/>
              </w:rPr>
              <w:lastRenderedPageBreak/>
              <w:t>2.2 Stepped-Up Non-discrimination at school enhanced</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419C70D0" w14:textId="46A7E400" w:rsidR="004B77E6" w:rsidRPr="00814409" w:rsidRDefault="004B77E6" w:rsidP="00684FA8">
            <w:pPr>
              <w:spacing w:before="20" w:after="20" w:line="240" w:lineRule="auto"/>
              <w:rPr>
                <w:rFonts w:ascii="Times New Roman" w:hAnsi="Times New Roman"/>
                <w:color w:val="000000" w:themeColor="text1"/>
                <w:sz w:val="18"/>
                <w:szCs w:val="18"/>
              </w:rPr>
            </w:pPr>
            <w:r w:rsidRPr="00814409">
              <w:rPr>
                <w:rFonts w:ascii="Times New Roman" w:hAnsi="Times New Roman"/>
                <w:color w:val="000000" w:themeColor="text1"/>
                <w:sz w:val="18"/>
                <w:szCs w:val="18"/>
              </w:rPr>
              <w:t xml:space="preserve">Number of scholarships awarded to vulnerable children and students with special needs </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9A0C19E" w14:textId="3D695AC1" w:rsidR="004B77E6" w:rsidRPr="00814409" w:rsidRDefault="004B77E6"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Xx (2022)</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7308D03" w14:textId="057A2822" w:rsidR="004B77E6" w:rsidRPr="00814409" w:rsidRDefault="004B77E6"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C9E71EC" w14:textId="2636919D" w:rsidR="004B77E6" w:rsidRPr="00814409" w:rsidRDefault="00A31E81">
            <w:pPr>
              <w:spacing w:before="40" w:after="40"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250 (</w:t>
            </w:r>
            <w:r w:rsidR="004B77E6" w:rsidRPr="00814409">
              <w:rPr>
                <w:rFonts w:ascii="Times New Roman" w:hAnsi="Times New Roman"/>
                <w:color w:val="000000" w:themeColor="text1"/>
                <w:sz w:val="18"/>
                <w:szCs w:val="18"/>
              </w:rPr>
              <w:t>TB</w:t>
            </w:r>
            <w:r>
              <w:rPr>
                <w:rFonts w:ascii="Times New Roman" w:hAnsi="Times New Roman"/>
                <w:color w:val="000000" w:themeColor="text1"/>
                <w:sz w:val="18"/>
                <w:szCs w:val="18"/>
              </w:rPr>
              <w:t>C)</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5854FAA" w14:textId="7CE5B25A" w:rsidR="004B77E6" w:rsidRPr="00814409" w:rsidRDefault="004B77E6" w:rsidP="00FB328F">
            <w:pPr>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MoES</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064DF9F0" w14:textId="77777777" w:rsidR="004B77E6" w:rsidRDefault="004B77E6" w:rsidP="00684FA8"/>
        </w:tc>
      </w:tr>
      <w:tr w:rsidR="004B77E6" w14:paraId="10404BE8" w14:textId="77777777" w:rsidTr="00F37DEF">
        <w:trPr>
          <w:trHeight w:val="489"/>
        </w:trPr>
        <w:tc>
          <w:tcPr>
            <w:tcW w:w="2784" w:type="dxa"/>
            <w:vMerge/>
            <w:tcBorders>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4DA9E843" w14:textId="77777777" w:rsidR="004B77E6" w:rsidRPr="00814409" w:rsidRDefault="004B77E6" w:rsidP="00684FA8">
            <w:pPr>
              <w:rPr>
                <w:rFonts w:ascii="Times New Roman" w:hAnsi="Times New Roman"/>
                <w:color w:val="000000" w:themeColor="text1"/>
                <w:sz w:val="18"/>
                <w:szCs w:val="18"/>
              </w:rPr>
            </w:pP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A402F8E" w14:textId="5C0AD13B" w:rsidR="004B77E6" w:rsidRPr="00814409" w:rsidRDefault="004B77E6" w:rsidP="00684FA8">
            <w:pPr>
              <w:spacing w:before="20" w:after="20" w:line="240" w:lineRule="auto"/>
              <w:rPr>
                <w:rFonts w:ascii="Times New Roman" w:hAnsi="Times New Roman"/>
                <w:color w:val="000000" w:themeColor="text1"/>
                <w:sz w:val="18"/>
                <w:szCs w:val="18"/>
              </w:rPr>
            </w:pPr>
            <w:r w:rsidRPr="00814409">
              <w:rPr>
                <w:rFonts w:ascii="Times New Roman" w:hAnsi="Times New Roman"/>
                <w:color w:val="000000" w:themeColor="text1"/>
                <w:sz w:val="18"/>
                <w:szCs w:val="18"/>
              </w:rPr>
              <w:t xml:space="preserve">Number of teachers </w:t>
            </w:r>
            <w:r w:rsidR="00D778E1" w:rsidRPr="00814409">
              <w:rPr>
                <w:rFonts w:ascii="Times New Roman" w:hAnsi="Times New Roman"/>
                <w:color w:val="000000" w:themeColor="text1"/>
                <w:sz w:val="18"/>
                <w:szCs w:val="18"/>
              </w:rPr>
              <w:t>involved in activities focused on improving skills to deal with vulnerable groups</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B6D0C90" w14:textId="3F1831B7" w:rsidR="004B77E6" w:rsidRPr="00814409" w:rsidRDefault="00D778E1"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Xx (2022)</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187D013" w14:textId="0CEE0147" w:rsidR="004B77E6" w:rsidRPr="00814409" w:rsidRDefault="00D778E1"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246219F" w14:textId="4AE38A17" w:rsidR="004B77E6" w:rsidRPr="00814409" w:rsidRDefault="00D778E1"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TBD</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784BDDB" w14:textId="6F724751" w:rsidR="004B77E6" w:rsidRPr="00814409" w:rsidRDefault="00D778E1" w:rsidP="004B77E6">
            <w:pPr>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MoES</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6A7471D8" w14:textId="77777777" w:rsidR="004B77E6" w:rsidRDefault="004B77E6" w:rsidP="00684FA8"/>
        </w:tc>
      </w:tr>
      <w:tr w:rsidR="00684FA8" w14:paraId="13818DB2" w14:textId="77777777" w:rsidTr="001C0183">
        <w:trPr>
          <w:trHeight w:val="489"/>
        </w:trPr>
        <w:tc>
          <w:tcPr>
            <w:tcW w:w="278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60FAA36" w14:textId="77777777" w:rsidR="00684FA8" w:rsidRPr="00814409" w:rsidRDefault="00684FA8" w:rsidP="00684FA8">
            <w:pPr>
              <w:spacing w:before="40" w:after="40" w:line="240" w:lineRule="auto"/>
              <w:rPr>
                <w:rFonts w:ascii="Times New Roman" w:hAnsi="Times New Roman"/>
                <w:color w:val="000000" w:themeColor="text1"/>
                <w:sz w:val="18"/>
                <w:szCs w:val="18"/>
              </w:rPr>
            </w:pPr>
            <w:r w:rsidRPr="00814409">
              <w:rPr>
                <w:rFonts w:ascii="Times New Roman" w:hAnsi="Times New Roman"/>
                <w:color w:val="000000" w:themeColor="text1"/>
                <w:sz w:val="18"/>
                <w:szCs w:val="18"/>
              </w:rPr>
              <w:t>3.1 Detailed Urban planning for Roma settlements promoted</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201B3D6" w14:textId="77777777" w:rsidR="00684FA8" w:rsidRPr="00814409" w:rsidRDefault="00684FA8" w:rsidP="00684FA8">
            <w:pPr>
              <w:spacing w:before="20" w:after="20" w:line="240" w:lineRule="auto"/>
              <w:rPr>
                <w:rFonts w:ascii="Times New Roman" w:hAnsi="Times New Roman"/>
                <w:color w:val="000000" w:themeColor="text1"/>
                <w:sz w:val="18"/>
                <w:szCs w:val="18"/>
              </w:rPr>
            </w:pPr>
            <w:r w:rsidRPr="00814409">
              <w:rPr>
                <w:rFonts w:ascii="Times New Roman" w:hAnsi="Times New Roman"/>
                <w:color w:val="000000" w:themeColor="text1"/>
                <w:sz w:val="18"/>
                <w:szCs w:val="18"/>
              </w:rPr>
              <w:t>Number of new Roma settlements integrated in detailed urban plans at municipal level</w:t>
            </w:r>
          </w:p>
        </w:tc>
        <w:tc>
          <w:tcPr>
            <w:tcW w:w="168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65CC088" w14:textId="77777777" w:rsidR="00684FA8" w:rsidRPr="00814409" w:rsidRDefault="00684FA8"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0 (2022)</w:t>
            </w:r>
          </w:p>
        </w:tc>
        <w:tc>
          <w:tcPr>
            <w:tcW w:w="192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F52E630" w14:textId="77777777" w:rsidR="00684FA8" w:rsidRPr="00814409" w:rsidRDefault="00684FA8"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w:t>
            </w:r>
          </w:p>
        </w:tc>
        <w:tc>
          <w:tcPr>
            <w:tcW w:w="201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A55CCE7" w14:textId="77777777" w:rsidR="00684FA8" w:rsidRPr="00814409" w:rsidRDefault="00684FA8"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 6 (2026)</w:t>
            </w:r>
          </w:p>
        </w:tc>
        <w:tc>
          <w:tcPr>
            <w:tcW w:w="210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8A2915C" w14:textId="77777777" w:rsidR="00684FA8" w:rsidRPr="00814409" w:rsidRDefault="00684FA8" w:rsidP="00684FA8">
            <w:pPr>
              <w:spacing w:before="40" w:after="40" w:line="240" w:lineRule="auto"/>
              <w:jc w:val="center"/>
              <w:rPr>
                <w:rFonts w:ascii="Times New Roman" w:hAnsi="Times New Roman"/>
                <w:color w:val="000000" w:themeColor="text1"/>
                <w:sz w:val="18"/>
                <w:szCs w:val="18"/>
              </w:rPr>
            </w:pPr>
            <w:r w:rsidRPr="00814409">
              <w:rPr>
                <w:rFonts w:ascii="Times New Roman" w:hAnsi="Times New Roman"/>
                <w:color w:val="000000" w:themeColor="text1"/>
                <w:sz w:val="18"/>
                <w:szCs w:val="18"/>
              </w:rPr>
              <w:t>Project report</w:t>
            </w:r>
          </w:p>
        </w:tc>
        <w:tc>
          <w:tcPr>
            <w:tcW w:w="200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4FAF4F49" w14:textId="77777777" w:rsidR="00684FA8" w:rsidRDefault="00684FA8" w:rsidP="00684FA8"/>
        </w:tc>
      </w:tr>
      <w:tr w:rsidR="00684FA8" w14:paraId="7B5D61FE" w14:textId="77777777" w:rsidTr="001C0183">
        <w:trPr>
          <w:trHeight w:val="332"/>
        </w:trPr>
        <w:tc>
          <w:tcPr>
            <w:tcW w:w="2784"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6C25A7E6" w14:textId="77777777" w:rsidR="00684FA8" w:rsidRDefault="00684FA8" w:rsidP="00684FA8">
            <w:pPr>
              <w:pBdr>
                <w:top w:val="nil"/>
                <w:left w:val="nil"/>
                <w:bottom w:val="nil"/>
                <w:right w:val="nil"/>
                <w:between w:val="nil"/>
              </w:pBdr>
              <w:shd w:val="solid" w:color="FFFFFF" w:fill="auto"/>
              <w:spacing w:before="40" w:after="40" w:line="240" w:lineRule="auto"/>
              <w:contextualSpacing/>
              <w:jc w:val="center"/>
              <w:rPr>
                <w:rFonts w:ascii="Times New Roman" w:hAnsi="Times New Roman"/>
                <w:sz w:val="18"/>
                <w:szCs w:val="18"/>
              </w:rPr>
            </w:pPr>
            <w:r>
              <w:rPr>
                <w:rFonts w:ascii="Times New Roman" w:hAnsi="Times New Roman"/>
                <w:b/>
                <w:sz w:val="18"/>
                <w:szCs w:val="18"/>
              </w:rPr>
              <w:t>BROAD ARRANGEMENTS FOR IMPLEMENTATION (IF AVAILABLE)</w:t>
            </w:r>
          </w:p>
        </w:tc>
        <w:tc>
          <w:tcPr>
            <w:tcW w:w="12405" w:type="dxa"/>
            <w:gridSpan w:val="6"/>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70" w:type="dxa"/>
              <w:bottom w:w="0" w:type="dxa"/>
              <w:right w:w="70" w:type="dxa"/>
            </w:tcMar>
            <w:vAlign w:val="center"/>
          </w:tcPr>
          <w:p w14:paraId="7BA71245" w14:textId="77777777" w:rsidR="00684FA8" w:rsidRDefault="00684FA8" w:rsidP="00684FA8">
            <w:pPr>
              <w:spacing w:before="20" w:after="20" w:line="240" w:lineRule="auto"/>
              <w:contextualSpacing/>
              <w:jc w:val="both"/>
              <w:rPr>
                <w:rFonts w:ascii="Times New Roman" w:hAnsi="Times New Roman"/>
                <w:sz w:val="18"/>
                <w:szCs w:val="18"/>
              </w:rPr>
            </w:pPr>
            <w:r>
              <w:rPr>
                <w:rFonts w:ascii="Times New Roman" w:hAnsi="Times New Roman"/>
                <w:sz w:val="18"/>
                <w:szCs w:val="18"/>
              </w:rPr>
              <w:t>Direct Management as follows:</w:t>
            </w:r>
          </w:p>
          <w:p w14:paraId="5374DAAD" w14:textId="1010616F" w:rsidR="00684FA8" w:rsidRDefault="00684FA8" w:rsidP="00684FA8">
            <w:pPr>
              <w:spacing w:before="20" w:after="20" w:line="240" w:lineRule="auto"/>
              <w:contextualSpacing/>
              <w:jc w:val="both"/>
              <w:rPr>
                <w:rFonts w:ascii="Times New Roman" w:hAnsi="Times New Roman"/>
                <w:iCs/>
                <w:sz w:val="18"/>
                <w:szCs w:val="18"/>
              </w:rPr>
            </w:pPr>
            <w:r>
              <w:rPr>
                <w:rFonts w:ascii="Times New Roman" w:hAnsi="Times New Roman"/>
                <w:sz w:val="18"/>
                <w:szCs w:val="18"/>
              </w:rPr>
              <w:t xml:space="preserve">Component </w:t>
            </w:r>
            <w:r>
              <w:rPr>
                <w:rFonts w:ascii="Times New Roman" w:hAnsi="Times New Roman"/>
                <w:iCs/>
                <w:sz w:val="18"/>
                <w:szCs w:val="18"/>
              </w:rPr>
              <w:t>1: Grant Scheme and Service Contract.</w:t>
            </w:r>
          </w:p>
          <w:p w14:paraId="44F5F132" w14:textId="167CEB7C" w:rsidR="00684FA8" w:rsidRDefault="00684FA8" w:rsidP="00684FA8">
            <w:pPr>
              <w:spacing w:before="20" w:after="20" w:line="240" w:lineRule="auto"/>
              <w:contextualSpacing/>
              <w:jc w:val="both"/>
              <w:rPr>
                <w:rFonts w:ascii="Times New Roman" w:hAnsi="Times New Roman"/>
                <w:iCs/>
                <w:sz w:val="18"/>
                <w:szCs w:val="18"/>
              </w:rPr>
            </w:pPr>
            <w:r>
              <w:rPr>
                <w:rFonts w:ascii="Times New Roman" w:hAnsi="Times New Roman"/>
                <w:iCs/>
                <w:sz w:val="18"/>
                <w:szCs w:val="18"/>
              </w:rPr>
              <w:t xml:space="preserve">Component 2: </w:t>
            </w:r>
            <w:r w:rsidR="00A31E81">
              <w:rPr>
                <w:rFonts w:ascii="Times New Roman" w:hAnsi="Times New Roman"/>
                <w:iCs/>
                <w:sz w:val="18"/>
                <w:szCs w:val="18"/>
              </w:rPr>
              <w:t>Grants after a call for proposal or Contribution agreement, based on competitive seleection</w:t>
            </w:r>
          </w:p>
          <w:p w14:paraId="2A32D68B" w14:textId="03B2DCFB" w:rsidR="00684FA8" w:rsidRDefault="00684FA8" w:rsidP="00684FA8">
            <w:pPr>
              <w:spacing w:before="20" w:after="20" w:line="240" w:lineRule="auto"/>
              <w:jc w:val="both"/>
              <w:rPr>
                <w:rFonts w:ascii="Times New Roman" w:hAnsi="Times New Roman"/>
                <w:iCs/>
                <w:sz w:val="18"/>
                <w:szCs w:val="18"/>
              </w:rPr>
            </w:pPr>
            <w:r w:rsidRPr="00814409">
              <w:rPr>
                <w:rFonts w:ascii="Times New Roman" w:hAnsi="Times New Roman"/>
                <w:iCs/>
                <w:color w:val="000000" w:themeColor="text1"/>
                <w:sz w:val="18"/>
                <w:szCs w:val="18"/>
              </w:rPr>
              <w:t>Component 3: Service Contract.</w:t>
            </w:r>
          </w:p>
        </w:tc>
      </w:tr>
    </w:tbl>
    <w:p w14:paraId="488542C3" w14:textId="77777777" w:rsidR="00BA668B" w:rsidRDefault="00BA668B">
      <w:pPr>
        <w:sectPr w:rsidR="00BA668B">
          <w:endnotePr>
            <w:numFmt w:val="decimal"/>
          </w:endnotePr>
          <w:pgSz w:w="16840" w:h="11906" w:orient="landscape"/>
          <w:pgMar w:top="1087" w:right="818" w:bottom="670" w:left="700" w:header="720" w:footer="720" w:gutter="0"/>
          <w:cols w:space="720"/>
        </w:sectPr>
      </w:pPr>
    </w:p>
    <w:p w14:paraId="3B5F057D" w14:textId="77777777" w:rsidR="00BA668B" w:rsidRDefault="00BA668B">
      <w:pPr>
        <w:rPr>
          <w:rFonts w:ascii="Times New Roman" w:hAnsi="Times New Roman"/>
        </w:rPr>
      </w:pPr>
      <w:bookmarkStart w:id="4" w:name="page3"/>
      <w:bookmarkEnd w:id="3"/>
      <w:bookmarkEnd w:id="4"/>
    </w:p>
    <w:sectPr w:rsidR="00BA668B">
      <w:endnotePr>
        <w:numFmt w:val="decimal"/>
      </w:endnotePr>
      <w:pgSz w:w="16838" w:h="11906" w:orient="landscape"/>
      <w:pgMar w:top="567" w:right="1440" w:bottom="426"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26987A" w16cid:durableId="267BFC76"/>
  <w16cid:commentId w16cid:paraId="303F4B56" w16cid:durableId="267BF11A"/>
  <w16cid:commentId w16cid:paraId="291B7DFC" w16cid:durableId="267BF3BF"/>
  <w16cid:commentId w16cid:paraId="222FFB97" w16cid:durableId="267BF060"/>
  <w16cid:commentId w16cid:paraId="6DA9A955" w16cid:durableId="267BF0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199C4" w14:textId="77777777" w:rsidR="008825DE" w:rsidRDefault="008825DE">
      <w:pPr>
        <w:spacing w:after="0" w:line="240" w:lineRule="auto"/>
      </w:pPr>
      <w:r>
        <w:separator/>
      </w:r>
    </w:p>
  </w:endnote>
  <w:endnote w:type="continuationSeparator" w:id="0">
    <w:p w14:paraId="7014E414" w14:textId="77777777" w:rsidR="008825DE" w:rsidRDefault="0088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obiSerifRegular">
    <w:panose1 w:val="02000503060000020004"/>
    <w:charset w:val="CC"/>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43EFD" w14:textId="77777777" w:rsidR="008825DE" w:rsidRDefault="008825DE">
      <w:pPr>
        <w:spacing w:after="0" w:line="240" w:lineRule="auto"/>
      </w:pPr>
      <w:r>
        <w:separator/>
      </w:r>
    </w:p>
  </w:footnote>
  <w:footnote w:type="continuationSeparator" w:id="0">
    <w:p w14:paraId="6DEC61AF" w14:textId="77777777" w:rsidR="008825DE" w:rsidRDefault="008825DE">
      <w:pPr>
        <w:spacing w:after="0" w:line="240" w:lineRule="auto"/>
      </w:pPr>
      <w:r>
        <w:continuationSeparator/>
      </w:r>
    </w:p>
  </w:footnote>
  <w:footnote w:id="1">
    <w:p w14:paraId="798E08CC" w14:textId="68DD27B1" w:rsidR="00056359" w:rsidRPr="00225ED5" w:rsidRDefault="00056359">
      <w:pPr>
        <w:pStyle w:val="FootnoteText"/>
        <w:rPr>
          <w:rFonts w:ascii="Times New Roman" w:hAnsi="Times New Roman"/>
          <w:sz w:val="18"/>
          <w:szCs w:val="18"/>
        </w:rPr>
      </w:pPr>
      <w:r>
        <w:rPr>
          <w:rStyle w:val="FootnoteReference"/>
        </w:rPr>
        <w:footnoteRef/>
      </w:r>
      <w:r>
        <w:t xml:space="preserve"> </w:t>
      </w:r>
      <w:r w:rsidRPr="00225ED5">
        <w:rPr>
          <w:rFonts w:ascii="Times New Roman" w:hAnsi="Times New Roman"/>
          <w:sz w:val="18"/>
          <w:szCs w:val="18"/>
        </w:rPr>
        <w:t>If such are established in parallel</w:t>
      </w:r>
    </w:p>
  </w:footnote>
  <w:footnote w:id="2">
    <w:p w14:paraId="0F76529B" w14:textId="1AB5A5B7" w:rsidR="00056359" w:rsidRPr="00225ED5" w:rsidRDefault="00056359" w:rsidP="00225ED5">
      <w:pPr>
        <w:pStyle w:val="FootnoteText"/>
        <w:ind w:left="142" w:hanging="142"/>
        <w:rPr>
          <w:rFonts w:ascii="Times New Roman" w:hAnsi="Times New Roman"/>
          <w:sz w:val="18"/>
          <w:szCs w:val="18"/>
        </w:rPr>
      </w:pPr>
      <w:r w:rsidRPr="00225ED5">
        <w:rPr>
          <w:rStyle w:val="FootnoteReference"/>
          <w:rFonts w:ascii="Times New Roman" w:hAnsi="Times New Roman"/>
          <w:sz w:val="18"/>
          <w:szCs w:val="18"/>
        </w:rPr>
        <w:footnoteRef/>
      </w:r>
      <w:r w:rsidRPr="00225ED5">
        <w:rPr>
          <w:rFonts w:ascii="Times New Roman" w:hAnsi="Times New Roman"/>
          <w:sz w:val="18"/>
          <w:szCs w:val="18"/>
        </w:rPr>
        <w:t xml:space="preserve"> Another EU-project will support the Ministry of Labour and Social Policy to establish a monitoring system of the quality of the social services, and upgrade the methodological basis for the state financing of the public services in the social area.</w:t>
      </w:r>
    </w:p>
  </w:footnote>
  <w:footnote w:id="3">
    <w:p w14:paraId="0D98074C" w14:textId="77777777" w:rsidR="00E15E51" w:rsidRPr="009D7EF9" w:rsidRDefault="00E15E51" w:rsidP="00E15E51">
      <w:pPr>
        <w:pStyle w:val="FootnoteText"/>
        <w:rPr>
          <w:rFonts w:ascii="Times New Roman" w:hAnsi="Times New Roman"/>
          <w:sz w:val="10"/>
          <w:szCs w:val="10"/>
          <w:lang w:val="en-US"/>
        </w:rPr>
      </w:pPr>
      <w:r w:rsidRPr="009D7EF9">
        <w:rPr>
          <w:rStyle w:val="FootnoteReference"/>
          <w:rFonts w:ascii="Times New Roman" w:hAnsi="Times New Roman"/>
          <w:sz w:val="10"/>
          <w:szCs w:val="10"/>
        </w:rPr>
        <w:footnoteRef/>
      </w:r>
      <w:r w:rsidRPr="009D7EF9">
        <w:rPr>
          <w:rFonts w:ascii="Times New Roman" w:hAnsi="Times New Roman"/>
          <w:sz w:val="10"/>
          <w:szCs w:val="10"/>
        </w:rPr>
        <w:t xml:space="preserve"> </w:t>
      </w:r>
      <w:hyperlink r:id="rId1" w:history="1">
        <w:r w:rsidRPr="009D7EF9">
          <w:rPr>
            <w:rStyle w:val="Hyperlink"/>
            <w:rFonts w:ascii="Times New Roman" w:eastAsia="Calibri" w:hAnsi="Times New Roman"/>
            <w:sz w:val="10"/>
            <w:szCs w:val="10"/>
          </w:rPr>
          <w:t>https://www.coe.int/en/web/istanbul-convention/north-macedonia</w:t>
        </w:r>
      </w:hyperlink>
      <w:r w:rsidRPr="009D7EF9">
        <w:rPr>
          <w:rFonts w:ascii="Times New Roman" w:hAnsi="Times New Roman"/>
          <w:sz w:val="10"/>
          <w:szCs w:val="10"/>
        </w:rPr>
        <w:t xml:space="preserve"> </w:t>
      </w:r>
    </w:p>
  </w:footnote>
  <w:footnote w:id="4">
    <w:p w14:paraId="220480A5" w14:textId="15A390E8" w:rsidR="00056359" w:rsidRPr="00DF2BAF" w:rsidRDefault="00056359">
      <w:pPr>
        <w:pStyle w:val="FootnoteText"/>
      </w:pPr>
      <w:r>
        <w:rPr>
          <w:rStyle w:val="FootnoteReference"/>
        </w:rPr>
        <w:footnoteRef/>
      </w:r>
      <w:r w:rsidRPr="00DF2BAF">
        <w:t xml:space="preserve"> </w:t>
      </w:r>
      <w:r w:rsidRPr="001C0183">
        <w:t>General Urban Plan and D</w:t>
      </w:r>
      <w:r>
        <w:t>etailed Urban Plan</w:t>
      </w:r>
    </w:p>
  </w:footnote>
  <w:footnote w:id="5">
    <w:p w14:paraId="48E09956" w14:textId="77777777" w:rsidR="00056359" w:rsidRPr="00D85984" w:rsidRDefault="00056359">
      <w:pPr>
        <w:pStyle w:val="FootnoteText"/>
      </w:pPr>
      <w:r>
        <w:rPr>
          <w:rStyle w:val="FootnoteReference"/>
          <w:rFonts w:ascii="Arial" w:hAnsi="Arial" w:cs="Arial"/>
          <w:sz w:val="10"/>
          <w:szCs w:val="10"/>
        </w:rPr>
        <w:footnoteRef/>
      </w:r>
      <w:r w:rsidRPr="00D85984">
        <w:rPr>
          <w:rFonts w:ascii="Arial" w:hAnsi="Arial" w:cs="Arial"/>
          <w:sz w:val="10"/>
          <w:szCs w:val="10"/>
        </w:rPr>
        <w:t xml:space="preserve"> </w:t>
      </w:r>
      <w:hyperlink r:id="rId2" w:history="1">
        <w:r w:rsidRPr="00D85984">
          <w:rPr>
            <w:rStyle w:val="Hyperlink"/>
            <w:rFonts w:ascii="Arial" w:hAnsi="Arial" w:cs="Arial"/>
            <w:sz w:val="10"/>
            <w:szCs w:val="10"/>
          </w:rPr>
          <w:t>https://ec.europa.eu/info/sites/default/files/eu_roma_strategic_framework_for_equality_inclusion_and_participation_for_2020_-_2030_0.pdf</w:t>
        </w:r>
      </w:hyperlink>
      <w:r w:rsidRPr="00D85984">
        <w:rPr>
          <w:rFonts w:ascii="Arial" w:hAnsi="Arial" w:cs="Arial"/>
          <w:sz w:val="10"/>
          <w:szCs w:val="10"/>
        </w:rPr>
        <w:t xml:space="preserve"> </w:t>
      </w:r>
    </w:p>
  </w:footnote>
  <w:footnote w:id="6">
    <w:p w14:paraId="6B6741AB" w14:textId="77777777" w:rsidR="00056359" w:rsidRDefault="00056359">
      <w:pPr>
        <w:pStyle w:val="FootnoteText"/>
      </w:pPr>
      <w:r>
        <w:rPr>
          <w:rStyle w:val="FootnoteReference"/>
          <w:rFonts w:ascii="Arial" w:hAnsi="Arial" w:cs="Arial"/>
          <w:sz w:val="10"/>
          <w:szCs w:val="10"/>
        </w:rPr>
        <w:footnoteRef/>
      </w:r>
      <w:r>
        <w:rPr>
          <w:rFonts w:ascii="Arial" w:hAnsi="Arial" w:cs="Arial"/>
          <w:sz w:val="10"/>
          <w:szCs w:val="10"/>
        </w:rPr>
        <w:t xml:space="preserve"> </w:t>
      </w:r>
      <w:hyperlink r:id="rId3" w:history="1">
        <w:r>
          <w:rPr>
            <w:rStyle w:val="Hyperlink"/>
            <w:rFonts w:ascii="Arial" w:hAnsi="Arial" w:cs="Arial"/>
            <w:kern w:val="1"/>
            <w:sz w:val="10"/>
            <w:szCs w:val="10"/>
          </w:rPr>
          <w:t>https://www.echr.coe.int/Documents/Convention_ENG.pdf</w:t>
        </w:r>
      </w:hyperlink>
    </w:p>
  </w:footnote>
  <w:footnote w:id="7">
    <w:p w14:paraId="734F3D9F" w14:textId="77777777" w:rsidR="00056359" w:rsidRDefault="00056359">
      <w:pPr>
        <w:pStyle w:val="FootnoteText"/>
      </w:pPr>
      <w:r>
        <w:rPr>
          <w:rStyle w:val="FootnoteReference"/>
          <w:rFonts w:ascii="Arial" w:hAnsi="Arial" w:cs="Arial"/>
          <w:sz w:val="10"/>
          <w:szCs w:val="10"/>
        </w:rPr>
        <w:footnoteRef/>
      </w:r>
      <w:r>
        <w:rPr>
          <w:rFonts w:ascii="Arial" w:hAnsi="Arial" w:cs="Arial"/>
          <w:sz w:val="10"/>
          <w:szCs w:val="10"/>
        </w:rPr>
        <w:t xml:space="preserve"> </w:t>
      </w:r>
      <w:hyperlink r:id="rId4" w:history="1">
        <w:r>
          <w:rPr>
            <w:rStyle w:val="Hyperlink"/>
            <w:rFonts w:ascii="Arial" w:hAnsi="Arial" w:cs="Arial"/>
            <w:kern w:val="1"/>
            <w:sz w:val="10"/>
            <w:szCs w:val="10"/>
          </w:rPr>
          <w:t>https://rm.coe.int/CoERMPublicCommonSearchServices/DisplayDCTMContent?documentId=090000168007cf93</w:t>
        </w:r>
      </w:hyperlink>
      <w:r>
        <w:rPr>
          <w:sz w:val="10"/>
          <w:szCs w:val="10"/>
        </w:rPr>
        <w:t xml:space="preserve"> </w:t>
      </w:r>
    </w:p>
  </w:footnote>
  <w:footnote w:id="8">
    <w:p w14:paraId="41FBEA62" w14:textId="77777777" w:rsidR="00056359" w:rsidRDefault="00056359">
      <w:pPr>
        <w:spacing w:after="0" w:line="240" w:lineRule="auto"/>
        <w:ind w:left="142" w:hanging="142"/>
        <w:jc w:val="both"/>
        <w:rPr>
          <w:b/>
          <w:i/>
          <w:sz w:val="13"/>
          <w:szCs w:val="13"/>
        </w:rPr>
      </w:pPr>
      <w:r>
        <w:rPr>
          <w:rStyle w:val="FootnoteReference"/>
          <w:sz w:val="16"/>
          <w:szCs w:val="16"/>
        </w:rPr>
        <w:footnoteRef/>
      </w:r>
      <w:r>
        <w:rPr>
          <w:sz w:val="16"/>
          <w:szCs w:val="16"/>
        </w:rPr>
        <w:t xml:space="preserve"> </w:t>
      </w:r>
      <w:r>
        <w:rPr>
          <w:rFonts w:ascii="Times New Roman" w:hAnsi="Times New Roman"/>
          <w:sz w:val="13"/>
          <w:szCs w:val="13"/>
        </w:rPr>
        <w:t>Combating gender-based violence, including domestic violence is addressed in the Strategic response for the Thematic Priority 1: Education, employment, social protection and inclusion policies, and health under Window 4 - competitiveness and inclusive growth. The focus there is on strengthening institutions of the social system and especially creation of support services.</w:t>
      </w:r>
    </w:p>
    <w:p w14:paraId="785B818C" w14:textId="77777777" w:rsidR="00056359" w:rsidRDefault="00056359">
      <w:pPr>
        <w:pStyle w:val="FootnoteText"/>
        <w:spacing w:line="240" w:lineRule="auto"/>
        <w:ind w:hanging="144"/>
        <w:rPr>
          <w:sz w:val="16"/>
          <w:szCs w:val="16"/>
          <w:lang w:val="en-US"/>
        </w:rPr>
      </w:pPr>
    </w:p>
  </w:footnote>
  <w:footnote w:id="9">
    <w:p w14:paraId="6985D0CB" w14:textId="77777777" w:rsidR="00056359" w:rsidRDefault="00056359">
      <w:pPr>
        <w:pStyle w:val="FootnoteText"/>
        <w:spacing w:line="240" w:lineRule="auto"/>
      </w:pPr>
      <w:r>
        <w:rPr>
          <w:rStyle w:val="FootnoteReference"/>
          <w:rFonts w:ascii="Arial" w:hAnsi="Arial" w:cs="Arial"/>
          <w:sz w:val="10"/>
          <w:szCs w:val="10"/>
        </w:rPr>
        <w:footnoteRef/>
      </w:r>
      <w:r>
        <w:rPr>
          <w:rFonts w:ascii="Arial" w:hAnsi="Arial" w:cs="Arial"/>
          <w:sz w:val="10"/>
          <w:szCs w:val="10"/>
        </w:rPr>
        <w:t xml:space="preserve"> </w:t>
      </w:r>
      <w:hyperlink r:id="rId5" w:history="1">
        <w:r>
          <w:rPr>
            <w:rStyle w:val="Hyperlink"/>
            <w:rFonts w:ascii="Arial" w:hAnsi="Arial" w:cs="Arial"/>
            <w:sz w:val="10"/>
            <w:szCs w:val="10"/>
          </w:rPr>
          <w:t>https://www.un.org/en/universal-declaration-human-rights</w:t>
        </w:r>
      </w:hyperlink>
      <w:r>
        <w:rPr>
          <w:rFonts w:ascii="Arial" w:hAnsi="Arial" w:cs="Arial"/>
          <w:sz w:val="10"/>
          <w:szCs w:val="10"/>
        </w:rPr>
        <w:t xml:space="preserve"> </w:t>
      </w:r>
    </w:p>
  </w:footnote>
  <w:footnote w:id="10">
    <w:p w14:paraId="4DA7DC2E" w14:textId="77777777" w:rsidR="00056359" w:rsidRDefault="00056359">
      <w:pPr>
        <w:pStyle w:val="FootnoteText"/>
      </w:pPr>
      <w:r>
        <w:rPr>
          <w:rStyle w:val="FootnoteReference"/>
          <w:rFonts w:ascii="Arial" w:hAnsi="Arial" w:cs="Arial"/>
          <w:sz w:val="10"/>
          <w:szCs w:val="10"/>
        </w:rPr>
        <w:footnoteRef/>
      </w:r>
      <w:r>
        <w:rPr>
          <w:rFonts w:ascii="Arial" w:hAnsi="Arial" w:cs="Arial"/>
          <w:sz w:val="10"/>
          <w:szCs w:val="10"/>
        </w:rPr>
        <w:t xml:space="preserve"> </w:t>
      </w:r>
      <w:hyperlink r:id="rId6" w:history="1">
        <w:r>
          <w:rPr>
            <w:rStyle w:val="Hyperlink"/>
            <w:rFonts w:ascii="Arial" w:hAnsi="Arial" w:cs="Arial"/>
            <w:kern w:val="1"/>
            <w:sz w:val="10"/>
            <w:szCs w:val="10"/>
          </w:rPr>
          <w:t>https://www.ohchr.org/en/professionalinterest/pages/ccpr.aspx</w:t>
        </w:r>
      </w:hyperlink>
    </w:p>
  </w:footnote>
  <w:footnote w:id="11">
    <w:p w14:paraId="3BB6A1C9" w14:textId="77777777" w:rsidR="00056359" w:rsidRDefault="00056359">
      <w:pPr>
        <w:pStyle w:val="FootnoteText"/>
        <w:spacing w:line="240" w:lineRule="auto"/>
      </w:pPr>
      <w:r>
        <w:rPr>
          <w:rStyle w:val="FootnoteReference"/>
          <w:rFonts w:ascii="Arial" w:hAnsi="Arial" w:cs="Arial"/>
          <w:sz w:val="10"/>
          <w:szCs w:val="10"/>
        </w:rPr>
        <w:footnoteRef/>
      </w:r>
      <w:r>
        <w:rPr>
          <w:rFonts w:ascii="Arial" w:hAnsi="Arial" w:cs="Arial"/>
          <w:sz w:val="10"/>
          <w:szCs w:val="10"/>
        </w:rPr>
        <w:t xml:space="preserve"> </w:t>
      </w:r>
      <w:hyperlink r:id="rId7" w:history="1">
        <w:r>
          <w:rPr>
            <w:rStyle w:val="Hyperlink"/>
            <w:rFonts w:ascii="Arial" w:hAnsi="Arial" w:cs="Arial"/>
            <w:sz w:val="10"/>
            <w:szCs w:val="10"/>
          </w:rPr>
          <w:t>https://www.ohchr.org/EN/professionalinterest/pages/cescr.aspx</w:t>
        </w:r>
      </w:hyperlink>
      <w:r>
        <w:rPr>
          <w:rFonts w:ascii="Arial" w:hAnsi="Arial" w:cs="Arial"/>
          <w:sz w:val="10"/>
          <w:szCs w:val="10"/>
        </w:rPr>
        <w:t xml:space="preserve"> </w:t>
      </w:r>
    </w:p>
  </w:footnote>
  <w:footnote w:id="12">
    <w:p w14:paraId="68696406" w14:textId="77777777" w:rsidR="00056359" w:rsidRDefault="00056359">
      <w:pPr>
        <w:pStyle w:val="FootnoteText"/>
      </w:pPr>
      <w:r>
        <w:rPr>
          <w:rStyle w:val="FootnoteReference"/>
          <w:rFonts w:ascii="Arial" w:hAnsi="Arial" w:cs="Arial"/>
          <w:sz w:val="10"/>
          <w:szCs w:val="10"/>
        </w:rPr>
        <w:footnoteRef/>
      </w:r>
      <w:r>
        <w:rPr>
          <w:rFonts w:ascii="Arial" w:hAnsi="Arial" w:cs="Arial"/>
          <w:sz w:val="10"/>
          <w:szCs w:val="10"/>
        </w:rPr>
        <w:t xml:space="preserve"> </w:t>
      </w:r>
      <w:hyperlink r:id="rId8" w:history="1">
        <w:r>
          <w:rPr>
            <w:rStyle w:val="Hyperlink"/>
            <w:rFonts w:ascii="Arial" w:hAnsi="Arial" w:cs="Arial"/>
            <w:sz w:val="10"/>
            <w:szCs w:val="10"/>
          </w:rPr>
          <w:t>https://www.unicef.org/child-rights-convention/convention-text</w:t>
        </w:r>
      </w:hyperlink>
      <w:r>
        <w:rPr>
          <w:rFonts w:ascii="Arial" w:hAnsi="Arial" w:cs="Arial"/>
          <w:sz w:val="10"/>
          <w:szCs w:val="10"/>
        </w:rPr>
        <w:t xml:space="preserve"> </w:t>
      </w:r>
    </w:p>
  </w:footnote>
  <w:footnote w:id="13">
    <w:p w14:paraId="2E2F2960" w14:textId="77777777" w:rsidR="00056359" w:rsidRDefault="00056359">
      <w:pPr>
        <w:pStyle w:val="FootnoteText"/>
      </w:pPr>
      <w:r>
        <w:rPr>
          <w:rStyle w:val="FootnoteReference"/>
          <w:rFonts w:ascii="Arial" w:hAnsi="Arial" w:cs="Arial"/>
          <w:sz w:val="10"/>
          <w:szCs w:val="10"/>
        </w:rPr>
        <w:footnoteRef/>
      </w:r>
      <w:r>
        <w:rPr>
          <w:rFonts w:ascii="Arial" w:hAnsi="Arial" w:cs="Arial"/>
          <w:sz w:val="10"/>
          <w:szCs w:val="10"/>
        </w:rPr>
        <w:t xml:space="preserve"> </w:t>
      </w:r>
      <w:hyperlink r:id="rId9" w:history="1">
        <w:r>
          <w:rPr>
            <w:rStyle w:val="Hyperlink"/>
            <w:rFonts w:ascii="Arial" w:hAnsi="Arial" w:cs="Arial"/>
            <w:sz w:val="10"/>
            <w:szCs w:val="10"/>
          </w:rPr>
          <w:t>https://www.un.org/disabilities/documents/convention/convention_accessible_pdf.pdf</w:t>
        </w:r>
      </w:hyperlink>
      <w:r>
        <w:rPr>
          <w:rFonts w:ascii="Arial" w:hAnsi="Arial" w:cs="Arial"/>
          <w:sz w:val="10"/>
          <w:szCs w:val="10"/>
        </w:rPr>
        <w:t xml:space="preserve"> </w:t>
      </w:r>
    </w:p>
  </w:footnote>
  <w:footnote w:id="14">
    <w:p w14:paraId="625310A1" w14:textId="77777777" w:rsidR="00056359" w:rsidRDefault="00056359">
      <w:pPr>
        <w:pStyle w:val="FootnoteText"/>
      </w:pPr>
      <w:r>
        <w:rPr>
          <w:rStyle w:val="FootnoteReference"/>
          <w:rFonts w:ascii="Arial" w:hAnsi="Arial" w:cs="Arial"/>
          <w:sz w:val="10"/>
          <w:szCs w:val="10"/>
        </w:rPr>
        <w:footnoteRef/>
      </w:r>
      <w:r>
        <w:rPr>
          <w:rFonts w:ascii="Arial" w:hAnsi="Arial" w:cs="Arial"/>
          <w:sz w:val="10"/>
          <w:szCs w:val="10"/>
        </w:rPr>
        <w:t xml:space="preserve"> </w:t>
      </w:r>
      <w:hyperlink r:id="rId10" w:history="1">
        <w:r>
          <w:rPr>
            <w:rStyle w:val="Hyperlink"/>
            <w:rFonts w:ascii="Arial" w:hAnsi="Arial" w:cs="Arial"/>
            <w:sz w:val="10"/>
            <w:szCs w:val="10"/>
          </w:rPr>
          <w:t>https://www.ilo.org/global/topics/decent-work/lang--en/index.htm</w:t>
        </w:r>
      </w:hyperlink>
      <w:r>
        <w:t xml:space="preserve"> </w:t>
      </w:r>
    </w:p>
  </w:footnote>
  <w:footnote w:id="15">
    <w:p w14:paraId="27B1D8A4" w14:textId="77777777" w:rsidR="00056359" w:rsidRDefault="00056359">
      <w:pPr>
        <w:pStyle w:val="FootnoteText"/>
        <w:rPr>
          <w:rFonts w:ascii="Arial" w:eastAsia="Arial" w:hAnsi="Arial" w:cs="Arial"/>
          <w:sz w:val="10"/>
          <w:szCs w:val="10"/>
        </w:rPr>
      </w:pPr>
      <w:r w:rsidRPr="001C0183">
        <w:rPr>
          <w:rStyle w:val="FootnoteReference"/>
          <w:rFonts w:ascii="Arial" w:eastAsia="Arial" w:hAnsi="Arial" w:cs="Arial"/>
          <w:sz w:val="10"/>
          <w:szCs w:val="10"/>
        </w:rPr>
        <w:footnoteRef/>
      </w:r>
      <w:r>
        <w:rPr>
          <w:rFonts w:ascii="Arial" w:eastAsia="Arial" w:hAnsi="Arial" w:cs="Arial"/>
          <w:sz w:val="10"/>
          <w:szCs w:val="10"/>
        </w:rPr>
        <w:t xml:space="preserve"> https://mtsp.gov.mk/content/pdf/2022/Strategy%20for%20inclusion%20of%20Roma%202022-2030%20final%20version.pdf</w:t>
      </w:r>
    </w:p>
  </w:footnote>
  <w:footnote w:id="16">
    <w:p w14:paraId="6CD0D17C" w14:textId="77777777" w:rsidR="00056359" w:rsidRDefault="00056359">
      <w:pPr>
        <w:pStyle w:val="FootnoteText"/>
        <w:rPr>
          <w:rFonts w:ascii="Arial" w:eastAsia="Arial" w:hAnsi="Arial" w:cs="Arial"/>
          <w:sz w:val="10"/>
          <w:szCs w:val="10"/>
        </w:rPr>
      </w:pPr>
      <w:r w:rsidRPr="001C0183">
        <w:rPr>
          <w:rStyle w:val="FootnoteReference"/>
          <w:rFonts w:ascii="Arial" w:eastAsia="Arial" w:hAnsi="Arial" w:cs="Arial"/>
          <w:sz w:val="10"/>
          <w:szCs w:val="10"/>
        </w:rPr>
        <w:footnoteRef/>
      </w:r>
      <w:r w:rsidRPr="001C0183">
        <w:rPr>
          <w:rFonts w:ascii="Arial" w:eastAsia="Arial" w:hAnsi="Arial" w:cs="Arial"/>
          <w:sz w:val="10"/>
          <w:szCs w:val="10"/>
        </w:rPr>
        <w:t xml:space="preserve"> </w:t>
      </w:r>
      <w:hyperlink r:id="rId11" w:history="1">
        <w:r w:rsidRPr="001C0183">
          <w:rPr>
            <w:rStyle w:val="Hyperlink"/>
            <w:rFonts w:ascii="Arial" w:eastAsia="Arial" w:hAnsi="Arial" w:cs="Arial"/>
            <w:sz w:val="10"/>
            <w:szCs w:val="10"/>
          </w:rPr>
          <w:t>https://mtsp.gov.mk/content/pdf/2022/N%D0%90P_za%20zastita%20promocija%20i%20ispolnuvanje%20%20na%20cov.%20prava%20na%20zenite%20i%20devoj%20%20Romki%2015.03.2022.pdf</w:t>
        </w:r>
      </w:hyperlink>
      <w:r w:rsidRPr="001C0183">
        <w:rPr>
          <w:rFonts w:ascii="Arial" w:eastAsia="Arial" w:hAnsi="Arial" w:cs="Arial"/>
          <w:sz w:val="10"/>
          <w:szCs w:val="10"/>
        </w:rPr>
        <w:t xml:space="preserve"> </w:t>
      </w:r>
    </w:p>
  </w:footnote>
  <w:footnote w:id="17">
    <w:p w14:paraId="22016DF2" w14:textId="77777777" w:rsidR="00056359" w:rsidRPr="001C0183" w:rsidRDefault="00056359">
      <w:pPr>
        <w:pStyle w:val="FootnoteText"/>
        <w:rPr>
          <w:rFonts w:ascii="Times New Roman" w:hAnsi="Times New Roman"/>
          <w:sz w:val="10"/>
          <w:szCs w:val="10"/>
          <w:lang w:val="en-US"/>
        </w:rPr>
      </w:pPr>
      <w:r w:rsidRPr="001C0183">
        <w:rPr>
          <w:rStyle w:val="FootnoteReference"/>
          <w:rFonts w:ascii="Times New Roman" w:hAnsi="Times New Roman"/>
          <w:sz w:val="10"/>
          <w:szCs w:val="10"/>
        </w:rPr>
        <w:footnoteRef/>
      </w:r>
      <w:r w:rsidRPr="001C0183">
        <w:rPr>
          <w:rFonts w:ascii="Times New Roman" w:hAnsi="Times New Roman"/>
          <w:sz w:val="10"/>
          <w:szCs w:val="10"/>
        </w:rPr>
        <w:t xml:space="preserve"> </w:t>
      </w:r>
      <w:r w:rsidRPr="001C0183">
        <w:rPr>
          <w:rFonts w:ascii="Times New Roman" w:hAnsi="Times New Roman"/>
          <w:sz w:val="10"/>
          <w:szCs w:val="10"/>
          <w:lang w:val="en-US"/>
        </w:rPr>
        <w:t>The baseline value may be “0” (i.e. no reference values are available as the Action represents a novelty for the beneficiary) but cannot be left empty or include references such as “N/A” or “will be determined later”.</w:t>
      </w:r>
    </w:p>
  </w:footnote>
  <w:footnote w:id="18">
    <w:p w14:paraId="2BE3A5F8" w14:textId="77777777" w:rsidR="00056359" w:rsidRPr="001C0183" w:rsidRDefault="00056359">
      <w:pPr>
        <w:pStyle w:val="FootnoteText"/>
        <w:rPr>
          <w:rFonts w:ascii="Arial" w:hAnsi="Arial" w:cs="Arial"/>
          <w:sz w:val="10"/>
          <w:szCs w:val="10"/>
        </w:rPr>
      </w:pPr>
      <w:r w:rsidRPr="001C0183">
        <w:rPr>
          <w:rStyle w:val="FootnoteReference"/>
          <w:rFonts w:ascii="Arial" w:hAnsi="Arial" w:cs="Arial"/>
          <w:sz w:val="10"/>
          <w:szCs w:val="10"/>
        </w:rPr>
        <w:footnoteRef/>
      </w:r>
      <w:r w:rsidRPr="001C0183">
        <w:rPr>
          <w:rFonts w:ascii="Arial" w:hAnsi="Arial" w:cs="Arial"/>
          <w:sz w:val="10"/>
          <w:szCs w:val="10"/>
        </w:rPr>
        <w:t xml:space="preserve"> </w:t>
      </w:r>
      <w:hyperlink r:id="rId12" w:history="1">
        <w:r w:rsidRPr="001C0183">
          <w:rPr>
            <w:rStyle w:val="Hyperlink"/>
            <w:rFonts w:ascii="Arial" w:hAnsi="Arial" w:cs="Arial"/>
            <w:sz w:val="10"/>
            <w:szCs w:val="10"/>
          </w:rPr>
          <w:t>https://ec.europa.eu/eurostat/databrowser/view/tespm010/default/table?lang=en</w:t>
        </w:r>
      </w:hyperlink>
      <w:r w:rsidRPr="001C0183">
        <w:rPr>
          <w:rFonts w:ascii="Arial" w:hAnsi="Arial" w:cs="Arial"/>
          <w:sz w:val="10"/>
          <w:szCs w:val="10"/>
        </w:rPr>
        <w:t xml:space="preserve"> </w:t>
      </w:r>
    </w:p>
  </w:footnote>
  <w:footnote w:id="19">
    <w:p w14:paraId="5762F8C1" w14:textId="77777777" w:rsidR="00056359" w:rsidRPr="001C0183" w:rsidRDefault="00056359">
      <w:pPr>
        <w:pStyle w:val="FootnoteText"/>
        <w:rPr>
          <w:sz w:val="10"/>
          <w:szCs w:val="10"/>
        </w:rPr>
      </w:pPr>
      <w:r w:rsidRPr="001C0183">
        <w:rPr>
          <w:rStyle w:val="FootnoteReference"/>
          <w:rFonts w:ascii="Times New Roman" w:hAnsi="Times New Roman"/>
          <w:sz w:val="10"/>
          <w:szCs w:val="10"/>
        </w:rPr>
        <w:footnoteRef/>
      </w:r>
      <w:r w:rsidRPr="001C0183">
        <w:rPr>
          <w:rFonts w:ascii="Times New Roman" w:hAnsi="Times New Roman"/>
          <w:sz w:val="10"/>
          <w:szCs w:val="10"/>
        </w:rPr>
        <w:t xml:space="preserve"> </w:t>
      </w:r>
      <w:hyperlink r:id="rId13" w:history="1">
        <w:r w:rsidRPr="001C0183">
          <w:rPr>
            <w:rStyle w:val="Hyperlink"/>
            <w:rFonts w:ascii="Times New Roman" w:eastAsia="Calibri" w:hAnsi="Times New Roman"/>
            <w:sz w:val="10"/>
            <w:szCs w:val="10"/>
          </w:rPr>
          <w:t>https://eige.europa.eu/north-macedonia</w:t>
        </w:r>
      </w:hyperlink>
      <w:r w:rsidRPr="001C0183">
        <w:rPr>
          <w:rFonts w:ascii="Times New Roman" w:hAnsi="Times New Roman"/>
          <w:sz w:val="10"/>
          <w:szCs w:val="10"/>
        </w:rPr>
        <w:t xml:space="preserve"> </w:t>
      </w:r>
    </w:p>
  </w:footnote>
  <w:footnote w:id="20">
    <w:p w14:paraId="0AEDDFE7" w14:textId="77777777" w:rsidR="00056359" w:rsidRPr="001C0183" w:rsidRDefault="00056359">
      <w:pPr>
        <w:pStyle w:val="FootnoteText"/>
        <w:rPr>
          <w:sz w:val="10"/>
          <w:szCs w:val="10"/>
        </w:rPr>
      </w:pPr>
      <w:r w:rsidRPr="001C0183">
        <w:rPr>
          <w:rStyle w:val="FootnoteReference"/>
          <w:rFonts w:ascii="Times New Roman" w:hAnsi="Times New Roman"/>
          <w:sz w:val="10"/>
          <w:szCs w:val="10"/>
        </w:rPr>
        <w:footnoteRef/>
      </w:r>
      <w:r w:rsidRPr="001C0183">
        <w:rPr>
          <w:rFonts w:ascii="Times New Roman" w:hAnsi="Times New Roman"/>
          <w:sz w:val="10"/>
          <w:szCs w:val="10"/>
        </w:rPr>
        <w:t xml:space="preserve"> </w:t>
      </w:r>
      <w:hyperlink r:id="rId14" w:history="1">
        <w:r w:rsidRPr="001C0183">
          <w:rPr>
            <w:rStyle w:val="Hyperlink"/>
            <w:rFonts w:ascii="Times New Roman" w:eastAsia="Calibri" w:hAnsi="Times New Roman"/>
            <w:sz w:val="10"/>
            <w:szCs w:val="10"/>
          </w:rPr>
          <w:t>http://hdr.undp.org/en/composite/HDI</w:t>
        </w:r>
      </w:hyperlink>
    </w:p>
  </w:footnote>
  <w:footnote w:id="21">
    <w:p w14:paraId="1015DF24" w14:textId="77777777" w:rsidR="00084B65" w:rsidRDefault="00084B65">
      <w:pPr>
        <w:pStyle w:val="FootnoteText"/>
        <w:spacing w:line="240" w:lineRule="auto"/>
        <w:ind w:left="0" w:firstLine="0"/>
        <w:jc w:val="both"/>
      </w:pPr>
      <w:r w:rsidRPr="001C0183">
        <w:rPr>
          <w:rStyle w:val="FootnoteReference"/>
          <w:rFonts w:ascii="Times New Roman" w:hAnsi="Times New Roman"/>
          <w:sz w:val="10"/>
          <w:szCs w:val="10"/>
        </w:rPr>
        <w:footnoteRef/>
      </w:r>
      <w:r w:rsidRPr="001C0183">
        <w:rPr>
          <w:rFonts w:ascii="Times New Roman" w:hAnsi="Times New Roman"/>
          <w:sz w:val="10"/>
          <w:szCs w:val="10"/>
        </w:rPr>
        <w:t xml:space="preserve"> Unemployed or inactive persons (women) who have received IPA support and who are in employment, including self-employment or in training, six months after leaving the IPA Action. This indicator is to be understood as change in the employment status 6 months after leaving compared to the situation when entering the IPA Action (with the participant being unemployed or inactive when entering the IPA Action).</w:t>
      </w:r>
    </w:p>
  </w:footnote>
  <w:footnote w:id="22">
    <w:p w14:paraId="6B05EA1D" w14:textId="6CD7EDA6" w:rsidR="00056359" w:rsidRPr="00684FA8" w:rsidRDefault="00056359" w:rsidP="00684FA8">
      <w:pPr>
        <w:pStyle w:val="FootnoteText"/>
        <w:spacing w:line="240" w:lineRule="auto"/>
        <w:ind w:left="0" w:firstLine="0"/>
        <w:jc w:val="both"/>
        <w:rPr>
          <w:rFonts w:ascii="Times New Roman" w:hAnsi="Times New Roman"/>
          <w:sz w:val="10"/>
          <w:szCs w:val="10"/>
          <w:shd w:val="clear" w:color="auto" w:fill="FFFFFF"/>
        </w:rPr>
      </w:pPr>
      <w:r w:rsidRPr="00684FA8">
        <w:rPr>
          <w:rFonts w:ascii="Times New Roman" w:hAnsi="Times New Roman"/>
          <w:sz w:val="10"/>
          <w:szCs w:val="10"/>
          <w:shd w:val="clear" w:color="auto" w:fill="FFFFFF"/>
        </w:rPr>
        <w:footnoteRef/>
      </w:r>
      <w:r w:rsidRPr="00684FA8">
        <w:rPr>
          <w:rFonts w:ascii="Times New Roman" w:hAnsi="Times New Roman"/>
          <w:sz w:val="10"/>
          <w:szCs w:val="10"/>
          <w:shd w:val="clear" w:color="auto" w:fill="FFFFFF"/>
        </w:rPr>
        <w:t xml:space="preserve"> Directorate for Promotion and Development of the Education of the Ethnic Minorities within the Ministry of Political System</w:t>
      </w:r>
    </w:p>
  </w:footnote>
  <w:footnote w:id="23">
    <w:p w14:paraId="17420B24" w14:textId="46785753" w:rsidR="00056359" w:rsidRPr="00684FA8" w:rsidRDefault="00056359" w:rsidP="00684FA8">
      <w:pPr>
        <w:pStyle w:val="FootnoteText"/>
        <w:spacing w:line="240" w:lineRule="auto"/>
        <w:ind w:left="0" w:firstLine="0"/>
        <w:jc w:val="both"/>
        <w:rPr>
          <w:rFonts w:ascii="Times New Roman" w:hAnsi="Times New Roman"/>
          <w:sz w:val="10"/>
          <w:szCs w:val="10"/>
          <w:shd w:val="clear" w:color="auto" w:fill="FFFFFF"/>
        </w:rPr>
      </w:pPr>
      <w:r w:rsidRPr="00684FA8">
        <w:rPr>
          <w:rFonts w:ascii="Times New Roman" w:hAnsi="Times New Roman"/>
          <w:sz w:val="10"/>
          <w:szCs w:val="10"/>
          <w:shd w:val="clear" w:color="auto" w:fill="FFFFFF"/>
        </w:rPr>
        <w:footnoteRef/>
      </w:r>
      <w:r w:rsidRPr="00684FA8">
        <w:rPr>
          <w:rFonts w:ascii="Times New Roman" w:hAnsi="Times New Roman"/>
          <w:sz w:val="10"/>
          <w:szCs w:val="10"/>
          <w:shd w:val="clear" w:color="auto" w:fill="FFFFFF"/>
        </w:rPr>
        <w:t xml:space="preserve"> Directorate for Promotion and Development of the Education of the Ethnic Minorities within the Ministry of Political System</w:t>
      </w:r>
      <w:r w:rsidRPr="00110FE4">
        <w:t xml:space="preserve"> </w:t>
      </w:r>
      <w:r w:rsidRPr="00110FE4">
        <w:rPr>
          <w:rFonts w:ascii="Times New Roman" w:hAnsi="Times New Roman"/>
          <w:sz w:val="10"/>
          <w:szCs w:val="10"/>
          <w:shd w:val="clear" w:color="auto" w:fill="FFFFFF"/>
        </w:rPr>
        <w:t>This indicator is taken from National Roma Strategy 2022-2030</w:t>
      </w:r>
    </w:p>
  </w:footnote>
  <w:footnote w:id="24">
    <w:p w14:paraId="6623BF79" w14:textId="4233CE70" w:rsidR="00056359" w:rsidRPr="00110FE4" w:rsidRDefault="00056359" w:rsidP="00110FE4">
      <w:pPr>
        <w:pStyle w:val="FootnoteText"/>
        <w:spacing w:line="240" w:lineRule="auto"/>
        <w:ind w:left="0" w:firstLine="0"/>
        <w:jc w:val="both"/>
        <w:rPr>
          <w:rFonts w:ascii="Times New Roman" w:hAnsi="Times New Roman"/>
          <w:sz w:val="10"/>
          <w:szCs w:val="10"/>
          <w:shd w:val="clear" w:color="auto" w:fill="FFFFFF"/>
        </w:rPr>
      </w:pPr>
      <w:r w:rsidRPr="00110FE4">
        <w:rPr>
          <w:rFonts w:ascii="Times New Roman" w:hAnsi="Times New Roman"/>
          <w:sz w:val="10"/>
          <w:szCs w:val="10"/>
          <w:shd w:val="clear" w:color="auto" w:fill="FFFFFF"/>
        </w:rPr>
        <w:footnoteRef/>
      </w:r>
      <w:r w:rsidRPr="00110FE4">
        <w:rPr>
          <w:rFonts w:ascii="Times New Roman" w:hAnsi="Times New Roman"/>
          <w:sz w:val="10"/>
          <w:szCs w:val="10"/>
          <w:shd w:val="clear" w:color="auto" w:fill="FFFFFF"/>
        </w:rPr>
        <w:t xml:space="preserve"> It is calculated dividing the number of Roma settlemens with urban plan by the total number of Roma settlements.</w:t>
      </w:r>
      <w:r>
        <w:rPr>
          <w:rFonts w:ascii="Times New Roman" w:hAnsi="Times New Roman"/>
          <w:sz w:val="10"/>
          <w:szCs w:val="10"/>
          <w:shd w:val="clear" w:color="auto" w:fill="FFFFFF"/>
        </w:rPr>
        <w:t xml:space="preserve"> </w:t>
      </w:r>
    </w:p>
  </w:footnote>
  <w:footnote w:id="25">
    <w:p w14:paraId="17A7B69D" w14:textId="77777777" w:rsidR="00056359" w:rsidRPr="001C0183" w:rsidRDefault="00056359">
      <w:pPr>
        <w:pStyle w:val="FootnoteText"/>
        <w:spacing w:line="240" w:lineRule="auto"/>
        <w:ind w:left="0" w:firstLine="0"/>
        <w:jc w:val="both"/>
        <w:rPr>
          <w:rFonts w:ascii="Times New Roman" w:hAnsi="Times New Roman"/>
          <w:sz w:val="10"/>
          <w:szCs w:val="10"/>
        </w:rPr>
      </w:pPr>
      <w:r w:rsidRPr="001C0183">
        <w:rPr>
          <w:rStyle w:val="FootnoteReference"/>
          <w:sz w:val="10"/>
          <w:szCs w:val="10"/>
        </w:rPr>
        <w:footnoteRef/>
      </w:r>
      <w:r w:rsidRPr="001C0183">
        <w:rPr>
          <w:sz w:val="10"/>
          <w:szCs w:val="10"/>
        </w:rPr>
        <w:t xml:space="preserve"> </w:t>
      </w:r>
      <w:r w:rsidRPr="001C0183">
        <w:rPr>
          <w:rFonts w:ascii="Times New Roman" w:hAnsi="Times New Roman"/>
          <w:sz w:val="10"/>
          <w:szCs w:val="10"/>
          <w:shd w:val="clear" w:color="auto" w:fill="FFFFFF"/>
        </w:rPr>
        <w:t>Measures may include development and delivery of programmes for integration encompassing services for women (and/ or managed by women) at local level, initiated and run through the cooperation with local self-government units (their equal opportunity committees) and civil society organisations. Example of social services are childcare, long-term care, housing schemes; targeted social services, such as advise and counselling, crisis centres, family protection services, services for persons with disabilities and chronic illnesses, labour market related services; other services of general interest, such as education, healthcare and essential services. Measures also include those aiming at changing attitudes, behaviours and practices that hamper progress towards equality, measures for tackling gender stereotypes in educational and occupational choices, economic and political participation of women, supporting women to exit the vicious cycle of domestic violence, including women from vulnerable groups such as Roma, women from rural areas, etc.</w:t>
      </w:r>
    </w:p>
  </w:footnote>
  <w:footnote w:id="26">
    <w:p w14:paraId="181556A4" w14:textId="77777777" w:rsidR="00056359" w:rsidRDefault="00056359">
      <w:pPr>
        <w:pStyle w:val="FootnoteText"/>
        <w:ind w:left="0" w:firstLine="0"/>
        <w:rPr>
          <w:sz w:val="16"/>
          <w:szCs w:val="16"/>
          <w:lang w:val="en-US"/>
        </w:rPr>
      </w:pPr>
      <w:r w:rsidRPr="001C0183">
        <w:rPr>
          <w:rStyle w:val="FootnoteReference"/>
          <w:rFonts w:ascii="Times New Roman" w:hAnsi="Times New Roman"/>
          <w:sz w:val="10"/>
          <w:szCs w:val="10"/>
        </w:rPr>
        <w:footnoteRef/>
      </w:r>
      <w:r w:rsidRPr="001C0183">
        <w:rPr>
          <w:rFonts w:ascii="Times New Roman" w:hAnsi="Times New Roman"/>
          <w:sz w:val="10"/>
          <w:szCs w:val="10"/>
        </w:rPr>
        <w:t xml:space="preserve"> This indicator encompasses </w:t>
      </w:r>
      <w:r w:rsidRPr="001C0183">
        <w:rPr>
          <w:rFonts w:ascii="Times New Roman" w:hAnsi="Times New Roman"/>
          <w:color w:val="000000"/>
          <w:sz w:val="10"/>
          <w:szCs w:val="10"/>
        </w:rPr>
        <w:t>number of women victims of domestic violence involved in active employment programmes and measures, training, services such as employment mediation, profiling, preparation of an Individual Employment Plan, access to information on vacancies for employment, etc. This number shall present cumulative number of all supported victims of gender based-violence and domestic violence at national level.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2D57"/>
    <w:multiLevelType w:val="singleLevel"/>
    <w:tmpl w:val="2B027926"/>
    <w:name w:val="Bullet 22"/>
    <w:lvl w:ilvl="0">
      <w:start w:val="1"/>
      <w:numFmt w:val="decimal"/>
      <w:lvlText w:val="%1"/>
      <w:lvlJc w:val="left"/>
      <w:pPr>
        <w:tabs>
          <w:tab w:val="num" w:pos="0"/>
        </w:tabs>
        <w:ind w:left="0" w:firstLine="0"/>
      </w:pPr>
      <w:rPr>
        <w:rFonts w:cs="Times New Roman"/>
        <w:b/>
        <w:i/>
        <w:u w:val="single"/>
      </w:rPr>
    </w:lvl>
  </w:abstractNum>
  <w:abstractNum w:abstractNumId="1">
    <w:nsid w:val="04666870"/>
    <w:multiLevelType w:val="singleLevel"/>
    <w:tmpl w:val="ACBAF60E"/>
    <w:name w:val="Bullet 23"/>
    <w:lvl w:ilvl="0">
      <w:start w:val="1"/>
      <w:numFmt w:val="lowerLetter"/>
      <w:lvlText w:val="%1"/>
      <w:lvlJc w:val="left"/>
      <w:pPr>
        <w:tabs>
          <w:tab w:val="num" w:pos="0"/>
        </w:tabs>
        <w:ind w:left="0" w:firstLine="0"/>
      </w:pPr>
      <w:rPr>
        <w:rFonts w:cs="Times New Roman"/>
      </w:rPr>
    </w:lvl>
  </w:abstractNum>
  <w:abstractNum w:abstractNumId="2">
    <w:nsid w:val="05F9618B"/>
    <w:multiLevelType w:val="singleLevel"/>
    <w:tmpl w:val="CDA23F30"/>
    <w:name w:val="Bullet 12"/>
    <w:lvl w:ilvl="0">
      <w:numFmt w:val="bullet"/>
      <w:lvlText w:val="o"/>
      <w:lvlJc w:val="left"/>
      <w:pPr>
        <w:tabs>
          <w:tab w:val="num" w:pos="0"/>
        </w:tabs>
        <w:ind w:left="0" w:firstLine="0"/>
      </w:pPr>
      <w:rPr>
        <w:rFonts w:ascii="Courier New" w:hAnsi="Courier New"/>
      </w:rPr>
    </w:lvl>
  </w:abstractNum>
  <w:abstractNum w:abstractNumId="3">
    <w:nsid w:val="0DD97CC2"/>
    <w:multiLevelType w:val="singleLevel"/>
    <w:tmpl w:val="ECECA2B6"/>
    <w:name w:val="Bullet 8"/>
    <w:lvl w:ilvl="0">
      <w:numFmt w:val="bullet"/>
      <w:lvlText w:val="-"/>
      <w:lvlJc w:val="left"/>
      <w:pPr>
        <w:tabs>
          <w:tab w:val="num" w:pos="0"/>
        </w:tabs>
        <w:ind w:left="0" w:firstLine="0"/>
      </w:pPr>
      <w:rPr>
        <w:rFonts w:ascii="Times New Roman" w:eastAsia="Times New Roman" w:hAnsi="Times New Roman" w:cs="Times New Roman"/>
      </w:rPr>
    </w:lvl>
  </w:abstractNum>
  <w:abstractNum w:abstractNumId="4">
    <w:nsid w:val="198F324C"/>
    <w:multiLevelType w:val="singleLevel"/>
    <w:tmpl w:val="A6965896"/>
    <w:name w:val="Bullet 27"/>
    <w:lvl w:ilvl="0">
      <w:start w:val="3"/>
      <w:numFmt w:val="decimal"/>
      <w:lvlText w:val="%1"/>
      <w:lvlJc w:val="left"/>
      <w:pPr>
        <w:tabs>
          <w:tab w:val="num" w:pos="0"/>
        </w:tabs>
        <w:ind w:left="0" w:firstLine="0"/>
      </w:pPr>
    </w:lvl>
  </w:abstractNum>
  <w:abstractNum w:abstractNumId="5">
    <w:nsid w:val="1B1E7B1D"/>
    <w:multiLevelType w:val="hybridMultilevel"/>
    <w:tmpl w:val="C320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634856"/>
    <w:multiLevelType w:val="singleLevel"/>
    <w:tmpl w:val="88605F50"/>
    <w:name w:val="Bullet 7"/>
    <w:lvl w:ilvl="0">
      <w:numFmt w:val="none"/>
      <w:lvlText w:val="%1"/>
      <w:lvlJc w:val="left"/>
      <w:pPr>
        <w:tabs>
          <w:tab w:val="num" w:pos="0"/>
        </w:tabs>
        <w:ind w:left="0" w:firstLine="0"/>
      </w:pPr>
    </w:lvl>
  </w:abstractNum>
  <w:abstractNum w:abstractNumId="7">
    <w:nsid w:val="20312F26"/>
    <w:multiLevelType w:val="singleLevel"/>
    <w:tmpl w:val="1E9A72A4"/>
    <w:name w:val="Bullet 24"/>
    <w:lvl w:ilvl="0">
      <w:start w:val="1"/>
      <w:numFmt w:val="lowerRoman"/>
      <w:lvlText w:val="%1"/>
      <w:lvlJc w:val="left"/>
      <w:pPr>
        <w:tabs>
          <w:tab w:val="num" w:pos="0"/>
        </w:tabs>
        <w:ind w:left="0" w:firstLine="0"/>
      </w:pPr>
      <w:rPr>
        <w:rFonts w:cs="Times New Roman"/>
      </w:rPr>
    </w:lvl>
  </w:abstractNum>
  <w:abstractNum w:abstractNumId="8">
    <w:nsid w:val="22525AAC"/>
    <w:multiLevelType w:val="hybridMultilevel"/>
    <w:tmpl w:val="A432A4D0"/>
    <w:name w:val="Numbered list 2"/>
    <w:lvl w:ilvl="0" w:tplc="54C80F66">
      <w:numFmt w:val="bullet"/>
      <w:lvlText w:val=""/>
      <w:lvlJc w:val="left"/>
      <w:pPr>
        <w:ind w:left="412" w:firstLine="0"/>
      </w:pPr>
      <w:rPr>
        <w:rFonts w:ascii="Symbol" w:hAnsi="Symbol"/>
      </w:rPr>
    </w:lvl>
    <w:lvl w:ilvl="1" w:tplc="1B445924">
      <w:numFmt w:val="bullet"/>
      <w:lvlText w:val="o"/>
      <w:lvlJc w:val="left"/>
      <w:pPr>
        <w:ind w:left="1132" w:firstLine="0"/>
      </w:pPr>
      <w:rPr>
        <w:rFonts w:ascii="Courier New" w:hAnsi="Courier New" w:cs="Courier New"/>
      </w:rPr>
    </w:lvl>
    <w:lvl w:ilvl="2" w:tplc="0D60842A">
      <w:numFmt w:val="bullet"/>
      <w:lvlText w:val=""/>
      <w:lvlJc w:val="left"/>
      <w:pPr>
        <w:ind w:left="1852" w:firstLine="0"/>
      </w:pPr>
      <w:rPr>
        <w:rFonts w:ascii="Wingdings" w:eastAsia="Wingdings" w:hAnsi="Wingdings" w:cs="Wingdings"/>
      </w:rPr>
    </w:lvl>
    <w:lvl w:ilvl="3" w:tplc="BD6A271A">
      <w:numFmt w:val="bullet"/>
      <w:lvlText w:val=""/>
      <w:lvlJc w:val="left"/>
      <w:pPr>
        <w:ind w:left="2572" w:firstLine="0"/>
      </w:pPr>
      <w:rPr>
        <w:rFonts w:ascii="Symbol" w:hAnsi="Symbol"/>
      </w:rPr>
    </w:lvl>
    <w:lvl w:ilvl="4" w:tplc="7E283A70">
      <w:numFmt w:val="bullet"/>
      <w:lvlText w:val="o"/>
      <w:lvlJc w:val="left"/>
      <w:pPr>
        <w:ind w:left="3292" w:firstLine="0"/>
      </w:pPr>
      <w:rPr>
        <w:rFonts w:ascii="Courier New" w:hAnsi="Courier New" w:cs="Courier New"/>
      </w:rPr>
    </w:lvl>
    <w:lvl w:ilvl="5" w:tplc="3A6E183E">
      <w:numFmt w:val="bullet"/>
      <w:lvlText w:val=""/>
      <w:lvlJc w:val="left"/>
      <w:pPr>
        <w:ind w:left="4012" w:firstLine="0"/>
      </w:pPr>
      <w:rPr>
        <w:rFonts w:ascii="Wingdings" w:eastAsia="Wingdings" w:hAnsi="Wingdings" w:cs="Wingdings"/>
      </w:rPr>
    </w:lvl>
    <w:lvl w:ilvl="6" w:tplc="7EC0000E">
      <w:numFmt w:val="bullet"/>
      <w:lvlText w:val=""/>
      <w:lvlJc w:val="left"/>
      <w:pPr>
        <w:ind w:left="4732" w:firstLine="0"/>
      </w:pPr>
      <w:rPr>
        <w:rFonts w:ascii="Symbol" w:hAnsi="Symbol"/>
      </w:rPr>
    </w:lvl>
    <w:lvl w:ilvl="7" w:tplc="5CF6D044">
      <w:numFmt w:val="bullet"/>
      <w:lvlText w:val="o"/>
      <w:lvlJc w:val="left"/>
      <w:pPr>
        <w:ind w:left="5452" w:firstLine="0"/>
      </w:pPr>
      <w:rPr>
        <w:rFonts w:ascii="Courier New" w:hAnsi="Courier New" w:cs="Courier New"/>
      </w:rPr>
    </w:lvl>
    <w:lvl w:ilvl="8" w:tplc="4C629E46">
      <w:numFmt w:val="bullet"/>
      <w:lvlText w:val=""/>
      <w:lvlJc w:val="left"/>
      <w:pPr>
        <w:ind w:left="6172" w:firstLine="0"/>
      </w:pPr>
      <w:rPr>
        <w:rFonts w:ascii="Wingdings" w:eastAsia="Wingdings" w:hAnsi="Wingdings" w:cs="Wingdings"/>
      </w:rPr>
    </w:lvl>
  </w:abstractNum>
  <w:abstractNum w:abstractNumId="9">
    <w:nsid w:val="265E0D6F"/>
    <w:multiLevelType w:val="hybridMultilevel"/>
    <w:tmpl w:val="2A0EAAA4"/>
    <w:name w:val="Numbered list 3"/>
    <w:lvl w:ilvl="0" w:tplc="D11A5F7E">
      <w:numFmt w:val="bullet"/>
      <w:lvlText w:val=""/>
      <w:lvlJc w:val="left"/>
      <w:pPr>
        <w:ind w:left="360" w:firstLine="0"/>
      </w:pPr>
      <w:rPr>
        <w:rFonts w:ascii="Symbol" w:hAnsi="Symbol"/>
      </w:rPr>
    </w:lvl>
    <w:lvl w:ilvl="1" w:tplc="E4B6C15E">
      <w:numFmt w:val="bullet"/>
      <w:lvlText w:val="o"/>
      <w:lvlJc w:val="left"/>
      <w:pPr>
        <w:ind w:left="1080" w:firstLine="0"/>
      </w:pPr>
      <w:rPr>
        <w:rFonts w:ascii="Courier New" w:hAnsi="Courier New"/>
      </w:rPr>
    </w:lvl>
    <w:lvl w:ilvl="2" w:tplc="B108186C">
      <w:numFmt w:val="bullet"/>
      <w:lvlText w:val=""/>
      <w:lvlJc w:val="left"/>
      <w:pPr>
        <w:ind w:left="1800" w:firstLine="0"/>
      </w:pPr>
      <w:rPr>
        <w:rFonts w:ascii="Wingdings" w:eastAsia="Wingdings" w:hAnsi="Wingdings" w:cs="Wingdings"/>
      </w:rPr>
    </w:lvl>
    <w:lvl w:ilvl="3" w:tplc="66846A4E">
      <w:numFmt w:val="bullet"/>
      <w:lvlText w:val=""/>
      <w:lvlJc w:val="left"/>
      <w:pPr>
        <w:ind w:left="2520" w:firstLine="0"/>
      </w:pPr>
      <w:rPr>
        <w:rFonts w:ascii="Symbol" w:hAnsi="Symbol"/>
      </w:rPr>
    </w:lvl>
    <w:lvl w:ilvl="4" w:tplc="A9385598">
      <w:numFmt w:val="bullet"/>
      <w:lvlText w:val="o"/>
      <w:lvlJc w:val="left"/>
      <w:pPr>
        <w:ind w:left="3240" w:firstLine="0"/>
      </w:pPr>
      <w:rPr>
        <w:rFonts w:ascii="Courier New" w:hAnsi="Courier New"/>
      </w:rPr>
    </w:lvl>
    <w:lvl w:ilvl="5" w:tplc="3C0AD486">
      <w:numFmt w:val="bullet"/>
      <w:lvlText w:val=""/>
      <w:lvlJc w:val="left"/>
      <w:pPr>
        <w:ind w:left="3960" w:firstLine="0"/>
      </w:pPr>
      <w:rPr>
        <w:rFonts w:ascii="Wingdings" w:eastAsia="Wingdings" w:hAnsi="Wingdings" w:cs="Wingdings"/>
      </w:rPr>
    </w:lvl>
    <w:lvl w:ilvl="6" w:tplc="9878D986">
      <w:numFmt w:val="bullet"/>
      <w:lvlText w:val=""/>
      <w:lvlJc w:val="left"/>
      <w:pPr>
        <w:ind w:left="4680" w:firstLine="0"/>
      </w:pPr>
      <w:rPr>
        <w:rFonts w:ascii="Symbol" w:hAnsi="Symbol"/>
      </w:rPr>
    </w:lvl>
    <w:lvl w:ilvl="7" w:tplc="9392B69C">
      <w:numFmt w:val="bullet"/>
      <w:lvlText w:val="o"/>
      <w:lvlJc w:val="left"/>
      <w:pPr>
        <w:ind w:left="5400" w:firstLine="0"/>
      </w:pPr>
      <w:rPr>
        <w:rFonts w:ascii="Courier New" w:hAnsi="Courier New"/>
      </w:rPr>
    </w:lvl>
    <w:lvl w:ilvl="8" w:tplc="0A688FD0">
      <w:numFmt w:val="bullet"/>
      <w:lvlText w:val=""/>
      <w:lvlJc w:val="left"/>
      <w:pPr>
        <w:ind w:left="6120" w:firstLine="0"/>
      </w:pPr>
      <w:rPr>
        <w:rFonts w:ascii="Wingdings" w:eastAsia="Wingdings" w:hAnsi="Wingdings" w:cs="Wingdings"/>
      </w:rPr>
    </w:lvl>
  </w:abstractNum>
  <w:abstractNum w:abstractNumId="10">
    <w:nsid w:val="27842DDA"/>
    <w:multiLevelType w:val="singleLevel"/>
    <w:tmpl w:val="7A78C4CE"/>
    <w:name w:val="Bullet 32"/>
    <w:lvl w:ilvl="0">
      <w:numFmt w:val="bullet"/>
      <w:lvlText w:val="-"/>
      <w:lvlJc w:val="left"/>
      <w:pPr>
        <w:tabs>
          <w:tab w:val="num" w:pos="0"/>
        </w:tabs>
        <w:ind w:left="0" w:firstLine="0"/>
      </w:pPr>
      <w:rPr>
        <w:rFonts w:ascii="Calibri" w:eastAsia="Calibri" w:hAnsi="Calibri" w:cs="Calibri"/>
      </w:rPr>
    </w:lvl>
  </w:abstractNum>
  <w:abstractNum w:abstractNumId="11">
    <w:nsid w:val="2CC959B7"/>
    <w:multiLevelType w:val="singleLevel"/>
    <w:tmpl w:val="F8D21A7E"/>
    <w:name w:val="Bullet 17"/>
    <w:lvl w:ilvl="0">
      <w:start w:val="1"/>
      <w:numFmt w:val="lowerLetter"/>
      <w:lvlText w:val="%1"/>
      <w:lvlJc w:val="left"/>
      <w:pPr>
        <w:tabs>
          <w:tab w:val="num" w:pos="0"/>
        </w:tabs>
        <w:ind w:left="0" w:firstLine="0"/>
      </w:pPr>
    </w:lvl>
  </w:abstractNum>
  <w:abstractNum w:abstractNumId="12">
    <w:nsid w:val="2CE50992"/>
    <w:multiLevelType w:val="singleLevel"/>
    <w:tmpl w:val="AF6EBA44"/>
    <w:name w:val="Bullet 16"/>
    <w:lvl w:ilvl="0">
      <w:start w:val="1"/>
      <w:numFmt w:val="decimal"/>
      <w:lvlText w:val="%1"/>
      <w:lvlJc w:val="left"/>
      <w:pPr>
        <w:tabs>
          <w:tab w:val="num" w:pos="0"/>
        </w:tabs>
        <w:ind w:left="0" w:firstLine="0"/>
      </w:pPr>
    </w:lvl>
  </w:abstractNum>
  <w:abstractNum w:abstractNumId="13">
    <w:nsid w:val="2EFD6BBC"/>
    <w:multiLevelType w:val="hybridMultilevel"/>
    <w:tmpl w:val="9BB4F602"/>
    <w:name w:val="Numbered list 6"/>
    <w:lvl w:ilvl="0" w:tplc="3216D31A">
      <w:numFmt w:val="bullet"/>
      <w:lvlText w:val=""/>
      <w:lvlJc w:val="left"/>
      <w:pPr>
        <w:ind w:left="170" w:firstLine="0"/>
      </w:pPr>
      <w:rPr>
        <w:rFonts w:ascii="Symbol" w:hAnsi="Symbol"/>
      </w:rPr>
    </w:lvl>
    <w:lvl w:ilvl="1" w:tplc="25048D82">
      <w:numFmt w:val="bullet"/>
      <w:lvlText w:val="o"/>
      <w:lvlJc w:val="left"/>
      <w:pPr>
        <w:ind w:left="890" w:firstLine="0"/>
      </w:pPr>
      <w:rPr>
        <w:rFonts w:ascii="Courier New" w:hAnsi="Courier New" w:cs="Courier New"/>
      </w:rPr>
    </w:lvl>
    <w:lvl w:ilvl="2" w:tplc="156C46BE">
      <w:numFmt w:val="bullet"/>
      <w:lvlText w:val=""/>
      <w:lvlJc w:val="left"/>
      <w:pPr>
        <w:ind w:left="1610" w:firstLine="0"/>
      </w:pPr>
      <w:rPr>
        <w:rFonts w:ascii="Wingdings" w:eastAsia="Wingdings" w:hAnsi="Wingdings" w:cs="Wingdings"/>
      </w:rPr>
    </w:lvl>
    <w:lvl w:ilvl="3" w:tplc="3F8E98E8">
      <w:numFmt w:val="bullet"/>
      <w:lvlText w:val=""/>
      <w:lvlJc w:val="left"/>
      <w:pPr>
        <w:ind w:left="2330" w:firstLine="0"/>
      </w:pPr>
      <w:rPr>
        <w:rFonts w:ascii="Symbol" w:hAnsi="Symbol"/>
      </w:rPr>
    </w:lvl>
    <w:lvl w:ilvl="4" w:tplc="A65A733C">
      <w:numFmt w:val="bullet"/>
      <w:lvlText w:val="o"/>
      <w:lvlJc w:val="left"/>
      <w:pPr>
        <w:ind w:left="3050" w:firstLine="0"/>
      </w:pPr>
      <w:rPr>
        <w:rFonts w:ascii="Courier New" w:hAnsi="Courier New" w:cs="Courier New"/>
      </w:rPr>
    </w:lvl>
    <w:lvl w:ilvl="5" w:tplc="3398A774">
      <w:numFmt w:val="bullet"/>
      <w:lvlText w:val=""/>
      <w:lvlJc w:val="left"/>
      <w:pPr>
        <w:ind w:left="3770" w:firstLine="0"/>
      </w:pPr>
      <w:rPr>
        <w:rFonts w:ascii="Wingdings" w:eastAsia="Wingdings" w:hAnsi="Wingdings" w:cs="Wingdings"/>
      </w:rPr>
    </w:lvl>
    <w:lvl w:ilvl="6" w:tplc="AE98B1AA">
      <w:numFmt w:val="bullet"/>
      <w:lvlText w:val=""/>
      <w:lvlJc w:val="left"/>
      <w:pPr>
        <w:ind w:left="4490" w:firstLine="0"/>
      </w:pPr>
      <w:rPr>
        <w:rFonts w:ascii="Symbol" w:hAnsi="Symbol"/>
      </w:rPr>
    </w:lvl>
    <w:lvl w:ilvl="7" w:tplc="35F09724">
      <w:numFmt w:val="bullet"/>
      <w:lvlText w:val="o"/>
      <w:lvlJc w:val="left"/>
      <w:pPr>
        <w:ind w:left="5210" w:firstLine="0"/>
      </w:pPr>
      <w:rPr>
        <w:rFonts w:ascii="Courier New" w:hAnsi="Courier New" w:cs="Courier New"/>
      </w:rPr>
    </w:lvl>
    <w:lvl w:ilvl="8" w:tplc="D2021EBA">
      <w:numFmt w:val="bullet"/>
      <w:lvlText w:val=""/>
      <w:lvlJc w:val="left"/>
      <w:pPr>
        <w:ind w:left="5930" w:firstLine="0"/>
      </w:pPr>
      <w:rPr>
        <w:rFonts w:ascii="Wingdings" w:eastAsia="Wingdings" w:hAnsi="Wingdings" w:cs="Wingdings"/>
      </w:rPr>
    </w:lvl>
  </w:abstractNum>
  <w:abstractNum w:abstractNumId="14">
    <w:nsid w:val="340E420D"/>
    <w:multiLevelType w:val="singleLevel"/>
    <w:tmpl w:val="53F8A568"/>
    <w:name w:val="Bullet 26"/>
    <w:lvl w:ilvl="0">
      <w:numFmt w:val="bullet"/>
      <w:lvlText w:val="-"/>
      <w:lvlJc w:val="left"/>
      <w:pPr>
        <w:tabs>
          <w:tab w:val="num" w:pos="0"/>
        </w:tabs>
        <w:ind w:left="0" w:firstLine="0"/>
      </w:pPr>
      <w:rPr>
        <w:rFonts w:ascii="Arial" w:eastAsia="Arial Unicode MS" w:hAnsi="Arial" w:cs="Arial"/>
      </w:rPr>
    </w:lvl>
  </w:abstractNum>
  <w:abstractNum w:abstractNumId="15">
    <w:nsid w:val="36E8208E"/>
    <w:multiLevelType w:val="singleLevel"/>
    <w:tmpl w:val="5B38D9BE"/>
    <w:name w:val="Bullet 21"/>
    <w:lvl w:ilvl="0">
      <w:numFmt w:val="bullet"/>
      <w:lvlText w:val="-"/>
      <w:lvlJc w:val="left"/>
      <w:pPr>
        <w:tabs>
          <w:tab w:val="num" w:pos="0"/>
        </w:tabs>
        <w:ind w:left="0" w:firstLine="0"/>
      </w:pPr>
      <w:rPr>
        <w:rFonts w:ascii="Arial" w:eastAsia="Times New Roman" w:hAnsi="Arial" w:cs="Arial"/>
        <w:b w:val="0"/>
        <w:color w:val="auto"/>
        <w:sz w:val="20"/>
      </w:rPr>
    </w:lvl>
  </w:abstractNum>
  <w:abstractNum w:abstractNumId="16">
    <w:nsid w:val="3A1B61E9"/>
    <w:multiLevelType w:val="singleLevel"/>
    <w:tmpl w:val="E9A4E194"/>
    <w:name w:val="Bullet 13"/>
    <w:lvl w:ilvl="0">
      <w:numFmt w:val="bullet"/>
      <w:lvlText w:val="-"/>
      <w:lvlJc w:val="left"/>
      <w:pPr>
        <w:tabs>
          <w:tab w:val="num" w:pos="0"/>
        </w:tabs>
        <w:ind w:left="0" w:firstLine="0"/>
      </w:pPr>
      <w:rPr>
        <w:rFonts w:ascii="Times New Roman" w:eastAsia="Calibri" w:hAnsi="Times New Roman" w:cs="Times New Roman"/>
      </w:rPr>
    </w:lvl>
  </w:abstractNum>
  <w:abstractNum w:abstractNumId="17">
    <w:nsid w:val="3A3B311D"/>
    <w:multiLevelType w:val="singleLevel"/>
    <w:tmpl w:val="D40C49BE"/>
    <w:name w:val="Bullet 15"/>
    <w:lvl w:ilvl="0">
      <w:numFmt w:val="bullet"/>
      <w:lvlText w:val="-"/>
      <w:lvlJc w:val="left"/>
      <w:pPr>
        <w:tabs>
          <w:tab w:val="num" w:pos="0"/>
        </w:tabs>
        <w:ind w:left="0" w:firstLine="0"/>
      </w:pPr>
      <w:rPr>
        <w:rFonts w:ascii="Arial" w:eastAsia="Times New Roman" w:hAnsi="Arial" w:cs="Arial"/>
      </w:rPr>
    </w:lvl>
  </w:abstractNum>
  <w:abstractNum w:abstractNumId="18">
    <w:nsid w:val="3C1E1978"/>
    <w:multiLevelType w:val="singleLevel"/>
    <w:tmpl w:val="A93278A0"/>
    <w:name w:val="Bullet 11"/>
    <w:lvl w:ilvl="0">
      <w:numFmt w:val="bullet"/>
      <w:lvlText w:val=""/>
      <w:lvlJc w:val="left"/>
      <w:pPr>
        <w:tabs>
          <w:tab w:val="num" w:pos="0"/>
        </w:tabs>
        <w:ind w:left="0" w:firstLine="0"/>
      </w:pPr>
      <w:rPr>
        <w:rFonts w:ascii="Symbol" w:hAnsi="Symbol"/>
      </w:rPr>
    </w:lvl>
  </w:abstractNum>
  <w:abstractNum w:abstractNumId="19">
    <w:nsid w:val="3FEF7149"/>
    <w:multiLevelType w:val="hybridMultilevel"/>
    <w:tmpl w:val="8D5E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C14728"/>
    <w:multiLevelType w:val="singleLevel"/>
    <w:tmpl w:val="3E64F4D6"/>
    <w:name w:val="Bullet 20"/>
    <w:lvl w:ilvl="0">
      <w:start w:val="6"/>
      <w:numFmt w:val="decimal"/>
      <w:lvlText w:val="%1"/>
      <w:lvlJc w:val="left"/>
      <w:pPr>
        <w:tabs>
          <w:tab w:val="num" w:pos="0"/>
        </w:tabs>
        <w:ind w:left="0" w:firstLine="0"/>
      </w:pPr>
    </w:lvl>
  </w:abstractNum>
  <w:abstractNum w:abstractNumId="21">
    <w:nsid w:val="4BBA68F6"/>
    <w:multiLevelType w:val="singleLevel"/>
    <w:tmpl w:val="0116FD0C"/>
    <w:name w:val="Bullet 25"/>
    <w:lvl w:ilvl="0">
      <w:start w:val="1"/>
      <w:numFmt w:val="decimal"/>
      <w:lvlText w:val="%1"/>
      <w:lvlJc w:val="left"/>
      <w:pPr>
        <w:tabs>
          <w:tab w:val="num" w:pos="0"/>
        </w:tabs>
        <w:ind w:left="0" w:firstLine="0"/>
      </w:pPr>
      <w:rPr>
        <w:rFonts w:cs="Times New Roman"/>
      </w:rPr>
    </w:lvl>
  </w:abstractNum>
  <w:abstractNum w:abstractNumId="22">
    <w:nsid w:val="542379EE"/>
    <w:multiLevelType w:val="hybridMultilevel"/>
    <w:tmpl w:val="DE063B12"/>
    <w:name w:val="Numbered list 4"/>
    <w:lvl w:ilvl="0" w:tplc="9C305CFE">
      <w:numFmt w:val="bullet"/>
      <w:lvlText w:val=""/>
      <w:lvlJc w:val="left"/>
      <w:pPr>
        <w:ind w:left="412" w:firstLine="0"/>
      </w:pPr>
      <w:rPr>
        <w:rFonts w:ascii="Symbol" w:hAnsi="Symbol"/>
      </w:rPr>
    </w:lvl>
    <w:lvl w:ilvl="1" w:tplc="050AB27A">
      <w:numFmt w:val="bullet"/>
      <w:lvlText w:val="o"/>
      <w:lvlJc w:val="left"/>
      <w:pPr>
        <w:ind w:left="360" w:firstLine="0"/>
      </w:pPr>
      <w:rPr>
        <w:rFonts w:ascii="Courier New" w:hAnsi="Courier New"/>
      </w:rPr>
    </w:lvl>
    <w:lvl w:ilvl="2" w:tplc="A4E0C24E">
      <w:numFmt w:val="bullet"/>
      <w:lvlText w:val=""/>
      <w:lvlJc w:val="left"/>
      <w:pPr>
        <w:ind w:left="1080" w:firstLine="0"/>
      </w:pPr>
      <w:rPr>
        <w:rFonts w:ascii="Wingdings" w:eastAsia="Wingdings" w:hAnsi="Wingdings" w:cs="Wingdings"/>
      </w:rPr>
    </w:lvl>
    <w:lvl w:ilvl="3" w:tplc="9C96CC8C">
      <w:numFmt w:val="bullet"/>
      <w:lvlText w:val=""/>
      <w:lvlJc w:val="left"/>
      <w:pPr>
        <w:ind w:left="1800" w:firstLine="0"/>
      </w:pPr>
      <w:rPr>
        <w:rFonts w:ascii="Symbol" w:hAnsi="Symbol"/>
      </w:rPr>
    </w:lvl>
    <w:lvl w:ilvl="4" w:tplc="9C166D00">
      <w:numFmt w:val="bullet"/>
      <w:lvlText w:val="o"/>
      <w:lvlJc w:val="left"/>
      <w:pPr>
        <w:ind w:left="2520" w:firstLine="0"/>
      </w:pPr>
      <w:rPr>
        <w:rFonts w:ascii="Courier New" w:hAnsi="Courier New"/>
      </w:rPr>
    </w:lvl>
    <w:lvl w:ilvl="5" w:tplc="F104C6D8">
      <w:numFmt w:val="bullet"/>
      <w:lvlText w:val=""/>
      <w:lvlJc w:val="left"/>
      <w:pPr>
        <w:ind w:left="3240" w:firstLine="0"/>
      </w:pPr>
      <w:rPr>
        <w:rFonts w:ascii="Wingdings" w:eastAsia="Wingdings" w:hAnsi="Wingdings" w:cs="Wingdings"/>
      </w:rPr>
    </w:lvl>
    <w:lvl w:ilvl="6" w:tplc="F98E7A7C">
      <w:numFmt w:val="bullet"/>
      <w:lvlText w:val=""/>
      <w:lvlJc w:val="left"/>
      <w:pPr>
        <w:ind w:left="3960" w:firstLine="0"/>
      </w:pPr>
      <w:rPr>
        <w:rFonts w:ascii="Symbol" w:hAnsi="Symbol"/>
      </w:rPr>
    </w:lvl>
    <w:lvl w:ilvl="7" w:tplc="75522796">
      <w:numFmt w:val="bullet"/>
      <w:lvlText w:val="o"/>
      <w:lvlJc w:val="left"/>
      <w:pPr>
        <w:ind w:left="4680" w:firstLine="0"/>
      </w:pPr>
      <w:rPr>
        <w:rFonts w:ascii="Courier New" w:hAnsi="Courier New"/>
      </w:rPr>
    </w:lvl>
    <w:lvl w:ilvl="8" w:tplc="E7CE54F6">
      <w:numFmt w:val="bullet"/>
      <w:lvlText w:val=""/>
      <w:lvlJc w:val="left"/>
      <w:pPr>
        <w:ind w:left="5400" w:firstLine="0"/>
      </w:pPr>
      <w:rPr>
        <w:rFonts w:ascii="Wingdings" w:eastAsia="Wingdings" w:hAnsi="Wingdings" w:cs="Wingdings"/>
      </w:rPr>
    </w:lvl>
  </w:abstractNum>
  <w:abstractNum w:abstractNumId="23">
    <w:nsid w:val="55B601C2"/>
    <w:multiLevelType w:val="singleLevel"/>
    <w:tmpl w:val="4CB075D2"/>
    <w:name w:val="Bullet 14"/>
    <w:lvl w:ilvl="0">
      <w:numFmt w:val="bullet"/>
      <w:lvlText w:val=""/>
      <w:lvlJc w:val="left"/>
      <w:pPr>
        <w:tabs>
          <w:tab w:val="num" w:pos="0"/>
        </w:tabs>
        <w:ind w:left="0" w:firstLine="0"/>
      </w:pPr>
      <w:rPr>
        <w:rFonts w:ascii="Wingdings" w:hAnsi="Wingdings" w:cs="Wingdings"/>
        <w:sz w:val="22"/>
        <w:szCs w:val="22"/>
      </w:rPr>
    </w:lvl>
  </w:abstractNum>
  <w:abstractNum w:abstractNumId="24">
    <w:nsid w:val="591B3862"/>
    <w:multiLevelType w:val="singleLevel"/>
    <w:tmpl w:val="AD96C88A"/>
    <w:name w:val="Bullet 29"/>
    <w:lvl w:ilvl="0">
      <w:start w:val="1"/>
      <w:numFmt w:val="decimal"/>
      <w:lvlText w:val="%1"/>
      <w:lvlJc w:val="left"/>
      <w:pPr>
        <w:tabs>
          <w:tab w:val="num" w:pos="0"/>
        </w:tabs>
        <w:ind w:left="0" w:firstLine="0"/>
      </w:pPr>
      <w:rPr>
        <w:color w:val="auto"/>
      </w:rPr>
    </w:lvl>
  </w:abstractNum>
  <w:abstractNum w:abstractNumId="25">
    <w:nsid w:val="59A568A3"/>
    <w:multiLevelType w:val="hybridMultilevel"/>
    <w:tmpl w:val="E89641DC"/>
    <w:name w:val="Numbered list 1"/>
    <w:lvl w:ilvl="0" w:tplc="F0360EE6">
      <w:numFmt w:val="bullet"/>
      <w:lvlText w:val="-"/>
      <w:lvlJc w:val="left"/>
      <w:pPr>
        <w:ind w:left="-496" w:firstLine="0"/>
      </w:pPr>
      <w:rPr>
        <w:rFonts w:ascii="Times New Roman" w:eastAsia="Times New Roman" w:hAnsi="Times New Roman" w:cs="Times New Roman"/>
      </w:rPr>
    </w:lvl>
    <w:lvl w:ilvl="1" w:tplc="F2646A62">
      <w:numFmt w:val="bullet"/>
      <w:lvlText w:val="o"/>
      <w:lvlJc w:val="left"/>
      <w:pPr>
        <w:ind w:left="224" w:firstLine="0"/>
      </w:pPr>
      <w:rPr>
        <w:rFonts w:ascii="Courier New" w:hAnsi="Courier New" w:cs="Courier New"/>
      </w:rPr>
    </w:lvl>
    <w:lvl w:ilvl="2" w:tplc="8AA09CC2">
      <w:numFmt w:val="bullet"/>
      <w:lvlText w:val=""/>
      <w:lvlJc w:val="left"/>
      <w:pPr>
        <w:ind w:left="944" w:firstLine="0"/>
      </w:pPr>
      <w:rPr>
        <w:rFonts w:ascii="Wingdings" w:eastAsia="Wingdings" w:hAnsi="Wingdings" w:cs="Wingdings"/>
      </w:rPr>
    </w:lvl>
    <w:lvl w:ilvl="3" w:tplc="2D20A52C">
      <w:numFmt w:val="bullet"/>
      <w:lvlText w:val=""/>
      <w:lvlJc w:val="left"/>
      <w:pPr>
        <w:ind w:left="1664" w:firstLine="0"/>
      </w:pPr>
      <w:rPr>
        <w:rFonts w:ascii="Symbol" w:hAnsi="Symbol"/>
      </w:rPr>
    </w:lvl>
    <w:lvl w:ilvl="4" w:tplc="06BEF93C">
      <w:numFmt w:val="bullet"/>
      <w:lvlText w:val="o"/>
      <w:lvlJc w:val="left"/>
      <w:pPr>
        <w:ind w:left="2384" w:firstLine="0"/>
      </w:pPr>
      <w:rPr>
        <w:rFonts w:ascii="Courier New" w:hAnsi="Courier New" w:cs="Courier New"/>
      </w:rPr>
    </w:lvl>
    <w:lvl w:ilvl="5" w:tplc="279615A6">
      <w:numFmt w:val="bullet"/>
      <w:lvlText w:val=""/>
      <w:lvlJc w:val="left"/>
      <w:pPr>
        <w:ind w:left="3104" w:firstLine="0"/>
      </w:pPr>
      <w:rPr>
        <w:rFonts w:ascii="Wingdings" w:eastAsia="Wingdings" w:hAnsi="Wingdings" w:cs="Wingdings"/>
      </w:rPr>
    </w:lvl>
    <w:lvl w:ilvl="6" w:tplc="F6163312">
      <w:numFmt w:val="bullet"/>
      <w:lvlText w:val=""/>
      <w:lvlJc w:val="left"/>
      <w:pPr>
        <w:ind w:left="3824" w:firstLine="0"/>
      </w:pPr>
      <w:rPr>
        <w:rFonts w:ascii="Symbol" w:hAnsi="Symbol"/>
      </w:rPr>
    </w:lvl>
    <w:lvl w:ilvl="7" w:tplc="92FC7864">
      <w:numFmt w:val="bullet"/>
      <w:lvlText w:val="o"/>
      <w:lvlJc w:val="left"/>
      <w:pPr>
        <w:ind w:left="4544" w:firstLine="0"/>
      </w:pPr>
      <w:rPr>
        <w:rFonts w:ascii="Courier New" w:hAnsi="Courier New" w:cs="Courier New"/>
      </w:rPr>
    </w:lvl>
    <w:lvl w:ilvl="8" w:tplc="F73689C8">
      <w:numFmt w:val="bullet"/>
      <w:lvlText w:val=""/>
      <w:lvlJc w:val="left"/>
      <w:pPr>
        <w:ind w:left="5264" w:firstLine="0"/>
      </w:pPr>
      <w:rPr>
        <w:rFonts w:ascii="Wingdings" w:eastAsia="Wingdings" w:hAnsi="Wingdings" w:cs="Wingdings"/>
      </w:rPr>
    </w:lvl>
  </w:abstractNum>
  <w:abstractNum w:abstractNumId="26">
    <w:nsid w:val="5B661C35"/>
    <w:multiLevelType w:val="singleLevel"/>
    <w:tmpl w:val="88F6DCAE"/>
    <w:name w:val="Bullet 33"/>
    <w:lvl w:ilvl="0">
      <w:start w:val="1"/>
      <w:numFmt w:val="decimal"/>
      <w:lvlText w:val="%1"/>
      <w:lvlJc w:val="left"/>
      <w:pPr>
        <w:tabs>
          <w:tab w:val="num" w:pos="0"/>
        </w:tabs>
        <w:ind w:left="0" w:firstLine="0"/>
      </w:pPr>
      <w:rPr>
        <w:b/>
      </w:rPr>
    </w:lvl>
  </w:abstractNum>
  <w:abstractNum w:abstractNumId="27">
    <w:nsid w:val="5B871185"/>
    <w:multiLevelType w:val="hybridMultilevel"/>
    <w:tmpl w:val="822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D65521"/>
    <w:multiLevelType w:val="singleLevel"/>
    <w:tmpl w:val="164CCDC0"/>
    <w:name w:val="Bullet 18"/>
    <w:lvl w:ilvl="0">
      <w:start w:val="1"/>
      <w:numFmt w:val="lowerRoman"/>
      <w:lvlText w:val="%1"/>
      <w:lvlJc w:val="left"/>
      <w:pPr>
        <w:tabs>
          <w:tab w:val="num" w:pos="0"/>
        </w:tabs>
        <w:ind w:left="0" w:firstLine="0"/>
      </w:pPr>
    </w:lvl>
  </w:abstractNum>
  <w:abstractNum w:abstractNumId="29">
    <w:nsid w:val="5DD62E46"/>
    <w:multiLevelType w:val="singleLevel"/>
    <w:tmpl w:val="006CA552"/>
    <w:name w:val="Bullet 9"/>
    <w:lvl w:ilvl="0">
      <w:numFmt w:val="bullet"/>
      <w:lvlText w:val="o"/>
      <w:lvlJc w:val="left"/>
      <w:pPr>
        <w:tabs>
          <w:tab w:val="num" w:pos="0"/>
        </w:tabs>
        <w:ind w:left="0" w:firstLine="0"/>
      </w:pPr>
      <w:rPr>
        <w:rFonts w:ascii="Courier New" w:hAnsi="Courier New" w:cs="Courier New"/>
      </w:rPr>
    </w:lvl>
  </w:abstractNum>
  <w:abstractNum w:abstractNumId="30">
    <w:nsid w:val="631B45FD"/>
    <w:multiLevelType w:val="singleLevel"/>
    <w:tmpl w:val="A0624FF8"/>
    <w:name w:val="Bullet 31"/>
    <w:lvl w:ilvl="0">
      <w:numFmt w:val="bullet"/>
      <w:lvlText w:val="-"/>
      <w:lvlJc w:val="left"/>
      <w:pPr>
        <w:tabs>
          <w:tab w:val="num" w:pos="0"/>
        </w:tabs>
        <w:ind w:left="0" w:firstLine="0"/>
      </w:pPr>
      <w:rPr>
        <w:rFonts w:ascii="Times New Roman" w:eastAsia="Arial Unicode MS" w:hAnsi="Times New Roman" w:cs="Times New Roman"/>
      </w:rPr>
    </w:lvl>
  </w:abstractNum>
  <w:abstractNum w:abstractNumId="31">
    <w:nsid w:val="659310A6"/>
    <w:multiLevelType w:val="singleLevel"/>
    <w:tmpl w:val="DC4E60B6"/>
    <w:name w:val="Bullet 28"/>
    <w:lvl w:ilvl="0">
      <w:numFmt w:val="bullet"/>
      <w:lvlText w:val="-"/>
      <w:lvlJc w:val="left"/>
      <w:pPr>
        <w:tabs>
          <w:tab w:val="num" w:pos="0"/>
        </w:tabs>
        <w:ind w:left="0" w:firstLine="0"/>
      </w:pPr>
      <w:rPr>
        <w:rFonts w:ascii="Calibri" w:eastAsia="Times New Roman" w:hAnsi="Calibri"/>
      </w:rPr>
    </w:lvl>
  </w:abstractNum>
  <w:abstractNum w:abstractNumId="32">
    <w:nsid w:val="67271DC9"/>
    <w:multiLevelType w:val="singleLevel"/>
    <w:tmpl w:val="D3A87368"/>
    <w:name w:val="Bullet 30"/>
    <w:lvl w:ilvl="0">
      <w:numFmt w:val="decimal"/>
      <w:lvlText w:val="%1"/>
      <w:lvlJc w:val="left"/>
      <w:pPr>
        <w:tabs>
          <w:tab w:val="num" w:pos="0"/>
        </w:tabs>
        <w:ind w:left="0" w:firstLine="0"/>
      </w:pPr>
    </w:lvl>
  </w:abstractNum>
  <w:abstractNum w:abstractNumId="33">
    <w:nsid w:val="67545F47"/>
    <w:multiLevelType w:val="hybridMultilevel"/>
    <w:tmpl w:val="049C20FE"/>
    <w:name w:val="Numbered list 5"/>
    <w:lvl w:ilvl="0" w:tplc="3230E236">
      <w:numFmt w:val="bullet"/>
      <w:lvlText w:val="-"/>
      <w:lvlJc w:val="left"/>
      <w:pPr>
        <w:ind w:left="0" w:firstLine="0"/>
      </w:pPr>
      <w:rPr>
        <w:rFonts w:ascii="Times New Roman" w:eastAsia="Calibri" w:hAnsi="Times New Roman" w:cs="Times New Roman"/>
      </w:rPr>
    </w:lvl>
    <w:lvl w:ilvl="1" w:tplc="F40E45E8">
      <w:numFmt w:val="bullet"/>
      <w:lvlText w:val="o"/>
      <w:lvlJc w:val="left"/>
      <w:pPr>
        <w:ind w:left="720" w:firstLine="0"/>
      </w:pPr>
      <w:rPr>
        <w:rFonts w:ascii="Courier New" w:hAnsi="Courier New" w:cs="Courier New"/>
      </w:rPr>
    </w:lvl>
    <w:lvl w:ilvl="2" w:tplc="375AEA0E">
      <w:numFmt w:val="bullet"/>
      <w:lvlText w:val=""/>
      <w:lvlJc w:val="left"/>
      <w:pPr>
        <w:ind w:left="1440" w:firstLine="0"/>
      </w:pPr>
      <w:rPr>
        <w:rFonts w:ascii="Wingdings" w:eastAsia="Wingdings" w:hAnsi="Wingdings" w:cs="Wingdings"/>
      </w:rPr>
    </w:lvl>
    <w:lvl w:ilvl="3" w:tplc="DF8A2EDC">
      <w:numFmt w:val="bullet"/>
      <w:lvlText w:val=""/>
      <w:lvlJc w:val="left"/>
      <w:pPr>
        <w:ind w:left="2160" w:firstLine="0"/>
      </w:pPr>
      <w:rPr>
        <w:rFonts w:ascii="Symbol" w:hAnsi="Symbol"/>
      </w:rPr>
    </w:lvl>
    <w:lvl w:ilvl="4" w:tplc="2864FF7A">
      <w:numFmt w:val="bullet"/>
      <w:lvlText w:val="o"/>
      <w:lvlJc w:val="left"/>
      <w:pPr>
        <w:ind w:left="2880" w:firstLine="0"/>
      </w:pPr>
      <w:rPr>
        <w:rFonts w:ascii="Courier New" w:hAnsi="Courier New" w:cs="Courier New"/>
      </w:rPr>
    </w:lvl>
    <w:lvl w:ilvl="5" w:tplc="77B02D24">
      <w:numFmt w:val="bullet"/>
      <w:lvlText w:val=""/>
      <w:lvlJc w:val="left"/>
      <w:pPr>
        <w:ind w:left="3600" w:firstLine="0"/>
      </w:pPr>
      <w:rPr>
        <w:rFonts w:ascii="Wingdings" w:eastAsia="Wingdings" w:hAnsi="Wingdings" w:cs="Wingdings"/>
      </w:rPr>
    </w:lvl>
    <w:lvl w:ilvl="6" w:tplc="48A41484">
      <w:numFmt w:val="bullet"/>
      <w:lvlText w:val=""/>
      <w:lvlJc w:val="left"/>
      <w:pPr>
        <w:ind w:left="4320" w:firstLine="0"/>
      </w:pPr>
      <w:rPr>
        <w:rFonts w:ascii="Symbol" w:hAnsi="Symbol"/>
      </w:rPr>
    </w:lvl>
    <w:lvl w:ilvl="7" w:tplc="52D67370">
      <w:numFmt w:val="bullet"/>
      <w:lvlText w:val="o"/>
      <w:lvlJc w:val="left"/>
      <w:pPr>
        <w:ind w:left="5040" w:firstLine="0"/>
      </w:pPr>
      <w:rPr>
        <w:rFonts w:ascii="Courier New" w:hAnsi="Courier New" w:cs="Courier New"/>
      </w:rPr>
    </w:lvl>
    <w:lvl w:ilvl="8" w:tplc="0756F16C">
      <w:numFmt w:val="bullet"/>
      <w:lvlText w:val=""/>
      <w:lvlJc w:val="left"/>
      <w:pPr>
        <w:ind w:left="5760" w:firstLine="0"/>
      </w:pPr>
      <w:rPr>
        <w:rFonts w:ascii="Wingdings" w:eastAsia="Wingdings" w:hAnsi="Wingdings" w:cs="Wingdings"/>
      </w:rPr>
    </w:lvl>
  </w:abstractNum>
  <w:abstractNum w:abstractNumId="34">
    <w:nsid w:val="696E5DDA"/>
    <w:multiLevelType w:val="singleLevel"/>
    <w:tmpl w:val="9E3C1218"/>
    <w:name w:val="Bullet 10"/>
    <w:lvl w:ilvl="0">
      <w:numFmt w:val="bullet"/>
      <w:lvlText w:val=""/>
      <w:lvlJc w:val="left"/>
      <w:pPr>
        <w:tabs>
          <w:tab w:val="num" w:pos="0"/>
        </w:tabs>
        <w:ind w:left="0" w:firstLine="0"/>
      </w:pPr>
      <w:rPr>
        <w:rFonts w:ascii="Wingdings" w:eastAsia="Wingdings" w:hAnsi="Wingdings" w:cs="Wingdings"/>
      </w:rPr>
    </w:lvl>
  </w:abstractNum>
  <w:abstractNum w:abstractNumId="35">
    <w:nsid w:val="6F5144CE"/>
    <w:multiLevelType w:val="hybridMultilevel"/>
    <w:tmpl w:val="BF800DEA"/>
    <w:lvl w:ilvl="0" w:tplc="35E05A98">
      <w:numFmt w:val="none"/>
      <w:lvlText w:val=""/>
      <w:lvlJc w:val="left"/>
      <w:pPr>
        <w:tabs>
          <w:tab w:val="num" w:pos="360"/>
        </w:tabs>
        <w:ind w:left="360" w:hanging="360"/>
      </w:pPr>
    </w:lvl>
    <w:lvl w:ilvl="1" w:tplc="0C9655B4">
      <w:numFmt w:val="none"/>
      <w:lvlText w:val=""/>
      <w:lvlJc w:val="left"/>
      <w:pPr>
        <w:tabs>
          <w:tab w:val="num" w:pos="360"/>
        </w:tabs>
        <w:ind w:left="360" w:hanging="360"/>
      </w:pPr>
    </w:lvl>
    <w:lvl w:ilvl="2" w:tplc="399EE142">
      <w:numFmt w:val="none"/>
      <w:lvlText w:val=""/>
      <w:lvlJc w:val="left"/>
      <w:pPr>
        <w:tabs>
          <w:tab w:val="num" w:pos="360"/>
        </w:tabs>
        <w:ind w:left="360" w:hanging="360"/>
      </w:pPr>
    </w:lvl>
    <w:lvl w:ilvl="3" w:tplc="50CE4F86">
      <w:numFmt w:val="none"/>
      <w:lvlText w:val=""/>
      <w:lvlJc w:val="left"/>
      <w:pPr>
        <w:tabs>
          <w:tab w:val="num" w:pos="360"/>
        </w:tabs>
        <w:ind w:left="360" w:hanging="360"/>
      </w:pPr>
    </w:lvl>
    <w:lvl w:ilvl="4" w:tplc="44840810">
      <w:numFmt w:val="none"/>
      <w:lvlText w:val=""/>
      <w:lvlJc w:val="left"/>
      <w:pPr>
        <w:tabs>
          <w:tab w:val="num" w:pos="360"/>
        </w:tabs>
        <w:ind w:left="360" w:hanging="360"/>
      </w:pPr>
    </w:lvl>
    <w:lvl w:ilvl="5" w:tplc="B51ED7B2">
      <w:numFmt w:val="none"/>
      <w:lvlText w:val=""/>
      <w:lvlJc w:val="left"/>
      <w:pPr>
        <w:tabs>
          <w:tab w:val="num" w:pos="360"/>
        </w:tabs>
        <w:ind w:left="360" w:hanging="360"/>
      </w:pPr>
    </w:lvl>
    <w:lvl w:ilvl="6" w:tplc="484E2A68">
      <w:numFmt w:val="none"/>
      <w:lvlText w:val=""/>
      <w:lvlJc w:val="left"/>
      <w:pPr>
        <w:tabs>
          <w:tab w:val="num" w:pos="360"/>
        </w:tabs>
        <w:ind w:left="360" w:hanging="360"/>
      </w:pPr>
    </w:lvl>
    <w:lvl w:ilvl="7" w:tplc="520027C8">
      <w:numFmt w:val="none"/>
      <w:lvlText w:val=""/>
      <w:lvlJc w:val="left"/>
      <w:pPr>
        <w:tabs>
          <w:tab w:val="num" w:pos="360"/>
        </w:tabs>
        <w:ind w:left="360" w:hanging="360"/>
      </w:pPr>
    </w:lvl>
    <w:lvl w:ilvl="8" w:tplc="9E3019BC">
      <w:numFmt w:val="none"/>
      <w:lvlText w:val=""/>
      <w:lvlJc w:val="left"/>
      <w:pPr>
        <w:tabs>
          <w:tab w:val="num" w:pos="360"/>
        </w:tabs>
        <w:ind w:left="360" w:hanging="360"/>
      </w:pPr>
    </w:lvl>
  </w:abstractNum>
  <w:abstractNum w:abstractNumId="36">
    <w:nsid w:val="751D203B"/>
    <w:multiLevelType w:val="singleLevel"/>
    <w:tmpl w:val="3BA49368"/>
    <w:name w:val="Bullet 19"/>
    <w:lvl w:ilvl="0">
      <w:numFmt w:val="bullet"/>
      <w:lvlText w:val="o"/>
      <w:lvlJc w:val="left"/>
      <w:pPr>
        <w:tabs>
          <w:tab w:val="num" w:pos="0"/>
        </w:tabs>
        <w:ind w:left="0" w:firstLine="0"/>
      </w:pPr>
      <w:rPr>
        <w:rFonts w:ascii="Courier New" w:hAnsi="Courier New" w:cs="Times New Roman"/>
      </w:rPr>
    </w:lvl>
  </w:abstractNum>
  <w:abstractNum w:abstractNumId="37">
    <w:nsid w:val="773467E0"/>
    <w:multiLevelType w:val="hybridMultilevel"/>
    <w:tmpl w:val="A4CA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9"/>
  </w:num>
  <w:num w:numId="4">
    <w:abstractNumId w:val="22"/>
  </w:num>
  <w:num w:numId="5">
    <w:abstractNumId w:val="33"/>
  </w:num>
  <w:num w:numId="6">
    <w:abstractNumId w:val="13"/>
  </w:num>
  <w:num w:numId="7">
    <w:abstractNumId w:val="6"/>
  </w:num>
  <w:num w:numId="8">
    <w:abstractNumId w:val="3"/>
  </w:num>
  <w:num w:numId="9">
    <w:abstractNumId w:val="29"/>
  </w:num>
  <w:num w:numId="10">
    <w:abstractNumId w:val="34"/>
  </w:num>
  <w:num w:numId="11">
    <w:abstractNumId w:val="18"/>
  </w:num>
  <w:num w:numId="12">
    <w:abstractNumId w:val="2"/>
  </w:num>
  <w:num w:numId="13">
    <w:abstractNumId w:val="16"/>
  </w:num>
  <w:num w:numId="14">
    <w:abstractNumId w:val="23"/>
  </w:num>
  <w:num w:numId="15">
    <w:abstractNumId w:val="17"/>
  </w:num>
  <w:num w:numId="16">
    <w:abstractNumId w:val="12"/>
  </w:num>
  <w:num w:numId="17">
    <w:abstractNumId w:val="11"/>
  </w:num>
  <w:num w:numId="18">
    <w:abstractNumId w:val="28"/>
  </w:num>
  <w:num w:numId="19">
    <w:abstractNumId w:val="36"/>
  </w:num>
  <w:num w:numId="20">
    <w:abstractNumId w:val="20"/>
  </w:num>
  <w:num w:numId="21">
    <w:abstractNumId w:val="15"/>
  </w:num>
  <w:num w:numId="22">
    <w:abstractNumId w:val="0"/>
  </w:num>
  <w:num w:numId="23">
    <w:abstractNumId w:val="1"/>
  </w:num>
  <w:num w:numId="24">
    <w:abstractNumId w:val="7"/>
  </w:num>
  <w:num w:numId="25">
    <w:abstractNumId w:val="21"/>
  </w:num>
  <w:num w:numId="26">
    <w:abstractNumId w:val="14"/>
  </w:num>
  <w:num w:numId="27">
    <w:abstractNumId w:val="4"/>
  </w:num>
  <w:num w:numId="28">
    <w:abstractNumId w:val="31"/>
  </w:num>
  <w:num w:numId="29">
    <w:abstractNumId w:val="24"/>
  </w:num>
  <w:num w:numId="30">
    <w:abstractNumId w:val="32"/>
  </w:num>
  <w:num w:numId="31">
    <w:abstractNumId w:val="30"/>
  </w:num>
  <w:num w:numId="32">
    <w:abstractNumId w:val="10"/>
  </w:num>
  <w:num w:numId="33">
    <w:abstractNumId w:val="26"/>
  </w:num>
  <w:num w:numId="34">
    <w:abstractNumId w:val="35"/>
  </w:num>
  <w:num w:numId="35">
    <w:abstractNumId w:val="27"/>
  </w:num>
  <w:num w:numId="36">
    <w:abstractNumId w:val="37"/>
  </w:num>
  <w:num w:numId="37">
    <w:abstractNumId w:val="1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A668B"/>
    <w:rsid w:val="000169B9"/>
    <w:rsid w:val="0003349F"/>
    <w:rsid w:val="000415A5"/>
    <w:rsid w:val="0004689C"/>
    <w:rsid w:val="00056359"/>
    <w:rsid w:val="00067CC7"/>
    <w:rsid w:val="00084B65"/>
    <w:rsid w:val="000942DC"/>
    <w:rsid w:val="000C43BF"/>
    <w:rsid w:val="000D485C"/>
    <w:rsid w:val="000D6B75"/>
    <w:rsid w:val="000E3CDE"/>
    <w:rsid w:val="000E71CE"/>
    <w:rsid w:val="00110FE4"/>
    <w:rsid w:val="00114C51"/>
    <w:rsid w:val="00122B34"/>
    <w:rsid w:val="00124B18"/>
    <w:rsid w:val="0014506A"/>
    <w:rsid w:val="00190F69"/>
    <w:rsid w:val="0019490B"/>
    <w:rsid w:val="001C0183"/>
    <w:rsid w:val="001E52BD"/>
    <w:rsid w:val="002113FA"/>
    <w:rsid w:val="00225ED5"/>
    <w:rsid w:val="00237544"/>
    <w:rsid w:val="00241709"/>
    <w:rsid w:val="0024668E"/>
    <w:rsid w:val="00266602"/>
    <w:rsid w:val="002A52C7"/>
    <w:rsid w:val="002D1460"/>
    <w:rsid w:val="002D26E3"/>
    <w:rsid w:val="002D5DAD"/>
    <w:rsid w:val="002E4DFA"/>
    <w:rsid w:val="0030336A"/>
    <w:rsid w:val="0031194D"/>
    <w:rsid w:val="00323F3D"/>
    <w:rsid w:val="00327744"/>
    <w:rsid w:val="003417D5"/>
    <w:rsid w:val="00365DDE"/>
    <w:rsid w:val="0037690E"/>
    <w:rsid w:val="0037734E"/>
    <w:rsid w:val="00385F6A"/>
    <w:rsid w:val="003E098A"/>
    <w:rsid w:val="003E6B06"/>
    <w:rsid w:val="003F4C78"/>
    <w:rsid w:val="003F6AE9"/>
    <w:rsid w:val="0041366A"/>
    <w:rsid w:val="00424553"/>
    <w:rsid w:val="00444758"/>
    <w:rsid w:val="0045458C"/>
    <w:rsid w:val="00455FCA"/>
    <w:rsid w:val="00464DB7"/>
    <w:rsid w:val="0046760D"/>
    <w:rsid w:val="004752FC"/>
    <w:rsid w:val="004A2E8E"/>
    <w:rsid w:val="004B0B62"/>
    <w:rsid w:val="004B77E6"/>
    <w:rsid w:val="004C43F6"/>
    <w:rsid w:val="004C5987"/>
    <w:rsid w:val="004D0441"/>
    <w:rsid w:val="004E5E13"/>
    <w:rsid w:val="00515128"/>
    <w:rsid w:val="00516AAA"/>
    <w:rsid w:val="005216B9"/>
    <w:rsid w:val="00525033"/>
    <w:rsid w:val="00546C19"/>
    <w:rsid w:val="00552BD1"/>
    <w:rsid w:val="005676FC"/>
    <w:rsid w:val="00584903"/>
    <w:rsid w:val="005E0C09"/>
    <w:rsid w:val="00600D83"/>
    <w:rsid w:val="0060276A"/>
    <w:rsid w:val="00610F78"/>
    <w:rsid w:val="00616955"/>
    <w:rsid w:val="006310DC"/>
    <w:rsid w:val="00634C45"/>
    <w:rsid w:val="00643AD5"/>
    <w:rsid w:val="00651C11"/>
    <w:rsid w:val="00683587"/>
    <w:rsid w:val="00684FA8"/>
    <w:rsid w:val="006A3C48"/>
    <w:rsid w:val="006B77EB"/>
    <w:rsid w:val="006C0F83"/>
    <w:rsid w:val="006C224E"/>
    <w:rsid w:val="006C64A6"/>
    <w:rsid w:val="006E1FAD"/>
    <w:rsid w:val="006F2F9B"/>
    <w:rsid w:val="00726ABC"/>
    <w:rsid w:val="007315B9"/>
    <w:rsid w:val="00750BA2"/>
    <w:rsid w:val="007533C3"/>
    <w:rsid w:val="00757CF0"/>
    <w:rsid w:val="00771D71"/>
    <w:rsid w:val="007C4247"/>
    <w:rsid w:val="007C4BFC"/>
    <w:rsid w:val="007D2A8B"/>
    <w:rsid w:val="007D3C95"/>
    <w:rsid w:val="007D4B90"/>
    <w:rsid w:val="007D743C"/>
    <w:rsid w:val="00814409"/>
    <w:rsid w:val="008152F6"/>
    <w:rsid w:val="00823001"/>
    <w:rsid w:val="00826989"/>
    <w:rsid w:val="0085710B"/>
    <w:rsid w:val="00881403"/>
    <w:rsid w:val="008825DE"/>
    <w:rsid w:val="00885B08"/>
    <w:rsid w:val="0088758F"/>
    <w:rsid w:val="008A5429"/>
    <w:rsid w:val="008C4A52"/>
    <w:rsid w:val="008E1E2E"/>
    <w:rsid w:val="008E5074"/>
    <w:rsid w:val="008E7D47"/>
    <w:rsid w:val="008F0039"/>
    <w:rsid w:val="008F383A"/>
    <w:rsid w:val="00906E14"/>
    <w:rsid w:val="00932744"/>
    <w:rsid w:val="00937A88"/>
    <w:rsid w:val="00952A8A"/>
    <w:rsid w:val="0098196F"/>
    <w:rsid w:val="00987DF1"/>
    <w:rsid w:val="0099138A"/>
    <w:rsid w:val="009B0F8F"/>
    <w:rsid w:val="009B164C"/>
    <w:rsid w:val="009E4162"/>
    <w:rsid w:val="009E5669"/>
    <w:rsid w:val="009F208F"/>
    <w:rsid w:val="009F4453"/>
    <w:rsid w:val="00A14EC3"/>
    <w:rsid w:val="00A30B85"/>
    <w:rsid w:val="00A31E81"/>
    <w:rsid w:val="00A378E5"/>
    <w:rsid w:val="00A45ED8"/>
    <w:rsid w:val="00A470F3"/>
    <w:rsid w:val="00A52D4C"/>
    <w:rsid w:val="00A63761"/>
    <w:rsid w:val="00A90459"/>
    <w:rsid w:val="00AB465E"/>
    <w:rsid w:val="00AB7457"/>
    <w:rsid w:val="00AD133E"/>
    <w:rsid w:val="00AD383F"/>
    <w:rsid w:val="00AD53F7"/>
    <w:rsid w:val="00AE3ADF"/>
    <w:rsid w:val="00B23DB3"/>
    <w:rsid w:val="00B33012"/>
    <w:rsid w:val="00B45608"/>
    <w:rsid w:val="00BA028F"/>
    <w:rsid w:val="00BA1B15"/>
    <w:rsid w:val="00BA668B"/>
    <w:rsid w:val="00BB54B6"/>
    <w:rsid w:val="00BD0EC8"/>
    <w:rsid w:val="00BE51B8"/>
    <w:rsid w:val="00BE632D"/>
    <w:rsid w:val="00BF49E1"/>
    <w:rsid w:val="00BF6C0A"/>
    <w:rsid w:val="00C01256"/>
    <w:rsid w:val="00C075D2"/>
    <w:rsid w:val="00C1476F"/>
    <w:rsid w:val="00C16196"/>
    <w:rsid w:val="00C167D9"/>
    <w:rsid w:val="00C27F29"/>
    <w:rsid w:val="00C33663"/>
    <w:rsid w:val="00C375D2"/>
    <w:rsid w:val="00C66FBE"/>
    <w:rsid w:val="00C74540"/>
    <w:rsid w:val="00C75EA6"/>
    <w:rsid w:val="00C82BD2"/>
    <w:rsid w:val="00CB1C94"/>
    <w:rsid w:val="00CB2D56"/>
    <w:rsid w:val="00CD2675"/>
    <w:rsid w:val="00D3131A"/>
    <w:rsid w:val="00D41EC0"/>
    <w:rsid w:val="00D42952"/>
    <w:rsid w:val="00D559CE"/>
    <w:rsid w:val="00D778E1"/>
    <w:rsid w:val="00D85984"/>
    <w:rsid w:val="00DB40C5"/>
    <w:rsid w:val="00DE5A9B"/>
    <w:rsid w:val="00DE648D"/>
    <w:rsid w:val="00DF2BAF"/>
    <w:rsid w:val="00DF5A53"/>
    <w:rsid w:val="00DF5CDA"/>
    <w:rsid w:val="00E121CB"/>
    <w:rsid w:val="00E15E51"/>
    <w:rsid w:val="00E2253D"/>
    <w:rsid w:val="00E32125"/>
    <w:rsid w:val="00E625CC"/>
    <w:rsid w:val="00E66C33"/>
    <w:rsid w:val="00E75994"/>
    <w:rsid w:val="00E93450"/>
    <w:rsid w:val="00EA06E4"/>
    <w:rsid w:val="00EA6E48"/>
    <w:rsid w:val="00EF4D9A"/>
    <w:rsid w:val="00F0015A"/>
    <w:rsid w:val="00F06BC8"/>
    <w:rsid w:val="00F24B67"/>
    <w:rsid w:val="00F46AD7"/>
    <w:rsid w:val="00F667A8"/>
    <w:rsid w:val="00F773F2"/>
    <w:rsid w:val="00FB328F"/>
    <w:rsid w:val="00FB6CDA"/>
    <w:rsid w:val="00FB7F7B"/>
    <w:rsid w:val="00FD5850"/>
    <w:rsid w:val="00FE01C1"/>
    <w:rsid w:val="00FE34E8"/>
    <w:rsid w:val="00FF6F0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919F"/>
  <w15:docId w15:val="{4D9F78BB-A463-4CF5-9545-E2C53A03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spacing w:before="480" w:after="0"/>
      <w:outlineLvl w:val="0"/>
    </w:pPr>
    <w:rPr>
      <w:rFonts w:ascii="Calibri Light" w:eastAsia="Calibri Light" w:hAnsi="Calibri Light"/>
      <w:b/>
      <w:bCs/>
      <w:color w:val="2C6EAB"/>
      <w:sz w:val="32"/>
      <w:szCs w:val="32"/>
    </w:rPr>
  </w:style>
  <w:style w:type="paragraph" w:styleId="Heading2">
    <w:name w:val="heading 2"/>
    <w:basedOn w:val="Normal"/>
    <w:next w:val="Normal"/>
    <w:qFormat/>
    <w:pPr>
      <w:keepNext/>
      <w:keepLines/>
      <w:spacing w:before="200" w:after="0"/>
      <w:outlineLvl w:val="1"/>
    </w:pPr>
    <w:rPr>
      <w:rFonts w:ascii="Cambria" w:hAnsi="Cambria"/>
      <w:b/>
      <w:bCs/>
      <w:color w:val="2DA2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535"/>
        <w:tab w:val="right" w:pos="9071"/>
        <w:tab w:val="right" w:pos="9921"/>
      </w:tabs>
      <w:spacing w:before="360" w:after="0"/>
      <w:ind w:left="-850" w:right="-850"/>
    </w:pPr>
    <w:rPr>
      <w:rFonts w:ascii="Tunga" w:eastAsia="Arial Unicode MS" w:hAnsi="Tunga"/>
    </w:rPr>
  </w:style>
  <w:style w:type="paragraph" w:styleId="FootnoteText">
    <w:name w:val="footnote text"/>
    <w:basedOn w:val="Normal"/>
    <w:qFormat/>
    <w:pPr>
      <w:spacing w:after="0"/>
      <w:ind w:left="720" w:hanging="720"/>
    </w:pPr>
    <w:rPr>
      <w:sz w:val="20"/>
      <w:szCs w:val="20"/>
    </w:rPr>
  </w:style>
  <w:style w:type="paragraph" w:styleId="Header">
    <w:name w:val="header"/>
    <w:basedOn w:val="Normal"/>
    <w:qFormat/>
    <w:pPr>
      <w:tabs>
        <w:tab w:val="right" w:pos="9071"/>
      </w:tabs>
    </w:pPr>
  </w:style>
  <w:style w:type="paragraph" w:styleId="ListParagraph">
    <w:name w:val="List Paragraph"/>
    <w:basedOn w:val="Normal"/>
    <w:qFormat/>
    <w:pPr>
      <w:ind w:left="720"/>
      <w:contextualSpacing/>
    </w:pPr>
  </w:style>
  <w:style w:type="paragraph" w:customStyle="1" w:styleId="BVIfnrChar1CharCharChar">
    <w:name w:val="BVI fnr Char1 Char Char Char"/>
    <w:basedOn w:val="Normal"/>
    <w:qFormat/>
    <w:pPr>
      <w:spacing w:before="120" w:after="160" w:line="240" w:lineRule="exact"/>
      <w:jc w:val="both"/>
    </w:pPr>
    <w:rPr>
      <w:rFonts w:eastAsia="Calibri"/>
      <w:vertAlign w:val="superscript"/>
      <w:lang w:val="fr-BE"/>
    </w:rPr>
  </w:style>
  <w:style w:type="paragraph" w:customStyle="1" w:styleId="Default">
    <w:name w:val="Default"/>
    <w:qFormat/>
    <w:pPr>
      <w:spacing w:after="0" w:line="240" w:lineRule="auto"/>
    </w:pPr>
    <w:rPr>
      <w:rFonts w:ascii="Times New Roman" w:eastAsia="Calibri" w:hAnsi="Times New Roman"/>
      <w:color w:val="000000"/>
      <w:sz w:val="24"/>
      <w:szCs w:val="24"/>
      <w:lang w:val="mk-MK"/>
    </w:rPr>
  </w:style>
  <w:style w:type="paragraph" w:styleId="EndnoteText">
    <w:name w:val="endnote text"/>
    <w:basedOn w:val="Normal"/>
    <w:qFormat/>
    <w:pPr>
      <w:spacing w:after="0" w:line="240" w:lineRule="auto"/>
    </w:pPr>
    <w:rPr>
      <w:sz w:val="20"/>
      <w:szCs w:val="20"/>
    </w:rPr>
  </w:style>
  <w:style w:type="paragraph" w:customStyle="1" w:styleId="Titreobjet">
    <w:name w:val="Titre objet"/>
    <w:basedOn w:val="Normal"/>
    <w:next w:val="Normal"/>
    <w:qFormat/>
    <w:pPr>
      <w:spacing w:before="180" w:after="180" w:line="240" w:lineRule="auto"/>
      <w:jc w:val="center"/>
    </w:pPr>
    <w:rPr>
      <w:rFonts w:ascii="Times New Roman" w:eastAsia="Calibri" w:hAnsi="Times New Roman"/>
      <w:b/>
      <w:sz w:val="24"/>
    </w:rPr>
  </w:style>
  <w:style w:type="paragraph" w:customStyle="1" w:styleId="Typeacteprincipal">
    <w:name w:val="Type acte principal"/>
    <w:basedOn w:val="Normal"/>
    <w:next w:val="Objetacteprincipal"/>
    <w:qFormat/>
    <w:pPr>
      <w:spacing w:after="240" w:line="240" w:lineRule="auto"/>
      <w:jc w:val="center"/>
    </w:pPr>
    <w:rPr>
      <w:rFonts w:ascii="Times New Roman" w:eastAsia="Calibri" w:hAnsi="Times New Roman"/>
      <w:b/>
      <w:sz w:val="24"/>
    </w:rPr>
  </w:style>
  <w:style w:type="paragraph" w:customStyle="1" w:styleId="Accompagnant">
    <w:name w:val="Accompagnant"/>
    <w:basedOn w:val="Normal"/>
    <w:next w:val="Typeacteprincipal"/>
    <w:qFormat/>
    <w:pPr>
      <w:spacing w:before="180" w:after="240" w:line="240" w:lineRule="auto"/>
      <w:jc w:val="center"/>
    </w:pPr>
    <w:rPr>
      <w:rFonts w:ascii="Times New Roman" w:eastAsia="Calibri" w:hAnsi="Times New Roman"/>
      <w:b/>
      <w:sz w:val="24"/>
    </w:rPr>
  </w:style>
  <w:style w:type="paragraph" w:customStyle="1" w:styleId="Objetacteprincipal">
    <w:name w:val="Objet acte principal"/>
    <w:basedOn w:val="Normal"/>
    <w:next w:val="Normal"/>
    <w:qFormat/>
    <w:pPr>
      <w:spacing w:after="360" w:line="240" w:lineRule="auto"/>
      <w:jc w:val="center"/>
    </w:pPr>
    <w:rPr>
      <w:rFonts w:ascii="Times New Roman" w:eastAsia="Calibri" w:hAnsi="Times New Roman"/>
      <w:b/>
      <w:sz w:val="24"/>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CommentText1">
    <w:name w:val="Comment Text1"/>
    <w:basedOn w:val="Normal"/>
    <w:qFormat/>
    <w:pPr>
      <w:spacing w:line="240" w:lineRule="auto"/>
    </w:pPr>
    <w:rPr>
      <w:sz w:val="20"/>
      <w:szCs w:val="20"/>
    </w:rPr>
  </w:style>
  <w:style w:type="paragraph" w:customStyle="1" w:styleId="CommentSubject1">
    <w:name w:val="Comment Subject1"/>
    <w:basedOn w:val="CommentText1"/>
    <w:next w:val="CommentText1"/>
    <w:qFormat/>
    <w:rPr>
      <w:b/>
      <w:bCs/>
    </w:rPr>
  </w:style>
  <w:style w:type="paragraph" w:customStyle="1" w:styleId="Char2CharCharCharCharCharCharCharCharChar">
    <w:name w:val="Char2 Char Char Char Char Char Char Char Char Char"/>
    <w:basedOn w:val="Normal"/>
    <w:qFormat/>
    <w:pPr>
      <w:spacing w:after="160" w:line="240" w:lineRule="exact"/>
    </w:pPr>
    <w:rPr>
      <w:rFonts w:ascii="Tahoma" w:hAnsi="Tahoma"/>
      <w:sz w:val="20"/>
      <w:szCs w:val="20"/>
      <w:lang w:val="en-US"/>
    </w:rPr>
  </w:style>
  <w:style w:type="paragraph" w:styleId="NoSpacing">
    <w:name w:val="No Spacing"/>
    <w:qFormat/>
    <w:pPr>
      <w:spacing w:after="0" w:line="240" w:lineRule="auto"/>
    </w:pPr>
    <w:rPr>
      <w:lang w:val="en-IE"/>
    </w:rPr>
  </w:style>
  <w:style w:type="paragraph" w:styleId="BodyText">
    <w:name w:val="Body Text"/>
    <w:basedOn w:val="Normal"/>
    <w:qFormat/>
    <w:pPr>
      <w:widowControl w:val="0"/>
      <w:spacing w:after="0" w:line="240" w:lineRule="auto"/>
    </w:pPr>
    <w:rPr>
      <w:rFonts w:eastAsia="Calibri" w:cs="Calibri"/>
      <w:lang w:val="en-US"/>
    </w:rPr>
  </w:style>
  <w:style w:type="paragraph" w:customStyle="1" w:styleId="BVIfnrChar1">
    <w:name w:val="BVI fnr Char1"/>
    <w:basedOn w:val="Normal"/>
    <w:qFormat/>
    <w:pPr>
      <w:spacing w:after="0" w:line="240" w:lineRule="exact"/>
      <w:jc w:val="both"/>
    </w:pPr>
    <w:rPr>
      <w:rFonts w:ascii="Times New Roman" w:eastAsia="Calibri" w:hAnsi="Times New Roman"/>
      <w:sz w:val="24"/>
      <w:vertAlign w:val="superscript"/>
    </w:rPr>
  </w:style>
  <w:style w:type="paragraph" w:customStyle="1" w:styleId="FootnoteText1">
    <w:name w:val="Footnote Text1"/>
    <w:basedOn w:val="Normal"/>
    <w:qFormat/>
    <w:pPr>
      <w:spacing w:after="0"/>
      <w:ind w:left="720" w:hanging="720"/>
    </w:pPr>
    <w:rPr>
      <w:rFonts w:cs="Calibri"/>
      <w:sz w:val="20"/>
      <w:szCs w:val="20"/>
      <w:lang w:val="en-US"/>
    </w:rPr>
  </w:style>
  <w:style w:type="paragraph" w:customStyle="1" w:styleId="Revision1">
    <w:name w:val="Revision1"/>
    <w:qFormat/>
    <w:pPr>
      <w:spacing w:after="0" w:line="240" w:lineRule="auto"/>
    </w:pPr>
  </w:style>
  <w:style w:type="paragraph" w:styleId="CommentText">
    <w:name w:val="annotation text"/>
    <w:basedOn w:val="Normal"/>
    <w:qFormat/>
    <w:pPr>
      <w:spacing w:after="0" w:line="240" w:lineRule="auto"/>
    </w:pPr>
    <w:rPr>
      <w:sz w:val="20"/>
      <w:szCs w:val="20"/>
    </w:rPr>
  </w:style>
  <w:style w:type="paragraph" w:styleId="CommentSubject">
    <w:name w:val="annotation subject"/>
    <w:basedOn w:val="CommentText"/>
    <w:next w:val="CommentText"/>
    <w:qFormat/>
    <w:rPr>
      <w:b/>
      <w:bCs/>
    </w:rPr>
  </w:style>
  <w:style w:type="character" w:customStyle="1" w:styleId="Heading2Char">
    <w:name w:val="Heading 2 Char"/>
    <w:basedOn w:val="DefaultParagraphFont"/>
    <w:rPr>
      <w:rFonts w:ascii="Cambria" w:eastAsia="Times New Roman" w:hAnsi="Cambria" w:cs="Times New Roman"/>
      <w:b/>
      <w:bCs w:val="0"/>
      <w:color w:val="2DA2BF"/>
      <w:sz w:val="26"/>
      <w:szCs w:val="26"/>
    </w:rPr>
  </w:style>
  <w:style w:type="character" w:customStyle="1" w:styleId="FooterChar">
    <w:name w:val="Footer Char"/>
    <w:basedOn w:val="DefaultParagraphFont"/>
    <w:rPr>
      <w:rFonts w:ascii="Tunga" w:eastAsia="Arial Unicode MS" w:hAnsi="Tunga" w:cs="Times New Roman"/>
    </w:rPr>
  </w:style>
  <w:style w:type="character" w:styleId="FootnoteReference">
    <w:name w:val="footnote reference"/>
    <w:basedOn w:val="DefaultParagraphFont"/>
    <w:rPr>
      <w:vertAlign w:val="superscript"/>
    </w:rPr>
  </w:style>
  <w:style w:type="character" w:customStyle="1" w:styleId="FootnoteTextChar">
    <w:name w:val="Footnote Text Char"/>
    <w:basedOn w:val="DefaultParagraphFont"/>
    <w:rPr>
      <w:rFonts w:ascii="Calibri" w:eastAsia="Times New Roman" w:hAnsi="Calibri" w:cs="Times New Roman"/>
      <w:sz w:val="20"/>
      <w:szCs w:val="20"/>
      <w:lang w:val="en-GB"/>
    </w:rPr>
  </w:style>
  <w:style w:type="character" w:customStyle="1" w:styleId="HeaderChar">
    <w:name w:val="Header Char"/>
    <w:basedOn w:val="DefaultParagraphFont"/>
    <w:rPr>
      <w:rFonts w:ascii="Calibri" w:eastAsia="Times New Roman" w:hAnsi="Calibri" w:cs="Times New Roman"/>
      <w:lang w:val="en-GB"/>
    </w:rPr>
  </w:style>
  <w:style w:type="character" w:customStyle="1" w:styleId="FootnoteTextChar1">
    <w:name w:val="Footnote Text Char1"/>
    <w:basedOn w:val="DefaultParagraphFont"/>
    <w:rPr>
      <w:rFonts w:ascii="Calibri" w:eastAsia="Times New Roman" w:hAnsi="Calibri" w:cs="Times New Roman"/>
      <w:sz w:val="20"/>
      <w:szCs w:val="20"/>
      <w:lang w:val="en-GB"/>
    </w:rPr>
  </w:style>
  <w:style w:type="character" w:customStyle="1" w:styleId="ListParagraphChar">
    <w:name w:val="List Paragraph Char"/>
    <w:basedOn w:val="DefaultParagraphFont"/>
    <w:rPr>
      <w:rFonts w:ascii="Calibri" w:eastAsia="Times New Roman" w:hAnsi="Calibri" w:cs="Times New Roman"/>
      <w:lang w:val="en-GB"/>
    </w:rPr>
  </w:style>
  <w:style w:type="character" w:customStyle="1" w:styleId="EndnoteTextChar">
    <w:name w:val="Endnote Text Char"/>
    <w:basedOn w:val="DefaultParagraphFont"/>
    <w:rPr>
      <w:rFonts w:ascii="Calibri" w:eastAsia="Times New Roman" w:hAnsi="Calibri" w:cs="Times New Roman"/>
      <w:sz w:val="20"/>
      <w:szCs w:val="20"/>
      <w:lang w:val="en-GB"/>
    </w:rPr>
  </w:style>
  <w:style w:type="character" w:styleId="EndnoteReference">
    <w:name w:val="endnote reference"/>
    <w:basedOn w:val="DefaultParagraphFont"/>
    <w:rPr>
      <w:vertAlign w:val="superscript"/>
    </w:rPr>
  </w:style>
  <w:style w:type="character" w:customStyle="1" w:styleId="BalloonTextChar">
    <w:name w:val="Balloon Text Char"/>
    <w:basedOn w:val="DefaultParagraphFont"/>
    <w:rPr>
      <w:rFonts w:ascii="Tahoma" w:eastAsia="Times New Roman" w:hAnsi="Tahoma" w:cs="Tahoma"/>
      <w:sz w:val="16"/>
      <w:szCs w:val="16"/>
      <w:lang w:val="en-GB"/>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rPr>
      <w:rFonts w:ascii="Calibri" w:eastAsia="Times New Roman" w:hAnsi="Calibri" w:cs="Times New Roman"/>
      <w:sz w:val="20"/>
      <w:szCs w:val="20"/>
      <w:lang w:val="en-GB"/>
    </w:rPr>
  </w:style>
  <w:style w:type="character" w:customStyle="1" w:styleId="CommentSubjectChar">
    <w:name w:val="Comment Subject Char"/>
    <w:basedOn w:val="CommentTextChar"/>
    <w:rPr>
      <w:rFonts w:ascii="Calibri" w:eastAsia="Times New Roman" w:hAnsi="Calibri" w:cs="Times New Roman"/>
      <w:b/>
      <w:bCs w:val="0"/>
      <w:sz w:val="20"/>
      <w:szCs w:val="20"/>
      <w:lang w:val="en-GB"/>
    </w:rPr>
  </w:style>
  <w:style w:type="character" w:customStyle="1" w:styleId="BodyTextChar">
    <w:name w:val="Body Text Char"/>
    <w:basedOn w:val="DefaultParagraphFont"/>
    <w:rPr>
      <w:rFonts w:ascii="Calibri" w:eastAsia="Calibri" w:hAnsi="Calibri" w:cs="Calibri"/>
      <w:lang w:val="en-US"/>
    </w:rPr>
  </w:style>
  <w:style w:type="character" w:customStyle="1" w:styleId="Heading1Char">
    <w:name w:val="Heading 1 Char"/>
    <w:basedOn w:val="DefaultParagraphFont"/>
    <w:rPr>
      <w:rFonts w:ascii="Calibri Light" w:eastAsia="Calibri Light" w:hAnsi="Calibri Light"/>
      <w:b/>
      <w:bCs w:val="0"/>
      <w:color w:val="2C6EAB"/>
      <w:sz w:val="32"/>
      <w:szCs w:val="32"/>
      <w:lang w:val="en-GB"/>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styleId="Emphasis">
    <w:name w:val="Emphasis"/>
    <w:basedOn w:val="DefaultParagraphFont"/>
    <w:rPr>
      <w:rFonts w:ascii="Calibri" w:hAnsi="Calibri" w:cs="Times New Roman"/>
      <w:i/>
      <w:kern w:val="0"/>
      <w:sz w:val="22"/>
    </w:rPr>
  </w:style>
  <w:style w:type="character" w:customStyle="1" w:styleId="y2iqfc">
    <w:name w:val="y2iqfc"/>
    <w:basedOn w:val="DefaultParagraphFont"/>
  </w:style>
  <w:style w:type="character" w:customStyle="1" w:styleId="apple-converted-space">
    <w:name w:val="apple-converted-space"/>
    <w:basedOn w:val="DefaultParagraphFont"/>
  </w:style>
  <w:style w:type="character" w:styleId="Strong">
    <w:name w:val="Strong"/>
    <w:basedOn w:val="DefaultParagraphFont"/>
    <w:rPr>
      <w:rFonts w:cs="Times New Roman"/>
      <w:b/>
      <w:bCs w:val="0"/>
    </w:rPr>
  </w:style>
  <w:style w:type="character" w:customStyle="1" w:styleId="tlid-translation">
    <w:name w:val="tlid-translation"/>
    <w:basedOn w:val="DefaultParagraphFont"/>
    <w:rPr>
      <w:rFonts w:cs="Times New Roma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52F6"/>
    <w:pPr>
      <w:spacing w:after="0" w:line="240" w:lineRule="auto"/>
    </w:pPr>
  </w:style>
  <w:style w:type="table" w:styleId="TableGrid">
    <w:name w:val="Table Grid"/>
    <w:basedOn w:val="TableNormal"/>
    <w:uiPriority w:val="59"/>
    <w:rsid w:val="00C1476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DefaultParagraphFont"/>
    <w:uiPriority w:val="99"/>
    <w:semiHidden/>
    <w:unhideWhenUsed/>
    <w:rsid w:val="00CB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4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s.europa.eu/delegations/former-yugoslav-republic-macedonia/22017/guidelines-promotion-and-protection-rights-child_e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fnorthmacedonia.mk/PA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icef.org/child-rights-convention/convention-text" TargetMode="External"/><Relationship Id="rId13" Type="http://schemas.openxmlformats.org/officeDocument/2006/relationships/hyperlink" Target="https://eige.europa.eu/north-macedonia" TargetMode="External"/><Relationship Id="rId3" Type="http://schemas.openxmlformats.org/officeDocument/2006/relationships/hyperlink" Target="https://www.echr.coe.int/Documents/Convention_ENG.pdf" TargetMode="External"/><Relationship Id="rId7" Type="http://schemas.openxmlformats.org/officeDocument/2006/relationships/hyperlink" Target="https://www.ohchr.org/EN/professionalinterest/pages/cescr.aspx" TargetMode="External"/><Relationship Id="rId12" Type="http://schemas.openxmlformats.org/officeDocument/2006/relationships/hyperlink" Target="https://ec.europa.eu/eurostat/databrowser/view/tespm010/default/table?lang=en" TargetMode="External"/><Relationship Id="rId2" Type="http://schemas.openxmlformats.org/officeDocument/2006/relationships/hyperlink" Target="https://ec.europa.eu/info/sites/default/files/eu_roma_strategic_framework_for_equality_inclusion_and_participation_for_2020_-_2030_0.pdf" TargetMode="External"/><Relationship Id="rId1" Type="http://schemas.openxmlformats.org/officeDocument/2006/relationships/hyperlink" Target="https://www.coe.int/en/web/istanbul-convention/north-macedonia" TargetMode="External"/><Relationship Id="rId6" Type="http://schemas.openxmlformats.org/officeDocument/2006/relationships/hyperlink" Target="https://www.ohchr.org/en/professionalinterest/pages/ccpr.aspx" TargetMode="External"/><Relationship Id="rId11" Type="http://schemas.openxmlformats.org/officeDocument/2006/relationships/hyperlink" Target="https://mtsp.gov.mk/content/pdf/2022/N&#1040;P_za%20zastita%20promocija%20i%20ispolnuvanje%20%20na%20cov.%20prava%20na%20zenite%20i%20devoj%20%20Romki%2015.03.2022.pdf" TargetMode="External"/><Relationship Id="rId5" Type="http://schemas.openxmlformats.org/officeDocument/2006/relationships/hyperlink" Target="https://www.un.org/en/universal-declaration-human-rights" TargetMode="External"/><Relationship Id="rId10" Type="http://schemas.openxmlformats.org/officeDocument/2006/relationships/hyperlink" Target="https://www.ilo.org/global/topics/decent-work/lang--en/index.htm" TargetMode="External"/><Relationship Id="rId4" Type="http://schemas.openxmlformats.org/officeDocument/2006/relationships/hyperlink" Target="https://rm.coe.int/CoERMPublicCommonSearchServices/DisplayDCTMContent?documentId=090000168007cf93" TargetMode="External"/><Relationship Id="rId9" Type="http://schemas.openxmlformats.org/officeDocument/2006/relationships/hyperlink" Target="https://www.un.org/disabilities/documents/convention/convention_accessible_pdf.pdf" TargetMode="External"/><Relationship Id="rId14" Type="http://schemas.openxmlformats.org/officeDocument/2006/relationships/hyperlink" Target="http://hdr.undp.org/en/composite/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Times New Roman"/>
      </a:majorFont>
      <a:minorFont>
        <a:latin typeface="Calibri"/>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5F7A-AF89-442C-9872-2CC223F5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3952</Words>
  <Characters>22527</Characters>
  <Application>Microsoft Office Word</Application>
  <DocSecurity>0</DocSecurity>
  <Lines>187</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SAVIOLO Andrea (NEAR)</dc:creator>
  <cp:keywords/>
  <dc:description/>
  <cp:lastModifiedBy>Ljubica Gerasimova</cp:lastModifiedBy>
  <cp:revision>2</cp:revision>
  <dcterms:created xsi:type="dcterms:W3CDTF">2022-07-15T13:21:00Z</dcterms:created>
  <dcterms:modified xsi:type="dcterms:W3CDTF">2022-07-15T13:21:00Z</dcterms:modified>
</cp:coreProperties>
</file>