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90F2F" w14:textId="77777777" w:rsidR="00AC42C9" w:rsidRPr="002809C9" w:rsidRDefault="00AC42C9" w:rsidP="00EA2398">
      <w:pPr>
        <w:spacing w:before="40" w:afterLines="40" w:after="96"/>
        <w:rPr>
          <w:rFonts w:cs="Times New Roman"/>
          <w:color w:val="FF0000"/>
          <w:lang w:val="pt-PT"/>
        </w:rPr>
      </w:pPr>
    </w:p>
    <w:p w14:paraId="764E6C2B" w14:textId="3A579940" w:rsidR="00581A14" w:rsidRPr="00603F04" w:rsidRDefault="00581A14" w:rsidP="00EA2398">
      <w:pPr>
        <w:tabs>
          <w:tab w:val="left" w:pos="3300"/>
          <w:tab w:val="center" w:pos="4536"/>
        </w:tabs>
        <w:ind w:left="993" w:firstLine="3942"/>
        <w:rPr>
          <w:rFonts w:cs="Times New Roman"/>
          <w:smallCaps/>
          <w:noProof/>
        </w:rPr>
      </w:pPr>
      <w:bookmarkStart w:id="0" w:name="_Toc73090729"/>
      <w:bookmarkStart w:id="1" w:name="_Toc47101939"/>
      <w:bookmarkStart w:id="2" w:name="_Toc51270433"/>
      <w:r w:rsidRPr="00603F04">
        <w:rPr>
          <w:rFonts w:cs="Times New Roman"/>
          <w:noProof/>
          <w:lang w:val="en-US"/>
        </w:rPr>
        <w:drawing>
          <wp:anchor distT="0" distB="0" distL="114300" distR="114300" simplePos="0" relativeHeight="251660288" behindDoc="1" locked="0" layoutInCell="1" allowOverlap="1" wp14:anchorId="7440069C" wp14:editId="574A8150">
            <wp:simplePos x="0" y="0"/>
            <wp:positionH relativeFrom="column">
              <wp:posOffset>-3810</wp:posOffset>
            </wp:positionH>
            <wp:positionV relativeFrom="paragraph">
              <wp:posOffset>0</wp:posOffset>
            </wp:positionV>
            <wp:extent cx="1219200" cy="857250"/>
            <wp:effectExtent l="0" t="0" r="0" b="0"/>
            <wp:wrapNone/>
            <wp:docPr id="3" name="Picture 3" descr="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2colors"/>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bwMode="auto">
                    <a:xfrm>
                      <a:off x="0" y="0"/>
                      <a:ext cx="121920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8B551" w14:textId="77777777" w:rsidR="00581A14" w:rsidRPr="00761108" w:rsidRDefault="00581A14" w:rsidP="00EA2398">
      <w:pPr>
        <w:spacing w:before="360"/>
        <w:ind w:left="284" w:hanging="22"/>
        <w:jc w:val="center"/>
        <w:rPr>
          <w:rFonts w:ascii="EC Square Sans Pro Thin" w:hAnsi="EC Square Sans Pro Thin"/>
          <w:b/>
          <w:smallCaps/>
          <w:noProof/>
          <w:sz w:val="28"/>
          <w:szCs w:val="28"/>
        </w:rPr>
      </w:pPr>
      <w:r w:rsidRPr="00761108">
        <w:rPr>
          <w:b/>
          <w:smallCaps/>
          <w:sz w:val="28"/>
          <w:szCs w:val="28"/>
          <w:u w:val="single"/>
        </w:rPr>
        <w:t>This action is funded by the European Union</w:t>
      </w:r>
    </w:p>
    <w:p w14:paraId="3270BC78" w14:textId="24FE9FFA" w:rsidR="00581A14" w:rsidRDefault="00581A14" w:rsidP="00EA2398">
      <w:pPr>
        <w:pStyle w:val="Fichedinformationtitre"/>
        <w:spacing w:after="240"/>
        <w:rPr>
          <w:smallCaps/>
        </w:rPr>
      </w:pPr>
      <w:r>
        <w:rPr>
          <w:smallCaps/>
        </w:rPr>
        <w:t xml:space="preserve">Annex </w:t>
      </w:r>
      <w:r w:rsidR="00174F0B">
        <w:rPr>
          <w:smallCaps/>
        </w:rPr>
        <w:t>VI</w:t>
      </w:r>
    </w:p>
    <w:p w14:paraId="57FFECEB" w14:textId="70465FBE" w:rsidR="00174F0B" w:rsidRPr="003022B3" w:rsidRDefault="000B7060" w:rsidP="00174F0B">
      <w:pPr>
        <w:jc w:val="center"/>
        <w:rPr>
          <w:szCs w:val="24"/>
        </w:rPr>
      </w:pPr>
      <w:r>
        <w:rPr>
          <w:szCs w:val="24"/>
        </w:rPr>
        <w:t>to</w:t>
      </w:r>
      <w:r w:rsidRPr="003022B3">
        <w:rPr>
          <w:szCs w:val="24"/>
        </w:rPr>
        <w:t xml:space="preserve"> </w:t>
      </w:r>
      <w:r w:rsidR="00581A14" w:rsidRPr="003022B3">
        <w:rPr>
          <w:szCs w:val="24"/>
        </w:rPr>
        <w:t xml:space="preserve">the Commission </w:t>
      </w:r>
      <w:r w:rsidR="00581A14" w:rsidRPr="00C7679D">
        <w:rPr>
          <w:szCs w:val="24"/>
        </w:rPr>
        <w:t>Implementing</w:t>
      </w:r>
      <w:r w:rsidR="00581A14" w:rsidRPr="003022B3">
        <w:rPr>
          <w:szCs w:val="24"/>
        </w:rPr>
        <w:t xml:space="preserve"> Decision on the </w:t>
      </w:r>
      <w:r w:rsidR="00174F0B">
        <w:rPr>
          <w:szCs w:val="24"/>
        </w:rPr>
        <w:t>Annual action plan in favour of the Republic of North Macedonia for 2024</w:t>
      </w:r>
    </w:p>
    <w:p w14:paraId="29FB0B7B" w14:textId="7BEC88A1" w:rsidR="00581A14" w:rsidRPr="003022B3" w:rsidRDefault="00581A14" w:rsidP="00EA2398">
      <w:pPr>
        <w:jc w:val="center"/>
        <w:rPr>
          <w:szCs w:val="24"/>
        </w:rPr>
      </w:pPr>
    </w:p>
    <w:p w14:paraId="1EF436E4" w14:textId="6546942D" w:rsidR="00581A14" w:rsidRDefault="00581A14" w:rsidP="00EA2398">
      <w:pPr>
        <w:pStyle w:val="Fichedinformationtitre"/>
      </w:pPr>
      <w:r w:rsidRPr="00042CDA">
        <w:t xml:space="preserve">Action </w:t>
      </w:r>
      <w:r>
        <w:t>Document</w:t>
      </w:r>
      <w:r w:rsidRPr="00042CDA">
        <w:t xml:space="preserve"> for </w:t>
      </w:r>
      <w:r w:rsidR="00174F0B">
        <w:t xml:space="preserve">EU for </w:t>
      </w:r>
      <w:r w:rsidR="004E6BE2">
        <w:t>Economic Cohesion</w:t>
      </w:r>
    </w:p>
    <w:p w14:paraId="19EA8E11" w14:textId="77777777" w:rsidR="00193E63" w:rsidRPr="003C0CD7" w:rsidRDefault="00193E63" w:rsidP="00EA2398">
      <w:pPr>
        <w:rPr>
          <w:lang w:val="en-IE"/>
        </w:rPr>
      </w:pPr>
    </w:p>
    <w:p w14:paraId="5658CF5B" w14:textId="2E9B3BB5" w:rsidR="00F54DD9" w:rsidRPr="003C0CD7" w:rsidRDefault="00F54DD9" w:rsidP="00EA2398">
      <w:pPr>
        <w:pBdr>
          <w:top w:val="single" w:sz="4" w:space="1" w:color="auto"/>
          <w:left w:val="single" w:sz="4" w:space="4" w:color="auto"/>
          <w:bottom w:val="single" w:sz="4" w:space="1" w:color="auto"/>
          <w:right w:val="single" w:sz="4" w:space="4" w:color="auto"/>
        </w:pBdr>
        <w:jc w:val="center"/>
        <w:rPr>
          <w:caps/>
          <w:lang w:val="en-IE"/>
        </w:rPr>
      </w:pPr>
      <w:bookmarkStart w:id="3" w:name="_Toc47101940"/>
      <w:bookmarkStart w:id="4" w:name="_Toc51270434"/>
      <w:bookmarkEnd w:id="0"/>
      <w:bookmarkEnd w:id="1"/>
      <w:bookmarkEnd w:id="2"/>
      <w:r w:rsidRPr="004E6BE2">
        <w:rPr>
          <w:rFonts w:eastAsia="Times New Roman" w:cs="Times New Roman"/>
          <w:b/>
          <w:bCs/>
          <w:caps/>
          <w:szCs w:val="24"/>
          <w:lang w:val="en-IE"/>
        </w:rPr>
        <w:t>Annual</w:t>
      </w:r>
      <w:r w:rsidR="004E6BE2" w:rsidRPr="004E6BE2">
        <w:rPr>
          <w:rFonts w:eastAsia="Times New Roman" w:cs="Times New Roman"/>
          <w:b/>
          <w:bCs/>
          <w:caps/>
          <w:szCs w:val="24"/>
          <w:lang w:val="en-IE"/>
        </w:rPr>
        <w:t xml:space="preserve"> </w:t>
      </w:r>
      <w:r w:rsidRPr="004E6BE2">
        <w:rPr>
          <w:rFonts w:eastAsia="Times New Roman" w:cs="Times New Roman"/>
          <w:b/>
          <w:bCs/>
          <w:caps/>
          <w:szCs w:val="24"/>
          <w:lang w:val="en-IE"/>
        </w:rPr>
        <w:t xml:space="preserve">Action plan </w:t>
      </w:r>
    </w:p>
    <w:p w14:paraId="2817C434" w14:textId="77777777" w:rsidR="007B5AD9" w:rsidRPr="003C0CD7" w:rsidRDefault="007B5AD9" w:rsidP="00EA2398">
      <w:pPr>
        <w:pBdr>
          <w:top w:val="single" w:sz="4" w:space="1" w:color="auto"/>
          <w:left w:val="single" w:sz="4" w:space="4" w:color="auto"/>
          <w:bottom w:val="single" w:sz="4" w:space="1" w:color="auto"/>
          <w:right w:val="single" w:sz="4" w:space="4" w:color="auto"/>
        </w:pBdr>
        <w:rPr>
          <w:lang w:val="en-IE"/>
        </w:rPr>
      </w:pPr>
    </w:p>
    <w:p w14:paraId="32CED92E" w14:textId="11031836" w:rsidR="00F54DD9" w:rsidRPr="003C0CD7" w:rsidRDefault="00F54DD9" w:rsidP="00EA2398">
      <w:pPr>
        <w:pBdr>
          <w:top w:val="single" w:sz="4" w:space="1" w:color="auto"/>
          <w:left w:val="single" w:sz="4" w:space="4" w:color="auto"/>
          <w:bottom w:val="single" w:sz="4" w:space="1" w:color="auto"/>
          <w:right w:val="single" w:sz="4" w:space="4" w:color="auto"/>
        </w:pBdr>
        <w:rPr>
          <w:lang w:val="en-IE"/>
        </w:rPr>
      </w:pPr>
      <w:r w:rsidRPr="003C0CD7">
        <w:rPr>
          <w:lang w:val="en-IE"/>
        </w:rPr>
        <w:t xml:space="preserve">This document constitutes </w:t>
      </w:r>
      <w:r w:rsidRPr="008412A3">
        <w:rPr>
          <w:lang w:val="en-IE"/>
        </w:rPr>
        <w:t>the annual</w:t>
      </w:r>
      <w:r w:rsidR="008412A3">
        <w:rPr>
          <w:lang w:val="en-IE"/>
        </w:rPr>
        <w:t xml:space="preserve"> </w:t>
      </w:r>
      <w:r w:rsidRPr="008412A3">
        <w:rPr>
          <w:lang w:val="en-IE"/>
        </w:rPr>
        <w:t>work</w:t>
      </w:r>
      <w:r w:rsidRPr="003C0CD7">
        <w:rPr>
          <w:lang w:val="en-IE"/>
        </w:rPr>
        <w:t xml:space="preserve"> programme in the sense of Article 110(2) of the Financial Regulation, and annual and multiannual action plans and measures in the sense of Article </w:t>
      </w:r>
      <w:r w:rsidR="00344EF1">
        <w:rPr>
          <w:lang w:val="en-IE"/>
        </w:rPr>
        <w:t>9</w:t>
      </w:r>
      <w:r w:rsidRPr="003C0CD7">
        <w:rPr>
          <w:lang w:val="en-IE"/>
        </w:rPr>
        <w:t xml:space="preserve"> of IPA III Regulation and </w:t>
      </w:r>
      <w:r w:rsidRPr="004E6BE2">
        <w:rPr>
          <w:lang w:val="en-IE"/>
        </w:rPr>
        <w:t>Article</w:t>
      </w:r>
      <w:r w:rsidR="004E6BE2" w:rsidRPr="004E6BE2">
        <w:rPr>
          <w:lang w:val="en-IE"/>
        </w:rPr>
        <w:t xml:space="preserve"> </w:t>
      </w:r>
      <w:r w:rsidR="00D310C3" w:rsidRPr="004E6BE2">
        <w:rPr>
          <w:rFonts w:eastAsia="Times New Roman" w:cs="Times New Roman"/>
          <w:szCs w:val="24"/>
        </w:rPr>
        <w:t>23(2)</w:t>
      </w:r>
      <w:r w:rsidR="00D310C3" w:rsidRPr="004E6BE2">
        <w:t xml:space="preserve"> </w:t>
      </w:r>
      <w:r w:rsidRPr="004E6BE2">
        <w:rPr>
          <w:lang w:val="en-IE"/>
        </w:rPr>
        <w:t xml:space="preserve">of </w:t>
      </w:r>
      <w:r w:rsidR="00DB5705" w:rsidRPr="004E6BE2">
        <w:rPr>
          <w:lang w:val="en-IE"/>
        </w:rPr>
        <w:t>NDICI</w:t>
      </w:r>
      <w:r w:rsidR="00DB5705" w:rsidRPr="003C0CD7">
        <w:rPr>
          <w:lang w:val="en-IE"/>
        </w:rPr>
        <w:t xml:space="preserve"> - </w:t>
      </w:r>
      <w:r w:rsidR="008640DB" w:rsidRPr="003C0CD7">
        <w:rPr>
          <w:rFonts w:cs="Times New Roman"/>
          <w:color w:val="000000" w:themeColor="text1"/>
          <w:lang w:val="en-IE"/>
        </w:rPr>
        <w:t xml:space="preserve">Global Europe </w:t>
      </w:r>
      <w:r w:rsidRPr="003C0CD7">
        <w:rPr>
          <w:lang w:val="en-IE"/>
        </w:rPr>
        <w:t>Regulation.</w:t>
      </w:r>
    </w:p>
    <w:p w14:paraId="446E8ED4" w14:textId="77777777" w:rsidR="007C3E5D" w:rsidRPr="00F720A7" w:rsidRDefault="00FD7FCD" w:rsidP="00EA2398">
      <w:pPr>
        <w:pStyle w:val="Heading1"/>
      </w:pPr>
      <w:bookmarkStart w:id="5" w:name="_Toc73090730"/>
      <w:r w:rsidRPr="00F720A7">
        <w:t>SYNOPSIS</w:t>
      </w:r>
      <w:bookmarkEnd w:id="3"/>
      <w:bookmarkEnd w:id="4"/>
      <w:bookmarkEnd w:id="5"/>
    </w:p>
    <w:p w14:paraId="792F3CD0" w14:textId="797031C2" w:rsidR="00D04CC6" w:rsidRPr="003C0CD7" w:rsidRDefault="00FD7FCD" w:rsidP="00EA2398">
      <w:pPr>
        <w:pStyle w:val="Heading1"/>
        <w:numPr>
          <w:ilvl w:val="1"/>
          <w:numId w:val="1"/>
        </w:numPr>
        <w:rPr>
          <w:lang w:val="en-IE"/>
        </w:rPr>
      </w:pPr>
      <w:bookmarkStart w:id="6" w:name="_Ref58358361"/>
      <w:bookmarkStart w:id="7" w:name="_Toc47101941"/>
      <w:bookmarkStart w:id="8" w:name="_Toc51270435"/>
      <w:bookmarkStart w:id="9" w:name="_Toc73090731"/>
      <w:r w:rsidRPr="003C0CD7">
        <w:rPr>
          <w:lang w:val="en-IE"/>
        </w:rPr>
        <w:t>Action Summary Table</w:t>
      </w:r>
      <w:bookmarkEnd w:id="6"/>
      <w:bookmarkEnd w:id="7"/>
      <w:bookmarkEnd w:id="8"/>
      <w:bookmarkEnd w:id="9"/>
    </w:p>
    <w:tbl>
      <w:tblPr>
        <w:tblW w:w="10632" w:type="dxa"/>
        <w:tblInd w:w="-5" w:type="dxa"/>
        <w:tblLayout w:type="fixed"/>
        <w:tblLook w:val="01E0" w:firstRow="1" w:lastRow="1" w:firstColumn="1" w:lastColumn="1" w:noHBand="0" w:noVBand="0"/>
      </w:tblPr>
      <w:tblGrid>
        <w:gridCol w:w="2330"/>
        <w:gridCol w:w="3482"/>
        <w:gridCol w:w="1559"/>
        <w:gridCol w:w="851"/>
        <w:gridCol w:w="709"/>
        <w:gridCol w:w="1701"/>
      </w:tblGrid>
      <w:tr w:rsidR="001E0154" w:rsidRPr="008704EA" w14:paraId="11FA176B"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243CFAEA" w14:textId="77777777" w:rsidR="003F31D4" w:rsidRPr="003C0CD7" w:rsidRDefault="003F31D4" w:rsidP="00EA2398">
            <w:pPr>
              <w:pStyle w:val="Text1"/>
              <w:spacing w:before="60" w:after="60"/>
              <w:ind w:left="0"/>
              <w:jc w:val="left"/>
              <w:rPr>
                <w:b/>
                <w:color w:val="0D0D0D" w:themeColor="text1" w:themeTint="F2"/>
                <w:lang w:val="en-IE"/>
              </w:rPr>
            </w:pPr>
            <w:r w:rsidRPr="003C0CD7">
              <w:rPr>
                <w:b/>
                <w:color w:val="0D0D0D" w:themeColor="text1" w:themeTint="F2"/>
                <w:lang w:val="en-IE"/>
              </w:rPr>
              <w:t>Title</w:t>
            </w:r>
          </w:p>
          <w:p w14:paraId="5272A684" w14:textId="77777777" w:rsidR="001E0154" w:rsidRPr="003C0CD7" w:rsidRDefault="001E0154" w:rsidP="00EA2398">
            <w:pPr>
              <w:pStyle w:val="Text1"/>
              <w:spacing w:before="60" w:after="60"/>
              <w:ind w:left="0"/>
              <w:jc w:val="left"/>
              <w:rPr>
                <w:b/>
                <w:color w:val="0D0D0D" w:themeColor="text1" w:themeTint="F2"/>
                <w:lang w:val="en-IE" w:eastAsia="de-DE"/>
              </w:rPr>
            </w:pP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777D6C20" w14:textId="5A2E7D28" w:rsidR="001E0154" w:rsidRDefault="00174F0B" w:rsidP="00EA2398">
            <w:pPr>
              <w:spacing w:before="60" w:after="60"/>
              <w:jc w:val="left"/>
              <w:rPr>
                <w:lang w:val="en-IE"/>
              </w:rPr>
            </w:pPr>
            <w:r>
              <w:t>EU for Economic Cohesion</w:t>
            </w:r>
          </w:p>
          <w:p w14:paraId="0C46C4D7" w14:textId="186F067B" w:rsidR="00174F0B" w:rsidRPr="003C0CD7" w:rsidRDefault="00174F0B" w:rsidP="00EA2398">
            <w:pPr>
              <w:spacing w:before="60" w:after="60"/>
              <w:jc w:val="left"/>
              <w:rPr>
                <w:lang w:val="en-IE"/>
              </w:rPr>
            </w:pPr>
            <w:r>
              <w:rPr>
                <w:lang w:val="en-IE"/>
              </w:rPr>
              <w:t>Annual Action plan in favour of North Macedonia for 2024</w:t>
            </w:r>
            <w:r w:rsidRPr="003C0CD7">
              <w:rPr>
                <w:lang w:val="en-IE"/>
              </w:rPr>
              <w:t xml:space="preserve"> </w:t>
            </w:r>
            <w:r w:rsidRPr="003C0CD7">
              <w:rPr>
                <w:rFonts w:cs="Times New Roman"/>
                <w:szCs w:val="24"/>
                <w:lang w:val="en-IE" w:eastAsia="fr-BE"/>
              </w:rPr>
              <w:t xml:space="preserve"> </w:t>
            </w:r>
          </w:p>
        </w:tc>
      </w:tr>
      <w:tr w:rsidR="004E5BC0" w:rsidRPr="008704EA" w14:paraId="350D1B69"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426116E6" w14:textId="77777777" w:rsidR="004E5BC0" w:rsidRPr="003C0CD7" w:rsidDel="00E20375" w:rsidRDefault="004E5BC0" w:rsidP="00EA2398">
            <w:pPr>
              <w:pStyle w:val="Text1"/>
              <w:spacing w:before="60" w:after="60"/>
              <w:ind w:left="0"/>
              <w:jc w:val="left"/>
              <w:rPr>
                <w:b/>
                <w:lang w:val="en-IE"/>
              </w:rPr>
            </w:pPr>
            <w:r w:rsidRPr="003C0CD7">
              <w:rPr>
                <w:b/>
                <w:lang w:val="en-IE"/>
              </w:rPr>
              <w:t xml:space="preserve">OPSYS </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21B843C8" w14:textId="77777777" w:rsidR="00E647FF" w:rsidRPr="003C0CD7" w:rsidRDefault="00BF6D58" w:rsidP="00EA2398">
            <w:pPr>
              <w:pStyle w:val="Text1"/>
              <w:spacing w:before="60" w:after="60"/>
              <w:ind w:left="0" w:right="-25"/>
              <w:jc w:val="left"/>
              <w:rPr>
                <w:highlight w:val="yellow"/>
                <w:lang w:val="en-IE"/>
              </w:rPr>
            </w:pPr>
            <w:r w:rsidRPr="003C0CD7">
              <w:rPr>
                <w:highlight w:val="lightGray"/>
                <w:lang w:val="en-IE"/>
              </w:rPr>
              <w:t>[/O</w:t>
            </w:r>
            <w:r w:rsidR="000C45F3">
              <w:rPr>
                <w:highlight w:val="lightGray"/>
                <w:lang w:val="en-IE"/>
              </w:rPr>
              <w:t>P</w:t>
            </w:r>
            <w:r w:rsidRPr="003C0CD7">
              <w:rPr>
                <w:highlight w:val="lightGray"/>
                <w:lang w:val="en-IE"/>
              </w:rPr>
              <w:t>SYS business reference]</w:t>
            </w:r>
            <w:r w:rsidRPr="003C0CD7">
              <w:rPr>
                <w:rStyle w:val="FootnoteReference"/>
                <w:sz w:val="22"/>
                <w:szCs w:val="22"/>
                <w:highlight w:val="lightGray"/>
                <w:lang w:val="en-IE" w:eastAsia="de-DE"/>
              </w:rPr>
              <w:footnoteReference w:id="2"/>
            </w:r>
            <w:r w:rsidR="00701620">
              <w:rPr>
                <w:highlight w:val="lightGray"/>
                <w:lang w:val="en-IE"/>
              </w:rPr>
              <w:t>:</w:t>
            </w:r>
            <w:r w:rsidR="00701620" w:rsidRPr="001F110E">
              <w:rPr>
                <w:lang w:val="en-IE"/>
              </w:rPr>
              <w:t xml:space="preserve"> </w:t>
            </w:r>
            <w:r w:rsidR="00701620" w:rsidRPr="001F110E">
              <w:rPr>
                <w:highlight w:val="yellow"/>
                <w:lang w:val="en-IE"/>
              </w:rPr>
              <w:t>&lt;</w:t>
            </w:r>
            <w:r w:rsidR="00D76775">
              <w:rPr>
                <w:highlight w:val="yellow"/>
                <w:lang w:val="en-IE"/>
              </w:rPr>
              <w:t>reference</w:t>
            </w:r>
            <w:r w:rsidR="00701620" w:rsidRPr="001F110E">
              <w:rPr>
                <w:highlight w:val="yellow"/>
                <w:lang w:val="en-IE"/>
              </w:rPr>
              <w:t>&gt;</w:t>
            </w:r>
          </w:p>
        </w:tc>
      </w:tr>
      <w:tr w:rsidR="00D310C3" w:rsidRPr="008704EA" w14:paraId="637C5CF5" w14:textId="77777777" w:rsidTr="001F110E">
        <w:tc>
          <w:tcPr>
            <w:tcW w:w="2330" w:type="dxa"/>
            <w:tcBorders>
              <w:top w:val="single" w:sz="4" w:space="0" w:color="auto"/>
              <w:left w:val="single" w:sz="4" w:space="0" w:color="auto"/>
              <w:bottom w:val="single" w:sz="4" w:space="0" w:color="auto"/>
              <w:right w:val="single" w:sz="4" w:space="0" w:color="auto"/>
            </w:tcBorders>
            <w:shd w:val="clear" w:color="auto" w:fill="auto"/>
          </w:tcPr>
          <w:p w14:paraId="52E1571F" w14:textId="77777777" w:rsidR="00D310C3" w:rsidRPr="003C0CD7" w:rsidDel="000C45F3" w:rsidRDefault="00D310C3" w:rsidP="00EA2398">
            <w:pPr>
              <w:pStyle w:val="Text1"/>
              <w:spacing w:before="60" w:after="60"/>
              <w:ind w:left="0"/>
              <w:jc w:val="left"/>
              <w:rPr>
                <w:b/>
                <w:lang w:val="en-IE"/>
              </w:rPr>
            </w:pPr>
            <w:r>
              <w:rPr>
                <w:b/>
                <w:lang w:val="en-IE"/>
              </w:rPr>
              <w:t>ABAC</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29D82125" w14:textId="77777777" w:rsidR="00D310C3" w:rsidRPr="001F110E" w:rsidRDefault="00D310C3" w:rsidP="00EA2398">
            <w:pPr>
              <w:pStyle w:val="Text1"/>
              <w:spacing w:before="60" w:after="60"/>
              <w:ind w:left="0" w:right="-25"/>
              <w:jc w:val="left"/>
              <w:rPr>
                <w:highlight w:val="lightGray"/>
              </w:rPr>
            </w:pPr>
            <w:r w:rsidRPr="00D310C3">
              <w:t xml:space="preserve">ABAC Commitment level 1 number: </w:t>
            </w:r>
            <w:r w:rsidRPr="001F110E">
              <w:rPr>
                <w:highlight w:val="yellow"/>
              </w:rPr>
              <w:t>&lt;reference&gt;</w:t>
            </w:r>
          </w:p>
        </w:tc>
      </w:tr>
      <w:tr w:rsidR="004E5BC0" w:rsidRPr="008704EA" w14:paraId="6B91289C" w14:textId="77777777" w:rsidTr="00DF52C9">
        <w:tc>
          <w:tcPr>
            <w:tcW w:w="2330" w:type="dxa"/>
            <w:tcBorders>
              <w:top w:val="single" w:sz="4" w:space="0" w:color="auto"/>
              <w:left w:val="single" w:sz="4" w:space="0" w:color="auto"/>
              <w:bottom w:val="single" w:sz="4" w:space="0" w:color="auto"/>
              <w:right w:val="single" w:sz="4" w:space="0" w:color="auto"/>
            </w:tcBorders>
            <w:shd w:val="clear" w:color="auto" w:fill="auto"/>
          </w:tcPr>
          <w:p w14:paraId="35071F03" w14:textId="77777777" w:rsidR="004E5BC0" w:rsidRPr="003C0CD7" w:rsidDel="00E20375" w:rsidRDefault="004E5BC0" w:rsidP="00EA2398">
            <w:pPr>
              <w:pStyle w:val="Text1"/>
              <w:spacing w:before="60" w:after="60"/>
              <w:ind w:left="0"/>
              <w:jc w:val="left"/>
              <w:rPr>
                <w:b/>
                <w:color w:val="0D0D0D" w:themeColor="text1" w:themeTint="F2"/>
                <w:lang w:val="en-IE"/>
              </w:rPr>
            </w:pPr>
            <w:r w:rsidRPr="003C0CD7">
              <w:rPr>
                <w:b/>
                <w:color w:val="0D0D0D" w:themeColor="text1" w:themeTint="F2"/>
                <w:lang w:val="en-IE"/>
              </w:rPr>
              <w:t>Basic Act</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6D3D812A" w14:textId="77777777" w:rsidR="004E5BC0" w:rsidRPr="003C0CD7" w:rsidRDefault="004E5BC0" w:rsidP="00EA2398">
            <w:pPr>
              <w:pStyle w:val="Text1"/>
              <w:spacing w:before="60" w:after="60"/>
              <w:ind w:left="0" w:right="-25"/>
              <w:jc w:val="left"/>
              <w:rPr>
                <w:highlight w:val="yellow"/>
                <w:lang w:val="en-IE"/>
              </w:rPr>
            </w:pPr>
            <w:r w:rsidRPr="003C0CD7">
              <w:rPr>
                <w:lang w:val="en-IE"/>
              </w:rPr>
              <w:t>Financed under the Instrument for Pre-accession Assistance (IPA III)</w:t>
            </w:r>
          </w:p>
        </w:tc>
      </w:tr>
      <w:tr w:rsidR="00F54A1B" w:rsidRPr="008704EA" w14:paraId="705E765A" w14:textId="77777777" w:rsidTr="00DF52C9">
        <w:trPr>
          <w:trHeight w:val="913"/>
        </w:trPr>
        <w:tc>
          <w:tcPr>
            <w:tcW w:w="2330" w:type="dxa"/>
            <w:tcBorders>
              <w:top w:val="single" w:sz="4" w:space="0" w:color="auto"/>
              <w:left w:val="single" w:sz="4" w:space="0" w:color="auto"/>
              <w:bottom w:val="single" w:sz="4" w:space="0" w:color="auto"/>
              <w:right w:val="single" w:sz="4" w:space="0" w:color="auto"/>
            </w:tcBorders>
            <w:shd w:val="clear" w:color="auto" w:fill="auto"/>
          </w:tcPr>
          <w:p w14:paraId="2DC32013" w14:textId="23CF0887" w:rsidR="00DA4A97" w:rsidRPr="003C0CD7" w:rsidRDefault="00F54A1B" w:rsidP="00EA2398">
            <w:pPr>
              <w:pStyle w:val="Text1"/>
              <w:spacing w:before="60" w:after="60"/>
              <w:ind w:left="0"/>
              <w:jc w:val="left"/>
              <w:rPr>
                <w:b/>
                <w:color w:val="0D0D0D" w:themeColor="text1" w:themeTint="F2"/>
                <w:lang w:val="en-IE"/>
              </w:rPr>
            </w:pPr>
            <w:r>
              <w:rPr>
                <w:b/>
                <w:color w:val="0D0D0D" w:themeColor="text1" w:themeTint="F2"/>
                <w:lang w:val="en-IE"/>
              </w:rPr>
              <w:t>Economic and Investment Plan</w:t>
            </w:r>
            <w:r w:rsidR="00CF7516">
              <w:rPr>
                <w:b/>
                <w:color w:val="0D0D0D" w:themeColor="text1" w:themeTint="F2"/>
                <w:lang w:val="en-IE"/>
              </w:rPr>
              <w:t xml:space="preserve"> (EIP)</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1D62BFA2" w14:textId="378A57E1" w:rsidR="00DA4A97" w:rsidRPr="00246684" w:rsidRDefault="00F54A1B" w:rsidP="00CA22CD">
            <w:pPr>
              <w:pStyle w:val="Text1"/>
              <w:spacing w:before="60" w:after="60"/>
              <w:ind w:left="0" w:right="-25"/>
              <w:jc w:val="left"/>
              <w:rPr>
                <w:lang w:val="en-IE" w:eastAsia="en-IE"/>
              </w:rPr>
            </w:pPr>
            <w:r w:rsidRPr="00CA22CD">
              <w:rPr>
                <w:lang w:val="en-IE" w:eastAsia="de-DE"/>
              </w:rPr>
              <w:t>Yes</w:t>
            </w:r>
            <w:r w:rsidR="004D48FC" w:rsidRPr="00CA22CD">
              <w:rPr>
                <w:rStyle w:val="FootnoteReference"/>
                <w:lang w:eastAsia="de-DE"/>
              </w:rPr>
              <w:footnoteReference w:id="3"/>
            </w:r>
          </w:p>
        </w:tc>
      </w:tr>
      <w:tr w:rsidR="004D48FC" w:rsidRPr="008704EA" w14:paraId="580BC069" w14:textId="77777777" w:rsidTr="00DF52C9">
        <w:tc>
          <w:tcPr>
            <w:tcW w:w="2330" w:type="dxa"/>
            <w:tcBorders>
              <w:top w:val="single" w:sz="4" w:space="0" w:color="auto"/>
              <w:left w:val="single" w:sz="4" w:space="0" w:color="auto"/>
              <w:bottom w:val="single" w:sz="4" w:space="0" w:color="auto"/>
              <w:right w:val="single" w:sz="4" w:space="0" w:color="auto"/>
            </w:tcBorders>
            <w:shd w:val="clear" w:color="auto" w:fill="auto"/>
          </w:tcPr>
          <w:p w14:paraId="7EAC328D" w14:textId="77777777" w:rsidR="002D50C3" w:rsidRDefault="004D48FC" w:rsidP="002D50C3">
            <w:pPr>
              <w:pStyle w:val="Text1"/>
              <w:spacing w:before="60" w:after="60"/>
              <w:ind w:left="0" w:right="-25"/>
              <w:rPr>
                <w:b/>
                <w:color w:val="0D0D0D" w:themeColor="text1" w:themeTint="F2"/>
                <w:lang w:val="en-IE"/>
              </w:rPr>
            </w:pPr>
            <w:r>
              <w:rPr>
                <w:b/>
                <w:color w:val="0D0D0D" w:themeColor="text1" w:themeTint="F2"/>
                <w:lang w:val="en-IE"/>
              </w:rPr>
              <w:t>EIP Flagship</w:t>
            </w:r>
          </w:p>
          <w:p w14:paraId="345D4B90" w14:textId="77777777" w:rsidR="002D50C3" w:rsidRDefault="002D50C3" w:rsidP="002D50C3">
            <w:pPr>
              <w:pStyle w:val="Text1"/>
              <w:spacing w:before="60" w:after="60"/>
              <w:ind w:left="0" w:right="-25"/>
              <w:rPr>
                <w:b/>
                <w:color w:val="0D0D0D" w:themeColor="text1" w:themeTint="F2"/>
                <w:lang w:val="en-IE"/>
              </w:rPr>
            </w:pPr>
          </w:p>
          <w:p w14:paraId="72EF45FD" w14:textId="721415CE" w:rsidR="004D48FC" w:rsidRPr="00CA22CD" w:rsidRDefault="002D50C3" w:rsidP="00CA22CD">
            <w:pPr>
              <w:pStyle w:val="Text1"/>
              <w:spacing w:before="60" w:after="60"/>
              <w:ind w:left="0" w:right="-25"/>
              <w:rPr>
                <w:color w:val="0D0D0D" w:themeColor="text1" w:themeTint="F2"/>
                <w:lang w:val="en-IE" w:eastAsia="de-DE"/>
              </w:rPr>
            </w:pPr>
            <w:r w:rsidRPr="005E161F">
              <w:rPr>
                <w:color w:val="0D0D0D" w:themeColor="text1" w:themeTint="F2"/>
                <w:lang w:val="en-IE" w:eastAsia="de-DE"/>
              </w:rPr>
              <w:t>Priorities:</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5C68D2A1" w14:textId="515A242F" w:rsidR="002C3041" w:rsidRPr="00CA22CD" w:rsidRDefault="004D48FC" w:rsidP="00EA2398">
            <w:pPr>
              <w:jc w:val="left"/>
              <w:rPr>
                <w:lang w:val="en-IE" w:eastAsia="de-DE"/>
              </w:rPr>
            </w:pPr>
            <w:r w:rsidRPr="00CA22CD">
              <w:rPr>
                <w:lang w:val="en-IE" w:eastAsia="de-DE"/>
              </w:rPr>
              <w:t>Yes</w:t>
            </w:r>
          </w:p>
          <w:p w14:paraId="4F9E61D3" w14:textId="77777777" w:rsidR="002D50C3" w:rsidRDefault="002D50C3" w:rsidP="00CA22CD">
            <w:pPr>
              <w:rPr>
                <w:lang w:val="en-IE" w:eastAsia="de-DE"/>
              </w:rPr>
            </w:pPr>
          </w:p>
          <w:p w14:paraId="62578F42" w14:textId="1C5CA3C9" w:rsidR="00174F0B" w:rsidRPr="00CA22CD" w:rsidRDefault="004D48FC" w:rsidP="00CA22CD">
            <w:pPr>
              <w:rPr>
                <w:color w:val="0D0D0D" w:themeColor="text1" w:themeTint="F2"/>
                <w:lang w:val="en-IE" w:eastAsia="de-DE"/>
              </w:rPr>
            </w:pPr>
            <w:r w:rsidRPr="00CA22CD">
              <w:rPr>
                <w:color w:val="0D0D0D" w:themeColor="text1" w:themeTint="F2"/>
                <w:lang w:val="en-IE" w:eastAsia="de-DE"/>
              </w:rPr>
              <w:t xml:space="preserve">Economic development </w:t>
            </w:r>
          </w:p>
          <w:p w14:paraId="2F472964" w14:textId="702D2425" w:rsidR="004D48FC" w:rsidRPr="00CA22CD" w:rsidRDefault="004D48FC" w:rsidP="00CA22CD">
            <w:pPr>
              <w:pStyle w:val="Text1"/>
              <w:spacing w:before="60" w:after="60"/>
              <w:ind w:left="0" w:right="-25"/>
              <w:rPr>
                <w:lang w:val="en-IE" w:eastAsia="de-DE"/>
              </w:rPr>
            </w:pPr>
            <w:r w:rsidRPr="00CA22CD">
              <w:rPr>
                <w:color w:val="0D0D0D" w:themeColor="text1" w:themeTint="F2"/>
                <w:lang w:val="en-IE" w:eastAsia="de-DE"/>
              </w:rPr>
              <w:t>Agriculture, food security and rural development</w:t>
            </w:r>
          </w:p>
        </w:tc>
      </w:tr>
      <w:tr w:rsidR="00FB5323" w:rsidRPr="008704EA" w14:paraId="0D114DA3"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55E1693D" w14:textId="0ED083B3" w:rsidR="00FB5323" w:rsidRPr="003C0CD7" w:rsidRDefault="00FB5323" w:rsidP="003662EA">
            <w:pPr>
              <w:pStyle w:val="Text1"/>
              <w:spacing w:before="60" w:after="60"/>
              <w:ind w:left="0"/>
              <w:jc w:val="left"/>
              <w:rPr>
                <w:b/>
                <w:color w:val="0D0D0D" w:themeColor="text1" w:themeTint="F2"/>
                <w:lang w:val="en-IE"/>
              </w:rPr>
            </w:pPr>
            <w:r w:rsidRPr="003C0CD7">
              <w:rPr>
                <w:b/>
                <w:color w:val="0D0D0D" w:themeColor="text1" w:themeTint="F2"/>
                <w:lang w:val="en-IE"/>
              </w:rPr>
              <w:t xml:space="preserve">Team Europe </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67F069A2" w14:textId="3B9639BD" w:rsidR="00FB5323" w:rsidRPr="003C0CD7" w:rsidRDefault="00FB5323" w:rsidP="00CA22CD">
            <w:pPr>
              <w:pStyle w:val="Text1"/>
              <w:spacing w:before="60" w:after="60"/>
              <w:ind w:left="0" w:right="-25"/>
              <w:jc w:val="left"/>
              <w:rPr>
                <w:lang w:val="en-IE"/>
              </w:rPr>
            </w:pPr>
            <w:r w:rsidRPr="00CA22CD">
              <w:rPr>
                <w:lang w:val="en-IE" w:eastAsia="de-DE"/>
              </w:rPr>
              <w:t>No</w:t>
            </w:r>
          </w:p>
        </w:tc>
      </w:tr>
      <w:tr w:rsidR="001E0154" w:rsidRPr="008704EA" w14:paraId="23B47843"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6BDC1B43" w14:textId="77777777" w:rsidR="001E0154" w:rsidRPr="003C0CD7" w:rsidRDefault="006030C3" w:rsidP="00EA2398">
            <w:pPr>
              <w:pStyle w:val="Text1"/>
              <w:spacing w:before="60" w:after="60"/>
              <w:ind w:left="0"/>
              <w:jc w:val="left"/>
              <w:rPr>
                <w:b/>
                <w:color w:val="0D0D0D" w:themeColor="text1" w:themeTint="F2"/>
                <w:lang w:val="en-IE"/>
              </w:rPr>
            </w:pPr>
            <w:r>
              <w:rPr>
                <w:b/>
                <w:color w:val="0D0D0D" w:themeColor="text1" w:themeTint="F2"/>
                <w:lang w:val="en-IE"/>
              </w:rPr>
              <w:t>Beneficiar</w:t>
            </w:r>
            <w:r w:rsidR="00EE2F85">
              <w:rPr>
                <w:b/>
                <w:color w:val="0D0D0D" w:themeColor="text1" w:themeTint="F2"/>
                <w:lang w:val="en-IE"/>
              </w:rPr>
              <w:t>(</w:t>
            </w:r>
            <w:r w:rsidR="009D243C">
              <w:rPr>
                <w:b/>
                <w:color w:val="0D0D0D" w:themeColor="text1" w:themeTint="F2"/>
                <w:lang w:val="en-IE"/>
              </w:rPr>
              <w:t>y</w:t>
            </w:r>
            <w:r w:rsidR="00EE2F85">
              <w:rPr>
                <w:b/>
                <w:color w:val="0D0D0D" w:themeColor="text1" w:themeTint="F2"/>
                <w:lang w:val="en-IE"/>
              </w:rPr>
              <w:t>)</w:t>
            </w:r>
            <w:r w:rsidR="009D243C">
              <w:rPr>
                <w:b/>
                <w:color w:val="0D0D0D" w:themeColor="text1" w:themeTint="F2"/>
                <w:lang w:val="en-IE"/>
              </w:rPr>
              <w:t>/</w:t>
            </w:r>
            <w:r w:rsidR="00EE2F85">
              <w:rPr>
                <w:b/>
                <w:color w:val="0D0D0D" w:themeColor="text1" w:themeTint="F2"/>
                <w:lang w:val="en-IE"/>
              </w:rPr>
              <w:t>(</w:t>
            </w:r>
            <w:r w:rsidR="009D243C">
              <w:rPr>
                <w:b/>
                <w:color w:val="0D0D0D" w:themeColor="text1" w:themeTint="F2"/>
                <w:lang w:val="en-IE"/>
              </w:rPr>
              <w:t>ies</w:t>
            </w:r>
            <w:r w:rsidR="00EE2F85">
              <w:rPr>
                <w:b/>
                <w:color w:val="0D0D0D" w:themeColor="text1" w:themeTint="F2"/>
                <w:lang w:val="en-IE"/>
              </w:rPr>
              <w:t>)</w:t>
            </w:r>
            <w:r w:rsidR="001E0154" w:rsidRPr="003C0CD7">
              <w:rPr>
                <w:b/>
                <w:color w:val="0D0D0D" w:themeColor="text1" w:themeTint="F2"/>
                <w:lang w:val="en-IE"/>
              </w:rPr>
              <w:t xml:space="preserve"> </w:t>
            </w:r>
            <w:r w:rsidR="009D243C">
              <w:rPr>
                <w:b/>
                <w:color w:val="0D0D0D" w:themeColor="text1" w:themeTint="F2"/>
                <w:lang w:val="en-IE"/>
              </w:rPr>
              <w:t>of</w:t>
            </w:r>
            <w:r w:rsidR="009D243C" w:rsidRPr="003C0CD7">
              <w:rPr>
                <w:b/>
                <w:color w:val="0D0D0D" w:themeColor="text1" w:themeTint="F2"/>
                <w:lang w:val="en-IE"/>
              </w:rPr>
              <w:t xml:space="preserve"> </w:t>
            </w:r>
            <w:r w:rsidR="001E0154" w:rsidRPr="003C0CD7">
              <w:rPr>
                <w:b/>
                <w:color w:val="0D0D0D" w:themeColor="text1" w:themeTint="F2"/>
                <w:lang w:val="en-IE"/>
              </w:rPr>
              <w:t xml:space="preserve">the </w:t>
            </w:r>
            <w:r w:rsidR="0035261A" w:rsidRPr="003C0CD7">
              <w:rPr>
                <w:b/>
                <w:color w:val="0D0D0D" w:themeColor="text1" w:themeTint="F2"/>
                <w:lang w:val="en-IE"/>
              </w:rPr>
              <w:t>action</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307215A0" w14:textId="412CFC36" w:rsidR="006E4F2E" w:rsidRPr="003C0CD7" w:rsidRDefault="00C146A2" w:rsidP="00EA2398">
            <w:pPr>
              <w:spacing w:before="120" w:after="120"/>
              <w:ind w:right="-25"/>
              <w:rPr>
                <w:szCs w:val="24"/>
                <w:lang w:val="en-IE"/>
              </w:rPr>
            </w:pPr>
            <w:r w:rsidRPr="0082062A">
              <w:rPr>
                <w:szCs w:val="24"/>
                <w:lang w:val="en-IE"/>
              </w:rPr>
              <w:t xml:space="preserve">The action shall be carried out in </w:t>
            </w:r>
            <w:r w:rsidR="00174F0B">
              <w:rPr>
                <w:szCs w:val="24"/>
                <w:lang w:val="en-IE"/>
              </w:rPr>
              <w:t>the Republic of North Macedonia</w:t>
            </w:r>
          </w:p>
        </w:tc>
      </w:tr>
      <w:tr w:rsidR="001E0154" w:rsidRPr="008704EA" w14:paraId="10C74559"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5D7673B6" w14:textId="77777777" w:rsidR="001E0154" w:rsidRPr="003C0CD7" w:rsidRDefault="001E0154" w:rsidP="00EA2398">
            <w:pPr>
              <w:pStyle w:val="Text1"/>
              <w:spacing w:before="60" w:after="60"/>
              <w:ind w:left="0"/>
              <w:jc w:val="left"/>
              <w:rPr>
                <w:b/>
                <w:color w:val="0D0D0D" w:themeColor="text1" w:themeTint="F2"/>
                <w:lang w:val="en-IE"/>
              </w:rPr>
            </w:pPr>
            <w:r w:rsidRPr="003C0CD7">
              <w:rPr>
                <w:b/>
                <w:color w:val="0D0D0D" w:themeColor="text1" w:themeTint="F2"/>
                <w:lang w:val="en-IE"/>
              </w:rPr>
              <w:t>Programming document</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2441F100" w14:textId="77777777" w:rsidR="001E0154" w:rsidRPr="003C0CD7" w:rsidRDefault="005C2C9B" w:rsidP="00EA2398">
            <w:pPr>
              <w:spacing w:before="120" w:after="120"/>
              <w:ind w:right="-25"/>
              <w:rPr>
                <w:rFonts w:cs="Times New Roman"/>
                <w:color w:val="0D0D0D" w:themeColor="text1" w:themeTint="F2"/>
                <w:szCs w:val="24"/>
                <w:lang w:val="en-IE"/>
              </w:rPr>
            </w:pPr>
            <w:r w:rsidRPr="003C0CD7">
              <w:rPr>
                <w:szCs w:val="24"/>
                <w:lang w:val="en-IE"/>
              </w:rPr>
              <w:t>IPA III Programming Framework</w:t>
            </w:r>
          </w:p>
        </w:tc>
      </w:tr>
      <w:tr w:rsidR="00BF051C" w:rsidRPr="008704EA" w14:paraId="19C7218F" w14:textId="77777777" w:rsidTr="00C85643">
        <w:tc>
          <w:tcPr>
            <w:tcW w:w="10632" w:type="dxa"/>
            <w:gridSpan w:val="6"/>
            <w:tcBorders>
              <w:top w:val="single" w:sz="4" w:space="0" w:color="auto"/>
              <w:left w:val="single" w:sz="4" w:space="0" w:color="auto"/>
              <w:bottom w:val="single" w:sz="4" w:space="0" w:color="auto"/>
              <w:right w:val="single" w:sz="4" w:space="0" w:color="auto"/>
            </w:tcBorders>
            <w:shd w:val="clear" w:color="auto" w:fill="auto"/>
          </w:tcPr>
          <w:p w14:paraId="47BC3196" w14:textId="77777777" w:rsidR="00BF051C" w:rsidRPr="003C0CD7" w:rsidRDefault="008B15AE" w:rsidP="00EA2398">
            <w:pPr>
              <w:jc w:val="center"/>
              <w:rPr>
                <w:b/>
                <w:szCs w:val="24"/>
                <w:lang w:val="en-IE" w:eastAsia="de-DE"/>
              </w:rPr>
            </w:pPr>
            <w:r w:rsidRPr="003C0CD7">
              <w:rPr>
                <w:b/>
                <w:szCs w:val="24"/>
                <w:lang w:val="en-IE"/>
              </w:rPr>
              <w:lastRenderedPageBreak/>
              <w:t xml:space="preserve">PRIORITY AREAS AND </w:t>
            </w:r>
            <w:r w:rsidR="00BF051C" w:rsidRPr="003C0CD7">
              <w:rPr>
                <w:b/>
                <w:szCs w:val="24"/>
                <w:lang w:val="en-IE"/>
              </w:rPr>
              <w:t>SECTOR INFORMATION</w:t>
            </w:r>
          </w:p>
        </w:tc>
      </w:tr>
      <w:tr w:rsidR="00433309" w:rsidRPr="008704EA" w14:paraId="0D29056B"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075F2B2B" w14:textId="77777777" w:rsidR="00433309" w:rsidRPr="003C0CD7" w:rsidRDefault="00F50118" w:rsidP="00EA2398">
            <w:pPr>
              <w:pStyle w:val="Text1"/>
              <w:spacing w:before="0" w:after="0"/>
              <w:ind w:left="0"/>
              <w:jc w:val="left"/>
              <w:rPr>
                <w:b/>
                <w:color w:val="0D0D0D" w:themeColor="text1" w:themeTint="F2"/>
                <w:lang w:val="en-IE"/>
              </w:rPr>
            </w:pPr>
            <w:r w:rsidRPr="003C0CD7">
              <w:rPr>
                <w:b/>
                <w:color w:val="0D0D0D" w:themeColor="text1" w:themeTint="F2"/>
                <w:lang w:val="en-IE"/>
              </w:rPr>
              <w:t>Window</w:t>
            </w:r>
            <w:r w:rsidR="00B97C91" w:rsidRPr="003C0CD7">
              <w:rPr>
                <w:b/>
                <w:color w:val="0D0D0D" w:themeColor="text1" w:themeTint="F2"/>
                <w:lang w:val="en-IE"/>
              </w:rPr>
              <w:t xml:space="preserve"> and</w:t>
            </w:r>
            <w:r w:rsidR="00D46E4D" w:rsidRPr="003C0CD7">
              <w:rPr>
                <w:b/>
                <w:color w:val="0D0D0D" w:themeColor="text1" w:themeTint="F2"/>
                <w:lang w:val="en-IE"/>
              </w:rPr>
              <w:t xml:space="preserve"> </w:t>
            </w:r>
            <w:r w:rsidR="00B97C91" w:rsidRPr="003C0CD7">
              <w:rPr>
                <w:b/>
                <w:color w:val="0D0D0D" w:themeColor="text1" w:themeTint="F2"/>
                <w:lang w:val="en-IE"/>
              </w:rPr>
              <w:t>thematic p</w:t>
            </w:r>
            <w:r w:rsidRPr="003C0CD7">
              <w:rPr>
                <w:b/>
                <w:color w:val="0D0D0D" w:themeColor="text1" w:themeTint="F2"/>
                <w:lang w:val="en-IE"/>
              </w:rPr>
              <w:t>riority</w:t>
            </w:r>
            <w:r w:rsidR="00635A0A">
              <w:rPr>
                <w:rStyle w:val="FootnoteReference"/>
                <w:b/>
                <w:color w:val="0D0D0D" w:themeColor="text1" w:themeTint="F2"/>
                <w:lang w:val="en-IE"/>
              </w:rPr>
              <w:footnoteReference w:id="4"/>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6907B748" w14:textId="77A5F8D9" w:rsidR="00635A0A" w:rsidRDefault="00635A0A" w:rsidP="00EA2398">
            <w:pPr>
              <w:pStyle w:val="Text1"/>
              <w:spacing w:before="60" w:after="60"/>
              <w:ind w:left="0" w:right="-25"/>
              <w:jc w:val="left"/>
              <w:rPr>
                <w:lang w:val="en-IE"/>
              </w:rPr>
            </w:pPr>
            <w:r w:rsidRPr="00624AC0">
              <w:rPr>
                <w:b/>
                <w:bCs/>
                <w:lang w:val="en-IE"/>
              </w:rPr>
              <w:t xml:space="preserve">Window </w:t>
            </w:r>
            <w:r w:rsidR="00624AC0" w:rsidRPr="00624AC0">
              <w:rPr>
                <w:b/>
                <w:bCs/>
                <w:lang w:val="en-IE"/>
              </w:rPr>
              <w:t>4</w:t>
            </w:r>
            <w:r w:rsidR="00624AC0">
              <w:rPr>
                <w:b/>
                <w:bCs/>
                <w:lang w:val="en-IE"/>
              </w:rPr>
              <w:t>:</w:t>
            </w:r>
            <w:r w:rsidR="00624AC0" w:rsidRPr="00624AC0">
              <w:rPr>
                <w:b/>
                <w:iCs/>
                <w:sz w:val="22"/>
                <w:lang w:eastAsia="en-GB"/>
              </w:rPr>
              <w:t xml:space="preserve"> </w:t>
            </w:r>
            <w:r w:rsidR="00624AC0">
              <w:rPr>
                <w:b/>
                <w:iCs/>
                <w:sz w:val="22"/>
                <w:lang w:eastAsia="en-GB"/>
              </w:rPr>
              <w:t>C</w:t>
            </w:r>
            <w:r w:rsidR="00624AC0" w:rsidRPr="00624AC0">
              <w:rPr>
                <w:b/>
                <w:iCs/>
                <w:sz w:val="22"/>
                <w:lang w:eastAsia="en-GB"/>
              </w:rPr>
              <w:t xml:space="preserve">ompetitiveness and </w:t>
            </w:r>
            <w:r w:rsidR="00624AC0">
              <w:rPr>
                <w:b/>
                <w:iCs/>
                <w:sz w:val="22"/>
                <w:lang w:eastAsia="en-GB"/>
              </w:rPr>
              <w:t>I</w:t>
            </w:r>
            <w:r w:rsidR="00624AC0" w:rsidRPr="00624AC0">
              <w:rPr>
                <w:b/>
                <w:iCs/>
                <w:sz w:val="22"/>
                <w:lang w:eastAsia="en-GB"/>
              </w:rPr>
              <w:t xml:space="preserve">nclusive </w:t>
            </w:r>
            <w:r w:rsidR="00624AC0">
              <w:rPr>
                <w:b/>
                <w:iCs/>
                <w:sz w:val="22"/>
                <w:lang w:eastAsia="en-GB"/>
              </w:rPr>
              <w:t>G</w:t>
            </w:r>
            <w:r w:rsidR="00624AC0" w:rsidRPr="00624AC0">
              <w:rPr>
                <w:b/>
                <w:iCs/>
                <w:sz w:val="22"/>
                <w:lang w:eastAsia="en-GB"/>
              </w:rPr>
              <w:t>rowth</w:t>
            </w:r>
          </w:p>
          <w:p w14:paraId="7BDA0B79" w14:textId="708906C9" w:rsidR="00624AC0" w:rsidRPr="00624AC0" w:rsidRDefault="00624AC0" w:rsidP="00624AC0">
            <w:pPr>
              <w:spacing w:before="120"/>
              <w:jc w:val="left"/>
              <w:rPr>
                <w:rFonts w:eastAsia="Times New Roman" w:cs="Times New Roman"/>
                <w:bCs/>
                <w:sz w:val="22"/>
                <w:lang w:eastAsia="en-GB"/>
              </w:rPr>
            </w:pPr>
            <w:r w:rsidRPr="00624AC0">
              <w:rPr>
                <w:rFonts w:eastAsia="Times New Roman" w:cs="Times New Roman"/>
                <w:bCs/>
                <w:sz w:val="22"/>
                <w:lang w:eastAsia="en-GB"/>
              </w:rPr>
              <w:t>Thematic Priority 2: Private sector development, trade, research and innovation</w:t>
            </w:r>
            <w:r>
              <w:rPr>
                <w:rFonts w:eastAsia="Times New Roman" w:cs="Times New Roman"/>
                <w:bCs/>
                <w:sz w:val="22"/>
                <w:lang w:eastAsia="en-GB"/>
              </w:rPr>
              <w:t xml:space="preserve"> </w:t>
            </w:r>
            <w:r w:rsidR="00174F0B">
              <w:rPr>
                <w:lang w:val="en-IE"/>
              </w:rPr>
              <w:t>(50</w:t>
            </w:r>
            <w:r w:rsidRPr="003775F2">
              <w:rPr>
                <w:lang w:val="en-IE"/>
              </w:rPr>
              <w:t>%</w:t>
            </w:r>
            <w:r>
              <w:rPr>
                <w:lang w:val="en-IE"/>
              </w:rPr>
              <w:t>)</w:t>
            </w:r>
          </w:p>
          <w:p w14:paraId="76F709B4" w14:textId="46A29533" w:rsidR="00624AC0" w:rsidRPr="00624AC0" w:rsidRDefault="00624AC0" w:rsidP="00624AC0">
            <w:pPr>
              <w:spacing w:before="120"/>
              <w:jc w:val="left"/>
              <w:rPr>
                <w:rFonts w:eastAsia="Times New Roman" w:cs="Times New Roman"/>
                <w:bCs/>
                <w:sz w:val="22"/>
                <w:lang w:eastAsia="en-GB"/>
              </w:rPr>
            </w:pPr>
            <w:r w:rsidRPr="00624AC0">
              <w:rPr>
                <w:rFonts w:eastAsia="Times New Roman" w:cs="Times New Roman"/>
                <w:bCs/>
                <w:sz w:val="22"/>
                <w:lang w:eastAsia="en-GB"/>
              </w:rPr>
              <w:t>Thematic Priority 3: Agriculture and Rural Development</w:t>
            </w:r>
            <w:r>
              <w:rPr>
                <w:rFonts w:eastAsia="Times New Roman" w:cs="Times New Roman"/>
                <w:bCs/>
                <w:sz w:val="22"/>
                <w:lang w:eastAsia="en-GB"/>
              </w:rPr>
              <w:t xml:space="preserve"> </w:t>
            </w:r>
            <w:r w:rsidR="00174F0B">
              <w:rPr>
                <w:lang w:val="en-IE"/>
              </w:rPr>
              <w:t>(</w:t>
            </w:r>
            <w:r w:rsidR="002C3041">
              <w:rPr>
                <w:lang w:val="en-IE"/>
              </w:rPr>
              <w:t>44</w:t>
            </w:r>
            <w:r w:rsidRPr="003775F2">
              <w:rPr>
                <w:lang w:val="en-IE"/>
              </w:rPr>
              <w:t>%</w:t>
            </w:r>
            <w:r>
              <w:rPr>
                <w:lang w:val="en-IE"/>
              </w:rPr>
              <w:t>)</w:t>
            </w:r>
          </w:p>
          <w:p w14:paraId="2B523E33" w14:textId="2E3C219F" w:rsidR="00DC0AC4" w:rsidRPr="003C0CD7" w:rsidRDefault="00624AC0">
            <w:pPr>
              <w:pStyle w:val="Text1"/>
              <w:spacing w:before="60" w:after="60"/>
              <w:ind w:left="0" w:right="-25"/>
              <w:jc w:val="left"/>
              <w:rPr>
                <w:lang w:val="en-IE"/>
              </w:rPr>
            </w:pPr>
            <w:r w:rsidRPr="00624AC0">
              <w:rPr>
                <w:bCs/>
                <w:sz w:val="22"/>
                <w:szCs w:val="22"/>
                <w:lang w:eastAsia="en-GB"/>
              </w:rPr>
              <w:t>Thematic Priority 4: Fisheries</w:t>
            </w:r>
            <w:r>
              <w:rPr>
                <w:lang w:val="en-IE"/>
              </w:rPr>
              <w:t xml:space="preserve"> </w:t>
            </w:r>
            <w:r w:rsidR="00037227">
              <w:rPr>
                <w:lang w:val="en-IE"/>
              </w:rPr>
              <w:t>(</w:t>
            </w:r>
            <w:r w:rsidR="002C3041">
              <w:rPr>
                <w:lang w:val="en-IE"/>
              </w:rPr>
              <w:t>6</w:t>
            </w:r>
            <w:r w:rsidR="00635A0A" w:rsidRPr="003775F2">
              <w:rPr>
                <w:lang w:val="en-IE"/>
              </w:rPr>
              <w:t xml:space="preserve"> %</w:t>
            </w:r>
            <w:r w:rsidR="00037227">
              <w:rPr>
                <w:lang w:val="en-IE"/>
              </w:rPr>
              <w:t>)</w:t>
            </w:r>
          </w:p>
        </w:tc>
      </w:tr>
      <w:tr w:rsidR="00433309" w:rsidRPr="008704EA" w14:paraId="4721587A"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79C19A02" w14:textId="77777777" w:rsidR="00433309" w:rsidRPr="003C0CD7" w:rsidRDefault="00433309" w:rsidP="00EA2398">
            <w:pPr>
              <w:pStyle w:val="Text1"/>
              <w:spacing w:before="0" w:after="0"/>
              <w:ind w:left="0"/>
              <w:jc w:val="left"/>
              <w:rPr>
                <w:b/>
                <w:color w:val="0D0D0D" w:themeColor="text1" w:themeTint="F2"/>
                <w:lang w:val="en-IE"/>
              </w:rPr>
            </w:pPr>
            <w:r w:rsidRPr="003C0CD7">
              <w:rPr>
                <w:b/>
                <w:color w:val="0D0D0D" w:themeColor="text1" w:themeTint="F2"/>
                <w:lang w:val="en-IE"/>
              </w:rPr>
              <w:t>Sustainable Development Goals (SDGs)</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7DF70469" w14:textId="288D3D79" w:rsidR="00016A00" w:rsidRDefault="00433309" w:rsidP="00016A00">
            <w:pPr>
              <w:pStyle w:val="Text1"/>
              <w:spacing w:before="60" w:after="60"/>
              <w:ind w:left="0" w:right="-25"/>
              <w:jc w:val="left"/>
              <w:rPr>
                <w:lang w:val="en-IE"/>
              </w:rPr>
            </w:pPr>
            <w:r w:rsidRPr="003C0CD7">
              <w:rPr>
                <w:lang w:val="en-IE"/>
              </w:rPr>
              <w:t xml:space="preserve">Main SDG (1 only): </w:t>
            </w:r>
            <w:r w:rsidR="00016A00">
              <w:rPr>
                <w:lang w:val="en-IE"/>
              </w:rPr>
              <w:t>SDG 9 : Industry, innovation and infrastructure</w:t>
            </w:r>
          </w:p>
          <w:p w14:paraId="4D7C0315" w14:textId="77777777" w:rsidR="00016A00" w:rsidRDefault="00016A00" w:rsidP="00016A00">
            <w:pPr>
              <w:pStyle w:val="Text1"/>
              <w:spacing w:before="60" w:after="60"/>
              <w:ind w:left="0" w:right="-25"/>
              <w:jc w:val="left"/>
              <w:rPr>
                <w:lang w:val="en-IE"/>
              </w:rPr>
            </w:pPr>
          </w:p>
          <w:p w14:paraId="0F4B952D" w14:textId="0D6BA6D6" w:rsidR="00433309" w:rsidRDefault="00433309" w:rsidP="00EA2398">
            <w:pPr>
              <w:pStyle w:val="Text1"/>
              <w:spacing w:before="60" w:after="60"/>
              <w:ind w:left="0" w:right="-25"/>
              <w:jc w:val="left"/>
              <w:rPr>
                <w:lang w:val="en-IE"/>
              </w:rPr>
            </w:pPr>
            <w:r w:rsidRPr="003C0CD7">
              <w:rPr>
                <w:lang w:val="en-IE"/>
              </w:rPr>
              <w:t>Other significant SDGs (up to 9) and</w:t>
            </w:r>
            <w:r w:rsidR="003B564E">
              <w:rPr>
                <w:lang w:val="en-IE"/>
              </w:rPr>
              <w:t>,</w:t>
            </w:r>
            <w:r w:rsidRPr="003C0CD7">
              <w:rPr>
                <w:lang w:val="en-IE"/>
              </w:rPr>
              <w:t xml:space="preserve"> where appropriate, targets:</w:t>
            </w:r>
          </w:p>
          <w:p w14:paraId="7788B9B6" w14:textId="25F92309" w:rsidR="00016A00" w:rsidRDefault="00016A00" w:rsidP="00016A00">
            <w:pPr>
              <w:pStyle w:val="Text1"/>
              <w:spacing w:before="60" w:after="60"/>
              <w:ind w:left="0" w:right="-25"/>
              <w:jc w:val="left"/>
              <w:rPr>
                <w:lang w:val="en-IE"/>
              </w:rPr>
            </w:pPr>
            <w:r>
              <w:rPr>
                <w:lang w:val="en-IE"/>
              </w:rPr>
              <w:t xml:space="preserve">SDG 12:  Responsible consumption and production </w:t>
            </w:r>
          </w:p>
          <w:p w14:paraId="530A2459" w14:textId="53E29B17" w:rsidR="002A583B" w:rsidRPr="003C0CD7" w:rsidRDefault="00016A00" w:rsidP="00EA2398">
            <w:pPr>
              <w:pStyle w:val="Text1"/>
              <w:spacing w:before="60" w:after="60"/>
              <w:ind w:left="0" w:right="-25"/>
              <w:jc w:val="left"/>
              <w:rPr>
                <w:highlight w:val="yellow"/>
                <w:lang w:val="en-IE"/>
              </w:rPr>
            </w:pPr>
            <w:r>
              <w:rPr>
                <w:lang w:val="en-IE"/>
              </w:rPr>
              <w:t>SDG 8 : Decent work and economic growth</w:t>
            </w:r>
          </w:p>
        </w:tc>
      </w:tr>
      <w:tr w:rsidR="00433309" w:rsidRPr="00DB056D" w14:paraId="4B613589"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654C1A9B" w14:textId="77777777" w:rsidR="00433309" w:rsidRPr="003C0CD7" w:rsidRDefault="00433309" w:rsidP="00EA2398">
            <w:pPr>
              <w:pStyle w:val="Text1"/>
              <w:spacing w:before="0" w:after="0"/>
              <w:ind w:left="0"/>
              <w:jc w:val="left"/>
              <w:rPr>
                <w:b/>
                <w:bCs/>
                <w:lang w:val="en-IE"/>
              </w:rPr>
            </w:pPr>
            <w:r w:rsidRPr="003C0CD7">
              <w:rPr>
                <w:b/>
                <w:bCs/>
                <w:lang w:val="en-IE"/>
              </w:rPr>
              <w:t>DAC code(s)</w:t>
            </w:r>
            <w:r w:rsidRPr="003C0CD7">
              <w:rPr>
                <w:rStyle w:val="FootnoteReference"/>
                <w:lang w:val="en-IE"/>
              </w:rPr>
              <w:footnoteReference w:id="5"/>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6BEB7241" w14:textId="7F78E3F0" w:rsidR="00840E8C" w:rsidRPr="00CA22CD" w:rsidRDefault="00840E8C" w:rsidP="00CA22CD">
            <w:pPr>
              <w:pStyle w:val="Text1"/>
              <w:spacing w:after="0"/>
              <w:ind w:left="0" w:right="-25"/>
              <w:jc w:val="left"/>
              <w:rPr>
                <w:color w:val="000000"/>
                <w:lang w:eastAsia="en-GB"/>
              </w:rPr>
            </w:pPr>
            <w:r w:rsidRPr="00CA22CD">
              <w:rPr>
                <w:color w:val="000000"/>
                <w:lang w:eastAsia="en-GB"/>
              </w:rPr>
              <w:t>25010</w:t>
            </w:r>
            <w:r w:rsidRPr="00CA22CD">
              <w:rPr>
                <w:color w:val="000000"/>
                <w:lang w:eastAsia="en-GB"/>
              </w:rPr>
              <w:tab/>
              <w:t> </w:t>
            </w:r>
            <w:r w:rsidR="00445553">
              <w:rPr>
                <w:color w:val="000000"/>
                <w:lang w:eastAsia="en-GB"/>
              </w:rPr>
              <w:t xml:space="preserve">  </w:t>
            </w:r>
            <w:r w:rsidRPr="00CA22CD">
              <w:rPr>
                <w:color w:val="000000"/>
                <w:lang w:eastAsia="en-GB"/>
              </w:rPr>
              <w:t>Business policy and administration</w:t>
            </w:r>
            <w:r w:rsidR="00552633">
              <w:rPr>
                <w:color w:val="000000"/>
                <w:lang w:eastAsia="en-GB"/>
              </w:rPr>
              <w:t xml:space="preserve"> (48%)</w:t>
            </w:r>
          </w:p>
          <w:p w14:paraId="428B256B" w14:textId="345579AC" w:rsidR="00840E8C" w:rsidRPr="00CA22CD" w:rsidRDefault="00840E8C" w:rsidP="00CA22CD">
            <w:pPr>
              <w:tabs>
                <w:tab w:val="left" w:pos="913"/>
                <w:tab w:val="left" w:pos="1913"/>
              </w:tabs>
              <w:spacing w:before="120"/>
              <w:jc w:val="left"/>
              <w:rPr>
                <w:rFonts w:eastAsia="Times New Roman" w:cs="Times New Roman"/>
                <w:color w:val="000000"/>
                <w:szCs w:val="24"/>
                <w:lang w:eastAsia="en-GB"/>
              </w:rPr>
            </w:pPr>
            <w:r w:rsidRPr="00CA22CD">
              <w:rPr>
                <w:rFonts w:eastAsia="Times New Roman" w:cs="Times New Roman"/>
                <w:color w:val="000000"/>
                <w:szCs w:val="24"/>
                <w:lang w:eastAsia="en-GB"/>
              </w:rPr>
              <w:t>31110</w:t>
            </w:r>
            <w:r w:rsidR="00445553">
              <w:rPr>
                <w:rFonts w:eastAsia="Times New Roman" w:cs="Times New Roman"/>
                <w:color w:val="000000"/>
                <w:szCs w:val="24"/>
                <w:lang w:eastAsia="en-GB"/>
              </w:rPr>
              <w:t xml:space="preserve">     </w:t>
            </w:r>
            <w:r w:rsidRPr="00CA22CD">
              <w:rPr>
                <w:rFonts w:eastAsia="Times New Roman" w:cs="Times New Roman"/>
                <w:color w:val="000000"/>
                <w:szCs w:val="24"/>
                <w:lang w:eastAsia="en-GB"/>
              </w:rPr>
              <w:t>Agricultural policy and administrative management</w:t>
            </w:r>
            <w:r w:rsidR="00552633">
              <w:rPr>
                <w:rFonts w:eastAsia="Times New Roman" w:cs="Times New Roman"/>
                <w:color w:val="000000"/>
                <w:szCs w:val="24"/>
                <w:lang w:eastAsia="en-GB"/>
              </w:rPr>
              <w:t xml:space="preserve">  (19.6%)</w:t>
            </w:r>
          </w:p>
          <w:p w14:paraId="6F2752CF" w14:textId="4A7F360C" w:rsidR="00840E8C" w:rsidRPr="00CA22CD" w:rsidRDefault="00840E8C" w:rsidP="00CA22CD">
            <w:pPr>
              <w:tabs>
                <w:tab w:val="left" w:pos="913"/>
                <w:tab w:val="left" w:pos="1913"/>
              </w:tabs>
              <w:spacing w:before="120"/>
              <w:jc w:val="left"/>
              <w:rPr>
                <w:rFonts w:eastAsia="Times New Roman" w:cs="Times New Roman"/>
                <w:color w:val="000000"/>
                <w:szCs w:val="24"/>
                <w:lang w:eastAsia="en-GB"/>
              </w:rPr>
            </w:pPr>
            <w:r w:rsidRPr="00CA22CD">
              <w:rPr>
                <w:rFonts w:eastAsia="Times New Roman" w:cs="Times New Roman"/>
                <w:color w:val="000000"/>
                <w:szCs w:val="24"/>
                <w:lang w:eastAsia="en-GB"/>
              </w:rPr>
              <w:t>31192</w:t>
            </w:r>
            <w:r w:rsidRPr="00CA22CD">
              <w:rPr>
                <w:rFonts w:eastAsia="Times New Roman" w:cs="Times New Roman"/>
                <w:color w:val="000000"/>
                <w:szCs w:val="24"/>
                <w:lang w:eastAsia="en-GB"/>
              </w:rPr>
              <w:tab/>
              <w:t>Plant and post-harvest protection and pest control</w:t>
            </w:r>
            <w:r w:rsidR="00552633">
              <w:rPr>
                <w:rFonts w:eastAsia="Times New Roman" w:cs="Times New Roman"/>
                <w:color w:val="000000"/>
                <w:szCs w:val="24"/>
                <w:lang w:eastAsia="en-GB"/>
              </w:rPr>
              <w:t xml:space="preserve"> (13%)</w:t>
            </w:r>
          </w:p>
          <w:p w14:paraId="52A0C057" w14:textId="7F81CCE3" w:rsidR="00840E8C" w:rsidRPr="00CA22CD" w:rsidRDefault="00840E8C" w:rsidP="00CA22CD">
            <w:pPr>
              <w:tabs>
                <w:tab w:val="left" w:pos="913"/>
                <w:tab w:val="left" w:pos="1913"/>
              </w:tabs>
              <w:spacing w:before="120"/>
              <w:jc w:val="left"/>
              <w:rPr>
                <w:rFonts w:eastAsia="Times New Roman" w:cs="Times New Roman"/>
                <w:color w:val="000000"/>
                <w:szCs w:val="24"/>
                <w:lang w:eastAsia="en-GB"/>
              </w:rPr>
            </w:pPr>
            <w:r w:rsidRPr="00CA22CD">
              <w:rPr>
                <w:rFonts w:eastAsia="Times New Roman" w:cs="Times New Roman"/>
                <w:color w:val="000000"/>
                <w:szCs w:val="24"/>
                <w:lang w:eastAsia="en-GB"/>
              </w:rPr>
              <w:t>31195</w:t>
            </w:r>
            <w:r w:rsidRPr="00CA22CD">
              <w:rPr>
                <w:rFonts w:eastAsia="Times New Roman" w:cs="Times New Roman"/>
                <w:color w:val="000000"/>
                <w:szCs w:val="24"/>
                <w:lang w:eastAsia="en-GB"/>
              </w:rPr>
              <w:tab/>
              <w:t> Livestock/veterinary services</w:t>
            </w:r>
            <w:r w:rsidR="00552633">
              <w:rPr>
                <w:rFonts w:eastAsia="Times New Roman" w:cs="Times New Roman"/>
                <w:color w:val="000000"/>
                <w:szCs w:val="24"/>
                <w:lang w:eastAsia="en-GB"/>
              </w:rPr>
              <w:t xml:space="preserve"> (13%)</w:t>
            </w:r>
          </w:p>
          <w:p w14:paraId="19780C57" w14:textId="3B230EA3" w:rsidR="00840E8C" w:rsidRPr="00CA22CD" w:rsidRDefault="00840E8C" w:rsidP="00CA22CD">
            <w:pPr>
              <w:tabs>
                <w:tab w:val="left" w:pos="913"/>
                <w:tab w:val="left" w:pos="1913"/>
              </w:tabs>
              <w:spacing w:before="120"/>
              <w:jc w:val="left"/>
              <w:rPr>
                <w:rStyle w:val="CommentReference"/>
                <w:rFonts w:eastAsia="Times New Roman" w:cs="Times New Roman"/>
                <w:color w:val="000000"/>
                <w:sz w:val="24"/>
                <w:szCs w:val="24"/>
                <w:lang w:eastAsia="en-GB"/>
              </w:rPr>
            </w:pPr>
            <w:r w:rsidRPr="00CA22CD">
              <w:rPr>
                <w:rFonts w:eastAsia="Times New Roman" w:cs="Times New Roman"/>
                <w:color w:val="000000"/>
                <w:szCs w:val="24"/>
                <w:lang w:eastAsia="en-GB"/>
              </w:rPr>
              <w:t>31310</w:t>
            </w:r>
            <w:r w:rsidRPr="00CA22CD">
              <w:rPr>
                <w:rFonts w:eastAsia="Times New Roman" w:cs="Times New Roman"/>
                <w:color w:val="000000"/>
                <w:szCs w:val="24"/>
                <w:lang w:eastAsia="en-GB"/>
              </w:rPr>
              <w:tab/>
              <w:t> Fishing policy and administrative management</w:t>
            </w:r>
            <w:r w:rsidR="00552633">
              <w:rPr>
                <w:rFonts w:eastAsia="Times New Roman" w:cs="Times New Roman"/>
                <w:color w:val="000000"/>
                <w:szCs w:val="24"/>
                <w:lang w:eastAsia="en-GB"/>
              </w:rPr>
              <w:t xml:space="preserve"> (6,4%)</w:t>
            </w:r>
          </w:p>
          <w:p w14:paraId="54AEA79E" w14:textId="70A1287D" w:rsidR="00B7455C" w:rsidRPr="00CA22CD" w:rsidRDefault="00B7455C" w:rsidP="00CA22CD">
            <w:pPr>
              <w:jc w:val="left"/>
              <w:rPr>
                <w:rStyle w:val="FootnoteReference"/>
              </w:rPr>
            </w:pPr>
          </w:p>
        </w:tc>
      </w:tr>
      <w:tr w:rsidR="00433309" w:rsidRPr="008704EA" w14:paraId="07ACC19C"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6B4F9A24" w14:textId="77777777" w:rsidR="00433309" w:rsidRPr="003C0CD7" w:rsidRDefault="00433309" w:rsidP="00EA2398">
            <w:pPr>
              <w:pStyle w:val="Text1"/>
              <w:spacing w:before="0" w:after="0"/>
              <w:ind w:left="0"/>
              <w:jc w:val="left"/>
              <w:rPr>
                <w:b/>
                <w:bCs/>
                <w:lang w:val="en-IE"/>
              </w:rPr>
            </w:pPr>
            <w:r w:rsidRPr="003C0CD7">
              <w:rPr>
                <w:b/>
                <w:bCs/>
                <w:lang w:val="en-IE"/>
              </w:rPr>
              <w:t xml:space="preserve">Main Delivery   Channel </w:t>
            </w:r>
            <w:hyperlink r:id="rId9">
              <w:r w:rsidRPr="003C0CD7">
                <w:rPr>
                  <w:rStyle w:val="Hyperlink"/>
                  <w:b/>
                  <w:bCs/>
                  <w:lang w:val="en-IE"/>
                </w:rPr>
                <w:t>@</w:t>
              </w:r>
            </w:hyperlink>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13B7A7CB" w14:textId="356B874B" w:rsidR="00433309" w:rsidRPr="003C0CD7" w:rsidRDefault="00016A00">
            <w:pPr>
              <w:pStyle w:val="Text1"/>
              <w:spacing w:before="60" w:after="60"/>
              <w:ind w:left="0" w:right="-25"/>
              <w:jc w:val="left"/>
              <w:rPr>
                <w:i/>
                <w:highlight w:val="yellow"/>
                <w:lang w:val="en-IE" w:eastAsia="de-DE"/>
              </w:rPr>
            </w:pPr>
            <w:r w:rsidRPr="004F1EC1">
              <w:rPr>
                <w:lang w:eastAsia="de-DE"/>
              </w:rPr>
              <w:t>12000 - Recipient Government</w:t>
            </w:r>
            <w:r w:rsidRPr="003C0CD7" w:rsidDel="00016A00">
              <w:rPr>
                <w:highlight w:val="yellow"/>
                <w:lang w:val="en-IE" w:eastAsia="de-DE"/>
              </w:rPr>
              <w:t xml:space="preserve"> </w:t>
            </w:r>
          </w:p>
        </w:tc>
      </w:tr>
      <w:tr w:rsidR="00D10305" w:rsidRPr="00C85643" w14:paraId="014BC60E" w14:textId="77777777" w:rsidTr="001F110E">
        <w:tc>
          <w:tcPr>
            <w:tcW w:w="2330" w:type="dxa"/>
            <w:tcBorders>
              <w:top w:val="single" w:sz="4" w:space="0" w:color="auto"/>
              <w:left w:val="single" w:sz="4" w:space="0" w:color="auto"/>
              <w:bottom w:val="single" w:sz="4" w:space="0" w:color="auto"/>
              <w:right w:val="single" w:sz="4" w:space="0" w:color="auto"/>
            </w:tcBorders>
            <w:shd w:val="clear" w:color="auto" w:fill="auto"/>
          </w:tcPr>
          <w:p w14:paraId="098C2D41" w14:textId="77777777" w:rsidR="00D10305" w:rsidRPr="003C0CD7" w:rsidRDefault="00D10305" w:rsidP="00EA2398">
            <w:pPr>
              <w:pStyle w:val="Text1"/>
              <w:spacing w:before="0" w:after="0"/>
              <w:ind w:left="0"/>
              <w:jc w:val="left"/>
              <w:rPr>
                <w:b/>
                <w:bCs/>
                <w:lang w:val="en-IE"/>
              </w:rPr>
            </w:pPr>
            <w:r>
              <w:rPr>
                <w:b/>
                <w:bCs/>
                <w:lang w:val="en-IE"/>
              </w:rPr>
              <w:t>Targets</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583CAF65" w14:textId="07C1403B" w:rsidR="00D10305" w:rsidRPr="00D10305" w:rsidRDefault="00874D53" w:rsidP="00EA2398">
            <w:pPr>
              <w:pStyle w:val="Text1"/>
              <w:spacing w:before="60" w:after="60"/>
              <w:ind w:left="0" w:right="-25"/>
              <w:jc w:val="left"/>
              <w:rPr>
                <w:rFonts w:eastAsia="MS Gothic"/>
                <w:color w:val="0D0D0D" w:themeColor="text1" w:themeTint="F2"/>
                <w:lang w:val="en-IE"/>
              </w:rPr>
            </w:pPr>
            <w:sdt>
              <w:sdtPr>
                <w:rPr>
                  <w:rFonts w:eastAsia="MS Gothic"/>
                  <w:color w:val="0D0D0D" w:themeColor="text1" w:themeTint="F2"/>
                  <w:lang w:val="en-IE"/>
                </w:rPr>
                <w:id w:val="-1095621497"/>
                <w14:checkbox>
                  <w14:checked w14:val="1"/>
                  <w14:checkedState w14:val="2612" w14:font="MS Gothic"/>
                  <w14:uncheckedState w14:val="2610" w14:font="MS Gothic"/>
                </w14:checkbox>
              </w:sdtPr>
              <w:sdtEndPr/>
              <w:sdtContent>
                <w:r w:rsidR="002C3041">
                  <w:rPr>
                    <w:rFonts w:ascii="MS Gothic" w:eastAsia="MS Gothic" w:hAnsi="MS Gothic" w:cs="Segoe UI Symbol" w:hint="eastAsia"/>
                    <w:color w:val="0D0D0D" w:themeColor="text1" w:themeTint="F2"/>
                    <w:lang w:val="en-IE"/>
                  </w:rPr>
                  <w:t>☒</w:t>
                </w:r>
              </w:sdtContent>
            </w:sdt>
            <w:r w:rsidR="00D10305" w:rsidRPr="00C85643">
              <w:rPr>
                <w:rFonts w:eastAsia="MS Gothic"/>
                <w:color w:val="0D0D0D" w:themeColor="text1" w:themeTint="F2"/>
                <w:lang w:val="en-IE"/>
              </w:rPr>
              <w:t xml:space="preserve"> </w:t>
            </w:r>
            <w:r w:rsidR="00D10305" w:rsidRPr="00D10305">
              <w:rPr>
                <w:rFonts w:eastAsia="MS Gothic"/>
                <w:color w:val="0D0D0D" w:themeColor="text1" w:themeTint="F2"/>
                <w:lang w:val="en-IE"/>
              </w:rPr>
              <w:t>Climate</w:t>
            </w:r>
          </w:p>
          <w:p w14:paraId="2B2196CD" w14:textId="77777777" w:rsidR="00D10305" w:rsidRPr="00D10305" w:rsidRDefault="00874D53" w:rsidP="00EA2398">
            <w:pPr>
              <w:pStyle w:val="Text1"/>
              <w:spacing w:before="60" w:after="60"/>
              <w:ind w:left="0" w:right="-25"/>
              <w:jc w:val="left"/>
              <w:rPr>
                <w:rFonts w:eastAsia="MS Gothic"/>
                <w:color w:val="0D0D0D" w:themeColor="text1" w:themeTint="F2"/>
                <w:lang w:val="en-IE"/>
              </w:rPr>
            </w:pPr>
            <w:sdt>
              <w:sdtPr>
                <w:rPr>
                  <w:rFonts w:eastAsia="MS Gothic"/>
                  <w:color w:val="0D0D0D" w:themeColor="text1" w:themeTint="F2"/>
                  <w:lang w:val="en-IE"/>
                </w:rPr>
                <w:id w:val="461931768"/>
                <w14:checkbox>
                  <w14:checked w14:val="0"/>
                  <w14:checkedState w14:val="2612" w14:font="MS Gothic"/>
                  <w14:uncheckedState w14:val="2610" w14:font="MS Gothic"/>
                </w14:checkbox>
              </w:sdtPr>
              <w:sdtEndPr/>
              <w:sdtContent>
                <w:r w:rsidR="00D10305" w:rsidRPr="00C85643">
                  <w:rPr>
                    <w:rFonts w:ascii="Segoe UI Symbol" w:eastAsia="MS Gothic" w:hAnsi="Segoe UI Symbol" w:cs="Segoe UI Symbol"/>
                    <w:color w:val="0D0D0D" w:themeColor="text1" w:themeTint="F2"/>
                    <w:lang w:val="en-IE"/>
                  </w:rPr>
                  <w:t>☐</w:t>
                </w:r>
              </w:sdtContent>
            </w:sdt>
            <w:r w:rsidR="00D10305" w:rsidRPr="00C85643">
              <w:rPr>
                <w:rFonts w:eastAsia="MS Gothic"/>
                <w:color w:val="0D0D0D" w:themeColor="text1" w:themeTint="F2"/>
                <w:lang w:val="en-IE"/>
              </w:rPr>
              <w:t xml:space="preserve"> Gender</w:t>
            </w:r>
          </w:p>
          <w:p w14:paraId="42A2F989" w14:textId="77777777" w:rsidR="00D10305" w:rsidRPr="00D10305" w:rsidRDefault="00874D53" w:rsidP="00EA2398">
            <w:pPr>
              <w:pStyle w:val="Text1"/>
              <w:spacing w:before="60" w:after="60"/>
              <w:ind w:left="0" w:right="-25"/>
              <w:jc w:val="left"/>
              <w:rPr>
                <w:highlight w:val="yellow"/>
                <w:lang w:val="en-IE" w:eastAsia="de-DE"/>
              </w:rPr>
            </w:pPr>
            <w:sdt>
              <w:sdtPr>
                <w:rPr>
                  <w:rFonts w:eastAsia="MS Gothic"/>
                  <w:color w:val="0D0D0D" w:themeColor="text1" w:themeTint="F2"/>
                  <w:lang w:val="en-IE"/>
                </w:rPr>
                <w:id w:val="345524675"/>
                <w14:checkbox>
                  <w14:checked w14:val="0"/>
                  <w14:checkedState w14:val="2612" w14:font="MS Gothic"/>
                  <w14:uncheckedState w14:val="2610" w14:font="MS Gothic"/>
                </w14:checkbox>
              </w:sdtPr>
              <w:sdtEndPr/>
              <w:sdtContent>
                <w:r w:rsidR="00D10305" w:rsidRPr="00C85643">
                  <w:rPr>
                    <w:rFonts w:ascii="Segoe UI Symbol" w:eastAsia="MS Gothic" w:hAnsi="Segoe UI Symbol" w:cs="Segoe UI Symbol"/>
                    <w:color w:val="0D0D0D" w:themeColor="text1" w:themeTint="F2"/>
                    <w:lang w:val="en-IE"/>
                  </w:rPr>
                  <w:t>☐</w:t>
                </w:r>
              </w:sdtContent>
            </w:sdt>
            <w:r w:rsidR="00D10305" w:rsidRPr="00C85643">
              <w:rPr>
                <w:rFonts w:eastAsia="MS Gothic"/>
                <w:color w:val="0D0D0D" w:themeColor="text1" w:themeTint="F2"/>
                <w:lang w:val="en-IE"/>
              </w:rPr>
              <w:t xml:space="preserve"> Biodiversity</w:t>
            </w:r>
          </w:p>
        </w:tc>
      </w:tr>
      <w:tr w:rsidR="00433309" w:rsidRPr="008704EA" w14:paraId="3E41C58B" w14:textId="77777777" w:rsidTr="00C85643">
        <w:trPr>
          <w:trHeight w:val="45"/>
        </w:trPr>
        <w:tc>
          <w:tcPr>
            <w:tcW w:w="2330" w:type="dxa"/>
            <w:vMerge w:val="restart"/>
            <w:tcBorders>
              <w:top w:val="single" w:sz="4" w:space="0" w:color="auto"/>
              <w:left w:val="single" w:sz="4" w:space="0" w:color="auto"/>
              <w:right w:val="single" w:sz="4" w:space="0" w:color="auto"/>
            </w:tcBorders>
            <w:shd w:val="clear" w:color="auto" w:fill="auto"/>
          </w:tcPr>
          <w:p w14:paraId="52F9ACED" w14:textId="77777777" w:rsidR="00433309" w:rsidRPr="003C0CD7" w:rsidRDefault="00433309" w:rsidP="00EA2398">
            <w:pPr>
              <w:rPr>
                <w:rFonts w:cs="Times New Roman"/>
                <w:color w:val="0D0D0D" w:themeColor="text1" w:themeTint="F2"/>
                <w:szCs w:val="24"/>
                <w:lang w:val="en-IE"/>
              </w:rPr>
            </w:pPr>
            <w:r w:rsidRPr="003C0CD7">
              <w:rPr>
                <w:rFonts w:cs="Times New Roman"/>
                <w:b/>
                <w:bCs/>
                <w:color w:val="0D0D0D" w:themeColor="text1" w:themeTint="F2"/>
                <w:szCs w:val="24"/>
                <w:lang w:val="en-IE"/>
              </w:rPr>
              <w:t>Markers</w:t>
            </w:r>
            <w:r w:rsidRPr="003C0CD7">
              <w:rPr>
                <w:rStyle w:val="FootnoteReference"/>
                <w:rFonts w:eastAsia="Times New Roman" w:cs="Times New Roman"/>
                <w:b/>
                <w:bCs/>
                <w:color w:val="0D0D0D" w:themeColor="text1" w:themeTint="F2"/>
                <w:szCs w:val="24"/>
                <w:lang w:val="en-IE"/>
              </w:rPr>
              <w:footnoteReference w:id="6"/>
            </w:r>
          </w:p>
          <w:p w14:paraId="4F6BCF86" w14:textId="77777777" w:rsidR="00433309" w:rsidRPr="003C0CD7" w:rsidRDefault="00433309" w:rsidP="00EA2398">
            <w:pPr>
              <w:pStyle w:val="Text1"/>
              <w:spacing w:before="0" w:after="0"/>
              <w:ind w:left="0"/>
              <w:jc w:val="left"/>
              <w:rPr>
                <w:b/>
                <w:bCs/>
                <w:lang w:val="en-IE"/>
              </w:rPr>
            </w:pPr>
            <w:r w:rsidRPr="003C0CD7">
              <w:rPr>
                <w:b/>
                <w:color w:val="0D0D0D" w:themeColor="text1" w:themeTint="F2"/>
                <w:lang w:val="en-IE"/>
              </w:rPr>
              <w:t>(from DAC form)</w:t>
            </w: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76051B4C" w14:textId="77777777" w:rsidR="00433309" w:rsidRPr="003C0CD7" w:rsidRDefault="00433309" w:rsidP="00EA2398">
            <w:pPr>
              <w:pStyle w:val="Text1"/>
              <w:spacing w:before="60" w:after="60"/>
              <w:ind w:left="0" w:right="-25"/>
              <w:jc w:val="left"/>
              <w:rPr>
                <w:highlight w:val="yellow"/>
                <w:lang w:val="en-IE" w:eastAsia="de-DE"/>
              </w:rPr>
            </w:pPr>
            <w:r w:rsidRPr="003C0CD7">
              <w:rPr>
                <w:b/>
                <w:color w:val="0D0D0D" w:themeColor="text1" w:themeTint="F2"/>
                <w:lang w:val="en-IE"/>
              </w:rPr>
              <w:t xml:space="preserve">General policy objective </w:t>
            </w:r>
            <w:hyperlink r:id="rId10" w:history="1">
              <w:r w:rsidRPr="003C0CD7">
                <w:rPr>
                  <w:rStyle w:val="Hyperlink"/>
                  <w:lang w:val="en-IE"/>
                </w:rPr>
                <w:t>@</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F527B9" w14:textId="77777777" w:rsidR="00433309" w:rsidRPr="003C0CD7" w:rsidRDefault="00433309" w:rsidP="00EA2398">
            <w:pPr>
              <w:pStyle w:val="Text1"/>
              <w:spacing w:before="60" w:after="60"/>
              <w:ind w:left="0" w:right="-25"/>
              <w:jc w:val="left"/>
              <w:rPr>
                <w:highlight w:val="yellow"/>
                <w:lang w:val="en-IE" w:eastAsia="de-DE"/>
              </w:rPr>
            </w:pPr>
            <w:r w:rsidRPr="003C0CD7">
              <w:rPr>
                <w:b/>
                <w:color w:val="0D0D0D" w:themeColor="text1" w:themeTint="F2"/>
                <w:lang w:val="en-IE"/>
              </w:rPr>
              <w:t>Not targeted</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2401BA74" w14:textId="77777777" w:rsidR="00433309" w:rsidRPr="003C0CD7" w:rsidRDefault="00433309" w:rsidP="00EA2398">
            <w:pPr>
              <w:pStyle w:val="Text1"/>
              <w:spacing w:before="60" w:after="60"/>
              <w:ind w:left="0" w:right="-25"/>
              <w:jc w:val="left"/>
              <w:rPr>
                <w:highlight w:val="yellow"/>
                <w:lang w:val="en-IE" w:eastAsia="de-DE"/>
              </w:rPr>
            </w:pPr>
            <w:r w:rsidRPr="003C0CD7">
              <w:rPr>
                <w:b/>
                <w:color w:val="0D0D0D" w:themeColor="text1" w:themeTint="F2"/>
                <w:lang w:val="en-IE"/>
              </w:rPr>
              <w:t>Significant objective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5AAA3C" w14:textId="77777777" w:rsidR="00433309" w:rsidRPr="003C0CD7" w:rsidRDefault="00433309" w:rsidP="00EA2398">
            <w:pPr>
              <w:pStyle w:val="Text1"/>
              <w:spacing w:before="60" w:after="60"/>
              <w:ind w:left="0" w:right="-25"/>
              <w:jc w:val="left"/>
              <w:rPr>
                <w:highlight w:val="yellow"/>
                <w:lang w:val="en-IE" w:eastAsia="de-DE"/>
              </w:rPr>
            </w:pPr>
            <w:r w:rsidRPr="003C0CD7">
              <w:rPr>
                <w:b/>
                <w:color w:val="0D0D0D" w:themeColor="text1" w:themeTint="F2"/>
                <w:lang w:val="en-IE"/>
              </w:rPr>
              <w:t>Principal objective</w:t>
            </w:r>
          </w:p>
        </w:tc>
      </w:tr>
      <w:tr w:rsidR="00433309" w:rsidRPr="008704EA" w14:paraId="48A49695" w14:textId="77777777" w:rsidTr="00C85643">
        <w:trPr>
          <w:trHeight w:val="40"/>
        </w:trPr>
        <w:tc>
          <w:tcPr>
            <w:tcW w:w="2330" w:type="dxa"/>
            <w:vMerge/>
            <w:tcBorders>
              <w:left w:val="single" w:sz="4" w:space="0" w:color="auto"/>
              <w:right w:val="single" w:sz="4" w:space="0" w:color="auto"/>
            </w:tcBorders>
            <w:shd w:val="clear" w:color="auto" w:fill="auto"/>
          </w:tcPr>
          <w:p w14:paraId="7C44482C" w14:textId="77777777" w:rsidR="00433309" w:rsidRPr="003C0CD7" w:rsidRDefault="00433309" w:rsidP="00EA2398">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6291C8A7" w14:textId="77777777" w:rsidR="00433309" w:rsidRPr="003C0CD7" w:rsidRDefault="00433309" w:rsidP="00EA2398">
            <w:pPr>
              <w:pStyle w:val="Text1"/>
              <w:spacing w:before="60" w:after="60"/>
              <w:ind w:left="0" w:right="-25"/>
              <w:jc w:val="left"/>
              <w:rPr>
                <w:highlight w:val="yellow"/>
                <w:lang w:val="en-IE" w:eastAsia="de-DE"/>
              </w:rPr>
            </w:pPr>
            <w:r w:rsidRPr="003C0CD7">
              <w:rPr>
                <w:color w:val="0D0D0D" w:themeColor="text1" w:themeTint="F2"/>
                <w:lang w:val="en-IE"/>
              </w:rPr>
              <w:t>Participation development/good governance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CB9480" w14:textId="77777777" w:rsidR="00433309"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205889742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560CA035" w14:textId="77777777" w:rsidR="00433309"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3984583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6AE373" w14:textId="521B8A67" w:rsidR="00433309"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096832528"/>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lang w:val="en-IE"/>
                  </w:rPr>
                  <w:t>☒</w:t>
                </w:r>
              </w:sdtContent>
            </w:sdt>
          </w:p>
        </w:tc>
      </w:tr>
      <w:tr w:rsidR="00433309" w:rsidRPr="008704EA" w14:paraId="649B989F" w14:textId="77777777" w:rsidTr="00C85643">
        <w:trPr>
          <w:trHeight w:val="40"/>
        </w:trPr>
        <w:tc>
          <w:tcPr>
            <w:tcW w:w="2330" w:type="dxa"/>
            <w:vMerge/>
            <w:tcBorders>
              <w:left w:val="single" w:sz="4" w:space="0" w:color="auto"/>
              <w:right w:val="single" w:sz="4" w:space="0" w:color="auto"/>
            </w:tcBorders>
            <w:shd w:val="clear" w:color="auto" w:fill="auto"/>
          </w:tcPr>
          <w:p w14:paraId="6D31A9DE" w14:textId="77777777" w:rsidR="00433309" w:rsidRPr="003C0CD7" w:rsidRDefault="00433309" w:rsidP="00EA2398">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254E9E64" w14:textId="77777777" w:rsidR="00433309" w:rsidRPr="003C0CD7" w:rsidRDefault="00433309" w:rsidP="00EA2398">
            <w:pPr>
              <w:pStyle w:val="Text1"/>
              <w:spacing w:before="60" w:after="60"/>
              <w:ind w:left="0" w:right="-25"/>
              <w:jc w:val="left"/>
              <w:rPr>
                <w:highlight w:val="yellow"/>
                <w:lang w:val="en-IE" w:eastAsia="de-DE"/>
              </w:rPr>
            </w:pPr>
            <w:r w:rsidRPr="003C0CD7">
              <w:rPr>
                <w:color w:val="0D0D0D" w:themeColor="text1" w:themeTint="F2"/>
                <w:lang w:val="en-IE"/>
              </w:rPr>
              <w:t>Aid to environment</w:t>
            </w:r>
            <w:r w:rsidR="00C146A2">
              <w:rPr>
                <w:color w:val="0D0D0D" w:themeColor="text1" w:themeTint="F2"/>
                <w:lang w:val="en-IE"/>
              </w:rPr>
              <w:t xml:space="preserve"> </w:t>
            </w:r>
            <w:hyperlink r:id="rId11" w:history="1">
              <w:r w:rsidR="00C146A2">
                <w:rPr>
                  <w:rStyle w:val="Hyperlink"/>
                </w:rPr>
                <w:t>@</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1F15CE" w14:textId="77777777" w:rsidR="00433309"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46379216"/>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7945182" w14:textId="77777777" w:rsidR="00433309"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936637440"/>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07C19E" w14:textId="48C3078B" w:rsidR="00433309"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205995485"/>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lang w:val="en-IE"/>
                  </w:rPr>
                  <w:t>☒</w:t>
                </w:r>
              </w:sdtContent>
            </w:sdt>
          </w:p>
        </w:tc>
      </w:tr>
      <w:tr w:rsidR="00D310C3" w:rsidRPr="008704EA" w14:paraId="5E984A43" w14:textId="77777777" w:rsidTr="00C85643">
        <w:trPr>
          <w:trHeight w:val="638"/>
        </w:trPr>
        <w:tc>
          <w:tcPr>
            <w:tcW w:w="2330" w:type="dxa"/>
            <w:vMerge/>
            <w:tcBorders>
              <w:left w:val="single" w:sz="4" w:space="0" w:color="auto"/>
              <w:right w:val="single" w:sz="4" w:space="0" w:color="auto"/>
            </w:tcBorders>
            <w:shd w:val="clear" w:color="auto" w:fill="auto"/>
          </w:tcPr>
          <w:p w14:paraId="403AFDE1" w14:textId="77777777" w:rsidR="00D310C3" w:rsidRPr="003C0CD7" w:rsidRDefault="00D310C3" w:rsidP="00EA2398">
            <w:pPr>
              <w:rPr>
                <w:rFonts w:cs="Times New Roman"/>
                <w:b/>
                <w:bCs/>
                <w:color w:val="0D0D0D" w:themeColor="text1" w:themeTint="F2"/>
                <w:szCs w:val="24"/>
                <w:lang w:val="en-IE"/>
              </w:rPr>
            </w:pPr>
          </w:p>
        </w:tc>
        <w:tc>
          <w:tcPr>
            <w:tcW w:w="3482" w:type="dxa"/>
            <w:tcBorders>
              <w:top w:val="single" w:sz="4" w:space="0" w:color="auto"/>
              <w:left w:val="single" w:sz="4" w:space="0" w:color="auto"/>
              <w:right w:val="single" w:sz="4" w:space="0" w:color="auto"/>
            </w:tcBorders>
            <w:shd w:val="clear" w:color="auto" w:fill="auto"/>
          </w:tcPr>
          <w:p w14:paraId="322A6CB7" w14:textId="77777777" w:rsidR="00D310C3" w:rsidRPr="003C0CD7" w:rsidRDefault="00D310C3" w:rsidP="00EA2398">
            <w:pPr>
              <w:pStyle w:val="Text1"/>
              <w:spacing w:before="60" w:after="60"/>
              <w:ind w:left="0" w:right="-25"/>
              <w:jc w:val="left"/>
              <w:rPr>
                <w:highlight w:val="yellow"/>
                <w:lang w:val="en-IE" w:eastAsia="de-DE"/>
              </w:rPr>
            </w:pPr>
            <w:r w:rsidRPr="003C0CD7">
              <w:rPr>
                <w:color w:val="0D0D0D" w:themeColor="text1" w:themeTint="F2"/>
                <w:lang w:val="en-IE"/>
              </w:rPr>
              <w:t>Gender equality and women’s and girl’s empowerment</w:t>
            </w:r>
          </w:p>
        </w:tc>
        <w:tc>
          <w:tcPr>
            <w:tcW w:w="1559" w:type="dxa"/>
            <w:tcBorders>
              <w:top w:val="single" w:sz="4" w:space="0" w:color="auto"/>
              <w:left w:val="single" w:sz="4" w:space="0" w:color="auto"/>
              <w:right w:val="single" w:sz="4" w:space="0" w:color="auto"/>
            </w:tcBorders>
            <w:shd w:val="clear" w:color="auto" w:fill="auto"/>
          </w:tcPr>
          <w:p w14:paraId="2099895D" w14:textId="77777777" w:rsidR="00D310C3"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896649658"/>
                <w14:checkbox>
                  <w14:checked w14:val="0"/>
                  <w14:checkedState w14:val="2612" w14:font="MS Gothic"/>
                  <w14:uncheckedState w14:val="2610" w14:font="MS Gothic"/>
                </w14:checkbox>
              </w:sdtPr>
              <w:sdtEndPr/>
              <w:sdtContent>
                <w:r w:rsidR="00D310C3"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right w:val="single" w:sz="4" w:space="0" w:color="auto"/>
            </w:tcBorders>
            <w:shd w:val="clear" w:color="auto" w:fill="auto"/>
          </w:tcPr>
          <w:p w14:paraId="3D37894E" w14:textId="533A16C7" w:rsidR="00D310C3"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351844034"/>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lang w:val="en-IE"/>
                  </w:rPr>
                  <w:t>☒</w:t>
                </w:r>
              </w:sdtContent>
            </w:sdt>
          </w:p>
        </w:tc>
        <w:tc>
          <w:tcPr>
            <w:tcW w:w="1701" w:type="dxa"/>
            <w:tcBorders>
              <w:top w:val="single" w:sz="4" w:space="0" w:color="auto"/>
              <w:left w:val="single" w:sz="4" w:space="0" w:color="auto"/>
              <w:right w:val="single" w:sz="4" w:space="0" w:color="auto"/>
            </w:tcBorders>
            <w:shd w:val="clear" w:color="auto" w:fill="auto"/>
          </w:tcPr>
          <w:p w14:paraId="169B4AFB" w14:textId="77777777" w:rsidR="00D310C3"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800831899"/>
                <w14:checkbox>
                  <w14:checked w14:val="0"/>
                  <w14:checkedState w14:val="2612" w14:font="MS Gothic"/>
                  <w14:uncheckedState w14:val="2610" w14:font="MS Gothic"/>
                </w14:checkbox>
              </w:sdtPr>
              <w:sdtEndPr/>
              <w:sdtContent>
                <w:r w:rsidR="00D310C3" w:rsidRPr="003C0CD7">
                  <w:rPr>
                    <w:rFonts w:ascii="MS Gothic" w:eastAsia="MS Gothic" w:hAnsi="MS Gothic" w:cs="Segoe UI Symbol"/>
                    <w:color w:val="0D0D0D" w:themeColor="text1" w:themeTint="F2"/>
                    <w:lang w:val="en-IE"/>
                  </w:rPr>
                  <w:t>☐</w:t>
                </w:r>
              </w:sdtContent>
            </w:sdt>
          </w:p>
        </w:tc>
      </w:tr>
      <w:tr w:rsidR="00433309" w:rsidRPr="008704EA" w14:paraId="022EBB68" w14:textId="77777777" w:rsidTr="00C85643">
        <w:trPr>
          <w:trHeight w:val="40"/>
        </w:trPr>
        <w:tc>
          <w:tcPr>
            <w:tcW w:w="2330" w:type="dxa"/>
            <w:vMerge/>
            <w:tcBorders>
              <w:left w:val="single" w:sz="4" w:space="0" w:color="auto"/>
              <w:right w:val="single" w:sz="4" w:space="0" w:color="auto"/>
            </w:tcBorders>
            <w:shd w:val="clear" w:color="auto" w:fill="auto"/>
          </w:tcPr>
          <w:p w14:paraId="1365C655" w14:textId="77777777" w:rsidR="00433309" w:rsidRPr="003C0CD7" w:rsidRDefault="00433309" w:rsidP="00EA2398">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42766420" w14:textId="77777777" w:rsidR="00433309" w:rsidRPr="003C0CD7" w:rsidRDefault="00433309" w:rsidP="00EA2398">
            <w:pPr>
              <w:pStyle w:val="Text1"/>
              <w:spacing w:before="60" w:after="60"/>
              <w:ind w:left="0" w:right="-25"/>
              <w:jc w:val="left"/>
              <w:rPr>
                <w:highlight w:val="yellow"/>
                <w:lang w:val="en-IE" w:eastAsia="de-DE"/>
              </w:rPr>
            </w:pPr>
            <w:r w:rsidRPr="003C0CD7">
              <w:rPr>
                <w:color w:val="0D0D0D" w:themeColor="text1" w:themeTint="F2"/>
                <w:lang w:val="en-IE"/>
              </w:rPr>
              <w:t>Reproductive, maternal, new-born and child health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EBF0C6" w14:textId="0C282F1F" w:rsidR="00433309"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409768690"/>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080AAE8" w14:textId="77777777" w:rsidR="00433309"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08938036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294AFE" w14:textId="77777777" w:rsidR="00433309"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313145762"/>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4CBE52E2" w14:textId="77777777" w:rsidTr="00C85643">
        <w:trPr>
          <w:trHeight w:val="40"/>
        </w:trPr>
        <w:tc>
          <w:tcPr>
            <w:tcW w:w="2330" w:type="dxa"/>
            <w:vMerge/>
            <w:tcBorders>
              <w:left w:val="single" w:sz="4" w:space="0" w:color="auto"/>
              <w:right w:val="single" w:sz="4" w:space="0" w:color="auto"/>
            </w:tcBorders>
            <w:shd w:val="clear" w:color="auto" w:fill="auto"/>
          </w:tcPr>
          <w:p w14:paraId="55D8430C" w14:textId="77777777" w:rsidR="00433309" w:rsidRPr="003C0CD7" w:rsidRDefault="00433309" w:rsidP="00EA2398">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6490FB07" w14:textId="77777777" w:rsidR="00433309" w:rsidRPr="003C0CD7" w:rsidRDefault="00433309" w:rsidP="00EA2398">
            <w:pPr>
              <w:pStyle w:val="Text1"/>
              <w:spacing w:before="60" w:after="60"/>
              <w:ind w:left="0" w:right="-25"/>
              <w:jc w:val="left"/>
              <w:rPr>
                <w:highlight w:val="yellow"/>
                <w:lang w:val="en-IE" w:eastAsia="de-DE"/>
              </w:rPr>
            </w:pPr>
            <w:r w:rsidRPr="003C0CD7">
              <w:rPr>
                <w:color w:val="0D0D0D" w:themeColor="text1" w:themeTint="F2"/>
                <w:lang w:val="en-IE"/>
              </w:rPr>
              <w:t>Disaster Risk Reduction</w:t>
            </w:r>
            <w:r w:rsidR="00C146A2">
              <w:rPr>
                <w:color w:val="0D0D0D" w:themeColor="text1" w:themeTint="F2"/>
                <w:lang w:val="en-IE"/>
              </w:rPr>
              <w:t xml:space="preserve"> </w:t>
            </w:r>
            <w:hyperlink r:id="rId12" w:history="1">
              <w:r w:rsidR="00C146A2">
                <w:rPr>
                  <w:rStyle w:val="Hyperlink"/>
                </w:rPr>
                <w:t>@</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FB19F4" w14:textId="3A9323B4" w:rsidR="00433309"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435281165"/>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41F7A62" w14:textId="77777777" w:rsidR="00433309"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901362246"/>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A6EC27" w14:textId="77777777" w:rsidR="00433309"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927850657"/>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3132178E" w14:textId="77777777" w:rsidTr="00C85643">
        <w:trPr>
          <w:trHeight w:val="40"/>
        </w:trPr>
        <w:tc>
          <w:tcPr>
            <w:tcW w:w="2330" w:type="dxa"/>
            <w:vMerge/>
            <w:tcBorders>
              <w:left w:val="single" w:sz="4" w:space="0" w:color="auto"/>
              <w:right w:val="single" w:sz="4" w:space="0" w:color="auto"/>
            </w:tcBorders>
            <w:shd w:val="clear" w:color="auto" w:fill="auto"/>
          </w:tcPr>
          <w:p w14:paraId="3C7E8337" w14:textId="77777777" w:rsidR="00433309" w:rsidRPr="003C0CD7" w:rsidRDefault="00433309" w:rsidP="00EA2398">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tbl>
            <w:tblPr>
              <w:tblW w:w="3374" w:type="dxa"/>
              <w:tblCellSpacing w:w="0" w:type="dxa"/>
              <w:tblLayout w:type="fixed"/>
              <w:tblCellMar>
                <w:left w:w="0" w:type="dxa"/>
                <w:right w:w="0" w:type="dxa"/>
              </w:tblCellMar>
              <w:tblLook w:val="04A0" w:firstRow="1" w:lastRow="0" w:firstColumn="1" w:lastColumn="0" w:noHBand="0" w:noVBand="1"/>
            </w:tblPr>
            <w:tblGrid>
              <w:gridCol w:w="3374"/>
            </w:tblGrid>
            <w:tr w:rsidR="00433309" w:rsidRPr="008704EA" w14:paraId="77DE60C0" w14:textId="77777777" w:rsidTr="00A73AD0">
              <w:trPr>
                <w:tblCellSpacing w:w="0" w:type="dxa"/>
              </w:trPr>
              <w:tc>
                <w:tcPr>
                  <w:tcW w:w="5000" w:type="pct"/>
                  <w:vAlign w:val="center"/>
                </w:tcPr>
                <w:p w14:paraId="5C7CAA06" w14:textId="77777777" w:rsidR="00433309" w:rsidRPr="003C0CD7" w:rsidRDefault="00433309" w:rsidP="00EA2398">
                  <w:pPr>
                    <w:pStyle w:val="Text1"/>
                    <w:spacing w:before="0" w:after="0"/>
                    <w:ind w:left="0" w:right="-91"/>
                    <w:jc w:val="left"/>
                    <w:rPr>
                      <w:color w:val="0D0D0D" w:themeColor="text1" w:themeTint="F2"/>
                      <w:lang w:val="en-IE"/>
                    </w:rPr>
                  </w:pPr>
                  <w:r w:rsidRPr="003C0CD7">
                    <w:rPr>
                      <w:color w:val="0D0D0D" w:themeColor="text1" w:themeTint="F2"/>
                      <w:lang w:val="en-IE"/>
                    </w:rPr>
                    <w:t xml:space="preserve">Inclusion of persons with </w:t>
                  </w:r>
                </w:p>
                <w:p w14:paraId="3593883D" w14:textId="77777777" w:rsidR="00433309" w:rsidRPr="003C0CD7" w:rsidRDefault="00433309" w:rsidP="00EA2398">
                  <w:pPr>
                    <w:pStyle w:val="Text1"/>
                    <w:spacing w:before="0" w:after="0"/>
                    <w:ind w:left="0" w:right="-91"/>
                    <w:jc w:val="left"/>
                    <w:rPr>
                      <w:color w:val="0D0D0D" w:themeColor="text1" w:themeTint="F2"/>
                      <w:lang w:val="en-IE"/>
                    </w:rPr>
                  </w:pPr>
                  <w:r w:rsidRPr="003C0CD7">
                    <w:rPr>
                      <w:color w:val="0D0D0D" w:themeColor="text1" w:themeTint="F2"/>
                      <w:lang w:val="en-IE"/>
                    </w:rPr>
                    <w:t>Disabilities</w:t>
                  </w:r>
                </w:p>
              </w:tc>
            </w:tr>
          </w:tbl>
          <w:p w14:paraId="2932A8BA" w14:textId="77777777" w:rsidR="00433309" w:rsidRPr="003C0CD7" w:rsidRDefault="00433309" w:rsidP="00EA2398">
            <w:pPr>
              <w:pStyle w:val="Text1"/>
              <w:spacing w:before="60" w:after="60"/>
              <w:ind w:left="0" w:right="-25"/>
              <w:jc w:val="left"/>
              <w:rPr>
                <w:highlight w:val="yellow"/>
                <w:lang w:val="en-IE" w:eastAsia="de-D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7FAE88" w14:textId="18713931" w:rsidR="00433309"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292835294"/>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18574B69" w14:textId="77777777" w:rsidR="00433309"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968540613"/>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F4B0DE" w14:textId="77777777" w:rsidR="00433309"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722557655"/>
                <w14:checkbox>
                  <w14:checked w14:val="0"/>
                  <w14:checkedState w14:val="2612" w14:font="MS Gothic"/>
                  <w14:uncheckedState w14:val="2610" w14:font="MS Gothic"/>
                </w14:checkbox>
              </w:sdtPr>
              <w:sdtEndPr/>
              <w:sdtContent>
                <w:r w:rsidR="00A7344E">
                  <w:rPr>
                    <w:rFonts w:ascii="MS Gothic" w:eastAsia="MS Gothic" w:hAnsi="MS Gothic" w:cs="Segoe UI Symbol" w:hint="eastAsia"/>
                    <w:color w:val="0D0D0D" w:themeColor="text1" w:themeTint="F2"/>
                    <w:lang w:val="en-IE"/>
                  </w:rPr>
                  <w:t>☐</w:t>
                </w:r>
              </w:sdtContent>
            </w:sdt>
          </w:p>
        </w:tc>
      </w:tr>
      <w:tr w:rsidR="00433309" w:rsidRPr="008704EA" w14:paraId="753BD524" w14:textId="77777777" w:rsidTr="00C85643">
        <w:trPr>
          <w:trHeight w:val="40"/>
        </w:trPr>
        <w:tc>
          <w:tcPr>
            <w:tcW w:w="2330" w:type="dxa"/>
            <w:vMerge/>
            <w:tcBorders>
              <w:left w:val="single" w:sz="4" w:space="0" w:color="auto"/>
              <w:right w:val="single" w:sz="4" w:space="0" w:color="auto"/>
            </w:tcBorders>
            <w:shd w:val="clear" w:color="auto" w:fill="auto"/>
          </w:tcPr>
          <w:p w14:paraId="69BE736E" w14:textId="77777777" w:rsidR="00433309" w:rsidRPr="003C0CD7" w:rsidRDefault="00433309" w:rsidP="00EA2398">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4A5F42CA" w14:textId="77777777" w:rsidR="00433309" w:rsidRPr="003C0CD7" w:rsidRDefault="00433309" w:rsidP="00EA2398">
            <w:pPr>
              <w:pStyle w:val="Text1"/>
              <w:spacing w:before="60" w:after="60"/>
              <w:ind w:left="0" w:right="-25"/>
              <w:jc w:val="left"/>
              <w:rPr>
                <w:highlight w:val="yellow"/>
                <w:lang w:val="en-IE" w:eastAsia="de-DE"/>
              </w:rPr>
            </w:pPr>
            <w:r w:rsidRPr="003C0CD7">
              <w:rPr>
                <w:color w:val="0D0D0D" w:themeColor="text1" w:themeTint="F2"/>
                <w:lang w:val="en-IE"/>
              </w:rPr>
              <w:t>Nutrition</w:t>
            </w:r>
            <w:r w:rsidRPr="003C0CD7">
              <w:rPr>
                <w:rStyle w:val="FootnoteReference"/>
                <w:color w:val="0D0D0D" w:themeColor="text1" w:themeTint="F2"/>
                <w:lang w:val="en-IE"/>
              </w:rPr>
              <w:footnoteReference w:id="7"/>
            </w:r>
            <w:r w:rsidR="00C146A2">
              <w:rPr>
                <w:color w:val="0D0D0D" w:themeColor="text1" w:themeTint="F2"/>
                <w:lang w:val="en-IE"/>
              </w:rPr>
              <w:t xml:space="preserve"> </w:t>
            </w:r>
            <w:hyperlink r:id="rId13" w:history="1">
              <w:r w:rsidR="00C146A2">
                <w:rPr>
                  <w:rStyle w:val="Hyperlink"/>
                </w:rPr>
                <w:t>@</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921494" w14:textId="1E8E9D0B" w:rsidR="00433309"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655291242"/>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562C3965" w14:textId="77777777" w:rsidR="00433309"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636483973"/>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A2CA67" w14:textId="77777777" w:rsidR="00433309"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510444880"/>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04D35538" w14:textId="77777777" w:rsidTr="00C85643">
        <w:trPr>
          <w:trHeight w:val="40"/>
        </w:trPr>
        <w:tc>
          <w:tcPr>
            <w:tcW w:w="2330" w:type="dxa"/>
            <w:vMerge/>
            <w:tcBorders>
              <w:left w:val="single" w:sz="4" w:space="0" w:color="auto"/>
              <w:right w:val="single" w:sz="4" w:space="0" w:color="auto"/>
            </w:tcBorders>
            <w:shd w:val="clear" w:color="auto" w:fill="auto"/>
          </w:tcPr>
          <w:p w14:paraId="136CAC82" w14:textId="77777777" w:rsidR="00433309" w:rsidRPr="003C0CD7" w:rsidRDefault="00433309" w:rsidP="00EA2398">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4B22B664" w14:textId="77777777" w:rsidR="00433309" w:rsidRPr="003C0CD7" w:rsidRDefault="00433309" w:rsidP="00EA2398">
            <w:pPr>
              <w:pStyle w:val="Text1"/>
              <w:spacing w:before="60" w:after="60"/>
              <w:ind w:left="0" w:right="-25"/>
              <w:jc w:val="left"/>
              <w:rPr>
                <w:highlight w:val="yellow"/>
                <w:lang w:val="en-IE" w:eastAsia="de-DE"/>
              </w:rPr>
            </w:pPr>
            <w:r w:rsidRPr="003C0CD7">
              <w:rPr>
                <w:b/>
                <w:color w:val="0D0D0D" w:themeColor="text1" w:themeTint="F2"/>
                <w:lang w:val="en-IE"/>
              </w:rPr>
              <w:t xml:space="preserve">RIO Convention markers </w:t>
            </w:r>
            <w:hyperlink r:id="rId14" w:history="1">
              <w:r w:rsidRPr="003C0CD7">
                <w:rPr>
                  <w:rStyle w:val="Hyperlink"/>
                  <w:lang w:val="en-IE"/>
                </w:rPr>
                <w:t>@</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BBF8E4" w14:textId="77777777" w:rsidR="00433309" w:rsidRPr="003C0CD7" w:rsidRDefault="00433309" w:rsidP="00EA2398">
            <w:pPr>
              <w:pStyle w:val="Text1"/>
              <w:spacing w:before="60" w:after="60"/>
              <w:ind w:left="0" w:right="-25"/>
              <w:jc w:val="left"/>
              <w:rPr>
                <w:highlight w:val="yellow"/>
                <w:lang w:val="en-IE" w:eastAsia="de-DE"/>
              </w:rPr>
            </w:pPr>
            <w:r w:rsidRPr="003C0CD7">
              <w:rPr>
                <w:b/>
                <w:color w:val="0D0D0D" w:themeColor="text1" w:themeTint="F2"/>
                <w:lang w:val="en-IE"/>
              </w:rPr>
              <w:t>Not targeted</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F47FF24" w14:textId="77777777" w:rsidR="00433309" w:rsidRPr="003C0CD7" w:rsidRDefault="00433309" w:rsidP="00EA2398">
            <w:pPr>
              <w:pStyle w:val="Text1"/>
              <w:spacing w:before="60" w:after="60"/>
              <w:ind w:left="0" w:right="-25"/>
              <w:jc w:val="left"/>
              <w:rPr>
                <w:highlight w:val="yellow"/>
                <w:lang w:val="en-IE" w:eastAsia="de-DE"/>
              </w:rPr>
            </w:pPr>
            <w:r w:rsidRPr="003C0CD7">
              <w:rPr>
                <w:b/>
                <w:color w:val="0D0D0D" w:themeColor="text1" w:themeTint="F2"/>
                <w:lang w:val="en-IE"/>
              </w:rPr>
              <w:t>Significant objective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1410C0" w14:textId="77777777" w:rsidR="00433309" w:rsidRPr="003C0CD7" w:rsidRDefault="00433309" w:rsidP="00EA2398">
            <w:pPr>
              <w:pStyle w:val="Text1"/>
              <w:spacing w:before="60" w:after="60"/>
              <w:ind w:left="0" w:right="-25"/>
              <w:jc w:val="left"/>
              <w:rPr>
                <w:highlight w:val="yellow"/>
                <w:lang w:val="en-IE" w:eastAsia="de-DE"/>
              </w:rPr>
            </w:pPr>
            <w:r w:rsidRPr="003C0CD7">
              <w:rPr>
                <w:b/>
                <w:color w:val="0D0D0D" w:themeColor="text1" w:themeTint="F2"/>
                <w:lang w:val="en-IE"/>
              </w:rPr>
              <w:t>Principal objective</w:t>
            </w:r>
          </w:p>
        </w:tc>
      </w:tr>
      <w:tr w:rsidR="00433309" w:rsidRPr="008704EA" w14:paraId="000E67C7" w14:textId="77777777" w:rsidTr="00C85643">
        <w:trPr>
          <w:trHeight w:val="40"/>
        </w:trPr>
        <w:tc>
          <w:tcPr>
            <w:tcW w:w="2330" w:type="dxa"/>
            <w:vMerge/>
            <w:tcBorders>
              <w:left w:val="single" w:sz="4" w:space="0" w:color="auto"/>
              <w:right w:val="single" w:sz="4" w:space="0" w:color="auto"/>
            </w:tcBorders>
            <w:shd w:val="clear" w:color="auto" w:fill="auto"/>
          </w:tcPr>
          <w:p w14:paraId="3A78F30D" w14:textId="77777777" w:rsidR="00433309" w:rsidRPr="003C0CD7" w:rsidRDefault="00433309" w:rsidP="00EA2398">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4D110BEB" w14:textId="77777777" w:rsidR="00433309" w:rsidRPr="003C0CD7" w:rsidRDefault="00433309" w:rsidP="00EA2398">
            <w:pPr>
              <w:pStyle w:val="Text1"/>
              <w:spacing w:before="60" w:after="60"/>
              <w:ind w:left="0" w:right="-25"/>
              <w:jc w:val="left"/>
              <w:rPr>
                <w:highlight w:val="yellow"/>
                <w:lang w:val="en-IE" w:eastAsia="de-DE"/>
              </w:rPr>
            </w:pPr>
            <w:r w:rsidRPr="003C0CD7">
              <w:rPr>
                <w:color w:val="0D0D0D" w:themeColor="text1" w:themeTint="F2"/>
                <w:lang w:val="en-IE"/>
              </w:rPr>
              <w:t>Biological diversity</w:t>
            </w:r>
            <w:r w:rsidR="00C146A2">
              <w:rPr>
                <w:color w:val="0D0D0D" w:themeColor="text1" w:themeTint="F2"/>
                <w:lang w:val="en-IE"/>
              </w:rPr>
              <w:t xml:space="preserve"> </w:t>
            </w:r>
            <w:hyperlink r:id="rId15" w:history="1">
              <w:r w:rsidR="00C146A2">
                <w:rPr>
                  <w:rStyle w:val="Hyperlink"/>
                </w:rPr>
                <w:t>@</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031A2D" w14:textId="77777777" w:rsidR="00433309"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012595753"/>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6C100816" w14:textId="7FDC9A51" w:rsidR="00433309"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814562628"/>
                <w14:checkbox>
                  <w14:checked w14:val="1"/>
                  <w14:checkedState w14:val="2612" w14:font="MS Gothic"/>
                  <w14:uncheckedState w14:val="2610" w14:font="MS Gothic"/>
                </w14:checkbox>
              </w:sdtPr>
              <w:sdtEndPr/>
              <w:sdtContent>
                <w:r w:rsidR="00445553">
                  <w:rPr>
                    <w:rFonts w:ascii="MS Gothic" w:eastAsia="MS Gothic" w:hAnsi="MS Gothic" w:cs="Segoe UI Symbol" w:hint="eastAsia"/>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1328BB" w14:textId="77777777" w:rsidR="00433309"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566485554"/>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6BAB0F7C" w14:textId="77777777" w:rsidTr="00C85643">
        <w:trPr>
          <w:trHeight w:val="40"/>
        </w:trPr>
        <w:tc>
          <w:tcPr>
            <w:tcW w:w="2330" w:type="dxa"/>
            <w:vMerge/>
            <w:tcBorders>
              <w:left w:val="single" w:sz="4" w:space="0" w:color="auto"/>
              <w:right w:val="single" w:sz="4" w:space="0" w:color="auto"/>
            </w:tcBorders>
            <w:shd w:val="clear" w:color="auto" w:fill="auto"/>
          </w:tcPr>
          <w:p w14:paraId="43AFE89A" w14:textId="77777777" w:rsidR="00433309" w:rsidRPr="003C0CD7" w:rsidRDefault="00433309" w:rsidP="00EA2398">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4E7B3556" w14:textId="77777777" w:rsidR="00433309" w:rsidRPr="003C0CD7" w:rsidRDefault="00433309" w:rsidP="00EA2398">
            <w:pPr>
              <w:pStyle w:val="Text1"/>
              <w:spacing w:before="60" w:after="60"/>
              <w:ind w:left="0" w:right="-25"/>
              <w:jc w:val="left"/>
              <w:rPr>
                <w:highlight w:val="yellow"/>
                <w:lang w:val="en-IE" w:eastAsia="de-DE"/>
              </w:rPr>
            </w:pPr>
            <w:r w:rsidRPr="003C0CD7">
              <w:rPr>
                <w:color w:val="0D0D0D" w:themeColor="text1" w:themeTint="F2"/>
                <w:lang w:val="en-IE"/>
              </w:rPr>
              <w:t>Combat desertification</w:t>
            </w:r>
            <w:r w:rsidR="00C146A2">
              <w:rPr>
                <w:color w:val="0D0D0D" w:themeColor="text1" w:themeTint="F2"/>
                <w:lang w:val="en-IE"/>
              </w:rPr>
              <w:t xml:space="preserve"> </w:t>
            </w:r>
            <w:hyperlink r:id="rId16" w:history="1">
              <w:r w:rsidR="00C146A2">
                <w:rPr>
                  <w:rStyle w:val="Hyperlink"/>
                </w:rPr>
                <w:t>@</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BA001A" w14:textId="258EA1DD" w:rsidR="00433309"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240904991"/>
                <w14:checkbox>
                  <w14:checked w14:val="0"/>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65A2D9CF" w14:textId="77777777" w:rsidR="00433309"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115982222"/>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8AB769" w14:textId="77777777" w:rsidR="00433309"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441799015"/>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3FE31C81" w14:textId="77777777" w:rsidTr="00C85643">
        <w:trPr>
          <w:trHeight w:val="40"/>
        </w:trPr>
        <w:tc>
          <w:tcPr>
            <w:tcW w:w="2330" w:type="dxa"/>
            <w:vMerge/>
            <w:tcBorders>
              <w:left w:val="single" w:sz="4" w:space="0" w:color="auto"/>
              <w:right w:val="single" w:sz="4" w:space="0" w:color="auto"/>
            </w:tcBorders>
            <w:shd w:val="clear" w:color="auto" w:fill="auto"/>
          </w:tcPr>
          <w:p w14:paraId="1C7DE7CF" w14:textId="77777777" w:rsidR="00433309" w:rsidRPr="003C0CD7" w:rsidRDefault="00433309" w:rsidP="00EA2398">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2532A912" w14:textId="77777777" w:rsidR="00433309" w:rsidRPr="003C0CD7" w:rsidRDefault="00433309" w:rsidP="00EA2398">
            <w:pPr>
              <w:pStyle w:val="Text1"/>
              <w:spacing w:before="60" w:after="60"/>
              <w:ind w:left="0" w:right="-25"/>
              <w:jc w:val="left"/>
              <w:rPr>
                <w:highlight w:val="yellow"/>
                <w:lang w:val="en-IE" w:eastAsia="de-DE"/>
              </w:rPr>
            </w:pPr>
            <w:r w:rsidRPr="003C0CD7">
              <w:rPr>
                <w:color w:val="0D0D0D" w:themeColor="text1" w:themeTint="F2"/>
                <w:lang w:val="en-IE"/>
              </w:rPr>
              <w:t>Climate change mitigation</w:t>
            </w:r>
            <w:r w:rsidR="00C146A2">
              <w:rPr>
                <w:color w:val="0D0D0D" w:themeColor="text1" w:themeTint="F2"/>
                <w:lang w:val="en-IE"/>
              </w:rPr>
              <w:t xml:space="preserve"> </w:t>
            </w:r>
            <w:hyperlink r:id="rId17" w:history="1">
              <w:r w:rsidR="00C146A2">
                <w:rPr>
                  <w:rStyle w:val="Hyperlink"/>
                </w:rPr>
                <w:t>@</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8CEC36" w14:textId="77777777" w:rsidR="00433309"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782174767"/>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04E90D5" w14:textId="5D30ED94" w:rsidR="00433309"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132678762"/>
                <w14:checkbox>
                  <w14:checked w14:val="1"/>
                  <w14:checkedState w14:val="2612" w14:font="MS Gothic"/>
                  <w14:uncheckedState w14:val="2610" w14:font="MS Gothic"/>
                </w14:checkbox>
              </w:sdtPr>
              <w:sdtEndPr/>
              <w:sdtContent>
                <w:r w:rsidR="00445553">
                  <w:rPr>
                    <w:rFonts w:ascii="MS Gothic" w:eastAsia="MS Gothic" w:hAnsi="MS Gothic" w:cs="Segoe UI Symbol" w:hint="eastAsia"/>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172495" w14:textId="77777777" w:rsidR="00433309"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737390880"/>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433309" w:rsidRPr="008704EA" w14:paraId="0FEEAC3D" w14:textId="77777777" w:rsidTr="00C85643">
        <w:trPr>
          <w:trHeight w:val="40"/>
        </w:trPr>
        <w:tc>
          <w:tcPr>
            <w:tcW w:w="2330" w:type="dxa"/>
            <w:vMerge/>
            <w:tcBorders>
              <w:left w:val="single" w:sz="4" w:space="0" w:color="auto"/>
              <w:bottom w:val="single" w:sz="4" w:space="0" w:color="auto"/>
              <w:right w:val="single" w:sz="4" w:space="0" w:color="auto"/>
            </w:tcBorders>
            <w:shd w:val="clear" w:color="auto" w:fill="auto"/>
          </w:tcPr>
          <w:p w14:paraId="06C9596F" w14:textId="77777777" w:rsidR="00433309" w:rsidRPr="003C0CD7" w:rsidRDefault="00433309" w:rsidP="00EA2398">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75789F42" w14:textId="77777777" w:rsidR="00433309" w:rsidRPr="003C0CD7" w:rsidRDefault="00433309" w:rsidP="00EA2398">
            <w:pPr>
              <w:pStyle w:val="Text1"/>
              <w:spacing w:before="60" w:after="60"/>
              <w:ind w:left="0" w:right="-25"/>
              <w:jc w:val="left"/>
              <w:rPr>
                <w:highlight w:val="yellow"/>
                <w:lang w:val="en-IE" w:eastAsia="de-DE"/>
              </w:rPr>
            </w:pPr>
            <w:r w:rsidRPr="003C0CD7">
              <w:rPr>
                <w:color w:val="0D0D0D" w:themeColor="text1" w:themeTint="F2"/>
                <w:lang w:val="en-IE"/>
              </w:rPr>
              <w:t>Climate change adaptation</w:t>
            </w:r>
            <w:r w:rsidR="00C146A2">
              <w:rPr>
                <w:color w:val="0D0D0D" w:themeColor="text1" w:themeTint="F2"/>
                <w:lang w:val="en-IE"/>
              </w:rPr>
              <w:t xml:space="preserve"> </w:t>
            </w:r>
            <w:hyperlink r:id="rId18" w:history="1">
              <w:r w:rsidR="00C146A2">
                <w:rPr>
                  <w:rStyle w:val="Hyperlink"/>
                </w:rPr>
                <w:t>@</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82A010" w14:textId="3589A9C0" w:rsidR="00433309"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81291880"/>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1434DAB" w14:textId="77777777" w:rsidR="00433309"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890557752"/>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077A61" w14:textId="77777777" w:rsidR="00433309" w:rsidRPr="003C0CD7" w:rsidRDefault="00874D53" w:rsidP="00EA2398">
            <w:pPr>
              <w:pStyle w:val="Text1"/>
              <w:spacing w:before="60" w:after="60"/>
              <w:ind w:left="0" w:right="-25"/>
              <w:jc w:val="left"/>
              <w:rPr>
                <w:highlight w:val="yellow"/>
                <w:lang w:val="en-IE" w:eastAsia="de-DE"/>
              </w:rPr>
            </w:pPr>
            <w:sdt>
              <w:sdtPr>
                <w:rPr>
                  <w:rFonts w:ascii="Segoe UI Symbol" w:eastAsia="MS Gothic" w:hAnsi="Segoe UI Symbol" w:cs="Segoe UI Symbol"/>
                  <w:color w:val="0D0D0D" w:themeColor="text1" w:themeTint="F2"/>
                  <w:lang w:val="en-IE"/>
                </w:rPr>
                <w:id w:val="1032463279"/>
                <w14:checkbox>
                  <w14:checked w14:val="0"/>
                  <w14:checkedState w14:val="2612" w14:font="MS Gothic"/>
                  <w14:uncheckedState w14:val="2610" w14:font="MS Gothic"/>
                </w14:checkbox>
              </w:sdtPr>
              <w:sdtEndPr/>
              <w:sdtContent>
                <w:r w:rsidR="00433309" w:rsidRPr="003C0CD7">
                  <w:rPr>
                    <w:rFonts w:ascii="MS Gothic" w:eastAsia="MS Gothic" w:hAnsi="MS Gothic" w:cs="Segoe UI Symbol"/>
                    <w:color w:val="0D0D0D" w:themeColor="text1" w:themeTint="F2"/>
                    <w:lang w:val="en-IE"/>
                  </w:rPr>
                  <w:t>☐</w:t>
                </w:r>
              </w:sdtContent>
            </w:sdt>
          </w:p>
        </w:tc>
      </w:tr>
      <w:tr w:rsidR="003A426F" w:rsidRPr="008704EA" w14:paraId="751664F8" w14:textId="77777777" w:rsidTr="00C85643">
        <w:trPr>
          <w:trHeight w:val="40"/>
        </w:trPr>
        <w:tc>
          <w:tcPr>
            <w:tcW w:w="2330" w:type="dxa"/>
            <w:vMerge w:val="restart"/>
            <w:tcBorders>
              <w:left w:val="single" w:sz="4" w:space="0" w:color="auto"/>
              <w:right w:val="single" w:sz="4" w:space="0" w:color="auto"/>
            </w:tcBorders>
            <w:shd w:val="clear" w:color="auto" w:fill="auto"/>
          </w:tcPr>
          <w:p w14:paraId="52526132" w14:textId="77777777" w:rsidR="003A426F" w:rsidRPr="003C0CD7" w:rsidRDefault="003A426F" w:rsidP="00EA2398">
            <w:pPr>
              <w:jc w:val="left"/>
              <w:rPr>
                <w:rFonts w:cs="Times New Roman"/>
                <w:b/>
                <w:bCs/>
                <w:color w:val="0D0D0D" w:themeColor="text1" w:themeTint="F2"/>
                <w:szCs w:val="24"/>
                <w:lang w:val="en-IE"/>
              </w:rPr>
            </w:pPr>
            <w:r w:rsidRPr="003C0CD7">
              <w:rPr>
                <w:b/>
                <w:bCs/>
                <w:color w:val="0D0D0D" w:themeColor="text1" w:themeTint="F2"/>
                <w:szCs w:val="24"/>
                <w:lang w:val="en-IE"/>
              </w:rPr>
              <w:t>Internal markers</w:t>
            </w:r>
            <w:r w:rsidRPr="003C0CD7">
              <w:rPr>
                <w:rStyle w:val="FootnoteReference"/>
                <w:b/>
                <w:bCs/>
                <w:color w:val="0D0D0D" w:themeColor="text1" w:themeTint="F2"/>
                <w:szCs w:val="24"/>
                <w:lang w:val="en-IE"/>
              </w:rPr>
              <w:footnoteReference w:id="8"/>
            </w:r>
            <w:r w:rsidR="007230DA">
              <w:rPr>
                <w:b/>
                <w:bCs/>
                <w:color w:val="0D0D0D" w:themeColor="text1" w:themeTint="F2"/>
                <w:szCs w:val="24"/>
                <w:lang w:val="en-IE"/>
              </w:rPr>
              <w:t xml:space="preserve"> </w:t>
            </w:r>
            <w:r w:rsidR="007230DA">
              <w:rPr>
                <w:b/>
                <w:bCs/>
                <w:color w:val="0D0D0D" w:themeColor="text1" w:themeTint="F2"/>
                <w:szCs w:val="24"/>
              </w:rPr>
              <w:t>and Tags</w:t>
            </w: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3D67AE7B" w14:textId="77777777" w:rsidR="003A426F" w:rsidRPr="003C0CD7" w:rsidRDefault="003A426F" w:rsidP="00EA2398">
            <w:pPr>
              <w:pStyle w:val="Text1"/>
              <w:spacing w:before="60" w:after="60"/>
              <w:ind w:left="0" w:right="-25"/>
              <w:jc w:val="left"/>
              <w:rPr>
                <w:color w:val="0D0D0D" w:themeColor="text1" w:themeTint="F2"/>
                <w:lang w:val="en-IE"/>
              </w:rPr>
            </w:pPr>
            <w:r w:rsidRPr="003C0CD7">
              <w:rPr>
                <w:b/>
                <w:color w:val="0D0D0D" w:themeColor="text1" w:themeTint="F2"/>
                <w:lang w:val="en-IE"/>
              </w:rPr>
              <w:t>Policy objectives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9D6D10" w14:textId="77777777" w:rsidR="003A426F" w:rsidRPr="003C0CD7" w:rsidRDefault="003A426F" w:rsidP="00EA2398">
            <w:pPr>
              <w:pStyle w:val="Text1"/>
              <w:spacing w:before="60" w:after="60"/>
              <w:ind w:left="0" w:right="-25"/>
              <w:jc w:val="left"/>
              <w:rPr>
                <w:rFonts w:ascii="Segoe UI Symbol" w:eastAsia="MS Gothic" w:hAnsi="Segoe UI Symbol" w:cs="Segoe UI Symbol"/>
                <w:color w:val="0D0D0D" w:themeColor="text1" w:themeTint="F2"/>
                <w:lang w:val="en-IE"/>
              </w:rPr>
            </w:pPr>
            <w:r w:rsidRPr="003C0CD7">
              <w:rPr>
                <w:b/>
                <w:color w:val="0D0D0D" w:themeColor="text1" w:themeTint="F2"/>
                <w:lang w:val="en-IE"/>
              </w:rPr>
              <w:t>Not targeted</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2B6DEA7C" w14:textId="77777777" w:rsidR="003A426F" w:rsidRPr="003C0CD7" w:rsidRDefault="003A426F" w:rsidP="00EA2398">
            <w:pPr>
              <w:pStyle w:val="Text1"/>
              <w:spacing w:before="60" w:after="60"/>
              <w:ind w:left="0" w:right="-25"/>
              <w:jc w:val="left"/>
              <w:rPr>
                <w:rFonts w:ascii="Segoe UI Symbol" w:eastAsia="MS Gothic" w:hAnsi="Segoe UI Symbol" w:cs="Segoe UI Symbol"/>
                <w:color w:val="0D0D0D" w:themeColor="text1" w:themeTint="F2"/>
                <w:lang w:val="en-IE"/>
              </w:rPr>
            </w:pPr>
            <w:r w:rsidRPr="003C0CD7">
              <w:rPr>
                <w:b/>
                <w:color w:val="0D0D0D" w:themeColor="text1" w:themeTint="F2"/>
                <w:lang w:val="en-IE"/>
              </w:rPr>
              <w:t>Significant objective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C97190" w14:textId="77777777" w:rsidR="003A426F" w:rsidRPr="003C0CD7" w:rsidRDefault="003A426F" w:rsidP="00EA2398">
            <w:pPr>
              <w:pStyle w:val="Text1"/>
              <w:spacing w:before="60" w:after="60"/>
              <w:ind w:left="0" w:right="-25"/>
              <w:jc w:val="left"/>
              <w:rPr>
                <w:rFonts w:ascii="Segoe UI Symbol" w:eastAsia="MS Gothic" w:hAnsi="Segoe UI Symbol" w:cs="Segoe UI Symbol"/>
                <w:color w:val="0D0D0D" w:themeColor="text1" w:themeTint="F2"/>
                <w:lang w:val="en-IE"/>
              </w:rPr>
            </w:pPr>
            <w:r w:rsidRPr="003C0CD7">
              <w:rPr>
                <w:b/>
                <w:color w:val="0D0D0D" w:themeColor="text1" w:themeTint="F2"/>
                <w:lang w:val="en-IE"/>
              </w:rPr>
              <w:t>Principal objective</w:t>
            </w:r>
          </w:p>
        </w:tc>
      </w:tr>
      <w:tr w:rsidR="00091845" w:rsidRPr="008704EA" w14:paraId="30A0CC6D" w14:textId="77777777" w:rsidTr="006266C0">
        <w:trPr>
          <w:trHeight w:val="40"/>
        </w:trPr>
        <w:tc>
          <w:tcPr>
            <w:tcW w:w="2330" w:type="dxa"/>
            <w:vMerge/>
            <w:tcBorders>
              <w:left w:val="single" w:sz="4" w:space="0" w:color="auto"/>
              <w:right w:val="single" w:sz="4" w:space="0" w:color="auto"/>
            </w:tcBorders>
            <w:shd w:val="clear" w:color="auto" w:fill="auto"/>
          </w:tcPr>
          <w:p w14:paraId="772C7F1E" w14:textId="77777777" w:rsidR="00091845" w:rsidRPr="003C0CD7" w:rsidRDefault="00091845" w:rsidP="00EA2398">
            <w:pPr>
              <w:jc w:val="left"/>
              <w:rPr>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01159A03" w14:textId="77777777" w:rsidR="00091845" w:rsidRPr="005D6559" w:rsidRDefault="00091845" w:rsidP="00EA2398">
            <w:pPr>
              <w:pStyle w:val="Text1"/>
              <w:spacing w:before="60" w:after="60"/>
              <w:ind w:left="0" w:right="-25"/>
              <w:jc w:val="left"/>
              <w:rPr>
                <w:color w:val="0D0D0D" w:themeColor="text1" w:themeTint="F2"/>
              </w:rPr>
            </w:pPr>
            <w:r>
              <w:rPr>
                <w:color w:val="0D0D0D" w:themeColor="text1" w:themeTint="F2"/>
              </w:rPr>
              <w:t>EIP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C21F29" w14:textId="518C601F" w:rsidR="00091845" w:rsidRDefault="00874D53" w:rsidP="00EA2398">
            <w:pPr>
              <w:pStyle w:val="Text1"/>
              <w:spacing w:before="60" w:after="60"/>
              <w:ind w:left="0" w:right="-25"/>
              <w:jc w:val="left"/>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547557220"/>
                <w14:checkbox>
                  <w14:checked w14:val="0"/>
                  <w14:checkedState w14:val="2612" w14:font="MS Gothic"/>
                  <w14:uncheckedState w14:val="2610" w14:font="MS Gothic"/>
                </w14:checkbox>
              </w:sdtPr>
              <w:sdtEndPr/>
              <w:sdtContent>
                <w:r w:rsidR="00091845" w:rsidRPr="003C0CD7">
                  <w:rPr>
                    <w:rFonts w:ascii="MS Gothic" w:eastAsia="MS Gothic" w:hAnsi="MS Gothic" w:cs="Segoe UI Symbol"/>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163238F9" w14:textId="7C1C4E4C" w:rsidR="00091845" w:rsidRDefault="00874D53" w:rsidP="00EA2398">
            <w:pPr>
              <w:pStyle w:val="Text1"/>
              <w:spacing w:before="60" w:after="60"/>
              <w:ind w:left="0" w:right="-25"/>
              <w:jc w:val="left"/>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769583294"/>
                <w14:checkbox>
                  <w14:checked w14:val="1"/>
                  <w14:checkedState w14:val="2612" w14:font="MS Gothic"/>
                  <w14:uncheckedState w14:val="2610" w14:font="MS Gothic"/>
                </w14:checkbox>
              </w:sdtPr>
              <w:sdtEndPr/>
              <w:sdtContent>
                <w:r w:rsidR="00445553">
                  <w:rPr>
                    <w:rFonts w:ascii="MS Gothic" w:eastAsia="MS Gothic" w:hAnsi="MS Gothic" w:cs="Segoe UI Symbol" w:hint="eastAsia"/>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C0559B" w14:textId="1CB2A83E" w:rsidR="00091845" w:rsidRDefault="00874D53" w:rsidP="00EA2398">
            <w:pPr>
              <w:pStyle w:val="Text1"/>
              <w:spacing w:before="60" w:after="60"/>
              <w:ind w:left="0" w:right="-25"/>
              <w:jc w:val="left"/>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486904560"/>
                <w14:checkbox>
                  <w14:checked w14:val="0"/>
                  <w14:checkedState w14:val="2612" w14:font="MS Gothic"/>
                  <w14:uncheckedState w14:val="2610" w14:font="MS Gothic"/>
                </w14:checkbox>
              </w:sdtPr>
              <w:sdtEndPr/>
              <w:sdtContent>
                <w:r w:rsidR="00091845">
                  <w:rPr>
                    <w:rFonts w:ascii="MS Gothic" w:eastAsia="MS Gothic" w:hAnsi="MS Gothic" w:cs="Segoe UI Symbol" w:hint="eastAsia"/>
                    <w:color w:val="0D0D0D" w:themeColor="text1" w:themeTint="F2"/>
                    <w:lang w:val="en-IE"/>
                  </w:rPr>
                  <w:t>☐</w:t>
                </w:r>
              </w:sdtContent>
            </w:sdt>
          </w:p>
        </w:tc>
      </w:tr>
      <w:tr w:rsidR="00091845" w:rsidRPr="008704EA" w14:paraId="51A98BEB" w14:textId="77777777" w:rsidTr="00CF7516">
        <w:trPr>
          <w:trHeight w:val="40"/>
        </w:trPr>
        <w:tc>
          <w:tcPr>
            <w:tcW w:w="2330" w:type="dxa"/>
            <w:vMerge/>
            <w:tcBorders>
              <w:left w:val="single" w:sz="4" w:space="0" w:color="auto"/>
              <w:right w:val="single" w:sz="4" w:space="0" w:color="auto"/>
            </w:tcBorders>
            <w:shd w:val="clear" w:color="auto" w:fill="auto"/>
          </w:tcPr>
          <w:p w14:paraId="23CF3AC4" w14:textId="77777777" w:rsidR="00091845" w:rsidRPr="003C0CD7" w:rsidRDefault="00091845" w:rsidP="00EA2398">
            <w:pPr>
              <w:jc w:val="left"/>
              <w:rPr>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600E4622" w14:textId="77777777" w:rsidR="00091845" w:rsidRPr="005D6559" w:rsidRDefault="00091845" w:rsidP="00EA2398">
            <w:pPr>
              <w:pStyle w:val="Text1"/>
              <w:spacing w:before="60" w:after="60"/>
              <w:ind w:left="0" w:right="-25"/>
              <w:jc w:val="left"/>
              <w:rPr>
                <w:color w:val="0D0D0D" w:themeColor="text1" w:themeTint="F2"/>
              </w:rPr>
            </w:pPr>
            <w:r>
              <w:rPr>
                <w:color w:val="0D0D0D" w:themeColor="text1" w:themeTint="F2"/>
              </w:rPr>
              <w:t>EIP Flagship</w:t>
            </w:r>
          </w:p>
        </w:tc>
        <w:tc>
          <w:tcPr>
            <w:tcW w:w="2410" w:type="dxa"/>
            <w:gridSpan w:val="2"/>
            <w:tcBorders>
              <w:top w:val="single" w:sz="4" w:space="0" w:color="auto"/>
              <w:left w:val="single" w:sz="4" w:space="0" w:color="auto"/>
              <w:bottom w:val="single" w:sz="4" w:space="0" w:color="auto"/>
              <w:right w:val="single" w:sz="4" w:space="0" w:color="FFFFFF" w:themeColor="background1"/>
            </w:tcBorders>
            <w:shd w:val="clear" w:color="auto" w:fill="auto"/>
          </w:tcPr>
          <w:p w14:paraId="1EA56F24" w14:textId="77777777" w:rsidR="00091845" w:rsidRDefault="00091845" w:rsidP="00EA2398">
            <w:pPr>
              <w:pStyle w:val="Text1"/>
              <w:spacing w:before="60" w:after="60"/>
              <w:ind w:left="0" w:right="-25"/>
              <w:jc w:val="center"/>
              <w:rPr>
                <w:rFonts w:eastAsia="MS Gothic"/>
                <w:color w:val="0D0D0D" w:themeColor="text1" w:themeTint="F2"/>
                <w:sz w:val="22"/>
              </w:rPr>
            </w:pPr>
            <w:r>
              <w:rPr>
                <w:rFonts w:eastAsia="MS Gothic"/>
                <w:color w:val="0D0D0D" w:themeColor="text1" w:themeTint="F2"/>
                <w:sz w:val="22"/>
              </w:rPr>
              <w:t>YES</w:t>
            </w:r>
          </w:p>
          <w:p w14:paraId="4BA57FB6" w14:textId="5002B36F" w:rsidR="00091845" w:rsidRDefault="00445553" w:rsidP="00EA2398">
            <w:pPr>
              <w:pStyle w:val="Text1"/>
              <w:spacing w:before="60" w:after="60"/>
              <w:ind w:left="0" w:right="-25"/>
              <w:jc w:val="center"/>
              <w:rPr>
                <w:rFonts w:eastAsia="MS Gothic"/>
                <w:color w:val="0D0D0D" w:themeColor="text1" w:themeTint="F2"/>
                <w:sz w:val="22"/>
              </w:rPr>
            </w:pPr>
            <w:r>
              <w:rPr>
                <w:rFonts w:ascii="MS Gothic" w:eastAsia="MS Gothic" w:hAnsi="MS Gothic" w:cs="Segoe UI Symbol" w:hint="eastAsia"/>
                <w:color w:val="0D0D0D" w:themeColor="text1" w:themeTint="F2"/>
                <w:lang w:val="en-IE"/>
              </w:rPr>
              <w:t>☒</w:t>
            </w:r>
          </w:p>
        </w:tc>
        <w:tc>
          <w:tcPr>
            <w:tcW w:w="2410" w:type="dxa"/>
            <w:gridSpan w:val="2"/>
            <w:tcBorders>
              <w:top w:val="single" w:sz="4" w:space="0" w:color="auto"/>
              <w:left w:val="single" w:sz="4" w:space="0" w:color="FFFFFF" w:themeColor="background1"/>
              <w:bottom w:val="single" w:sz="4" w:space="0" w:color="auto"/>
              <w:right w:val="single" w:sz="4" w:space="0" w:color="auto"/>
            </w:tcBorders>
            <w:shd w:val="clear" w:color="auto" w:fill="auto"/>
          </w:tcPr>
          <w:p w14:paraId="27213579" w14:textId="77777777" w:rsidR="00091845" w:rsidRDefault="00091845" w:rsidP="00EA2398">
            <w:pPr>
              <w:pStyle w:val="Text1"/>
              <w:spacing w:before="60" w:after="60"/>
              <w:ind w:left="0" w:right="-25"/>
              <w:jc w:val="center"/>
              <w:rPr>
                <w:rFonts w:eastAsia="MS Gothic"/>
                <w:color w:val="0D0D0D" w:themeColor="text1" w:themeTint="F2"/>
                <w:sz w:val="22"/>
              </w:rPr>
            </w:pPr>
            <w:r>
              <w:rPr>
                <w:rFonts w:eastAsia="MS Gothic"/>
                <w:color w:val="0D0D0D" w:themeColor="text1" w:themeTint="F2"/>
                <w:sz w:val="22"/>
              </w:rPr>
              <w:t>NO</w:t>
            </w:r>
          </w:p>
          <w:p w14:paraId="400D19F4" w14:textId="7FC83143" w:rsidR="00091845" w:rsidRDefault="00091845" w:rsidP="00EA2398">
            <w:pPr>
              <w:pStyle w:val="Text1"/>
              <w:spacing w:before="60" w:after="60"/>
              <w:ind w:left="0" w:right="-25"/>
              <w:jc w:val="center"/>
              <w:rPr>
                <w:rFonts w:eastAsia="MS Gothic"/>
                <w:color w:val="0D0D0D" w:themeColor="text1" w:themeTint="F2"/>
                <w:sz w:val="22"/>
              </w:rPr>
            </w:pPr>
            <w:r>
              <w:rPr>
                <w:rFonts w:ascii="MS Gothic" w:eastAsia="MS Gothic" w:hAnsi="MS Gothic" w:cs="Segoe UI Symbol" w:hint="eastAsia"/>
                <w:color w:val="0D0D0D" w:themeColor="text1" w:themeTint="F2"/>
                <w:lang w:val="en-IE"/>
              </w:rPr>
              <w:t>☐</w:t>
            </w:r>
          </w:p>
        </w:tc>
      </w:tr>
      <w:tr w:rsidR="00091845" w:rsidRPr="008704EA" w14:paraId="32151A3D" w14:textId="77777777" w:rsidTr="00CF7516">
        <w:trPr>
          <w:trHeight w:val="40"/>
        </w:trPr>
        <w:tc>
          <w:tcPr>
            <w:tcW w:w="2330" w:type="dxa"/>
            <w:vMerge/>
            <w:tcBorders>
              <w:left w:val="single" w:sz="4" w:space="0" w:color="auto"/>
              <w:right w:val="single" w:sz="4" w:space="0" w:color="auto"/>
            </w:tcBorders>
            <w:shd w:val="clear" w:color="auto" w:fill="auto"/>
          </w:tcPr>
          <w:p w14:paraId="70698DE2" w14:textId="77777777" w:rsidR="00091845" w:rsidRPr="003C0CD7" w:rsidRDefault="00091845" w:rsidP="00EA2398">
            <w:pPr>
              <w:jc w:val="left"/>
              <w:rPr>
                <w:b/>
                <w:bCs/>
                <w:color w:val="0D0D0D" w:themeColor="text1" w:themeTint="F2"/>
                <w:szCs w:val="24"/>
                <w:lang w:val="en-IE"/>
              </w:rPr>
            </w:pPr>
          </w:p>
        </w:tc>
        <w:tc>
          <w:tcPr>
            <w:tcW w:w="3482" w:type="dxa"/>
            <w:tcBorders>
              <w:top w:val="single" w:sz="4" w:space="0" w:color="auto"/>
              <w:left w:val="single" w:sz="4" w:space="0" w:color="auto"/>
              <w:bottom w:val="single" w:sz="4" w:space="0" w:color="FFFFFF" w:themeColor="background1"/>
              <w:right w:val="single" w:sz="4" w:space="0" w:color="auto"/>
            </w:tcBorders>
            <w:shd w:val="clear" w:color="auto" w:fill="auto"/>
          </w:tcPr>
          <w:p w14:paraId="1C751D4D" w14:textId="77777777" w:rsidR="00091845" w:rsidRPr="0082062A" w:rsidRDefault="00091845" w:rsidP="00EA2398">
            <w:pPr>
              <w:pStyle w:val="Text1"/>
              <w:spacing w:before="60" w:after="60"/>
              <w:ind w:left="0" w:right="-25"/>
              <w:jc w:val="left"/>
              <w:rPr>
                <w:color w:val="0D0D0D" w:themeColor="text1" w:themeTint="F2"/>
                <w:lang w:val="en-IE"/>
              </w:rPr>
            </w:pPr>
            <w:r w:rsidRPr="0082062A">
              <w:rPr>
                <w:color w:val="0D0D0D" w:themeColor="text1" w:themeTint="F2"/>
                <w:lang w:val="en-IE"/>
              </w:rPr>
              <w:t>Tags</w:t>
            </w:r>
            <w:r>
              <w:rPr>
                <w:rStyle w:val="FootnoteReference"/>
                <w:color w:val="0D0D0D" w:themeColor="text1" w:themeTint="F2"/>
              </w:rPr>
              <w:footnoteReference w:id="9"/>
            </w:r>
            <w:r>
              <w:rPr>
                <w:color w:val="0D0D0D" w:themeColor="text1" w:themeTint="F2"/>
                <w:lang w:val="en-IE"/>
              </w:rPr>
              <w:t>:</w:t>
            </w:r>
          </w:p>
        </w:tc>
        <w:tc>
          <w:tcPr>
            <w:tcW w:w="2410" w:type="dxa"/>
            <w:gridSpan w:val="2"/>
            <w:tcBorders>
              <w:top w:val="single" w:sz="4" w:space="0" w:color="auto"/>
              <w:left w:val="single" w:sz="4" w:space="0" w:color="auto"/>
              <w:bottom w:val="single" w:sz="4" w:space="0" w:color="FFFFFF" w:themeColor="background1"/>
              <w:right w:val="single" w:sz="4" w:space="0" w:color="FFFFFF" w:themeColor="background1"/>
            </w:tcBorders>
            <w:shd w:val="clear" w:color="auto" w:fill="auto"/>
          </w:tcPr>
          <w:p w14:paraId="53F1D2BC" w14:textId="77777777" w:rsidR="00091845" w:rsidRPr="00DA4A97" w:rsidRDefault="00091845" w:rsidP="00EA2398">
            <w:pPr>
              <w:pStyle w:val="Text1"/>
              <w:spacing w:before="60" w:after="60"/>
              <w:ind w:left="0" w:right="-25"/>
              <w:jc w:val="center"/>
              <w:rPr>
                <w:rFonts w:eastAsia="MS Gothic"/>
                <w:color w:val="0D0D0D" w:themeColor="text1" w:themeTint="F2"/>
                <w:sz w:val="22"/>
              </w:rPr>
            </w:pPr>
            <w:r>
              <w:rPr>
                <w:rFonts w:eastAsia="MS Gothic"/>
                <w:color w:val="0D0D0D" w:themeColor="text1" w:themeTint="F2"/>
                <w:sz w:val="22"/>
              </w:rPr>
              <w:t>YES</w:t>
            </w:r>
          </w:p>
        </w:tc>
        <w:tc>
          <w:tcPr>
            <w:tcW w:w="2410" w:type="dxa"/>
            <w:gridSpan w:val="2"/>
            <w:tcBorders>
              <w:top w:val="single" w:sz="4" w:space="0" w:color="auto"/>
              <w:left w:val="single" w:sz="4" w:space="0" w:color="FFFFFF" w:themeColor="background1"/>
              <w:bottom w:val="single" w:sz="4" w:space="0" w:color="FFFFFF" w:themeColor="background1"/>
              <w:right w:val="single" w:sz="4" w:space="0" w:color="auto"/>
            </w:tcBorders>
            <w:shd w:val="clear" w:color="auto" w:fill="auto"/>
          </w:tcPr>
          <w:p w14:paraId="7F2E663C" w14:textId="77777777" w:rsidR="00091845" w:rsidRPr="00DA4A97" w:rsidRDefault="00091845" w:rsidP="00EA2398">
            <w:pPr>
              <w:pStyle w:val="Text1"/>
              <w:spacing w:before="60" w:after="60"/>
              <w:ind w:left="0" w:right="-25"/>
              <w:jc w:val="center"/>
              <w:rPr>
                <w:rFonts w:eastAsia="MS Gothic"/>
                <w:color w:val="0D0D0D" w:themeColor="text1" w:themeTint="F2"/>
                <w:sz w:val="22"/>
              </w:rPr>
            </w:pPr>
            <w:r>
              <w:rPr>
                <w:rFonts w:eastAsia="MS Gothic"/>
                <w:color w:val="0D0D0D" w:themeColor="text1" w:themeTint="F2"/>
                <w:sz w:val="22"/>
              </w:rPr>
              <w:t>NO</w:t>
            </w:r>
          </w:p>
        </w:tc>
      </w:tr>
      <w:tr w:rsidR="00DA4A97" w:rsidRPr="008704EA" w14:paraId="1A317078" w14:textId="77777777" w:rsidTr="00CF7516">
        <w:trPr>
          <w:trHeight w:val="40"/>
        </w:trPr>
        <w:tc>
          <w:tcPr>
            <w:tcW w:w="2330" w:type="dxa"/>
            <w:vMerge/>
            <w:tcBorders>
              <w:left w:val="single" w:sz="4" w:space="0" w:color="auto"/>
              <w:right w:val="single" w:sz="4" w:space="0" w:color="auto"/>
            </w:tcBorders>
            <w:shd w:val="clear" w:color="auto" w:fill="auto"/>
          </w:tcPr>
          <w:p w14:paraId="6E9C552C" w14:textId="77777777" w:rsidR="00DA4A97" w:rsidRPr="003C0CD7" w:rsidRDefault="00DA4A97" w:rsidP="00EA2398">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7E7C6FF8" w14:textId="77777777" w:rsidR="00DA4A97" w:rsidRPr="00DA4A97" w:rsidRDefault="00DA4A97" w:rsidP="00EA2398">
            <w:pPr>
              <w:pStyle w:val="Text1"/>
              <w:spacing w:before="60" w:after="60"/>
              <w:ind w:left="0" w:right="-25"/>
              <w:jc w:val="left"/>
              <w:rPr>
                <w:color w:val="0D0D0D" w:themeColor="text1" w:themeTint="F2"/>
                <w:lang w:val="en-IE"/>
              </w:rPr>
            </w:pPr>
            <w:r>
              <w:rPr>
                <w:color w:val="0D0D0D" w:themeColor="text1" w:themeTint="F2"/>
              </w:rPr>
              <w:t>T</w:t>
            </w:r>
            <w:r w:rsidRPr="00091845">
              <w:rPr>
                <w:color w:val="0D0D0D" w:themeColor="text1" w:themeTint="F2"/>
              </w:rPr>
              <w:t>ransport</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06E06805" w14:textId="490C46A0" w:rsidR="00DA4A97" w:rsidRDefault="00874D5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722717393"/>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6A034315" w14:textId="2C6F3EE5" w:rsidR="00DA4A97" w:rsidRDefault="00874D5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938359991"/>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lang w:val="en-IE"/>
                  </w:rPr>
                  <w:t>☒</w:t>
                </w:r>
              </w:sdtContent>
            </w:sdt>
          </w:p>
        </w:tc>
      </w:tr>
      <w:tr w:rsidR="00DA4A97" w:rsidRPr="008704EA" w14:paraId="38B5D2A2" w14:textId="77777777" w:rsidTr="00CF7516">
        <w:trPr>
          <w:trHeight w:val="40"/>
        </w:trPr>
        <w:tc>
          <w:tcPr>
            <w:tcW w:w="2330" w:type="dxa"/>
            <w:vMerge/>
            <w:tcBorders>
              <w:left w:val="single" w:sz="4" w:space="0" w:color="auto"/>
              <w:right w:val="single" w:sz="4" w:space="0" w:color="auto"/>
            </w:tcBorders>
            <w:shd w:val="clear" w:color="auto" w:fill="auto"/>
          </w:tcPr>
          <w:p w14:paraId="75B47E63" w14:textId="77777777" w:rsidR="00DA4A97" w:rsidRPr="003C0CD7" w:rsidRDefault="00DA4A97" w:rsidP="00EA2398">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28619128" w14:textId="77777777" w:rsidR="00DA4A97" w:rsidRPr="00DA4A97" w:rsidRDefault="00DA4A97" w:rsidP="00EA2398">
            <w:pPr>
              <w:pStyle w:val="Text1"/>
              <w:spacing w:before="60" w:after="60"/>
              <w:ind w:left="0" w:right="-25"/>
              <w:jc w:val="left"/>
              <w:rPr>
                <w:color w:val="0D0D0D" w:themeColor="text1" w:themeTint="F2"/>
                <w:lang w:val="en-IE"/>
              </w:rPr>
            </w:pPr>
            <w:r>
              <w:rPr>
                <w:color w:val="0D0D0D" w:themeColor="text1" w:themeTint="F2"/>
              </w:rPr>
              <w:t>Energy</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420A624E" w14:textId="04FFFC22" w:rsidR="00DA4A97" w:rsidRDefault="00874D5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640875271"/>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36A1BB6" w14:textId="31AA0A92" w:rsidR="00DA4A97" w:rsidRDefault="00874D5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2075731545"/>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lang w:val="en-IE"/>
                  </w:rPr>
                  <w:t>☒</w:t>
                </w:r>
              </w:sdtContent>
            </w:sdt>
          </w:p>
        </w:tc>
      </w:tr>
      <w:tr w:rsidR="00DA4A97" w:rsidRPr="008704EA" w14:paraId="31D30EEE" w14:textId="77777777" w:rsidTr="00CF7516">
        <w:trPr>
          <w:trHeight w:val="40"/>
        </w:trPr>
        <w:tc>
          <w:tcPr>
            <w:tcW w:w="2330" w:type="dxa"/>
            <w:vMerge/>
            <w:tcBorders>
              <w:left w:val="single" w:sz="4" w:space="0" w:color="auto"/>
              <w:right w:val="single" w:sz="4" w:space="0" w:color="auto"/>
            </w:tcBorders>
            <w:shd w:val="clear" w:color="auto" w:fill="auto"/>
          </w:tcPr>
          <w:p w14:paraId="325E6F90" w14:textId="77777777" w:rsidR="00DA4A97" w:rsidRPr="003C0CD7" w:rsidRDefault="00DA4A97" w:rsidP="00EA2398">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6BEAB190" w14:textId="77777777" w:rsidR="00DA4A97" w:rsidRPr="00DA4A97" w:rsidRDefault="00DA4A97" w:rsidP="00EA2398">
            <w:pPr>
              <w:pStyle w:val="Text1"/>
              <w:spacing w:before="60" w:after="60"/>
              <w:ind w:left="0" w:right="-25"/>
              <w:jc w:val="left"/>
              <w:rPr>
                <w:color w:val="0D0D0D" w:themeColor="text1" w:themeTint="F2"/>
                <w:lang w:val="en-IE"/>
              </w:rPr>
            </w:pPr>
            <w:r>
              <w:rPr>
                <w:color w:val="0D0D0D" w:themeColor="text1" w:themeTint="F2"/>
              </w:rPr>
              <w:t>Environment and climate resilience</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25AAE1BE" w14:textId="26A59104" w:rsidR="00DA4A97" w:rsidRDefault="00874D5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195616155"/>
                <w14:checkbox>
                  <w14:checked w14:val="0"/>
                  <w14:checkedState w14:val="2612" w14:font="MS Gothic"/>
                  <w14:uncheckedState w14:val="2610" w14:font="MS Gothic"/>
                </w14:checkbox>
              </w:sdtPr>
              <w:sdtEndPr/>
              <w:sdtContent>
                <w:r w:rsidR="00DA4A97">
                  <w:rPr>
                    <w:rFonts w:ascii="MS Gothic" w:eastAsia="MS Gothic" w:hAnsi="MS Gothic" w:cs="Segoe UI Symbol" w:hint="eastAsia"/>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7A2F663" w14:textId="1EADE16E" w:rsidR="00DA4A97" w:rsidRDefault="00874D5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031331279"/>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lang w:val="en-IE"/>
                  </w:rPr>
                  <w:t>☒</w:t>
                </w:r>
              </w:sdtContent>
            </w:sdt>
          </w:p>
        </w:tc>
      </w:tr>
      <w:tr w:rsidR="00DA4A97" w:rsidRPr="008704EA" w14:paraId="69E4F076" w14:textId="77777777" w:rsidTr="00CF7516">
        <w:trPr>
          <w:trHeight w:val="40"/>
        </w:trPr>
        <w:tc>
          <w:tcPr>
            <w:tcW w:w="2330" w:type="dxa"/>
            <w:vMerge/>
            <w:tcBorders>
              <w:left w:val="single" w:sz="4" w:space="0" w:color="auto"/>
              <w:right w:val="single" w:sz="4" w:space="0" w:color="auto"/>
            </w:tcBorders>
            <w:shd w:val="clear" w:color="auto" w:fill="auto"/>
          </w:tcPr>
          <w:p w14:paraId="08F08792" w14:textId="77777777" w:rsidR="00DA4A97" w:rsidRPr="003C0CD7" w:rsidRDefault="00DA4A97" w:rsidP="00EA2398">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0E8DADFB" w14:textId="77777777" w:rsidR="00DA4A97" w:rsidRPr="00DA4A97" w:rsidRDefault="00DA4A97" w:rsidP="00EA2398">
            <w:pPr>
              <w:pStyle w:val="Text1"/>
              <w:spacing w:before="60" w:after="60"/>
              <w:ind w:left="0" w:right="-25"/>
              <w:jc w:val="left"/>
              <w:rPr>
                <w:color w:val="0D0D0D" w:themeColor="text1" w:themeTint="F2"/>
                <w:lang w:val="en-IE"/>
              </w:rPr>
            </w:pPr>
            <w:r w:rsidRPr="00091845">
              <w:rPr>
                <w:color w:val="0D0D0D" w:themeColor="text1" w:themeTint="F2"/>
              </w:rPr>
              <w:t>Digital</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6C5823AA" w14:textId="41E04961" w:rsidR="00DA4A97" w:rsidRDefault="00874D5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382372989"/>
                <w14:checkbox>
                  <w14:checked w14:val="1"/>
                  <w14:checkedState w14:val="2612" w14:font="MS Gothic"/>
                  <w14:uncheckedState w14:val="2610" w14:font="MS Gothic"/>
                </w14:checkbox>
              </w:sdtPr>
              <w:sdtEndPr/>
              <w:sdtContent>
                <w:r w:rsidR="00445553">
                  <w:rPr>
                    <w:rFonts w:ascii="MS Gothic" w:eastAsia="MS Gothic" w:hAnsi="MS Gothic" w:cs="Segoe UI Symbol" w:hint="eastAsia"/>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0C5D146A" w14:textId="7039ECCF" w:rsidR="00DA4A97" w:rsidRDefault="00874D5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254128697"/>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r>
      <w:tr w:rsidR="00DA4A97" w:rsidRPr="008704EA" w14:paraId="736D3B3B" w14:textId="77777777" w:rsidTr="00CF7516">
        <w:trPr>
          <w:trHeight w:val="40"/>
        </w:trPr>
        <w:tc>
          <w:tcPr>
            <w:tcW w:w="2330" w:type="dxa"/>
            <w:vMerge/>
            <w:tcBorders>
              <w:left w:val="single" w:sz="4" w:space="0" w:color="auto"/>
              <w:right w:val="single" w:sz="4" w:space="0" w:color="auto"/>
            </w:tcBorders>
            <w:shd w:val="clear" w:color="auto" w:fill="auto"/>
          </w:tcPr>
          <w:p w14:paraId="0EE9C36D" w14:textId="77777777" w:rsidR="00DA4A97" w:rsidRPr="003C0CD7" w:rsidRDefault="00DA4A97" w:rsidP="00EA2398">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38FAD6EF" w14:textId="77777777" w:rsidR="00DA4A97" w:rsidRPr="00DA4A97" w:rsidRDefault="00DA4A97" w:rsidP="00EA2398">
            <w:pPr>
              <w:pStyle w:val="Text1"/>
              <w:spacing w:before="60" w:after="60"/>
              <w:ind w:left="0" w:right="-25"/>
              <w:jc w:val="left"/>
              <w:rPr>
                <w:color w:val="0D0D0D" w:themeColor="text1" w:themeTint="F2"/>
                <w:lang w:val="en-IE"/>
              </w:rPr>
            </w:pPr>
            <w:r w:rsidRPr="0081639E">
              <w:rPr>
                <w:color w:val="0D0D0D" w:themeColor="text1" w:themeTint="F2"/>
              </w:rPr>
              <w:t>Economic development (incl. private sector, trade and macroeconomic support)</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0A145A5B" w14:textId="14691D99" w:rsidR="00DA4A97" w:rsidRDefault="00874D5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779062486"/>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49DB0C21" w14:textId="2CCAB23A" w:rsidR="00DA4A97" w:rsidRDefault="00874D5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49108532"/>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r>
      <w:tr w:rsidR="00DA4A97" w:rsidRPr="008704EA" w14:paraId="0B838552" w14:textId="77777777" w:rsidTr="00CF7516">
        <w:trPr>
          <w:trHeight w:val="40"/>
        </w:trPr>
        <w:tc>
          <w:tcPr>
            <w:tcW w:w="2330" w:type="dxa"/>
            <w:vMerge/>
            <w:tcBorders>
              <w:left w:val="single" w:sz="4" w:space="0" w:color="auto"/>
              <w:right w:val="single" w:sz="4" w:space="0" w:color="auto"/>
            </w:tcBorders>
            <w:shd w:val="clear" w:color="auto" w:fill="auto"/>
          </w:tcPr>
          <w:p w14:paraId="40864031" w14:textId="77777777" w:rsidR="00DA4A97" w:rsidRPr="003C0CD7" w:rsidRDefault="00DA4A97" w:rsidP="00EA2398">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79597815" w14:textId="77777777" w:rsidR="00DA4A97" w:rsidRPr="00DA4A97" w:rsidRDefault="00DA4A97" w:rsidP="00EA2398">
            <w:pPr>
              <w:pStyle w:val="Text1"/>
              <w:spacing w:before="60" w:after="60"/>
              <w:ind w:left="0" w:right="-25"/>
              <w:jc w:val="left"/>
              <w:rPr>
                <w:color w:val="0D0D0D" w:themeColor="text1" w:themeTint="F2"/>
                <w:lang w:val="en-IE"/>
              </w:rPr>
            </w:pPr>
            <w:r w:rsidRPr="0081639E">
              <w:rPr>
                <w:color w:val="0D0D0D" w:themeColor="text1" w:themeTint="F2"/>
              </w:rPr>
              <w:t>Human Development (incl. human capital and youth)</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7860A720" w14:textId="113BCDB3" w:rsidR="00DA4A97" w:rsidRDefault="00874D5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208183453"/>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EF86D3D" w14:textId="6C692EA8" w:rsidR="00DA4A97" w:rsidRDefault="00874D5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516991222"/>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lang w:val="en-IE"/>
                  </w:rPr>
                  <w:t>☒</w:t>
                </w:r>
              </w:sdtContent>
            </w:sdt>
          </w:p>
        </w:tc>
      </w:tr>
      <w:tr w:rsidR="00DA4A97" w:rsidRPr="008704EA" w14:paraId="0CCD1217" w14:textId="77777777" w:rsidTr="00CF7516">
        <w:trPr>
          <w:trHeight w:val="40"/>
        </w:trPr>
        <w:tc>
          <w:tcPr>
            <w:tcW w:w="2330" w:type="dxa"/>
            <w:vMerge/>
            <w:tcBorders>
              <w:left w:val="single" w:sz="4" w:space="0" w:color="auto"/>
              <w:right w:val="single" w:sz="4" w:space="0" w:color="auto"/>
            </w:tcBorders>
            <w:shd w:val="clear" w:color="auto" w:fill="auto"/>
          </w:tcPr>
          <w:p w14:paraId="4F9E4B31" w14:textId="77777777" w:rsidR="00DA4A97" w:rsidRPr="003C0CD7" w:rsidRDefault="00DA4A97" w:rsidP="00EA2398">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06B77DAE" w14:textId="77777777" w:rsidR="00DA4A97" w:rsidRPr="00DA4A97" w:rsidRDefault="00DA4A97" w:rsidP="00EA2398">
            <w:pPr>
              <w:pStyle w:val="Text1"/>
              <w:spacing w:before="60" w:after="60"/>
              <w:ind w:left="0" w:right="-25"/>
              <w:jc w:val="left"/>
              <w:rPr>
                <w:color w:val="0D0D0D" w:themeColor="text1" w:themeTint="F2"/>
                <w:lang w:val="en-IE"/>
              </w:rPr>
            </w:pPr>
            <w:r w:rsidRPr="0081639E">
              <w:rPr>
                <w:color w:val="0D0D0D" w:themeColor="text1" w:themeTint="F2"/>
              </w:rPr>
              <w:t>Health resilience</w:t>
            </w:r>
          </w:p>
        </w:tc>
        <w:tc>
          <w:tcPr>
            <w:tcW w:w="2410"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14:paraId="485D3EBF" w14:textId="08733876" w:rsidR="00DA4A97" w:rsidRDefault="00874D5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669253138"/>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3C3D0A9E" w14:textId="7432B77D" w:rsidR="00DA4A97" w:rsidRDefault="00874D5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583792682"/>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lang w:val="en-IE"/>
                  </w:rPr>
                  <w:t>☒</w:t>
                </w:r>
              </w:sdtContent>
            </w:sdt>
          </w:p>
        </w:tc>
      </w:tr>
      <w:tr w:rsidR="00DA4A97" w:rsidRPr="008704EA" w14:paraId="029B2C64" w14:textId="77777777" w:rsidTr="006266C0">
        <w:trPr>
          <w:trHeight w:val="40"/>
        </w:trPr>
        <w:tc>
          <w:tcPr>
            <w:tcW w:w="2330" w:type="dxa"/>
            <w:vMerge/>
            <w:tcBorders>
              <w:left w:val="single" w:sz="4" w:space="0" w:color="auto"/>
              <w:right w:val="single" w:sz="4" w:space="0" w:color="auto"/>
            </w:tcBorders>
            <w:shd w:val="clear" w:color="auto" w:fill="auto"/>
          </w:tcPr>
          <w:p w14:paraId="323BA2CB" w14:textId="77777777" w:rsidR="00DA4A97" w:rsidRPr="003C0CD7" w:rsidRDefault="00DA4A97" w:rsidP="00EA2398">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34E1268E" w14:textId="77777777" w:rsidR="00DA4A97" w:rsidRPr="00DA4A97" w:rsidRDefault="00DA4A97" w:rsidP="00EA2398">
            <w:pPr>
              <w:pStyle w:val="Text1"/>
              <w:spacing w:before="60" w:after="60"/>
              <w:ind w:left="0" w:right="-25"/>
              <w:jc w:val="left"/>
              <w:rPr>
                <w:color w:val="0D0D0D" w:themeColor="text1" w:themeTint="F2"/>
                <w:lang w:val="en-IE"/>
              </w:rPr>
            </w:pPr>
            <w:r w:rsidRPr="0081639E">
              <w:rPr>
                <w:color w:val="0D0D0D" w:themeColor="text1" w:themeTint="F2"/>
              </w:rPr>
              <w:t>Migration and mobility</w:t>
            </w:r>
          </w:p>
        </w:tc>
        <w:tc>
          <w:tcPr>
            <w:tcW w:w="2410" w:type="dxa"/>
            <w:gridSpan w:val="2"/>
            <w:tcBorders>
              <w:top w:val="single" w:sz="4" w:space="0" w:color="FFFFFF" w:themeColor="background1"/>
              <w:left w:val="single" w:sz="4" w:space="0" w:color="auto"/>
              <w:right w:val="single" w:sz="4" w:space="0" w:color="FFFFFF" w:themeColor="background1"/>
            </w:tcBorders>
            <w:shd w:val="clear" w:color="auto" w:fill="auto"/>
          </w:tcPr>
          <w:p w14:paraId="3C90E323" w14:textId="66F255E9" w:rsidR="00DA4A97" w:rsidRDefault="00874D5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925776598"/>
                <w14:checkbox>
                  <w14:checked w14:val="0"/>
                  <w14:checkedState w14:val="2612" w14:font="MS Gothic"/>
                  <w14:uncheckedState w14:val="2610" w14:font="MS Gothic"/>
                </w14:checkbox>
              </w:sdtPr>
              <w:sdtEndPr/>
              <w:sdtContent>
                <w:r w:rsidR="00C32C5C">
                  <w:rPr>
                    <w:rFonts w:ascii="MS Gothic" w:eastAsia="MS Gothic" w:hAnsi="MS Gothic" w:cs="Segoe UI Symbol" w:hint="eastAsia"/>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right w:val="single" w:sz="4" w:space="0" w:color="auto"/>
            </w:tcBorders>
            <w:shd w:val="clear" w:color="auto" w:fill="auto"/>
          </w:tcPr>
          <w:p w14:paraId="1D668F7B" w14:textId="77C0FF6C" w:rsidR="00DA4A97" w:rsidRDefault="00874D5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272081147"/>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lang w:val="en-IE"/>
                  </w:rPr>
                  <w:t>☒</w:t>
                </w:r>
              </w:sdtContent>
            </w:sdt>
          </w:p>
        </w:tc>
      </w:tr>
      <w:tr w:rsidR="00DA4A97" w:rsidRPr="008704EA" w14:paraId="5F9CB707" w14:textId="77777777" w:rsidTr="006266C0">
        <w:trPr>
          <w:trHeight w:val="40"/>
        </w:trPr>
        <w:tc>
          <w:tcPr>
            <w:tcW w:w="2330" w:type="dxa"/>
            <w:vMerge/>
            <w:tcBorders>
              <w:left w:val="single" w:sz="4" w:space="0" w:color="auto"/>
              <w:right w:val="single" w:sz="4" w:space="0" w:color="auto"/>
            </w:tcBorders>
            <w:shd w:val="clear" w:color="auto" w:fill="auto"/>
          </w:tcPr>
          <w:p w14:paraId="1602AF7A" w14:textId="77777777" w:rsidR="00DA4A97" w:rsidRPr="003C0CD7" w:rsidRDefault="00DA4A97" w:rsidP="00EA2398">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0012A92D" w14:textId="77777777" w:rsidR="00DA4A97" w:rsidRPr="00DA4A97" w:rsidRDefault="00DA4A97" w:rsidP="00EA2398">
            <w:pPr>
              <w:pStyle w:val="Text1"/>
              <w:spacing w:before="60" w:after="60"/>
              <w:ind w:left="0" w:right="-25"/>
              <w:jc w:val="left"/>
              <w:rPr>
                <w:color w:val="0D0D0D" w:themeColor="text1" w:themeTint="F2"/>
                <w:lang w:val="en-IE"/>
              </w:rPr>
            </w:pPr>
            <w:r w:rsidRPr="0081639E">
              <w:rPr>
                <w:color w:val="0D0D0D" w:themeColor="text1" w:themeTint="F2"/>
                <w:lang w:val="en-IE"/>
              </w:rPr>
              <w:t>Agriculture, food security and rural development</w:t>
            </w:r>
          </w:p>
        </w:tc>
        <w:tc>
          <w:tcPr>
            <w:tcW w:w="2410" w:type="dxa"/>
            <w:gridSpan w:val="2"/>
            <w:tcBorders>
              <w:left w:val="single" w:sz="4" w:space="0" w:color="auto"/>
              <w:bottom w:val="single" w:sz="4" w:space="0" w:color="FFFFFF" w:themeColor="background1"/>
              <w:right w:val="single" w:sz="4" w:space="0" w:color="FFFFFF" w:themeColor="background1"/>
            </w:tcBorders>
            <w:shd w:val="clear" w:color="auto" w:fill="auto"/>
          </w:tcPr>
          <w:p w14:paraId="66F0E342" w14:textId="5CDE4AD2" w:rsidR="00DA4A97" w:rsidRDefault="00874D5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84305851"/>
                <w14:checkbox>
                  <w14:checked w14:val="1"/>
                  <w14:checkedState w14:val="2612" w14:font="MS Gothic"/>
                  <w14:uncheckedState w14:val="2610" w14:font="MS Gothic"/>
                </w14:checkbox>
              </w:sdtPr>
              <w:sdtEndPr/>
              <w:sdtContent>
                <w:r w:rsidR="00445553">
                  <w:rPr>
                    <w:rFonts w:ascii="MS Gothic" w:eastAsia="MS Gothic" w:hAnsi="MS Gothic" w:cs="Segoe UI Symbol" w:hint="eastAsia"/>
                    <w:color w:val="0D0D0D" w:themeColor="text1" w:themeTint="F2"/>
                    <w:lang w:val="en-IE"/>
                  </w:rPr>
                  <w:t>☒</w:t>
                </w:r>
              </w:sdtContent>
            </w:sdt>
          </w:p>
        </w:tc>
        <w:tc>
          <w:tcPr>
            <w:tcW w:w="2410" w:type="dxa"/>
            <w:gridSpan w:val="2"/>
            <w:tcBorders>
              <w:left w:val="single" w:sz="4" w:space="0" w:color="FFFFFF" w:themeColor="background1"/>
              <w:bottom w:val="single" w:sz="4" w:space="0" w:color="FFFFFF" w:themeColor="background1"/>
              <w:right w:val="single" w:sz="4" w:space="0" w:color="auto"/>
            </w:tcBorders>
            <w:shd w:val="clear" w:color="auto" w:fill="auto"/>
          </w:tcPr>
          <w:p w14:paraId="424B58DC" w14:textId="40124F0F" w:rsidR="00DA4A97" w:rsidRDefault="00874D5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887530982"/>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r>
      <w:tr w:rsidR="00DA4A97" w:rsidRPr="008704EA" w14:paraId="775A9BEB" w14:textId="77777777" w:rsidTr="00CF7516">
        <w:trPr>
          <w:trHeight w:val="40"/>
        </w:trPr>
        <w:tc>
          <w:tcPr>
            <w:tcW w:w="2330" w:type="dxa"/>
            <w:vMerge/>
            <w:tcBorders>
              <w:left w:val="single" w:sz="4" w:space="0" w:color="auto"/>
              <w:right w:val="single" w:sz="4" w:space="0" w:color="auto"/>
            </w:tcBorders>
            <w:shd w:val="clear" w:color="auto" w:fill="auto"/>
          </w:tcPr>
          <w:p w14:paraId="1A266FD9" w14:textId="77777777" w:rsidR="00DA4A97" w:rsidRPr="003C0CD7" w:rsidRDefault="00DA4A97" w:rsidP="00EA2398">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FFFFFF" w:themeColor="background1"/>
              <w:right w:val="single" w:sz="4" w:space="0" w:color="000000" w:themeColor="text1"/>
            </w:tcBorders>
            <w:shd w:val="clear" w:color="auto" w:fill="auto"/>
          </w:tcPr>
          <w:p w14:paraId="4F9D8550" w14:textId="77777777" w:rsidR="00DA4A97" w:rsidRPr="00DA4A97" w:rsidRDefault="00DA4A97" w:rsidP="00EA2398">
            <w:pPr>
              <w:pStyle w:val="Text1"/>
              <w:spacing w:before="60" w:after="60"/>
              <w:ind w:left="0" w:right="-25"/>
              <w:jc w:val="left"/>
              <w:rPr>
                <w:color w:val="0D0D0D" w:themeColor="text1" w:themeTint="F2"/>
                <w:lang w:val="en-IE"/>
              </w:rPr>
            </w:pPr>
            <w:r w:rsidRPr="0081639E">
              <w:rPr>
                <w:color w:val="0D0D0D" w:themeColor="text1" w:themeTint="F2"/>
                <w:lang w:val="en-IE"/>
              </w:rPr>
              <w:t>Rule of law, governance and Public Administration reform</w:t>
            </w:r>
          </w:p>
        </w:tc>
        <w:tc>
          <w:tcPr>
            <w:tcW w:w="2410"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auto"/>
          </w:tcPr>
          <w:p w14:paraId="691031B7" w14:textId="32806B36" w:rsidR="00DA4A97" w:rsidRDefault="00874D5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576315249"/>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2D5029A6" w14:textId="441D112F" w:rsidR="00DA4A97" w:rsidRDefault="00874D5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333299479"/>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lang w:val="en-IE"/>
                  </w:rPr>
                  <w:t>☒</w:t>
                </w:r>
              </w:sdtContent>
            </w:sdt>
          </w:p>
        </w:tc>
      </w:tr>
      <w:tr w:rsidR="00DA4A97" w:rsidRPr="008704EA" w14:paraId="5365897C" w14:textId="77777777" w:rsidTr="00CA22CD">
        <w:trPr>
          <w:trHeight w:val="243"/>
        </w:trPr>
        <w:tc>
          <w:tcPr>
            <w:tcW w:w="2330" w:type="dxa"/>
            <w:vMerge/>
            <w:tcBorders>
              <w:top w:val="single" w:sz="4" w:space="0" w:color="000000" w:themeColor="text1"/>
              <w:left w:val="single" w:sz="4" w:space="0" w:color="auto"/>
              <w:right w:val="single" w:sz="4" w:space="0" w:color="auto"/>
            </w:tcBorders>
            <w:shd w:val="clear" w:color="auto" w:fill="auto"/>
          </w:tcPr>
          <w:p w14:paraId="6A1C85AC" w14:textId="77777777" w:rsidR="00DA4A97" w:rsidRPr="003C0CD7" w:rsidRDefault="00DA4A97" w:rsidP="00EA2398">
            <w:pPr>
              <w:jc w:val="left"/>
              <w:rPr>
                <w:b/>
                <w:bCs/>
                <w:color w:val="0D0D0D" w:themeColor="text1" w:themeTint="F2"/>
                <w:szCs w:val="24"/>
                <w:lang w:val="en-IE"/>
              </w:rPr>
            </w:pPr>
          </w:p>
        </w:tc>
        <w:tc>
          <w:tcPr>
            <w:tcW w:w="3482" w:type="dxa"/>
            <w:tcBorders>
              <w:top w:val="single" w:sz="4" w:space="0" w:color="FFFFFF" w:themeColor="background1"/>
              <w:left w:val="single" w:sz="4" w:space="0" w:color="auto"/>
              <w:bottom w:val="single" w:sz="4" w:space="0" w:color="auto"/>
              <w:right w:val="single" w:sz="4" w:space="0" w:color="000000" w:themeColor="text1"/>
            </w:tcBorders>
            <w:shd w:val="clear" w:color="auto" w:fill="auto"/>
          </w:tcPr>
          <w:p w14:paraId="634108B3" w14:textId="77777777" w:rsidR="00DA4A97" w:rsidRPr="00DA4A97" w:rsidRDefault="00DA4A97" w:rsidP="00EA2398">
            <w:pPr>
              <w:pStyle w:val="Text1"/>
              <w:spacing w:before="60" w:after="60"/>
              <w:ind w:left="0" w:right="-25"/>
              <w:jc w:val="left"/>
              <w:rPr>
                <w:color w:val="0D0D0D" w:themeColor="text1" w:themeTint="F2"/>
                <w:lang w:val="en-IE"/>
              </w:rPr>
            </w:pPr>
            <w:r>
              <w:rPr>
                <w:color w:val="0D0D0D" w:themeColor="text1" w:themeTint="F2"/>
                <w:lang w:val="en-IE"/>
              </w:rPr>
              <w:t>Other</w:t>
            </w:r>
          </w:p>
        </w:tc>
        <w:tc>
          <w:tcPr>
            <w:tcW w:w="2410" w:type="dxa"/>
            <w:gridSpan w:val="2"/>
            <w:tcBorders>
              <w:top w:val="single" w:sz="4" w:space="0" w:color="FFFFFF" w:themeColor="background1"/>
              <w:left w:val="single" w:sz="4" w:space="0" w:color="000000" w:themeColor="text1"/>
              <w:bottom w:val="single" w:sz="4" w:space="0" w:color="auto"/>
              <w:right w:val="single" w:sz="4" w:space="0" w:color="FFFFFF" w:themeColor="background1"/>
            </w:tcBorders>
            <w:shd w:val="clear" w:color="auto" w:fill="auto"/>
          </w:tcPr>
          <w:p w14:paraId="50F7A679" w14:textId="2B1AC785" w:rsidR="00DA4A97" w:rsidRDefault="00874D5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966075610"/>
                <w14:checkbox>
                  <w14:checked w14:val="0"/>
                  <w14:checkedState w14:val="2612" w14:font="MS Gothic"/>
                  <w14:uncheckedState w14:val="2610" w14:font="MS Gothic"/>
                </w14:checkbox>
              </w:sdtPr>
              <w:sdtEndPr/>
              <w:sdtContent>
                <w:r w:rsidR="00DA4A97" w:rsidRPr="003C0CD7">
                  <w:rPr>
                    <w:rFonts w:ascii="MS Gothic" w:eastAsia="MS Gothic" w:hAnsi="MS Gothic" w:cs="Segoe UI Symbol"/>
                    <w:color w:val="0D0D0D" w:themeColor="text1" w:themeTint="F2"/>
                    <w:lang w:val="en-IE"/>
                  </w:rPr>
                  <w:t>☐</w:t>
                </w:r>
              </w:sdtContent>
            </w:sdt>
          </w:p>
        </w:tc>
        <w:tc>
          <w:tcPr>
            <w:tcW w:w="2410" w:type="dxa"/>
            <w:gridSpan w:val="2"/>
            <w:tcBorders>
              <w:top w:val="single" w:sz="4" w:space="0" w:color="FFFFFF" w:themeColor="background1"/>
              <w:left w:val="single" w:sz="4" w:space="0" w:color="FFFFFF" w:themeColor="background1"/>
              <w:bottom w:val="single" w:sz="4" w:space="0" w:color="auto"/>
              <w:right w:val="single" w:sz="4" w:space="0" w:color="auto"/>
            </w:tcBorders>
            <w:shd w:val="clear" w:color="auto" w:fill="auto"/>
          </w:tcPr>
          <w:p w14:paraId="47BA5BEE" w14:textId="62E0BCF0" w:rsidR="00DA4A97" w:rsidRDefault="00874D53" w:rsidP="00EA2398">
            <w:pPr>
              <w:pStyle w:val="Text1"/>
              <w:spacing w:before="60" w:after="60"/>
              <w:ind w:left="0" w:right="-25"/>
              <w:jc w:val="center"/>
              <w:rPr>
                <w:rFonts w:eastAsia="MS Gothic"/>
                <w:color w:val="0D0D0D" w:themeColor="text1" w:themeTint="F2"/>
                <w:sz w:val="22"/>
              </w:rPr>
            </w:pPr>
            <w:sdt>
              <w:sdtPr>
                <w:rPr>
                  <w:rFonts w:ascii="Segoe UI Symbol" w:eastAsia="MS Gothic" w:hAnsi="Segoe UI Symbol" w:cs="Segoe UI Symbol"/>
                  <w:color w:val="0D0D0D" w:themeColor="text1" w:themeTint="F2"/>
                  <w:lang w:val="en-IE"/>
                </w:rPr>
                <w:id w:val="1147559416"/>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lang w:val="en-IE"/>
                  </w:rPr>
                  <w:t>☒</w:t>
                </w:r>
              </w:sdtContent>
            </w:sdt>
          </w:p>
        </w:tc>
      </w:tr>
      <w:tr w:rsidR="007230DA" w:rsidRPr="008704EA" w14:paraId="46684703" w14:textId="77777777" w:rsidTr="00C85643">
        <w:trPr>
          <w:trHeight w:val="40"/>
        </w:trPr>
        <w:tc>
          <w:tcPr>
            <w:tcW w:w="2330" w:type="dxa"/>
            <w:vMerge/>
            <w:tcBorders>
              <w:left w:val="single" w:sz="4" w:space="0" w:color="auto"/>
              <w:right w:val="single" w:sz="4" w:space="0" w:color="auto"/>
            </w:tcBorders>
            <w:shd w:val="clear" w:color="auto" w:fill="auto"/>
          </w:tcPr>
          <w:p w14:paraId="79583395" w14:textId="77777777" w:rsidR="007230DA" w:rsidRPr="003C0CD7" w:rsidRDefault="007230DA" w:rsidP="00EA2398">
            <w:pPr>
              <w:jc w:val="left"/>
              <w:rPr>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47BFDDA7" w14:textId="77777777" w:rsidR="007230DA" w:rsidRPr="00C85643" w:rsidRDefault="007230DA" w:rsidP="00EA2398">
            <w:pPr>
              <w:pStyle w:val="Text1"/>
              <w:spacing w:before="60" w:after="60"/>
              <w:ind w:left="0" w:right="-25"/>
              <w:jc w:val="left"/>
              <w:rPr>
                <w:b/>
                <w:color w:val="0D0D0D" w:themeColor="text1" w:themeTint="F2"/>
                <w:lang w:val="en-IE"/>
              </w:rPr>
            </w:pPr>
            <w:r w:rsidRPr="005D6559">
              <w:rPr>
                <w:color w:val="0D0D0D" w:themeColor="text1" w:themeTint="F2"/>
              </w:rPr>
              <w:t>Digitalisation</w:t>
            </w:r>
            <w:r w:rsidR="00411D72">
              <w:rPr>
                <w:rStyle w:val="FootnoteReference"/>
                <w:color w:val="0D0D0D" w:themeColor="text1" w:themeTint="F2"/>
              </w:rPr>
              <w:footnoteReference w:id="10"/>
            </w:r>
            <w:r w:rsidRPr="005D6559">
              <w:rPr>
                <w:color w:val="0D0D0D" w:themeColor="text1" w:themeTint="F2"/>
              </w:rPr>
              <w:t xml:space="preserve"> </w:t>
            </w:r>
            <w:hyperlink r:id="rId19" w:anchor="DAC-Chapter3-3.6.5.1Digitalisation" w:history="1">
              <w:r w:rsidRPr="005D6559">
                <w:rPr>
                  <w:rStyle w:val="Hyperlink"/>
                </w:rPr>
                <w:t>@</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A739B2" w14:textId="77777777" w:rsidR="007230DA" w:rsidRPr="00C85643" w:rsidRDefault="00874D53" w:rsidP="00EA2398">
            <w:pPr>
              <w:pStyle w:val="Text1"/>
              <w:spacing w:before="60" w:after="60"/>
              <w:ind w:left="0" w:right="-25"/>
              <w:jc w:val="left"/>
              <w:rPr>
                <w:b/>
                <w:color w:val="0D0D0D" w:themeColor="text1" w:themeTint="F2"/>
                <w:lang w:val="en-IE"/>
              </w:rPr>
            </w:pPr>
            <w:sdt>
              <w:sdtPr>
                <w:rPr>
                  <w:rFonts w:eastAsia="MS Gothic"/>
                  <w:color w:val="0D0D0D" w:themeColor="text1" w:themeTint="F2"/>
                  <w:sz w:val="22"/>
                </w:rPr>
                <w:id w:val="838426788"/>
                <w14:checkbox>
                  <w14:checked w14:val="0"/>
                  <w14:checkedState w14:val="2612" w14:font="MS Gothic"/>
                  <w14:uncheckedState w14:val="2610" w14:font="MS Gothic"/>
                </w14:checkbox>
              </w:sdtPr>
              <w:sdtEndPr/>
              <w:sdtContent>
                <w:r w:rsidR="007230DA" w:rsidRPr="003775F2">
                  <w:rPr>
                    <w:rFonts w:ascii="Segoe UI Symbol" w:eastAsia="MS Gothic" w:hAnsi="Segoe UI Symbol"/>
                    <w:color w:val="0D0D0D" w:themeColor="text1" w:themeTint="F2"/>
                    <w:sz w:val="22"/>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85D15F6" w14:textId="5F12B340" w:rsidR="007230DA" w:rsidRPr="00C85643" w:rsidRDefault="00874D53" w:rsidP="00EA2398">
            <w:pPr>
              <w:pStyle w:val="Text1"/>
              <w:spacing w:before="60" w:after="60"/>
              <w:ind w:left="0" w:right="-25"/>
              <w:jc w:val="left"/>
              <w:rPr>
                <w:b/>
                <w:color w:val="0D0D0D" w:themeColor="text1" w:themeTint="F2"/>
                <w:lang w:val="en-IE"/>
              </w:rPr>
            </w:pPr>
            <w:sdt>
              <w:sdtPr>
                <w:rPr>
                  <w:rFonts w:eastAsia="MS Gothic"/>
                  <w:color w:val="0D0D0D" w:themeColor="text1" w:themeTint="F2"/>
                  <w:sz w:val="22"/>
                </w:rPr>
                <w:id w:val="-1631311115"/>
                <w14:checkbox>
                  <w14:checked w14:val="1"/>
                  <w14:checkedState w14:val="2612" w14:font="MS Gothic"/>
                  <w14:uncheckedState w14:val="2610" w14:font="MS Gothic"/>
                </w14:checkbox>
              </w:sdtPr>
              <w:sdtEndPr/>
              <w:sdtContent>
                <w:r w:rsidR="00445553">
                  <w:rPr>
                    <w:rFonts w:ascii="MS Gothic" w:eastAsia="MS Gothic" w:hAnsi="MS Gothic" w:hint="eastAsia"/>
                    <w:color w:val="0D0D0D" w:themeColor="text1" w:themeTint="F2"/>
                    <w:sz w:val="22"/>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207654" w14:textId="77777777" w:rsidR="007230DA" w:rsidRPr="00C85643" w:rsidRDefault="00874D53" w:rsidP="00EA2398">
            <w:pPr>
              <w:pStyle w:val="Text1"/>
              <w:spacing w:before="60" w:after="60"/>
              <w:ind w:left="0" w:right="-25"/>
              <w:jc w:val="left"/>
              <w:rPr>
                <w:b/>
                <w:color w:val="0D0D0D" w:themeColor="text1" w:themeTint="F2"/>
                <w:lang w:val="en-IE"/>
              </w:rPr>
            </w:pPr>
            <w:sdt>
              <w:sdtPr>
                <w:rPr>
                  <w:rFonts w:eastAsia="MS Gothic"/>
                  <w:color w:val="0D0D0D" w:themeColor="text1" w:themeTint="F2"/>
                  <w:sz w:val="22"/>
                </w:rPr>
                <w:id w:val="1062148639"/>
                <w14:checkbox>
                  <w14:checked w14:val="0"/>
                  <w14:checkedState w14:val="2612" w14:font="MS Gothic"/>
                  <w14:uncheckedState w14:val="2610" w14:font="MS Gothic"/>
                </w14:checkbox>
              </w:sdtPr>
              <w:sdtEndPr/>
              <w:sdtContent>
                <w:r w:rsidR="007230DA" w:rsidRPr="003775F2">
                  <w:rPr>
                    <w:rFonts w:ascii="Segoe UI Symbol" w:eastAsia="MS Gothic" w:hAnsi="Segoe UI Symbol"/>
                    <w:color w:val="0D0D0D" w:themeColor="text1" w:themeTint="F2"/>
                    <w:sz w:val="22"/>
                  </w:rPr>
                  <w:t>☐</w:t>
                </w:r>
              </w:sdtContent>
            </w:sdt>
          </w:p>
        </w:tc>
      </w:tr>
      <w:tr w:rsidR="00613AD4" w:rsidRPr="008704EA" w14:paraId="051D42E6" w14:textId="77777777" w:rsidTr="00CA22CD">
        <w:trPr>
          <w:trHeight w:val="2070"/>
        </w:trPr>
        <w:tc>
          <w:tcPr>
            <w:tcW w:w="2330" w:type="dxa"/>
            <w:vMerge/>
            <w:tcBorders>
              <w:left w:val="single" w:sz="4" w:space="0" w:color="auto"/>
              <w:right w:val="single" w:sz="4" w:space="0" w:color="auto"/>
            </w:tcBorders>
            <w:shd w:val="clear" w:color="auto" w:fill="auto"/>
          </w:tcPr>
          <w:p w14:paraId="29791768" w14:textId="77777777" w:rsidR="00613AD4" w:rsidRPr="003C0CD7" w:rsidRDefault="00613AD4" w:rsidP="00EA2398">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2583B80A" w14:textId="77777777" w:rsidR="00613AD4" w:rsidRDefault="00613AD4" w:rsidP="00EA2398">
            <w:pPr>
              <w:pStyle w:val="Text1"/>
              <w:spacing w:before="60" w:after="60"/>
              <w:ind w:left="0" w:right="-25"/>
              <w:jc w:val="left"/>
              <w:rPr>
                <w:color w:val="0D0D0D" w:themeColor="text1" w:themeTint="F2"/>
              </w:rPr>
            </w:pPr>
            <w:r>
              <w:rPr>
                <w:color w:val="0D0D0D" w:themeColor="text1" w:themeTint="F2"/>
              </w:rPr>
              <w:t>Tags</w:t>
            </w:r>
            <w:r>
              <w:rPr>
                <w:rStyle w:val="FootnoteReference"/>
                <w:color w:val="0D0D0D" w:themeColor="text1" w:themeTint="F2"/>
              </w:rPr>
              <w:footnoteReference w:id="11"/>
            </w:r>
          </w:p>
          <w:p w14:paraId="49382782" w14:textId="77777777" w:rsidR="00613AD4" w:rsidRPr="00EE373C" w:rsidRDefault="00613AD4" w:rsidP="00EA2398">
            <w:pPr>
              <w:pStyle w:val="Text1"/>
              <w:spacing w:before="60" w:after="60"/>
              <w:ind w:left="720" w:right="-25"/>
              <w:jc w:val="left"/>
              <w:rPr>
                <w:rFonts w:eastAsiaTheme="minorHAnsi"/>
                <w:lang w:val="en-IE"/>
              </w:rPr>
            </w:pPr>
            <w:r w:rsidRPr="00EE373C">
              <w:rPr>
                <w:rFonts w:eastAsiaTheme="minorHAnsi"/>
                <w:lang w:val="en-IE"/>
              </w:rPr>
              <w:t xml:space="preserve">digital connectivity </w:t>
            </w:r>
          </w:p>
          <w:p w14:paraId="0A5071D5" w14:textId="77777777" w:rsidR="00613AD4" w:rsidRPr="00EE373C" w:rsidRDefault="00613AD4" w:rsidP="00EA2398">
            <w:pPr>
              <w:pStyle w:val="Text1"/>
              <w:spacing w:before="60" w:after="60"/>
              <w:ind w:left="720" w:right="-25"/>
              <w:jc w:val="left"/>
              <w:rPr>
                <w:rFonts w:eastAsiaTheme="minorHAnsi"/>
                <w:lang w:val="en-IE"/>
              </w:rPr>
            </w:pPr>
            <w:r w:rsidRPr="00EE373C">
              <w:rPr>
                <w:rFonts w:eastAsiaTheme="minorHAnsi"/>
                <w:lang w:val="en-IE"/>
              </w:rPr>
              <w:t xml:space="preserve">digital governance </w:t>
            </w:r>
          </w:p>
          <w:p w14:paraId="4B2BB66B" w14:textId="77777777" w:rsidR="00613AD4" w:rsidRPr="00EE373C" w:rsidRDefault="00613AD4" w:rsidP="00EA2398">
            <w:pPr>
              <w:pStyle w:val="Text1"/>
              <w:spacing w:before="60" w:after="60"/>
              <w:ind w:left="720" w:right="-25"/>
              <w:jc w:val="left"/>
              <w:rPr>
                <w:rFonts w:eastAsiaTheme="minorHAnsi"/>
                <w:lang w:val="en-IE"/>
              </w:rPr>
            </w:pPr>
            <w:r w:rsidRPr="00EE373C">
              <w:rPr>
                <w:rFonts w:eastAsiaTheme="minorHAnsi"/>
                <w:lang w:val="en-IE"/>
              </w:rPr>
              <w:t>digital entrepreneurship</w:t>
            </w:r>
          </w:p>
          <w:p w14:paraId="67020FFE" w14:textId="77777777" w:rsidR="00613AD4" w:rsidRPr="00EE373C" w:rsidRDefault="00613AD4" w:rsidP="00EA2398">
            <w:pPr>
              <w:pStyle w:val="Text1"/>
              <w:spacing w:before="60" w:after="60"/>
              <w:ind w:left="720" w:right="-25"/>
              <w:jc w:val="left"/>
              <w:rPr>
                <w:rFonts w:eastAsiaTheme="minorHAnsi"/>
                <w:lang w:val="en-IE"/>
              </w:rPr>
            </w:pPr>
            <w:r w:rsidRPr="00EE373C">
              <w:rPr>
                <w:rFonts w:eastAsiaTheme="minorHAnsi"/>
                <w:lang w:val="en-IE"/>
              </w:rPr>
              <w:t>digital skills/literacy</w:t>
            </w:r>
          </w:p>
          <w:p w14:paraId="552C7D68" w14:textId="77777777" w:rsidR="00613AD4" w:rsidRPr="003C0CD7" w:rsidRDefault="00613AD4" w:rsidP="00EA2398">
            <w:pPr>
              <w:pStyle w:val="Text1"/>
              <w:spacing w:before="60" w:after="60"/>
              <w:ind w:left="720" w:right="-25"/>
              <w:jc w:val="left"/>
              <w:rPr>
                <w:color w:val="0D0D0D" w:themeColor="text1" w:themeTint="F2"/>
                <w:lang w:val="en-IE"/>
              </w:rPr>
            </w:pPr>
            <w:r w:rsidRPr="00EE373C">
              <w:rPr>
                <w:rFonts w:eastAsiaTheme="minorHAnsi"/>
                <w:lang w:val="en-IE"/>
              </w:rPr>
              <w:t>digital services</w:t>
            </w:r>
            <w:r w:rsidRPr="005D6559">
              <w:rPr>
                <w:color w:val="0D0D0D" w:themeColor="text1" w:themeTint="F2"/>
              </w:rPr>
              <w:t xml:space="preserve"> </w:t>
            </w:r>
          </w:p>
        </w:tc>
        <w:tc>
          <w:tcPr>
            <w:tcW w:w="2410" w:type="dxa"/>
            <w:gridSpan w:val="2"/>
            <w:tcBorders>
              <w:top w:val="single" w:sz="4" w:space="0" w:color="auto"/>
              <w:left w:val="single" w:sz="4" w:space="0" w:color="auto"/>
              <w:bottom w:val="single" w:sz="4" w:space="0" w:color="auto"/>
              <w:right w:val="single" w:sz="4" w:space="0" w:color="FFFFFF"/>
            </w:tcBorders>
            <w:shd w:val="clear" w:color="auto" w:fill="auto"/>
          </w:tcPr>
          <w:p w14:paraId="26D3DB78" w14:textId="77777777" w:rsidR="00613AD4" w:rsidRPr="00C85643" w:rsidRDefault="00613AD4" w:rsidP="00EA2398">
            <w:pPr>
              <w:pStyle w:val="Text1"/>
              <w:spacing w:before="60" w:after="60"/>
              <w:ind w:left="0" w:right="-25"/>
              <w:jc w:val="center"/>
              <w:rPr>
                <w:rFonts w:eastAsia="MS Gothic"/>
              </w:rPr>
            </w:pPr>
            <w:r w:rsidRPr="00C85643">
              <w:rPr>
                <w:rFonts w:eastAsia="MS Gothic"/>
              </w:rPr>
              <w:t>YES</w:t>
            </w:r>
          </w:p>
          <w:p w14:paraId="28975885" w14:textId="77777777" w:rsidR="00613AD4" w:rsidRPr="002719BB" w:rsidRDefault="00874D53" w:rsidP="00EA2398">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2079792797"/>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512BBC8F" w14:textId="54EA9F9A" w:rsidR="00613AD4" w:rsidRPr="002719BB" w:rsidRDefault="00874D53" w:rsidP="00EA2398">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277787617"/>
                <w14:checkbox>
                  <w14:checked w14:val="1"/>
                  <w14:checkedState w14:val="2612" w14:font="MS Gothic"/>
                  <w14:uncheckedState w14:val="2610" w14:font="MS Gothic"/>
                </w14:checkbox>
              </w:sdtPr>
              <w:sdtEndPr/>
              <w:sdtContent>
                <w:r w:rsidR="00445553">
                  <w:rPr>
                    <w:rFonts w:ascii="MS Gothic" w:eastAsia="MS Gothic" w:hAnsi="MS Gothic" w:cs="Segoe UI Symbol" w:hint="eastAsia"/>
                    <w:sz w:val="22"/>
                    <w:szCs w:val="22"/>
                  </w:rPr>
                  <w:t>☒</w:t>
                </w:r>
              </w:sdtContent>
            </w:sdt>
          </w:p>
          <w:p w14:paraId="15ED966A" w14:textId="77777777" w:rsidR="00613AD4" w:rsidRPr="002719BB" w:rsidRDefault="00874D53" w:rsidP="00EA2398">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889382601"/>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56B01987" w14:textId="77777777" w:rsidR="00613AD4" w:rsidRDefault="00874D53" w:rsidP="00EA2398">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715628141"/>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3CD032A6" w14:textId="4E0D5531" w:rsidR="00613AD4" w:rsidRDefault="00874D53" w:rsidP="00EA2398">
            <w:pPr>
              <w:pStyle w:val="Text1"/>
              <w:spacing w:before="60" w:after="60"/>
              <w:ind w:left="0" w:right="-25"/>
              <w:jc w:val="center"/>
              <w:rPr>
                <w:rFonts w:ascii="Segoe UI Symbol" w:eastAsia="MS Gothic" w:hAnsi="Segoe UI Symbol"/>
              </w:rPr>
            </w:pPr>
            <w:sdt>
              <w:sdtPr>
                <w:rPr>
                  <w:rFonts w:ascii="Segoe UI Symbol" w:eastAsia="MS Gothic" w:hAnsi="Segoe UI Symbol"/>
                  <w:sz w:val="22"/>
                </w:rPr>
                <w:id w:val="645477591"/>
                <w14:checkbox>
                  <w14:checked w14:val="0"/>
                  <w14:checkedState w14:val="2612" w14:font="MS Gothic"/>
                  <w14:uncheckedState w14:val="2610" w14:font="MS Gothic"/>
                </w14:checkbox>
              </w:sdtPr>
              <w:sdtEndPr/>
              <w:sdtContent>
                <w:r w:rsidR="005E3DF9">
                  <w:rPr>
                    <w:rFonts w:ascii="MS Gothic" w:eastAsia="MS Gothic" w:hAnsi="MS Gothic" w:hint="eastAsia"/>
                    <w:sz w:val="22"/>
                  </w:rPr>
                  <w:t>☐</w:t>
                </w:r>
              </w:sdtContent>
            </w:sdt>
          </w:p>
        </w:tc>
        <w:tc>
          <w:tcPr>
            <w:tcW w:w="2410" w:type="dxa"/>
            <w:gridSpan w:val="2"/>
            <w:tcBorders>
              <w:top w:val="single" w:sz="4" w:space="0" w:color="auto"/>
              <w:left w:val="single" w:sz="4" w:space="0" w:color="FFFFFF"/>
              <w:bottom w:val="single" w:sz="4" w:space="0" w:color="auto"/>
              <w:right w:val="single" w:sz="4" w:space="0" w:color="auto"/>
            </w:tcBorders>
            <w:shd w:val="clear" w:color="auto" w:fill="auto"/>
          </w:tcPr>
          <w:p w14:paraId="1A33E5A5" w14:textId="77777777" w:rsidR="00613AD4" w:rsidRPr="00C85643" w:rsidRDefault="00613AD4" w:rsidP="00EA2398">
            <w:pPr>
              <w:pStyle w:val="Text1"/>
              <w:spacing w:before="60" w:after="60"/>
              <w:ind w:left="0" w:right="-25"/>
              <w:jc w:val="center"/>
              <w:rPr>
                <w:rFonts w:eastAsia="MS Gothic"/>
                <w:color w:val="0D0D0D" w:themeColor="text1" w:themeTint="F2"/>
              </w:rPr>
            </w:pPr>
            <w:r w:rsidRPr="00C85643">
              <w:rPr>
                <w:rFonts w:eastAsia="MS Gothic"/>
                <w:color w:val="0D0D0D" w:themeColor="text1" w:themeTint="F2"/>
              </w:rPr>
              <w:t>NO</w:t>
            </w:r>
          </w:p>
          <w:p w14:paraId="53FDAE87" w14:textId="47F9C145" w:rsidR="00613AD4" w:rsidRPr="005D6559" w:rsidRDefault="00874D53" w:rsidP="00EA2398">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1094627389"/>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sz w:val="22"/>
                  </w:rPr>
                  <w:t>☒</w:t>
                </w:r>
              </w:sdtContent>
            </w:sdt>
          </w:p>
          <w:p w14:paraId="461D44BD" w14:textId="77777777" w:rsidR="00613AD4" w:rsidRPr="005D6559" w:rsidRDefault="00874D53" w:rsidP="00EA2398">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849610438"/>
                <w14:checkbox>
                  <w14:checked w14:val="0"/>
                  <w14:checkedState w14:val="2612" w14:font="MS Gothic"/>
                  <w14:uncheckedState w14:val="2610" w14:font="MS Gothic"/>
                </w14:checkbox>
              </w:sdtPr>
              <w:sdtEndPr/>
              <w:sdtContent>
                <w:r w:rsidR="00613AD4" w:rsidRPr="005D6559">
                  <w:rPr>
                    <w:rFonts w:ascii="Segoe UI Symbol" w:eastAsia="MS Gothic" w:hAnsi="Segoe UI Symbol" w:cs="Segoe UI Symbol"/>
                    <w:color w:val="0D0D0D" w:themeColor="text1" w:themeTint="F2"/>
                    <w:sz w:val="22"/>
                  </w:rPr>
                  <w:t>☐</w:t>
                </w:r>
              </w:sdtContent>
            </w:sdt>
          </w:p>
          <w:p w14:paraId="6BE2DC60" w14:textId="5378443D" w:rsidR="00613AD4" w:rsidRPr="005D6559" w:rsidRDefault="00874D53" w:rsidP="00EA2398">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162783868"/>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sz w:val="22"/>
                  </w:rPr>
                  <w:t>☒</w:t>
                </w:r>
              </w:sdtContent>
            </w:sdt>
          </w:p>
          <w:p w14:paraId="792D4748" w14:textId="47DEBFA3" w:rsidR="00613AD4" w:rsidRPr="005D6559" w:rsidRDefault="00874D53" w:rsidP="00EA2398">
            <w:pPr>
              <w:pStyle w:val="Text1"/>
              <w:spacing w:before="60" w:after="60"/>
              <w:ind w:left="0" w:right="-25"/>
              <w:jc w:val="center"/>
              <w:rPr>
                <w:rFonts w:eastAsia="MS Gothic"/>
                <w:color w:val="0D0D0D" w:themeColor="text1" w:themeTint="F2"/>
                <w:sz w:val="22"/>
              </w:rPr>
            </w:pPr>
            <w:sdt>
              <w:sdtPr>
                <w:rPr>
                  <w:rFonts w:eastAsia="MS Gothic"/>
                  <w:color w:val="0D0D0D" w:themeColor="text1" w:themeTint="F2"/>
                  <w:sz w:val="22"/>
                </w:rPr>
                <w:id w:val="-910540456"/>
                <w14:checkbox>
                  <w14:checked w14:val="1"/>
                  <w14:checkedState w14:val="2612" w14:font="MS Gothic"/>
                  <w14:uncheckedState w14:val="2610" w14:font="MS Gothic"/>
                </w14:checkbox>
              </w:sdtPr>
              <w:sdtEndPr/>
              <w:sdtContent>
                <w:r w:rsidR="002E25A7">
                  <w:rPr>
                    <w:rFonts w:ascii="MS Gothic" w:eastAsia="MS Gothic" w:hAnsi="MS Gothic" w:cs="Segoe UI Symbol" w:hint="eastAsia"/>
                    <w:color w:val="0D0D0D" w:themeColor="text1" w:themeTint="F2"/>
                    <w:sz w:val="22"/>
                  </w:rPr>
                  <w:t>☒</w:t>
                </w:r>
              </w:sdtContent>
            </w:sdt>
          </w:p>
          <w:p w14:paraId="59149176" w14:textId="77777777" w:rsidR="00613AD4" w:rsidRPr="00613AD4" w:rsidRDefault="00874D53" w:rsidP="00EA2398">
            <w:pPr>
              <w:pStyle w:val="Text1"/>
              <w:spacing w:before="60" w:after="60"/>
              <w:ind w:left="0" w:right="-25"/>
              <w:jc w:val="center"/>
              <w:rPr>
                <w:rFonts w:eastAsia="MS Gothic"/>
                <w:color w:val="0D0D0D" w:themeColor="text1" w:themeTint="F2"/>
                <w:lang w:val="en-IE"/>
              </w:rPr>
            </w:pPr>
            <w:sdt>
              <w:sdtPr>
                <w:rPr>
                  <w:rFonts w:eastAsia="MS Gothic"/>
                  <w:color w:val="0D0D0D" w:themeColor="text1" w:themeTint="F2"/>
                </w:rPr>
                <w:id w:val="-1196846098"/>
                <w14:checkbox>
                  <w14:checked w14:val="0"/>
                  <w14:checkedState w14:val="2612" w14:font="MS Gothic"/>
                  <w14:uncheckedState w14:val="2610" w14:font="MS Gothic"/>
                </w14:checkbox>
              </w:sdtPr>
              <w:sdtEndPr/>
              <w:sdtContent>
                <w:r w:rsidR="00613AD4" w:rsidRPr="003775F2">
                  <w:rPr>
                    <w:rFonts w:ascii="Segoe UI Symbol" w:eastAsia="MS Gothic" w:hAnsi="Segoe UI Symbol"/>
                    <w:color w:val="0D0D0D" w:themeColor="text1" w:themeTint="F2"/>
                    <w:sz w:val="22"/>
                  </w:rPr>
                  <w:t>☐</w:t>
                </w:r>
              </w:sdtContent>
            </w:sdt>
          </w:p>
        </w:tc>
      </w:tr>
      <w:tr w:rsidR="001A2578" w:rsidRPr="008704EA" w14:paraId="289D721C" w14:textId="77777777" w:rsidTr="001F110E">
        <w:trPr>
          <w:trHeight w:val="40"/>
        </w:trPr>
        <w:tc>
          <w:tcPr>
            <w:tcW w:w="2330" w:type="dxa"/>
            <w:vMerge/>
            <w:tcBorders>
              <w:left w:val="single" w:sz="4" w:space="0" w:color="auto"/>
              <w:right w:val="single" w:sz="4" w:space="0" w:color="auto"/>
            </w:tcBorders>
            <w:shd w:val="clear" w:color="auto" w:fill="auto"/>
          </w:tcPr>
          <w:p w14:paraId="4E9C1BAA" w14:textId="77777777" w:rsidR="001A2578" w:rsidRPr="003C0CD7" w:rsidRDefault="001A2578" w:rsidP="00EA2398">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55DE25BE" w14:textId="77777777" w:rsidR="001A2578" w:rsidRPr="003C0CD7" w:rsidRDefault="001A2578" w:rsidP="00EA2398">
            <w:pPr>
              <w:pStyle w:val="Text1"/>
              <w:spacing w:before="60" w:after="60"/>
              <w:ind w:left="0" w:right="-25"/>
              <w:jc w:val="left"/>
              <w:rPr>
                <w:color w:val="0D0D0D" w:themeColor="text1" w:themeTint="F2"/>
                <w:lang w:val="en-IE"/>
              </w:rPr>
            </w:pPr>
            <w:r w:rsidRPr="00F915B9">
              <w:t xml:space="preserve">Connectivity </w:t>
            </w:r>
            <w:hyperlink r:id="rId20" w:history="1">
              <w:r w:rsidRPr="00BA237E">
                <w:rPr>
                  <w:rStyle w:val="Hyperlink"/>
                </w:rPr>
                <w:t>@</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5AD3D2" w14:textId="77777777" w:rsidR="001A2578" w:rsidRPr="003775F2" w:rsidRDefault="00874D53" w:rsidP="00EA2398">
            <w:pPr>
              <w:pStyle w:val="Text1"/>
              <w:spacing w:before="60" w:after="60"/>
              <w:ind w:left="0" w:right="-25"/>
              <w:jc w:val="left"/>
              <w:rPr>
                <w:rFonts w:eastAsia="MS Gothic"/>
                <w:color w:val="0D0D0D" w:themeColor="text1" w:themeTint="F2"/>
                <w:lang w:val="en-IE"/>
              </w:rPr>
            </w:pPr>
            <w:sdt>
              <w:sdtPr>
                <w:rPr>
                  <w:rFonts w:eastAsia="MS Gothic"/>
                  <w:color w:val="0D0D0D" w:themeColor="text1" w:themeTint="F2"/>
                  <w:sz w:val="22"/>
                </w:rPr>
                <w:id w:val="1075093998"/>
                <w14:checkbox>
                  <w14:checked w14:val="0"/>
                  <w14:checkedState w14:val="2612" w14:font="MS Gothic"/>
                  <w14:uncheckedState w14:val="2610" w14:font="MS Gothic"/>
                </w14:checkbox>
              </w:sdtPr>
              <w:sdtEndPr/>
              <w:sdtContent>
                <w:r w:rsidR="001A2578" w:rsidRPr="005D6559">
                  <w:rPr>
                    <w:rFonts w:ascii="Segoe UI Symbol" w:eastAsia="MS Gothic" w:hAnsi="Segoe UI Symbol" w:cs="Segoe UI Symbol"/>
                    <w:color w:val="0D0D0D" w:themeColor="text1" w:themeTint="F2"/>
                    <w:sz w:val="22"/>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257D0B6A" w14:textId="1A2F2D31" w:rsidR="001A2578" w:rsidRPr="003775F2" w:rsidRDefault="00874D53" w:rsidP="00EA2398">
            <w:pPr>
              <w:pStyle w:val="Text1"/>
              <w:spacing w:before="60" w:after="60"/>
              <w:ind w:left="0" w:right="-25"/>
              <w:jc w:val="left"/>
              <w:rPr>
                <w:rFonts w:eastAsia="MS Gothic"/>
                <w:color w:val="0D0D0D" w:themeColor="text1" w:themeTint="F2"/>
              </w:rPr>
            </w:pPr>
            <w:sdt>
              <w:sdtPr>
                <w:rPr>
                  <w:rFonts w:eastAsia="MS Gothic"/>
                  <w:color w:val="0D0D0D" w:themeColor="text1" w:themeTint="F2"/>
                  <w:sz w:val="22"/>
                </w:rPr>
                <w:id w:val="1795551659"/>
                <w14:checkbox>
                  <w14:checked w14:val="1"/>
                  <w14:checkedState w14:val="2612" w14:font="MS Gothic"/>
                  <w14:uncheckedState w14:val="2610" w14:font="MS Gothic"/>
                </w14:checkbox>
              </w:sdtPr>
              <w:sdtEndPr/>
              <w:sdtContent>
                <w:r w:rsidR="00445553">
                  <w:rPr>
                    <w:rFonts w:ascii="MS Gothic" w:eastAsia="MS Gothic" w:hAnsi="MS Gothic" w:cs="Segoe UI Symbol" w:hint="eastAsia"/>
                    <w:color w:val="0D0D0D" w:themeColor="text1" w:themeTint="F2"/>
                    <w:sz w:val="22"/>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2B991B" w14:textId="77777777" w:rsidR="001A2578" w:rsidRPr="003775F2" w:rsidRDefault="00874D53" w:rsidP="00EA2398">
            <w:pPr>
              <w:pStyle w:val="Text1"/>
              <w:spacing w:before="60" w:after="60"/>
              <w:ind w:left="0" w:right="-25"/>
              <w:jc w:val="left"/>
              <w:rPr>
                <w:rFonts w:eastAsia="MS Gothic"/>
                <w:color w:val="0D0D0D" w:themeColor="text1" w:themeTint="F2"/>
              </w:rPr>
            </w:pPr>
            <w:sdt>
              <w:sdtPr>
                <w:rPr>
                  <w:rFonts w:eastAsia="MS Gothic"/>
                  <w:color w:val="0D0D0D" w:themeColor="text1" w:themeTint="F2"/>
                  <w:sz w:val="22"/>
                </w:rPr>
                <w:id w:val="-197014815"/>
                <w14:checkbox>
                  <w14:checked w14:val="0"/>
                  <w14:checkedState w14:val="2612" w14:font="MS Gothic"/>
                  <w14:uncheckedState w14:val="2610" w14:font="MS Gothic"/>
                </w14:checkbox>
              </w:sdtPr>
              <w:sdtEndPr/>
              <w:sdtContent>
                <w:r w:rsidR="000B3212">
                  <w:rPr>
                    <w:rFonts w:ascii="MS Gothic" w:eastAsia="MS Gothic" w:hAnsi="MS Gothic" w:hint="eastAsia"/>
                    <w:color w:val="0D0D0D" w:themeColor="text1" w:themeTint="F2"/>
                    <w:sz w:val="22"/>
                  </w:rPr>
                  <w:t>☐</w:t>
                </w:r>
              </w:sdtContent>
            </w:sdt>
          </w:p>
        </w:tc>
      </w:tr>
      <w:tr w:rsidR="00613AD4" w:rsidRPr="008704EA" w14:paraId="36BE91AE" w14:textId="77777777" w:rsidTr="00613AD4">
        <w:trPr>
          <w:trHeight w:val="40"/>
        </w:trPr>
        <w:tc>
          <w:tcPr>
            <w:tcW w:w="2330" w:type="dxa"/>
            <w:vMerge/>
            <w:tcBorders>
              <w:left w:val="single" w:sz="4" w:space="0" w:color="auto"/>
              <w:right w:val="single" w:sz="4" w:space="0" w:color="auto"/>
            </w:tcBorders>
            <w:shd w:val="clear" w:color="auto" w:fill="auto"/>
          </w:tcPr>
          <w:p w14:paraId="3B2F52B8" w14:textId="77777777" w:rsidR="00613AD4" w:rsidRPr="003C0CD7" w:rsidRDefault="00613AD4" w:rsidP="00EA2398">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21853FAD" w14:textId="77777777" w:rsidR="00613AD4" w:rsidRDefault="00613AD4" w:rsidP="00EA2398">
            <w:pPr>
              <w:pStyle w:val="Text1"/>
              <w:spacing w:before="60" w:after="60"/>
              <w:ind w:left="0" w:right="-25"/>
              <w:jc w:val="left"/>
            </w:pPr>
            <w:r>
              <w:t>Tags</w:t>
            </w:r>
          </w:p>
          <w:p w14:paraId="0FE899BB" w14:textId="77777777" w:rsidR="00613AD4" w:rsidRPr="005D6559" w:rsidRDefault="00613AD4" w:rsidP="00EA2398">
            <w:pPr>
              <w:pStyle w:val="Text1"/>
              <w:spacing w:before="60" w:after="60"/>
              <w:ind w:left="720" w:right="-25"/>
              <w:jc w:val="left"/>
            </w:pPr>
            <w:r>
              <w:t>digital connectivity</w:t>
            </w:r>
          </w:p>
          <w:p w14:paraId="695E5227" w14:textId="77777777" w:rsidR="00613AD4" w:rsidRPr="005D6559" w:rsidRDefault="00613AD4" w:rsidP="00EA2398">
            <w:pPr>
              <w:pStyle w:val="Text1"/>
              <w:spacing w:before="60" w:after="60"/>
              <w:ind w:left="720" w:right="-25"/>
              <w:jc w:val="left"/>
            </w:pPr>
            <w:r w:rsidRPr="005D6559">
              <w:t>energy</w:t>
            </w:r>
          </w:p>
          <w:p w14:paraId="62829D59" w14:textId="77777777" w:rsidR="00613AD4" w:rsidRDefault="00613AD4" w:rsidP="00EA2398">
            <w:pPr>
              <w:pStyle w:val="Text1"/>
              <w:spacing w:before="60" w:after="60"/>
              <w:ind w:left="720" w:right="-25"/>
              <w:jc w:val="left"/>
            </w:pPr>
            <w:r>
              <w:t>transport</w:t>
            </w:r>
          </w:p>
          <w:p w14:paraId="47DB50D9" w14:textId="77777777" w:rsidR="00613AD4" w:rsidRDefault="00613AD4" w:rsidP="00EA2398">
            <w:pPr>
              <w:pStyle w:val="Text1"/>
              <w:spacing w:before="60" w:after="60"/>
              <w:ind w:left="720" w:right="-25"/>
              <w:jc w:val="left"/>
            </w:pPr>
            <w:r>
              <w:t>health</w:t>
            </w:r>
          </w:p>
          <w:p w14:paraId="43B975CA" w14:textId="77777777" w:rsidR="00613AD4" w:rsidRPr="003775F2" w:rsidRDefault="00613AD4" w:rsidP="00EA2398">
            <w:pPr>
              <w:pStyle w:val="Text1"/>
              <w:spacing w:before="60" w:after="60"/>
              <w:ind w:left="720" w:right="-25"/>
              <w:jc w:val="left"/>
            </w:pPr>
            <w:r>
              <w:t>education and research</w:t>
            </w:r>
          </w:p>
        </w:tc>
        <w:tc>
          <w:tcPr>
            <w:tcW w:w="2410" w:type="dxa"/>
            <w:gridSpan w:val="2"/>
            <w:tcBorders>
              <w:top w:val="single" w:sz="4" w:space="0" w:color="auto"/>
              <w:left w:val="single" w:sz="4" w:space="0" w:color="auto"/>
              <w:bottom w:val="single" w:sz="4" w:space="0" w:color="auto"/>
              <w:right w:val="single" w:sz="4" w:space="0" w:color="FFFFFF"/>
            </w:tcBorders>
            <w:shd w:val="clear" w:color="auto" w:fill="auto"/>
          </w:tcPr>
          <w:p w14:paraId="3CE8A1DF" w14:textId="77777777" w:rsidR="00613AD4" w:rsidRPr="0082062A" w:rsidRDefault="00613AD4" w:rsidP="00EA2398">
            <w:pPr>
              <w:pStyle w:val="Text1"/>
              <w:spacing w:before="60" w:after="60"/>
              <w:ind w:left="0" w:right="-25"/>
              <w:jc w:val="center"/>
              <w:rPr>
                <w:rFonts w:eastAsia="MS Gothic"/>
              </w:rPr>
            </w:pPr>
            <w:r w:rsidRPr="0082062A">
              <w:rPr>
                <w:rFonts w:eastAsia="MS Gothic"/>
              </w:rPr>
              <w:t>YES</w:t>
            </w:r>
          </w:p>
          <w:p w14:paraId="4396B989" w14:textId="57930989" w:rsidR="00613AD4" w:rsidRPr="002719BB" w:rsidRDefault="00874D53" w:rsidP="00EA2398">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971474404"/>
                <w14:checkbox>
                  <w14:checked w14:val="1"/>
                  <w14:checkedState w14:val="2612" w14:font="MS Gothic"/>
                  <w14:uncheckedState w14:val="2610" w14:font="MS Gothic"/>
                </w14:checkbox>
              </w:sdtPr>
              <w:sdtEndPr/>
              <w:sdtContent>
                <w:r w:rsidR="00445553">
                  <w:rPr>
                    <w:rFonts w:ascii="MS Gothic" w:eastAsia="MS Gothic" w:hAnsi="MS Gothic" w:cs="Segoe UI Symbol" w:hint="eastAsia"/>
                    <w:sz w:val="22"/>
                    <w:szCs w:val="22"/>
                  </w:rPr>
                  <w:t>☒</w:t>
                </w:r>
              </w:sdtContent>
            </w:sdt>
          </w:p>
          <w:p w14:paraId="0858883A" w14:textId="77777777" w:rsidR="00613AD4" w:rsidRPr="002719BB" w:rsidRDefault="00874D53" w:rsidP="00EA2398">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948053504"/>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476EC92D" w14:textId="77777777" w:rsidR="00613AD4" w:rsidRPr="002719BB" w:rsidRDefault="00874D53" w:rsidP="00EA2398">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368495646"/>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00288E5B" w14:textId="77777777" w:rsidR="00613AD4" w:rsidRDefault="00874D53" w:rsidP="00EA2398">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41295313"/>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p w14:paraId="2EE9E5B8" w14:textId="77777777" w:rsidR="00613AD4" w:rsidRDefault="00874D53" w:rsidP="00EA2398">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970745379"/>
                <w14:checkbox>
                  <w14:checked w14:val="0"/>
                  <w14:checkedState w14:val="2612" w14:font="MS Gothic"/>
                  <w14:uncheckedState w14:val="2610" w14:font="MS Gothic"/>
                </w14:checkbox>
              </w:sdtPr>
              <w:sdtEndPr/>
              <w:sdtContent>
                <w:r w:rsidR="00613AD4" w:rsidRPr="002719BB">
                  <w:rPr>
                    <w:rFonts w:ascii="MS Gothic" w:eastAsia="MS Gothic" w:hAnsi="MS Gothic" w:cs="Segoe UI Symbol" w:hint="eastAsia"/>
                    <w:sz w:val="22"/>
                    <w:szCs w:val="22"/>
                  </w:rPr>
                  <w:t>☐</w:t>
                </w:r>
              </w:sdtContent>
            </w:sdt>
          </w:p>
        </w:tc>
        <w:tc>
          <w:tcPr>
            <w:tcW w:w="2410" w:type="dxa"/>
            <w:gridSpan w:val="2"/>
            <w:tcBorders>
              <w:top w:val="single" w:sz="4" w:space="0" w:color="auto"/>
              <w:left w:val="single" w:sz="4" w:space="0" w:color="FFFFFF"/>
              <w:bottom w:val="single" w:sz="4" w:space="0" w:color="auto"/>
              <w:right w:val="single" w:sz="4" w:space="0" w:color="auto"/>
            </w:tcBorders>
            <w:shd w:val="clear" w:color="auto" w:fill="auto"/>
          </w:tcPr>
          <w:p w14:paraId="5E1E8136" w14:textId="77777777" w:rsidR="00613AD4" w:rsidRPr="0082062A" w:rsidRDefault="00613AD4" w:rsidP="00EA2398">
            <w:pPr>
              <w:pStyle w:val="Text1"/>
              <w:spacing w:before="60" w:after="60"/>
              <w:ind w:left="0" w:right="-25"/>
              <w:jc w:val="center"/>
              <w:rPr>
                <w:rFonts w:eastAsia="MS Gothic"/>
              </w:rPr>
            </w:pPr>
            <w:r w:rsidRPr="0082062A">
              <w:rPr>
                <w:rFonts w:eastAsia="MS Gothic"/>
              </w:rPr>
              <w:t>NO</w:t>
            </w:r>
          </w:p>
          <w:p w14:paraId="534FD3C6" w14:textId="77777777" w:rsidR="00613AD4" w:rsidRPr="002719BB" w:rsidRDefault="00874D53" w:rsidP="00EA2398">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376816427"/>
                <w14:checkbox>
                  <w14:checked w14:val="0"/>
                  <w14:checkedState w14:val="2612" w14:font="MS Gothic"/>
                  <w14:uncheckedState w14:val="2610" w14:font="MS Gothic"/>
                </w14:checkbox>
              </w:sdtPr>
              <w:sdtEndPr/>
              <w:sdtContent>
                <w:r w:rsidR="00613AD4">
                  <w:rPr>
                    <w:rFonts w:ascii="MS Gothic" w:eastAsia="MS Gothic" w:hAnsi="MS Gothic" w:cs="Segoe UI Symbol" w:hint="eastAsia"/>
                    <w:sz w:val="22"/>
                    <w:szCs w:val="22"/>
                  </w:rPr>
                  <w:t>☐</w:t>
                </w:r>
              </w:sdtContent>
            </w:sdt>
          </w:p>
          <w:p w14:paraId="387C46FF" w14:textId="37117D88" w:rsidR="00613AD4" w:rsidRPr="002719BB" w:rsidRDefault="00874D53" w:rsidP="00EA2398">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429965098"/>
                <w14:checkbox>
                  <w14:checked w14:val="1"/>
                  <w14:checkedState w14:val="2612" w14:font="MS Gothic"/>
                  <w14:uncheckedState w14:val="2610" w14:font="MS Gothic"/>
                </w14:checkbox>
              </w:sdtPr>
              <w:sdtEndPr/>
              <w:sdtContent>
                <w:r w:rsidR="002E25A7">
                  <w:rPr>
                    <w:rFonts w:ascii="MS Gothic" w:eastAsia="MS Gothic" w:hAnsi="MS Gothic" w:cs="Segoe UI Symbol" w:hint="eastAsia"/>
                    <w:sz w:val="22"/>
                    <w:szCs w:val="22"/>
                  </w:rPr>
                  <w:t>☒</w:t>
                </w:r>
              </w:sdtContent>
            </w:sdt>
          </w:p>
          <w:p w14:paraId="12BC65FA" w14:textId="1B523E43" w:rsidR="00613AD4" w:rsidRPr="002719BB" w:rsidRDefault="00874D53" w:rsidP="00EA2398">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091813327"/>
                <w14:checkbox>
                  <w14:checked w14:val="1"/>
                  <w14:checkedState w14:val="2612" w14:font="MS Gothic"/>
                  <w14:uncheckedState w14:val="2610" w14:font="MS Gothic"/>
                </w14:checkbox>
              </w:sdtPr>
              <w:sdtEndPr/>
              <w:sdtContent>
                <w:r w:rsidR="002E25A7">
                  <w:rPr>
                    <w:rFonts w:ascii="MS Gothic" w:eastAsia="MS Gothic" w:hAnsi="MS Gothic" w:cs="Segoe UI Symbol" w:hint="eastAsia"/>
                    <w:sz w:val="22"/>
                    <w:szCs w:val="22"/>
                  </w:rPr>
                  <w:t>☒</w:t>
                </w:r>
              </w:sdtContent>
            </w:sdt>
          </w:p>
          <w:p w14:paraId="60A0EA48" w14:textId="2D673048" w:rsidR="00613AD4" w:rsidRPr="002719BB" w:rsidRDefault="00874D53" w:rsidP="00EA2398">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2026983869"/>
                <w14:checkbox>
                  <w14:checked w14:val="1"/>
                  <w14:checkedState w14:val="2612" w14:font="MS Gothic"/>
                  <w14:uncheckedState w14:val="2610" w14:font="MS Gothic"/>
                </w14:checkbox>
              </w:sdtPr>
              <w:sdtEndPr/>
              <w:sdtContent>
                <w:r w:rsidR="002E25A7">
                  <w:rPr>
                    <w:rFonts w:ascii="MS Gothic" w:eastAsia="MS Gothic" w:hAnsi="MS Gothic" w:cs="Segoe UI Symbol" w:hint="eastAsia"/>
                    <w:sz w:val="22"/>
                    <w:szCs w:val="22"/>
                  </w:rPr>
                  <w:t>☒</w:t>
                </w:r>
              </w:sdtContent>
            </w:sdt>
          </w:p>
          <w:p w14:paraId="1848AA6B" w14:textId="0BDC8C71" w:rsidR="00613AD4" w:rsidRDefault="00874D53" w:rsidP="00EA2398">
            <w:pPr>
              <w:pStyle w:val="Text1"/>
              <w:spacing w:before="60" w:after="60"/>
              <w:ind w:left="0" w:right="-25"/>
              <w:jc w:val="center"/>
              <w:rPr>
                <w:rFonts w:ascii="Segoe UI Symbol" w:eastAsia="MS Gothic" w:hAnsi="Segoe UI Symbol" w:cs="Segoe UI Symbol"/>
                <w:sz w:val="22"/>
                <w:szCs w:val="22"/>
              </w:rPr>
            </w:pPr>
            <w:sdt>
              <w:sdtPr>
                <w:rPr>
                  <w:rFonts w:ascii="Segoe UI Symbol" w:eastAsia="MS Gothic" w:hAnsi="Segoe UI Symbol" w:cs="Segoe UI Symbol"/>
                  <w:sz w:val="22"/>
                  <w:szCs w:val="22"/>
                </w:rPr>
                <w:id w:val="-1121607374"/>
                <w14:checkbox>
                  <w14:checked w14:val="1"/>
                  <w14:checkedState w14:val="2612" w14:font="MS Gothic"/>
                  <w14:uncheckedState w14:val="2610" w14:font="MS Gothic"/>
                </w14:checkbox>
              </w:sdtPr>
              <w:sdtEndPr/>
              <w:sdtContent>
                <w:r w:rsidR="002E25A7">
                  <w:rPr>
                    <w:rFonts w:ascii="MS Gothic" w:eastAsia="MS Gothic" w:hAnsi="MS Gothic" w:cs="Segoe UI Symbol" w:hint="eastAsia"/>
                    <w:sz w:val="22"/>
                    <w:szCs w:val="22"/>
                  </w:rPr>
                  <w:t>☒</w:t>
                </w:r>
              </w:sdtContent>
            </w:sdt>
          </w:p>
        </w:tc>
      </w:tr>
      <w:tr w:rsidR="001A2578" w:rsidRPr="008704EA" w14:paraId="663C56C9" w14:textId="77777777" w:rsidTr="001F110E">
        <w:trPr>
          <w:trHeight w:val="40"/>
        </w:trPr>
        <w:tc>
          <w:tcPr>
            <w:tcW w:w="2330" w:type="dxa"/>
            <w:vMerge/>
            <w:tcBorders>
              <w:left w:val="single" w:sz="4" w:space="0" w:color="auto"/>
              <w:right w:val="single" w:sz="4" w:space="0" w:color="auto"/>
            </w:tcBorders>
            <w:shd w:val="clear" w:color="auto" w:fill="auto"/>
          </w:tcPr>
          <w:p w14:paraId="47E78CA3" w14:textId="77777777" w:rsidR="001A2578" w:rsidRPr="003C0CD7" w:rsidRDefault="001A2578" w:rsidP="00EA2398">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190B2D8C" w14:textId="77777777" w:rsidR="001A2578" w:rsidRPr="0082062A" w:rsidRDefault="001A2578" w:rsidP="00EA2398">
            <w:pPr>
              <w:jc w:val="left"/>
              <w:rPr>
                <w:lang w:val="en-IE" w:eastAsia="en-IE"/>
              </w:rPr>
            </w:pPr>
            <w:r w:rsidRPr="005D6559">
              <w:t>Migration</w:t>
            </w:r>
            <w:r w:rsidR="00091845" w:rsidRPr="00FD71E4">
              <w:rPr>
                <w:rStyle w:val="FootnoteReference"/>
              </w:rPr>
              <w:footnoteReference w:id="12"/>
            </w:r>
            <w:r w:rsidR="00091845" w:rsidRPr="00FD71E4">
              <w:rPr>
                <w:rStyle w:val="Hyperlink"/>
                <w:u w:val="none"/>
              </w:rPr>
              <w:t xml:space="preserve"> </w:t>
            </w:r>
            <w:r w:rsidRPr="001C3485">
              <w:t xml:space="preserve"> </w:t>
            </w:r>
            <w:hyperlink r:id="rId21" w:anchor="thematic-guidance" w:history="1">
              <w:r w:rsidRPr="005D6559">
                <w:rPr>
                  <w:rStyle w:val="Hyperlink"/>
                </w:rPr>
                <w:t>@</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DF0FA7" w14:textId="4B61939F" w:rsidR="001A2578" w:rsidRPr="003C0CD7" w:rsidRDefault="00874D53" w:rsidP="00EA239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129093535"/>
                <w14:checkbox>
                  <w14:checked w14:val="1"/>
                  <w14:checkedState w14:val="2612" w14:font="MS Gothic"/>
                  <w14:uncheckedState w14:val="2610" w14:font="MS Gothic"/>
                </w14:checkbox>
              </w:sdtPr>
              <w:sdtEndPr/>
              <w:sdtContent>
                <w:r w:rsidR="00445553">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468518E" w14:textId="77777777" w:rsidR="001A2578" w:rsidRPr="003C0CD7" w:rsidRDefault="00874D53" w:rsidP="00EA239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1267423059"/>
                <w14:checkbox>
                  <w14:checked w14:val="0"/>
                  <w14:checkedState w14:val="2612" w14:font="MS Gothic"/>
                  <w14:uncheckedState w14:val="2610" w14:font="MS Gothic"/>
                </w14:checkbox>
              </w:sdtPr>
              <w:sdtEndPr/>
              <w:sdtContent>
                <w:r w:rsidR="001A2578"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0DB742" w14:textId="77777777" w:rsidR="001A2578" w:rsidRPr="003C0CD7" w:rsidRDefault="00874D53" w:rsidP="00EA239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1688097734"/>
                <w14:checkbox>
                  <w14:checked w14:val="0"/>
                  <w14:checkedState w14:val="2612" w14:font="MS Gothic"/>
                  <w14:uncheckedState w14:val="2610" w14:font="MS Gothic"/>
                </w14:checkbox>
              </w:sdtPr>
              <w:sdtEndPr/>
              <w:sdtContent>
                <w:r w:rsidR="001A2578" w:rsidRPr="003C0CD7">
                  <w:rPr>
                    <w:rFonts w:ascii="MS Gothic" w:eastAsia="MS Gothic" w:hAnsi="MS Gothic" w:cs="Segoe UI Symbol"/>
                    <w:color w:val="0D0D0D" w:themeColor="text1" w:themeTint="F2"/>
                    <w:lang w:val="en-IE"/>
                  </w:rPr>
                  <w:t>☐</w:t>
                </w:r>
              </w:sdtContent>
            </w:sdt>
          </w:p>
        </w:tc>
      </w:tr>
      <w:tr w:rsidR="001A2578" w:rsidRPr="008704EA" w14:paraId="76DFA26F" w14:textId="77777777" w:rsidTr="00DF3146">
        <w:trPr>
          <w:trHeight w:val="40"/>
        </w:trPr>
        <w:tc>
          <w:tcPr>
            <w:tcW w:w="2330" w:type="dxa"/>
            <w:vMerge/>
            <w:tcBorders>
              <w:left w:val="single" w:sz="4" w:space="0" w:color="auto"/>
              <w:right w:val="single" w:sz="4" w:space="0" w:color="auto"/>
            </w:tcBorders>
            <w:shd w:val="clear" w:color="auto" w:fill="auto"/>
          </w:tcPr>
          <w:p w14:paraId="33DA47DE" w14:textId="77777777" w:rsidR="001A2578" w:rsidRPr="003C0CD7" w:rsidRDefault="001A2578" w:rsidP="00EA2398">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5803EA3C" w14:textId="77777777" w:rsidR="001A2578" w:rsidRPr="003C0CD7" w:rsidRDefault="001A2578" w:rsidP="00EA2398">
            <w:pPr>
              <w:pStyle w:val="Text1"/>
              <w:spacing w:before="60" w:after="60"/>
              <w:ind w:left="0" w:right="-25"/>
              <w:jc w:val="left"/>
              <w:rPr>
                <w:color w:val="0D0D0D" w:themeColor="text1" w:themeTint="F2"/>
                <w:lang w:val="en-IE"/>
              </w:rPr>
            </w:pPr>
            <w:r>
              <w:t>Reduction of</w:t>
            </w:r>
            <w:r w:rsidRPr="005D6559">
              <w:t xml:space="preserve"> Inequalities </w:t>
            </w:r>
            <w:hyperlink r:id="rId22" w:history="1">
              <w:r w:rsidRPr="00BA237E">
                <w:rPr>
                  <w:rStyle w:val="Hyperlink"/>
                  <w:sz w:val="22"/>
                  <w:szCs w:val="22"/>
                </w:rPr>
                <w:t>@</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3DF0CA" w14:textId="77777777" w:rsidR="001A2578" w:rsidRDefault="00874D53" w:rsidP="00EA239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sz w:val="22"/>
                </w:rPr>
                <w:id w:val="-1302380195"/>
                <w14:checkbox>
                  <w14:checked w14:val="0"/>
                  <w14:checkedState w14:val="2612" w14:font="MS Gothic"/>
                  <w14:uncheckedState w14:val="2610" w14:font="MS Gothic"/>
                </w14:checkbox>
              </w:sdtPr>
              <w:sdtEndPr/>
              <w:sdtContent>
                <w:r w:rsidR="001A2578" w:rsidRPr="000A76A6">
                  <w:rPr>
                    <w:rFonts w:ascii="MS Gothic" w:eastAsia="MS Gothic" w:hAnsi="MS Gothic" w:cs="Segoe UI Symbol"/>
                    <w:color w:val="0D0D0D" w:themeColor="text1" w:themeTint="F2"/>
                    <w:sz w:val="22"/>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84B4BED" w14:textId="13AC8718" w:rsidR="001A2578" w:rsidRDefault="00874D53" w:rsidP="00EA239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sz w:val="22"/>
                </w:rPr>
                <w:id w:val="-293833487"/>
                <w14:checkbox>
                  <w14:checked w14:val="1"/>
                  <w14:checkedState w14:val="2612" w14:font="MS Gothic"/>
                  <w14:uncheckedState w14:val="2610" w14:font="MS Gothic"/>
                </w14:checkbox>
              </w:sdtPr>
              <w:sdtEndPr/>
              <w:sdtContent>
                <w:r w:rsidR="00445553">
                  <w:rPr>
                    <w:rFonts w:ascii="MS Gothic" w:eastAsia="MS Gothic" w:hAnsi="MS Gothic" w:cs="Segoe UI Symbol" w:hint="eastAsia"/>
                    <w:color w:val="0D0D0D" w:themeColor="text1" w:themeTint="F2"/>
                    <w:sz w:val="22"/>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AC9513" w14:textId="77777777" w:rsidR="001A2578" w:rsidRDefault="00874D53" w:rsidP="00EA239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sz w:val="22"/>
                </w:rPr>
                <w:id w:val="-1926022322"/>
                <w14:checkbox>
                  <w14:checked w14:val="0"/>
                  <w14:checkedState w14:val="2612" w14:font="MS Gothic"/>
                  <w14:uncheckedState w14:val="2610" w14:font="MS Gothic"/>
                </w14:checkbox>
              </w:sdtPr>
              <w:sdtEndPr/>
              <w:sdtContent>
                <w:r w:rsidR="001A2578" w:rsidRPr="000A76A6">
                  <w:rPr>
                    <w:rFonts w:ascii="MS Gothic" w:eastAsia="MS Gothic" w:hAnsi="MS Gothic" w:cs="Segoe UI Symbol"/>
                    <w:color w:val="0D0D0D" w:themeColor="text1" w:themeTint="F2"/>
                    <w:sz w:val="22"/>
                  </w:rPr>
                  <w:t>☐</w:t>
                </w:r>
              </w:sdtContent>
            </w:sdt>
          </w:p>
        </w:tc>
      </w:tr>
      <w:tr w:rsidR="001A2578" w:rsidRPr="008704EA" w14:paraId="356B401D" w14:textId="77777777" w:rsidTr="00C85643">
        <w:trPr>
          <w:trHeight w:val="40"/>
        </w:trPr>
        <w:tc>
          <w:tcPr>
            <w:tcW w:w="2330" w:type="dxa"/>
            <w:vMerge/>
            <w:tcBorders>
              <w:left w:val="single" w:sz="4" w:space="0" w:color="auto"/>
              <w:bottom w:val="single" w:sz="4" w:space="0" w:color="auto"/>
              <w:right w:val="single" w:sz="4" w:space="0" w:color="auto"/>
            </w:tcBorders>
            <w:shd w:val="clear" w:color="auto" w:fill="auto"/>
          </w:tcPr>
          <w:p w14:paraId="7C6786CA" w14:textId="77777777" w:rsidR="001A2578" w:rsidRPr="003C0CD7" w:rsidRDefault="001A2578" w:rsidP="00EA2398">
            <w:pPr>
              <w:rPr>
                <w:rFonts w:cs="Times New Roman"/>
                <w:b/>
                <w:bCs/>
                <w:color w:val="0D0D0D" w:themeColor="text1" w:themeTint="F2"/>
                <w:szCs w:val="24"/>
                <w:lang w:val="en-IE"/>
              </w:rPr>
            </w:pPr>
          </w:p>
        </w:tc>
        <w:tc>
          <w:tcPr>
            <w:tcW w:w="3482" w:type="dxa"/>
            <w:tcBorders>
              <w:top w:val="single" w:sz="4" w:space="0" w:color="auto"/>
              <w:left w:val="single" w:sz="4" w:space="0" w:color="auto"/>
              <w:bottom w:val="single" w:sz="4" w:space="0" w:color="auto"/>
              <w:right w:val="single" w:sz="4" w:space="0" w:color="auto"/>
            </w:tcBorders>
            <w:shd w:val="clear" w:color="auto" w:fill="auto"/>
          </w:tcPr>
          <w:p w14:paraId="2AAAE700" w14:textId="77777777" w:rsidR="001A2578" w:rsidRPr="003C0CD7" w:rsidRDefault="001A2578" w:rsidP="00EA2398">
            <w:pPr>
              <w:pStyle w:val="Text1"/>
              <w:spacing w:before="60" w:after="60"/>
              <w:ind w:left="0" w:right="-25"/>
              <w:jc w:val="left"/>
              <w:rPr>
                <w:color w:val="0D0D0D" w:themeColor="text1" w:themeTint="F2"/>
                <w:lang w:val="en-IE"/>
              </w:rPr>
            </w:pPr>
            <w:r>
              <w:rPr>
                <w:lang w:val="en-IE"/>
              </w:rPr>
              <w:t>COVID</w:t>
            </w:r>
            <w:r w:rsidRPr="003C0CD7">
              <w:rPr>
                <w:lang w:val="en-IE"/>
              </w:rPr>
              <w:t>-19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6CA8F6" w14:textId="7C251FE9" w:rsidR="001A2578" w:rsidRPr="003C0CD7" w:rsidRDefault="00874D53" w:rsidP="00EA239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806739341"/>
                <w14:checkbox>
                  <w14:checked w14:val="1"/>
                  <w14:checkedState w14:val="2612" w14:font="MS Gothic"/>
                  <w14:uncheckedState w14:val="2610" w14:font="MS Gothic"/>
                </w14:checkbox>
              </w:sdtPr>
              <w:sdtEndPr/>
              <w:sdtContent>
                <w:r w:rsidR="00445553">
                  <w:rPr>
                    <w:rFonts w:ascii="MS Gothic" w:eastAsia="MS Gothic" w:hAnsi="MS Gothic" w:cs="Segoe UI Symbol" w:hint="eastAsia"/>
                    <w:color w:val="0D0D0D" w:themeColor="text1" w:themeTint="F2"/>
                    <w:lang w:val="en-IE"/>
                  </w:rPr>
                  <w:t>☒</w:t>
                </w:r>
              </w:sdtContent>
            </w:sdt>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589AEDE3" w14:textId="77777777" w:rsidR="001A2578" w:rsidRPr="003C0CD7" w:rsidRDefault="00874D53" w:rsidP="00EA239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544207791"/>
                <w14:checkbox>
                  <w14:checked w14:val="0"/>
                  <w14:checkedState w14:val="2612" w14:font="MS Gothic"/>
                  <w14:uncheckedState w14:val="2610" w14:font="MS Gothic"/>
                </w14:checkbox>
              </w:sdtPr>
              <w:sdtEndPr/>
              <w:sdtContent>
                <w:r w:rsidR="001A2578" w:rsidRPr="003C0CD7">
                  <w:rPr>
                    <w:rFonts w:ascii="MS Gothic" w:eastAsia="MS Gothic" w:hAnsi="MS Gothic" w:cs="Segoe UI Symbol"/>
                    <w:color w:val="0D0D0D" w:themeColor="text1" w:themeTint="F2"/>
                    <w:lang w:val="en-IE"/>
                  </w:rPr>
                  <w:t>☐</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A4F581" w14:textId="77777777" w:rsidR="001A2578" w:rsidRPr="003C0CD7" w:rsidRDefault="00874D53" w:rsidP="00EA2398">
            <w:pPr>
              <w:pStyle w:val="Text1"/>
              <w:spacing w:before="60" w:after="60"/>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lang w:val="en-IE"/>
                </w:rPr>
                <w:id w:val="-761604646"/>
                <w14:checkbox>
                  <w14:checked w14:val="0"/>
                  <w14:checkedState w14:val="2612" w14:font="MS Gothic"/>
                  <w14:uncheckedState w14:val="2610" w14:font="MS Gothic"/>
                </w14:checkbox>
              </w:sdtPr>
              <w:sdtEndPr/>
              <w:sdtContent>
                <w:r w:rsidR="001A2578" w:rsidRPr="003C0CD7">
                  <w:rPr>
                    <w:rFonts w:ascii="MS Gothic" w:eastAsia="MS Gothic" w:hAnsi="MS Gothic" w:cs="Segoe UI Symbol"/>
                    <w:color w:val="0D0D0D" w:themeColor="text1" w:themeTint="F2"/>
                    <w:lang w:val="en-IE"/>
                  </w:rPr>
                  <w:t>☐</w:t>
                </w:r>
              </w:sdtContent>
            </w:sdt>
          </w:p>
        </w:tc>
      </w:tr>
      <w:tr w:rsidR="001A2578" w:rsidRPr="008704EA" w14:paraId="5ABD7B42" w14:textId="77777777" w:rsidTr="00C85643">
        <w:tc>
          <w:tcPr>
            <w:tcW w:w="10632" w:type="dxa"/>
            <w:gridSpan w:val="6"/>
            <w:tcBorders>
              <w:top w:val="single" w:sz="4" w:space="0" w:color="auto"/>
              <w:left w:val="single" w:sz="4" w:space="0" w:color="auto"/>
              <w:bottom w:val="single" w:sz="4" w:space="0" w:color="auto"/>
              <w:right w:val="single" w:sz="4" w:space="0" w:color="auto"/>
            </w:tcBorders>
            <w:shd w:val="clear" w:color="auto" w:fill="auto"/>
          </w:tcPr>
          <w:p w14:paraId="6E8761BD" w14:textId="77777777" w:rsidR="001A2578" w:rsidRPr="003C0CD7" w:rsidRDefault="001A2578" w:rsidP="00EA2398">
            <w:pPr>
              <w:jc w:val="center"/>
              <w:rPr>
                <w:b/>
                <w:szCs w:val="24"/>
                <w:lang w:val="en-IE"/>
              </w:rPr>
            </w:pPr>
            <w:r w:rsidRPr="003C0CD7">
              <w:rPr>
                <w:b/>
                <w:szCs w:val="24"/>
                <w:lang w:val="en-IE"/>
              </w:rPr>
              <w:t>BUDGET INFORMATION</w:t>
            </w:r>
          </w:p>
        </w:tc>
      </w:tr>
      <w:tr w:rsidR="001A2578" w:rsidRPr="008704EA" w14:paraId="57C6E4A1"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322E6686" w14:textId="77777777" w:rsidR="001A2578" w:rsidRPr="003C0CD7" w:rsidRDefault="001A2578" w:rsidP="00EA2398">
            <w:pPr>
              <w:pStyle w:val="Text1"/>
              <w:spacing w:before="60" w:after="60"/>
              <w:ind w:left="0"/>
              <w:jc w:val="left"/>
              <w:rPr>
                <w:b/>
                <w:color w:val="0D0D0D" w:themeColor="text1" w:themeTint="F2"/>
                <w:lang w:val="en-IE"/>
              </w:rPr>
            </w:pPr>
            <w:r w:rsidRPr="003C0CD7">
              <w:rPr>
                <w:b/>
                <w:color w:val="0D0D0D" w:themeColor="text1" w:themeTint="F2"/>
                <w:lang w:val="en-IE"/>
              </w:rPr>
              <w:t>Amounts concerned</w:t>
            </w:r>
          </w:p>
          <w:p w14:paraId="391FEA76" w14:textId="77777777" w:rsidR="001A2578" w:rsidRPr="003C0CD7" w:rsidRDefault="001A2578" w:rsidP="00EA2398">
            <w:pPr>
              <w:pStyle w:val="Text1"/>
              <w:spacing w:before="60" w:after="60"/>
              <w:ind w:left="0"/>
              <w:jc w:val="left"/>
              <w:rPr>
                <w:color w:val="0D0D0D" w:themeColor="text1" w:themeTint="F2"/>
                <w:lang w:val="en-IE"/>
              </w:rPr>
            </w:pP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18728B29" w14:textId="4EB58A70" w:rsidR="001A2578" w:rsidRPr="003C0CD7" w:rsidRDefault="001A2578" w:rsidP="00EA2398">
            <w:pPr>
              <w:spacing w:before="120" w:after="120"/>
              <w:ind w:right="-25"/>
              <w:rPr>
                <w:szCs w:val="24"/>
                <w:lang w:val="en-IE"/>
              </w:rPr>
            </w:pPr>
            <w:r w:rsidRPr="003C0CD7">
              <w:rPr>
                <w:szCs w:val="24"/>
                <w:lang w:val="en-IE"/>
              </w:rPr>
              <w:t xml:space="preserve">Budget line: </w:t>
            </w:r>
            <w:r w:rsidR="00445553" w:rsidRPr="004F1EC1">
              <w:rPr>
                <w:szCs w:val="24"/>
                <w:lang w:eastAsia="de-DE"/>
              </w:rPr>
              <w:t>15.020201</w:t>
            </w:r>
          </w:p>
          <w:p w14:paraId="7D5152A5" w14:textId="259CC256" w:rsidR="001A2578" w:rsidRPr="003C0CD7" w:rsidRDefault="001A2578" w:rsidP="00EA2398">
            <w:pPr>
              <w:spacing w:before="120" w:after="120"/>
              <w:ind w:right="-25"/>
              <w:rPr>
                <w:szCs w:val="24"/>
                <w:lang w:val="en-IE"/>
              </w:rPr>
            </w:pPr>
            <w:r w:rsidRPr="003C0CD7">
              <w:rPr>
                <w:szCs w:val="24"/>
                <w:lang w:val="en-IE"/>
              </w:rPr>
              <w:t xml:space="preserve">Total estimated cost: </w:t>
            </w:r>
            <w:r w:rsidRPr="00CA22CD">
              <w:rPr>
                <w:szCs w:val="24"/>
                <w:lang w:val="en-IE"/>
              </w:rPr>
              <w:t xml:space="preserve">EUR </w:t>
            </w:r>
            <w:r w:rsidR="00AA1C14" w:rsidRPr="00CA22CD">
              <w:rPr>
                <w:szCs w:val="24"/>
                <w:lang w:val="en-IE"/>
              </w:rPr>
              <w:t>16,</w:t>
            </w:r>
            <w:r w:rsidR="00B269C5" w:rsidRPr="00CA22CD">
              <w:rPr>
                <w:szCs w:val="24"/>
                <w:lang w:val="en-IE"/>
              </w:rPr>
              <w:t>17</w:t>
            </w:r>
            <w:r w:rsidR="00AA1C14" w:rsidRPr="00CA22CD">
              <w:rPr>
                <w:szCs w:val="24"/>
                <w:lang w:val="en-IE"/>
              </w:rPr>
              <w:t>0,000</w:t>
            </w:r>
          </w:p>
          <w:p w14:paraId="1D90D1A2" w14:textId="29BEAEB8" w:rsidR="00F5659C" w:rsidRPr="00C85643" w:rsidRDefault="001A2578" w:rsidP="00CA22CD">
            <w:pPr>
              <w:rPr>
                <w:highlight w:val="lightGray"/>
              </w:rPr>
            </w:pPr>
            <w:r w:rsidRPr="003C0CD7">
              <w:rPr>
                <w:szCs w:val="24"/>
                <w:lang w:val="en-IE"/>
              </w:rPr>
              <w:t>Total amount of EU budget contribution EUR</w:t>
            </w:r>
            <w:r w:rsidR="00AA1C14">
              <w:rPr>
                <w:szCs w:val="24"/>
                <w:lang w:val="en-IE"/>
              </w:rPr>
              <w:t>: 15,600,000</w:t>
            </w:r>
            <w:r w:rsidR="00AA1C14" w:rsidDel="00AA1C14">
              <w:rPr>
                <w:szCs w:val="24"/>
                <w:lang w:val="en-IE"/>
              </w:rPr>
              <w:t xml:space="preserve"> </w:t>
            </w:r>
          </w:p>
        </w:tc>
      </w:tr>
      <w:tr w:rsidR="001A2578" w:rsidRPr="008704EA" w14:paraId="538E4DC3" w14:textId="77777777" w:rsidTr="00C85643">
        <w:tc>
          <w:tcPr>
            <w:tcW w:w="10632" w:type="dxa"/>
            <w:gridSpan w:val="6"/>
            <w:tcBorders>
              <w:top w:val="single" w:sz="4" w:space="0" w:color="auto"/>
              <w:left w:val="single" w:sz="4" w:space="0" w:color="auto"/>
              <w:bottom w:val="single" w:sz="4" w:space="0" w:color="auto"/>
              <w:right w:val="single" w:sz="4" w:space="0" w:color="auto"/>
            </w:tcBorders>
            <w:shd w:val="clear" w:color="auto" w:fill="auto"/>
          </w:tcPr>
          <w:p w14:paraId="043DD7D9" w14:textId="77777777" w:rsidR="001A2578" w:rsidRPr="003C0CD7" w:rsidRDefault="001A2578" w:rsidP="00EA2398">
            <w:pPr>
              <w:jc w:val="center"/>
              <w:rPr>
                <w:b/>
                <w:szCs w:val="24"/>
                <w:lang w:val="en-IE"/>
              </w:rPr>
            </w:pPr>
            <w:r w:rsidRPr="003C0CD7">
              <w:rPr>
                <w:b/>
                <w:szCs w:val="24"/>
                <w:lang w:val="en-IE"/>
              </w:rPr>
              <w:t>MANAGEMENT AND IMPLEMENTATION</w:t>
            </w:r>
          </w:p>
        </w:tc>
      </w:tr>
      <w:tr w:rsidR="001A2578" w:rsidRPr="008704EA" w14:paraId="4291B723" w14:textId="77777777" w:rsidTr="00C85643">
        <w:tc>
          <w:tcPr>
            <w:tcW w:w="2330" w:type="dxa"/>
            <w:tcBorders>
              <w:top w:val="single" w:sz="4" w:space="0" w:color="auto"/>
              <w:left w:val="single" w:sz="4" w:space="0" w:color="auto"/>
              <w:bottom w:val="single" w:sz="4" w:space="0" w:color="auto"/>
              <w:right w:val="single" w:sz="4" w:space="0" w:color="auto"/>
            </w:tcBorders>
            <w:shd w:val="clear" w:color="auto" w:fill="auto"/>
          </w:tcPr>
          <w:p w14:paraId="154A18F2" w14:textId="3E305DF4" w:rsidR="001A2578" w:rsidRPr="003C0CD7" w:rsidRDefault="001A2578" w:rsidP="00EA2398">
            <w:pPr>
              <w:pStyle w:val="Text1"/>
              <w:spacing w:before="60" w:after="60"/>
              <w:ind w:left="0"/>
              <w:jc w:val="left"/>
              <w:rPr>
                <w:color w:val="0D0D0D" w:themeColor="text1" w:themeTint="F2"/>
                <w:lang w:val="en-IE"/>
              </w:rPr>
            </w:pPr>
            <w:r w:rsidRPr="003C0CD7">
              <w:rPr>
                <w:b/>
                <w:color w:val="0D0D0D" w:themeColor="text1" w:themeTint="F2"/>
                <w:lang w:val="en-IE"/>
              </w:rPr>
              <w:t>Implementation modalities (management mode</w:t>
            </w:r>
            <w:r w:rsidR="00091845">
              <w:rPr>
                <w:b/>
                <w:color w:val="0D0D0D" w:themeColor="text1" w:themeTint="F2"/>
                <w:lang w:val="en-IE"/>
              </w:rPr>
              <w:t xml:space="preserve"> and delivery methods</w:t>
            </w:r>
            <w:r w:rsidRPr="003C0CD7">
              <w:rPr>
                <w:b/>
                <w:color w:val="0D0D0D" w:themeColor="text1" w:themeTint="F2"/>
                <w:lang w:val="en-IE"/>
              </w:rPr>
              <w:t>)</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2074CF88" w14:textId="39B1C4E1" w:rsidR="001A2578" w:rsidRPr="001614B1" w:rsidRDefault="001A2578" w:rsidP="00EA2398">
            <w:pPr>
              <w:pStyle w:val="Text1"/>
              <w:spacing w:before="60" w:after="60"/>
              <w:ind w:left="0" w:right="-25"/>
              <w:jc w:val="left"/>
              <w:rPr>
                <w:lang w:val="en-IE"/>
              </w:rPr>
            </w:pPr>
            <w:r w:rsidRPr="001614B1">
              <w:rPr>
                <w:b/>
                <w:lang w:val="en-IE"/>
              </w:rPr>
              <w:t>Direct management</w:t>
            </w:r>
            <w:r w:rsidRPr="001614B1">
              <w:rPr>
                <w:lang w:val="en-IE"/>
              </w:rPr>
              <w:t xml:space="preserve"> through:</w:t>
            </w:r>
          </w:p>
          <w:p w14:paraId="337638F6" w14:textId="3A495A7D" w:rsidR="001A2578" w:rsidRPr="001614B1" w:rsidRDefault="001A2578" w:rsidP="00EA2398">
            <w:pPr>
              <w:pStyle w:val="Text1"/>
              <w:spacing w:before="60" w:after="60"/>
              <w:ind w:left="0" w:right="-25"/>
              <w:jc w:val="left"/>
              <w:rPr>
                <w:lang w:val="en-IE"/>
              </w:rPr>
            </w:pPr>
            <w:r w:rsidRPr="001614B1">
              <w:rPr>
                <w:lang w:val="en-IE"/>
              </w:rPr>
              <w:t>- Twinning grants</w:t>
            </w:r>
          </w:p>
          <w:p w14:paraId="6F524799" w14:textId="32FD47A1" w:rsidR="00F5659C" w:rsidRPr="00C85643" w:rsidRDefault="001A2578" w:rsidP="00EA2398">
            <w:pPr>
              <w:pStyle w:val="Text1"/>
              <w:spacing w:before="60" w:after="60"/>
              <w:ind w:left="0" w:right="-25"/>
              <w:jc w:val="left"/>
              <w:rPr>
                <w:lang w:val="en-IE"/>
              </w:rPr>
            </w:pPr>
            <w:r w:rsidRPr="001614B1">
              <w:rPr>
                <w:lang w:val="en-IE"/>
              </w:rPr>
              <w:t>- Procurement</w:t>
            </w:r>
            <w:r w:rsidRPr="003C0CD7">
              <w:rPr>
                <w:lang w:val="en-IE"/>
              </w:rPr>
              <w:t xml:space="preserve"> </w:t>
            </w:r>
          </w:p>
        </w:tc>
      </w:tr>
      <w:tr w:rsidR="001A2578" w:rsidRPr="008704EA" w14:paraId="74F3EF98" w14:textId="77777777" w:rsidTr="00C85643">
        <w:trPr>
          <w:trHeight w:val="558"/>
        </w:trPr>
        <w:tc>
          <w:tcPr>
            <w:tcW w:w="2330" w:type="dxa"/>
            <w:tcBorders>
              <w:top w:val="single" w:sz="4" w:space="0" w:color="auto"/>
              <w:left w:val="single" w:sz="4" w:space="0" w:color="auto"/>
              <w:bottom w:val="single" w:sz="4" w:space="0" w:color="auto"/>
              <w:right w:val="single" w:sz="4" w:space="0" w:color="auto"/>
            </w:tcBorders>
            <w:shd w:val="clear" w:color="auto" w:fill="auto"/>
          </w:tcPr>
          <w:p w14:paraId="0097CDF8" w14:textId="13419546" w:rsidR="001A2578" w:rsidRPr="00AA1C14" w:rsidRDefault="001A2578" w:rsidP="00CA22CD">
            <w:pPr>
              <w:pStyle w:val="Text1"/>
              <w:spacing w:before="60" w:after="60"/>
              <w:ind w:left="-10" w:right="-108"/>
              <w:jc w:val="left"/>
              <w:rPr>
                <w:b/>
                <w:bCs/>
                <w:color w:val="0D0D0D" w:themeColor="text1" w:themeTint="F2"/>
                <w:lang w:val="en-IE"/>
              </w:rPr>
            </w:pPr>
            <w:r w:rsidRPr="00AA1C14">
              <w:rPr>
                <w:b/>
                <w:bCs/>
                <w:color w:val="0D0D0D" w:themeColor="text1" w:themeTint="F2"/>
                <w:lang w:val="en-IE"/>
              </w:rPr>
              <w:t xml:space="preserve">Final Date for conclusion of Financing Agreement </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5AC564F4" w14:textId="77777777" w:rsidR="001A2578" w:rsidRPr="00CA22CD" w:rsidRDefault="001A2578" w:rsidP="00EA2398">
            <w:pPr>
              <w:pStyle w:val="Text1"/>
              <w:spacing w:before="60" w:after="60"/>
              <w:ind w:left="0"/>
              <w:jc w:val="left"/>
              <w:rPr>
                <w:lang w:val="en-IE" w:eastAsia="de-DE"/>
              </w:rPr>
            </w:pPr>
          </w:p>
          <w:p w14:paraId="61BED7E1" w14:textId="56085C65" w:rsidR="001A2578" w:rsidRPr="00CA22CD" w:rsidRDefault="001A2578" w:rsidP="00EA2398">
            <w:pPr>
              <w:pStyle w:val="Text1"/>
              <w:spacing w:before="60" w:after="60"/>
              <w:ind w:left="0"/>
              <w:jc w:val="left"/>
              <w:rPr>
                <w:lang w:val="en-IE" w:eastAsia="de-DE"/>
              </w:rPr>
            </w:pPr>
            <w:r w:rsidRPr="00CA22CD">
              <w:rPr>
                <w:lang w:val="en-IE" w:eastAsia="de-DE"/>
              </w:rPr>
              <w:t xml:space="preserve">At the latest by 31 December </w:t>
            </w:r>
            <w:r w:rsidR="008D649C" w:rsidRPr="00CA22CD">
              <w:rPr>
                <w:lang w:val="en-IE" w:eastAsia="de-DE"/>
              </w:rPr>
              <w:t>2025</w:t>
            </w:r>
          </w:p>
          <w:p w14:paraId="716CC5FA" w14:textId="77777777" w:rsidR="001A2578" w:rsidRPr="00CA22CD" w:rsidRDefault="001A2578" w:rsidP="00EA2398">
            <w:pPr>
              <w:pStyle w:val="Text1"/>
              <w:spacing w:before="60" w:after="60"/>
              <w:ind w:left="0"/>
              <w:jc w:val="left"/>
              <w:rPr>
                <w:lang w:val="en-IE" w:eastAsia="de-DE"/>
              </w:rPr>
            </w:pPr>
          </w:p>
        </w:tc>
      </w:tr>
      <w:tr w:rsidR="001A2578" w:rsidRPr="008704EA" w14:paraId="1BC2E909" w14:textId="77777777" w:rsidTr="00C85643">
        <w:trPr>
          <w:trHeight w:val="558"/>
        </w:trPr>
        <w:tc>
          <w:tcPr>
            <w:tcW w:w="2330" w:type="dxa"/>
            <w:tcBorders>
              <w:top w:val="single" w:sz="4" w:space="0" w:color="auto"/>
              <w:left w:val="single" w:sz="4" w:space="0" w:color="auto"/>
              <w:bottom w:val="single" w:sz="4" w:space="0" w:color="auto"/>
              <w:right w:val="single" w:sz="4" w:space="0" w:color="auto"/>
            </w:tcBorders>
            <w:shd w:val="clear" w:color="auto" w:fill="auto"/>
          </w:tcPr>
          <w:p w14:paraId="002D4F2E" w14:textId="59F98F77" w:rsidR="001A2578" w:rsidRPr="00510206" w:rsidRDefault="001A2578" w:rsidP="00EA2398">
            <w:pPr>
              <w:pStyle w:val="Text1"/>
              <w:spacing w:before="60" w:after="60"/>
              <w:ind w:left="0" w:right="-108"/>
              <w:jc w:val="left"/>
              <w:rPr>
                <w:b/>
                <w:bCs/>
                <w:color w:val="0D0D0D" w:themeColor="text1" w:themeTint="F2"/>
                <w:lang w:val="en-IE"/>
              </w:rPr>
            </w:pPr>
            <w:r w:rsidRPr="00510206">
              <w:rPr>
                <w:b/>
                <w:bCs/>
                <w:color w:val="0D0D0D" w:themeColor="text1" w:themeTint="F2"/>
                <w:lang w:val="en-IE"/>
              </w:rPr>
              <w:t xml:space="preserve">Final date for concluding contribution / </w:t>
            </w:r>
            <w:r w:rsidRPr="00510206">
              <w:rPr>
                <w:b/>
                <w:bCs/>
                <w:color w:val="0D0D0D" w:themeColor="text1" w:themeTint="F2"/>
                <w:lang w:val="en-IE"/>
              </w:rPr>
              <w:lastRenderedPageBreak/>
              <w:t>delegation agreements,  procurement and grant contracts</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2AF3CD05" w14:textId="3649D2C7" w:rsidR="001A2578" w:rsidRPr="001614B1" w:rsidRDefault="001614B1" w:rsidP="00EA2398">
            <w:pPr>
              <w:pStyle w:val="Text1"/>
              <w:spacing w:before="60" w:after="60"/>
              <w:ind w:left="0"/>
              <w:jc w:val="left"/>
              <w:rPr>
                <w:lang w:val="en-IE" w:eastAsia="de-DE"/>
              </w:rPr>
            </w:pPr>
            <w:r w:rsidRPr="001614B1">
              <w:rPr>
                <w:lang w:val="en-IE" w:eastAsia="de-DE"/>
              </w:rPr>
              <w:lastRenderedPageBreak/>
              <w:t xml:space="preserve">3 </w:t>
            </w:r>
            <w:r w:rsidR="001A2578" w:rsidRPr="001614B1">
              <w:rPr>
                <w:lang w:val="en-IE" w:eastAsia="de-DE"/>
              </w:rPr>
              <w:t>years following the date of conclusion of the financing agreement, with the exception of cases listed under Article 114(2) of the Financial Regulation</w:t>
            </w:r>
          </w:p>
          <w:p w14:paraId="660CFFEC" w14:textId="77777777" w:rsidR="001A2578" w:rsidRPr="001614B1" w:rsidRDefault="001A2578" w:rsidP="00EA2398">
            <w:pPr>
              <w:pStyle w:val="Text1"/>
              <w:spacing w:before="60" w:after="60"/>
              <w:ind w:left="0"/>
              <w:jc w:val="left"/>
              <w:rPr>
                <w:lang w:val="en-IE" w:eastAsia="de-DE"/>
              </w:rPr>
            </w:pPr>
          </w:p>
        </w:tc>
      </w:tr>
      <w:tr w:rsidR="001A2578" w:rsidRPr="008704EA" w14:paraId="5A7791B3" w14:textId="77777777" w:rsidTr="00C85643">
        <w:trPr>
          <w:trHeight w:val="558"/>
        </w:trPr>
        <w:tc>
          <w:tcPr>
            <w:tcW w:w="2330" w:type="dxa"/>
            <w:tcBorders>
              <w:top w:val="single" w:sz="4" w:space="0" w:color="auto"/>
              <w:left w:val="single" w:sz="4" w:space="0" w:color="auto"/>
              <w:bottom w:val="single" w:sz="4" w:space="0" w:color="auto"/>
              <w:right w:val="single" w:sz="4" w:space="0" w:color="auto"/>
            </w:tcBorders>
            <w:shd w:val="clear" w:color="auto" w:fill="auto"/>
          </w:tcPr>
          <w:p w14:paraId="2DB0D6A0" w14:textId="08518C99" w:rsidR="001A2578" w:rsidRPr="003C0CD7" w:rsidRDefault="001A2578" w:rsidP="00EA2398">
            <w:pPr>
              <w:pStyle w:val="Text1"/>
              <w:spacing w:before="60" w:after="60"/>
              <w:ind w:left="0" w:right="-108"/>
              <w:jc w:val="left"/>
              <w:rPr>
                <w:b/>
                <w:bCs/>
                <w:color w:val="0D0D0D" w:themeColor="text1" w:themeTint="F2"/>
                <w:highlight w:val="lightGray"/>
                <w:lang w:val="en-IE"/>
              </w:rPr>
            </w:pPr>
            <w:r w:rsidRPr="003C0CD7">
              <w:rPr>
                <w:b/>
                <w:bCs/>
                <w:color w:val="0D0D0D" w:themeColor="text1" w:themeTint="F2"/>
                <w:lang w:val="en-IE"/>
              </w:rPr>
              <w:lastRenderedPageBreak/>
              <w:t xml:space="preserve">Indicative </w:t>
            </w:r>
            <w:r w:rsidRPr="00510206">
              <w:rPr>
                <w:b/>
                <w:bCs/>
                <w:color w:val="0D0D0D" w:themeColor="text1" w:themeTint="F2"/>
                <w:lang w:val="en-IE"/>
              </w:rPr>
              <w:t>operational implementation</w:t>
            </w:r>
            <w:r w:rsidR="00510206">
              <w:rPr>
                <w:b/>
                <w:bCs/>
                <w:color w:val="0D0D0D" w:themeColor="text1" w:themeTint="F2"/>
                <w:lang w:val="en-IE"/>
              </w:rPr>
              <w:t xml:space="preserve"> </w:t>
            </w:r>
            <w:r w:rsidRPr="003C0CD7">
              <w:rPr>
                <w:b/>
                <w:bCs/>
                <w:color w:val="0D0D0D" w:themeColor="text1" w:themeTint="F2"/>
                <w:lang w:val="en-IE"/>
              </w:rPr>
              <w:t>period</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04507E36" w14:textId="19CD70DA" w:rsidR="001A2578" w:rsidRPr="003C0CD7" w:rsidRDefault="00AA1C14" w:rsidP="00EA2398">
            <w:pPr>
              <w:pStyle w:val="Text1"/>
              <w:spacing w:before="60" w:after="60"/>
              <w:ind w:left="0"/>
              <w:jc w:val="left"/>
              <w:rPr>
                <w:highlight w:val="lightGray"/>
                <w:lang w:val="en-IE" w:eastAsia="de-DE"/>
              </w:rPr>
            </w:pPr>
            <w:r>
              <w:rPr>
                <w:lang w:val="en-IE"/>
              </w:rPr>
              <w:t>72</w:t>
            </w:r>
            <w:r w:rsidR="001A2578" w:rsidRPr="003C0CD7">
              <w:rPr>
                <w:lang w:val="en-IE"/>
              </w:rPr>
              <w:t xml:space="preserve"> months</w:t>
            </w:r>
            <w:r w:rsidR="001A2578" w:rsidRPr="003C0CD7">
              <w:rPr>
                <w:rStyle w:val="FootnoteReference"/>
                <w:lang w:val="en-IE"/>
              </w:rPr>
              <w:footnoteReference w:id="13"/>
            </w:r>
            <w:r w:rsidR="001A2578" w:rsidRPr="003C0CD7">
              <w:rPr>
                <w:lang w:val="en-IE"/>
              </w:rPr>
              <w:t xml:space="preserve"> </w:t>
            </w:r>
            <w:r w:rsidR="001A2578" w:rsidRPr="00CA22CD">
              <w:rPr>
                <w:lang w:val="en-IE" w:eastAsia="de-DE"/>
              </w:rPr>
              <w:t>following the conclusion of the Financing Agreement</w:t>
            </w:r>
          </w:p>
          <w:p w14:paraId="1F069464" w14:textId="77777777" w:rsidR="001A2578" w:rsidRPr="003C0CD7" w:rsidRDefault="001A2578" w:rsidP="00EA2398">
            <w:pPr>
              <w:pStyle w:val="Text1"/>
              <w:spacing w:before="60" w:after="60"/>
              <w:ind w:left="0"/>
              <w:jc w:val="left"/>
              <w:rPr>
                <w:highlight w:val="lightGray"/>
                <w:lang w:val="en-IE" w:eastAsia="de-DE"/>
              </w:rPr>
            </w:pPr>
          </w:p>
        </w:tc>
      </w:tr>
      <w:tr w:rsidR="001A2578" w:rsidRPr="008704EA" w14:paraId="10E1681C" w14:textId="77777777" w:rsidTr="00C85643">
        <w:trPr>
          <w:trHeight w:val="558"/>
        </w:trPr>
        <w:tc>
          <w:tcPr>
            <w:tcW w:w="2330" w:type="dxa"/>
            <w:tcBorders>
              <w:top w:val="single" w:sz="4" w:space="0" w:color="auto"/>
              <w:left w:val="single" w:sz="4" w:space="0" w:color="auto"/>
              <w:bottom w:val="single" w:sz="4" w:space="0" w:color="auto"/>
              <w:right w:val="single" w:sz="4" w:space="0" w:color="auto"/>
            </w:tcBorders>
            <w:shd w:val="clear" w:color="auto" w:fill="auto"/>
          </w:tcPr>
          <w:p w14:paraId="5A8E99FD" w14:textId="0BF55F0F" w:rsidR="001A2578" w:rsidRPr="00650024" w:rsidRDefault="001A2578" w:rsidP="00EA2398">
            <w:pPr>
              <w:pStyle w:val="Text1"/>
              <w:spacing w:before="60" w:after="60"/>
              <w:ind w:left="0" w:right="-108"/>
              <w:jc w:val="left"/>
              <w:rPr>
                <w:b/>
                <w:color w:val="000000"/>
                <w:lang w:val="en-IE"/>
              </w:rPr>
            </w:pPr>
            <w:r w:rsidRPr="003C0CD7">
              <w:rPr>
                <w:b/>
                <w:color w:val="000000"/>
                <w:lang w:val="en-IE"/>
              </w:rPr>
              <w:t>Final date for implementing the Financing Agreement</w:t>
            </w:r>
          </w:p>
        </w:tc>
        <w:tc>
          <w:tcPr>
            <w:tcW w:w="8302" w:type="dxa"/>
            <w:gridSpan w:val="5"/>
            <w:tcBorders>
              <w:top w:val="single" w:sz="4" w:space="0" w:color="auto"/>
              <w:left w:val="single" w:sz="4" w:space="0" w:color="auto"/>
              <w:bottom w:val="single" w:sz="4" w:space="0" w:color="auto"/>
              <w:right w:val="single" w:sz="4" w:space="0" w:color="auto"/>
            </w:tcBorders>
            <w:shd w:val="clear" w:color="auto" w:fill="auto"/>
          </w:tcPr>
          <w:p w14:paraId="2BB66F87" w14:textId="77777777" w:rsidR="001A2578" w:rsidRPr="003C0CD7" w:rsidRDefault="001A2578" w:rsidP="00EA2398">
            <w:pPr>
              <w:pStyle w:val="Text1"/>
              <w:spacing w:before="60" w:after="60"/>
              <w:ind w:left="0"/>
              <w:jc w:val="left"/>
              <w:rPr>
                <w:highlight w:val="yellow"/>
                <w:lang w:val="en-IE" w:eastAsia="de-DE"/>
              </w:rPr>
            </w:pPr>
            <w:r w:rsidRPr="00650024">
              <w:rPr>
                <w:lang w:val="en-IE" w:eastAsia="de-DE"/>
              </w:rPr>
              <w:t>12 years following the conclusion of the financing agreement</w:t>
            </w:r>
          </w:p>
        </w:tc>
      </w:tr>
    </w:tbl>
    <w:p w14:paraId="3263BA63" w14:textId="77777777" w:rsidR="0020000F" w:rsidRPr="003C0CD7" w:rsidRDefault="00FD7FCD" w:rsidP="00CA22CD">
      <w:pPr>
        <w:pStyle w:val="Heading1"/>
        <w:numPr>
          <w:ilvl w:val="1"/>
          <w:numId w:val="1"/>
        </w:numPr>
        <w:spacing w:before="240" w:after="0"/>
        <w:ind w:left="1701" w:hanging="545"/>
        <w:rPr>
          <w:lang w:val="en-IE"/>
        </w:rPr>
      </w:pPr>
      <w:bookmarkStart w:id="12" w:name="_Ref58422630"/>
      <w:bookmarkStart w:id="13" w:name="_Ref58422632"/>
      <w:bookmarkStart w:id="14" w:name="_Toc73090732"/>
      <w:r w:rsidRPr="003C0CD7">
        <w:rPr>
          <w:lang w:val="en-IE"/>
        </w:rPr>
        <w:t>Summary of the Action</w:t>
      </w:r>
      <w:bookmarkEnd w:id="12"/>
      <w:bookmarkEnd w:id="13"/>
      <w:bookmarkEnd w:id="14"/>
      <w:r w:rsidR="00532695" w:rsidRPr="003C0CD7">
        <w:rPr>
          <w:lang w:val="en-IE"/>
        </w:rPr>
        <w:t xml:space="preserve"> </w:t>
      </w:r>
    </w:p>
    <w:p w14:paraId="2880F9AC" w14:textId="77777777" w:rsidR="009E43BB" w:rsidRDefault="00EF0445" w:rsidP="00CA22CD">
      <w:pPr>
        <w:spacing w:before="120"/>
        <w:ind w:left="720"/>
      </w:pPr>
      <w:bookmarkStart w:id="15" w:name="_Hlk115185082"/>
      <w:bookmarkStart w:id="16" w:name="_Ref58421925"/>
      <w:r>
        <w:rPr>
          <w:rFonts w:cs="Times New Roman"/>
          <w:color w:val="0D0D0D" w:themeColor="text1" w:themeTint="F2"/>
          <w:lang w:val="en-IE"/>
        </w:rPr>
        <w:t xml:space="preserve">The Action aims at accelerating </w:t>
      </w:r>
      <w:r w:rsidRPr="00CA22CD">
        <w:rPr>
          <w:szCs w:val="24"/>
        </w:rPr>
        <w:t>the business environment reform and transformation</w:t>
      </w:r>
      <w:r w:rsidR="009E43BB" w:rsidRPr="003662EA">
        <w:rPr>
          <w:szCs w:val="24"/>
        </w:rPr>
        <w:t>, building upon the synergies between the innovation, agriculture and</w:t>
      </w:r>
      <w:r w:rsidR="009E43BB" w:rsidRPr="00882253">
        <w:rPr>
          <w:szCs w:val="24"/>
        </w:rPr>
        <w:t xml:space="preserve"> private sector developments. </w:t>
      </w:r>
      <w:r w:rsidRPr="00CA22CD">
        <w:rPr>
          <w:szCs w:val="24"/>
        </w:rPr>
        <w:t>It will i</w:t>
      </w:r>
      <w:r w:rsidRPr="00CA22CD">
        <w:rPr>
          <w:bCs/>
          <w:szCs w:val="24"/>
        </w:rPr>
        <w:t>mprove the</w:t>
      </w:r>
      <w:r w:rsidRPr="00CA22CD">
        <w:t xml:space="preserve"> legal, administrative and operational framework for private sector with special focus on enhancing the </w:t>
      </w:r>
      <w:r w:rsidRPr="003662EA">
        <w:t xml:space="preserve">right </w:t>
      </w:r>
      <w:r w:rsidRPr="00CA22CD">
        <w:rPr>
          <w:rFonts w:eastAsiaTheme="majorEastAsia" w:cs="Times New Roman"/>
          <w:color w:val="0D0D0D" w:themeColor="text1" w:themeTint="F2"/>
          <w:szCs w:val="32"/>
        </w:rPr>
        <w:t xml:space="preserve">of establishment and freedom to provide services, </w:t>
      </w:r>
      <w:r w:rsidRPr="003662EA">
        <w:t xml:space="preserve">market surveillance and consumer protection, and improving the effectiveness of the </w:t>
      </w:r>
      <w:r w:rsidR="009E43BB" w:rsidRPr="00882253">
        <w:t xml:space="preserve">intellectual </w:t>
      </w:r>
      <w:r w:rsidR="009E43BB">
        <w:t>property</w:t>
      </w:r>
      <w:r w:rsidR="009E43BB" w:rsidRPr="003662EA">
        <w:t xml:space="preserve"> </w:t>
      </w:r>
      <w:r w:rsidRPr="003662EA">
        <w:t xml:space="preserve">policy. </w:t>
      </w:r>
      <w:r w:rsidR="00AB6C05" w:rsidRPr="00882253">
        <w:t>In these areas, t</w:t>
      </w:r>
      <w:r w:rsidRPr="00882253">
        <w:t>he legal harmonisation will be paired with st</w:t>
      </w:r>
      <w:r w:rsidR="00AB6C05" w:rsidRPr="00882253">
        <w:t xml:space="preserve">rong capacity building measures, enhanced digitalisation, and active reach-out to </w:t>
      </w:r>
      <w:r w:rsidR="00AB6C05" w:rsidRPr="00882253">
        <w:rPr>
          <w:rFonts w:eastAsia="Calibri" w:cs="Arial"/>
          <w:iCs/>
        </w:rPr>
        <w:t xml:space="preserve">raise the awareness of the private sector, authorities and the general public on their rights and obligations, linked to the </w:t>
      </w:r>
      <w:r w:rsidR="009E43BB">
        <w:rPr>
          <w:rFonts w:eastAsia="Calibri" w:cs="Arial"/>
          <w:iCs/>
        </w:rPr>
        <w:t xml:space="preserve">new regulative framework. </w:t>
      </w:r>
      <w:r w:rsidR="00AB6C05" w:rsidRPr="003662EA">
        <w:rPr>
          <w:rFonts w:eastAsia="Calibri" w:cs="Arial"/>
          <w:iCs/>
        </w:rPr>
        <w:t xml:space="preserve"> </w:t>
      </w:r>
    </w:p>
    <w:p w14:paraId="2D2C58B0" w14:textId="77777777" w:rsidR="009E43BB" w:rsidRDefault="009E43BB" w:rsidP="00CA22CD">
      <w:pPr>
        <w:spacing w:before="120"/>
        <w:ind w:left="720"/>
      </w:pPr>
      <w:r w:rsidRPr="00337FEB">
        <w:t>The Action will</w:t>
      </w:r>
      <w:r w:rsidRPr="00337FEB">
        <w:rPr>
          <w:rFonts w:eastAsia="Calibri"/>
          <w:szCs w:val="20"/>
          <w:lang w:eastAsia="x-none"/>
        </w:rPr>
        <w:t xml:space="preserve"> also create a new momentum for the innovation policy of North Macedonia by implementing targeted </w:t>
      </w:r>
      <w:r w:rsidRPr="00337FEB">
        <w:rPr>
          <w:rFonts w:eastAsia="Calibri" w:cs="Times New Roman"/>
          <w:szCs w:val="20"/>
          <w:lang w:eastAsia="x-none"/>
        </w:rPr>
        <w:t>measures to support technological and practice-based innovation</w:t>
      </w:r>
      <w:r w:rsidRPr="00337FEB">
        <w:rPr>
          <w:rFonts w:eastAsia="Calibri"/>
          <w:szCs w:val="20"/>
          <w:lang w:eastAsia="x-none"/>
        </w:rPr>
        <w:t xml:space="preserve"> in private sector and agriculture.</w:t>
      </w:r>
      <w:r>
        <w:rPr>
          <w:rFonts w:eastAsia="Calibri"/>
          <w:szCs w:val="20"/>
          <w:lang w:eastAsia="x-none"/>
        </w:rPr>
        <w:t xml:space="preserve"> The selected </w:t>
      </w:r>
      <w:r w:rsidRPr="00924B26">
        <w:rPr>
          <w:rFonts w:eastAsia="Calibri" w:cs="Times New Roman"/>
          <w:szCs w:val="20"/>
          <w:lang w:eastAsia="x-none"/>
        </w:rPr>
        <w:t xml:space="preserve">support measures </w:t>
      </w:r>
      <w:r>
        <w:rPr>
          <w:rFonts w:eastAsia="Calibri" w:cs="Times New Roman"/>
          <w:szCs w:val="20"/>
          <w:lang w:eastAsia="x-none"/>
        </w:rPr>
        <w:t xml:space="preserve">will have </w:t>
      </w:r>
      <w:r w:rsidRPr="00924B26">
        <w:rPr>
          <w:rFonts w:eastAsia="Calibri" w:cs="Times New Roman"/>
          <w:szCs w:val="20"/>
          <w:lang w:eastAsia="x-none"/>
        </w:rPr>
        <w:t>an impact on green and digital transition, and gender equality</w:t>
      </w:r>
      <w:r>
        <w:rPr>
          <w:rFonts w:eastAsia="Calibri" w:cs="Times New Roman"/>
          <w:szCs w:val="20"/>
          <w:lang w:eastAsia="x-none"/>
        </w:rPr>
        <w:t>.</w:t>
      </w:r>
      <w:r w:rsidRPr="00AB6C05">
        <w:rPr>
          <w:rFonts w:eastAsia="Calibri" w:cs="Times New Roman"/>
          <w:szCs w:val="20"/>
          <w:lang w:eastAsia="x-none"/>
        </w:rPr>
        <w:t xml:space="preserve"> </w:t>
      </w:r>
      <w:r>
        <w:rPr>
          <w:rFonts w:eastAsia="Calibri" w:cs="Times New Roman"/>
          <w:szCs w:val="20"/>
          <w:lang w:eastAsia="x-none"/>
        </w:rPr>
        <w:t xml:space="preserve">The action will also support future EU investments by conducting a </w:t>
      </w:r>
      <w:r w:rsidRPr="00924B26">
        <w:rPr>
          <w:rFonts w:eastAsia="Calibri" w:cs="Times New Roman"/>
          <w:szCs w:val="20"/>
          <w:lang w:eastAsia="x-none"/>
        </w:rPr>
        <w:t xml:space="preserve">feasibility study for establishment of innovation infrastructure in line with the S3 policy mix (e.g., canters of excellence and technology transfer offices) </w:t>
      </w:r>
      <w:r>
        <w:rPr>
          <w:rFonts w:eastAsia="Calibri" w:cs="Times New Roman"/>
          <w:szCs w:val="20"/>
          <w:lang w:eastAsia="x-none"/>
        </w:rPr>
        <w:t xml:space="preserve">and promote the Union Programmes targeting business innovations. </w:t>
      </w:r>
    </w:p>
    <w:p w14:paraId="07B1EB6E" w14:textId="2796EED8" w:rsidR="00FC1D26" w:rsidRPr="00CA22CD" w:rsidRDefault="009E43BB" w:rsidP="00CA22CD">
      <w:pPr>
        <w:spacing w:before="120"/>
        <w:ind w:left="720"/>
        <w:rPr>
          <w:rFonts w:eastAsia="Calibri" w:cs="Times New Roman"/>
          <w:bCs/>
          <w:szCs w:val="20"/>
          <w:lang w:eastAsia="x-none"/>
        </w:rPr>
      </w:pPr>
      <w:r w:rsidRPr="00CA22CD">
        <w:t>In the area of agriculture, t</w:t>
      </w:r>
      <w:r w:rsidR="00EF0445" w:rsidRPr="00CA22CD">
        <w:t xml:space="preserve">he action will </w:t>
      </w:r>
      <w:r w:rsidR="00FC1D26" w:rsidRPr="00CA22CD">
        <w:t>enhance the a</w:t>
      </w:r>
      <w:r w:rsidRPr="00CA22CD">
        <w:rPr>
          <w:rFonts w:eastAsia="Calibri" w:cs="Times New Roman"/>
          <w:szCs w:val="20"/>
          <w:lang w:eastAsia="x-none"/>
        </w:rPr>
        <w:t xml:space="preserve">lignment of the national regulations with the EU </w:t>
      </w:r>
      <w:r w:rsidRPr="00CA22CD">
        <w:rPr>
          <w:rFonts w:eastAsia="Calibri" w:cs="Times New Roman"/>
          <w:iCs/>
          <w:szCs w:val="20"/>
          <w:lang w:eastAsia="x-none"/>
        </w:rPr>
        <w:t xml:space="preserve">acquis </w:t>
      </w:r>
      <w:r w:rsidRPr="00CA22CD">
        <w:rPr>
          <w:rFonts w:eastAsia="Calibri" w:cs="Times New Roman"/>
          <w:szCs w:val="20"/>
          <w:lang w:eastAsia="x-none"/>
        </w:rPr>
        <w:t>on organic production</w:t>
      </w:r>
      <w:r w:rsidR="00FC1D26" w:rsidRPr="00CA22CD">
        <w:rPr>
          <w:rFonts w:eastAsia="Calibri" w:cs="Times New Roman"/>
          <w:szCs w:val="20"/>
          <w:lang w:eastAsia="x-none"/>
        </w:rPr>
        <w:t>,</w:t>
      </w:r>
      <w:r w:rsidRPr="00CA22CD">
        <w:rPr>
          <w:rFonts w:eastAsia="Calibri" w:cs="Times New Roman"/>
          <w:lang w:val="en-IE"/>
        </w:rPr>
        <w:t xml:space="preserve"> </w:t>
      </w:r>
      <w:r w:rsidR="00FC1D26" w:rsidRPr="00882253">
        <w:t>geographical indication</w:t>
      </w:r>
      <w:r w:rsidR="00FC1D26" w:rsidRPr="00CA22CD">
        <w:rPr>
          <w:rFonts w:eastAsia="Calibri" w:cs="Times New Roman"/>
          <w:bCs/>
          <w:color w:val="000000"/>
          <w:szCs w:val="20"/>
          <w:lang w:eastAsia="x-none"/>
        </w:rPr>
        <w:t xml:space="preserve">, veterinary system, </w:t>
      </w:r>
      <w:r w:rsidR="00FC1D26" w:rsidRPr="00CA22CD">
        <w:rPr>
          <w:rFonts w:eastAsia="Calibri" w:cs="Arial"/>
          <w:bCs/>
          <w:color w:val="000000"/>
        </w:rPr>
        <w:t>environmentally friendly food production,</w:t>
      </w:r>
      <w:r w:rsidR="00FC1D26" w:rsidRPr="00CA22CD" w:rsidDel="00BB621D">
        <w:rPr>
          <w:rFonts w:eastAsia="Calibri" w:cs="Times New Roman"/>
          <w:bCs/>
          <w:color w:val="000000"/>
          <w:szCs w:val="20"/>
          <w:lang w:eastAsia="x-none"/>
        </w:rPr>
        <w:t xml:space="preserve"> </w:t>
      </w:r>
      <w:r w:rsidR="00FC1D26" w:rsidRPr="00CA22CD">
        <w:rPr>
          <w:rFonts w:eastAsia="Calibri" w:cs="Arial"/>
          <w:bCs/>
          <w:color w:val="000000"/>
        </w:rPr>
        <w:t xml:space="preserve">animal health and official controls, plant health and plant protection products, </w:t>
      </w:r>
      <w:r w:rsidR="00FC1D26" w:rsidRPr="00CA22CD">
        <w:rPr>
          <w:rFonts w:eastAsia="Calibri" w:cs="Times New Roman"/>
          <w:bCs/>
          <w:szCs w:val="20"/>
          <w:lang w:eastAsia="x-none"/>
        </w:rPr>
        <w:t>aquaculture and fisheries. It will e</w:t>
      </w:r>
      <w:r w:rsidR="00FC1D26" w:rsidRPr="00CA22CD">
        <w:t xml:space="preserve">qually strengthen the </w:t>
      </w:r>
      <w:r w:rsidR="00FC1D26" w:rsidRPr="00CA22CD">
        <w:rPr>
          <w:szCs w:val="24"/>
        </w:rPr>
        <w:t xml:space="preserve">capacities for effective and efficient management of these areas in line with the upgraded regulative framework. A significant part of the action envisages digitalisation of the controls system, </w:t>
      </w:r>
      <w:r w:rsidR="00FC1D26" w:rsidRPr="00CA22CD">
        <w:rPr>
          <w:rFonts w:eastAsia="Calibri" w:cs="Arial"/>
          <w:bCs/>
          <w:color w:val="000000"/>
        </w:rPr>
        <w:t>animal health and food safety</w:t>
      </w:r>
      <w:r w:rsidR="00882253" w:rsidRPr="00882253">
        <w:rPr>
          <w:rFonts w:eastAsia="Calibri" w:cs="Arial"/>
          <w:bCs/>
          <w:color w:val="000000"/>
        </w:rPr>
        <w:t xml:space="preserve"> </w:t>
      </w:r>
      <w:r w:rsidR="00882253" w:rsidRPr="00395892">
        <w:rPr>
          <w:rFonts w:eastAsia="Calibri" w:cs="Arial"/>
          <w:bCs/>
          <w:color w:val="000000"/>
        </w:rPr>
        <w:t>monitoring</w:t>
      </w:r>
      <w:r w:rsidR="00882253" w:rsidRPr="003662EA">
        <w:rPr>
          <w:rFonts w:eastAsia="Calibri" w:cs="Arial"/>
          <w:bCs/>
          <w:color w:val="000000"/>
        </w:rPr>
        <w:t xml:space="preserve">, </w:t>
      </w:r>
      <w:r w:rsidR="00882253" w:rsidRPr="00EF2BA5">
        <w:rPr>
          <w:rFonts w:eastAsia="Calibri" w:cs="Times New Roman"/>
          <w:bCs/>
          <w:szCs w:val="20"/>
          <w:lang w:eastAsia="x-none"/>
        </w:rPr>
        <w:t xml:space="preserve">fishery </w:t>
      </w:r>
      <w:r w:rsidR="00FC1D26" w:rsidRPr="00CA22CD">
        <w:rPr>
          <w:rFonts w:eastAsia="Calibri" w:cs="Times New Roman"/>
          <w:bCs/>
          <w:szCs w:val="20"/>
          <w:lang w:eastAsia="x-none"/>
        </w:rPr>
        <w:t xml:space="preserve">traceability </w:t>
      </w:r>
      <w:r w:rsidR="00882253">
        <w:rPr>
          <w:rFonts w:eastAsia="Calibri" w:cs="Times New Roman"/>
          <w:bCs/>
          <w:szCs w:val="20"/>
          <w:lang w:eastAsia="x-none"/>
        </w:rPr>
        <w:t xml:space="preserve">and </w:t>
      </w:r>
      <w:r w:rsidR="00882253" w:rsidRPr="00782CEC">
        <w:rPr>
          <w:rFonts w:eastAsia="Calibri" w:cs="Times New Roman"/>
          <w:bCs/>
          <w:szCs w:val="20"/>
          <w:lang w:eastAsia="x-none"/>
        </w:rPr>
        <w:t xml:space="preserve">catch certification </w:t>
      </w:r>
      <w:r w:rsidR="00882253">
        <w:rPr>
          <w:rFonts w:eastAsia="Calibri" w:cs="Times New Roman"/>
          <w:bCs/>
          <w:szCs w:val="20"/>
          <w:lang w:eastAsia="x-none"/>
        </w:rPr>
        <w:t>records</w:t>
      </w:r>
      <w:r w:rsidR="00FC1D26" w:rsidRPr="00CA22CD">
        <w:rPr>
          <w:rFonts w:eastAsia="Calibri" w:cs="Times New Roman"/>
          <w:bCs/>
          <w:szCs w:val="20"/>
          <w:lang w:eastAsia="x-none"/>
        </w:rPr>
        <w:t>.</w:t>
      </w:r>
    </w:p>
    <w:p w14:paraId="41E7BA8B" w14:textId="1061DB0B" w:rsidR="00FC1D26" w:rsidRPr="00CA22CD" w:rsidRDefault="00882253" w:rsidP="00CA22CD">
      <w:pPr>
        <w:spacing w:before="120"/>
        <w:ind w:left="720"/>
        <w:rPr>
          <w:rFonts w:cs="Times New Roman"/>
          <w:color w:val="0D0D0D" w:themeColor="text1" w:themeTint="F2"/>
        </w:rPr>
      </w:pPr>
      <w:r w:rsidRPr="00CA22CD">
        <w:rPr>
          <w:rFonts w:cs="Times New Roman"/>
          <w:bCs/>
          <w:color w:val="0D0D0D" w:themeColor="text1" w:themeTint="F2"/>
        </w:rPr>
        <w:t xml:space="preserve">As a result, the </w:t>
      </w:r>
      <w:r w:rsidR="00FC1D26" w:rsidRPr="00CA22CD">
        <w:rPr>
          <w:rFonts w:cs="Times New Roman"/>
          <w:bCs/>
          <w:color w:val="0D0D0D" w:themeColor="text1" w:themeTint="F2"/>
          <w:lang w:val="en-IE"/>
        </w:rPr>
        <w:t>Action</w:t>
      </w:r>
      <w:r w:rsidR="00FC1D26" w:rsidRPr="00CA22CD">
        <w:rPr>
          <w:rFonts w:cs="Times New Roman"/>
          <w:color w:val="0D0D0D" w:themeColor="text1" w:themeTint="F2"/>
          <w:lang w:val="en-IE"/>
        </w:rPr>
        <w:t xml:space="preserve"> is</w:t>
      </w:r>
      <w:r>
        <w:rPr>
          <w:rFonts w:cs="Times New Roman"/>
          <w:color w:val="0D0D0D" w:themeColor="text1" w:themeTint="F2"/>
          <w:lang w:val="en-IE"/>
        </w:rPr>
        <w:t xml:space="preserve"> expected</w:t>
      </w:r>
      <w:r w:rsidR="00FC1D26" w:rsidRPr="00CA22CD">
        <w:rPr>
          <w:rFonts w:cs="Times New Roman"/>
          <w:color w:val="0D0D0D" w:themeColor="text1" w:themeTint="F2"/>
          <w:lang w:val="en-IE"/>
        </w:rPr>
        <w:t xml:space="preserve"> to </w:t>
      </w:r>
      <w:r w:rsidR="00FC1D26" w:rsidRPr="00CA22CD">
        <w:rPr>
          <w:rFonts w:cs="Times New Roman"/>
          <w:color w:val="0D0D0D" w:themeColor="text1" w:themeTint="F2"/>
        </w:rPr>
        <w:t xml:space="preserve">unleash economic potential of North Macedonia and promoted economic cohesion, through synergy between the economic, agriculture and innovation policies in line with the EU objectives on climate change and the protection of biodiversity.  </w:t>
      </w:r>
    </w:p>
    <w:p w14:paraId="11B55CDD" w14:textId="7CAFDCEB" w:rsidR="006E4F2E" w:rsidRDefault="006E4F2E" w:rsidP="00CA22CD">
      <w:pPr>
        <w:pStyle w:val="Heading1"/>
        <w:numPr>
          <w:ilvl w:val="1"/>
          <w:numId w:val="1"/>
        </w:numPr>
        <w:spacing w:after="0"/>
      </w:pPr>
      <w:r w:rsidRPr="00C03F96">
        <w:t xml:space="preserve">Beneficiary of the </w:t>
      </w:r>
      <w:r>
        <w:t>A</w:t>
      </w:r>
      <w:r w:rsidRPr="00C03F96">
        <w:t>ction</w:t>
      </w:r>
      <w:r w:rsidRPr="009258FE" w:rsidDel="00C03F96">
        <w:t xml:space="preserve"> </w:t>
      </w:r>
    </w:p>
    <w:p w14:paraId="75B84314" w14:textId="3FCCED7A" w:rsidR="006E4F2E" w:rsidRDefault="006E4F2E" w:rsidP="00CA22CD">
      <w:pPr>
        <w:spacing w:before="120"/>
        <w:ind w:left="709"/>
        <w:rPr>
          <w:szCs w:val="24"/>
          <w:lang w:val="en-IE"/>
        </w:rPr>
      </w:pPr>
      <w:r w:rsidRPr="0082062A">
        <w:rPr>
          <w:szCs w:val="24"/>
          <w:lang w:val="en-IE"/>
        </w:rPr>
        <w:t xml:space="preserve">The action shall be carried out in </w:t>
      </w:r>
      <w:r w:rsidR="009E250D">
        <w:rPr>
          <w:szCs w:val="24"/>
          <w:lang w:val="en-IE"/>
        </w:rPr>
        <w:t xml:space="preserve">the Republic of North Macedonia. </w:t>
      </w:r>
    </w:p>
    <w:p w14:paraId="08ECE6AE" w14:textId="77777777" w:rsidR="00FD7FCD" w:rsidRPr="003C0CD7" w:rsidRDefault="00FD7FCD" w:rsidP="00CA22CD">
      <w:pPr>
        <w:pStyle w:val="Heading1"/>
        <w:spacing w:before="360"/>
        <w:ind w:left="709" w:hanging="357"/>
        <w:rPr>
          <w:lang w:val="en-IE"/>
        </w:rPr>
      </w:pPr>
      <w:bookmarkStart w:id="17" w:name="_Toc73090733"/>
      <w:bookmarkEnd w:id="15"/>
      <w:r w:rsidRPr="003C0CD7">
        <w:rPr>
          <w:lang w:val="en-IE"/>
        </w:rPr>
        <w:lastRenderedPageBreak/>
        <w:t>RATIONALE</w:t>
      </w:r>
      <w:bookmarkEnd w:id="16"/>
      <w:bookmarkEnd w:id="17"/>
    </w:p>
    <w:p w14:paraId="035A54FE" w14:textId="77777777" w:rsidR="007C3E5D" w:rsidRPr="003C0CD7" w:rsidRDefault="00EE7957" w:rsidP="00CA22CD">
      <w:pPr>
        <w:pStyle w:val="Heading1"/>
        <w:numPr>
          <w:ilvl w:val="1"/>
          <w:numId w:val="1"/>
        </w:numPr>
        <w:spacing w:before="240"/>
        <w:ind w:left="1559" w:hanging="431"/>
        <w:rPr>
          <w:lang w:val="en-IE"/>
        </w:rPr>
      </w:pPr>
      <w:bookmarkStart w:id="18" w:name="_Toc58681324"/>
      <w:bookmarkStart w:id="19" w:name="_Toc58836454"/>
      <w:bookmarkStart w:id="20" w:name="_Toc58838072"/>
      <w:bookmarkStart w:id="21" w:name="_Toc58838127"/>
      <w:bookmarkStart w:id="22" w:name="_Toc58845970"/>
      <w:bookmarkStart w:id="23" w:name="_Toc58876979"/>
      <w:bookmarkStart w:id="24" w:name="_Toc58878014"/>
      <w:bookmarkStart w:id="25" w:name="_Toc59012327"/>
      <w:bookmarkStart w:id="26" w:name="_Toc59012903"/>
      <w:bookmarkStart w:id="27" w:name="_Toc59020751"/>
      <w:bookmarkStart w:id="28" w:name="_Toc59023350"/>
      <w:bookmarkStart w:id="29" w:name="_Toc59029519"/>
      <w:bookmarkStart w:id="30" w:name="_Toc59030335"/>
      <w:bookmarkStart w:id="31" w:name="_Toc59031652"/>
      <w:bookmarkStart w:id="32" w:name="_Toc62247152"/>
      <w:bookmarkStart w:id="33" w:name="_Toc62247209"/>
      <w:bookmarkStart w:id="34" w:name="_Toc62459251"/>
      <w:bookmarkStart w:id="35" w:name="_Toc62476915"/>
      <w:bookmarkStart w:id="36" w:name="_Toc63235823"/>
      <w:bookmarkStart w:id="37" w:name="_Toc63248929"/>
      <w:bookmarkStart w:id="38" w:name="_Toc63263258"/>
      <w:bookmarkStart w:id="39" w:name="_Toc64043035"/>
      <w:bookmarkStart w:id="40" w:name="_Toc65663746"/>
      <w:bookmarkStart w:id="41" w:name="_Toc65665561"/>
      <w:bookmarkStart w:id="42" w:name="_Toc65665923"/>
      <w:bookmarkStart w:id="43" w:name="_Toc65666102"/>
      <w:bookmarkStart w:id="44" w:name="_Toc65671179"/>
      <w:bookmarkStart w:id="45" w:name="_Toc65671238"/>
      <w:bookmarkStart w:id="46" w:name="_Toc65671895"/>
      <w:bookmarkStart w:id="47" w:name="_Toc65674751"/>
      <w:bookmarkStart w:id="48" w:name="_Toc65676401"/>
      <w:bookmarkStart w:id="49" w:name="_Toc65688238"/>
      <w:bookmarkStart w:id="50" w:name="_Toc66465127"/>
      <w:bookmarkStart w:id="51" w:name="_Toc66465580"/>
      <w:bookmarkStart w:id="52" w:name="_Toc66465639"/>
      <w:bookmarkStart w:id="53" w:name="_Toc66696365"/>
      <w:bookmarkStart w:id="54" w:name="_Toc67665914"/>
      <w:bookmarkStart w:id="55" w:name="_Toc69384673"/>
      <w:bookmarkStart w:id="56" w:name="_Toc69384804"/>
      <w:bookmarkStart w:id="57" w:name="_Toc69384933"/>
      <w:bookmarkStart w:id="58" w:name="_Toc69385061"/>
      <w:bookmarkStart w:id="59" w:name="_Toc69460809"/>
      <w:bookmarkStart w:id="60" w:name="_Toc69460936"/>
      <w:bookmarkStart w:id="61" w:name="_Toc69469897"/>
      <w:bookmarkStart w:id="62" w:name="_Toc69485760"/>
      <w:bookmarkStart w:id="63" w:name="_Toc69487635"/>
      <w:bookmarkStart w:id="64" w:name="_Toc72142225"/>
      <w:bookmarkStart w:id="65" w:name="_Toc72142311"/>
      <w:bookmarkStart w:id="66" w:name="_Toc73090651"/>
      <w:bookmarkStart w:id="67" w:name="_Toc73090734"/>
      <w:bookmarkStart w:id="68" w:name="_Toc59030336"/>
      <w:bookmarkStart w:id="69" w:name="_Toc59031653"/>
      <w:bookmarkStart w:id="70" w:name="_Toc62247153"/>
      <w:bookmarkStart w:id="71" w:name="_Toc62247210"/>
      <w:bookmarkStart w:id="72" w:name="_Toc62459252"/>
      <w:bookmarkStart w:id="73" w:name="_Toc62476916"/>
      <w:bookmarkStart w:id="74" w:name="_Toc63235824"/>
      <w:bookmarkStart w:id="75" w:name="_Toc63248930"/>
      <w:bookmarkStart w:id="76" w:name="_Toc63263259"/>
      <w:bookmarkStart w:id="77" w:name="_Toc64043036"/>
      <w:bookmarkStart w:id="78" w:name="_Toc65663747"/>
      <w:bookmarkStart w:id="79" w:name="_Toc65665562"/>
      <w:bookmarkStart w:id="80" w:name="_Toc65665924"/>
      <w:bookmarkStart w:id="81" w:name="_Toc65666103"/>
      <w:bookmarkStart w:id="82" w:name="_Toc65671180"/>
      <w:bookmarkStart w:id="83" w:name="_Toc65671239"/>
      <w:bookmarkStart w:id="84" w:name="_Toc65671896"/>
      <w:bookmarkStart w:id="85" w:name="_Toc65674752"/>
      <w:bookmarkStart w:id="86" w:name="_Toc65676402"/>
      <w:bookmarkStart w:id="87" w:name="_Toc65688239"/>
      <w:bookmarkStart w:id="88" w:name="_Toc66465128"/>
      <w:bookmarkStart w:id="89" w:name="_Toc66465581"/>
      <w:bookmarkStart w:id="90" w:name="_Toc66465640"/>
      <w:bookmarkStart w:id="91" w:name="_Toc66696366"/>
      <w:bookmarkStart w:id="92" w:name="_Toc67665915"/>
      <w:bookmarkStart w:id="93" w:name="_Toc69384674"/>
      <w:bookmarkStart w:id="94" w:name="_Toc69384805"/>
      <w:bookmarkStart w:id="95" w:name="_Toc69384934"/>
      <w:bookmarkStart w:id="96" w:name="_Toc69385062"/>
      <w:bookmarkStart w:id="97" w:name="_Toc69460810"/>
      <w:bookmarkStart w:id="98" w:name="_Toc69460937"/>
      <w:bookmarkStart w:id="99" w:name="_Toc69469898"/>
      <w:bookmarkStart w:id="100" w:name="_Toc69485761"/>
      <w:bookmarkStart w:id="101" w:name="_Toc69487636"/>
      <w:bookmarkStart w:id="102" w:name="_Toc72142226"/>
      <w:bookmarkStart w:id="103" w:name="_Toc72142312"/>
      <w:bookmarkStart w:id="104" w:name="_Toc73090652"/>
      <w:bookmarkStart w:id="105" w:name="_Toc73090735"/>
      <w:bookmarkStart w:id="106" w:name="_Toc47101944"/>
      <w:bookmarkStart w:id="107" w:name="_Toc51270439"/>
      <w:bookmarkStart w:id="108" w:name="_Ref58358139"/>
      <w:bookmarkStart w:id="109" w:name="_Ref58835173"/>
      <w:bookmarkStart w:id="110" w:name="_Ref58835175"/>
      <w:bookmarkStart w:id="111" w:name="_Ref58835182"/>
      <w:bookmarkStart w:id="112" w:name="_Toc7309073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3C0CD7">
        <w:rPr>
          <w:lang w:val="en-IE"/>
        </w:rPr>
        <w:t>C</w:t>
      </w:r>
      <w:r w:rsidR="00FD7FCD" w:rsidRPr="003C0CD7">
        <w:rPr>
          <w:lang w:val="en-IE"/>
        </w:rPr>
        <w:t>ontext</w:t>
      </w:r>
      <w:bookmarkEnd w:id="106"/>
      <w:bookmarkEnd w:id="107"/>
      <w:bookmarkEnd w:id="108"/>
      <w:bookmarkEnd w:id="109"/>
      <w:bookmarkEnd w:id="110"/>
      <w:bookmarkEnd w:id="111"/>
      <w:bookmarkEnd w:id="112"/>
    </w:p>
    <w:p w14:paraId="174D8333" w14:textId="5A6E557C" w:rsidR="00E0090F" w:rsidRDefault="00E0090F" w:rsidP="00CA22CD">
      <w:pPr>
        <w:spacing w:before="120"/>
        <w:ind w:left="360"/>
        <w:rPr>
          <w:rFonts w:eastAsia="Calibri" w:cs="Arial"/>
          <w:b/>
          <w:color w:val="1F4E79" w:themeColor="accent1" w:themeShade="80"/>
        </w:rPr>
      </w:pPr>
      <w:r>
        <w:t>The economy of North Macedonia is characterised by its small size, high unemployment, relatively low wages which reflect the competitiveness level, and the need to export to support its growth. The country needs high value-added foreign direct investments (FDI) to improve its performance. Overall, the economy is not competitive enough and cannot yet cope with the pressure and market forces in the EU. In 20</w:t>
      </w:r>
      <w:r w:rsidR="00267D2A">
        <w:t>21</w:t>
      </w:r>
      <w:r>
        <w:t xml:space="preserve">, the GDP per capita (in PPS) was </w:t>
      </w:r>
      <w:r w:rsidR="00267D2A">
        <w:t>42</w:t>
      </w:r>
      <w:r>
        <w:t>% of the EU27 average</w:t>
      </w:r>
      <w:r>
        <w:rPr>
          <w:rStyle w:val="FootnoteReference"/>
        </w:rPr>
        <w:footnoteReference w:id="14"/>
      </w:r>
      <w:r>
        <w:t>.</w:t>
      </w:r>
    </w:p>
    <w:p w14:paraId="5455798A" w14:textId="2AC3096E" w:rsidR="00972DC4" w:rsidRPr="00972DC4" w:rsidRDefault="00972DC4" w:rsidP="00CA22CD">
      <w:pPr>
        <w:spacing w:before="120"/>
        <w:ind w:left="360"/>
        <w:rPr>
          <w:rFonts w:eastAsia="Calibri" w:cs="Arial"/>
          <w:b/>
        </w:rPr>
      </w:pPr>
      <w:r w:rsidRPr="00972DC4">
        <w:rPr>
          <w:rFonts w:eastAsia="Calibri" w:cs="Arial"/>
          <w:b/>
          <w:color w:val="1F4E79" w:themeColor="accent1" w:themeShade="80"/>
        </w:rPr>
        <w:t>Area of support #1: Private sector development, trade, research and innovation</w:t>
      </w:r>
      <w:r w:rsidRPr="00972DC4">
        <w:rPr>
          <w:rFonts w:eastAsia="Calibri" w:cs="Arial"/>
          <w:b/>
        </w:rPr>
        <w:t xml:space="preserve"> </w:t>
      </w:r>
    </w:p>
    <w:p w14:paraId="6E249013" w14:textId="1449204E" w:rsidR="00972DC4" w:rsidRPr="00922BB5" w:rsidRDefault="00972DC4" w:rsidP="00CA22CD">
      <w:pPr>
        <w:pStyle w:val="Heading1"/>
        <w:numPr>
          <w:ilvl w:val="0"/>
          <w:numId w:val="0"/>
        </w:numPr>
        <w:spacing w:after="0"/>
        <w:ind w:left="360"/>
        <w:rPr>
          <w:b w:val="0"/>
          <w:bCs/>
          <w:i/>
          <w:iCs/>
        </w:rPr>
      </w:pPr>
      <w:r w:rsidRPr="00922BB5">
        <w:rPr>
          <w:b w:val="0"/>
          <w:bCs/>
          <w:i/>
          <w:iCs/>
        </w:rPr>
        <w:t>Services</w:t>
      </w:r>
      <w:r w:rsidR="00336481" w:rsidRPr="00922BB5">
        <w:rPr>
          <w:b w:val="0"/>
          <w:bCs/>
          <w:i/>
          <w:iCs/>
        </w:rPr>
        <w:t xml:space="preserve"> </w:t>
      </w:r>
    </w:p>
    <w:p w14:paraId="368375F8" w14:textId="6FA2E191" w:rsidR="00972DC4" w:rsidRPr="00972DC4" w:rsidRDefault="00972DC4" w:rsidP="00CA22CD">
      <w:pPr>
        <w:spacing w:before="120"/>
        <w:ind w:left="360"/>
        <w:rPr>
          <w:rFonts w:eastAsia="Calibri" w:cs="Arial"/>
        </w:rPr>
      </w:pPr>
      <w:r w:rsidRPr="00972DC4">
        <w:rPr>
          <w:rFonts w:eastAsia="Calibri" w:cs="Arial"/>
          <w:bCs/>
        </w:rPr>
        <w:t xml:space="preserve">Under </w:t>
      </w:r>
      <w:r w:rsidRPr="00972DC4">
        <w:rPr>
          <w:rFonts w:eastAsia="Calibri" w:cs="Arial"/>
          <w:b/>
        </w:rPr>
        <w:t>Chapter 3: Right of establishment and freedom to provide services</w:t>
      </w:r>
      <w:r w:rsidRPr="00972DC4">
        <w:rPr>
          <w:rFonts w:eastAsia="Calibri" w:cs="Arial"/>
        </w:rPr>
        <w:t xml:space="preserve">, it is noted that it is necessary to continue aligning national legislation with the EU </w:t>
      </w:r>
      <w:r w:rsidRPr="00972DC4">
        <w:rPr>
          <w:rFonts w:eastAsia="Calibri" w:cs="Arial"/>
          <w:i/>
        </w:rPr>
        <w:t>acquis</w:t>
      </w:r>
      <w:r w:rsidRPr="00972DC4">
        <w:rPr>
          <w:rFonts w:eastAsia="Calibri" w:cs="Arial"/>
        </w:rPr>
        <w:t>, and to further development the Point of Single Contact, increase the scope of information and online access to services available with the Point of Single Contact.</w:t>
      </w:r>
      <w:r w:rsidR="00836F9F">
        <w:rPr>
          <w:rFonts w:eastAsia="Calibri" w:cs="Arial"/>
        </w:rPr>
        <w:t xml:space="preserve"> </w:t>
      </w:r>
      <w:r w:rsidRPr="00972DC4">
        <w:rPr>
          <w:rFonts w:eastAsia="Calibri" w:cs="Times New Roman"/>
          <w:szCs w:val="24"/>
        </w:rPr>
        <w:t xml:space="preserve">The obligation to transpose the Service Directive into national legislation is envisaged in the </w:t>
      </w:r>
      <w:r w:rsidRPr="00972DC4">
        <w:rPr>
          <w:rFonts w:eastAsia="Calibri" w:cs="Times New Roman"/>
          <w:b/>
          <w:bCs/>
          <w:szCs w:val="24"/>
        </w:rPr>
        <w:t>National Program for Adoption of EU Legislation.</w:t>
      </w:r>
      <w:r w:rsidRPr="00972DC4">
        <w:rPr>
          <w:rFonts w:eastAsia="Calibri" w:cs="Times New Roman"/>
          <w:szCs w:val="24"/>
        </w:rPr>
        <w:t xml:space="preserve"> The goal is to modernize the regulatory framework in the service sector, to prepare this sector of the economy to be able to function as part of the EU internal market after accession.</w:t>
      </w:r>
      <w:r w:rsidR="00C01495">
        <w:rPr>
          <w:rFonts w:eastAsia="Calibri" w:cs="Times New Roman"/>
          <w:szCs w:val="24"/>
        </w:rPr>
        <w:t xml:space="preserve"> </w:t>
      </w:r>
      <w:r w:rsidRPr="00972DC4">
        <w:rPr>
          <w:rFonts w:eastAsia="Calibri" w:cs="Arial"/>
        </w:rPr>
        <w:t xml:space="preserve">The Action follows the </w:t>
      </w:r>
      <w:r w:rsidRPr="00972DC4">
        <w:rPr>
          <w:rFonts w:eastAsia="Calibri" w:cs="Arial"/>
          <w:b/>
          <w:bCs/>
        </w:rPr>
        <w:t xml:space="preserve">Economic Reform Programme (ERP) 2023-2025 </w:t>
      </w:r>
      <w:r w:rsidRPr="00972DC4">
        <w:rPr>
          <w:rFonts w:eastAsia="Calibri" w:cs="Arial"/>
          <w:bCs/>
        </w:rPr>
        <w:t xml:space="preserve">and in this direction the harmonization of the national legislative framework with the Services Directive it is foreseen within Measure 17 Strengthening the market rules in the Republic of North Macedonia. The measure will enhance the harmonisation with the EU </w:t>
      </w:r>
      <w:r w:rsidRPr="00972DC4">
        <w:rPr>
          <w:rFonts w:eastAsia="Calibri" w:cs="Arial"/>
          <w:bCs/>
          <w:i/>
        </w:rPr>
        <w:t>acquis</w:t>
      </w:r>
      <w:r w:rsidRPr="00972DC4">
        <w:rPr>
          <w:rFonts w:eastAsia="Calibri" w:cs="Arial"/>
          <w:bCs/>
        </w:rPr>
        <w:t xml:space="preserve"> in the area of the free movement of goods and services.</w:t>
      </w:r>
      <w:r w:rsidRPr="00972DC4">
        <w:rPr>
          <w:rFonts w:eastAsia="Calibri" w:cs="Arial"/>
          <w:b/>
          <w:bCs/>
        </w:rPr>
        <w:t xml:space="preserve"> </w:t>
      </w:r>
    </w:p>
    <w:p w14:paraId="0C99AB31" w14:textId="2D44DB86" w:rsidR="00972DC4" w:rsidRPr="00972DC4" w:rsidRDefault="00972DC4" w:rsidP="00CA22CD">
      <w:pPr>
        <w:spacing w:before="120"/>
        <w:ind w:left="360"/>
        <w:rPr>
          <w:rFonts w:eastAsia="Calibri" w:cs="Times New Roman"/>
          <w:szCs w:val="24"/>
        </w:rPr>
      </w:pPr>
      <w:r w:rsidRPr="00972DC4">
        <w:rPr>
          <w:rFonts w:eastAsia="Calibri" w:cs="Times New Roman"/>
          <w:szCs w:val="24"/>
        </w:rPr>
        <w:t>In the period 2011 - 2021, the share of services in the Gross Domestic Product ranges from 53% to 56%. This indicates that the potential of the service sector has not yet been sufficiently utilized. Modernization of the regulatory framework will contribute to the facilitation of trade in services, which will further encourage the development of this sector of the economy.</w:t>
      </w:r>
      <w:r w:rsidR="00C01495">
        <w:rPr>
          <w:rFonts w:eastAsia="Calibri" w:cs="Times New Roman"/>
          <w:szCs w:val="24"/>
        </w:rPr>
        <w:t xml:space="preserve"> </w:t>
      </w:r>
      <w:r w:rsidRPr="00972DC4">
        <w:rPr>
          <w:rFonts w:eastAsia="Calibri" w:cs="Times New Roman"/>
          <w:szCs w:val="24"/>
        </w:rPr>
        <w:t>Regarding the participation of small and medium-sized enterprises in individual service sectors that are covered by the Services Directive, the largest participation is in distribution services, in other services (which include professional services) and in construction services.</w:t>
      </w:r>
    </w:p>
    <w:p w14:paraId="7E49312B" w14:textId="546905AF" w:rsidR="00972DC4" w:rsidRPr="00922BB5" w:rsidRDefault="00972DC4" w:rsidP="00CA22CD">
      <w:pPr>
        <w:pStyle w:val="Heading1"/>
        <w:numPr>
          <w:ilvl w:val="0"/>
          <w:numId w:val="0"/>
        </w:numPr>
        <w:spacing w:after="0"/>
        <w:ind w:left="360"/>
        <w:rPr>
          <w:b w:val="0"/>
          <w:bCs/>
          <w:i/>
          <w:iCs/>
        </w:rPr>
      </w:pPr>
      <w:r w:rsidRPr="00922BB5">
        <w:rPr>
          <w:b w:val="0"/>
          <w:bCs/>
          <w:i/>
          <w:iCs/>
        </w:rPr>
        <w:t xml:space="preserve">Market </w:t>
      </w:r>
      <w:r w:rsidR="00D20A77" w:rsidRPr="00922BB5">
        <w:rPr>
          <w:b w:val="0"/>
          <w:bCs/>
          <w:i/>
          <w:iCs/>
        </w:rPr>
        <w:t>s</w:t>
      </w:r>
      <w:r w:rsidRPr="00922BB5">
        <w:rPr>
          <w:b w:val="0"/>
          <w:bCs/>
          <w:i/>
          <w:iCs/>
        </w:rPr>
        <w:t>urveillance</w:t>
      </w:r>
      <w:r w:rsidR="00D20A77" w:rsidRPr="00922BB5">
        <w:rPr>
          <w:b w:val="0"/>
          <w:bCs/>
          <w:i/>
          <w:iCs/>
        </w:rPr>
        <w:t xml:space="preserve"> </w:t>
      </w:r>
    </w:p>
    <w:p w14:paraId="10C437B7" w14:textId="4A3A6AFA" w:rsidR="00972DC4" w:rsidRPr="00972DC4" w:rsidRDefault="00972DC4" w:rsidP="00CA22CD">
      <w:pPr>
        <w:shd w:val="clear" w:color="auto" w:fill="FFFFFF"/>
        <w:spacing w:before="120"/>
        <w:ind w:left="360"/>
        <w:rPr>
          <w:rFonts w:eastAsia="Times New Roman" w:cs="Times New Roman"/>
          <w:color w:val="000000"/>
          <w:szCs w:val="24"/>
        </w:rPr>
      </w:pPr>
      <w:r w:rsidRPr="003C1B5B">
        <w:rPr>
          <w:rFonts w:eastAsia="Times New Roman" w:cs="Times New Roman"/>
          <w:b/>
          <w:bCs/>
          <w:color w:val="000000"/>
          <w:szCs w:val="24"/>
          <w:shd w:val="clear" w:color="auto" w:fill="FFFFFF"/>
        </w:rPr>
        <w:t>State Market Inspectorate (SMI)</w:t>
      </w:r>
      <w:r w:rsidRPr="00972DC4">
        <w:rPr>
          <w:rFonts w:eastAsia="Times New Roman" w:cs="Times New Roman"/>
          <w:color w:val="000000"/>
          <w:szCs w:val="24"/>
          <w:shd w:val="clear" w:color="auto" w:fill="FFFFFF"/>
        </w:rPr>
        <w:t xml:space="preserve"> is one of the largest and most significant inspection authorities in the Republic of North Macedonia. It has over 250 employees, out of which around 170 are inspectors. </w:t>
      </w:r>
      <w:r w:rsidR="00605813" w:rsidRPr="00972DC4">
        <w:rPr>
          <w:rFonts w:eastAsia="Times New Roman" w:cs="Times New Roman"/>
          <w:color w:val="000000"/>
          <w:szCs w:val="24"/>
          <w:shd w:val="clear" w:color="auto" w:fill="FFFFFF"/>
        </w:rPr>
        <w:t>Furthermore,</w:t>
      </w:r>
      <w:r w:rsidRPr="00972DC4">
        <w:rPr>
          <w:rFonts w:eastAsia="Times New Roman" w:cs="Times New Roman"/>
          <w:color w:val="000000"/>
          <w:szCs w:val="24"/>
          <w:shd w:val="clear" w:color="auto" w:fill="FFFFFF"/>
        </w:rPr>
        <w:t xml:space="preserve"> </w:t>
      </w:r>
      <w:r w:rsidR="00230F8A" w:rsidRPr="00972DC4">
        <w:rPr>
          <w:rFonts w:eastAsia="Times New Roman" w:cs="Times New Roman"/>
          <w:color w:val="000000"/>
          <w:szCs w:val="24"/>
          <w:shd w:val="clear" w:color="auto" w:fill="FFFFFF"/>
        </w:rPr>
        <w:t>SMI supervises</w:t>
      </w:r>
      <w:r w:rsidRPr="00972DC4">
        <w:rPr>
          <w:rFonts w:eastAsia="Times New Roman" w:cs="Times New Roman"/>
          <w:color w:val="000000"/>
          <w:szCs w:val="24"/>
          <w:shd w:val="clear" w:color="auto" w:fill="FFFFFF"/>
        </w:rPr>
        <w:t xml:space="preserve"> the implementation of around 30 laws and numerous bylaws (sub legal acts). It is among the most significant ones, because it supervises the business operations of tens of thousands of economic operators. Market surveillance authorities is responsible for carrying out market surveillance and covers a full range of actions, including the monitoring and control of the market and where necessary, the implementation of corrective measures and penalties. </w:t>
      </w:r>
      <w:r w:rsidR="00895CE8" w:rsidRPr="00895CE8">
        <w:rPr>
          <w:rFonts w:eastAsia="Times New Roman" w:cs="Times New Roman"/>
          <w:color w:val="000000"/>
          <w:szCs w:val="24"/>
          <w:shd w:val="clear" w:color="auto" w:fill="FFFFFF"/>
        </w:rPr>
        <w:t xml:space="preserve">The inspectorate has 278 employees, but an insufficient number of licenced inspectors (171) and many staff are close to retirement. During 2021, </w:t>
      </w:r>
      <w:r w:rsidR="00895CE8">
        <w:rPr>
          <w:rFonts w:eastAsia="Times New Roman" w:cs="Times New Roman"/>
          <w:color w:val="000000"/>
          <w:szCs w:val="24"/>
          <w:shd w:val="clear" w:color="auto" w:fill="FFFFFF"/>
        </w:rPr>
        <w:t>SMI</w:t>
      </w:r>
      <w:r w:rsidR="00895CE8" w:rsidRPr="00895CE8">
        <w:rPr>
          <w:rFonts w:eastAsia="Times New Roman" w:cs="Times New Roman"/>
          <w:color w:val="000000"/>
          <w:szCs w:val="24"/>
          <w:shd w:val="clear" w:color="auto" w:fill="FFFFFF"/>
        </w:rPr>
        <w:t xml:space="preserve"> devoted a significant part of its activities and inspectors to monitoring the implementation of health-protection measures in the context of the COVID-19 pandemic. </w:t>
      </w:r>
      <w:r w:rsidR="00895CE8">
        <w:rPr>
          <w:rFonts w:eastAsia="Times New Roman" w:cs="Times New Roman"/>
          <w:color w:val="000000"/>
          <w:szCs w:val="24"/>
          <w:shd w:val="clear" w:color="auto" w:fill="FFFFFF"/>
        </w:rPr>
        <w:t>As indicated in the EC Progress report for 2022</w:t>
      </w:r>
      <w:r w:rsidR="00895CE8">
        <w:rPr>
          <w:rStyle w:val="FootnoteReference"/>
          <w:rFonts w:eastAsia="Times New Roman" w:cs="Times New Roman"/>
          <w:color w:val="000000"/>
          <w:szCs w:val="24"/>
        </w:rPr>
        <w:footnoteReference w:id="15"/>
      </w:r>
      <w:r w:rsidR="00895CE8">
        <w:rPr>
          <w:rFonts w:eastAsia="Times New Roman" w:cs="Times New Roman"/>
          <w:color w:val="000000"/>
          <w:szCs w:val="24"/>
          <w:shd w:val="clear" w:color="auto" w:fill="FFFFFF"/>
        </w:rPr>
        <w:t xml:space="preserve">, </w:t>
      </w:r>
      <w:r w:rsidR="00895CE8" w:rsidRPr="00895CE8">
        <w:rPr>
          <w:rFonts w:eastAsia="Times New Roman" w:cs="Times New Roman"/>
          <w:color w:val="000000"/>
          <w:szCs w:val="24"/>
          <w:shd w:val="clear" w:color="auto" w:fill="FFFFFF"/>
        </w:rPr>
        <w:t xml:space="preserve">473 inspections were performed </w:t>
      </w:r>
      <w:r w:rsidR="00895CE8">
        <w:rPr>
          <w:rFonts w:eastAsia="Times New Roman" w:cs="Times New Roman"/>
          <w:color w:val="000000"/>
          <w:szCs w:val="24"/>
          <w:shd w:val="clear" w:color="auto" w:fill="FFFFFF"/>
        </w:rPr>
        <w:t xml:space="preserve">during 2022 </w:t>
      </w:r>
      <w:r w:rsidR="00895CE8" w:rsidRPr="00895CE8">
        <w:rPr>
          <w:rFonts w:eastAsia="Times New Roman" w:cs="Times New Roman"/>
          <w:color w:val="000000"/>
          <w:szCs w:val="24"/>
          <w:shd w:val="clear" w:color="auto" w:fill="FFFFFF"/>
        </w:rPr>
        <w:t xml:space="preserve">under the general product safety law (up from 428 in 2020) and 131 under the construction products law (up from 20 in 2020). This led to 16 harmful products being taken off the market. </w:t>
      </w:r>
    </w:p>
    <w:p w14:paraId="46EB9621" w14:textId="22020106" w:rsidR="00972DC4" w:rsidRPr="00972DC4" w:rsidRDefault="00972DC4" w:rsidP="00CA22CD">
      <w:pPr>
        <w:shd w:val="clear" w:color="auto" w:fill="FFFFFF"/>
        <w:spacing w:before="120"/>
        <w:ind w:left="360"/>
        <w:rPr>
          <w:rFonts w:eastAsia="Times New Roman" w:cs="Times New Roman"/>
          <w:color w:val="000000"/>
          <w:szCs w:val="24"/>
          <w:lang w:val="sr-Latn-RS"/>
        </w:rPr>
      </w:pPr>
      <w:r w:rsidRPr="00972DC4">
        <w:rPr>
          <w:rFonts w:eastAsia="Times New Roman" w:cs="Times New Roman"/>
          <w:color w:val="000000"/>
          <w:szCs w:val="24"/>
          <w:shd w:val="clear" w:color="auto" w:fill="FFFFFF"/>
        </w:rPr>
        <w:t>M</w:t>
      </w:r>
      <w:r w:rsidR="00D33D05">
        <w:rPr>
          <w:rFonts w:eastAsia="Times New Roman" w:cs="Times New Roman"/>
          <w:color w:val="000000"/>
          <w:szCs w:val="24"/>
          <w:shd w:val="clear" w:color="auto" w:fill="FFFFFF"/>
        </w:rPr>
        <w:t xml:space="preserve">inistry </w:t>
      </w:r>
      <w:r w:rsidR="007E5418">
        <w:rPr>
          <w:rFonts w:eastAsia="Times New Roman" w:cs="Times New Roman"/>
          <w:color w:val="000000"/>
          <w:szCs w:val="24"/>
          <w:shd w:val="clear" w:color="auto" w:fill="FFFFFF"/>
        </w:rPr>
        <w:t>o</w:t>
      </w:r>
      <w:r w:rsidR="00D33D05">
        <w:rPr>
          <w:rFonts w:eastAsia="Times New Roman" w:cs="Times New Roman"/>
          <w:color w:val="000000"/>
          <w:szCs w:val="24"/>
          <w:shd w:val="clear" w:color="auto" w:fill="FFFFFF"/>
        </w:rPr>
        <w:t xml:space="preserve">f </w:t>
      </w:r>
      <w:r w:rsidRPr="00972DC4">
        <w:rPr>
          <w:rFonts w:eastAsia="Times New Roman" w:cs="Times New Roman"/>
          <w:color w:val="000000"/>
          <w:szCs w:val="24"/>
          <w:shd w:val="clear" w:color="auto" w:fill="FFFFFF"/>
        </w:rPr>
        <w:t>E</w:t>
      </w:r>
      <w:r w:rsidR="00D33D05">
        <w:rPr>
          <w:rFonts w:eastAsia="Times New Roman" w:cs="Times New Roman"/>
          <w:color w:val="000000"/>
          <w:szCs w:val="24"/>
          <w:shd w:val="clear" w:color="auto" w:fill="FFFFFF"/>
        </w:rPr>
        <w:t>conomy</w:t>
      </w:r>
      <w:r w:rsidRPr="00972DC4">
        <w:rPr>
          <w:rFonts w:eastAsia="Times New Roman" w:cs="Times New Roman"/>
          <w:color w:val="000000"/>
          <w:szCs w:val="24"/>
          <w:shd w:val="clear" w:color="auto" w:fill="FFFFFF"/>
        </w:rPr>
        <w:t xml:space="preserve"> is currently developing a </w:t>
      </w:r>
      <w:r w:rsidR="00D33D05">
        <w:rPr>
          <w:rFonts w:eastAsia="Times New Roman" w:cs="Times New Roman"/>
          <w:color w:val="000000"/>
          <w:szCs w:val="24"/>
          <w:shd w:val="clear" w:color="auto" w:fill="FFFFFF"/>
        </w:rPr>
        <w:t>n</w:t>
      </w:r>
      <w:r w:rsidRPr="00972DC4">
        <w:rPr>
          <w:rFonts w:eastAsia="Times New Roman" w:cs="Times New Roman"/>
          <w:color w:val="000000"/>
          <w:szCs w:val="24"/>
          <w:shd w:val="clear" w:color="auto" w:fill="FFFFFF"/>
        </w:rPr>
        <w:t xml:space="preserve">ew </w:t>
      </w:r>
      <w:r w:rsidRPr="003C1B5B">
        <w:rPr>
          <w:rFonts w:eastAsia="Times New Roman" w:cs="Times New Roman"/>
          <w:b/>
          <w:bCs/>
          <w:color w:val="000000"/>
          <w:szCs w:val="24"/>
          <w:shd w:val="clear" w:color="auto" w:fill="FFFFFF"/>
        </w:rPr>
        <w:t>Law on Market Surveillance of products</w:t>
      </w:r>
      <w:r w:rsidRPr="00972DC4">
        <w:rPr>
          <w:rFonts w:eastAsia="Times New Roman" w:cs="Times New Roman"/>
          <w:color w:val="000000"/>
          <w:szCs w:val="24"/>
          <w:shd w:val="clear" w:color="auto" w:fill="FFFFFF"/>
        </w:rPr>
        <w:t xml:space="preserve">. The new Law will result in partial transposition of the Regulation 2019/1020 and Regulation EU 2019/515, transposing rules and principles which are going to be applied by North Macedonia authorities and </w:t>
      </w:r>
      <w:r w:rsidRPr="00972DC4">
        <w:rPr>
          <w:rFonts w:eastAsia="Times New Roman" w:cs="Times New Roman"/>
          <w:color w:val="000000"/>
          <w:szCs w:val="24"/>
          <w:shd w:val="clear" w:color="auto" w:fill="FFFFFF"/>
        </w:rPr>
        <w:lastRenderedPageBreak/>
        <w:t>economic operators before accession to EU</w:t>
      </w:r>
      <w:r w:rsidR="00DA02E7">
        <w:rPr>
          <w:rFonts w:eastAsia="Times New Roman" w:cs="Times New Roman"/>
          <w:color w:val="000000"/>
          <w:szCs w:val="24"/>
          <w:shd w:val="clear" w:color="auto" w:fill="FFFFFF"/>
        </w:rPr>
        <w:t xml:space="preserve">. </w:t>
      </w:r>
      <w:r w:rsidR="006447E4">
        <w:rPr>
          <w:rFonts w:eastAsia="Times New Roman" w:cs="Times New Roman"/>
          <w:color w:val="000000"/>
          <w:szCs w:val="24"/>
          <w:shd w:val="clear" w:color="auto" w:fill="FFFFFF"/>
        </w:rPr>
        <w:t xml:space="preserve">The process of transposition require </w:t>
      </w:r>
      <w:r w:rsidRPr="00972DC4">
        <w:rPr>
          <w:rFonts w:eastAsia="Times New Roman" w:cs="Times New Roman"/>
          <w:color w:val="000000"/>
          <w:szCs w:val="24"/>
          <w:shd w:val="clear" w:color="auto" w:fill="FFFFFF"/>
        </w:rPr>
        <w:t>support for development and implementation of the corresponding legislation, in particular to prevent unsafe or non-</w:t>
      </w:r>
      <w:r w:rsidR="006447E4" w:rsidRPr="00972DC4">
        <w:rPr>
          <w:rFonts w:eastAsia="Times New Roman" w:cs="Times New Roman"/>
          <w:color w:val="000000"/>
          <w:szCs w:val="24"/>
          <w:shd w:val="clear" w:color="auto" w:fill="FFFFFF"/>
        </w:rPr>
        <w:t>compliant</w:t>
      </w:r>
      <w:r w:rsidRPr="00972DC4">
        <w:rPr>
          <w:rFonts w:eastAsia="Times New Roman" w:cs="Times New Roman"/>
          <w:color w:val="000000"/>
          <w:szCs w:val="24"/>
          <w:shd w:val="clear" w:color="auto" w:fill="FFFFFF"/>
        </w:rPr>
        <w:t xml:space="preserve"> products from entering the Macedonian market. The new </w:t>
      </w:r>
      <w:r w:rsidRPr="003C1B5B">
        <w:rPr>
          <w:rFonts w:eastAsia="Times New Roman" w:cs="Times New Roman"/>
          <w:b/>
          <w:bCs/>
          <w:color w:val="000000"/>
          <w:szCs w:val="24"/>
          <w:shd w:val="clear" w:color="auto" w:fill="FFFFFF"/>
        </w:rPr>
        <w:t>Law on Consumer protection</w:t>
      </w:r>
      <w:r w:rsidRPr="00972DC4">
        <w:rPr>
          <w:rFonts w:eastAsia="Times New Roman" w:cs="Times New Roman"/>
          <w:color w:val="000000"/>
          <w:szCs w:val="24"/>
          <w:shd w:val="clear" w:color="auto" w:fill="FFFFFF"/>
        </w:rPr>
        <w:t xml:space="preserve"> and </w:t>
      </w:r>
      <w:r w:rsidRPr="003C1B5B">
        <w:rPr>
          <w:rFonts w:eastAsia="Times New Roman" w:cs="Times New Roman"/>
          <w:b/>
          <w:bCs/>
          <w:color w:val="000000"/>
          <w:szCs w:val="24"/>
          <w:shd w:val="clear" w:color="auto" w:fill="FFFFFF"/>
        </w:rPr>
        <w:t>Law on</w:t>
      </w:r>
      <w:r w:rsidRPr="003C1B5B">
        <w:rPr>
          <w:rFonts w:eastAsia="Calibri" w:cs="Times New Roman"/>
          <w:b/>
          <w:bCs/>
          <w:szCs w:val="24"/>
        </w:rPr>
        <w:t xml:space="preserve"> technical </w:t>
      </w:r>
      <w:r w:rsidR="00FF0761" w:rsidRPr="003C1B5B">
        <w:rPr>
          <w:rFonts w:eastAsia="Calibri" w:cs="Times New Roman"/>
          <w:b/>
          <w:bCs/>
          <w:szCs w:val="24"/>
        </w:rPr>
        <w:t xml:space="preserve">regulation </w:t>
      </w:r>
      <w:r w:rsidRPr="003C1B5B">
        <w:rPr>
          <w:rFonts w:eastAsia="Calibri" w:cs="Times New Roman"/>
          <w:b/>
          <w:bCs/>
          <w:szCs w:val="24"/>
        </w:rPr>
        <w:t>and conformity assessment</w:t>
      </w:r>
      <w:r w:rsidR="00E84042">
        <w:rPr>
          <w:rFonts w:eastAsia="Times New Roman" w:cs="Times New Roman"/>
          <w:color w:val="000000"/>
          <w:szCs w:val="24"/>
          <w:shd w:val="clear" w:color="auto" w:fill="FFFFFF"/>
        </w:rPr>
        <w:t xml:space="preserve"> </w:t>
      </w:r>
      <w:r w:rsidRPr="00972DC4">
        <w:rPr>
          <w:rFonts w:eastAsia="Times New Roman" w:cs="Times New Roman"/>
          <w:color w:val="000000"/>
          <w:szCs w:val="24"/>
          <w:shd w:val="clear" w:color="auto" w:fill="FFFFFF"/>
        </w:rPr>
        <w:t xml:space="preserve">are adopted </w:t>
      </w:r>
      <w:r w:rsidR="00953081">
        <w:rPr>
          <w:rFonts w:eastAsia="Times New Roman" w:cs="Times New Roman"/>
          <w:color w:val="000000"/>
          <w:szCs w:val="24"/>
          <w:shd w:val="clear" w:color="auto" w:fill="FFFFFF"/>
        </w:rPr>
        <w:t>at the</w:t>
      </w:r>
      <w:r w:rsidRPr="00972DC4">
        <w:rPr>
          <w:rFonts w:eastAsia="Times New Roman" w:cs="Times New Roman"/>
          <w:color w:val="000000"/>
          <w:szCs w:val="24"/>
          <w:shd w:val="clear" w:color="auto" w:fill="FFFFFF"/>
        </w:rPr>
        <w:t xml:space="preserve"> end of December 2022. </w:t>
      </w:r>
      <w:r w:rsidR="006F6092">
        <w:rPr>
          <w:rFonts w:eastAsia="Times New Roman" w:cs="Times New Roman"/>
          <w:color w:val="000000"/>
          <w:szCs w:val="24"/>
          <w:shd w:val="clear" w:color="auto" w:fill="FFFFFF"/>
        </w:rPr>
        <w:t>The t</w:t>
      </w:r>
      <w:r w:rsidR="00820030" w:rsidRPr="00820030">
        <w:rPr>
          <w:rFonts w:eastAsia="Times New Roman" w:cs="Times New Roman"/>
          <w:color w:val="000000"/>
          <w:szCs w:val="24"/>
          <w:shd w:val="clear" w:color="auto" w:fill="FFFFFF"/>
        </w:rPr>
        <w:t>ranspos</w:t>
      </w:r>
      <w:r w:rsidR="006F6092">
        <w:rPr>
          <w:rFonts w:eastAsia="Times New Roman" w:cs="Times New Roman"/>
          <w:color w:val="000000"/>
          <w:szCs w:val="24"/>
          <w:shd w:val="clear" w:color="auto" w:fill="FFFFFF"/>
        </w:rPr>
        <w:t>ition of the</w:t>
      </w:r>
      <w:r w:rsidR="00820030" w:rsidRPr="00820030">
        <w:rPr>
          <w:rFonts w:eastAsia="Times New Roman" w:cs="Times New Roman"/>
          <w:color w:val="000000"/>
          <w:szCs w:val="24"/>
          <w:shd w:val="clear" w:color="auto" w:fill="FFFFFF"/>
        </w:rPr>
        <w:t xml:space="preserve"> </w:t>
      </w:r>
      <w:r w:rsidR="00820030" w:rsidRPr="00820030">
        <w:rPr>
          <w:rFonts w:eastAsia="Times New Roman" w:cs="Times New Roman"/>
          <w:color w:val="000000"/>
          <w:szCs w:val="24"/>
        </w:rPr>
        <w:t>regulation</w:t>
      </w:r>
      <w:r w:rsidRPr="00972DC4">
        <w:rPr>
          <w:rFonts w:eastAsia="Times New Roman" w:cs="Times New Roman"/>
          <w:color w:val="000000"/>
          <w:szCs w:val="24"/>
        </w:rPr>
        <w:t xml:space="preserve"> Directive 2013/11/EU of the European Parliament and of the Council of 21 May 2013 on alternative dispute resolution for consumer disputes and amending Regulation (EC) No 2006/2004 and Directive 2009/22/EC</w:t>
      </w:r>
      <w:r w:rsidR="006F6092">
        <w:rPr>
          <w:rFonts w:eastAsia="Times New Roman" w:cs="Times New Roman"/>
          <w:color w:val="000000"/>
          <w:szCs w:val="24"/>
        </w:rPr>
        <w:t xml:space="preserve"> is left to be done. </w:t>
      </w:r>
      <w:r w:rsidRPr="00972DC4">
        <w:rPr>
          <w:rFonts w:eastAsia="Times New Roman" w:cs="Times New Roman"/>
          <w:color w:val="000000"/>
          <w:szCs w:val="24"/>
          <w:lang w:val="sr-Latn-RS"/>
        </w:rPr>
        <w:t xml:space="preserve"> </w:t>
      </w:r>
    </w:p>
    <w:p w14:paraId="18F558CA" w14:textId="5C0BF100" w:rsidR="00972DC4" w:rsidRPr="00922BB5" w:rsidRDefault="00972DC4" w:rsidP="00CA22CD">
      <w:pPr>
        <w:pStyle w:val="Heading1"/>
        <w:numPr>
          <w:ilvl w:val="0"/>
          <w:numId w:val="0"/>
        </w:numPr>
        <w:spacing w:after="0"/>
        <w:ind w:left="360"/>
        <w:rPr>
          <w:b w:val="0"/>
          <w:bCs/>
          <w:i/>
          <w:iCs/>
        </w:rPr>
      </w:pPr>
      <w:r w:rsidRPr="00922BB5">
        <w:rPr>
          <w:b w:val="0"/>
          <w:bCs/>
          <w:i/>
          <w:iCs/>
        </w:rPr>
        <w:t xml:space="preserve">Intellectual </w:t>
      </w:r>
      <w:r w:rsidR="006932B7" w:rsidRPr="00922BB5">
        <w:rPr>
          <w:b w:val="0"/>
          <w:bCs/>
          <w:i/>
          <w:iCs/>
        </w:rPr>
        <w:t>p</w:t>
      </w:r>
      <w:r w:rsidRPr="00922BB5">
        <w:rPr>
          <w:b w:val="0"/>
          <w:bCs/>
          <w:i/>
          <w:iCs/>
        </w:rPr>
        <w:t xml:space="preserve">roperty </w:t>
      </w:r>
      <w:r w:rsidR="006932B7" w:rsidRPr="00922BB5">
        <w:rPr>
          <w:b w:val="0"/>
          <w:bCs/>
          <w:i/>
          <w:iCs/>
        </w:rPr>
        <w:t>r</w:t>
      </w:r>
      <w:r w:rsidRPr="00922BB5">
        <w:rPr>
          <w:b w:val="0"/>
          <w:bCs/>
          <w:i/>
          <w:iCs/>
        </w:rPr>
        <w:t>ights (IPR)</w:t>
      </w:r>
      <w:r w:rsidR="006932B7" w:rsidRPr="00922BB5">
        <w:rPr>
          <w:b w:val="0"/>
          <w:bCs/>
          <w:i/>
          <w:iCs/>
        </w:rPr>
        <w:t xml:space="preserve"> </w:t>
      </w:r>
    </w:p>
    <w:p w14:paraId="7C29AF71" w14:textId="7ECADB6B" w:rsidR="00F37D15" w:rsidRDefault="00F37D15" w:rsidP="00CA22CD">
      <w:pPr>
        <w:tabs>
          <w:tab w:val="num" w:pos="720"/>
        </w:tabs>
        <w:autoSpaceDE w:val="0"/>
        <w:autoSpaceDN w:val="0"/>
        <w:adjustRightInd w:val="0"/>
        <w:spacing w:before="120"/>
        <w:ind w:left="360"/>
        <w:rPr>
          <w:rFonts w:eastAsia="Calibri" w:cs="Arial"/>
        </w:rPr>
      </w:pPr>
      <w:r w:rsidRPr="00F37D15">
        <w:rPr>
          <w:rFonts w:eastAsia="Calibri" w:cs="Arial"/>
        </w:rPr>
        <w:t>A</w:t>
      </w:r>
      <w:r>
        <w:rPr>
          <w:rFonts w:eastAsia="Calibri" w:cs="Arial"/>
        </w:rPr>
        <w:t xml:space="preserve">lthough </w:t>
      </w:r>
      <w:r w:rsidRPr="00F37D15">
        <w:rPr>
          <w:rFonts w:eastAsia="Calibri" w:cs="Arial"/>
        </w:rPr>
        <w:t>North Macedonia contin</w:t>
      </w:r>
      <w:r>
        <w:rPr>
          <w:rFonts w:eastAsia="Calibri" w:cs="Arial"/>
        </w:rPr>
        <w:t xml:space="preserve">uously </w:t>
      </w:r>
      <w:r w:rsidRPr="00F37D15">
        <w:rPr>
          <w:rFonts w:eastAsia="Calibri" w:cs="Arial"/>
        </w:rPr>
        <w:t>harmonize</w:t>
      </w:r>
      <w:r>
        <w:rPr>
          <w:rFonts w:eastAsia="Calibri" w:cs="Arial"/>
        </w:rPr>
        <w:t>s</w:t>
      </w:r>
      <w:r w:rsidRPr="00F37D15">
        <w:rPr>
          <w:rFonts w:eastAsia="Calibri" w:cs="Arial"/>
        </w:rPr>
        <w:t xml:space="preserve"> its IPR laws and regulations with EU standards, still needs to demonstrate adequate enforcement of those laws. The </w:t>
      </w:r>
      <w:r>
        <w:rPr>
          <w:rFonts w:eastAsia="Calibri" w:cs="Arial"/>
        </w:rPr>
        <w:t>EC</w:t>
      </w:r>
      <w:r w:rsidRPr="00F37D15">
        <w:rPr>
          <w:rFonts w:eastAsia="Calibri" w:cs="Arial"/>
        </w:rPr>
        <w:t xml:space="preserve"> 202</w:t>
      </w:r>
      <w:r>
        <w:rPr>
          <w:rFonts w:eastAsia="Calibri" w:cs="Arial"/>
        </w:rPr>
        <w:t>0</w:t>
      </w:r>
      <w:r w:rsidRPr="00F37D15">
        <w:rPr>
          <w:rFonts w:eastAsia="Calibri" w:cs="Arial"/>
        </w:rPr>
        <w:t xml:space="preserve"> report</w:t>
      </w:r>
      <w:r>
        <w:rPr>
          <w:rStyle w:val="FootnoteReference"/>
          <w:rFonts w:eastAsia="Calibri" w:cs="Arial"/>
        </w:rPr>
        <w:footnoteReference w:id="16"/>
      </w:r>
      <w:r w:rsidRPr="00F37D15">
        <w:rPr>
          <w:rFonts w:eastAsia="Calibri" w:cs="Arial"/>
        </w:rPr>
        <w:t xml:space="preserve"> on North Macedonia noted some progress in raising awareness in the fight against counterfeiting, smuggling, and the importation of counterfeit goods, as well as an increase in seized goods. The EU raised concerns that an information platform for law enforcement institutions to exchange data on IPR had still not been established despite continuing recommendations. This is an obstacle to the creation of a credible enforcement record and to gathering reliable statistics on the institutional handling of IPR infringements. </w:t>
      </w:r>
      <w:r>
        <w:rPr>
          <w:rFonts w:eastAsia="Calibri" w:cs="Arial"/>
        </w:rPr>
        <w:t>It is</w:t>
      </w:r>
      <w:r w:rsidRPr="00F37D15">
        <w:rPr>
          <w:rFonts w:eastAsia="Calibri" w:cs="Arial"/>
        </w:rPr>
        <w:t xml:space="preserve"> also noted the need for further improvement of the legal framework on IPR, notably the collective rights management system, by aligning with the Collective Rights Management Directive, and industrial property rights, by aligning with the Enforcement Directive and the Trade Secrets Directive. The business community frequently complains the State Office for Industrial Property does not register patents or take enforcement action in a timely manner</w:t>
      </w:r>
      <w:r>
        <w:rPr>
          <w:rStyle w:val="FootnoteReference"/>
          <w:rFonts w:eastAsia="Calibri" w:cs="Arial"/>
        </w:rPr>
        <w:footnoteReference w:id="17"/>
      </w:r>
      <w:r w:rsidRPr="00F37D15">
        <w:rPr>
          <w:rFonts w:eastAsia="Calibri" w:cs="Arial"/>
        </w:rPr>
        <w:t>.</w:t>
      </w:r>
    </w:p>
    <w:p w14:paraId="7765DF69" w14:textId="0FDD0CFD" w:rsidR="008C335F" w:rsidRPr="008C335F" w:rsidRDefault="008C335F" w:rsidP="00CA22CD">
      <w:pPr>
        <w:tabs>
          <w:tab w:val="num" w:pos="720"/>
        </w:tabs>
        <w:autoSpaceDE w:val="0"/>
        <w:autoSpaceDN w:val="0"/>
        <w:adjustRightInd w:val="0"/>
        <w:spacing w:before="120"/>
        <w:ind w:left="360"/>
        <w:rPr>
          <w:rFonts w:eastAsia="Calibri" w:cs="Arial"/>
        </w:rPr>
      </w:pPr>
      <w:r w:rsidRPr="008C335F">
        <w:rPr>
          <w:rFonts w:eastAsia="Calibri" w:cs="Arial"/>
        </w:rPr>
        <w:t xml:space="preserve">The complete screening of national legislation in the field of IP has been conducted considering requirements under EU acquis. </w:t>
      </w:r>
      <w:r w:rsidR="00934B85">
        <w:rPr>
          <w:rFonts w:eastAsia="Calibri" w:cs="Arial"/>
        </w:rPr>
        <w:t xml:space="preserve">The </w:t>
      </w:r>
      <w:r w:rsidRPr="008C335F">
        <w:rPr>
          <w:rFonts w:eastAsia="Calibri" w:cs="Arial"/>
        </w:rPr>
        <w:t>draft laws for each of the industrial property rights</w:t>
      </w:r>
      <w:r w:rsidR="00934B85">
        <w:rPr>
          <w:rFonts w:eastAsia="Calibri" w:cs="Arial"/>
        </w:rPr>
        <w:t xml:space="preserve"> need to be prepared</w:t>
      </w:r>
      <w:r w:rsidRPr="008C335F">
        <w:rPr>
          <w:rFonts w:eastAsia="Calibri" w:cs="Arial"/>
        </w:rPr>
        <w:t xml:space="preserve">, namely </w:t>
      </w:r>
      <w:r w:rsidRPr="008C335F">
        <w:rPr>
          <w:rFonts w:eastAsia="Calibri" w:cs="Arial"/>
          <w:b/>
          <w:bCs/>
        </w:rPr>
        <w:t>Patent Law, Trademark Law, Law on Industrial Designs and The Law on Geographical Indications and Appellations of Origin</w:t>
      </w:r>
      <w:r w:rsidR="00934B85">
        <w:rPr>
          <w:rFonts w:eastAsia="Calibri" w:cs="Arial"/>
        </w:rPr>
        <w:t xml:space="preserve"> as well as for the</w:t>
      </w:r>
      <w:r w:rsidRPr="008C335F">
        <w:rPr>
          <w:rFonts w:eastAsia="Calibri" w:cs="Arial"/>
        </w:rPr>
        <w:t xml:space="preserve"> protection of </w:t>
      </w:r>
      <w:r w:rsidRPr="008C335F">
        <w:rPr>
          <w:rFonts w:eastAsia="Calibri" w:cs="Arial"/>
          <w:b/>
          <w:bCs/>
        </w:rPr>
        <w:t>Topography of Integrated Circuits</w:t>
      </w:r>
      <w:r w:rsidRPr="008C335F">
        <w:rPr>
          <w:rFonts w:eastAsia="Calibri" w:cs="Arial"/>
        </w:rPr>
        <w:t xml:space="preserve"> (semiconductor products). Draft </w:t>
      </w:r>
      <w:r w:rsidRPr="008C335F">
        <w:rPr>
          <w:rFonts w:eastAsia="Calibri" w:cs="Arial"/>
          <w:b/>
          <w:bCs/>
        </w:rPr>
        <w:t>Law on Trade Secrets</w:t>
      </w:r>
      <w:r w:rsidR="00934B85">
        <w:rPr>
          <w:rFonts w:eastAsia="Calibri" w:cs="Arial"/>
        </w:rPr>
        <w:t xml:space="preserve"> </w:t>
      </w:r>
      <w:r w:rsidRPr="008C335F">
        <w:rPr>
          <w:rFonts w:eastAsia="Calibri" w:cs="Arial"/>
        </w:rPr>
        <w:t>has been</w:t>
      </w:r>
      <w:r w:rsidR="00934B85">
        <w:rPr>
          <w:rFonts w:eastAsia="Calibri" w:cs="Arial"/>
        </w:rPr>
        <w:t xml:space="preserve"> prepared and</w:t>
      </w:r>
      <w:r w:rsidRPr="008C335F">
        <w:rPr>
          <w:rFonts w:eastAsia="Calibri" w:cs="Arial"/>
        </w:rPr>
        <w:t xml:space="preserve"> sent to the MoE to further Governmental procedure.</w:t>
      </w:r>
    </w:p>
    <w:p w14:paraId="2AE1253E" w14:textId="58FDBE34" w:rsidR="00802FC7" w:rsidRPr="00802FC7" w:rsidRDefault="00972DC4" w:rsidP="00CA22CD">
      <w:pPr>
        <w:tabs>
          <w:tab w:val="num" w:pos="720"/>
        </w:tabs>
        <w:autoSpaceDE w:val="0"/>
        <w:autoSpaceDN w:val="0"/>
        <w:adjustRightInd w:val="0"/>
        <w:spacing w:before="120"/>
        <w:ind w:left="360"/>
        <w:rPr>
          <w:rFonts w:eastAsia="Calibri" w:cs="Arial"/>
          <w:b/>
          <w:bCs/>
        </w:rPr>
      </w:pPr>
      <w:r w:rsidRPr="00972DC4">
        <w:rPr>
          <w:rFonts w:eastAsia="Calibri" w:cs="Arial"/>
        </w:rPr>
        <w:t xml:space="preserve">The </w:t>
      </w:r>
      <w:r w:rsidRPr="00C26DF8">
        <w:rPr>
          <w:rFonts w:eastAsia="Calibri" w:cs="Arial"/>
        </w:rPr>
        <w:t>Draft</w:t>
      </w:r>
      <w:r w:rsidR="00C26DF8">
        <w:rPr>
          <w:rFonts w:eastAsia="Calibri" w:cs="Arial"/>
        </w:rPr>
        <w:t xml:space="preserve"> </w:t>
      </w:r>
      <w:r w:rsidRPr="003C1B5B">
        <w:rPr>
          <w:rFonts w:eastAsia="Calibri" w:cs="Arial"/>
          <w:b/>
          <w:bCs/>
        </w:rPr>
        <w:t>National Strategy on Intellectual Property 2022-2026</w:t>
      </w:r>
      <w:r w:rsidRPr="00972DC4">
        <w:rPr>
          <w:rFonts w:eastAsia="Calibri" w:cs="Arial"/>
        </w:rPr>
        <w:t xml:space="preserve"> has been prepared </w:t>
      </w:r>
      <w:r w:rsidR="00802FC7">
        <w:rPr>
          <w:rFonts w:eastAsia="Calibri" w:cs="Arial"/>
        </w:rPr>
        <w:t>setting s</w:t>
      </w:r>
      <w:r w:rsidR="00802FC7" w:rsidRPr="00802FC7">
        <w:rPr>
          <w:rFonts w:eastAsia="Calibri" w:cs="Arial"/>
        </w:rPr>
        <w:t xml:space="preserve">trategic </w:t>
      </w:r>
      <w:r w:rsidR="00802FC7">
        <w:rPr>
          <w:rFonts w:eastAsia="Calibri" w:cs="Arial"/>
        </w:rPr>
        <w:t>g</w:t>
      </w:r>
      <w:r w:rsidR="00802FC7" w:rsidRPr="00802FC7">
        <w:rPr>
          <w:rFonts w:eastAsia="Calibri" w:cs="Arial"/>
        </w:rPr>
        <w:t>oal</w:t>
      </w:r>
      <w:r w:rsidR="00802FC7">
        <w:rPr>
          <w:rFonts w:eastAsia="Calibri" w:cs="Arial"/>
        </w:rPr>
        <w:t>s</w:t>
      </w:r>
      <w:r w:rsidR="00802FC7" w:rsidRPr="00802FC7">
        <w:rPr>
          <w:rFonts w:eastAsia="Calibri" w:cs="Arial"/>
        </w:rPr>
        <w:t xml:space="preserve"> and</w:t>
      </w:r>
      <w:r w:rsidR="00802FC7">
        <w:rPr>
          <w:rFonts w:eastAsia="Calibri" w:cs="Arial"/>
        </w:rPr>
        <w:t xml:space="preserve"> t</w:t>
      </w:r>
      <w:r w:rsidR="00802FC7" w:rsidRPr="00802FC7">
        <w:rPr>
          <w:rFonts w:eastAsia="Calibri" w:cs="Arial"/>
        </w:rPr>
        <w:t>asks with the following set of measures:</w:t>
      </w:r>
    </w:p>
    <w:p w14:paraId="1A5E949E" w14:textId="77777777" w:rsidR="00802FC7" w:rsidRPr="00802FC7" w:rsidRDefault="00802FC7" w:rsidP="00CA22CD">
      <w:pPr>
        <w:numPr>
          <w:ilvl w:val="1"/>
          <w:numId w:val="27"/>
        </w:numPr>
        <w:tabs>
          <w:tab w:val="num" w:pos="1080"/>
        </w:tabs>
        <w:autoSpaceDE w:val="0"/>
        <w:autoSpaceDN w:val="0"/>
        <w:adjustRightInd w:val="0"/>
        <w:spacing w:before="120"/>
        <w:ind w:left="1074" w:hanging="357"/>
        <w:rPr>
          <w:rFonts w:eastAsia="Calibri" w:cs="Arial"/>
        </w:rPr>
      </w:pPr>
      <w:r w:rsidRPr="00802FC7">
        <w:rPr>
          <w:rFonts w:eastAsia="Calibri" w:cs="Arial"/>
        </w:rPr>
        <w:t xml:space="preserve">Measures for strengthening the legal framework of IP law </w:t>
      </w:r>
    </w:p>
    <w:p w14:paraId="397823C0" w14:textId="77777777" w:rsidR="00802FC7" w:rsidRPr="00802FC7" w:rsidRDefault="00802FC7" w:rsidP="00CA22CD">
      <w:pPr>
        <w:numPr>
          <w:ilvl w:val="1"/>
          <w:numId w:val="27"/>
        </w:numPr>
        <w:tabs>
          <w:tab w:val="num" w:pos="1080"/>
        </w:tabs>
        <w:autoSpaceDE w:val="0"/>
        <w:autoSpaceDN w:val="0"/>
        <w:adjustRightInd w:val="0"/>
        <w:spacing w:before="120"/>
        <w:ind w:left="1074" w:hanging="357"/>
        <w:rPr>
          <w:rFonts w:eastAsia="Calibri" w:cs="Arial"/>
        </w:rPr>
      </w:pPr>
      <w:r w:rsidRPr="00802FC7">
        <w:rPr>
          <w:rFonts w:eastAsia="Calibri" w:cs="Arial"/>
        </w:rPr>
        <w:t xml:space="preserve">Measures for strengthening the effective and efficient enforcement of IPRs </w:t>
      </w:r>
    </w:p>
    <w:p w14:paraId="510058FC" w14:textId="77777777" w:rsidR="00802FC7" w:rsidRPr="00802FC7" w:rsidRDefault="00802FC7" w:rsidP="00CA22CD">
      <w:pPr>
        <w:numPr>
          <w:ilvl w:val="1"/>
          <w:numId w:val="27"/>
        </w:numPr>
        <w:tabs>
          <w:tab w:val="num" w:pos="1080"/>
        </w:tabs>
        <w:autoSpaceDE w:val="0"/>
        <w:autoSpaceDN w:val="0"/>
        <w:adjustRightInd w:val="0"/>
        <w:spacing w:before="120"/>
        <w:ind w:left="1074" w:hanging="357"/>
        <w:rPr>
          <w:rFonts w:eastAsia="Calibri" w:cs="Arial"/>
        </w:rPr>
      </w:pPr>
      <w:r w:rsidRPr="00802FC7">
        <w:rPr>
          <w:rFonts w:eastAsia="Calibri" w:cs="Arial"/>
        </w:rPr>
        <w:t xml:space="preserve">Measures for developing the capacity of individual holders and the business community for protection and enforcement of IPRs </w:t>
      </w:r>
    </w:p>
    <w:p w14:paraId="1562AC64" w14:textId="77777777" w:rsidR="00802FC7" w:rsidRPr="00802FC7" w:rsidRDefault="00802FC7" w:rsidP="00CA22CD">
      <w:pPr>
        <w:numPr>
          <w:ilvl w:val="1"/>
          <w:numId w:val="27"/>
        </w:numPr>
        <w:tabs>
          <w:tab w:val="num" w:pos="1080"/>
        </w:tabs>
        <w:autoSpaceDE w:val="0"/>
        <w:autoSpaceDN w:val="0"/>
        <w:adjustRightInd w:val="0"/>
        <w:spacing w:before="120"/>
        <w:ind w:left="1074" w:hanging="357"/>
        <w:rPr>
          <w:rFonts w:eastAsia="Calibri" w:cs="Arial"/>
        </w:rPr>
      </w:pPr>
      <w:r w:rsidRPr="00802FC7">
        <w:rPr>
          <w:rFonts w:eastAsia="Calibri" w:cs="Arial"/>
        </w:rPr>
        <w:t>Measures for strengthening the public awareness and the benefits from IP.</w:t>
      </w:r>
    </w:p>
    <w:p w14:paraId="7D68734A" w14:textId="579E1972" w:rsidR="00972DC4" w:rsidRDefault="00972DC4" w:rsidP="00CA22CD">
      <w:pPr>
        <w:tabs>
          <w:tab w:val="num" w:pos="720"/>
        </w:tabs>
        <w:autoSpaceDE w:val="0"/>
        <w:autoSpaceDN w:val="0"/>
        <w:adjustRightInd w:val="0"/>
        <w:spacing w:before="120"/>
        <w:ind w:left="360"/>
        <w:rPr>
          <w:rFonts w:eastAsia="Calibri" w:cs="Arial"/>
        </w:rPr>
      </w:pPr>
      <w:r w:rsidRPr="00972DC4">
        <w:rPr>
          <w:rFonts w:eastAsia="Calibri" w:cs="Arial"/>
        </w:rPr>
        <w:t>The process of formulating and enacting IP Strategy is in line with the efforts being made by the Government to stimulate research and development, cultural creativity, an appreciation of local resources and local creativity and, in this context, the establishment of a legal and institutional framework increasingly designed to stimulate and consolidate the strengthening of IP in MK. The rules and principles on the right to creativity and to the protection of IP are enshrined in the Constitution and have been consequently embodied in a range of legal instruments establishing the legal regime governing the grant and protection of IP, together with accession to the principal regional and international legal instruments on IP.</w:t>
      </w:r>
      <w:r w:rsidR="00891F93">
        <w:rPr>
          <w:rFonts w:eastAsia="Calibri" w:cs="Arial"/>
        </w:rPr>
        <w:t xml:space="preserve"> </w:t>
      </w:r>
      <w:r w:rsidRPr="00972DC4">
        <w:rPr>
          <w:rFonts w:eastAsia="Calibri" w:cs="Arial"/>
        </w:rPr>
        <w:t xml:space="preserve">The Strategy was proposed by the Ministry of Economy (ME) and the coordinator was the State Office of Industrial Property (SOIP). </w:t>
      </w:r>
    </w:p>
    <w:p w14:paraId="2B1BDB9D" w14:textId="51297274" w:rsidR="00972DC4" w:rsidRPr="00922BB5" w:rsidRDefault="00972DC4" w:rsidP="00CA22CD">
      <w:pPr>
        <w:pStyle w:val="Heading1"/>
        <w:numPr>
          <w:ilvl w:val="0"/>
          <w:numId w:val="0"/>
        </w:numPr>
        <w:spacing w:after="0"/>
        <w:ind w:left="360"/>
        <w:rPr>
          <w:b w:val="0"/>
          <w:bCs/>
          <w:i/>
          <w:iCs/>
        </w:rPr>
      </w:pPr>
      <w:r w:rsidRPr="00922BB5">
        <w:rPr>
          <w:b w:val="0"/>
          <w:bCs/>
          <w:i/>
          <w:iCs/>
        </w:rPr>
        <w:lastRenderedPageBreak/>
        <w:t xml:space="preserve">Smart </w:t>
      </w:r>
      <w:r w:rsidR="006932B7" w:rsidRPr="00922BB5">
        <w:rPr>
          <w:b w:val="0"/>
          <w:bCs/>
          <w:i/>
          <w:iCs/>
        </w:rPr>
        <w:t>s</w:t>
      </w:r>
      <w:r w:rsidRPr="00922BB5">
        <w:rPr>
          <w:b w:val="0"/>
          <w:bCs/>
          <w:i/>
          <w:iCs/>
        </w:rPr>
        <w:t xml:space="preserve">pecialisation </w:t>
      </w:r>
      <w:r w:rsidR="006932B7" w:rsidRPr="00922BB5">
        <w:rPr>
          <w:b w:val="0"/>
          <w:bCs/>
          <w:i/>
          <w:iCs/>
        </w:rPr>
        <w:t>s</w:t>
      </w:r>
      <w:r w:rsidRPr="00922BB5">
        <w:rPr>
          <w:b w:val="0"/>
          <w:bCs/>
          <w:i/>
          <w:iCs/>
        </w:rPr>
        <w:t>trategy</w:t>
      </w:r>
      <w:r w:rsidR="006932B7" w:rsidRPr="00922BB5">
        <w:rPr>
          <w:b w:val="0"/>
          <w:bCs/>
          <w:i/>
          <w:iCs/>
        </w:rPr>
        <w:t xml:space="preserve"> </w:t>
      </w:r>
    </w:p>
    <w:p w14:paraId="66C4E814" w14:textId="4DD7861A" w:rsidR="00972DC4" w:rsidRPr="00972DC4" w:rsidRDefault="00972DC4" w:rsidP="00CA22CD">
      <w:pPr>
        <w:spacing w:before="120"/>
        <w:ind w:left="360"/>
        <w:rPr>
          <w:rFonts w:eastAsia="Calibri" w:cs="Times New Roman"/>
        </w:rPr>
      </w:pPr>
      <w:r w:rsidRPr="00972DC4">
        <w:rPr>
          <w:rFonts w:eastAsia="Calibri" w:cs="Times New Roman"/>
        </w:rPr>
        <w:t>There are a set of strategic documents that stimulate creation of favourable business climate and development of the endogenous industry. Key strategic documents</w:t>
      </w:r>
      <w:r w:rsidR="003C1B5B">
        <w:rPr>
          <w:rFonts w:eastAsia="Calibri" w:cs="Times New Roman"/>
        </w:rPr>
        <w:t xml:space="preserve"> are</w:t>
      </w:r>
      <w:r w:rsidRPr="00972DC4">
        <w:rPr>
          <w:rFonts w:eastAsia="Calibri" w:cs="Times New Roman"/>
        </w:rPr>
        <w:t xml:space="preserve"> Industrial Policy with focus on manufacturing industry 2018-2027, SME strategy 2018-2023, Plan for economic growth, Plan for accelerated growth, as well newly developed Smart specialization strategy that should replace the expired Innovation strategy and the Competitiveness strategy. </w:t>
      </w:r>
    </w:p>
    <w:p w14:paraId="2B084380" w14:textId="4C17DCD0" w:rsidR="00972DC4" w:rsidRPr="00972DC4" w:rsidRDefault="00972DC4" w:rsidP="00CA22CD">
      <w:pPr>
        <w:spacing w:before="120"/>
        <w:ind w:left="360"/>
        <w:rPr>
          <w:rFonts w:eastAsia="Calibri" w:cs="Times New Roman"/>
        </w:rPr>
      </w:pPr>
      <w:r w:rsidRPr="00972DC4">
        <w:rPr>
          <w:rFonts w:eastAsia="Calibri" w:cs="Times New Roman"/>
        </w:rPr>
        <w:t xml:space="preserve">The Global Innovation Index 2022 ranks the Republic of North Macedonia on the 36th place of 39 European economies in 2022, and on the 66th place among a total of 132 economies from the world, which are part of the Global Innovation Index. The country has the best results in the area of Market sophistication, while it achieved the weakest results in the field of Creative outputs. The scores for the indicators "University-industry R&amp;D collaboration" and "Policies for doing business" are particularly </w:t>
      </w:r>
      <w:r w:rsidR="007E700B" w:rsidRPr="00972DC4">
        <w:rPr>
          <w:rFonts w:eastAsia="Calibri" w:cs="Times New Roman"/>
        </w:rPr>
        <w:t>low and</w:t>
      </w:r>
      <w:r w:rsidRPr="00972DC4">
        <w:rPr>
          <w:rFonts w:eastAsia="Calibri" w:cs="Times New Roman"/>
        </w:rPr>
        <w:t xml:space="preserve"> are identified as the weakest points in the country, placing the country on the 106th and 112th place out of a total of 132 countries. The latest European Innovation Table (2022) ranks the country as an "Emerging Innovator" with a performance of 45.6%, which is still below the average of 50.0% for Emerging Innovators countries. The report notes as the country's weaknesses indicators relating to design protection applications, R&amp;D expenditure in the business sector, government support for business R&amp;D and lifelong learning. Compared to 2021, progress has been made in the development of environment-related technologies, foreign doctorate students and knowledge-intensive services exports. </w:t>
      </w:r>
    </w:p>
    <w:p w14:paraId="0BBEF14F" w14:textId="0C0804E6" w:rsidR="00597EE0" w:rsidRDefault="00597EE0" w:rsidP="00CA22CD">
      <w:pPr>
        <w:spacing w:before="120"/>
        <w:ind w:left="360"/>
        <w:rPr>
          <w:rFonts w:eastAsia="Calibri" w:cs="Arial"/>
        </w:rPr>
      </w:pPr>
      <w:r w:rsidRPr="000616ED">
        <w:rPr>
          <w:rFonts w:eastAsia="Calibri" w:cs="Arial"/>
        </w:rPr>
        <w:t>The Republic of North Macedonia with previous Innovation strategy was created the Fund for innovation and technology development</w:t>
      </w:r>
      <w:r w:rsidR="00FC28DB">
        <w:rPr>
          <w:rFonts w:eastAsia="Calibri" w:cs="Arial"/>
        </w:rPr>
        <w:t xml:space="preserve"> (FITD)</w:t>
      </w:r>
      <w:r w:rsidRPr="000616ED">
        <w:rPr>
          <w:rFonts w:eastAsia="Calibri" w:cs="Arial"/>
        </w:rPr>
        <w:t xml:space="preserve">, that became very strong and important institution in supporting the business sector innovation processes. </w:t>
      </w:r>
      <w:r w:rsidRPr="00C14E14">
        <w:rPr>
          <w:rFonts w:eastAsia="Calibri" w:cs="Arial"/>
        </w:rPr>
        <w:t>The Fund invests in small and medium sized enterprises (SMEs) to improve the innovative capabilities of companies and to support the adoption of new technologies that boost private sector competitiveness</w:t>
      </w:r>
      <w:r>
        <w:rPr>
          <w:rFonts w:eastAsia="Calibri" w:cs="Arial"/>
        </w:rPr>
        <w:t xml:space="preserve">. </w:t>
      </w:r>
      <w:r w:rsidRPr="000616ED">
        <w:rPr>
          <w:rFonts w:eastAsia="Calibri" w:cs="Arial"/>
        </w:rPr>
        <w:t xml:space="preserve">They have developed a set of measures with support of World bank as well </w:t>
      </w:r>
      <w:r w:rsidR="00FC28DB">
        <w:rPr>
          <w:rFonts w:eastAsia="Calibri" w:cs="Arial"/>
        </w:rPr>
        <w:t xml:space="preserve">as </w:t>
      </w:r>
      <w:r w:rsidRPr="000616ED">
        <w:rPr>
          <w:rFonts w:eastAsia="Calibri" w:cs="Arial"/>
        </w:rPr>
        <w:t>other EU programs and projects. There is a</w:t>
      </w:r>
      <w:r w:rsidR="00E664F9">
        <w:rPr>
          <w:rFonts w:eastAsia="Calibri" w:cs="Arial"/>
        </w:rPr>
        <w:t xml:space="preserve"> continuous </w:t>
      </w:r>
      <w:r w:rsidRPr="000616ED">
        <w:rPr>
          <w:rFonts w:eastAsia="Calibri" w:cs="Arial"/>
        </w:rPr>
        <w:t xml:space="preserve">need to </w:t>
      </w:r>
      <w:r w:rsidR="00E664F9">
        <w:rPr>
          <w:rFonts w:eastAsia="Calibri" w:cs="Arial"/>
        </w:rPr>
        <w:t xml:space="preserve">support </w:t>
      </w:r>
      <w:r w:rsidRPr="000616ED">
        <w:rPr>
          <w:rFonts w:eastAsia="Calibri" w:cs="Arial"/>
        </w:rPr>
        <w:t>and growth of the innovation eco system.  </w:t>
      </w:r>
    </w:p>
    <w:p w14:paraId="0DC6644C" w14:textId="074CD14A" w:rsidR="008A62C4" w:rsidRDefault="00E664F9" w:rsidP="00CA22CD">
      <w:pPr>
        <w:spacing w:before="120"/>
        <w:ind w:left="360"/>
        <w:rPr>
          <w:rFonts w:eastAsia="Calibri" w:cs="Arial"/>
        </w:rPr>
      </w:pPr>
      <w:r>
        <w:rPr>
          <w:rFonts w:eastAsia="Calibri" w:cs="Arial"/>
        </w:rPr>
        <w:t>In previous period, w</w:t>
      </w:r>
      <w:r w:rsidR="008A62C4" w:rsidRPr="000616ED">
        <w:rPr>
          <w:rFonts w:eastAsia="Calibri" w:cs="Arial"/>
        </w:rPr>
        <w:t>ith support of World Bank and strong support of the budget</w:t>
      </w:r>
      <w:r w:rsidR="00FC28DB">
        <w:rPr>
          <w:rFonts w:eastAsia="Calibri" w:cs="Arial"/>
        </w:rPr>
        <w:t>,</w:t>
      </w:r>
      <w:r w:rsidR="008A62C4" w:rsidRPr="000616ED">
        <w:rPr>
          <w:rFonts w:eastAsia="Calibri" w:cs="Arial"/>
        </w:rPr>
        <w:t xml:space="preserve"> the Fund for innovation developed a set of instruments, that have significant impact on the innovation eco system (support to start up and spin off, technology extension, commercialization of innovation, improvement of innovation, technology development, business accelerator, technology development for accelerated economic growth etc.</w:t>
      </w:r>
      <w:r w:rsidR="008A62C4">
        <w:rPr>
          <w:rFonts w:eastAsia="Calibri" w:cs="Arial"/>
        </w:rPr>
        <w:t>).</w:t>
      </w:r>
      <w:r w:rsidR="008A62C4" w:rsidRPr="000616ED">
        <w:rPr>
          <w:rFonts w:eastAsia="Calibri" w:cs="Arial"/>
        </w:rPr>
        <w:t xml:space="preserve"> More than 700 stakeholders benefited from the support and distribution of nearly 40 mil EUR in the period 2016-2022 through the FITD.  </w:t>
      </w:r>
    </w:p>
    <w:p w14:paraId="690CD118" w14:textId="26926157" w:rsidR="008A62C4" w:rsidRDefault="008A62C4" w:rsidP="00CA22CD">
      <w:pPr>
        <w:spacing w:before="120"/>
        <w:ind w:left="360"/>
        <w:rPr>
          <w:rFonts w:eastAsia="Calibri" w:cs="Times New Roman"/>
        </w:rPr>
      </w:pPr>
      <w:r w:rsidRPr="00B55E1E">
        <w:rPr>
          <w:rFonts w:eastAsia="Calibri" w:cs="Times New Roman"/>
        </w:rPr>
        <w:t xml:space="preserve">Productivity could be further improved by more investment in research and innovation. At 0.4% of GDP, the economy’s expenditure on research and innovation has not increased over recent </w:t>
      </w:r>
      <w:r w:rsidR="009047AA" w:rsidRPr="00B55E1E">
        <w:rPr>
          <w:rFonts w:eastAsia="Calibri" w:cs="Times New Roman"/>
        </w:rPr>
        <w:t>years and</w:t>
      </w:r>
      <w:r w:rsidRPr="00B55E1E">
        <w:rPr>
          <w:rFonts w:eastAsia="Calibri" w:cs="Times New Roman"/>
        </w:rPr>
        <w:t xml:space="preserve"> remains significantly below the EU average. The country is an emerging innovator, according to the EU innovation scoreboard. An increased budget (but also non-financial incentives and measures for collaboration between researchers and businesses) in this area would support the country’s economic recovery, also given the relevance of innovation to the Economic and Investment Plan for the Western Balkans. Even though government funding for innovation increased, private firms are reserved about adopting new technologies. </w:t>
      </w:r>
    </w:p>
    <w:p w14:paraId="3651FB4B" w14:textId="6040645E" w:rsidR="00546A42" w:rsidRDefault="00546A42" w:rsidP="00CA22CD">
      <w:pPr>
        <w:autoSpaceDE w:val="0"/>
        <w:autoSpaceDN w:val="0"/>
        <w:adjustRightInd w:val="0"/>
        <w:spacing w:before="120"/>
        <w:ind w:left="360"/>
        <w:rPr>
          <w:rFonts w:eastAsia="Calibri" w:cs="Times New Roman"/>
        </w:rPr>
      </w:pPr>
      <w:r w:rsidRPr="00B55E1E">
        <w:rPr>
          <w:rFonts w:eastAsia="Calibri" w:cs="Times New Roman"/>
        </w:rPr>
        <w:t>Adoption of the SMART specialization strategy should consolidate the country’s economic policy priorities and support the further development of sector-level strategies in the relevant fields such as education and skills, industry, research and innovation, as well as attracting FDI. S3 will be placed a path to build a modern economic development approach, based on knowledge, innovation, and establishing strong linkages between business and academia. The following sectors are at the core of the smart specialization:</w:t>
      </w:r>
    </w:p>
    <w:p w14:paraId="23B304C1" w14:textId="77777777" w:rsidR="00FC2103" w:rsidRPr="00E225B6" w:rsidRDefault="00FC2103" w:rsidP="00CA22CD">
      <w:pPr>
        <w:numPr>
          <w:ilvl w:val="0"/>
          <w:numId w:val="34"/>
        </w:numPr>
        <w:ind w:left="1077" w:hanging="357"/>
        <w:rPr>
          <w:szCs w:val="24"/>
          <w:lang w:val="en-US"/>
        </w:rPr>
      </w:pPr>
      <w:r w:rsidRPr="00E225B6">
        <w:t>Electro-Mechanical Industry - Industry 4.0 (EMI-I4.0)</w:t>
      </w:r>
    </w:p>
    <w:p w14:paraId="25CA249A" w14:textId="77777777" w:rsidR="00FC2103" w:rsidRPr="00E225B6" w:rsidRDefault="00FC2103" w:rsidP="00CA22CD">
      <w:pPr>
        <w:numPr>
          <w:ilvl w:val="0"/>
          <w:numId w:val="34"/>
        </w:numPr>
        <w:ind w:left="1077" w:hanging="357"/>
      </w:pPr>
      <w:r w:rsidRPr="00E225B6">
        <w:t>Information and Communication Technologies (ICT)</w:t>
      </w:r>
    </w:p>
    <w:p w14:paraId="56EADC2B" w14:textId="77777777" w:rsidR="00FC2103" w:rsidRPr="00E225B6" w:rsidRDefault="00FC2103" w:rsidP="00CA22CD">
      <w:pPr>
        <w:numPr>
          <w:ilvl w:val="0"/>
          <w:numId w:val="34"/>
        </w:numPr>
        <w:ind w:left="1077" w:hanging="357"/>
      </w:pPr>
      <w:r w:rsidRPr="00E225B6">
        <w:t xml:space="preserve">Smart agriculture and food with higher value-added </w:t>
      </w:r>
    </w:p>
    <w:p w14:paraId="0B0D4E9E" w14:textId="77777777" w:rsidR="00FC2103" w:rsidRPr="00E225B6" w:rsidRDefault="00FC2103" w:rsidP="00CA22CD">
      <w:pPr>
        <w:numPr>
          <w:ilvl w:val="0"/>
          <w:numId w:val="34"/>
        </w:numPr>
        <w:ind w:left="1077" w:hanging="357"/>
      </w:pPr>
      <w:r w:rsidRPr="00E225B6">
        <w:t>Smart/Sustainable Buildings and Materials</w:t>
      </w:r>
    </w:p>
    <w:p w14:paraId="188DB394" w14:textId="77777777" w:rsidR="00FC2103" w:rsidRPr="00F2742A" w:rsidRDefault="00FC2103" w:rsidP="00CA22CD">
      <w:pPr>
        <w:autoSpaceDE w:val="0"/>
        <w:autoSpaceDN w:val="0"/>
        <w:adjustRightInd w:val="0"/>
        <w:spacing w:before="120"/>
        <w:ind w:left="360"/>
        <w:jc w:val="left"/>
        <w:rPr>
          <w:rFonts w:cs="Times New Roman"/>
          <w:lang w:val="en-US"/>
        </w:rPr>
      </w:pPr>
      <w:r w:rsidRPr="00E225B6">
        <w:rPr>
          <w:rFonts w:cs="Times New Roman"/>
          <w:lang w:val="en-US"/>
        </w:rPr>
        <w:lastRenderedPageBreak/>
        <w:t xml:space="preserve">In addition, digitalization and green transition have been </w:t>
      </w:r>
      <w:r>
        <w:rPr>
          <w:rFonts w:cs="Times New Roman"/>
          <w:lang w:val="en-US"/>
        </w:rPr>
        <w:t>identified as horizontal priorities in all of the above identified priority domains.</w:t>
      </w:r>
    </w:p>
    <w:p w14:paraId="2F017FD4" w14:textId="77777777" w:rsidR="00FA31F9" w:rsidRPr="000616ED" w:rsidRDefault="00FA31F9" w:rsidP="00CA22CD">
      <w:pPr>
        <w:spacing w:before="120"/>
        <w:ind w:left="360"/>
        <w:rPr>
          <w:rFonts w:eastAsia="Calibri" w:cs="Arial"/>
        </w:rPr>
      </w:pPr>
      <w:r w:rsidRPr="000616ED">
        <w:rPr>
          <w:rFonts w:eastAsia="Calibri" w:cs="Arial"/>
        </w:rPr>
        <w:t>The Republic of North Macedonia is committed to enable further growth of innovation and stimulate strategic research and innovation partnerships as a key driver for economic growth.</w:t>
      </w:r>
      <w:r>
        <w:rPr>
          <w:rFonts w:eastAsia="Calibri" w:cs="Arial"/>
        </w:rPr>
        <w:t xml:space="preserve"> </w:t>
      </w:r>
      <w:r w:rsidRPr="000616ED">
        <w:rPr>
          <w:rFonts w:eastAsia="Calibri" w:cs="Arial"/>
        </w:rPr>
        <w:t>The challenge can be providing sufficient funding for strengthening the institutional capacities, developing strategic research and innovation partnerships and implementation of the priority projects and policy mix.</w:t>
      </w:r>
    </w:p>
    <w:p w14:paraId="11CC9404" w14:textId="3366CADB" w:rsidR="00B6755D" w:rsidRPr="00A96480" w:rsidRDefault="00B6755D" w:rsidP="00CA22CD">
      <w:pPr>
        <w:pStyle w:val="Heading1"/>
        <w:numPr>
          <w:ilvl w:val="0"/>
          <w:numId w:val="0"/>
        </w:numPr>
        <w:spacing w:after="0"/>
        <w:ind w:left="360"/>
        <w:rPr>
          <w:u w:val="single"/>
        </w:rPr>
      </w:pPr>
      <w:r w:rsidRPr="00A96480">
        <w:rPr>
          <w:u w:val="single"/>
        </w:rPr>
        <w:t xml:space="preserve">Relevant national strategies </w:t>
      </w:r>
      <w:r w:rsidRPr="00A96480">
        <w:rPr>
          <w:iCs/>
          <w:u w:val="single"/>
        </w:rPr>
        <w:t xml:space="preserve">in the area of support </w:t>
      </w:r>
      <w:r w:rsidRPr="00A96480">
        <w:rPr>
          <w:iCs/>
          <w:u w:val="single"/>
          <w:lang w:val="en-US"/>
        </w:rPr>
        <w:t xml:space="preserve">#1 </w:t>
      </w:r>
    </w:p>
    <w:p w14:paraId="56065995" w14:textId="77777777" w:rsidR="00B6755D" w:rsidRPr="00972DC4" w:rsidRDefault="00B6755D" w:rsidP="00CA22CD">
      <w:pPr>
        <w:spacing w:before="120"/>
        <w:ind w:left="360"/>
        <w:rPr>
          <w:rFonts w:eastAsia="Calibri" w:cs="Arial"/>
          <w:iCs/>
        </w:rPr>
      </w:pPr>
      <w:r>
        <w:rPr>
          <w:rFonts w:eastAsia="Calibri" w:cs="Arial"/>
          <w:iCs/>
        </w:rPr>
        <w:t>T</w:t>
      </w:r>
      <w:r w:rsidRPr="00972DC4">
        <w:rPr>
          <w:rFonts w:eastAsia="Calibri" w:cs="Arial"/>
          <w:iCs/>
        </w:rPr>
        <w:t xml:space="preserve">he Action will contribute to the implementation of the following </w:t>
      </w:r>
      <w:r w:rsidRPr="0031767D">
        <w:rPr>
          <w:rFonts w:eastAsia="Calibri" w:cs="Arial"/>
          <w:b/>
          <w:bCs/>
          <w:iCs/>
        </w:rPr>
        <w:t xml:space="preserve">relevant </w:t>
      </w:r>
      <w:r w:rsidRPr="00972DC4">
        <w:rPr>
          <w:rFonts w:eastAsia="Calibri" w:cs="Arial"/>
          <w:b/>
          <w:bCs/>
          <w:iCs/>
        </w:rPr>
        <w:t>national strateg</w:t>
      </w:r>
      <w:r w:rsidRPr="0031767D">
        <w:rPr>
          <w:rFonts w:eastAsia="Calibri" w:cs="Arial"/>
          <w:b/>
          <w:bCs/>
          <w:iCs/>
        </w:rPr>
        <w:t>ic documents</w:t>
      </w:r>
      <w:r w:rsidRPr="00972DC4">
        <w:rPr>
          <w:rFonts w:eastAsia="Calibri" w:cs="Arial"/>
          <w:iCs/>
        </w:rPr>
        <w:t>:</w:t>
      </w:r>
    </w:p>
    <w:p w14:paraId="4CA78943" w14:textId="77777777" w:rsidR="00B6755D" w:rsidRPr="00972DC4" w:rsidRDefault="00B6755D" w:rsidP="00CA22CD">
      <w:pPr>
        <w:numPr>
          <w:ilvl w:val="0"/>
          <w:numId w:val="29"/>
        </w:numPr>
        <w:spacing w:before="120"/>
        <w:ind w:left="1080"/>
        <w:rPr>
          <w:rFonts w:eastAsia="Calibri" w:cs="Arial"/>
          <w:b/>
          <w:bCs/>
          <w:iCs/>
        </w:rPr>
      </w:pPr>
      <w:r w:rsidRPr="00972DC4">
        <w:rPr>
          <w:rFonts w:eastAsia="Calibri" w:cs="Arial"/>
          <w:b/>
          <w:bCs/>
          <w:iCs/>
        </w:rPr>
        <w:t>Strategy for Consumer Protection 2022-2025</w:t>
      </w:r>
      <w:r>
        <w:rPr>
          <w:rFonts w:eastAsia="Calibri" w:cs="Arial"/>
          <w:b/>
          <w:bCs/>
          <w:iCs/>
        </w:rPr>
        <w:t xml:space="preserve"> </w:t>
      </w:r>
      <w:r w:rsidRPr="00464AE1">
        <w:rPr>
          <w:rFonts w:eastAsia="Calibri" w:cs="Arial"/>
          <w:iCs/>
        </w:rPr>
        <w:t>with the A</w:t>
      </w:r>
      <w:r w:rsidRPr="00972DC4">
        <w:rPr>
          <w:rFonts w:eastAsia="Calibri" w:cs="Arial"/>
          <w:iCs/>
        </w:rPr>
        <w:t>ction Plan</w:t>
      </w:r>
      <w:r>
        <w:rPr>
          <w:rFonts w:eastAsia="Calibri" w:cs="Arial"/>
          <w:iCs/>
        </w:rPr>
        <w:t>.</w:t>
      </w:r>
    </w:p>
    <w:p w14:paraId="5249AAE7" w14:textId="77777777" w:rsidR="00B6755D" w:rsidRPr="00972DC4" w:rsidRDefault="00B6755D" w:rsidP="00CA22CD">
      <w:pPr>
        <w:numPr>
          <w:ilvl w:val="0"/>
          <w:numId w:val="29"/>
        </w:numPr>
        <w:spacing w:before="120"/>
        <w:ind w:left="1080"/>
        <w:rPr>
          <w:rFonts w:eastAsia="Calibri" w:cs="Arial"/>
          <w:iCs/>
        </w:rPr>
      </w:pPr>
      <w:r>
        <w:rPr>
          <w:rFonts w:eastAsia="Calibri" w:cs="Arial"/>
          <w:b/>
          <w:bCs/>
          <w:iCs/>
        </w:rPr>
        <w:t>Draft National S</w:t>
      </w:r>
      <w:r w:rsidRPr="00972DC4">
        <w:rPr>
          <w:rFonts w:eastAsia="Calibri" w:cs="Arial"/>
          <w:b/>
          <w:bCs/>
          <w:iCs/>
        </w:rPr>
        <w:t>trategy for Operation of State Market Inspectorate</w:t>
      </w:r>
      <w:r>
        <w:rPr>
          <w:rFonts w:eastAsia="Calibri" w:cs="Arial"/>
          <w:b/>
          <w:bCs/>
          <w:iCs/>
        </w:rPr>
        <w:t xml:space="preserve"> 2022-2026 </w:t>
      </w:r>
      <w:r w:rsidRPr="00DF5327">
        <w:rPr>
          <w:rFonts w:eastAsia="Calibri" w:cs="Arial"/>
          <w:iCs/>
        </w:rPr>
        <w:t>under development</w:t>
      </w:r>
      <w:r>
        <w:rPr>
          <w:rFonts w:eastAsia="Calibri" w:cs="Arial"/>
          <w:iCs/>
        </w:rPr>
        <w:t>.</w:t>
      </w:r>
    </w:p>
    <w:p w14:paraId="6F2E3868" w14:textId="77777777" w:rsidR="00B6755D" w:rsidRPr="00972DC4" w:rsidRDefault="00B6755D" w:rsidP="00CA22CD">
      <w:pPr>
        <w:numPr>
          <w:ilvl w:val="0"/>
          <w:numId w:val="29"/>
        </w:numPr>
        <w:spacing w:before="120"/>
        <w:ind w:left="1080"/>
        <w:rPr>
          <w:rFonts w:eastAsia="Calibri" w:cs="Arial"/>
          <w:iCs/>
        </w:rPr>
      </w:pPr>
      <w:r w:rsidRPr="00972DC4">
        <w:rPr>
          <w:rFonts w:eastAsia="Calibri" w:cs="Arial"/>
          <w:b/>
          <w:bCs/>
          <w:iCs/>
        </w:rPr>
        <w:t>National ICT Strategy 2021-2025</w:t>
      </w:r>
      <w:r>
        <w:rPr>
          <w:rFonts w:eastAsia="Calibri" w:cs="Arial"/>
          <w:b/>
          <w:bCs/>
          <w:iCs/>
        </w:rPr>
        <w:t xml:space="preserve"> </w:t>
      </w:r>
      <w:r w:rsidRPr="002D240B">
        <w:rPr>
          <w:rFonts w:eastAsia="Calibri" w:cs="Arial"/>
          <w:iCs/>
        </w:rPr>
        <w:t>with</w:t>
      </w:r>
      <w:r w:rsidRPr="00972DC4">
        <w:rPr>
          <w:rFonts w:eastAsia="Calibri" w:cs="Arial"/>
          <w:iCs/>
        </w:rPr>
        <w:t xml:space="preserve"> six pillars: 1. Connectivity and government infrastructure; 2. Centralisation and rationalisation of ICT and e-government services; 3. Improving the digital skills of citizens, workforce and experts; 4. Research, development and innovation; 5. Data protection; and 6. Digital services (inspired by environmental protection).</w:t>
      </w:r>
    </w:p>
    <w:p w14:paraId="5B36DB7A" w14:textId="77777777" w:rsidR="00B6755D" w:rsidRPr="00972DC4" w:rsidRDefault="00B6755D" w:rsidP="00CA22CD">
      <w:pPr>
        <w:numPr>
          <w:ilvl w:val="0"/>
          <w:numId w:val="28"/>
        </w:numPr>
        <w:spacing w:before="120"/>
        <w:ind w:left="1080"/>
        <w:rPr>
          <w:rFonts w:eastAsia="Calibri" w:cs="Arial"/>
          <w:iCs/>
        </w:rPr>
      </w:pPr>
      <w:r w:rsidRPr="00972DC4">
        <w:rPr>
          <w:rFonts w:eastAsia="Calibri" w:cs="Arial"/>
          <w:b/>
          <w:iCs/>
        </w:rPr>
        <w:t xml:space="preserve">Industrial Strategy with focus on manufacturing industry 2018-2027 </w:t>
      </w:r>
      <w:r w:rsidRPr="00972DC4">
        <w:rPr>
          <w:rFonts w:eastAsia="Calibri" w:cs="Arial"/>
          <w:bCs/>
          <w:iCs/>
        </w:rPr>
        <w:t>with A</w:t>
      </w:r>
      <w:r>
        <w:rPr>
          <w:rFonts w:eastAsia="Calibri" w:cs="Arial"/>
          <w:bCs/>
          <w:iCs/>
        </w:rPr>
        <w:t xml:space="preserve">ction </w:t>
      </w:r>
      <w:r w:rsidRPr="00972DC4">
        <w:rPr>
          <w:rFonts w:eastAsia="Calibri" w:cs="Arial"/>
          <w:bCs/>
          <w:iCs/>
        </w:rPr>
        <w:t>P</w:t>
      </w:r>
      <w:r>
        <w:rPr>
          <w:rFonts w:eastAsia="Calibri" w:cs="Arial"/>
          <w:bCs/>
          <w:iCs/>
        </w:rPr>
        <w:t>lan</w:t>
      </w:r>
      <w:r w:rsidRPr="00972DC4">
        <w:rPr>
          <w:rFonts w:eastAsia="Calibri" w:cs="Arial"/>
          <w:bCs/>
          <w:iCs/>
        </w:rPr>
        <w:t>.</w:t>
      </w:r>
      <w:r>
        <w:rPr>
          <w:rFonts w:eastAsia="Calibri" w:cs="Arial"/>
          <w:bCs/>
          <w:iCs/>
        </w:rPr>
        <w:t xml:space="preserve"> </w:t>
      </w:r>
    </w:p>
    <w:p w14:paraId="628EAE29" w14:textId="77777777" w:rsidR="00B6755D" w:rsidRPr="00972DC4" w:rsidRDefault="00B6755D" w:rsidP="00CA22CD">
      <w:pPr>
        <w:numPr>
          <w:ilvl w:val="0"/>
          <w:numId w:val="28"/>
        </w:numPr>
        <w:spacing w:before="120"/>
        <w:ind w:left="1080"/>
        <w:rPr>
          <w:rFonts w:eastAsia="Calibri" w:cs="Arial"/>
          <w:bCs/>
          <w:iCs/>
        </w:rPr>
      </w:pPr>
      <w:r w:rsidRPr="00972DC4">
        <w:rPr>
          <w:rFonts w:eastAsia="Calibri" w:cs="Arial"/>
          <w:b/>
          <w:iCs/>
        </w:rPr>
        <w:t>National Strategy for Small and Medium Enterprises 2018-2023</w:t>
      </w:r>
      <w:r>
        <w:rPr>
          <w:rFonts w:eastAsia="Calibri" w:cs="Arial"/>
          <w:b/>
          <w:iCs/>
        </w:rPr>
        <w:t xml:space="preserve"> </w:t>
      </w:r>
      <w:r w:rsidRPr="00972DC4">
        <w:rPr>
          <w:rFonts w:eastAsia="Calibri" w:cs="Arial"/>
          <w:bCs/>
          <w:iCs/>
        </w:rPr>
        <w:t xml:space="preserve">to be competitive and an engine of inclusive economic growth in </w:t>
      </w:r>
      <w:r>
        <w:rPr>
          <w:rFonts w:eastAsia="Calibri" w:cs="Arial"/>
          <w:bCs/>
          <w:iCs/>
        </w:rPr>
        <w:t xml:space="preserve">North </w:t>
      </w:r>
      <w:r w:rsidRPr="00972DC4">
        <w:rPr>
          <w:rFonts w:eastAsia="Calibri" w:cs="Arial"/>
          <w:bCs/>
          <w:iCs/>
        </w:rPr>
        <w:t>Macedonia and the creation of more productive and decent employment. Special attention is devoted to supporting women's entrepreneurship.</w:t>
      </w:r>
    </w:p>
    <w:p w14:paraId="16BC48BE" w14:textId="77777777" w:rsidR="00B6755D" w:rsidRPr="00972DC4" w:rsidRDefault="00B6755D" w:rsidP="00CA22CD">
      <w:pPr>
        <w:numPr>
          <w:ilvl w:val="0"/>
          <w:numId w:val="28"/>
        </w:numPr>
        <w:spacing w:before="120"/>
        <w:ind w:left="1080"/>
        <w:rPr>
          <w:rFonts w:eastAsia="Calibri" w:cs="Arial"/>
          <w:bCs/>
          <w:iCs/>
        </w:rPr>
      </w:pPr>
      <w:r w:rsidRPr="00972DC4">
        <w:rPr>
          <w:rFonts w:eastAsia="Calibri" w:cs="Arial"/>
          <w:b/>
          <w:iCs/>
        </w:rPr>
        <w:t>Strategy of Women Entrepreneurship Development with AP 2019-2023</w:t>
      </w:r>
      <w:r>
        <w:rPr>
          <w:rFonts w:eastAsia="Calibri" w:cs="Arial"/>
          <w:bCs/>
          <w:iCs/>
        </w:rPr>
        <w:t xml:space="preserve"> </w:t>
      </w:r>
      <w:r w:rsidRPr="00972DC4">
        <w:rPr>
          <w:rFonts w:eastAsia="Calibri" w:cs="Arial"/>
          <w:bCs/>
          <w:iCs/>
        </w:rPr>
        <w:t>aims to empower women by creating a favourable business climate and providing support for the development of their entrepreneurial potential, which will contribute to the development of existing and opening new enterprises, creating new jobs and thus strengthening the overall economy.</w:t>
      </w:r>
    </w:p>
    <w:p w14:paraId="503F5F70" w14:textId="77777777" w:rsidR="00B6755D" w:rsidRPr="003840A8" w:rsidRDefault="00B6755D" w:rsidP="00CA22CD">
      <w:pPr>
        <w:numPr>
          <w:ilvl w:val="0"/>
          <w:numId w:val="28"/>
        </w:numPr>
        <w:spacing w:before="120"/>
        <w:ind w:left="1080"/>
        <w:rPr>
          <w:rFonts w:eastAsia="Calibri" w:cs="Arial"/>
          <w:b/>
          <w:bCs/>
          <w:iCs/>
        </w:rPr>
      </w:pPr>
      <w:r w:rsidRPr="004E5809">
        <w:rPr>
          <w:rFonts w:eastAsia="Calibri" w:cs="Arial"/>
          <w:b/>
          <w:iCs/>
        </w:rPr>
        <w:t>The Draft</w:t>
      </w:r>
      <w:r>
        <w:rPr>
          <w:rFonts w:eastAsia="Calibri" w:cs="Arial"/>
          <w:b/>
          <w:iCs/>
        </w:rPr>
        <w:t xml:space="preserve"> </w:t>
      </w:r>
      <w:r w:rsidRPr="004E5809">
        <w:rPr>
          <w:rFonts w:eastAsia="Calibri" w:cs="Arial"/>
          <w:b/>
          <w:iCs/>
        </w:rPr>
        <w:t>National Strategy on Intellectual Property 2022-2026</w:t>
      </w:r>
    </w:p>
    <w:p w14:paraId="2A3D314B" w14:textId="77777777" w:rsidR="00B6755D" w:rsidRPr="00972DC4" w:rsidRDefault="00B6755D" w:rsidP="00CA22CD">
      <w:pPr>
        <w:numPr>
          <w:ilvl w:val="0"/>
          <w:numId w:val="28"/>
        </w:numPr>
        <w:spacing w:before="120"/>
        <w:ind w:left="1080"/>
        <w:rPr>
          <w:rFonts w:eastAsia="Calibri" w:cs="Arial"/>
          <w:bCs/>
          <w:iCs/>
        </w:rPr>
      </w:pPr>
      <w:r w:rsidRPr="00972DC4">
        <w:rPr>
          <w:rFonts w:eastAsia="Calibri" w:cs="Arial"/>
          <w:b/>
          <w:iCs/>
        </w:rPr>
        <w:t xml:space="preserve">Smart Specialisation Strategy (S3), </w:t>
      </w:r>
      <w:r w:rsidRPr="00972DC4">
        <w:rPr>
          <w:rFonts w:eastAsia="Calibri" w:cs="Arial"/>
          <w:bCs/>
          <w:iCs/>
        </w:rPr>
        <w:t>to be developed and adopted. North Macedonia is committed to creating a favourable business climate conducive to growth based on knowledge and innovation. Currently, there is an advanced process of S3 development, in close collaboration and continuous consultancy with JRC, following a standard EU methodology and being ex-post approved by JRC in its final EDP phase. Building on the EDP outcomes, the S3 will complement the forthcoming National Development Strategy, replace the outdated Innovation Strategy and Competitiveness Strategy, and build on the priorities of the Industrial Strategy, the Education Strategy and the Economic Reform Programme.</w:t>
      </w:r>
    </w:p>
    <w:p w14:paraId="0898C96A" w14:textId="77777777" w:rsidR="00B6755D" w:rsidRPr="00972DC4" w:rsidRDefault="00B6755D" w:rsidP="00CA22CD">
      <w:pPr>
        <w:numPr>
          <w:ilvl w:val="0"/>
          <w:numId w:val="28"/>
        </w:numPr>
        <w:spacing w:before="120"/>
        <w:ind w:left="1080"/>
        <w:rPr>
          <w:rFonts w:eastAsia="Calibri" w:cs="Arial"/>
          <w:bCs/>
          <w:iCs/>
        </w:rPr>
      </w:pPr>
      <w:r w:rsidRPr="00972DC4">
        <w:rPr>
          <w:rFonts w:eastAsia="Calibri" w:cs="Arial"/>
          <w:b/>
          <w:iCs/>
        </w:rPr>
        <w:t>Education Strategy 2018-2025 and Action Plan</w:t>
      </w:r>
      <w:r>
        <w:rPr>
          <w:rFonts w:eastAsia="Calibri" w:cs="Arial"/>
          <w:bCs/>
          <w:iCs/>
        </w:rPr>
        <w:t xml:space="preserve"> with the </w:t>
      </w:r>
      <w:r w:rsidRPr="00972DC4">
        <w:rPr>
          <w:rFonts w:eastAsia="Calibri" w:cs="Arial"/>
          <w:bCs/>
          <w:iCs/>
        </w:rPr>
        <w:t>relevant priority</w:t>
      </w:r>
      <w:r>
        <w:rPr>
          <w:rFonts w:eastAsia="Calibri" w:cs="Arial"/>
          <w:bCs/>
          <w:iCs/>
        </w:rPr>
        <w:t xml:space="preserve">: </w:t>
      </w:r>
      <w:r w:rsidRPr="00972DC4">
        <w:rPr>
          <w:rFonts w:eastAsia="Calibri" w:cs="Arial"/>
          <w:bCs/>
          <w:iCs/>
        </w:rPr>
        <w:t>strengthening the research infrastructure (centres of excellence, accelerators, technology transfer centres) in selected universities to achieve a level of scientific research that is in line with modern needs for technology development.</w:t>
      </w:r>
    </w:p>
    <w:p w14:paraId="68739FB4" w14:textId="77777777" w:rsidR="00B6755D" w:rsidRDefault="00B6755D" w:rsidP="00CA22CD">
      <w:pPr>
        <w:numPr>
          <w:ilvl w:val="0"/>
          <w:numId w:val="28"/>
        </w:numPr>
        <w:spacing w:before="120"/>
        <w:ind w:left="1080"/>
        <w:rPr>
          <w:rFonts w:eastAsia="Calibri" w:cs="Arial"/>
          <w:bCs/>
          <w:iCs/>
        </w:rPr>
      </w:pPr>
      <w:r w:rsidRPr="00972DC4">
        <w:rPr>
          <w:rFonts w:eastAsia="Calibri" w:cs="Arial"/>
          <w:b/>
          <w:iCs/>
        </w:rPr>
        <w:t>Research Infrastructure Roadmap of North Macedon</w:t>
      </w:r>
      <w:r>
        <w:rPr>
          <w:rFonts w:eastAsia="Calibri" w:cs="Arial"/>
          <w:b/>
          <w:iCs/>
        </w:rPr>
        <w:t xml:space="preserve">ia </w:t>
      </w:r>
      <w:r w:rsidRPr="002309D1">
        <w:rPr>
          <w:rFonts w:eastAsia="Calibri" w:cs="Arial"/>
          <w:bCs/>
          <w:iCs/>
        </w:rPr>
        <w:t xml:space="preserve">recommending </w:t>
      </w:r>
      <w:r>
        <w:rPr>
          <w:rFonts w:eastAsia="Calibri" w:cs="Arial"/>
          <w:bCs/>
          <w:iCs/>
        </w:rPr>
        <w:t>e</w:t>
      </w:r>
      <w:r w:rsidRPr="00972DC4">
        <w:rPr>
          <w:rFonts w:eastAsia="Calibri" w:cs="Arial"/>
          <w:bCs/>
          <w:iCs/>
        </w:rPr>
        <w:t>stablish</w:t>
      </w:r>
      <w:r>
        <w:rPr>
          <w:rFonts w:eastAsia="Calibri" w:cs="Arial"/>
          <w:bCs/>
          <w:iCs/>
        </w:rPr>
        <w:t>ment of</w:t>
      </w:r>
      <w:r w:rsidRPr="00972DC4">
        <w:rPr>
          <w:rFonts w:eastAsia="Calibri" w:cs="Arial"/>
          <w:bCs/>
          <w:iCs/>
        </w:rPr>
        <w:t xml:space="preserve"> a link between the research potential identified in the RI Roadmap and future activities in designing the Smart Specialization Strategy</w:t>
      </w:r>
      <w:r>
        <w:rPr>
          <w:rFonts w:eastAsia="Calibri" w:cs="Arial"/>
          <w:bCs/>
          <w:iCs/>
        </w:rPr>
        <w:t>.</w:t>
      </w:r>
    </w:p>
    <w:p w14:paraId="2762785B" w14:textId="692C4F99" w:rsidR="00972DC4" w:rsidRDefault="00972DC4" w:rsidP="00CA22CD">
      <w:pPr>
        <w:pStyle w:val="Heading1"/>
        <w:numPr>
          <w:ilvl w:val="0"/>
          <w:numId w:val="0"/>
        </w:numPr>
        <w:spacing w:after="0"/>
        <w:ind w:left="720" w:hanging="360"/>
        <w:rPr>
          <w:color w:val="1F4E79" w:themeColor="accent1" w:themeShade="80"/>
        </w:rPr>
      </w:pPr>
      <w:bookmarkStart w:id="113" w:name="_Hlk130295078"/>
      <w:r w:rsidRPr="00896980">
        <w:rPr>
          <w:color w:val="1F4E79" w:themeColor="accent1" w:themeShade="80"/>
        </w:rPr>
        <w:t>Area of support #2</w:t>
      </w:r>
      <w:bookmarkEnd w:id="113"/>
      <w:r w:rsidRPr="00896980">
        <w:rPr>
          <w:color w:val="1F4E79" w:themeColor="accent1" w:themeShade="80"/>
        </w:rPr>
        <w:t>: Agriculture and Rural Development</w:t>
      </w:r>
    </w:p>
    <w:p w14:paraId="75C133A8" w14:textId="488B21CA" w:rsidR="00272FE4" w:rsidRPr="00972DC4" w:rsidRDefault="00272FE4" w:rsidP="00CA22CD">
      <w:pPr>
        <w:spacing w:before="120"/>
        <w:ind w:left="360"/>
        <w:rPr>
          <w:rFonts w:eastAsia="Calibri" w:cs="Arial"/>
          <w:iCs/>
        </w:rPr>
      </w:pPr>
      <w:r w:rsidRPr="00972DC4">
        <w:rPr>
          <w:rFonts w:eastAsia="Calibri" w:cs="Arial"/>
          <w:iCs/>
        </w:rPr>
        <w:t xml:space="preserve">North Macedonia has demonstrated a significant progress in the field of agriculture and rural development. The importance of this sector in socio-economic aspect as well as for the accession process pushed the country to develop the necessary strategic and legal framework and establish good institutional capacity, mainly with the support of the EU. The </w:t>
      </w:r>
      <w:r w:rsidRPr="00972DC4">
        <w:rPr>
          <w:rFonts w:eastAsia="Calibri" w:cs="Arial"/>
          <w:b/>
          <w:bCs/>
          <w:iCs/>
        </w:rPr>
        <w:t>strategic framework for Agriculture and Rural Development</w:t>
      </w:r>
      <w:r w:rsidRPr="00972DC4">
        <w:rPr>
          <w:rFonts w:eastAsia="Calibri" w:cs="Arial"/>
          <w:iCs/>
        </w:rPr>
        <w:t xml:space="preserve"> covers and defines several strategic priorities, among others the followings: </w:t>
      </w:r>
    </w:p>
    <w:p w14:paraId="0FE7B656" w14:textId="77777777" w:rsidR="00272FE4" w:rsidRPr="00972DC4" w:rsidRDefault="00272FE4" w:rsidP="00CA22CD">
      <w:pPr>
        <w:numPr>
          <w:ilvl w:val="0"/>
          <w:numId w:val="28"/>
        </w:numPr>
        <w:ind w:left="1071" w:hanging="357"/>
        <w:rPr>
          <w:rFonts w:eastAsia="Calibri" w:cs="Arial"/>
          <w:iCs/>
        </w:rPr>
      </w:pPr>
      <w:r w:rsidRPr="00972DC4">
        <w:rPr>
          <w:rFonts w:eastAsia="Calibri" w:cs="Arial"/>
          <w:iCs/>
        </w:rPr>
        <w:lastRenderedPageBreak/>
        <w:t xml:space="preserve">To improve market organization (e.g., cooperatives and farmers’ associations), vertical integration and quality improvements. </w:t>
      </w:r>
    </w:p>
    <w:p w14:paraId="474AAFEC" w14:textId="77777777" w:rsidR="00272FE4" w:rsidRPr="00972DC4" w:rsidRDefault="00272FE4" w:rsidP="00CA22CD">
      <w:pPr>
        <w:numPr>
          <w:ilvl w:val="0"/>
          <w:numId w:val="28"/>
        </w:numPr>
        <w:ind w:left="1071" w:hanging="357"/>
        <w:rPr>
          <w:rFonts w:eastAsia="Calibri" w:cs="Arial"/>
          <w:iCs/>
        </w:rPr>
      </w:pPr>
      <w:r w:rsidRPr="00972DC4">
        <w:rPr>
          <w:rFonts w:eastAsia="Calibri" w:cs="Arial"/>
          <w:iCs/>
        </w:rPr>
        <w:t>To promote territorially balanced and sustainable development in rural areas,</w:t>
      </w:r>
    </w:p>
    <w:p w14:paraId="174BD0CC" w14:textId="77777777" w:rsidR="00272FE4" w:rsidRPr="00972DC4" w:rsidRDefault="00272FE4" w:rsidP="00CA22CD">
      <w:pPr>
        <w:numPr>
          <w:ilvl w:val="0"/>
          <w:numId w:val="28"/>
        </w:numPr>
        <w:ind w:left="1071" w:hanging="357"/>
        <w:rPr>
          <w:rFonts w:eastAsia="Calibri" w:cs="Arial"/>
          <w:iCs/>
        </w:rPr>
      </w:pPr>
      <w:r w:rsidRPr="00972DC4">
        <w:rPr>
          <w:rFonts w:eastAsia="Calibri" w:cs="Arial"/>
          <w:iCs/>
        </w:rPr>
        <w:t xml:space="preserve">To enhance farm viability and competitiveness of all types of agriculture and primary food-processing, </w:t>
      </w:r>
    </w:p>
    <w:p w14:paraId="5295D057" w14:textId="77777777" w:rsidR="00272FE4" w:rsidRPr="00972DC4" w:rsidRDefault="00272FE4" w:rsidP="00CA22CD">
      <w:pPr>
        <w:numPr>
          <w:ilvl w:val="0"/>
          <w:numId w:val="28"/>
        </w:numPr>
        <w:ind w:left="1071" w:hanging="357"/>
        <w:rPr>
          <w:rFonts w:eastAsia="Calibri" w:cs="Arial"/>
          <w:iCs/>
        </w:rPr>
      </w:pPr>
      <w:r w:rsidRPr="00972DC4">
        <w:rPr>
          <w:rFonts w:eastAsia="Calibri" w:cs="Arial"/>
          <w:iCs/>
        </w:rPr>
        <w:t>To develop human and physical capital (irrigation and mechanisation),</w:t>
      </w:r>
    </w:p>
    <w:p w14:paraId="58667637" w14:textId="77777777" w:rsidR="00272FE4" w:rsidRPr="00972DC4" w:rsidRDefault="00272FE4" w:rsidP="00CA22CD">
      <w:pPr>
        <w:numPr>
          <w:ilvl w:val="0"/>
          <w:numId w:val="28"/>
        </w:numPr>
        <w:ind w:left="1071" w:hanging="357"/>
        <w:rPr>
          <w:rFonts w:eastAsia="Calibri" w:cs="Arial"/>
          <w:iCs/>
        </w:rPr>
      </w:pPr>
      <w:r w:rsidRPr="00972DC4">
        <w:rPr>
          <w:rFonts w:eastAsia="Calibri" w:cs="Arial"/>
          <w:iCs/>
        </w:rPr>
        <w:t>To reduce the fragmentation of the farms and to increase the size of the small land holdings,</w:t>
      </w:r>
    </w:p>
    <w:p w14:paraId="6DD2094C" w14:textId="77777777" w:rsidR="00272FE4" w:rsidRPr="00972DC4" w:rsidRDefault="00272FE4" w:rsidP="00CA22CD">
      <w:pPr>
        <w:numPr>
          <w:ilvl w:val="0"/>
          <w:numId w:val="28"/>
        </w:numPr>
        <w:ind w:left="1071" w:hanging="357"/>
        <w:rPr>
          <w:rFonts w:eastAsia="Calibri" w:cs="Arial"/>
          <w:iCs/>
        </w:rPr>
      </w:pPr>
      <w:r w:rsidRPr="00972DC4">
        <w:rPr>
          <w:rFonts w:eastAsia="Calibri" w:cs="Arial"/>
          <w:iCs/>
        </w:rPr>
        <w:t>To improve plant health,</w:t>
      </w:r>
    </w:p>
    <w:p w14:paraId="2DBBA956" w14:textId="77777777" w:rsidR="00272FE4" w:rsidRPr="00972DC4" w:rsidRDefault="00272FE4" w:rsidP="00CA22CD">
      <w:pPr>
        <w:numPr>
          <w:ilvl w:val="0"/>
          <w:numId w:val="28"/>
        </w:numPr>
        <w:ind w:left="1071" w:hanging="357"/>
        <w:rPr>
          <w:rFonts w:eastAsia="Calibri" w:cs="Arial"/>
          <w:iCs/>
        </w:rPr>
      </w:pPr>
      <w:r w:rsidRPr="00972DC4">
        <w:rPr>
          <w:rFonts w:eastAsia="Calibri" w:cs="Arial"/>
          <w:iCs/>
        </w:rPr>
        <w:t>To increase the international competitiveness of North Macedonia’s agricultural production and agri-food industry.</w:t>
      </w:r>
    </w:p>
    <w:p w14:paraId="44241D22" w14:textId="77777777" w:rsidR="00750569" w:rsidRPr="00972DC4" w:rsidRDefault="00750569" w:rsidP="00CA22CD">
      <w:pPr>
        <w:spacing w:before="120"/>
        <w:ind w:left="360"/>
        <w:rPr>
          <w:rFonts w:eastAsia="Calibri" w:cs="Arial"/>
          <w:iCs/>
        </w:rPr>
      </w:pPr>
      <w:r w:rsidRPr="00972DC4">
        <w:rPr>
          <w:rFonts w:eastAsia="Calibri" w:cs="Arial"/>
          <w:iCs/>
        </w:rPr>
        <w:t xml:space="preserve">The Action considers the priorities established in the </w:t>
      </w:r>
      <w:r w:rsidRPr="00972DC4">
        <w:rPr>
          <w:rFonts w:eastAsia="Calibri" w:cs="Arial"/>
          <w:b/>
          <w:bCs/>
          <w:iCs/>
        </w:rPr>
        <w:t>National Programme for the Adoption of the Acquis (NPAA)</w:t>
      </w:r>
      <w:r w:rsidRPr="00972DC4">
        <w:rPr>
          <w:rFonts w:eastAsia="Calibri" w:cs="Arial"/>
          <w:iCs/>
        </w:rPr>
        <w:t>, about the promotion of organic agriculture and the development of organic agricultural production, capacity building activities, and the harmonisation of the laws and regulations of organic production. The priority is to prepare a new Organic Production Law in the medium term, among other priorities. Regarding the quality policy, the focus is to strengthen the brand of agricultural products with protected designation of origin, geographical designation and guaranteed traditional speciality. In terms of food, veterinary and phytosanitary safety, the Action is consistent with the priorities of the NPAA regarding the harmonisation of national legislation with the EU acquis and the need to increase the capacities of the FVA. The priorities focus on amending existing acts or adopting new ones in line with European requirements in terms of fisheries. Finally, in terms of energy, the NPAA highlights as its main strategic objectives a greater use of renewable energy sources, which is relevant for the security of clean energy, the creation of conditions for sustainable energy development and compliance with the obligations derived from the Treaty establishing the Energy Community.</w:t>
      </w:r>
      <w:r w:rsidRPr="00AA6947">
        <w:rPr>
          <w:rFonts w:eastAsia="Calibri" w:cs="Arial"/>
          <w:iCs/>
        </w:rPr>
        <w:t xml:space="preserve"> </w:t>
      </w:r>
    </w:p>
    <w:p w14:paraId="07AFF522" w14:textId="3C32F584" w:rsidR="00972DC4" w:rsidRPr="00922BB5" w:rsidRDefault="00972DC4" w:rsidP="00CA22CD">
      <w:pPr>
        <w:pStyle w:val="Heading1"/>
        <w:numPr>
          <w:ilvl w:val="0"/>
          <w:numId w:val="0"/>
        </w:numPr>
        <w:spacing w:after="0"/>
        <w:ind w:left="360"/>
        <w:rPr>
          <w:b w:val="0"/>
          <w:bCs/>
          <w:i/>
          <w:iCs/>
        </w:rPr>
      </w:pPr>
      <w:r w:rsidRPr="00922BB5">
        <w:rPr>
          <w:b w:val="0"/>
          <w:bCs/>
          <w:i/>
          <w:iCs/>
        </w:rPr>
        <w:t>Quality of food and the supply chains</w:t>
      </w:r>
      <w:r w:rsidR="00922BB5">
        <w:rPr>
          <w:b w:val="0"/>
          <w:bCs/>
          <w:i/>
          <w:iCs/>
        </w:rPr>
        <w:t xml:space="preserve"> </w:t>
      </w:r>
    </w:p>
    <w:p w14:paraId="045BC411" w14:textId="77777777" w:rsidR="00972DC4" w:rsidRPr="00972DC4" w:rsidRDefault="00972DC4" w:rsidP="00CA22CD">
      <w:pPr>
        <w:spacing w:before="120"/>
        <w:ind w:left="360"/>
        <w:rPr>
          <w:rFonts w:eastAsia="Calibri" w:cs="Arial"/>
          <w:bCs/>
        </w:rPr>
      </w:pPr>
      <w:r w:rsidRPr="00972DC4">
        <w:rPr>
          <w:rFonts w:eastAsia="Calibri" w:cs="Arial"/>
          <w:bCs/>
        </w:rPr>
        <w:t>The agricultural sector's contribution to North Macedonia's gross value added decreased from 10.2% to 8.1% between 2014 and 2019, as other industries experienced more robust growth. However, combined with the processing industry, including beverages and tobacco, the sector still accounts for 12% of the country's Gross Domestic Product and some 22% of total employment, making it the third largest contributor after industry and services. During the same period, the Macedonian agricultural production and food industry recorded a continuous, gradual increase in competitiveness in foreign markets, with an increase in the value of exports of agri-food products by 28%. In 2020, 637 businesses were registered as food operators or processors of agricultural products, plant and animal-origin food, and food distributors. Small and medium-sized enterprises (SMEs) make up most of these companies. The most significant segments of food processors are those that produce fruits and vegetables (29.8%), meat (17.7%), dairy products (12.9%), and wine (11.9%). Of the total number of approved food operators from animal origin, 25 establishments are approved for export to the EU, including six slaughterhouses for sheep and cattle, three meat processing facilities, six egg calibrating and packaging facilities, two fish product facilities, and one snail processing facility. Still, the sector’s development is hampered by many challenges, including, but not limited to, agricultural land fragmentation, limited access to productive assets (such as infrastructure, land, water, energy, knowledge, and financial services), weak value chains, and high vulnerability to climate change.</w:t>
      </w:r>
    </w:p>
    <w:p w14:paraId="4F7D61D1" w14:textId="2080BD04" w:rsidR="00972DC4" w:rsidRPr="00972DC4" w:rsidRDefault="00972DC4" w:rsidP="00CA22CD">
      <w:pPr>
        <w:spacing w:before="120"/>
        <w:ind w:left="360"/>
        <w:rPr>
          <w:rFonts w:eastAsia="Calibri" w:cs="Arial"/>
          <w:bCs/>
        </w:rPr>
      </w:pPr>
      <w:r w:rsidRPr="00972DC4">
        <w:rPr>
          <w:rFonts w:eastAsia="Calibri" w:cs="Arial"/>
          <w:bCs/>
        </w:rPr>
        <w:t xml:space="preserve">The </w:t>
      </w:r>
      <w:r w:rsidRPr="00972DC4">
        <w:rPr>
          <w:rFonts w:eastAsia="Calibri" w:cs="Arial"/>
          <w:bCs/>
          <w:i/>
          <w:iCs/>
        </w:rPr>
        <w:t>organic farming</w:t>
      </w:r>
      <w:r w:rsidRPr="00972DC4">
        <w:rPr>
          <w:rFonts w:eastAsia="Calibri" w:cs="Arial"/>
          <w:bCs/>
        </w:rPr>
        <w:t xml:space="preserve"> sector is growing in North Macedonia. However, the number of certified organic or transitioning agriculture holdings is still relatively small, with only 847 registered in 2019 compared to the total number of agricultural holdings in the country. Despite increasing interest from farmers, the number of certified organic agriculture holdings, including processors and traders, has only doubled since 2014. Organic production in North Macedonia is primarily exported, as the domestic market is still developing and has limited demand. However, there is a growing international demand for organic products, including essential oils, herbs, spices, fruits, vegetables and honey. The supply of processed organic products is minimal, and there is limited collaboration between organic farmers and processors. The largest share in organic crop production goes to forage (25,52%), followed by grains (16,81%), fruit (12,67%), fresh vegetables (7,31%) and grapes (2,69%). Increased share in the total organic production in </w:t>
      </w:r>
      <w:r w:rsidRPr="00972DC4">
        <w:rPr>
          <w:rFonts w:eastAsia="Calibri" w:cs="Arial"/>
          <w:bCs/>
        </w:rPr>
        <w:lastRenderedPageBreak/>
        <w:t>the last years is observed for aromatic/medical herbs (8,71%). In livestock production, the leading sector is sheep breeding (52% of certified organic livestock producers). The share of organic goat and cattle breeding is 23-25% each. A lack or expensive organic feed impedes organic livestock production. The sheep breeding practices are mainly nomadic on “clean” mountainous pastures; this sector is much “easier” to be certified as organic.</w:t>
      </w:r>
    </w:p>
    <w:p w14:paraId="181E7E1F" w14:textId="56042194" w:rsidR="00972DC4" w:rsidRPr="00972DC4" w:rsidRDefault="00972DC4" w:rsidP="00CA22CD">
      <w:pPr>
        <w:spacing w:before="120"/>
        <w:ind w:left="360"/>
        <w:rPr>
          <w:rFonts w:eastAsia="Calibri" w:cs="Arial"/>
          <w:bCs/>
        </w:rPr>
      </w:pPr>
      <w:r w:rsidRPr="00972DC4">
        <w:rPr>
          <w:rFonts w:eastAsia="Calibri" w:cs="Arial"/>
          <w:bCs/>
        </w:rPr>
        <w:t xml:space="preserve">As to the control system of organic production in the country, there are two certification bodies (Balkan Biosert and Pro-Cert); authorised by MAFWE for control and certification in organic production. The control bodies conduct expert management and accreditation in line with the MKC EN 45011 (General requirements for bodies working with product certification systems). The confirmation that </w:t>
      </w:r>
      <w:r w:rsidR="00842D00" w:rsidRPr="00972DC4">
        <w:rPr>
          <w:rFonts w:eastAsia="Calibri" w:cs="Arial"/>
          <w:bCs/>
        </w:rPr>
        <w:t>controls</w:t>
      </w:r>
      <w:r w:rsidRPr="00972DC4">
        <w:rPr>
          <w:rFonts w:eastAsia="Calibri" w:cs="Arial"/>
          <w:bCs/>
        </w:rPr>
        <w:t xml:space="preserve"> and certification bodies work by this standard is provided by the Institute of Accreditation of the Republic of North Macedonia (IARNM) as a result of the process of accreditation. IARNM is a full member of the European co-operation for Accreditation (EA), and in 2012 it signed the Mutual Recognition Agreement of Accreditation Certificates (EA-MLA) with the European cooperation for Accreditation. </w:t>
      </w:r>
    </w:p>
    <w:p w14:paraId="64D93404" w14:textId="77777777" w:rsidR="00972DC4" w:rsidRPr="00972DC4" w:rsidRDefault="00972DC4" w:rsidP="00CA22CD">
      <w:pPr>
        <w:spacing w:before="120"/>
        <w:ind w:left="360"/>
        <w:rPr>
          <w:rFonts w:eastAsia="Calibri" w:cs="Arial"/>
          <w:b/>
          <w:bCs/>
        </w:rPr>
      </w:pPr>
      <w:r w:rsidRPr="00972DC4">
        <w:rPr>
          <w:rFonts w:eastAsia="Calibri" w:cs="Arial"/>
          <w:bCs/>
        </w:rPr>
        <w:t>Growing awareness of the consumers and a continuous increase in the demand for organic food will contribute to an inevitable rise in the supply of certified organic products. Low consumer income and high trade margins imposed by the retail network make organic products available only to a high-income category of consumers. There are significant weaknesses to be noted, and they largely remain a barrier to more intensive development of organic plant production: 1) A low supply of input materials for plant production at the domestic market, including seeds and seedlings and protection products, 2) The absence of animal feed and veterinary medicines appropriate for organic livestock farming causes less development of certified organic meat and dairy products. 3) The lack of consistent promotion of the benefits of organic products for the environment and human health leads to low consumer awareness and understanding of these products. 4) The inadequate education and organisation of organic farmers at local and national levels.</w:t>
      </w:r>
    </w:p>
    <w:p w14:paraId="7BAD659A" w14:textId="77777777" w:rsidR="00972DC4" w:rsidRPr="00922BB5" w:rsidRDefault="00972DC4" w:rsidP="00CA22CD">
      <w:pPr>
        <w:pStyle w:val="Heading1"/>
        <w:numPr>
          <w:ilvl w:val="0"/>
          <w:numId w:val="0"/>
        </w:numPr>
        <w:spacing w:after="0"/>
        <w:ind w:left="360"/>
        <w:rPr>
          <w:b w:val="0"/>
          <w:bCs/>
          <w:i/>
          <w:iCs/>
        </w:rPr>
      </w:pPr>
      <w:r w:rsidRPr="00922BB5">
        <w:rPr>
          <w:b w:val="0"/>
          <w:bCs/>
          <w:i/>
          <w:iCs/>
        </w:rPr>
        <w:t>Veterinary and food safety system</w:t>
      </w:r>
    </w:p>
    <w:p w14:paraId="461FB137" w14:textId="77777777" w:rsidR="00972DC4" w:rsidRPr="00972DC4" w:rsidRDefault="00972DC4" w:rsidP="00CA22CD">
      <w:pPr>
        <w:spacing w:before="120"/>
        <w:ind w:left="360"/>
        <w:rPr>
          <w:rFonts w:eastAsia="Calibri" w:cs="Arial"/>
        </w:rPr>
      </w:pPr>
      <w:r w:rsidRPr="00972DC4">
        <w:rPr>
          <w:rFonts w:eastAsia="Calibri" w:cs="Arial"/>
        </w:rPr>
        <w:t xml:space="preserve">The free movement of food products within the EU is one of the founding factors of the single market and represents the core of the establishment of the harmonized EU rules, guaranteed uniform protection of the consumers. All food products originating from North Macedonian is to be part of the EU internal market. Favourable animal health status aligned with the EU MS provides safe trade with other parts of the EU internal market. By achieving equivalent response preparedness in animal health sector, North Macedonia will be able to benefit from intra union trade to its full potential. Animal diseases are highly contagious, and they can spread easily across borders, through the movement of farm animals and products thereof, through the movement of wild animals or spread by vectors. </w:t>
      </w:r>
    </w:p>
    <w:p w14:paraId="48DE76F4" w14:textId="77777777" w:rsidR="00972DC4" w:rsidRPr="00972DC4" w:rsidRDefault="00972DC4" w:rsidP="00CA22CD">
      <w:pPr>
        <w:spacing w:before="120"/>
        <w:ind w:left="360"/>
        <w:rPr>
          <w:rFonts w:eastAsia="Calibri" w:cs="Arial"/>
        </w:rPr>
      </w:pPr>
      <w:r w:rsidRPr="00972DC4">
        <w:rPr>
          <w:rFonts w:eastAsia="Calibri" w:cs="Arial"/>
        </w:rPr>
        <w:t>The control of these diseases, as the EU experience has shown, can only be dealt with a sustainable animal health system and applied measures closely integrated and based on the assessed risks.</w:t>
      </w:r>
    </w:p>
    <w:p w14:paraId="19863EAB" w14:textId="77777777" w:rsidR="00972DC4" w:rsidRPr="00972DC4" w:rsidRDefault="00972DC4" w:rsidP="00CA22CD">
      <w:pPr>
        <w:spacing w:before="120"/>
        <w:ind w:left="360"/>
        <w:rPr>
          <w:rFonts w:eastAsia="Calibri" w:cs="Arial"/>
        </w:rPr>
      </w:pPr>
      <w:r w:rsidRPr="00972DC4">
        <w:rPr>
          <w:rFonts w:eastAsia="Calibri" w:cs="Arial"/>
        </w:rPr>
        <w:t>The Food Safety Strategy 2021-2025 ensures the consistency of the national food safety policy and the strategy with the EU requirements, and the international organisation standards (WTO, WAHIS and Codex Alimentarius). The Strategy establishes sustainable and self-sufficient system for food safety, food security and food defence, and it is based on the following principles: 1. Coverage of the complete food chain from primary production to the final consumer, “from field to table”; 2. Effective implementation of EU acts regulating the food safety; 3. Application of the principles of risk analysis and risk management; 4. The priority of the greatest health risks; and 6. Establishment of a system to ensure safety security of food.</w:t>
      </w:r>
    </w:p>
    <w:p w14:paraId="4E1ED94C" w14:textId="77777777" w:rsidR="00972DC4" w:rsidRPr="00972DC4" w:rsidRDefault="00972DC4" w:rsidP="00CA22CD">
      <w:pPr>
        <w:spacing w:before="120"/>
        <w:ind w:left="360"/>
        <w:rPr>
          <w:rFonts w:eastAsia="Calibri" w:cs="Arial"/>
        </w:rPr>
      </w:pPr>
      <w:r w:rsidRPr="00972DC4">
        <w:rPr>
          <w:rFonts w:eastAsia="Calibri" w:cs="Arial"/>
        </w:rPr>
        <w:t xml:space="preserve">The Action considers the priorities established in the National Programme for the Adoption of the Acquis (NPAA), as regards food safety and veterinary policy prioritization of harmonization of the EU legislation. </w:t>
      </w:r>
    </w:p>
    <w:p w14:paraId="108314C6" w14:textId="77777777" w:rsidR="00972DC4" w:rsidRPr="00951416" w:rsidRDefault="00972DC4" w:rsidP="00CA22CD">
      <w:pPr>
        <w:pStyle w:val="Heading1"/>
        <w:numPr>
          <w:ilvl w:val="0"/>
          <w:numId w:val="0"/>
        </w:numPr>
        <w:spacing w:after="0"/>
        <w:ind w:left="360"/>
        <w:rPr>
          <w:b w:val="0"/>
          <w:bCs/>
          <w:i/>
          <w:iCs/>
        </w:rPr>
      </w:pPr>
      <w:r w:rsidRPr="00951416">
        <w:rPr>
          <w:b w:val="0"/>
          <w:bCs/>
          <w:i/>
          <w:iCs/>
        </w:rPr>
        <w:t>Phytosanitary system</w:t>
      </w:r>
    </w:p>
    <w:p w14:paraId="0FC0B371" w14:textId="77777777" w:rsidR="00972DC4" w:rsidRPr="00972DC4" w:rsidRDefault="00972DC4" w:rsidP="00CA22CD">
      <w:pPr>
        <w:spacing w:before="120"/>
        <w:ind w:left="360"/>
        <w:rPr>
          <w:rFonts w:eastAsia="Calibri" w:cs="Arial"/>
          <w:bCs/>
        </w:rPr>
      </w:pPr>
      <w:r w:rsidRPr="00972DC4">
        <w:rPr>
          <w:rFonts w:eastAsia="Calibri" w:cs="Arial"/>
        </w:rPr>
        <w:t xml:space="preserve">Plant health is important for plant production, forests, natural and planted areas, natural ecosystems, ecosystem services and biodiversity in the </w:t>
      </w:r>
      <w:r w:rsidRPr="00972DC4">
        <w:rPr>
          <w:rFonts w:eastAsia="Calibri" w:cs="Arial"/>
          <w:bCs/>
        </w:rPr>
        <w:t>country</w:t>
      </w:r>
      <w:r w:rsidRPr="00972DC4">
        <w:rPr>
          <w:rFonts w:eastAsia="Calibri" w:cs="Arial"/>
        </w:rPr>
        <w:t xml:space="preserve">. It is threatened by plant pests which present a greater risk of being introduced into the country owing to globalisation of trade and climate change. The need for </w:t>
      </w:r>
      <w:r w:rsidRPr="00972DC4">
        <w:rPr>
          <w:rFonts w:eastAsia="Calibri" w:cs="Arial"/>
        </w:rPr>
        <w:lastRenderedPageBreak/>
        <w:t>a strong plant health sector has been recognised and has been also a subject of international agreements and international conventions, including the International Plant Protection Convention (IPPC).</w:t>
      </w:r>
    </w:p>
    <w:p w14:paraId="6EB0C2C6" w14:textId="77777777" w:rsidR="00972DC4" w:rsidRPr="00972DC4" w:rsidRDefault="00972DC4" w:rsidP="00CA22CD">
      <w:pPr>
        <w:spacing w:before="120"/>
        <w:ind w:left="360"/>
        <w:rPr>
          <w:rFonts w:eastAsia="Calibri" w:cs="Arial"/>
        </w:rPr>
      </w:pPr>
      <w:r w:rsidRPr="00972DC4">
        <w:rPr>
          <w:rFonts w:eastAsia="Calibri" w:cs="Arial"/>
        </w:rPr>
        <w:t>Achieving safe, sustainable, climate responsible, and affordable production of food, respecting sustainability principles, the environment, safeguarding biodiversity and ecosystems, while ensuring food security, is of great concern for citizens and relevant stakeholders.</w:t>
      </w:r>
    </w:p>
    <w:p w14:paraId="0E2D2623" w14:textId="0E79652A" w:rsidR="00972DC4" w:rsidRPr="00951416" w:rsidRDefault="00972DC4" w:rsidP="00CA22CD">
      <w:pPr>
        <w:pStyle w:val="Heading1"/>
        <w:numPr>
          <w:ilvl w:val="0"/>
          <w:numId w:val="0"/>
        </w:numPr>
        <w:spacing w:after="0"/>
        <w:ind w:left="360"/>
        <w:rPr>
          <w:b w:val="0"/>
          <w:bCs/>
          <w:i/>
          <w:iCs/>
          <w:lang w:val="en-IE"/>
        </w:rPr>
      </w:pPr>
      <w:r w:rsidRPr="00951416">
        <w:rPr>
          <w:b w:val="0"/>
          <w:bCs/>
          <w:i/>
          <w:iCs/>
          <w:lang w:val="en-IE"/>
        </w:rPr>
        <w:t xml:space="preserve">Illegal, </w:t>
      </w:r>
      <w:r w:rsidR="00951416" w:rsidRPr="00951416">
        <w:rPr>
          <w:b w:val="0"/>
          <w:bCs/>
          <w:i/>
          <w:iCs/>
          <w:lang w:val="en-IE"/>
        </w:rPr>
        <w:t>unreported,</w:t>
      </w:r>
      <w:r w:rsidRPr="00951416">
        <w:rPr>
          <w:b w:val="0"/>
          <w:bCs/>
          <w:i/>
          <w:iCs/>
          <w:lang w:val="en-IE"/>
        </w:rPr>
        <w:t xml:space="preserve"> and unregulated fishing</w:t>
      </w:r>
    </w:p>
    <w:p w14:paraId="43E1958B" w14:textId="77777777" w:rsidR="007F335A" w:rsidRDefault="007F335A" w:rsidP="00CA22CD">
      <w:pPr>
        <w:pStyle w:val="yiv2591320583msonormal"/>
        <w:shd w:val="clear" w:color="auto" w:fill="FFFFFF"/>
        <w:spacing w:before="120" w:beforeAutospacing="0" w:after="0" w:afterAutospacing="0"/>
        <w:ind w:left="360"/>
        <w:jc w:val="both"/>
        <w:rPr>
          <w:rFonts w:eastAsia="Calibri" w:cs="Arial"/>
          <w:szCs w:val="22"/>
          <w:lang w:val="en-GB" w:eastAsia="en-US"/>
        </w:rPr>
      </w:pPr>
      <w:r w:rsidRPr="007F335A">
        <w:rPr>
          <w:rFonts w:eastAsia="Calibri" w:cs="Arial"/>
          <w:szCs w:val="22"/>
          <w:lang w:val="en-GB" w:eastAsia="en-US"/>
        </w:rPr>
        <w:t>North Macedonia being a land-locked country has neither marine fisheries activity nor fishing vessels operating at sea under the North Macedonia flag, therefore substantial parts of the acquis within Chapter 13 Fisheries are not applicable. </w:t>
      </w:r>
    </w:p>
    <w:p w14:paraId="12716F51" w14:textId="71D65AF3" w:rsidR="007F335A" w:rsidRPr="007F335A" w:rsidRDefault="007F335A" w:rsidP="00CA22CD">
      <w:pPr>
        <w:pStyle w:val="yiv2591320583msonormal"/>
        <w:shd w:val="clear" w:color="auto" w:fill="FFFFFF"/>
        <w:spacing w:before="120" w:beforeAutospacing="0" w:after="0" w:afterAutospacing="0"/>
        <w:ind w:left="360"/>
        <w:jc w:val="both"/>
        <w:rPr>
          <w:rFonts w:eastAsia="Calibri" w:cs="Arial"/>
          <w:szCs w:val="22"/>
          <w:lang w:val="en-GB" w:eastAsia="en-US"/>
        </w:rPr>
      </w:pPr>
      <w:r w:rsidRPr="007F335A">
        <w:rPr>
          <w:rFonts w:eastAsia="Calibri" w:cs="Arial"/>
          <w:szCs w:val="22"/>
          <w:lang w:val="en-GB" w:eastAsia="en-US"/>
        </w:rPr>
        <w:t>Although, the acquis in the Chapter 13 Fisheries consists of regulations, which do not require transposition into national legislation, still it requires the introduction of measures to prepare the administration and the operators for the implementation of the Common Fisheries Policy (CFP) rules. Certain measures will however need to be implemented and national legislation adapted to ensure the correct application of the acquis. Regarding EU requirements in relation of control illegal, unreported, and unregulated (IUU) fishing regulations as a common objective should be implemented. Furthermore, engage the country in fight against IUU, as an importer of fish and fishery products is of importance for EU and marine fishery activities as well.   </w:t>
      </w:r>
    </w:p>
    <w:p w14:paraId="69CF7770" w14:textId="77777777" w:rsidR="00972DC4" w:rsidRPr="00951416" w:rsidRDefault="00972DC4" w:rsidP="00CA22CD">
      <w:pPr>
        <w:pStyle w:val="Heading1"/>
        <w:numPr>
          <w:ilvl w:val="0"/>
          <w:numId w:val="0"/>
        </w:numPr>
        <w:spacing w:after="0"/>
        <w:ind w:left="360"/>
        <w:rPr>
          <w:b w:val="0"/>
          <w:bCs/>
          <w:i/>
          <w:iCs/>
        </w:rPr>
      </w:pPr>
      <w:r w:rsidRPr="00951416">
        <w:rPr>
          <w:b w:val="0"/>
          <w:bCs/>
          <w:i/>
          <w:iCs/>
        </w:rPr>
        <w:t>AFSARD – Agency for financial support of Agriculture and Rural development</w:t>
      </w:r>
    </w:p>
    <w:p w14:paraId="5725F44E" w14:textId="77777777" w:rsidR="00972DC4" w:rsidRPr="00972DC4" w:rsidRDefault="00972DC4" w:rsidP="00CA22CD">
      <w:pPr>
        <w:spacing w:before="120"/>
        <w:ind w:left="360"/>
        <w:rPr>
          <w:rFonts w:eastAsia="Calibri" w:cs="Arial"/>
        </w:rPr>
      </w:pPr>
      <w:r w:rsidRPr="00972DC4">
        <w:rPr>
          <w:rFonts w:eastAsia="Calibri" w:cs="Arial"/>
        </w:rPr>
        <w:t>With the start of the IPARD program, 20% of the total value of the instrument for pre-accession support was used within IPARD 1 (2007-2013), while 98% of the total value of the program was used within the IPARD 2 program. (2014-2020).</w:t>
      </w:r>
    </w:p>
    <w:p w14:paraId="661A2E66" w14:textId="523EA3FC" w:rsidR="00972DC4" w:rsidRPr="00972DC4" w:rsidRDefault="00972DC4" w:rsidP="00CA22CD">
      <w:pPr>
        <w:spacing w:before="120"/>
        <w:ind w:left="360"/>
        <w:rPr>
          <w:rFonts w:eastAsia="Calibri" w:cs="Arial"/>
        </w:rPr>
      </w:pPr>
      <w:r w:rsidRPr="00972DC4">
        <w:rPr>
          <w:rFonts w:eastAsia="Calibri" w:cs="Arial"/>
        </w:rPr>
        <w:t>With the implementation of IPARD 2, a significant increase in the utilization of funds has been observed, which is  result of: implementation of the measures for direct payments in the agriculture through constant allocation of financial support to the agricultural holdings, implementation of the rural development measures, implementation of fisheries and aquaculture measures, implementation of state aid measures in agriculture, increasing the quality of services to the Final Beneficiaries as well as increasing their satisfaction by fulfilling their requirements and expectations enabling financial assistance for rural development in rural areas in the Republic of North Macedonia, and thereby improving the living standards of the population in those areas and development of the municipalities.</w:t>
      </w:r>
    </w:p>
    <w:p w14:paraId="3AA840F7" w14:textId="1572E5A2" w:rsidR="00972DC4" w:rsidRDefault="00972DC4" w:rsidP="00CA22CD">
      <w:pPr>
        <w:spacing w:before="120"/>
        <w:ind w:left="360"/>
        <w:rPr>
          <w:rFonts w:eastAsia="Calibri" w:cs="Arial"/>
        </w:rPr>
      </w:pPr>
      <w:r w:rsidRPr="00972DC4">
        <w:rPr>
          <w:rFonts w:eastAsia="Calibri" w:cs="Arial"/>
        </w:rPr>
        <w:t>The overall operation of AFPZRR produces value that improves the standard of living of the population in rural areas. Following the growth trend, the IPARD 3 fund has increased in contrast to IPARD 2 by 60%, i.e. IPARD 3 is 97 million euros.</w:t>
      </w:r>
    </w:p>
    <w:p w14:paraId="6B67D925" w14:textId="1313ADE6" w:rsidR="00BA5316" w:rsidRPr="00951416" w:rsidRDefault="00B6755D" w:rsidP="00CA22CD">
      <w:pPr>
        <w:pStyle w:val="Heading1"/>
        <w:numPr>
          <w:ilvl w:val="0"/>
          <w:numId w:val="0"/>
        </w:numPr>
        <w:spacing w:after="0"/>
        <w:ind w:left="360"/>
        <w:rPr>
          <w:u w:val="single"/>
        </w:rPr>
      </w:pPr>
      <w:r w:rsidRPr="00951416">
        <w:rPr>
          <w:u w:val="single"/>
        </w:rPr>
        <w:t>Relevant n</w:t>
      </w:r>
      <w:r w:rsidR="00BA5316" w:rsidRPr="00951416">
        <w:rPr>
          <w:u w:val="single"/>
        </w:rPr>
        <w:t xml:space="preserve">ational strategies </w:t>
      </w:r>
      <w:r w:rsidRPr="00951416">
        <w:rPr>
          <w:iCs/>
          <w:u w:val="single"/>
        </w:rPr>
        <w:t xml:space="preserve">in the area of support #2 </w:t>
      </w:r>
    </w:p>
    <w:p w14:paraId="773261AD" w14:textId="486F684C" w:rsidR="00BA5316" w:rsidRPr="00B6755D" w:rsidRDefault="00BA5316" w:rsidP="00CA22CD">
      <w:pPr>
        <w:spacing w:before="120"/>
        <w:ind w:left="360"/>
        <w:rPr>
          <w:rFonts w:eastAsia="Calibri" w:cs="Arial"/>
          <w:iCs/>
        </w:rPr>
      </w:pPr>
      <w:r w:rsidRPr="00972DC4">
        <w:rPr>
          <w:rFonts w:eastAsia="Calibri" w:cs="Arial"/>
          <w:iCs/>
        </w:rPr>
        <w:t xml:space="preserve">The Action will support the implementation of the </w:t>
      </w:r>
      <w:r w:rsidRPr="00B6755D">
        <w:rPr>
          <w:rFonts w:eastAsia="Calibri" w:cs="Arial"/>
          <w:iCs/>
        </w:rPr>
        <w:t xml:space="preserve">following national strategies:  </w:t>
      </w:r>
    </w:p>
    <w:p w14:paraId="62DA2CBF" w14:textId="77777777" w:rsidR="00BA5316" w:rsidRPr="00972DC4" w:rsidRDefault="00BA5316" w:rsidP="00CA22CD">
      <w:pPr>
        <w:numPr>
          <w:ilvl w:val="0"/>
          <w:numId w:val="28"/>
        </w:numPr>
        <w:spacing w:before="120"/>
        <w:ind w:left="1080"/>
        <w:rPr>
          <w:rFonts w:eastAsia="Calibri" w:cs="Arial"/>
          <w:b/>
          <w:bCs/>
          <w:iCs/>
        </w:rPr>
      </w:pPr>
      <w:r w:rsidRPr="00972DC4">
        <w:rPr>
          <w:rFonts w:eastAsia="Calibri" w:cs="Arial"/>
          <w:iCs/>
        </w:rPr>
        <w:t xml:space="preserve">The </w:t>
      </w:r>
      <w:r w:rsidRPr="00972DC4">
        <w:rPr>
          <w:rFonts w:eastAsia="Calibri" w:cs="Arial"/>
          <w:b/>
          <w:bCs/>
          <w:iCs/>
        </w:rPr>
        <w:t>National Strategy for Agriculture and Rural Development (NARDS) 2021-2027</w:t>
      </w:r>
      <w:r w:rsidRPr="00972DC4">
        <w:rPr>
          <w:rFonts w:eastAsia="Calibri" w:cs="Arial"/>
          <w:iCs/>
        </w:rPr>
        <w:t>, which aims to increase the international competitiveness of North Macedonian’s agricultural production and agri-food industry and securing sustainable development of rural areas. The Strategy has specific objectives related to the market regulation, organisation of the food chain and improving the quality of agricultural product, and the modernisation of the agri-food sector.</w:t>
      </w:r>
    </w:p>
    <w:p w14:paraId="66F381D0" w14:textId="77777777" w:rsidR="00BA5316" w:rsidRPr="00972DC4" w:rsidRDefault="00BA5316" w:rsidP="00CA22CD">
      <w:pPr>
        <w:numPr>
          <w:ilvl w:val="0"/>
          <w:numId w:val="28"/>
        </w:numPr>
        <w:spacing w:before="120"/>
        <w:ind w:left="1080"/>
        <w:rPr>
          <w:rFonts w:eastAsia="Calibri" w:cs="Arial"/>
          <w:b/>
          <w:bCs/>
          <w:iCs/>
        </w:rPr>
      </w:pPr>
      <w:r w:rsidRPr="00972DC4">
        <w:rPr>
          <w:rFonts w:eastAsia="Calibri" w:cs="Arial"/>
          <w:iCs/>
        </w:rPr>
        <w:t xml:space="preserve">The </w:t>
      </w:r>
      <w:r w:rsidRPr="00972DC4">
        <w:rPr>
          <w:rFonts w:eastAsia="Calibri" w:cs="Arial"/>
          <w:b/>
          <w:bCs/>
          <w:iCs/>
        </w:rPr>
        <w:t>IPARD Rural Development Programme 2021-2027</w:t>
      </w:r>
      <w:r w:rsidRPr="00972DC4">
        <w:rPr>
          <w:rFonts w:eastAsia="Calibri" w:cs="Arial"/>
          <w:iCs/>
        </w:rPr>
        <w:t>, which aims to enhance farm viability and competitiveness of all type of agriculture and primary food-processing, while progressively aligning with the Union standards/developing human and physical capital; restoring, preserving, and enhancing ecosystems dependent on agriculture, fishery, and forestry; promoting balanced territorial development in rural areas; and transfer of knowledge and innovation in agriculture, forestry, and rural areas.</w:t>
      </w:r>
    </w:p>
    <w:p w14:paraId="26C7EE04" w14:textId="77777777" w:rsidR="00BA5316" w:rsidRPr="00972DC4" w:rsidRDefault="00BA5316" w:rsidP="00CA22CD">
      <w:pPr>
        <w:numPr>
          <w:ilvl w:val="0"/>
          <w:numId w:val="28"/>
        </w:numPr>
        <w:spacing w:before="120"/>
        <w:ind w:left="1080"/>
        <w:rPr>
          <w:rFonts w:eastAsia="Calibri" w:cs="Arial"/>
          <w:b/>
          <w:bCs/>
          <w:iCs/>
        </w:rPr>
      </w:pPr>
      <w:r w:rsidRPr="00972DC4">
        <w:rPr>
          <w:rFonts w:eastAsia="Calibri" w:cs="Arial"/>
          <w:iCs/>
        </w:rPr>
        <w:t>The</w:t>
      </w:r>
      <w:r w:rsidRPr="00972DC4">
        <w:rPr>
          <w:rFonts w:eastAsia="Calibri" w:cs="Arial"/>
          <w:b/>
          <w:bCs/>
          <w:iCs/>
        </w:rPr>
        <w:t xml:space="preserve"> Food Safety Strategy 2021-2025 </w:t>
      </w:r>
      <w:r w:rsidRPr="00972DC4">
        <w:rPr>
          <w:rFonts w:eastAsia="Calibri" w:cs="Arial"/>
          <w:iCs/>
        </w:rPr>
        <w:t xml:space="preserve">that ensures the consistency of the national food safety policy and the strategy with the requirements of the EU, and the international organisation </w:t>
      </w:r>
      <w:r w:rsidRPr="00972DC4">
        <w:rPr>
          <w:rFonts w:eastAsia="Calibri" w:cs="Arial"/>
          <w:iCs/>
        </w:rPr>
        <w:lastRenderedPageBreak/>
        <w:t>standards (WTO, OIE and Codex Alimentarius). The Strategy establishes sustainable and self-sufficient system for food safety, food security and food defence, and it is based on the following principles: 1. Coverage of the complete food chain from primary production to the final consumer, “from field to table”; 2. Effective implementation of EU acts regulating the food safety; 3. Application of the principles of risk analysis and risk management; 4. The priority of the greatest health risks; and 6. Establishment of a system to ensure safety security of food.</w:t>
      </w:r>
    </w:p>
    <w:p w14:paraId="5F02E70B" w14:textId="77777777" w:rsidR="00BA5316" w:rsidRPr="00972DC4" w:rsidRDefault="00BA5316" w:rsidP="00CA22CD">
      <w:pPr>
        <w:numPr>
          <w:ilvl w:val="0"/>
          <w:numId w:val="28"/>
        </w:numPr>
        <w:spacing w:before="120"/>
        <w:ind w:left="1080"/>
        <w:rPr>
          <w:rFonts w:eastAsia="Calibri" w:cs="Arial"/>
          <w:iCs/>
        </w:rPr>
      </w:pPr>
      <w:r w:rsidRPr="00972DC4">
        <w:rPr>
          <w:rFonts w:eastAsia="Calibri" w:cs="Arial"/>
          <w:iCs/>
        </w:rPr>
        <w:t xml:space="preserve">The </w:t>
      </w:r>
      <w:r w:rsidRPr="00972DC4">
        <w:rPr>
          <w:rFonts w:eastAsia="Calibri" w:cs="Arial"/>
          <w:b/>
          <w:bCs/>
          <w:iCs/>
        </w:rPr>
        <w:t>Programme for Improvement of Fisheries and Aquaculture 2012-2024</w:t>
      </w:r>
      <w:r w:rsidRPr="00972DC4">
        <w:rPr>
          <w:rFonts w:eastAsia="Calibri" w:cs="Arial"/>
          <w:iCs/>
        </w:rPr>
        <w:t>, which most of activities are in relation with EU aquaculture requirements and criteria for high-quality, sustainability and consumer protection standards as well as environmental protection standards.</w:t>
      </w:r>
    </w:p>
    <w:p w14:paraId="0D6677CD" w14:textId="77777777" w:rsidR="00BA5316" w:rsidRPr="00972DC4" w:rsidRDefault="00BA5316" w:rsidP="00CA22CD">
      <w:pPr>
        <w:numPr>
          <w:ilvl w:val="0"/>
          <w:numId w:val="28"/>
        </w:numPr>
        <w:spacing w:before="120"/>
        <w:ind w:left="1080"/>
        <w:rPr>
          <w:rFonts w:eastAsia="Calibri" w:cs="Arial"/>
          <w:iCs/>
        </w:rPr>
      </w:pPr>
      <w:r w:rsidRPr="00972DC4">
        <w:rPr>
          <w:rFonts w:eastAsia="Calibri" w:cs="Arial"/>
          <w:iCs/>
        </w:rPr>
        <w:t xml:space="preserve">The </w:t>
      </w:r>
      <w:r w:rsidRPr="00972DC4">
        <w:rPr>
          <w:rFonts w:eastAsia="Calibri" w:cs="Arial"/>
          <w:b/>
          <w:bCs/>
          <w:iCs/>
        </w:rPr>
        <w:t>Strategy for Energy Development of North Macedonia until 2040.</w:t>
      </w:r>
      <w:r w:rsidRPr="00972DC4">
        <w:rPr>
          <w:rFonts w:eastAsia="Calibri" w:cs="Arial"/>
          <w:iCs/>
        </w:rPr>
        <w:t xml:space="preserve"> The Strategy provides the directions for development of the energy sector in the country, considering the energy policy trends at global and European level, and particularly in the framework of the Energy Community. Energy trends are emphasizing more ambitious transition towards low-carbon economy, with renewable energy sources (RES) and energy efficiency (EE) among the most important enablers transition.</w:t>
      </w:r>
    </w:p>
    <w:p w14:paraId="2F0EAF0B" w14:textId="77777777" w:rsidR="00BA5316" w:rsidRPr="00972DC4" w:rsidRDefault="00BA5316" w:rsidP="00CA22CD">
      <w:pPr>
        <w:numPr>
          <w:ilvl w:val="0"/>
          <w:numId w:val="28"/>
        </w:numPr>
        <w:spacing w:before="120"/>
        <w:ind w:left="1080"/>
        <w:rPr>
          <w:rFonts w:eastAsia="Calibri" w:cs="Arial"/>
          <w:iCs/>
        </w:rPr>
      </w:pPr>
      <w:r w:rsidRPr="00972DC4">
        <w:rPr>
          <w:rFonts w:eastAsia="Calibri" w:cs="Arial"/>
          <w:iCs/>
        </w:rPr>
        <w:t xml:space="preserve">The </w:t>
      </w:r>
      <w:r w:rsidRPr="00972DC4">
        <w:rPr>
          <w:rFonts w:eastAsia="Calibri" w:cs="Arial"/>
          <w:b/>
          <w:bCs/>
          <w:iCs/>
        </w:rPr>
        <w:t>National Energy and Climate Plan 2021-2030</w:t>
      </w:r>
      <w:r w:rsidRPr="00972DC4">
        <w:rPr>
          <w:rFonts w:eastAsia="Calibri" w:cs="Arial"/>
          <w:iCs/>
        </w:rPr>
        <w:t>. The NECP takes a holistic approach and address the five main dimensions of the Energy Union in an integrated wate recognising the interactions between the different dimensions: decarbonisation (addressing two segments: greenhouse gas emissions and renewable energy sources), energy efficiency, security of energy supply, internal energy market, and research, innovation, and competitiveness.</w:t>
      </w:r>
    </w:p>
    <w:p w14:paraId="04FDE6AD" w14:textId="77777777" w:rsidR="007C3E5D" w:rsidRPr="003C0CD7" w:rsidRDefault="00174E00" w:rsidP="00CA22CD">
      <w:pPr>
        <w:pStyle w:val="Heading1"/>
        <w:numPr>
          <w:ilvl w:val="1"/>
          <w:numId w:val="1"/>
        </w:numPr>
        <w:spacing w:before="240"/>
        <w:ind w:left="1560" w:hanging="431"/>
        <w:rPr>
          <w:lang w:val="en-IE"/>
        </w:rPr>
      </w:pPr>
      <w:bookmarkStart w:id="114" w:name="_Toc69384691"/>
      <w:bookmarkStart w:id="115" w:name="_Toc69384822"/>
      <w:bookmarkStart w:id="116" w:name="_Toc69384951"/>
      <w:bookmarkStart w:id="117" w:name="_Toc69385079"/>
      <w:bookmarkStart w:id="118" w:name="_Toc69460827"/>
      <w:bookmarkStart w:id="119" w:name="_Toc69460954"/>
      <w:bookmarkStart w:id="120" w:name="_Toc73090738"/>
      <w:bookmarkStart w:id="121" w:name="_Toc47101945"/>
      <w:bookmarkStart w:id="122" w:name="_Toc51270440"/>
      <w:bookmarkStart w:id="123" w:name="_Ref58358106"/>
      <w:bookmarkEnd w:id="114"/>
      <w:bookmarkEnd w:id="115"/>
      <w:bookmarkEnd w:id="116"/>
      <w:bookmarkEnd w:id="117"/>
      <w:bookmarkEnd w:id="118"/>
      <w:bookmarkEnd w:id="119"/>
      <w:r w:rsidRPr="003C0CD7">
        <w:rPr>
          <w:lang w:val="en-IE"/>
        </w:rPr>
        <w:t>Problem A</w:t>
      </w:r>
      <w:r w:rsidR="00FD7FCD" w:rsidRPr="003C0CD7">
        <w:rPr>
          <w:lang w:val="en-IE"/>
        </w:rPr>
        <w:t>nalysis</w:t>
      </w:r>
      <w:bookmarkEnd w:id="120"/>
      <w:r w:rsidR="00FD7FCD" w:rsidRPr="003C0CD7">
        <w:rPr>
          <w:lang w:val="en-IE"/>
        </w:rPr>
        <w:t xml:space="preserve"> </w:t>
      </w:r>
      <w:bookmarkStart w:id="124" w:name="_Toc47101946"/>
      <w:bookmarkStart w:id="125" w:name="_Toc51270441"/>
      <w:bookmarkEnd w:id="121"/>
      <w:bookmarkEnd w:id="122"/>
      <w:bookmarkEnd w:id="123"/>
      <w:bookmarkEnd w:id="124"/>
      <w:bookmarkEnd w:id="125"/>
    </w:p>
    <w:p w14:paraId="131B981E" w14:textId="77777777" w:rsidR="00B55E1E" w:rsidRPr="00896980" w:rsidRDefault="00B55E1E" w:rsidP="00CA22CD">
      <w:pPr>
        <w:keepNext/>
        <w:keepLines/>
        <w:spacing w:before="120"/>
        <w:ind w:left="714" w:hanging="357"/>
        <w:outlineLvl w:val="0"/>
        <w:rPr>
          <w:rFonts w:eastAsia="Yu Gothic Light" w:cs="Times New Roman"/>
          <w:b/>
          <w:color w:val="1F4E79" w:themeColor="accent1" w:themeShade="80"/>
          <w:szCs w:val="32"/>
        </w:rPr>
      </w:pPr>
      <w:bookmarkStart w:id="126" w:name="_Hlk129297370"/>
      <w:r w:rsidRPr="00B55E1E">
        <w:rPr>
          <w:rFonts w:eastAsia="Yu Gothic Light" w:cs="Times New Roman"/>
          <w:b/>
          <w:color w:val="1F4E79" w:themeColor="accent1" w:themeShade="80"/>
          <w:szCs w:val="32"/>
        </w:rPr>
        <w:t xml:space="preserve">Area of support #1: Private sector development, trade, research and innovation </w:t>
      </w:r>
    </w:p>
    <w:p w14:paraId="31A4C3E6" w14:textId="295628D7" w:rsidR="00B55E1E" w:rsidRPr="00061F96" w:rsidRDefault="00320468" w:rsidP="00CA22CD">
      <w:pPr>
        <w:keepNext/>
        <w:keepLines/>
        <w:spacing w:before="120"/>
        <w:ind w:left="714" w:hanging="357"/>
        <w:outlineLvl w:val="0"/>
        <w:rPr>
          <w:rFonts w:eastAsia="Yu Gothic Light" w:cs="Times New Roman"/>
          <w:b/>
          <w:szCs w:val="32"/>
          <w:u w:val="single"/>
        </w:rPr>
      </w:pPr>
      <w:r w:rsidRPr="00061F96">
        <w:rPr>
          <w:rFonts w:eastAsia="Yu Gothic Light" w:cs="Times New Roman"/>
          <w:b/>
          <w:szCs w:val="32"/>
          <w:u w:val="single"/>
        </w:rPr>
        <w:t>Short problem analysis</w:t>
      </w:r>
    </w:p>
    <w:bookmarkEnd w:id="126"/>
    <w:p w14:paraId="24A78593" w14:textId="77777777" w:rsidR="00B55E1E" w:rsidRPr="00922BB5" w:rsidRDefault="00B55E1E" w:rsidP="00CA22CD">
      <w:pPr>
        <w:keepNext/>
        <w:keepLines/>
        <w:spacing w:before="120"/>
        <w:ind w:left="714" w:hanging="357"/>
        <w:outlineLvl w:val="0"/>
        <w:rPr>
          <w:rFonts w:eastAsia="Yu Gothic Light" w:cs="Times New Roman"/>
          <w:bCs/>
          <w:i/>
          <w:iCs/>
          <w:color w:val="0D0D0D"/>
          <w:szCs w:val="32"/>
        </w:rPr>
      </w:pPr>
      <w:r w:rsidRPr="00922BB5">
        <w:rPr>
          <w:rFonts w:eastAsia="Yu Gothic Light" w:cs="Times New Roman"/>
          <w:bCs/>
          <w:i/>
          <w:iCs/>
          <w:color w:val="0D0D0D"/>
          <w:szCs w:val="32"/>
        </w:rPr>
        <w:t>Services</w:t>
      </w:r>
    </w:p>
    <w:p w14:paraId="49BC279A" w14:textId="6E4CB033" w:rsidR="00B55E1E" w:rsidRPr="00EA2398" w:rsidRDefault="00B55E1E" w:rsidP="00CA22CD">
      <w:pPr>
        <w:autoSpaceDE w:val="0"/>
        <w:autoSpaceDN w:val="0"/>
        <w:adjustRightInd w:val="0"/>
        <w:spacing w:before="120"/>
        <w:ind w:left="357"/>
        <w:rPr>
          <w:rFonts w:eastAsia="Calibri" w:cs="Arial"/>
        </w:rPr>
      </w:pPr>
      <w:r w:rsidRPr="00EA2398">
        <w:rPr>
          <w:rFonts w:eastAsia="Calibri" w:cs="Arial"/>
        </w:rPr>
        <w:t>The Services Directive has been transposed in North Macedonia by the combination of a horizontal law</w:t>
      </w:r>
      <w:r w:rsidR="00BB37F9">
        <w:rPr>
          <w:rFonts w:eastAsia="Calibri" w:cs="Arial"/>
        </w:rPr>
        <w:t xml:space="preserve"> (</w:t>
      </w:r>
      <w:r w:rsidRPr="00EA2398">
        <w:rPr>
          <w:rFonts w:eastAsia="Calibri" w:cs="Arial"/>
        </w:rPr>
        <w:t>Law on Services, adopted in 2019 (Official Gazette 98/21.05.2019)</w:t>
      </w:r>
      <w:r w:rsidR="00BB37F9">
        <w:rPr>
          <w:rFonts w:eastAsia="Calibri" w:cs="Arial"/>
        </w:rPr>
        <w:t>)</w:t>
      </w:r>
      <w:r w:rsidRPr="00EA2398">
        <w:rPr>
          <w:rFonts w:eastAsia="Calibri" w:cs="Arial"/>
        </w:rPr>
        <w:t xml:space="preserve"> and sector-specific legislation</w:t>
      </w:r>
      <w:r w:rsidR="00B14F2A">
        <w:rPr>
          <w:rFonts w:eastAsia="Calibri" w:cs="Arial"/>
        </w:rPr>
        <w:t>s</w:t>
      </w:r>
      <w:r w:rsidRPr="00EA2398">
        <w:rPr>
          <w:rFonts w:eastAsia="Calibri" w:cs="Arial"/>
        </w:rPr>
        <w:t xml:space="preserve"> </w:t>
      </w:r>
      <w:r w:rsidR="00B14F2A">
        <w:rPr>
          <w:rFonts w:eastAsia="Calibri" w:cs="Arial"/>
        </w:rPr>
        <w:t>in line with the</w:t>
      </w:r>
      <w:r w:rsidRPr="00EA2398">
        <w:rPr>
          <w:rFonts w:eastAsia="Calibri" w:cs="Arial"/>
        </w:rPr>
        <w:t xml:space="preserve"> the National Action Plan for the compliance with the EU Services Directive, adopted in December 2020.</w:t>
      </w:r>
    </w:p>
    <w:p w14:paraId="5248188F" w14:textId="12A7F8E9" w:rsidR="00B55E1E" w:rsidRPr="00EA2398" w:rsidRDefault="00B55E1E" w:rsidP="00CA22CD">
      <w:pPr>
        <w:autoSpaceDE w:val="0"/>
        <w:autoSpaceDN w:val="0"/>
        <w:adjustRightInd w:val="0"/>
        <w:spacing w:before="120"/>
        <w:ind w:left="357"/>
        <w:rPr>
          <w:rFonts w:eastAsia="Calibri" w:cs="Arial"/>
        </w:rPr>
      </w:pPr>
      <w:r w:rsidRPr="00EA2398">
        <w:rPr>
          <w:rFonts w:eastAsia="Calibri" w:cs="Arial"/>
        </w:rPr>
        <w:t>The most recent screening, more than 450 legal acts were screened, whereas a total of 155 legal acts (55 laws and 105 by-laws) were identified as falling under the scope of Services Directive and the Law on Services</w:t>
      </w:r>
      <w:r w:rsidR="004022AA">
        <w:rPr>
          <w:rFonts w:eastAsia="Calibri" w:cs="Arial"/>
        </w:rPr>
        <w:t>.</w:t>
      </w:r>
      <w:r w:rsidRPr="00EA2398">
        <w:rPr>
          <w:rFonts w:eastAsia="Calibri" w:cs="Arial"/>
        </w:rPr>
        <w:t xml:space="preserve"> </w:t>
      </w:r>
    </w:p>
    <w:p w14:paraId="0C6BD783" w14:textId="77777777" w:rsidR="00922BB5" w:rsidRDefault="00B55E1E" w:rsidP="00CA22CD">
      <w:pPr>
        <w:spacing w:before="120"/>
        <w:ind w:left="357"/>
        <w:rPr>
          <w:rFonts w:eastAsia="Times New Roman" w:cs="Arial"/>
          <w:lang w:eastAsia="en-ZW"/>
        </w:rPr>
      </w:pPr>
      <w:r w:rsidRPr="00EA2398">
        <w:rPr>
          <w:rFonts w:eastAsia="Calibri" w:cs="Arial"/>
        </w:rPr>
        <w:t xml:space="preserve">This number of legislation in total regulates an impressive number of 475 services/professional activities, which are now subject of alignment measures with the Services Directive as provided in </w:t>
      </w:r>
      <w:r w:rsidR="005B710E">
        <w:rPr>
          <w:rFonts w:eastAsia="Calibri" w:cs="Arial"/>
        </w:rPr>
        <w:t xml:space="preserve">the new </w:t>
      </w:r>
      <w:r w:rsidRPr="00EA2398">
        <w:rPr>
          <w:rFonts w:eastAsia="Calibri" w:cs="Arial"/>
        </w:rPr>
        <w:t xml:space="preserve">Draft Action </w:t>
      </w:r>
      <w:r w:rsidRPr="00922BB5">
        <w:rPr>
          <w:rFonts w:eastAsia="Calibri" w:cs="Arial"/>
        </w:rPr>
        <w:t xml:space="preserve">Plan for Compliance with the Services Directive planned for adoption in 2023. Consequently, out of 155 national acts screened in total 72 legal acts (40 laws and 32 by-laws) will have to be amended aiming to </w:t>
      </w:r>
      <w:r w:rsidR="006C2509" w:rsidRPr="00922BB5">
        <w:rPr>
          <w:rFonts w:eastAsia="Calibri" w:cs="Arial"/>
        </w:rPr>
        <w:t xml:space="preserve">align them </w:t>
      </w:r>
      <w:r w:rsidRPr="00922BB5">
        <w:rPr>
          <w:rFonts w:eastAsia="Calibri" w:cs="Arial"/>
        </w:rPr>
        <w:t>with the articles of the Services Directive and the Law on Services.</w:t>
      </w:r>
      <w:r w:rsidR="006C2509" w:rsidRPr="00922BB5">
        <w:rPr>
          <w:rFonts w:eastAsia="Calibri" w:cs="Arial"/>
        </w:rPr>
        <w:t xml:space="preserve"> </w:t>
      </w:r>
      <w:r w:rsidR="00EF3CC9" w:rsidRPr="00922BB5">
        <w:rPr>
          <w:rFonts w:eastAsia="Calibri" w:cs="Arial"/>
        </w:rPr>
        <w:t xml:space="preserve">In </w:t>
      </w:r>
      <w:r w:rsidR="00267D2A" w:rsidRPr="00922BB5">
        <w:rPr>
          <w:rFonts w:eastAsia="Calibri" w:cs="Arial"/>
        </w:rPr>
        <w:t>accordance with the EC Progress report for</w:t>
      </w:r>
      <w:r w:rsidR="00EF3CC9" w:rsidRPr="00922BB5">
        <w:rPr>
          <w:rFonts w:eastAsia="Calibri" w:cs="Arial"/>
        </w:rPr>
        <w:t xml:space="preserve"> 2022</w:t>
      </w:r>
      <w:r w:rsidR="00267D2A" w:rsidRPr="00922BB5">
        <w:rPr>
          <w:rStyle w:val="FootnoteReference"/>
          <w:rFonts w:eastAsia="Calibri" w:cs="Arial"/>
        </w:rPr>
        <w:footnoteReference w:id="18"/>
      </w:r>
      <w:r w:rsidR="00EF3CC9" w:rsidRPr="00922BB5">
        <w:rPr>
          <w:rFonts w:eastAsia="Calibri" w:cs="Arial"/>
        </w:rPr>
        <w:t xml:space="preserve"> there were no developments to further harmonise with the EU acquis on recognition of professional qualifications. It was recommended by the EC to further align the national legislation with the EU acquis on postal services, including with the Postal Services Directive and with the Regulation on cross-border parcel delivery</w:t>
      </w:r>
      <w:r w:rsidR="009B0AA9" w:rsidRPr="00922BB5">
        <w:rPr>
          <w:rFonts w:eastAsia="Calibri" w:cs="Arial"/>
        </w:rPr>
        <w:t>. A</w:t>
      </w:r>
      <w:r w:rsidR="00EF3CC9" w:rsidRPr="00922BB5">
        <w:rPr>
          <w:rFonts w:eastAsia="Calibri" w:cs="Arial"/>
        </w:rPr>
        <w:t>lign the national legislation with the EU acquis, in particular on mutual recognition of professional qualifications and services.</w:t>
      </w:r>
      <w:r w:rsidR="00FB1EBC" w:rsidRPr="00922BB5">
        <w:rPr>
          <w:rFonts w:eastAsia="Times New Roman" w:cs="Arial"/>
          <w:lang w:eastAsia="en-ZW"/>
        </w:rPr>
        <w:t xml:space="preserve"> </w:t>
      </w:r>
    </w:p>
    <w:p w14:paraId="14B8CEEC" w14:textId="02137A22" w:rsidR="00B55E1E" w:rsidRPr="00922BB5" w:rsidRDefault="00FB1EBC" w:rsidP="00CA22CD">
      <w:pPr>
        <w:spacing w:before="120"/>
        <w:ind w:left="357"/>
        <w:rPr>
          <w:rFonts w:eastAsia="Calibri" w:cs="Arial"/>
          <w:highlight w:val="yellow"/>
        </w:rPr>
      </w:pPr>
      <w:r w:rsidRPr="00922BB5">
        <w:rPr>
          <w:rFonts w:eastAsia="Calibri" w:cs="Arial"/>
        </w:rPr>
        <w:t>Swiftly setting up a fully operational on-line ‘one-stop-shop’ system for all business-related permits and licences could have an additional positive impact on the business environment.</w:t>
      </w:r>
      <w:r w:rsidR="00922BB5" w:rsidRPr="00922BB5">
        <w:rPr>
          <w:rFonts w:eastAsia="Calibri" w:cs="Arial"/>
        </w:rPr>
        <w:t xml:space="preserve"> </w:t>
      </w:r>
      <w:r w:rsidR="00267D2A" w:rsidRPr="00922BB5">
        <w:rPr>
          <w:rFonts w:eastAsia="Calibri" w:cs="Arial"/>
        </w:rPr>
        <w:t>The</w:t>
      </w:r>
      <w:r w:rsidR="00377C7F" w:rsidRPr="00922BB5">
        <w:rPr>
          <w:rFonts w:eastAsia="Calibri" w:cs="Arial"/>
        </w:rPr>
        <w:t xml:space="preserve"> Point of Single Contact </w:t>
      </w:r>
      <w:r w:rsidR="00922BB5">
        <w:rPr>
          <w:rFonts w:eastAsia="Calibri" w:cs="Arial"/>
        </w:rPr>
        <w:t xml:space="preserve">(PSC) </w:t>
      </w:r>
      <w:r w:rsidR="00377C7F" w:rsidRPr="00922BB5">
        <w:rPr>
          <w:rFonts w:eastAsia="Calibri" w:cs="Arial"/>
        </w:rPr>
        <w:t>for services is available as an electronic platform and has been regularly updated.</w:t>
      </w:r>
      <w:r w:rsidR="00EF3CC9" w:rsidRPr="00922BB5">
        <w:rPr>
          <w:rFonts w:eastAsia="Calibri" w:cs="Arial"/>
        </w:rPr>
        <w:t xml:space="preserve"> However, it is </w:t>
      </w:r>
      <w:r w:rsidR="00EF3CC9" w:rsidRPr="00922BB5">
        <w:rPr>
          <w:rFonts w:eastAsia="Calibri" w:cs="Arial"/>
        </w:rPr>
        <w:lastRenderedPageBreak/>
        <w:t xml:space="preserve">required to </w:t>
      </w:r>
      <w:r w:rsidR="00377C7F" w:rsidRPr="00922BB5">
        <w:rPr>
          <w:rFonts w:eastAsia="Calibri" w:cs="Arial"/>
        </w:rPr>
        <w:t>increase the scope of information and online access to services available with the Point of Single Contact</w:t>
      </w:r>
      <w:r w:rsidR="00267D2A" w:rsidRPr="00922BB5">
        <w:rPr>
          <w:rFonts w:eastAsia="Calibri" w:cs="Arial"/>
        </w:rPr>
        <w:t>.</w:t>
      </w:r>
      <w:r w:rsidR="00922BB5" w:rsidRPr="00922BB5">
        <w:rPr>
          <w:rFonts w:eastAsia="Calibri" w:cs="Arial"/>
        </w:rPr>
        <w:t xml:space="preserve"> </w:t>
      </w:r>
      <w:r w:rsidR="00B55E1E" w:rsidRPr="00922BB5">
        <w:rPr>
          <w:rFonts w:eastAsia="Calibri" w:cs="Arial"/>
        </w:rPr>
        <w:t>Implementation of guidance and recommendation for PSC expected to be finalized by the end of 2023</w:t>
      </w:r>
      <w:r w:rsidR="008536FC" w:rsidRPr="00922BB5">
        <w:rPr>
          <w:rFonts w:eastAsia="Calibri" w:cs="Arial"/>
        </w:rPr>
        <w:t>.</w:t>
      </w:r>
    </w:p>
    <w:p w14:paraId="10E6E3B1" w14:textId="77777777" w:rsidR="00B55E1E" w:rsidRPr="00922BB5" w:rsidRDefault="00B55E1E" w:rsidP="00CA22CD">
      <w:pPr>
        <w:keepNext/>
        <w:keepLines/>
        <w:spacing w:before="120"/>
        <w:ind w:left="717" w:hanging="360"/>
        <w:outlineLvl w:val="0"/>
        <w:rPr>
          <w:rFonts w:eastAsia="Yu Gothic Light" w:cs="Times New Roman"/>
          <w:bCs/>
          <w:i/>
          <w:iCs/>
          <w:color w:val="0D0D0D"/>
          <w:szCs w:val="32"/>
          <w:lang w:eastAsia="en-ZW"/>
        </w:rPr>
      </w:pPr>
      <w:r w:rsidRPr="00922BB5">
        <w:rPr>
          <w:rFonts w:eastAsia="Yu Gothic Light" w:cs="Times New Roman"/>
          <w:bCs/>
          <w:i/>
          <w:iCs/>
          <w:color w:val="0D0D0D"/>
          <w:szCs w:val="32"/>
          <w:lang w:eastAsia="en-ZW"/>
        </w:rPr>
        <w:t xml:space="preserve">Market Surveillance </w:t>
      </w:r>
    </w:p>
    <w:p w14:paraId="2C06920B" w14:textId="77777777" w:rsidR="00FB1EBC" w:rsidRDefault="00FB1EBC" w:rsidP="00CA22CD">
      <w:pPr>
        <w:autoSpaceDE w:val="0"/>
        <w:autoSpaceDN w:val="0"/>
        <w:adjustRightInd w:val="0"/>
        <w:spacing w:before="120"/>
        <w:ind w:left="357"/>
        <w:rPr>
          <w:rFonts w:eastAsia="Times New Roman" w:cs="Arial"/>
          <w:lang w:eastAsia="en-ZW"/>
        </w:rPr>
      </w:pPr>
      <w:r w:rsidRPr="00FB1EBC">
        <w:rPr>
          <w:rFonts w:eastAsia="Times New Roman" w:cs="Arial"/>
          <w:lang w:eastAsia="en-ZW"/>
        </w:rPr>
        <w:t>The law on inspection supervision adopted in 2019 aimed to streamline the inspection procedure. Among others, it envisages warnings for minor infractions and grace periods for corrective actions. However, ‘risk based assessment’ inspections begin in 2021 and</w:t>
      </w:r>
      <w:r>
        <w:rPr>
          <w:rFonts w:eastAsia="Times New Roman" w:cs="Arial"/>
          <w:lang w:eastAsia="en-ZW"/>
        </w:rPr>
        <w:t xml:space="preserve"> f</w:t>
      </w:r>
      <w:r w:rsidRPr="00FB1EBC">
        <w:rPr>
          <w:rFonts w:eastAsia="Times New Roman" w:cs="Arial"/>
          <w:lang w:eastAsia="en-ZW"/>
        </w:rPr>
        <w:t xml:space="preserve">ully implementing the law and establishing transparent and consistent procedures for inspections would increase the ease of doing business. </w:t>
      </w:r>
      <w:r w:rsidR="00895CE8">
        <w:rPr>
          <w:rFonts w:eastAsia="Times New Roman" w:cs="Times New Roman"/>
          <w:color w:val="000000"/>
          <w:szCs w:val="24"/>
          <w:shd w:val="clear" w:color="auto" w:fill="FFFFFF"/>
        </w:rPr>
        <w:t>T</w:t>
      </w:r>
      <w:r w:rsidR="00895CE8" w:rsidRPr="00B55E1E">
        <w:rPr>
          <w:rFonts w:eastAsia="Times New Roman" w:cs="Arial"/>
          <w:lang w:eastAsia="en-ZW"/>
        </w:rPr>
        <w:t>he State Market Inspection (SMI) is performing risk calculations in the supervision process by collection and processing data through Excel spreadsheets which is time consuming</w:t>
      </w:r>
      <w:r w:rsidR="00B116DF">
        <w:rPr>
          <w:rFonts w:eastAsia="Times New Roman" w:cs="Arial"/>
          <w:lang w:eastAsia="en-ZW"/>
        </w:rPr>
        <w:t xml:space="preserve"> process that may </w:t>
      </w:r>
      <w:r w:rsidR="00B116DF" w:rsidRPr="00B55E1E">
        <w:rPr>
          <w:rFonts w:eastAsia="Times New Roman" w:cs="Arial"/>
          <w:lang w:eastAsia="en-ZW"/>
        </w:rPr>
        <w:t>le</w:t>
      </w:r>
      <w:r w:rsidR="00B116DF">
        <w:rPr>
          <w:rFonts w:eastAsia="Times New Roman" w:cs="Arial"/>
          <w:lang w:eastAsia="en-ZW"/>
        </w:rPr>
        <w:t>a</w:t>
      </w:r>
      <w:r w:rsidR="00B116DF" w:rsidRPr="00B55E1E">
        <w:rPr>
          <w:rFonts w:eastAsia="Times New Roman" w:cs="Arial"/>
          <w:lang w:eastAsia="en-ZW"/>
        </w:rPr>
        <w:t>d</w:t>
      </w:r>
      <w:r w:rsidR="00895CE8" w:rsidRPr="00B55E1E">
        <w:rPr>
          <w:rFonts w:eastAsia="Times New Roman" w:cs="Arial"/>
          <w:lang w:eastAsia="en-ZW"/>
        </w:rPr>
        <w:t xml:space="preserve"> to omissions and lower number of inspections</w:t>
      </w:r>
      <w:r w:rsidR="00895CE8">
        <w:rPr>
          <w:rFonts w:eastAsia="Times New Roman" w:cs="Arial"/>
          <w:lang w:eastAsia="en-ZW"/>
        </w:rPr>
        <w:t>. EC Progress report for 2022</w:t>
      </w:r>
      <w:r w:rsidR="00895CE8">
        <w:rPr>
          <w:rStyle w:val="FootnoteReference"/>
          <w:rFonts w:eastAsia="Times New Roman" w:cs="Arial"/>
          <w:lang w:eastAsia="en-ZW"/>
        </w:rPr>
        <w:footnoteReference w:id="19"/>
      </w:r>
      <w:r w:rsidR="00895CE8">
        <w:rPr>
          <w:rFonts w:eastAsia="Times New Roman" w:cs="Arial"/>
          <w:lang w:eastAsia="en-ZW"/>
        </w:rPr>
        <w:t xml:space="preserve">, indicates </w:t>
      </w:r>
      <w:r w:rsidR="00895CE8" w:rsidRPr="00895CE8">
        <w:rPr>
          <w:rFonts w:eastAsia="Times New Roman" w:cs="Times New Roman"/>
          <w:color w:val="000000"/>
          <w:szCs w:val="24"/>
          <w:shd w:val="clear" w:color="auto" w:fill="FFFFFF"/>
        </w:rPr>
        <w:t>lack</w:t>
      </w:r>
      <w:r w:rsidR="00895CE8">
        <w:rPr>
          <w:rFonts w:eastAsia="Times New Roman" w:cs="Times New Roman"/>
          <w:color w:val="000000"/>
          <w:szCs w:val="24"/>
          <w:shd w:val="clear" w:color="auto" w:fill="FFFFFF"/>
        </w:rPr>
        <w:t xml:space="preserve"> in</w:t>
      </w:r>
      <w:r w:rsidR="00895CE8" w:rsidRPr="00895CE8">
        <w:rPr>
          <w:rFonts w:eastAsia="Times New Roman" w:cs="Times New Roman"/>
          <w:color w:val="000000"/>
          <w:szCs w:val="24"/>
          <w:shd w:val="clear" w:color="auto" w:fill="FFFFFF"/>
        </w:rPr>
        <w:t xml:space="preserve"> efficient software system to record inspection results and proper risk planning and management</w:t>
      </w:r>
      <w:r w:rsidR="00895CE8">
        <w:rPr>
          <w:rFonts w:eastAsia="Times New Roman" w:cs="Times New Roman"/>
          <w:color w:val="000000"/>
          <w:szCs w:val="24"/>
          <w:shd w:val="clear" w:color="auto" w:fill="FFFFFF"/>
        </w:rPr>
        <w:t xml:space="preserve">. </w:t>
      </w:r>
      <w:r w:rsidR="00B55E1E" w:rsidRPr="00B55E1E">
        <w:rPr>
          <w:rFonts w:eastAsia="Times New Roman" w:cs="Arial"/>
          <w:lang w:eastAsia="en-ZW"/>
        </w:rPr>
        <w:t xml:space="preserve">Therefore, </w:t>
      </w:r>
      <w:r w:rsidR="00B116DF">
        <w:rPr>
          <w:rFonts w:eastAsia="Times New Roman" w:cs="Arial"/>
          <w:lang w:eastAsia="en-ZW"/>
        </w:rPr>
        <w:t xml:space="preserve">introduction of </w:t>
      </w:r>
      <w:r w:rsidR="00B55E1E" w:rsidRPr="00B55E1E">
        <w:rPr>
          <w:rFonts w:eastAsia="Times New Roman" w:cs="Arial"/>
          <w:lang w:eastAsia="en-ZW"/>
        </w:rPr>
        <w:t xml:space="preserve">IT solution </w:t>
      </w:r>
      <w:r w:rsidR="00B116DF">
        <w:rPr>
          <w:rFonts w:eastAsia="Times New Roman" w:cs="Arial"/>
          <w:lang w:eastAsia="en-ZW"/>
        </w:rPr>
        <w:t xml:space="preserve">is necessary </w:t>
      </w:r>
      <w:r w:rsidR="00B55E1E" w:rsidRPr="00B55E1E">
        <w:rPr>
          <w:rFonts w:eastAsia="Times New Roman" w:cs="Arial"/>
          <w:lang w:eastAsia="en-ZW"/>
        </w:rPr>
        <w:t xml:space="preserve">to enable more efficient </w:t>
      </w:r>
      <w:r w:rsidRPr="00B55E1E">
        <w:rPr>
          <w:rFonts w:eastAsia="Times New Roman" w:cs="Arial"/>
          <w:lang w:eastAsia="en-ZW"/>
        </w:rPr>
        <w:t xml:space="preserve">risk planning process </w:t>
      </w:r>
      <w:r>
        <w:rPr>
          <w:rFonts w:eastAsia="Times New Roman" w:cs="Arial"/>
          <w:lang w:eastAsia="en-ZW"/>
        </w:rPr>
        <w:t xml:space="preserve">and inspections </w:t>
      </w:r>
      <w:r w:rsidR="00B55E1E" w:rsidRPr="00B55E1E">
        <w:rPr>
          <w:rFonts w:eastAsia="Times New Roman" w:cs="Arial"/>
          <w:lang w:eastAsia="en-ZW"/>
        </w:rPr>
        <w:t xml:space="preserve">of the SMI in full capacity. </w:t>
      </w:r>
    </w:p>
    <w:p w14:paraId="13B55F78" w14:textId="2F987AB9" w:rsidR="00A40151" w:rsidRPr="00F97935" w:rsidRDefault="00FB1EBC" w:rsidP="00CA22CD">
      <w:pPr>
        <w:autoSpaceDE w:val="0"/>
        <w:autoSpaceDN w:val="0"/>
        <w:adjustRightInd w:val="0"/>
        <w:spacing w:before="120"/>
        <w:ind w:left="357"/>
        <w:rPr>
          <w:rFonts w:eastAsia="Times New Roman" w:cs="Arial"/>
          <w:lang w:eastAsia="en-ZW"/>
        </w:rPr>
      </w:pPr>
      <w:r>
        <w:rPr>
          <w:rFonts w:eastAsia="Times New Roman" w:cs="Arial"/>
          <w:lang w:eastAsia="en-ZW"/>
        </w:rPr>
        <w:t>D</w:t>
      </w:r>
      <w:r w:rsidR="00B55E1E" w:rsidRPr="00B55E1E">
        <w:rPr>
          <w:rFonts w:eastAsia="Times New Roman" w:cs="Arial"/>
          <w:lang w:eastAsia="en-ZW"/>
        </w:rPr>
        <w:t xml:space="preserve">igitalisation of internal operational DMS and </w:t>
      </w:r>
      <w:r w:rsidR="00B04166" w:rsidRPr="00B55E1E">
        <w:rPr>
          <w:rFonts w:eastAsia="Times New Roman" w:cs="Arial"/>
          <w:lang w:eastAsia="en-ZW"/>
        </w:rPr>
        <w:t>put</w:t>
      </w:r>
      <w:r w:rsidR="00B04166">
        <w:rPr>
          <w:rFonts w:eastAsia="Times New Roman" w:cs="Arial"/>
          <w:lang w:eastAsia="en-ZW"/>
        </w:rPr>
        <w:t>ting</w:t>
      </w:r>
      <w:r w:rsidR="00B55E1E" w:rsidRPr="00B55E1E">
        <w:rPr>
          <w:rFonts w:eastAsia="Times New Roman" w:cs="Arial"/>
          <w:lang w:eastAsia="en-ZW"/>
        </w:rPr>
        <w:t xml:space="preserve"> in place applications for the electronic processing of SMI activities </w:t>
      </w:r>
      <w:r w:rsidR="00B04166" w:rsidRPr="00B04166">
        <w:rPr>
          <w:rFonts w:eastAsia="Times New Roman" w:cs="Arial"/>
          <w:lang w:eastAsia="en-ZW"/>
        </w:rPr>
        <w:t xml:space="preserve">(e.g. Document Management system software, Risk management software, Software for inspections, etc.) </w:t>
      </w:r>
      <w:r w:rsidR="0089262B">
        <w:rPr>
          <w:rFonts w:eastAsia="Times New Roman" w:cs="Arial"/>
          <w:lang w:eastAsia="en-ZW"/>
        </w:rPr>
        <w:t>to</w:t>
      </w:r>
      <w:r w:rsidR="00B55E1E" w:rsidRPr="00B55E1E">
        <w:rPr>
          <w:rFonts w:eastAsia="Times New Roman" w:cs="Arial"/>
          <w:lang w:eastAsia="en-ZW"/>
        </w:rPr>
        <w:t xml:space="preserve"> improve and increase transparency of the SMI activities are related to the new consumer protection legislation adopted by the end of </w:t>
      </w:r>
      <w:r>
        <w:rPr>
          <w:rFonts w:eastAsia="Times New Roman" w:cs="Arial"/>
          <w:lang w:eastAsia="en-ZW"/>
        </w:rPr>
        <w:t>2022</w:t>
      </w:r>
      <w:r w:rsidR="00B55E1E" w:rsidRPr="00B55E1E">
        <w:rPr>
          <w:rFonts w:eastAsia="Times New Roman" w:cs="Arial"/>
          <w:lang w:eastAsia="en-ZW"/>
        </w:rPr>
        <w:t xml:space="preserve"> and general product safety legislation adopted in 2020. This is also supported with the Law on technical regulation and conformity assessment adopted by the end of </w:t>
      </w:r>
      <w:r>
        <w:rPr>
          <w:rFonts w:eastAsia="Times New Roman" w:cs="Arial"/>
          <w:lang w:eastAsia="en-ZW"/>
        </w:rPr>
        <w:t>2022</w:t>
      </w:r>
      <w:r w:rsidR="00B55E1E" w:rsidRPr="00B55E1E">
        <w:rPr>
          <w:rFonts w:eastAsia="Times New Roman" w:cs="Arial"/>
          <w:lang w:eastAsia="en-ZW"/>
        </w:rPr>
        <w:t xml:space="preserve">. </w:t>
      </w:r>
      <w:r w:rsidR="00A40151" w:rsidRPr="00F97935">
        <w:rPr>
          <w:rFonts w:eastAsia="Times New Roman" w:cs="Arial"/>
          <w:lang w:eastAsia="en-ZW"/>
        </w:rPr>
        <w:t>The implementation of the legislative framework has</w:t>
      </w:r>
      <w:r w:rsidR="00A40151">
        <w:rPr>
          <w:rFonts w:eastAsia="Times New Roman" w:cs="Arial"/>
          <w:lang w:eastAsia="en-ZW"/>
        </w:rPr>
        <w:t xml:space="preserve"> </w:t>
      </w:r>
      <w:r w:rsidR="00A40151" w:rsidRPr="00F97935">
        <w:rPr>
          <w:rFonts w:eastAsia="Times New Roman" w:cs="Arial"/>
          <w:lang w:eastAsia="en-ZW"/>
        </w:rPr>
        <w:t xml:space="preserve">to be supported by </w:t>
      </w:r>
      <w:r w:rsidR="00746189">
        <w:rPr>
          <w:rFonts w:eastAsia="Times New Roman" w:cs="Arial"/>
          <w:lang w:eastAsia="en-ZW"/>
        </w:rPr>
        <w:t xml:space="preserve">the </w:t>
      </w:r>
      <w:r w:rsidR="00A40151" w:rsidRPr="00F97935">
        <w:rPr>
          <w:rFonts w:eastAsia="Times New Roman" w:cs="Arial"/>
          <w:lang w:eastAsia="en-ZW"/>
        </w:rPr>
        <w:t>set</w:t>
      </w:r>
      <w:r w:rsidR="00746189">
        <w:rPr>
          <w:rFonts w:eastAsia="Times New Roman" w:cs="Arial"/>
          <w:lang w:eastAsia="en-ZW"/>
        </w:rPr>
        <w:t>ting</w:t>
      </w:r>
      <w:r w:rsidR="00A40151" w:rsidRPr="00F97935">
        <w:rPr>
          <w:rFonts w:eastAsia="Times New Roman" w:cs="Arial"/>
          <w:lang w:eastAsia="en-ZW"/>
        </w:rPr>
        <w:t xml:space="preserve"> up </w:t>
      </w:r>
      <w:r w:rsidR="00746189">
        <w:rPr>
          <w:rFonts w:eastAsia="Times New Roman" w:cs="Arial"/>
          <w:lang w:eastAsia="en-ZW"/>
        </w:rPr>
        <w:t xml:space="preserve">of the </w:t>
      </w:r>
      <w:r w:rsidR="00A40151" w:rsidRPr="00F97935">
        <w:rPr>
          <w:rFonts w:eastAsia="Times New Roman" w:cs="Arial"/>
          <w:lang w:eastAsia="en-ZW"/>
        </w:rPr>
        <w:t xml:space="preserve">automated </w:t>
      </w:r>
      <w:r w:rsidR="00C5488E">
        <w:rPr>
          <w:rFonts w:eastAsia="Times New Roman" w:cs="Arial"/>
          <w:lang w:eastAsia="en-ZW"/>
        </w:rPr>
        <w:t xml:space="preserve">processing of the </w:t>
      </w:r>
      <w:r w:rsidR="00A40151" w:rsidRPr="00F97935">
        <w:rPr>
          <w:rFonts w:eastAsia="Times New Roman" w:cs="Arial"/>
          <w:lang w:eastAsia="en-ZW"/>
        </w:rPr>
        <w:t xml:space="preserve">data and capacity building of </w:t>
      </w:r>
      <w:r w:rsidR="00C5488E" w:rsidRPr="00F97935">
        <w:rPr>
          <w:rFonts w:eastAsia="Times New Roman" w:cs="Arial"/>
          <w:lang w:eastAsia="en-ZW"/>
        </w:rPr>
        <w:t>inspectors</w:t>
      </w:r>
      <w:r w:rsidR="00C5488E">
        <w:rPr>
          <w:rFonts w:eastAsia="Times New Roman" w:cs="Arial"/>
          <w:lang w:eastAsia="en-ZW"/>
        </w:rPr>
        <w:t>’</w:t>
      </w:r>
      <w:r w:rsidR="00C5488E" w:rsidRPr="00F97935">
        <w:rPr>
          <w:rFonts w:eastAsia="Times New Roman" w:cs="Arial"/>
          <w:lang w:eastAsia="en-ZW"/>
        </w:rPr>
        <w:t xml:space="preserve"> </w:t>
      </w:r>
      <w:r w:rsidR="00A40151" w:rsidRPr="00F97935">
        <w:rPr>
          <w:rFonts w:eastAsia="Times New Roman" w:cs="Arial"/>
          <w:lang w:eastAsia="en-ZW"/>
        </w:rPr>
        <w:t xml:space="preserve">competence </w:t>
      </w:r>
      <w:r w:rsidR="00C5488E">
        <w:rPr>
          <w:rFonts w:eastAsia="Times New Roman" w:cs="Arial"/>
          <w:lang w:eastAsia="en-ZW"/>
        </w:rPr>
        <w:t xml:space="preserve">in this area </w:t>
      </w:r>
      <w:r w:rsidR="00A40151" w:rsidRPr="00F97935">
        <w:rPr>
          <w:rFonts w:eastAsia="Times New Roman" w:cs="Arial"/>
          <w:lang w:eastAsia="en-ZW"/>
        </w:rPr>
        <w:t xml:space="preserve">(trainings, development of check list, manuals, etc) to </w:t>
      </w:r>
      <w:r w:rsidR="002642F5">
        <w:rPr>
          <w:rFonts w:eastAsia="Times New Roman" w:cs="Arial"/>
          <w:lang w:eastAsia="en-ZW"/>
        </w:rPr>
        <w:t>enhance</w:t>
      </w:r>
      <w:r w:rsidR="00C5488E">
        <w:rPr>
          <w:rFonts w:eastAsia="Times New Roman" w:cs="Arial"/>
          <w:lang w:eastAsia="en-ZW"/>
        </w:rPr>
        <w:t>:</w:t>
      </w:r>
      <w:r w:rsidR="00A40151" w:rsidRPr="00F97935">
        <w:rPr>
          <w:rFonts w:eastAsia="Times New Roman" w:cs="Arial"/>
          <w:lang w:eastAsia="en-ZW"/>
        </w:rPr>
        <w:t> </w:t>
      </w:r>
    </w:p>
    <w:p w14:paraId="560E60B9" w14:textId="77777777" w:rsidR="00884D27" w:rsidRDefault="00A40151" w:rsidP="00CA22CD">
      <w:pPr>
        <w:numPr>
          <w:ilvl w:val="0"/>
          <w:numId w:val="30"/>
        </w:numPr>
        <w:tabs>
          <w:tab w:val="clear" w:pos="720"/>
          <w:tab w:val="num" w:pos="1077"/>
        </w:tabs>
        <w:autoSpaceDE w:val="0"/>
        <w:autoSpaceDN w:val="0"/>
        <w:adjustRightInd w:val="0"/>
        <w:spacing w:before="120"/>
        <w:ind w:left="1077"/>
        <w:rPr>
          <w:rFonts w:eastAsia="Times New Roman" w:cs="Arial"/>
          <w:lang w:eastAsia="en-ZW"/>
        </w:rPr>
      </w:pPr>
      <w:r w:rsidRPr="00F97935">
        <w:rPr>
          <w:rFonts w:eastAsia="Times New Roman" w:cs="Arial"/>
          <w:lang w:eastAsia="en-ZW"/>
        </w:rPr>
        <w:t>Risk-focus in resource allocation, planning and implementation of inspection visits – relying on a comprehensive and up-to-date information system</w:t>
      </w:r>
    </w:p>
    <w:p w14:paraId="5E689618" w14:textId="2BB83D24" w:rsidR="00A40151" w:rsidRPr="00884D27" w:rsidRDefault="00A40151" w:rsidP="00CA22CD">
      <w:pPr>
        <w:numPr>
          <w:ilvl w:val="0"/>
          <w:numId w:val="30"/>
        </w:numPr>
        <w:tabs>
          <w:tab w:val="clear" w:pos="720"/>
          <w:tab w:val="num" w:pos="1077"/>
        </w:tabs>
        <w:autoSpaceDE w:val="0"/>
        <w:autoSpaceDN w:val="0"/>
        <w:adjustRightInd w:val="0"/>
        <w:spacing w:before="120"/>
        <w:ind w:left="1077"/>
        <w:rPr>
          <w:rFonts w:eastAsia="Times New Roman" w:cs="Arial"/>
          <w:lang w:eastAsia="en-ZW"/>
        </w:rPr>
      </w:pPr>
      <w:r w:rsidRPr="00F97935">
        <w:rPr>
          <w:rFonts w:eastAsia="Times New Roman" w:cs="Arial"/>
          <w:lang w:eastAsia="en-ZW"/>
        </w:rPr>
        <w:t>Transparency of requirements and clear guidance, allowing businesses to know what is expected of them, and what they can expect from inspectors.</w:t>
      </w:r>
    </w:p>
    <w:p w14:paraId="20784B10" w14:textId="34DEEFCC" w:rsidR="00F97935" w:rsidRPr="00B55E1E" w:rsidRDefault="00AB56A9" w:rsidP="00CA22CD">
      <w:pPr>
        <w:autoSpaceDE w:val="0"/>
        <w:autoSpaceDN w:val="0"/>
        <w:adjustRightInd w:val="0"/>
        <w:spacing w:before="120"/>
        <w:ind w:left="357"/>
        <w:rPr>
          <w:rFonts w:eastAsia="Times New Roman" w:cs="Arial"/>
          <w:lang w:eastAsia="en-ZW"/>
        </w:rPr>
      </w:pPr>
      <w:r w:rsidRPr="00AB56A9">
        <w:rPr>
          <w:rFonts w:eastAsia="Times New Roman" w:cs="Arial"/>
          <w:lang w:eastAsia="en-ZW"/>
        </w:rPr>
        <w:t xml:space="preserve">Increasing the efficiency and transparency of public administration, reducing the time and costs of commercial disputes and promoting alternative dispute resolutions mechanisms would address some of the factors limiting the competitiveness of domestic companies. </w:t>
      </w:r>
      <w:r>
        <w:rPr>
          <w:rFonts w:eastAsia="Times New Roman" w:cs="Arial"/>
          <w:lang w:eastAsia="en-ZW"/>
        </w:rPr>
        <w:t>Therefore, i</w:t>
      </w:r>
      <w:r w:rsidR="00EB3BDF">
        <w:rPr>
          <w:rFonts w:eastAsia="Times New Roman" w:cs="Arial"/>
          <w:lang w:eastAsia="en-ZW"/>
        </w:rPr>
        <w:t xml:space="preserve">t is also required to support </w:t>
      </w:r>
      <w:r w:rsidR="00B55E1E" w:rsidRPr="00B55E1E">
        <w:rPr>
          <w:rFonts w:eastAsia="Times New Roman" w:cs="Arial"/>
          <w:lang w:eastAsia="en-ZW"/>
        </w:rPr>
        <w:t>relevant authorities in transposition of the Directive 2013/11/EU of the European Parliament and of the Council of 21 May 2013 on alternative dispute resolution for consumer disputes and amending Regulation (EC) No 2006/2004 and Directive 2009/22/EC</w:t>
      </w:r>
      <w:r w:rsidR="00EB3BDF">
        <w:rPr>
          <w:rFonts w:eastAsia="Times New Roman" w:cs="Arial"/>
          <w:lang w:eastAsia="en-ZW"/>
        </w:rPr>
        <w:t xml:space="preserve"> </w:t>
      </w:r>
      <w:r w:rsidR="00B55E1E" w:rsidRPr="00B55E1E">
        <w:rPr>
          <w:rFonts w:eastAsia="Times New Roman" w:cs="Arial"/>
          <w:lang w:eastAsia="en-ZW"/>
        </w:rPr>
        <w:t xml:space="preserve">which </w:t>
      </w:r>
      <w:r w:rsidR="004935FB">
        <w:rPr>
          <w:rFonts w:eastAsia="Times New Roman" w:cs="Arial"/>
          <w:lang w:eastAsia="en-ZW"/>
        </w:rPr>
        <w:t xml:space="preserve">is </w:t>
      </w:r>
      <w:r w:rsidR="00B55E1E" w:rsidRPr="00B55E1E">
        <w:rPr>
          <w:rFonts w:eastAsia="Times New Roman" w:cs="Arial"/>
          <w:lang w:eastAsia="en-ZW"/>
        </w:rPr>
        <w:t>consider</w:t>
      </w:r>
      <w:r w:rsidR="006D60F7">
        <w:rPr>
          <w:rFonts w:eastAsia="Times New Roman" w:cs="Arial"/>
          <w:lang w:eastAsia="en-ZW"/>
        </w:rPr>
        <w:t>ing</w:t>
      </w:r>
      <w:r w:rsidR="00B55E1E" w:rsidRPr="00B55E1E">
        <w:rPr>
          <w:rFonts w:eastAsia="Times New Roman" w:cs="Arial"/>
          <w:lang w:eastAsia="en-ZW"/>
        </w:rPr>
        <w:t xml:space="preserve"> setting </w:t>
      </w:r>
      <w:r w:rsidR="00BA6A45">
        <w:rPr>
          <w:rFonts w:eastAsia="Times New Roman" w:cs="Arial"/>
          <w:lang w:eastAsia="en-ZW"/>
        </w:rPr>
        <w:t xml:space="preserve">up </w:t>
      </w:r>
      <w:r w:rsidR="00B55E1E" w:rsidRPr="00B55E1E">
        <w:rPr>
          <w:rFonts w:eastAsia="Times New Roman" w:cs="Arial"/>
          <w:lang w:eastAsia="en-ZW"/>
        </w:rPr>
        <w:t xml:space="preserve">the </w:t>
      </w:r>
      <w:r w:rsidR="00BA6A45" w:rsidRPr="00B55E1E">
        <w:rPr>
          <w:rFonts w:eastAsia="Times New Roman" w:cs="Arial"/>
          <w:lang w:eastAsia="en-ZW"/>
        </w:rPr>
        <w:t xml:space="preserve">alternative dispute resolution </w:t>
      </w:r>
      <w:r w:rsidR="00B55E1E" w:rsidRPr="00B55E1E">
        <w:rPr>
          <w:rFonts w:eastAsia="Times New Roman" w:cs="Arial"/>
          <w:lang w:eastAsia="en-ZW"/>
        </w:rPr>
        <w:t>system</w:t>
      </w:r>
      <w:r w:rsidR="00ED4A59">
        <w:rPr>
          <w:rFonts w:eastAsia="Times New Roman" w:cs="Arial"/>
          <w:lang w:eastAsia="en-ZW"/>
        </w:rPr>
        <w:t xml:space="preserve"> i.e. </w:t>
      </w:r>
      <w:r w:rsidR="00ED4A59" w:rsidRPr="00EB3BDF">
        <w:rPr>
          <w:rFonts w:eastAsia="Times New Roman" w:cs="Arial"/>
          <w:lang w:eastAsia="en-ZW"/>
        </w:rPr>
        <w:t xml:space="preserve">development of the Alternative Dispute Resolution (ADR) mechanism </w:t>
      </w:r>
      <w:r w:rsidR="00ED4A59">
        <w:rPr>
          <w:rFonts w:eastAsia="Times New Roman" w:cs="Arial"/>
          <w:lang w:eastAsia="en-ZW"/>
        </w:rPr>
        <w:t xml:space="preserve">and legislation as well as </w:t>
      </w:r>
      <w:r w:rsidR="00B55E1E" w:rsidRPr="00B55E1E">
        <w:rPr>
          <w:rFonts w:eastAsia="Times New Roman" w:cs="Arial"/>
          <w:lang w:eastAsia="en-ZW"/>
        </w:rPr>
        <w:t xml:space="preserve">building capacities </w:t>
      </w:r>
      <w:r w:rsidR="002C2B9F">
        <w:rPr>
          <w:rFonts w:eastAsia="Times New Roman" w:cs="Arial"/>
          <w:lang w:eastAsia="en-ZW"/>
        </w:rPr>
        <w:t>of the relevant national authorities and stakeholders on</w:t>
      </w:r>
      <w:r w:rsidR="00B55E1E" w:rsidRPr="00B55E1E">
        <w:rPr>
          <w:rFonts w:eastAsia="Times New Roman" w:cs="Arial"/>
          <w:lang w:eastAsia="en-ZW"/>
        </w:rPr>
        <w:t xml:space="preserve"> functioning of this system</w:t>
      </w:r>
      <w:r w:rsidR="002C2B9F">
        <w:rPr>
          <w:rFonts w:eastAsia="Times New Roman" w:cs="Arial"/>
          <w:lang w:eastAsia="en-ZW"/>
        </w:rPr>
        <w:t>.</w:t>
      </w:r>
    </w:p>
    <w:p w14:paraId="0DD13621" w14:textId="77777777" w:rsidR="00B55E1E" w:rsidRPr="00922BB5" w:rsidRDefault="00B55E1E" w:rsidP="00CA22CD">
      <w:pPr>
        <w:keepNext/>
        <w:keepLines/>
        <w:spacing w:before="120"/>
        <w:ind w:left="717" w:hanging="360"/>
        <w:outlineLvl w:val="0"/>
        <w:rPr>
          <w:rFonts w:eastAsia="Yu Gothic Light" w:cs="Times New Roman"/>
          <w:bCs/>
          <w:i/>
          <w:iCs/>
          <w:color w:val="0D0D0D"/>
          <w:szCs w:val="32"/>
          <w:lang w:eastAsia="en-ZW"/>
        </w:rPr>
      </w:pPr>
      <w:r w:rsidRPr="00922BB5">
        <w:rPr>
          <w:rFonts w:eastAsia="Yu Gothic Light" w:cs="Times New Roman"/>
          <w:bCs/>
          <w:i/>
          <w:iCs/>
          <w:color w:val="0D0D0D"/>
          <w:szCs w:val="32"/>
          <w:lang w:eastAsia="en-ZW"/>
        </w:rPr>
        <w:t>Intellectual Property Rights (IPR)</w:t>
      </w:r>
    </w:p>
    <w:p w14:paraId="518170B4" w14:textId="57081F32" w:rsidR="00653A7A" w:rsidRDefault="000536CF" w:rsidP="00CA22CD">
      <w:pPr>
        <w:autoSpaceDE w:val="0"/>
        <w:autoSpaceDN w:val="0"/>
        <w:adjustRightInd w:val="0"/>
        <w:spacing w:before="120"/>
        <w:ind w:left="357"/>
        <w:rPr>
          <w:rFonts w:eastAsia="Times New Roman" w:cs="Arial"/>
          <w:lang w:eastAsia="en-ZW"/>
        </w:rPr>
      </w:pPr>
      <w:r>
        <w:rPr>
          <w:rFonts w:eastAsia="Times New Roman" w:cs="Arial"/>
          <w:lang w:eastAsia="en-ZW"/>
        </w:rPr>
        <w:t>To tackle envisaged measures</w:t>
      </w:r>
      <w:r w:rsidR="000E11DD" w:rsidRPr="000E11DD">
        <w:rPr>
          <w:rFonts w:eastAsia="Calibri" w:cs="Arial"/>
        </w:rPr>
        <w:t xml:space="preserve"> </w:t>
      </w:r>
      <w:r w:rsidR="000E11DD">
        <w:rPr>
          <w:rFonts w:eastAsia="Calibri" w:cs="Arial"/>
        </w:rPr>
        <w:t xml:space="preserve">under the </w:t>
      </w:r>
      <w:r w:rsidR="000E11DD">
        <w:rPr>
          <w:rFonts w:eastAsia="Times New Roman" w:cs="Arial"/>
          <w:lang w:eastAsia="en-ZW"/>
        </w:rPr>
        <w:t>d</w:t>
      </w:r>
      <w:r w:rsidR="000E11DD" w:rsidRPr="000E11DD">
        <w:rPr>
          <w:rFonts w:eastAsia="Times New Roman" w:cs="Arial"/>
          <w:lang w:eastAsia="en-ZW"/>
        </w:rPr>
        <w:t xml:space="preserve">raft </w:t>
      </w:r>
      <w:r w:rsidR="000E11DD" w:rsidRPr="000E11DD">
        <w:rPr>
          <w:rFonts w:eastAsia="Times New Roman" w:cs="Arial"/>
          <w:b/>
          <w:bCs/>
          <w:lang w:eastAsia="en-ZW"/>
        </w:rPr>
        <w:t>National Strategy on Intellectual Property 2022-2026</w:t>
      </w:r>
      <w:r>
        <w:rPr>
          <w:rFonts w:eastAsia="Times New Roman" w:cs="Arial"/>
          <w:lang w:eastAsia="en-ZW"/>
        </w:rPr>
        <w:t xml:space="preserve">, the Action will support </w:t>
      </w:r>
      <w:r w:rsidR="00480037">
        <w:rPr>
          <w:rFonts w:eastAsia="Times New Roman" w:cs="Arial"/>
          <w:lang w:eastAsia="en-ZW"/>
        </w:rPr>
        <w:t>h</w:t>
      </w:r>
      <w:r w:rsidR="00480037" w:rsidRPr="00480037">
        <w:rPr>
          <w:rFonts w:eastAsia="Times New Roman" w:cs="Arial"/>
          <w:lang w:eastAsia="en-ZW"/>
        </w:rPr>
        <w:t xml:space="preserve">armonization of the National Laws on Industrial Property and their alignment with the legislation of the European Union and the international legal </w:t>
      </w:r>
      <w:r w:rsidR="000E11DD" w:rsidRPr="00480037">
        <w:rPr>
          <w:rFonts w:eastAsia="Times New Roman" w:cs="Arial"/>
          <w:lang w:eastAsia="en-ZW"/>
        </w:rPr>
        <w:t>acts</w:t>
      </w:r>
      <w:r w:rsidR="00480037" w:rsidRPr="00480037">
        <w:rPr>
          <w:rFonts w:eastAsia="Times New Roman" w:cs="Arial"/>
          <w:lang w:eastAsia="en-ZW"/>
        </w:rPr>
        <w:t xml:space="preserve"> for industrial property</w:t>
      </w:r>
      <w:r w:rsidR="00480037">
        <w:rPr>
          <w:rFonts w:eastAsia="Times New Roman" w:cs="Arial"/>
          <w:lang w:eastAsia="en-ZW"/>
        </w:rPr>
        <w:t xml:space="preserve">. </w:t>
      </w:r>
      <w:r w:rsidR="00B02C00">
        <w:rPr>
          <w:rFonts w:eastAsia="Times New Roman" w:cs="Arial"/>
          <w:lang w:eastAsia="en-ZW"/>
        </w:rPr>
        <w:t xml:space="preserve">To ensure proper implementation of the harmonised Law and contribute to the implementation of the Strategy, capacity building of the relevant national authorities is required </w:t>
      </w:r>
      <w:r w:rsidR="00B02C00" w:rsidRPr="00CE5F41">
        <w:rPr>
          <w:rFonts w:eastAsia="Times New Roman" w:cs="Arial"/>
          <w:lang w:eastAsia="en-ZW"/>
        </w:rPr>
        <w:t>on competencies for the enforcement and acting on Law on Industrial property.</w:t>
      </w:r>
      <w:r w:rsidR="00B02C00">
        <w:rPr>
          <w:rFonts w:eastAsia="Times New Roman" w:cs="Arial"/>
          <w:lang w:eastAsia="en-ZW"/>
        </w:rPr>
        <w:t xml:space="preserve"> </w:t>
      </w:r>
      <w:r w:rsidR="00F961D2" w:rsidRPr="00480037">
        <w:rPr>
          <w:rFonts w:eastAsia="Times New Roman" w:cs="Arial"/>
          <w:lang w:eastAsia="en-ZW"/>
        </w:rPr>
        <w:t>T</w:t>
      </w:r>
      <w:r w:rsidR="00F961D2">
        <w:rPr>
          <w:rFonts w:eastAsia="Times New Roman" w:cs="Arial"/>
          <w:lang w:eastAsia="en-ZW"/>
        </w:rPr>
        <w:t xml:space="preserve">o </w:t>
      </w:r>
      <w:r w:rsidR="00F961D2" w:rsidRPr="00480037">
        <w:rPr>
          <w:rFonts w:eastAsia="Times New Roman" w:cs="Arial"/>
          <w:lang w:eastAsia="en-ZW"/>
        </w:rPr>
        <w:t>facilitate the creation of a credible enforcement record and gather reliable statistics on the institutional handling of IPR infringements</w:t>
      </w:r>
      <w:r w:rsidR="00F961D2">
        <w:rPr>
          <w:rFonts w:eastAsia="Times New Roman" w:cs="Arial"/>
          <w:lang w:eastAsia="en-ZW"/>
        </w:rPr>
        <w:t xml:space="preserve">, it is envisaged to </w:t>
      </w:r>
      <w:r w:rsidR="00480037" w:rsidRPr="00480037">
        <w:rPr>
          <w:rFonts w:eastAsia="Times New Roman" w:cs="Arial"/>
          <w:lang w:eastAsia="en-ZW"/>
        </w:rPr>
        <w:t>digitaliz</w:t>
      </w:r>
      <w:r w:rsidR="00F961D2">
        <w:rPr>
          <w:rFonts w:eastAsia="Times New Roman" w:cs="Arial"/>
          <w:lang w:eastAsia="en-ZW"/>
        </w:rPr>
        <w:t>e</w:t>
      </w:r>
      <w:r w:rsidR="00480037" w:rsidRPr="00480037">
        <w:rPr>
          <w:rFonts w:eastAsia="Times New Roman" w:cs="Arial"/>
          <w:lang w:eastAsia="en-ZW"/>
        </w:rPr>
        <w:t xml:space="preserve"> </w:t>
      </w:r>
      <w:r w:rsidR="00F961D2">
        <w:rPr>
          <w:rFonts w:eastAsia="Times New Roman" w:cs="Arial"/>
          <w:lang w:eastAsia="en-ZW"/>
        </w:rPr>
        <w:t xml:space="preserve">the </w:t>
      </w:r>
      <w:r w:rsidR="00480037" w:rsidRPr="00480037">
        <w:rPr>
          <w:rFonts w:eastAsia="Times New Roman" w:cs="Arial"/>
          <w:lang w:eastAsia="en-ZW"/>
        </w:rPr>
        <w:t>IPR Office and ensur</w:t>
      </w:r>
      <w:r w:rsidR="00984B02">
        <w:rPr>
          <w:rFonts w:eastAsia="Times New Roman" w:cs="Arial"/>
          <w:lang w:eastAsia="en-ZW"/>
        </w:rPr>
        <w:t>e</w:t>
      </w:r>
      <w:r w:rsidR="00480037" w:rsidRPr="00480037">
        <w:rPr>
          <w:rFonts w:eastAsia="Times New Roman" w:cs="Arial"/>
          <w:lang w:eastAsia="en-ZW"/>
        </w:rPr>
        <w:t xml:space="preserve"> the electronic data exchange in the IPR-protection network to boost the fight against counterfeiting and piracy </w:t>
      </w:r>
      <w:r w:rsidR="00480037" w:rsidRPr="005925D7">
        <w:rPr>
          <w:rFonts w:eastAsia="Times New Roman" w:cs="Arial"/>
          <w:lang w:eastAsia="en-ZW"/>
        </w:rPr>
        <w:t>and protect better the interests of rights-holders.</w:t>
      </w:r>
    </w:p>
    <w:p w14:paraId="20B6599C" w14:textId="2E6D79A4" w:rsidR="00653A7A" w:rsidRPr="00653A7A" w:rsidRDefault="00653A7A" w:rsidP="00CA22CD">
      <w:pPr>
        <w:autoSpaceDE w:val="0"/>
        <w:autoSpaceDN w:val="0"/>
        <w:adjustRightInd w:val="0"/>
        <w:spacing w:before="120"/>
        <w:ind w:left="357"/>
        <w:rPr>
          <w:rFonts w:eastAsia="Times New Roman" w:cs="Arial"/>
          <w:lang w:eastAsia="en-ZW"/>
        </w:rPr>
      </w:pPr>
      <w:r w:rsidRPr="00653A7A">
        <w:rPr>
          <w:rFonts w:eastAsia="Times New Roman" w:cs="Arial"/>
          <w:lang w:eastAsia="en-ZW"/>
        </w:rPr>
        <w:lastRenderedPageBreak/>
        <w:t>The process of granting IPRs (excluding AOs and GIs) was automated in 2000 by WIPO donation of the IPAS57 software. After the initial harmonization of the IPAS with the national legal framework, almost no further customization was made to the automated system for granting of rights, despite the numerous changes in the procedures. The reason for inadequate use of the IPAS system is the lack of employed and trained IT staff who will be able to perform the necessary adaptation of the IPAS system to the needs of the Office.</w:t>
      </w:r>
      <w:r w:rsidR="00F37D15">
        <w:rPr>
          <w:rFonts w:eastAsia="Times New Roman" w:cs="Arial"/>
          <w:lang w:eastAsia="en-ZW"/>
        </w:rPr>
        <w:t xml:space="preserve"> </w:t>
      </w:r>
    </w:p>
    <w:p w14:paraId="08938225" w14:textId="4C36BB69" w:rsidR="00653A7A" w:rsidRDefault="00653A7A" w:rsidP="00CA22CD">
      <w:pPr>
        <w:autoSpaceDE w:val="0"/>
        <w:autoSpaceDN w:val="0"/>
        <w:adjustRightInd w:val="0"/>
        <w:spacing w:before="120"/>
        <w:ind w:left="357"/>
        <w:rPr>
          <w:rFonts w:eastAsia="Times New Roman" w:cs="Arial"/>
          <w:lang w:eastAsia="en-ZW"/>
        </w:rPr>
      </w:pPr>
      <w:r w:rsidRPr="00653A7A">
        <w:rPr>
          <w:rFonts w:eastAsia="Times New Roman" w:cs="Arial"/>
          <w:lang w:eastAsia="en-ZW"/>
        </w:rPr>
        <w:t xml:space="preserve">The Strategic Plan of SOIP 2021-2023, envisages within the cooperation framework with WIPO eliminating the shortcomings of the IPAS system by the appropriate trainings of IT staff who will then implement the necessary customization. In addition to the deficit of human resources, there is an evident lack of appropriate technical equipment. SOIP in order to be up to date with the latest technologies, should provide appropriate equipment: servers; network equipment; desktop computers; scanners; printers. Industrial property rights databases are available to the public. Bibliographic data and the legal status of patents, trademarks and industrial designs can be searched. GIs are not included in the SOIP database. Electronic filing and E-services within the framework of the Cooperation Agreement with the European Intellectual Property Office (EUIPO), SOIP implemented the tools TMclass, TMview, DesignClass and DesignView. Implementation of the CESTO tool, which is designed to facilitate examining the absolute grounds for refusal is still pending. Front Office - a tool for e-filing for trademarks and designs is in the process of realisation. The preparation for the e-filing of patent applications has started in the framework of the bilateral cooperation with the European Patent Office (EPO) in 2015. In cooperation with the EPO expert, the analysis of the IT infrastructure of SOIP has been done, activities have started to prepare e-filing of patent applications starting in January 2016. The activities have not been completed yet. SOIP needs assistance to introduce e-filing and e-services as a set of activities. Developing E-network for exchange of IP data among the enforcement institutions. The creation of databases and exchange of information with other competent authorities in the field of protection of IPRs has started in 2006, under the CARDS program, the IRIS’ system for data exchange between the SOIP and the competent authorities for the implementation of IP protection was prepared, but the system, - the web platform was never put into operation. The issue of e-network has been emphasized already in the Strategy for IP of the Republic of Macedonia 2009 – 2012 and reiterated in National Industrial Property Strategy (2016 – 2018). The topic is, similarly to e-filing and e-services, one of the main goals of </w:t>
      </w:r>
      <w:r w:rsidRPr="00653A7A">
        <w:rPr>
          <w:rFonts w:eastAsia="Times New Roman" w:cs="Arial"/>
          <w:lang w:val="en-IE" w:eastAsia="en-ZW"/>
        </w:rPr>
        <w:t xml:space="preserve">The National Strategy on Intellectual Property 2022-2026 </w:t>
      </w:r>
      <w:r w:rsidRPr="00653A7A">
        <w:rPr>
          <w:rFonts w:eastAsia="Times New Roman" w:cs="Arial"/>
          <w:lang w:eastAsia="en-ZW"/>
        </w:rPr>
        <w:t>as well. None of the above has been implemented yet.</w:t>
      </w:r>
    </w:p>
    <w:p w14:paraId="2D22CD09" w14:textId="12980715" w:rsidR="008D1E13" w:rsidRDefault="00CC3B03" w:rsidP="00CA22CD">
      <w:pPr>
        <w:autoSpaceDE w:val="0"/>
        <w:autoSpaceDN w:val="0"/>
        <w:adjustRightInd w:val="0"/>
        <w:spacing w:before="120"/>
        <w:ind w:left="357"/>
        <w:rPr>
          <w:rFonts w:eastAsia="Times New Roman" w:cs="Arial"/>
          <w:lang w:eastAsia="en-ZW"/>
        </w:rPr>
      </w:pPr>
      <w:r>
        <w:rPr>
          <w:rFonts w:eastAsia="Times New Roman" w:cs="Arial"/>
          <w:lang w:eastAsia="en-ZW"/>
        </w:rPr>
        <w:t xml:space="preserve">Support for the development and implementation </w:t>
      </w:r>
      <w:r w:rsidR="00946A63">
        <w:rPr>
          <w:rFonts w:eastAsia="Times New Roman" w:cs="Arial"/>
          <w:lang w:eastAsia="en-ZW"/>
        </w:rPr>
        <w:t xml:space="preserve">of the relevant </w:t>
      </w:r>
      <w:r>
        <w:rPr>
          <w:rFonts w:eastAsia="Times New Roman" w:cs="Arial"/>
          <w:lang w:eastAsia="en-ZW"/>
        </w:rPr>
        <w:t xml:space="preserve">IPR </w:t>
      </w:r>
      <w:r w:rsidR="00946A63">
        <w:rPr>
          <w:rFonts w:eastAsia="Times New Roman" w:cs="Arial"/>
          <w:lang w:eastAsia="en-ZW"/>
        </w:rPr>
        <w:t xml:space="preserve">IT solutions are structured </w:t>
      </w:r>
      <w:r>
        <w:rPr>
          <w:rFonts w:eastAsia="Times New Roman" w:cs="Arial"/>
          <w:lang w:eastAsia="en-ZW"/>
        </w:rPr>
        <w:t xml:space="preserve">under the Action </w:t>
      </w:r>
      <w:r w:rsidR="00946A63">
        <w:rPr>
          <w:rFonts w:eastAsia="Times New Roman" w:cs="Arial"/>
          <w:lang w:eastAsia="en-ZW"/>
        </w:rPr>
        <w:t xml:space="preserve">in the following way: </w:t>
      </w:r>
    </w:p>
    <w:p w14:paraId="0E8F21B1" w14:textId="22896131" w:rsidR="009E2F3F" w:rsidRPr="009E2F3F" w:rsidRDefault="00CC3B03" w:rsidP="00CA22CD">
      <w:pPr>
        <w:numPr>
          <w:ilvl w:val="2"/>
          <w:numId w:val="13"/>
        </w:numPr>
        <w:autoSpaceDE w:val="0"/>
        <w:autoSpaceDN w:val="0"/>
        <w:adjustRightInd w:val="0"/>
        <w:spacing w:before="120"/>
        <w:ind w:left="717"/>
        <w:rPr>
          <w:rFonts w:eastAsia="Times New Roman" w:cs="Arial"/>
          <w:lang w:eastAsia="en-ZW"/>
        </w:rPr>
      </w:pPr>
      <w:r>
        <w:rPr>
          <w:rFonts w:eastAsia="Times New Roman" w:cs="Arial"/>
          <w:lang w:eastAsia="en-ZW"/>
        </w:rPr>
        <w:t>D</w:t>
      </w:r>
      <w:r w:rsidR="009E2F3F" w:rsidRPr="009E2F3F">
        <w:rPr>
          <w:rFonts w:eastAsia="Times New Roman" w:cs="Arial"/>
          <w:lang w:eastAsia="en-ZW"/>
        </w:rPr>
        <w:t>evelop</w:t>
      </w:r>
      <w:r>
        <w:rPr>
          <w:rFonts w:eastAsia="Times New Roman" w:cs="Arial"/>
          <w:lang w:eastAsia="en-ZW"/>
        </w:rPr>
        <w:t>ment and implementation of</w:t>
      </w:r>
      <w:r w:rsidR="009E2F3F" w:rsidRPr="009E2F3F">
        <w:rPr>
          <w:rFonts w:eastAsia="Times New Roman" w:cs="Arial"/>
          <w:lang w:eastAsia="en-ZW"/>
        </w:rPr>
        <w:t xml:space="preserve"> a software solution which will allow IP right holders, companies from MK to report, in a structured format, information about IPR infringements that have occurred in the internal market, neighbouring countries in which they were victims. This platform will collect information on the follow-up by local authorities or, in the case that no action was taken, letting the companies to explain their reasons for taking action. Relevant stakeholders, such as CBIP chaired by SOIP, Customs, State Market Inspectorate, Courts and other enforcement authorities will have access to the full details of the all the submitted cases based on their roles. Collection of such information will enable policy makers to draft new laws and the government to address the issues when negotiating with respective countries. </w:t>
      </w:r>
    </w:p>
    <w:p w14:paraId="0250D0F8" w14:textId="3C5234E3" w:rsidR="009E2F3F" w:rsidRPr="009E2F3F" w:rsidRDefault="00CC3B03" w:rsidP="00CA22CD">
      <w:pPr>
        <w:numPr>
          <w:ilvl w:val="2"/>
          <w:numId w:val="13"/>
        </w:numPr>
        <w:autoSpaceDE w:val="0"/>
        <w:autoSpaceDN w:val="0"/>
        <w:adjustRightInd w:val="0"/>
        <w:spacing w:before="120"/>
        <w:ind w:left="717"/>
        <w:rPr>
          <w:rFonts w:eastAsia="Times New Roman" w:cs="Arial"/>
          <w:lang w:eastAsia="en-ZW"/>
        </w:rPr>
      </w:pPr>
      <w:r>
        <w:rPr>
          <w:rFonts w:eastAsia="Times New Roman" w:cs="Arial"/>
          <w:lang w:eastAsia="en-ZW"/>
        </w:rPr>
        <w:t>D</w:t>
      </w:r>
      <w:r w:rsidR="009E2F3F" w:rsidRPr="009E2F3F">
        <w:rPr>
          <w:rFonts w:eastAsia="Times New Roman" w:cs="Arial"/>
          <w:lang w:eastAsia="en-ZW"/>
        </w:rPr>
        <w:t xml:space="preserve">evelopment and implementation of a publicly available database register composed of collection of works whose authors cannot be identified and which after </w:t>
      </w:r>
      <w:r w:rsidR="00A44CD8" w:rsidRPr="009E2F3F">
        <w:rPr>
          <w:rFonts w:eastAsia="Times New Roman" w:cs="Arial"/>
          <w:lang w:eastAsia="en-ZW"/>
        </w:rPr>
        <w:t>diligent research</w:t>
      </w:r>
      <w:r w:rsidR="009E2F3F" w:rsidRPr="009E2F3F">
        <w:rPr>
          <w:rFonts w:eastAsia="Times New Roman" w:cs="Arial"/>
          <w:lang w:eastAsia="en-ZW"/>
        </w:rPr>
        <w:t xml:space="preserve"> are labelled as orphan works. The orphan works are copyright protected works for which IP right holders cannot be identified or, even if one or more of them is identified, or they cannot be located. A work can become orphaned through rightsholders being unaware of their holding.  The inability to request permission from the right holders of the copyright, it means orphan works cannot be used in new works nor digitized, except when fair use exceptions apply. Public libraries, museums etc., can’t distribute orphaned books without avoiding the risk of getting legal action against them in case the owner of the copyright were to file a copyright violation. </w:t>
      </w:r>
      <w:r w:rsidR="00D461D9">
        <w:rPr>
          <w:rFonts w:eastAsia="Times New Roman" w:cs="Arial"/>
          <w:lang w:eastAsia="en-ZW"/>
        </w:rPr>
        <w:t xml:space="preserve">Therefore, this </w:t>
      </w:r>
      <w:r w:rsidR="00A44CD8">
        <w:rPr>
          <w:rFonts w:eastAsia="Times New Roman" w:cs="Arial"/>
          <w:lang w:eastAsia="en-ZW"/>
        </w:rPr>
        <w:t xml:space="preserve">database </w:t>
      </w:r>
      <w:r w:rsidR="00D461D9">
        <w:rPr>
          <w:rFonts w:eastAsia="Times New Roman" w:cs="Arial"/>
          <w:lang w:eastAsia="en-ZW"/>
        </w:rPr>
        <w:t>will enable p</w:t>
      </w:r>
      <w:r w:rsidR="009E2F3F" w:rsidRPr="009E2F3F">
        <w:rPr>
          <w:rFonts w:eastAsia="Times New Roman" w:cs="Arial"/>
          <w:lang w:eastAsia="en-ZW"/>
        </w:rPr>
        <w:t xml:space="preserve">ublic </w:t>
      </w:r>
      <w:r w:rsidR="00A44CD8">
        <w:rPr>
          <w:rFonts w:eastAsia="Times New Roman" w:cs="Arial"/>
          <w:lang w:eastAsia="en-ZW"/>
        </w:rPr>
        <w:t xml:space="preserve">to be informed </w:t>
      </w:r>
      <w:r w:rsidR="009E2F3F" w:rsidRPr="009E2F3F">
        <w:rPr>
          <w:rFonts w:eastAsia="Times New Roman" w:cs="Arial"/>
          <w:lang w:eastAsia="en-ZW"/>
        </w:rPr>
        <w:t xml:space="preserve">related to orphan works contained in the collections of publicly accessible libraries, educational establishments and museums, </w:t>
      </w:r>
      <w:r w:rsidR="009E2F3F" w:rsidRPr="009E2F3F">
        <w:rPr>
          <w:rFonts w:eastAsia="Times New Roman" w:cs="Arial"/>
          <w:lang w:eastAsia="en-ZW"/>
        </w:rPr>
        <w:lastRenderedPageBreak/>
        <w:t xml:space="preserve">as well as archives, film or audio heritage institutions and public-service broadcasting organizations established in North Macedonia. The database will provide a workflow of a diligent research to determine the author for cases when authors or creator claim the work.  </w:t>
      </w:r>
    </w:p>
    <w:p w14:paraId="10A66DF9" w14:textId="524AD4FA" w:rsidR="009E2F3F" w:rsidRPr="009E2F3F" w:rsidRDefault="00A44CD8" w:rsidP="00CA22CD">
      <w:pPr>
        <w:numPr>
          <w:ilvl w:val="2"/>
          <w:numId w:val="13"/>
        </w:numPr>
        <w:autoSpaceDE w:val="0"/>
        <w:autoSpaceDN w:val="0"/>
        <w:adjustRightInd w:val="0"/>
        <w:spacing w:before="120"/>
        <w:ind w:left="717"/>
        <w:rPr>
          <w:rFonts w:eastAsia="Times New Roman" w:cs="Arial"/>
          <w:lang w:eastAsia="en-ZW"/>
        </w:rPr>
      </w:pPr>
      <w:r>
        <w:rPr>
          <w:rFonts w:eastAsia="Times New Roman" w:cs="Arial"/>
          <w:lang w:eastAsia="en-ZW"/>
        </w:rPr>
        <w:t>Development</w:t>
      </w:r>
      <w:r w:rsidR="009E2F3F" w:rsidRPr="009E2F3F">
        <w:rPr>
          <w:rFonts w:eastAsia="Times New Roman" w:cs="Arial"/>
          <w:lang w:eastAsia="en-ZW"/>
        </w:rPr>
        <w:t xml:space="preserve"> and implementation of an online platform to help finding legally digital content easily, hosted by the State Office of Industrial Property as key stakeholder and law enforcement institution in North Macedonia. This platform will provide a fast and easy access to national portals that link to websites which offer this content nationally or regionally respecting the intellectual property rights of authors and creators. </w:t>
      </w:r>
      <w:r w:rsidR="005F6985">
        <w:rPr>
          <w:rFonts w:eastAsia="Times New Roman" w:cs="Arial"/>
          <w:lang w:eastAsia="en-ZW"/>
        </w:rPr>
        <w:t xml:space="preserve">The </w:t>
      </w:r>
      <w:r w:rsidR="009E2F3F" w:rsidRPr="009E2F3F">
        <w:rPr>
          <w:rFonts w:eastAsia="Times New Roman" w:cs="Arial"/>
          <w:lang w:eastAsia="en-ZW"/>
        </w:rPr>
        <w:t>platform that will provide an alternative legal option to non-licensed, illegal internet content which, if accessed, might be detrimental to yourself and others. Such a gateway gives users an opportunity to reach these alternative options, and as well publishers of a legal content to become part of a register of legal streaming services.</w:t>
      </w:r>
    </w:p>
    <w:p w14:paraId="4B1BC997" w14:textId="1794E9E9" w:rsidR="005925D7" w:rsidRPr="00B55E1E" w:rsidRDefault="005F6985" w:rsidP="00CA22CD">
      <w:pPr>
        <w:autoSpaceDE w:val="0"/>
        <w:autoSpaceDN w:val="0"/>
        <w:adjustRightInd w:val="0"/>
        <w:spacing w:before="120"/>
        <w:ind w:left="357"/>
        <w:rPr>
          <w:rFonts w:eastAsia="Times New Roman" w:cs="Arial"/>
          <w:lang w:eastAsia="en-ZW"/>
        </w:rPr>
      </w:pPr>
      <w:r>
        <w:rPr>
          <w:rFonts w:eastAsia="Times New Roman" w:cs="Arial"/>
          <w:lang w:eastAsia="en-ZW"/>
        </w:rPr>
        <w:t>Furthermore, r</w:t>
      </w:r>
      <w:r w:rsidR="00F21ED1" w:rsidRPr="00B55E1E">
        <w:rPr>
          <w:rFonts w:eastAsia="Times New Roman" w:cs="Arial"/>
          <w:lang w:eastAsia="en-ZW"/>
        </w:rPr>
        <w:t>aising the IP awareness of the society is of high importance, taking into consideration the rate of piracy and the presence of counterfeited goods on the domestic market, showing that their level of knowledge is not satisfactory. It is necessary to</w:t>
      </w:r>
      <w:r w:rsidR="008C335F">
        <w:rPr>
          <w:rFonts w:eastAsia="Times New Roman" w:cs="Arial"/>
          <w:lang w:eastAsia="en-ZW"/>
        </w:rPr>
        <w:t xml:space="preserve"> continuously</w:t>
      </w:r>
      <w:r w:rsidR="00F21ED1" w:rsidRPr="00B55E1E">
        <w:rPr>
          <w:rFonts w:eastAsia="Times New Roman" w:cs="Arial"/>
          <w:lang w:eastAsia="en-ZW"/>
        </w:rPr>
        <w:t xml:space="preserve"> raise and strengthen the awareness of the public about the importance of the protection and its economic benefits.</w:t>
      </w:r>
      <w:r w:rsidR="00093977">
        <w:rPr>
          <w:rFonts w:eastAsia="Times New Roman" w:cs="Arial"/>
          <w:lang w:eastAsia="en-ZW"/>
        </w:rPr>
        <w:t xml:space="preserve"> </w:t>
      </w:r>
      <w:r w:rsidR="00591E75">
        <w:rPr>
          <w:rFonts w:eastAsia="Times New Roman" w:cs="Arial"/>
          <w:lang w:eastAsia="en-ZW"/>
        </w:rPr>
        <w:t>Therefore</w:t>
      </w:r>
      <w:r w:rsidR="007442A8">
        <w:rPr>
          <w:rFonts w:eastAsia="Times New Roman" w:cs="Arial"/>
          <w:lang w:eastAsia="en-ZW"/>
        </w:rPr>
        <w:t>,</w:t>
      </w:r>
      <w:r w:rsidR="00591E75">
        <w:rPr>
          <w:rFonts w:eastAsia="Times New Roman" w:cs="Arial"/>
          <w:lang w:eastAsia="en-ZW"/>
        </w:rPr>
        <w:t xml:space="preserve"> the Action will also support, r</w:t>
      </w:r>
      <w:r w:rsidR="005925D7" w:rsidRPr="00B55E1E">
        <w:rPr>
          <w:rFonts w:eastAsia="Times New Roman" w:cs="Arial"/>
          <w:lang w:eastAsia="en-ZW"/>
        </w:rPr>
        <w:t xml:space="preserve">aising public awareness </w:t>
      </w:r>
      <w:r w:rsidR="00254C35" w:rsidRPr="00B55E1E">
        <w:rPr>
          <w:rFonts w:eastAsia="Times New Roman" w:cs="Arial"/>
          <w:lang w:eastAsia="en-ZW"/>
        </w:rPr>
        <w:t xml:space="preserve">at national and local levels </w:t>
      </w:r>
      <w:r w:rsidR="005925D7" w:rsidRPr="00B55E1E">
        <w:rPr>
          <w:rFonts w:eastAsia="Times New Roman" w:cs="Arial"/>
          <w:lang w:eastAsia="en-ZW"/>
        </w:rPr>
        <w:t xml:space="preserve">about the IP, its social and economic importance and value </w:t>
      </w:r>
      <w:r w:rsidR="009C6453">
        <w:rPr>
          <w:rFonts w:eastAsia="Times New Roman" w:cs="Arial"/>
          <w:lang w:eastAsia="en-ZW"/>
        </w:rPr>
        <w:t xml:space="preserve">of </w:t>
      </w:r>
      <w:r w:rsidR="005925D7" w:rsidRPr="00B55E1E">
        <w:rPr>
          <w:rFonts w:eastAsia="Times New Roman" w:cs="Arial"/>
          <w:lang w:eastAsia="en-ZW"/>
        </w:rPr>
        <w:t xml:space="preserve">increasing the effectiveness of the legal enforcement of IPRs.  </w:t>
      </w:r>
      <w:r w:rsidR="00254C35">
        <w:rPr>
          <w:rFonts w:eastAsia="Times New Roman" w:cs="Arial"/>
          <w:lang w:eastAsia="en-ZW"/>
        </w:rPr>
        <w:t xml:space="preserve"> </w:t>
      </w:r>
    </w:p>
    <w:p w14:paraId="173E5C03" w14:textId="4BC1E5A0" w:rsidR="00B55E1E" w:rsidRPr="00922BB5" w:rsidRDefault="00B55E1E" w:rsidP="00CA22CD">
      <w:pPr>
        <w:keepNext/>
        <w:keepLines/>
        <w:spacing w:before="120"/>
        <w:ind w:left="717" w:hanging="360"/>
        <w:outlineLvl w:val="0"/>
        <w:rPr>
          <w:rFonts w:eastAsia="Yu Gothic Light" w:cs="Times New Roman"/>
          <w:bCs/>
          <w:i/>
          <w:iCs/>
          <w:color w:val="0D0D0D"/>
          <w:szCs w:val="32"/>
          <w:lang w:eastAsia="en-ZW"/>
        </w:rPr>
      </w:pPr>
      <w:r w:rsidRPr="00922BB5">
        <w:rPr>
          <w:rFonts w:eastAsia="Yu Gothic Light" w:cs="Times New Roman"/>
          <w:bCs/>
          <w:i/>
          <w:iCs/>
          <w:color w:val="0D0D0D"/>
          <w:szCs w:val="32"/>
          <w:lang w:eastAsia="en-ZW"/>
        </w:rPr>
        <w:t>Smart Specialisation Strategy</w:t>
      </w:r>
    </w:p>
    <w:p w14:paraId="63CA5E1D" w14:textId="77777777" w:rsidR="0084547B" w:rsidRDefault="004B6190" w:rsidP="00CA22CD">
      <w:pPr>
        <w:spacing w:before="120"/>
        <w:ind w:left="357"/>
        <w:rPr>
          <w:rFonts w:eastAsia="Calibri" w:cs="Arial"/>
        </w:rPr>
      </w:pPr>
      <w:r w:rsidRPr="004B6190">
        <w:rPr>
          <w:rFonts w:eastAsia="Calibri" w:cs="Arial"/>
        </w:rPr>
        <w:t>Key factors that undermine the country’s competitiveness, investment and GVC integration include a challenging business environment, a lack of skills, innovation and technology adoption and low productivity. The country’s businesses suffer from unsophisticated technology, limited capacities of production and innovation, inconsistent quality of goods and services, low investment in human and physical capital, frequent changes to the regulatory framework, low productivity and competition from a large informal sector. According to latest OECD Competitiveness Outlook, North Macedonia progressed in various policy areas, its policies to increase competitiveness need to be effectively and continuously implemented as well as stepped up to have a more sustainable impact. The future success of the economy mainly hinges on the success of a broad range of structural economic reforms, especially ones aiming to further improve the business environment (e.g. measures to combat the informal economy, simplification of the legal framework for doing business and the establishment of a fully functional state registry), enhanced support to innovation and technological development and promotion of human capital (i.e. skills development). Such reform efforts could also help attract foreign investment to sectors with high value added.</w:t>
      </w:r>
      <w:r w:rsidR="0084547B" w:rsidRPr="0084547B">
        <w:rPr>
          <w:rFonts w:eastAsia="Calibri" w:cs="Arial"/>
        </w:rPr>
        <w:t xml:space="preserve"> </w:t>
      </w:r>
    </w:p>
    <w:p w14:paraId="585FCBEE" w14:textId="20832FB8" w:rsidR="0084547B" w:rsidRPr="000616ED" w:rsidRDefault="0084547B" w:rsidP="00CA22CD">
      <w:pPr>
        <w:spacing w:before="120"/>
        <w:ind w:left="357"/>
        <w:rPr>
          <w:rFonts w:eastAsia="Calibri" w:cs="Arial"/>
        </w:rPr>
      </w:pPr>
      <w:r w:rsidRPr="0084547B">
        <w:rPr>
          <w:rFonts w:eastAsia="Calibri" w:cs="Arial"/>
        </w:rPr>
        <w:t>To</w:t>
      </w:r>
      <w:r w:rsidRPr="000616ED">
        <w:rPr>
          <w:rFonts w:eastAsia="Calibri" w:cs="Arial"/>
        </w:rPr>
        <w:t xml:space="preserve"> continue the support to innovation, it is relevant to create and implement strategic concept with adequate policy mix as well work on strengthening the institutional capacities. Smart specialization concept is not new in EU countries. It was one of the preconditions to enable access to the cohesion funds. This </w:t>
      </w:r>
      <w:r w:rsidRPr="0084547B">
        <w:rPr>
          <w:rFonts w:eastAsia="Calibri" w:cs="Arial"/>
        </w:rPr>
        <w:t>place-based</w:t>
      </w:r>
      <w:r w:rsidRPr="000616ED">
        <w:rPr>
          <w:rFonts w:eastAsia="Calibri" w:cs="Arial"/>
        </w:rPr>
        <w:t xml:space="preserve"> innovation strategy gives priorities and stimulate continuous entrepreneurial discovery process, where jointly academia, business, NGO and government will identify the biggest potentials and work on strengthening the comparative advantages, finding new markets and new business opportunities. In these days EU are developing further the concept towards Partnership for Regional Innovation networking and strengthening the links between countries and regions in order to stimulate smart specialization, innovation, research and development.</w:t>
      </w:r>
    </w:p>
    <w:p w14:paraId="7C2DBABF" w14:textId="77777777" w:rsidR="00993130" w:rsidRDefault="00816597" w:rsidP="00CA22CD">
      <w:pPr>
        <w:spacing w:before="120"/>
        <w:ind w:left="357"/>
        <w:rPr>
          <w:rFonts w:eastAsia="Calibri" w:cs="Arial"/>
        </w:rPr>
      </w:pPr>
      <w:r w:rsidRPr="000616ED">
        <w:rPr>
          <w:rFonts w:eastAsia="Calibri" w:cs="Arial"/>
        </w:rPr>
        <w:t xml:space="preserve">The Republic of North Macedonia have adopted their first Innovation Strategy in 2013 when the Fund for Innovation and Technology development was created as a key implementing institution. </w:t>
      </w:r>
      <w:r w:rsidR="008A1532" w:rsidRPr="000616ED">
        <w:rPr>
          <w:rFonts w:eastAsia="Calibri" w:cs="Arial"/>
        </w:rPr>
        <w:t>What was learned from previous innovation strategy is that as a key pillars for success are: continuous capacity building of all stakeholders in the system, structure of the policy mix offering stimulation and support to innovation, need for continuous dialogue on highest political level confirming the commitment and coordination between institutions,  as well dialogue between stakeholders especially academia and business, need for better understanding and getting acquainted with EU programs that provide access to finance for the stakeholders, continuous development of the innovation infrastructure (accelerators, digital innovation hubs, centres of excellence, science technology park etc.).</w:t>
      </w:r>
      <w:r w:rsidR="008C014C">
        <w:rPr>
          <w:rFonts w:eastAsia="Calibri" w:cs="Arial"/>
        </w:rPr>
        <w:t xml:space="preserve"> </w:t>
      </w:r>
    </w:p>
    <w:p w14:paraId="62F2FF88" w14:textId="3E1699FC" w:rsidR="002C2BED" w:rsidRPr="002C2BED" w:rsidRDefault="002C2BED" w:rsidP="00CA22CD">
      <w:pPr>
        <w:spacing w:before="120"/>
        <w:ind w:left="357"/>
        <w:rPr>
          <w:rFonts w:eastAsia="Calibri" w:cs="Arial"/>
        </w:rPr>
      </w:pPr>
      <w:r w:rsidRPr="002C2BED">
        <w:rPr>
          <w:rFonts w:eastAsia="Calibri" w:cs="Arial"/>
        </w:rPr>
        <w:lastRenderedPageBreak/>
        <w:t xml:space="preserve">In this direction, the adoption of the Smart Specialisation Strategy </w:t>
      </w:r>
      <w:r w:rsidR="00283CB4" w:rsidRPr="000616ED">
        <w:rPr>
          <w:rFonts w:eastAsia="Calibri" w:cs="Arial"/>
        </w:rPr>
        <w:t xml:space="preserve">within second quarter of 2023 </w:t>
      </w:r>
      <w:r w:rsidR="0041329C" w:rsidRPr="000616ED">
        <w:rPr>
          <w:rFonts w:eastAsia="Calibri" w:cs="Arial"/>
        </w:rPr>
        <w:t xml:space="preserve">envisages further development of the innovation eco system, having the horizontal approach for general stimulation of the innovation eco system, but also vertical approach for supporting domains for smart specialization, that are identified as areas with highest economic, science and innovation </w:t>
      </w:r>
      <w:r w:rsidR="0041329C">
        <w:rPr>
          <w:rFonts w:eastAsia="Calibri" w:cs="Arial"/>
        </w:rPr>
        <w:t xml:space="preserve">potential. </w:t>
      </w:r>
      <w:r w:rsidR="00A10FAF">
        <w:rPr>
          <w:rFonts w:eastAsia="Calibri" w:cs="Arial"/>
        </w:rPr>
        <w:t>S</w:t>
      </w:r>
      <w:r w:rsidRPr="002C2BED">
        <w:rPr>
          <w:rFonts w:eastAsia="Calibri" w:cs="Arial"/>
        </w:rPr>
        <w:t>etting the institutional infrastructure for support of the academia-business collaboration, is particularly important. In the process of creating a competitive economy, based on knowledge and innovation, there should be a strong link to enhancing the innovation and stimulating cooperation between academia and business for transferring the knowledge, skills development, increasing capacities for research and development etc. In creation favourable environment for innovation-based growth it is necessary to provide strategic framework as a policy guidance with clear vision for inclusive and smart growth and strengthen the institutional support infrastructure for R&amp;D&amp;I in order to get closer to the science and technology and become more competitive in regional economy.</w:t>
      </w:r>
    </w:p>
    <w:p w14:paraId="18A47CA6" w14:textId="4EC06CF9" w:rsidR="000270B6" w:rsidRDefault="00202644" w:rsidP="00CA22CD">
      <w:pPr>
        <w:autoSpaceDE w:val="0"/>
        <w:autoSpaceDN w:val="0"/>
        <w:adjustRightInd w:val="0"/>
        <w:spacing w:before="120"/>
        <w:ind w:left="357"/>
        <w:rPr>
          <w:rFonts w:eastAsia="Calibri" w:cs="Times New Roman"/>
        </w:rPr>
      </w:pPr>
      <w:r>
        <w:rPr>
          <w:rFonts w:eastAsia="Calibri" w:cs="Times New Roman"/>
        </w:rPr>
        <w:t>P</w:t>
      </w:r>
      <w:r w:rsidRPr="00202644">
        <w:rPr>
          <w:rFonts w:eastAsia="Calibri" w:cs="Times New Roman"/>
        </w:rPr>
        <w:t>ropos</w:t>
      </w:r>
      <w:r>
        <w:rPr>
          <w:rFonts w:eastAsia="Calibri" w:cs="Times New Roman"/>
        </w:rPr>
        <w:t xml:space="preserve">ed Action </w:t>
      </w:r>
      <w:r w:rsidRPr="00202644">
        <w:rPr>
          <w:rFonts w:eastAsia="Calibri" w:cs="Times New Roman"/>
        </w:rPr>
        <w:t xml:space="preserve">is designed to </w:t>
      </w:r>
      <w:r>
        <w:rPr>
          <w:rFonts w:eastAsia="Calibri" w:cs="Times New Roman"/>
        </w:rPr>
        <w:t xml:space="preserve">contribute to the implementation of the new strategy, in particular to </w:t>
      </w:r>
      <w:r w:rsidRPr="00202644">
        <w:rPr>
          <w:rFonts w:eastAsia="Calibri" w:cs="Times New Roman"/>
        </w:rPr>
        <w:t>enable</w:t>
      </w:r>
      <w:r>
        <w:rPr>
          <w:rFonts w:eastAsia="Calibri" w:cs="Times New Roman"/>
        </w:rPr>
        <w:t xml:space="preserve"> </w:t>
      </w:r>
      <w:r w:rsidRPr="00202644">
        <w:rPr>
          <w:rFonts w:eastAsia="Calibri" w:cs="Times New Roman"/>
        </w:rPr>
        <w:t>improving communication and coordination among stakeholders</w:t>
      </w:r>
      <w:r>
        <w:rPr>
          <w:rFonts w:eastAsia="Calibri" w:cs="Times New Roman"/>
        </w:rPr>
        <w:t xml:space="preserve">; to </w:t>
      </w:r>
      <w:r w:rsidRPr="00202644">
        <w:rPr>
          <w:rFonts w:eastAsia="Calibri" w:cs="Times New Roman"/>
        </w:rPr>
        <w:t>increasing administrative and monitoring capacity</w:t>
      </w:r>
      <w:r>
        <w:rPr>
          <w:rFonts w:eastAsia="Calibri" w:cs="Times New Roman"/>
        </w:rPr>
        <w:t>; to</w:t>
      </w:r>
      <w:r w:rsidRPr="00202644">
        <w:rPr>
          <w:rFonts w:eastAsia="Calibri" w:cs="Times New Roman"/>
        </w:rPr>
        <w:t xml:space="preserve"> improve the policy mix aligned with EU S3 good practices </w:t>
      </w:r>
      <w:r>
        <w:rPr>
          <w:rFonts w:eastAsia="Calibri" w:cs="Times New Roman"/>
        </w:rPr>
        <w:t xml:space="preserve">and </w:t>
      </w:r>
      <w:r w:rsidRPr="00202644">
        <w:rPr>
          <w:rFonts w:eastAsia="Calibri" w:cs="Times New Roman"/>
        </w:rPr>
        <w:t>improve participation in EU programs and projects</w:t>
      </w:r>
      <w:r>
        <w:rPr>
          <w:rFonts w:eastAsia="Calibri" w:cs="Times New Roman"/>
        </w:rPr>
        <w:t>.</w:t>
      </w:r>
    </w:p>
    <w:p w14:paraId="5054FB66" w14:textId="6E92E6B3" w:rsidR="00D76990" w:rsidRPr="00CA22CD" w:rsidRDefault="00FE62E6" w:rsidP="00CA22CD">
      <w:pPr>
        <w:pStyle w:val="Heading1"/>
        <w:numPr>
          <w:ilvl w:val="0"/>
          <w:numId w:val="0"/>
        </w:numPr>
        <w:spacing w:after="0"/>
        <w:ind w:left="357"/>
        <w:rPr>
          <w:b w:val="0"/>
          <w:u w:val="single"/>
        </w:rPr>
      </w:pPr>
      <w:r w:rsidRPr="00CA22CD">
        <w:rPr>
          <w:b w:val="0"/>
          <w:u w:val="single"/>
        </w:rPr>
        <w:t xml:space="preserve">Main </w:t>
      </w:r>
      <w:r w:rsidR="00D76990" w:rsidRPr="00CA22CD">
        <w:rPr>
          <w:b w:val="0"/>
          <w:u w:val="single"/>
        </w:rPr>
        <w:t xml:space="preserve">stakeholders </w:t>
      </w:r>
    </w:p>
    <w:p w14:paraId="673D5BDB" w14:textId="2D2A7540" w:rsidR="00D76990" w:rsidRDefault="00D76990" w:rsidP="00CA22CD">
      <w:pPr>
        <w:spacing w:before="120"/>
        <w:ind w:left="357"/>
      </w:pPr>
      <w:r>
        <w:t>M</w:t>
      </w:r>
      <w:r w:rsidRPr="00D249CF">
        <w:t xml:space="preserve">ain stakeholders and corresponding institutional and/or organisational issues (mandates, potential roles, and capacities) </w:t>
      </w:r>
      <w:r>
        <w:t xml:space="preserve">identified </w:t>
      </w:r>
      <w:r w:rsidRPr="00D249CF">
        <w:t>to be covered by the Action</w:t>
      </w:r>
      <w:r>
        <w:t xml:space="preserve"> in the </w:t>
      </w:r>
      <w:r w:rsidRPr="00D249CF">
        <w:t xml:space="preserve">area of </w:t>
      </w:r>
      <w:r>
        <w:t>the private sector development</w:t>
      </w:r>
      <w:r w:rsidRPr="00D249CF">
        <w:t>:</w:t>
      </w:r>
    </w:p>
    <w:p w14:paraId="4BFD1A9A" w14:textId="0CDA69B5" w:rsidR="00A10FAF" w:rsidRPr="00196921" w:rsidRDefault="00A10FAF" w:rsidP="00CA22CD">
      <w:pPr>
        <w:pStyle w:val="ListParagraph"/>
        <w:numPr>
          <w:ilvl w:val="0"/>
          <w:numId w:val="33"/>
        </w:numPr>
        <w:spacing w:before="120"/>
        <w:ind w:left="1077"/>
        <w:contextualSpacing w:val="0"/>
      </w:pPr>
      <w:r w:rsidRPr="00C819A5">
        <w:rPr>
          <w:b/>
          <w:bCs/>
        </w:rPr>
        <w:t>Ministry of Economy</w:t>
      </w:r>
      <w:r w:rsidR="00C819A5">
        <w:rPr>
          <w:b/>
          <w:bCs/>
        </w:rPr>
        <w:t xml:space="preserve"> (MoE)</w:t>
      </w:r>
      <w:r w:rsidR="0021321A">
        <w:rPr>
          <w:b/>
          <w:bCs/>
        </w:rPr>
        <w:t xml:space="preserve"> </w:t>
      </w:r>
      <w:r w:rsidR="00196921" w:rsidRPr="00196921">
        <w:t>is the policy-making body for the competitiveness</w:t>
      </w:r>
      <w:r w:rsidR="00B229E4">
        <w:t>,</w:t>
      </w:r>
      <w:r w:rsidR="00196921" w:rsidRPr="00196921">
        <w:t xml:space="preserve"> </w:t>
      </w:r>
      <w:r w:rsidR="00207C78" w:rsidRPr="00207C78">
        <w:t>goods and services sector and SMEs</w:t>
      </w:r>
      <w:r w:rsidR="00207C78">
        <w:t>.</w:t>
      </w:r>
    </w:p>
    <w:p w14:paraId="40C40E60" w14:textId="0E7F7A68" w:rsidR="00B35870" w:rsidRPr="00C819A5" w:rsidRDefault="00B35870" w:rsidP="00CA22CD">
      <w:pPr>
        <w:pStyle w:val="ListParagraph"/>
        <w:numPr>
          <w:ilvl w:val="0"/>
          <w:numId w:val="33"/>
        </w:numPr>
        <w:spacing w:before="120"/>
        <w:ind w:left="1077"/>
        <w:contextualSpacing w:val="0"/>
        <w:rPr>
          <w:b/>
          <w:bCs/>
        </w:rPr>
      </w:pPr>
      <w:r w:rsidRPr="00C819A5">
        <w:rPr>
          <w:rFonts w:eastAsia="Times New Roman" w:cs="Arial"/>
          <w:b/>
          <w:bCs/>
          <w:lang w:eastAsia="en-ZW"/>
        </w:rPr>
        <w:t>State Market Inspection (SMI)</w:t>
      </w:r>
      <w:r w:rsidR="00C819A5">
        <w:rPr>
          <w:rFonts w:eastAsia="Times New Roman" w:cs="Arial"/>
          <w:b/>
          <w:bCs/>
          <w:lang w:eastAsia="en-ZW"/>
        </w:rPr>
        <w:t xml:space="preserve"> </w:t>
      </w:r>
      <w:r w:rsidR="0057596E">
        <w:t>is an surveillance authority in the framework of the Ministry of Economy</w:t>
      </w:r>
      <w:r w:rsidR="00C548FA">
        <w:t xml:space="preserve">. SMI operates </w:t>
      </w:r>
      <w:r w:rsidR="00163DD6">
        <w:t xml:space="preserve">also </w:t>
      </w:r>
      <w:r w:rsidR="00C548FA">
        <w:t>through</w:t>
      </w:r>
      <w:r w:rsidR="0057596E">
        <w:t xml:space="preserve"> regional offices in Skopje, </w:t>
      </w:r>
      <w:r w:rsidR="005E4E6E">
        <w:rPr>
          <w:lang w:val="sr-Latn-RS"/>
        </w:rPr>
        <w:t>Š</w:t>
      </w:r>
      <w:r w:rsidR="0057596E">
        <w:t>tip, Strumica, Bitola and Ohrid, and employs a total of 165 employees mostly inspectors.</w:t>
      </w:r>
    </w:p>
    <w:p w14:paraId="313A4373" w14:textId="4BA1A28B" w:rsidR="00A10FAF" w:rsidRDefault="00A10FAF" w:rsidP="00CA22CD">
      <w:pPr>
        <w:pStyle w:val="ListParagraph"/>
        <w:numPr>
          <w:ilvl w:val="0"/>
          <w:numId w:val="33"/>
        </w:numPr>
        <w:spacing w:before="120"/>
        <w:ind w:left="1077"/>
        <w:contextualSpacing w:val="0"/>
      </w:pPr>
      <w:r w:rsidRPr="00A10FAF">
        <w:rPr>
          <w:b/>
          <w:bCs/>
        </w:rPr>
        <w:t>State Office for Industrial Property (SOIP)</w:t>
      </w:r>
      <w:r w:rsidRPr="00A10FAF">
        <w:t xml:space="preserve"> is an administrative body with a status of an independent state administrative body with responsibilities laid down by the Law. SOIP has the capacity of a legal entity and it is supervised by the Ministry of Economy (MoE) who, according to the Law, supervises the implementation of the provisions of the Law and the respective bylaws. SOIP is managed by a director who represents the Office.</w:t>
      </w:r>
      <w:r w:rsidR="0021321A">
        <w:t xml:space="preserve"> </w:t>
      </w:r>
    </w:p>
    <w:p w14:paraId="21554EAE" w14:textId="46E61FFA" w:rsidR="00B35870" w:rsidRPr="00207C78" w:rsidRDefault="00C819A5" w:rsidP="00CA22CD">
      <w:pPr>
        <w:pStyle w:val="ListParagraph"/>
        <w:numPr>
          <w:ilvl w:val="0"/>
          <w:numId w:val="33"/>
        </w:numPr>
        <w:spacing w:before="120"/>
        <w:ind w:left="1077"/>
        <w:contextualSpacing w:val="0"/>
      </w:pPr>
      <w:r w:rsidRPr="00207C78">
        <w:rPr>
          <w:rFonts w:eastAsia="Calibri" w:cs="Arial"/>
          <w:b/>
          <w:bCs/>
        </w:rPr>
        <w:t xml:space="preserve">Fund for Innovation and Technology </w:t>
      </w:r>
      <w:r w:rsidR="00207C78" w:rsidRPr="00207C78">
        <w:rPr>
          <w:rFonts w:eastAsia="Calibri" w:cs="Arial"/>
          <w:b/>
          <w:bCs/>
        </w:rPr>
        <w:t>D</w:t>
      </w:r>
      <w:r w:rsidRPr="00207C78">
        <w:rPr>
          <w:rFonts w:eastAsia="Calibri" w:cs="Arial"/>
          <w:b/>
          <w:bCs/>
        </w:rPr>
        <w:t>evelopment (FITD)</w:t>
      </w:r>
      <w:r w:rsidR="005F0211" w:rsidRPr="00207C78">
        <w:rPr>
          <w:rFonts w:eastAsia="Calibri" w:cs="Arial"/>
          <w:b/>
          <w:bCs/>
        </w:rPr>
        <w:t xml:space="preserve"> </w:t>
      </w:r>
      <w:r w:rsidR="006C73D8" w:rsidRPr="00207C78">
        <w:rPr>
          <w:rFonts w:eastAsia="Calibri" w:cs="Arial"/>
        </w:rPr>
        <w:t xml:space="preserve">a leading government institution for supporting </w:t>
      </w:r>
      <w:r w:rsidR="00B229E4" w:rsidRPr="00207C78">
        <w:rPr>
          <w:rFonts w:eastAsia="Calibri" w:cs="Arial"/>
        </w:rPr>
        <w:t>start-ups</w:t>
      </w:r>
      <w:r w:rsidR="006C73D8" w:rsidRPr="00207C78">
        <w:rPr>
          <w:rFonts w:eastAsia="Calibri" w:cs="Arial"/>
        </w:rPr>
        <w:t xml:space="preserve"> and innovative companies in the Republic of North Macedonia. Currently, the Fund, through its financial instruments, co-finances 686 projects with a joint investment of 86 million euros. As much as 51% of the FITR portfolio, i</w:t>
      </w:r>
      <w:r w:rsidR="000B796D" w:rsidRPr="00207C78">
        <w:rPr>
          <w:rFonts w:eastAsia="Calibri" w:cs="Arial"/>
        </w:rPr>
        <w:t>.</w:t>
      </w:r>
      <w:r w:rsidR="006C73D8" w:rsidRPr="00207C78">
        <w:rPr>
          <w:rFonts w:eastAsia="Calibri" w:cs="Arial"/>
        </w:rPr>
        <w:t>e</w:t>
      </w:r>
      <w:r w:rsidR="000B796D" w:rsidRPr="00207C78">
        <w:rPr>
          <w:rFonts w:eastAsia="Calibri" w:cs="Arial"/>
        </w:rPr>
        <w:t>.</w:t>
      </w:r>
      <w:r w:rsidR="006C73D8" w:rsidRPr="00207C78">
        <w:rPr>
          <w:rFonts w:eastAsia="Calibri" w:cs="Arial"/>
        </w:rPr>
        <w:t xml:space="preserve"> 326 supported companies are </w:t>
      </w:r>
      <w:r w:rsidR="00B229E4" w:rsidRPr="00207C78">
        <w:rPr>
          <w:rFonts w:eastAsia="Calibri" w:cs="Arial"/>
        </w:rPr>
        <w:t>start-up</w:t>
      </w:r>
      <w:r w:rsidR="006C73D8" w:rsidRPr="00207C78">
        <w:rPr>
          <w:rFonts w:eastAsia="Calibri" w:cs="Arial"/>
        </w:rPr>
        <w:t xml:space="preserve"> companies, mostly founded by young people. With almost 1.5 million euros, the Fund also supports the development of three accelerators in the country: X Factor, Seavus Accelerator and Business-Technology Accelerator UKIM. The main priorities of the Fund are improved access to financial support for innovation and technological development and promotion and encouragement of innovation activity in North Macedonia. </w:t>
      </w:r>
    </w:p>
    <w:p w14:paraId="587A4C56" w14:textId="77777777" w:rsidR="00B55E1E" w:rsidRPr="001445B3" w:rsidRDefault="00B55E1E" w:rsidP="00CA22CD">
      <w:pPr>
        <w:keepNext/>
        <w:keepLines/>
        <w:spacing w:before="120"/>
        <w:ind w:left="717" w:hanging="360"/>
        <w:outlineLvl w:val="0"/>
        <w:rPr>
          <w:rFonts w:eastAsia="Yu Gothic Light" w:cs="Times New Roman"/>
          <w:b/>
          <w:color w:val="1F4E79" w:themeColor="accent1" w:themeShade="80"/>
          <w:szCs w:val="32"/>
        </w:rPr>
      </w:pPr>
      <w:r w:rsidRPr="001445B3">
        <w:rPr>
          <w:rFonts w:eastAsia="Yu Gothic Light" w:cs="Times New Roman"/>
          <w:b/>
          <w:color w:val="1F4E79" w:themeColor="accent1" w:themeShade="80"/>
          <w:szCs w:val="32"/>
        </w:rPr>
        <w:t>Area of support #2: Agriculture and Rural Development</w:t>
      </w:r>
    </w:p>
    <w:p w14:paraId="4F0E4A1A" w14:textId="77777777" w:rsidR="000270B6" w:rsidRPr="001445B3" w:rsidRDefault="00D31491" w:rsidP="00CA22CD">
      <w:pPr>
        <w:keepNext/>
        <w:keepLines/>
        <w:spacing w:before="120"/>
        <w:ind w:left="357"/>
        <w:outlineLvl w:val="0"/>
        <w:rPr>
          <w:b/>
          <w:bCs/>
          <w:u w:val="single"/>
          <w:lang w:val="en-IE"/>
        </w:rPr>
      </w:pPr>
      <w:r w:rsidRPr="001445B3">
        <w:rPr>
          <w:b/>
          <w:bCs/>
          <w:u w:val="single"/>
          <w:lang w:val="en-IE"/>
        </w:rPr>
        <w:t xml:space="preserve">Short problem analysis </w:t>
      </w:r>
    </w:p>
    <w:p w14:paraId="7ABB8E8B" w14:textId="5FF181D2" w:rsidR="00B55E1E" w:rsidRPr="00E0090F" w:rsidRDefault="00B55E1E" w:rsidP="00CA22CD">
      <w:pPr>
        <w:keepNext/>
        <w:keepLines/>
        <w:spacing w:before="120"/>
        <w:ind w:left="357"/>
        <w:outlineLvl w:val="0"/>
        <w:rPr>
          <w:rFonts w:eastAsia="Yu Gothic Light" w:cs="Times New Roman"/>
          <w:bCs/>
          <w:i/>
          <w:iCs/>
          <w:color w:val="0D0D0D"/>
          <w:szCs w:val="32"/>
        </w:rPr>
      </w:pPr>
      <w:r w:rsidRPr="00E0090F">
        <w:rPr>
          <w:rFonts w:eastAsia="Yu Gothic Light" w:cs="Times New Roman"/>
          <w:bCs/>
          <w:i/>
          <w:iCs/>
          <w:color w:val="0D0D0D"/>
          <w:szCs w:val="32"/>
        </w:rPr>
        <w:t>Quality of food and the supply chains</w:t>
      </w:r>
    </w:p>
    <w:p w14:paraId="5AC41D80" w14:textId="77777777" w:rsidR="00B940CB" w:rsidRPr="00B940CB" w:rsidRDefault="00B55E1E" w:rsidP="00CA22CD">
      <w:pPr>
        <w:spacing w:before="120"/>
        <w:ind w:left="357"/>
        <w:rPr>
          <w:rFonts w:eastAsia="Calibri" w:cs="Arial"/>
          <w:bCs/>
        </w:rPr>
      </w:pPr>
      <w:r w:rsidRPr="00B55E1E">
        <w:rPr>
          <w:rFonts w:eastAsia="Calibri" w:cs="Arial"/>
          <w:bCs/>
        </w:rPr>
        <w:t xml:space="preserve">The National Strategy for Agriculture and Rural Development emphasises </w:t>
      </w:r>
      <w:r w:rsidRPr="00B55E1E">
        <w:rPr>
          <w:rFonts w:eastAsia="Calibri" w:cs="Arial"/>
          <w:bCs/>
          <w:i/>
          <w:iCs/>
        </w:rPr>
        <w:t>organic production and agri-environmental practices</w:t>
      </w:r>
      <w:r w:rsidRPr="00B55E1E">
        <w:rPr>
          <w:rFonts w:eastAsia="Calibri" w:cs="Arial"/>
          <w:bCs/>
        </w:rPr>
        <w:t xml:space="preserve"> as pillars for the development of the agricultural sector. It foresees a greater alignment of the sector with the EU </w:t>
      </w:r>
      <w:r w:rsidRPr="00B55E1E">
        <w:rPr>
          <w:rFonts w:eastAsia="Calibri" w:cs="Arial"/>
          <w:bCs/>
          <w:i/>
          <w:iCs/>
        </w:rPr>
        <w:t>acquis</w:t>
      </w:r>
      <w:r w:rsidRPr="00B55E1E">
        <w:rPr>
          <w:rFonts w:eastAsia="Calibri" w:cs="Arial"/>
          <w:bCs/>
        </w:rPr>
        <w:t xml:space="preserve"> and the expansion of the adoption of organic principles among farmers to increase their competitiveness. </w:t>
      </w:r>
    </w:p>
    <w:p w14:paraId="27FE2C5F" w14:textId="23EAE137" w:rsidR="001F1797" w:rsidRDefault="00B940CB" w:rsidP="00CA22CD">
      <w:pPr>
        <w:spacing w:before="120"/>
        <w:ind w:left="357"/>
        <w:rPr>
          <w:rFonts w:eastAsia="Calibri" w:cs="Arial"/>
          <w:bCs/>
        </w:rPr>
      </w:pPr>
      <w:r w:rsidRPr="00B940CB">
        <w:rPr>
          <w:rFonts w:eastAsia="Calibri" w:cs="Arial"/>
          <w:bCs/>
        </w:rPr>
        <w:t xml:space="preserve">New legislation relating the organics was introduced on 1 January 2022. This legislation seeks to respond to the challenges posed by the rapid expansion of organic farming by providing a more effective legal framework for the industry. </w:t>
      </w:r>
      <w:r w:rsidR="00B55E1E" w:rsidRPr="00B55E1E">
        <w:rPr>
          <w:rFonts w:eastAsia="Calibri" w:cs="Arial"/>
          <w:bCs/>
        </w:rPr>
        <w:t xml:space="preserve">However, the system needs more systematic monitoring and control of the </w:t>
      </w:r>
      <w:r w:rsidR="00B55E1E" w:rsidRPr="00B55E1E">
        <w:rPr>
          <w:rFonts w:eastAsia="Calibri" w:cs="Arial"/>
          <w:bCs/>
        </w:rPr>
        <w:lastRenderedPageBreak/>
        <w:t>certification procedures and the products' certification. Domestic consumption is further limited due to a lack of consumer information and limited production quantities. The labelling of organic products exists in legal terms, but it is hardly distinguished on the market or falsely used. On the supply side, farmers are reluctant to expand despite the growth potential due to a lack of domestic market opportunities and higher unit production costs. To export organic products to the EU, North Macedonia needs to align further with the EU’s new organic legislation</w:t>
      </w:r>
      <w:r w:rsidR="00B55E1E" w:rsidRPr="00B55E1E" w:rsidDel="00FB3508">
        <w:rPr>
          <w:rFonts w:eastAsia="Calibri" w:cs="Arial"/>
          <w:bCs/>
        </w:rPr>
        <w:t xml:space="preserve"> </w:t>
      </w:r>
      <w:r w:rsidR="00B55E1E" w:rsidRPr="00B55E1E">
        <w:rPr>
          <w:rFonts w:eastAsia="Calibri" w:cs="Arial"/>
          <w:bCs/>
        </w:rPr>
        <w:t xml:space="preserve">848/2018 and strengthen the traceability and control systems along the value chain of organic products. For exporting organic products to the EU market, it must </w:t>
      </w:r>
      <w:r w:rsidR="00E0090F">
        <w:rPr>
          <w:rFonts w:eastAsia="Calibri" w:cs="Arial"/>
          <w:bCs/>
        </w:rPr>
        <w:t xml:space="preserve">be compliant to the </w:t>
      </w:r>
      <w:r w:rsidR="00B55E1E" w:rsidRPr="00B55E1E">
        <w:rPr>
          <w:rFonts w:eastAsia="Calibri" w:cs="Arial"/>
          <w:bCs/>
        </w:rPr>
        <w:t xml:space="preserve">standards to those applying to goods produced in the European Union. </w:t>
      </w:r>
      <w:r w:rsidR="001F1797" w:rsidRPr="001F1797">
        <w:rPr>
          <w:rFonts w:eastAsia="Calibri" w:cs="Arial"/>
          <w:bCs/>
          <w:lang w:val="mk-MK"/>
        </w:rPr>
        <w:t>Further research and development is needed to obtain more information on organic farming in RNM, both in the area of production and marketing, and market studies for identification national organic products.</w:t>
      </w:r>
      <w:r w:rsidR="001F1797">
        <w:rPr>
          <w:rFonts w:eastAsia="Calibri" w:cs="Arial"/>
          <w:bCs/>
        </w:rPr>
        <w:t xml:space="preserve"> </w:t>
      </w:r>
      <w:r w:rsidR="005C0BE0" w:rsidRPr="005C0BE0">
        <w:t>Promotion and raising the awareness of farmers and agricultural communities on environmentally friendly agriculture and organic farming practice</w:t>
      </w:r>
      <w:r w:rsidR="005C0BE0">
        <w:t xml:space="preserve"> is required as well as comprehensive capacity building for organic farmers to familiarise with the rules and procedures prescribed by the new Law on </w:t>
      </w:r>
      <w:r w:rsidR="005C0BE0" w:rsidRPr="001F1797">
        <w:rPr>
          <w:lang w:val="en-IE"/>
        </w:rPr>
        <w:t>on organic agriculture production</w:t>
      </w:r>
      <w:r w:rsidR="005C0BE0">
        <w:t xml:space="preserve">. </w:t>
      </w:r>
      <w:r w:rsidR="005C0BE0">
        <w:rPr>
          <w:rFonts w:eastAsia="Calibri" w:cs="Arial"/>
          <w:bCs/>
        </w:rPr>
        <w:t xml:space="preserve">It is required to raise awareness on the </w:t>
      </w:r>
      <w:r w:rsidR="005C0BE0" w:rsidRPr="005C0BE0">
        <w:rPr>
          <w:rFonts w:eastAsia="Calibri" w:cs="Arial"/>
          <w:bCs/>
        </w:rPr>
        <w:t>economic, environmental and social benefits</w:t>
      </w:r>
      <w:r w:rsidR="005C0BE0">
        <w:rPr>
          <w:rFonts w:eastAsia="Calibri" w:cs="Arial"/>
          <w:bCs/>
        </w:rPr>
        <w:t xml:space="preserve"> to both, producers and consumers side. </w:t>
      </w:r>
    </w:p>
    <w:p w14:paraId="3D0EFB7D" w14:textId="6A7D0B5B" w:rsidR="00B55E1E" w:rsidRDefault="00B55E1E" w:rsidP="00CA22CD">
      <w:pPr>
        <w:spacing w:before="120"/>
        <w:ind w:left="357"/>
      </w:pPr>
      <w:r w:rsidRPr="00B55E1E">
        <w:rPr>
          <w:rFonts w:eastAsia="Calibri" w:cs="Arial"/>
          <w:bCs/>
        </w:rPr>
        <w:t>Control authorities and control bodies that assess, inspect, and certify organic production or distributors must be recognised as control bodies. EU-recognised control bodies would scale up the export opportunities and potentially extend the variety of organic products.</w:t>
      </w:r>
      <w:r w:rsidRPr="00B55E1E">
        <w:rPr>
          <w:rFonts w:eastAsia="Calibri" w:cs="Arial"/>
          <w:bCs/>
          <w:lang w:val="mk-MK"/>
        </w:rPr>
        <w:t xml:space="preserve"> For traceability of organic products, it is necessary to develop a digital database for the certificates of all operators in organic production.</w:t>
      </w:r>
      <w:r w:rsidR="001F1797" w:rsidRPr="001F1797">
        <w:t xml:space="preserve"> </w:t>
      </w:r>
      <w:r w:rsidR="001F1797">
        <w:t>It is necessary to u</w:t>
      </w:r>
      <w:r w:rsidR="001F1797" w:rsidRPr="001F1797">
        <w:t>pgrading IT soft</w:t>
      </w:r>
      <w:r w:rsidR="001F1797">
        <w:t>wa</w:t>
      </w:r>
      <w:r w:rsidR="001F1797" w:rsidRPr="001F1797">
        <w:t>re system, education, equipment to all beneficiaries in organic control system</w:t>
      </w:r>
      <w:r w:rsidR="001F1797">
        <w:t xml:space="preserve"> </w:t>
      </w:r>
      <w:r w:rsidR="001F1797" w:rsidRPr="001F1797">
        <w:t>(control/certification body, inspectorate and administration)</w:t>
      </w:r>
      <w:r w:rsidR="001F1797">
        <w:t xml:space="preserve">. </w:t>
      </w:r>
    </w:p>
    <w:p w14:paraId="5A2997C5" w14:textId="069049EB" w:rsidR="00B940CB" w:rsidRDefault="00B940CB" w:rsidP="00CA22CD">
      <w:pPr>
        <w:spacing w:before="120"/>
        <w:ind w:left="357"/>
      </w:pPr>
      <w:r w:rsidRPr="00B940CB">
        <w:t>Following the recommendations of the IPA II 2015 CMO project, the system for GI needs to be aligned further to the EU acquis. Protected designation of origin and geographical indications safeguard and promote agricultural products and traditional specialties. GI systems promote jobs for young population and women. The technical assistance will work on identifying product potential for GI, support the development of technical specifications for selected GI products, support MAFWE in the process of legal alignment, support the associations of producers in the registration process which assumes activities for training and education of the producers to standardise the products subject to GI. The assistance will also contribute to introducing a measure under IPARD III for support to producer groups.</w:t>
      </w:r>
    </w:p>
    <w:p w14:paraId="6AE21B5E" w14:textId="5AFFF262" w:rsidR="00B55E1E" w:rsidRDefault="00B55E1E" w:rsidP="00CA22CD">
      <w:pPr>
        <w:spacing w:before="120"/>
        <w:ind w:left="357"/>
        <w:rPr>
          <w:rFonts w:eastAsia="Calibri" w:cs="Arial"/>
          <w:bCs/>
        </w:rPr>
      </w:pPr>
      <w:r w:rsidRPr="00B55E1E">
        <w:rPr>
          <w:rFonts w:eastAsia="Calibri" w:cs="Arial"/>
          <w:bCs/>
        </w:rPr>
        <w:t>The legal framework for the Geographical indication (GI/PGI) is established in North Macedonia, but it is not yet harmonized with the EU GI regulations for wine and spirits sector. The legal framework for the agri-food sector is aligned with Regulation (EU) No 1151/2012 in 2016 and is fully functional. In this sector, serious and evident progress has been made in the implementation of the legal framework for GI in the last year</w:t>
      </w:r>
      <w:r w:rsidR="000A639B">
        <w:rPr>
          <w:rFonts w:eastAsia="Calibri" w:cs="Arial"/>
          <w:bCs/>
        </w:rPr>
        <w:t>s</w:t>
      </w:r>
      <w:r w:rsidRPr="00B55E1E">
        <w:rPr>
          <w:rFonts w:eastAsia="Calibri" w:cs="Arial"/>
          <w:bCs/>
        </w:rPr>
        <w:t xml:space="preserve">. At the end of 2021, through a public call, financial support </w:t>
      </w:r>
      <w:r w:rsidR="000A639B">
        <w:rPr>
          <w:rFonts w:eastAsia="Calibri" w:cs="Arial"/>
          <w:bCs/>
        </w:rPr>
        <w:t xml:space="preserve">was provided </w:t>
      </w:r>
      <w:r w:rsidRPr="00B55E1E">
        <w:rPr>
          <w:rFonts w:eastAsia="Calibri" w:cs="Arial"/>
          <w:bCs/>
        </w:rPr>
        <w:t xml:space="preserve">for the registration of protected geographical names. At the same time, in addition to budget funds, </w:t>
      </w:r>
      <w:r w:rsidR="000A639B">
        <w:rPr>
          <w:rFonts w:eastAsia="Calibri" w:cs="Arial"/>
          <w:bCs/>
        </w:rPr>
        <w:t xml:space="preserve">the country </w:t>
      </w:r>
      <w:r w:rsidRPr="00B55E1E">
        <w:rPr>
          <w:rFonts w:eastAsia="Calibri" w:cs="Arial"/>
          <w:bCs/>
        </w:rPr>
        <w:t xml:space="preserve"> secured support from other external donors. In 2022, this resulted in three new requests for protection of geographical indication (Prespa apple, Belasicki chestnut honey and Macedonian lamb from Ovchepolska pramenka). In December 2022, the protection procedure for the Prespa apple was completed, so this product is already the second registered product with a protected geographical indication. For the other two products, the procedure is in an advanced stage and it is expected that they will be protected soon. Support has been granted for three other products (Mariovo honey, Bukovska pepper and Mariovo whipped cheese) and the start of the procedure for their protection is expected soon.</w:t>
      </w:r>
      <w:r w:rsidR="00E0090F">
        <w:rPr>
          <w:rFonts w:eastAsia="Calibri" w:cs="Arial"/>
          <w:bCs/>
        </w:rPr>
        <w:t xml:space="preserve"> </w:t>
      </w:r>
      <w:r w:rsidRPr="00B55E1E">
        <w:rPr>
          <w:rFonts w:eastAsia="Calibri" w:cs="Arial"/>
          <w:bCs/>
        </w:rPr>
        <w:t>However, it is evident that there is still limited awareness among farmers on how the GI/PGI system works and what the benefits of registering are. GI/PGI is a way forward to create opportunities for agri-food, wine, and spirit drinks producers to register their products as GI/PGI and further export on the EU markets.</w:t>
      </w:r>
    </w:p>
    <w:p w14:paraId="0003BEBF" w14:textId="754F161D" w:rsidR="00CF326F" w:rsidRPr="00B55E1E" w:rsidRDefault="00CF326F" w:rsidP="00CA22CD">
      <w:pPr>
        <w:spacing w:before="120"/>
        <w:ind w:left="357"/>
        <w:rPr>
          <w:rFonts w:eastAsia="Calibri" w:cs="Arial"/>
          <w:bCs/>
        </w:rPr>
      </w:pPr>
      <w:r>
        <w:rPr>
          <w:rFonts w:eastAsia="Calibri" w:cs="Arial"/>
          <w:bCs/>
        </w:rPr>
        <w:t>In addition, following the screening and starting of negotiation for Chapter 11</w:t>
      </w:r>
      <w:r w:rsidR="00C01188">
        <w:rPr>
          <w:rFonts w:eastAsia="Calibri" w:cs="Arial"/>
          <w:bCs/>
        </w:rPr>
        <w:t xml:space="preserve"> </w:t>
      </w:r>
      <w:r w:rsidR="00C01188" w:rsidRPr="00B05CB6">
        <w:rPr>
          <w:b/>
          <w:bCs/>
        </w:rPr>
        <w:t>Agriculture and rural development</w:t>
      </w:r>
      <w:r w:rsidR="00C53916">
        <w:rPr>
          <w:rFonts w:eastAsia="Calibri" w:cs="Arial"/>
          <w:bCs/>
        </w:rPr>
        <w:t>,</w:t>
      </w:r>
      <w:r>
        <w:rPr>
          <w:rFonts w:eastAsia="Calibri" w:cs="Arial"/>
          <w:bCs/>
        </w:rPr>
        <w:t xml:space="preserve"> a quite demanding and complex chapter</w:t>
      </w:r>
      <w:r w:rsidR="00C53916">
        <w:rPr>
          <w:rFonts w:eastAsia="Calibri" w:cs="Arial"/>
          <w:bCs/>
        </w:rPr>
        <w:t>,</w:t>
      </w:r>
      <w:r>
        <w:rPr>
          <w:rFonts w:eastAsia="Calibri" w:cs="Arial"/>
          <w:bCs/>
        </w:rPr>
        <w:t xml:space="preserve"> additional assistance may be needed to address</w:t>
      </w:r>
      <w:r w:rsidR="00C53916">
        <w:rPr>
          <w:rFonts w:eastAsia="Calibri" w:cs="Arial"/>
          <w:bCs/>
        </w:rPr>
        <w:t xml:space="preserve"> several aspects for the </w:t>
      </w:r>
      <w:r>
        <w:rPr>
          <w:rFonts w:eastAsia="Calibri" w:cs="Arial"/>
          <w:bCs/>
        </w:rPr>
        <w:t xml:space="preserve"> </w:t>
      </w:r>
      <w:r w:rsidR="00C53916" w:rsidRPr="00C53916">
        <w:rPr>
          <w:rFonts w:eastAsia="Calibri" w:cs="Arial"/>
          <w:bCs/>
        </w:rPr>
        <w:t xml:space="preserve">Reinforcing </w:t>
      </w:r>
      <w:r w:rsidR="00C53916">
        <w:rPr>
          <w:rFonts w:eastAsia="Calibri" w:cs="Arial"/>
          <w:bCs/>
        </w:rPr>
        <w:t xml:space="preserve">of the </w:t>
      </w:r>
      <w:r w:rsidR="00C53916" w:rsidRPr="00C53916">
        <w:rPr>
          <w:rFonts w:eastAsia="Calibri" w:cs="Arial"/>
          <w:bCs/>
        </w:rPr>
        <w:t xml:space="preserve"> Agricultural and Fisheries Polic</w:t>
      </w:r>
      <w:r w:rsidR="00C53916">
        <w:rPr>
          <w:rFonts w:eastAsia="Calibri" w:cs="Arial"/>
          <w:bCs/>
        </w:rPr>
        <w:t>ies</w:t>
      </w:r>
      <w:r w:rsidR="005F38C2">
        <w:rPr>
          <w:rFonts w:eastAsia="Calibri" w:cs="Arial"/>
          <w:bCs/>
        </w:rPr>
        <w:t>.</w:t>
      </w:r>
      <w:r>
        <w:rPr>
          <w:rFonts w:eastAsia="Calibri" w:cs="Arial"/>
          <w:bCs/>
        </w:rPr>
        <w:t xml:space="preserve">  </w:t>
      </w:r>
    </w:p>
    <w:p w14:paraId="7F40D9D0" w14:textId="77777777" w:rsidR="00B55E1E" w:rsidRPr="00922BB5" w:rsidRDefault="00B55E1E" w:rsidP="00CA22CD">
      <w:pPr>
        <w:keepNext/>
        <w:keepLines/>
        <w:spacing w:before="120"/>
        <w:ind w:left="357"/>
        <w:outlineLvl w:val="0"/>
        <w:rPr>
          <w:rFonts w:eastAsia="Yu Gothic Light" w:cs="Times New Roman"/>
          <w:bCs/>
          <w:i/>
          <w:iCs/>
          <w:color w:val="0D0D0D"/>
          <w:szCs w:val="32"/>
        </w:rPr>
      </w:pPr>
      <w:r w:rsidRPr="00922BB5">
        <w:rPr>
          <w:rFonts w:eastAsia="Yu Gothic Light" w:cs="Times New Roman"/>
          <w:bCs/>
          <w:i/>
          <w:iCs/>
          <w:color w:val="0D0D0D"/>
          <w:szCs w:val="32"/>
        </w:rPr>
        <w:lastRenderedPageBreak/>
        <w:t>Veterinary and Phytosanitary system</w:t>
      </w:r>
    </w:p>
    <w:p w14:paraId="75F0EA49" w14:textId="70783106" w:rsidR="00B55E1E" w:rsidRPr="00B55E1E" w:rsidRDefault="00B55E1E" w:rsidP="00CA22CD">
      <w:pPr>
        <w:spacing w:before="120"/>
        <w:ind w:left="357"/>
        <w:rPr>
          <w:rFonts w:eastAsia="Calibri" w:cs="Arial"/>
          <w:szCs w:val="24"/>
        </w:rPr>
      </w:pPr>
      <w:r w:rsidRPr="00B55E1E">
        <w:rPr>
          <w:rFonts w:eastAsia="Calibri" w:cs="Arial"/>
          <w:szCs w:val="24"/>
        </w:rPr>
        <w:t xml:space="preserve">North Macedonia has achieved good food safety and </w:t>
      </w:r>
      <w:r w:rsidRPr="00FC32A6">
        <w:rPr>
          <w:rFonts w:eastAsia="Calibri" w:cs="Arial"/>
          <w:b/>
          <w:bCs/>
          <w:szCs w:val="24"/>
        </w:rPr>
        <w:t>veterinary</w:t>
      </w:r>
      <w:r w:rsidRPr="00B55E1E">
        <w:rPr>
          <w:rFonts w:eastAsia="Calibri" w:cs="Arial"/>
          <w:szCs w:val="24"/>
        </w:rPr>
        <w:t xml:space="preserve"> policy preparation, but further efforts are needed to ensure alignment with the new EU acquis on animal health, which entered into force in April 2021 and covers over 80 animal diseases. The EU's new legislative package on animal health comprises a comprehensive set of more than 25 legal acts. </w:t>
      </w:r>
    </w:p>
    <w:p w14:paraId="3658D7C0" w14:textId="77777777" w:rsidR="00B55E1E" w:rsidRPr="00B55E1E" w:rsidRDefault="00B55E1E" w:rsidP="00CA22CD">
      <w:pPr>
        <w:spacing w:before="120"/>
        <w:ind w:left="357"/>
        <w:rPr>
          <w:rFonts w:eastAsia="Calibri" w:cs="Arial"/>
          <w:szCs w:val="24"/>
        </w:rPr>
      </w:pPr>
      <w:r w:rsidRPr="00B55E1E">
        <w:rPr>
          <w:rFonts w:eastAsia="Calibri" w:cs="Arial"/>
          <w:szCs w:val="24"/>
        </w:rPr>
        <w:t xml:space="preserve">Further harmonisation and implementation of implemented and delegated legal acts stipulated by official control regulations are needed. The most recent audits carried out by the European Commission to evaluate the level of animal health preparedness in the context of the EU pre-accession, as well as the control systems established in the country, have highlighted the need to enhance the official controls on food safety and the animal health system, with a specific focus on verifying the effectiveness of the animal health control system. A draft law on official controls in line with EU Regulation 2017/625 has been prepared and is expected to be adopted in 2023. The practical implementation of the law requires upgrading methodological concepts and practices for epidemiological investigations, passive and active surveillance plans for animal diseases, early detection and emergency preparedness, and preparing and enforcement of eradication programmes for category B and C listed diseases. The European Commission emphasised the importance of enhancing data collection, validation, and analysis and creating effective risk assessments for animal diseases to establish credible risk management strategies. </w:t>
      </w:r>
    </w:p>
    <w:p w14:paraId="5DD4E7EB" w14:textId="773B0CA4" w:rsidR="005E5BBD" w:rsidRPr="005E5BBD" w:rsidRDefault="00B55E1E" w:rsidP="00CA22CD">
      <w:pPr>
        <w:spacing w:before="120"/>
        <w:ind w:left="357"/>
        <w:rPr>
          <w:rFonts w:eastAsia="Calibri" w:cs="Arial"/>
          <w:szCs w:val="24"/>
          <w:lang w:val="en-US"/>
        </w:rPr>
      </w:pPr>
      <w:r w:rsidRPr="00B55E1E">
        <w:rPr>
          <w:rFonts w:eastAsia="Calibri" w:cs="Arial"/>
          <w:szCs w:val="24"/>
        </w:rPr>
        <w:t>Additionally, improvements are needed in the FVA IT systems to enable complete traceability of animals and food products, as well as measures applied for prevention, control, and eradication of diseases and food safety, in line with the Official control regulation 2017/625. The FVA IT system should ensure information exchange, reporting and notification data and documents necessary for the performance of official controls, results and records from the performed official controls both on animal health and food safety.</w:t>
      </w:r>
      <w:r w:rsidR="00D66751" w:rsidRPr="00D66751">
        <w:rPr>
          <w:rFonts w:asciiTheme="minorHAnsi" w:hAnsiTheme="minorHAnsi"/>
          <w:sz w:val="22"/>
          <w:lang w:val="en-US"/>
        </w:rPr>
        <w:t xml:space="preserve"> </w:t>
      </w:r>
      <w:r w:rsidR="00D66751" w:rsidRPr="00D66751">
        <w:rPr>
          <w:rFonts w:eastAsia="Calibri" w:cs="Arial"/>
          <w:szCs w:val="24"/>
          <w:lang w:val="en-US"/>
        </w:rPr>
        <w:t>The information system in North Macedonia, was developed over 12 years ago,</w:t>
      </w:r>
      <w:r w:rsidR="00696D22">
        <w:rPr>
          <w:rFonts w:eastAsia="Calibri" w:cs="Arial"/>
          <w:szCs w:val="24"/>
          <w:lang w:val="en-US"/>
        </w:rPr>
        <w:t xml:space="preserve"> and it</w:t>
      </w:r>
      <w:r w:rsidR="00D66751" w:rsidRPr="00D66751">
        <w:rPr>
          <w:rFonts w:eastAsia="Calibri" w:cs="Arial"/>
          <w:szCs w:val="24"/>
          <w:lang w:val="en-US"/>
        </w:rPr>
        <w:t xml:space="preserve"> is tailored as a country-specific and legislatively bound system. As such, the system is becoming obsolete from a technological perspective, as well as outdated in terms of legislative viewpoint due to the continuously evolving EU legislation and ongoing EU approximation, in particular the EU Regulation 2016/429 (Animal Health Law) and 2017/625 (official control regulation)</w:t>
      </w:r>
      <w:r w:rsidR="00696D22">
        <w:rPr>
          <w:rFonts w:eastAsia="Calibri" w:cs="Arial"/>
          <w:szCs w:val="24"/>
          <w:lang w:val="en-US"/>
        </w:rPr>
        <w:t xml:space="preserve">. Currently, </w:t>
      </w:r>
      <w:r w:rsidR="004E32C2">
        <w:rPr>
          <w:rFonts w:eastAsia="Calibri" w:cs="Arial"/>
          <w:szCs w:val="24"/>
          <w:lang w:val="en-US"/>
        </w:rPr>
        <w:t>FVA</w:t>
      </w:r>
      <w:r w:rsidR="00D66751" w:rsidRPr="00D66751">
        <w:rPr>
          <w:rFonts w:eastAsia="Calibri" w:cs="Arial"/>
          <w:szCs w:val="24"/>
          <w:lang w:val="en-US"/>
        </w:rPr>
        <w:t xml:space="preserve"> has requested support from FAO for customization and introduction of the IT system (NAITS) developed for Georgia for a support of its EU approximation efforts, as it already includes a number of modules aligned with the new EU Regulation 2016/429 “Animal Health Law”.</w:t>
      </w:r>
      <w:r w:rsidR="004E32C2">
        <w:rPr>
          <w:rFonts w:eastAsia="Calibri" w:cs="Arial"/>
          <w:szCs w:val="24"/>
          <w:lang w:val="en-US"/>
        </w:rPr>
        <w:t xml:space="preserve"> However, </w:t>
      </w:r>
      <w:r w:rsidR="00BB5DC9">
        <w:rPr>
          <w:rFonts w:eastAsia="Calibri" w:cs="Arial"/>
          <w:szCs w:val="24"/>
          <w:lang w:val="en-US"/>
        </w:rPr>
        <w:t xml:space="preserve">to ensure </w:t>
      </w:r>
      <w:r w:rsidR="00BB5DC9" w:rsidRPr="00BB5DC9">
        <w:rPr>
          <w:rFonts w:eastAsia="Calibri" w:cs="Arial"/>
          <w:szCs w:val="24"/>
          <w:lang w:val="en-US"/>
        </w:rPr>
        <w:t>sustainable IT system able to provide full traceability of the animals and food products, and also to ensure the integrity of the data on the system</w:t>
      </w:r>
      <w:r w:rsidR="00BB5DC9">
        <w:rPr>
          <w:rFonts w:eastAsia="Calibri" w:cs="Arial"/>
          <w:szCs w:val="24"/>
          <w:lang w:val="en-US"/>
        </w:rPr>
        <w:t xml:space="preserve">, </w:t>
      </w:r>
      <w:r w:rsidR="001140DA">
        <w:rPr>
          <w:rFonts w:eastAsia="Calibri" w:cs="Arial"/>
          <w:szCs w:val="24"/>
          <w:lang w:val="en-US"/>
        </w:rPr>
        <w:t>certain upgrades</w:t>
      </w:r>
      <w:r w:rsidR="007B408C">
        <w:rPr>
          <w:rFonts w:eastAsia="Calibri" w:cs="Arial"/>
          <w:szCs w:val="24"/>
          <w:lang w:val="en-US"/>
        </w:rPr>
        <w:t>/remodeling</w:t>
      </w:r>
      <w:r w:rsidR="001140DA">
        <w:rPr>
          <w:rFonts w:eastAsia="Calibri" w:cs="Arial"/>
          <w:szCs w:val="24"/>
          <w:lang w:val="en-US"/>
        </w:rPr>
        <w:t xml:space="preserve"> will be required </w:t>
      </w:r>
      <w:r w:rsidR="00BB5DC9">
        <w:rPr>
          <w:rFonts w:eastAsia="Calibri" w:cs="Arial"/>
          <w:szCs w:val="24"/>
          <w:lang w:val="en-US"/>
        </w:rPr>
        <w:t xml:space="preserve">further, </w:t>
      </w:r>
      <w:r w:rsidR="001140DA">
        <w:rPr>
          <w:rFonts w:eastAsia="Calibri" w:cs="Arial"/>
          <w:szCs w:val="24"/>
          <w:lang w:val="en-US"/>
        </w:rPr>
        <w:t xml:space="preserve">to </w:t>
      </w:r>
      <w:r w:rsidR="00BB5DC9">
        <w:rPr>
          <w:rFonts w:eastAsia="Calibri" w:cs="Arial"/>
          <w:szCs w:val="24"/>
          <w:lang w:val="en-US"/>
        </w:rPr>
        <w:t xml:space="preserve">adjust to the </w:t>
      </w:r>
      <w:r w:rsidR="001140DA">
        <w:rPr>
          <w:rFonts w:eastAsia="Calibri" w:cs="Arial"/>
          <w:szCs w:val="24"/>
          <w:lang w:val="en-US"/>
        </w:rPr>
        <w:t>FVA</w:t>
      </w:r>
      <w:r w:rsidR="00BB5DC9">
        <w:rPr>
          <w:rFonts w:eastAsia="Calibri" w:cs="Arial"/>
          <w:szCs w:val="24"/>
          <w:lang w:val="en-US"/>
        </w:rPr>
        <w:t xml:space="preserve"> need. Therefore, this Action </w:t>
      </w:r>
      <w:r w:rsidR="00170D38">
        <w:rPr>
          <w:rFonts w:eastAsia="Calibri" w:cs="Arial"/>
          <w:szCs w:val="24"/>
          <w:lang w:val="en-US"/>
        </w:rPr>
        <w:t xml:space="preserve">will support </w:t>
      </w:r>
      <w:r w:rsidR="005E5BBD" w:rsidRPr="005E5BBD">
        <w:rPr>
          <w:rFonts w:eastAsia="Calibri" w:cs="Arial"/>
          <w:szCs w:val="24"/>
          <w:lang w:val="en-US"/>
        </w:rPr>
        <w:t xml:space="preserve">development/upgrade of </w:t>
      </w:r>
      <w:r w:rsidR="00170D38">
        <w:rPr>
          <w:rFonts w:eastAsia="Calibri" w:cs="Arial"/>
          <w:szCs w:val="24"/>
          <w:lang w:val="en-US"/>
        </w:rPr>
        <w:t xml:space="preserve">the following </w:t>
      </w:r>
      <w:r w:rsidR="005E5BBD" w:rsidRPr="005E5BBD">
        <w:rPr>
          <w:rFonts w:eastAsia="Calibri" w:cs="Arial"/>
          <w:szCs w:val="24"/>
          <w:lang w:val="en-US"/>
        </w:rPr>
        <w:t>modules:</w:t>
      </w:r>
    </w:p>
    <w:p w14:paraId="4BD20CB2" w14:textId="2066F362" w:rsidR="005E5BBD" w:rsidRPr="00170D38" w:rsidRDefault="005E5BBD" w:rsidP="00CA22CD">
      <w:pPr>
        <w:pStyle w:val="ListParagraph"/>
        <w:numPr>
          <w:ilvl w:val="0"/>
          <w:numId w:val="39"/>
        </w:numPr>
        <w:ind w:left="1071" w:hanging="357"/>
        <w:contextualSpacing w:val="0"/>
        <w:rPr>
          <w:rFonts w:eastAsia="Calibri" w:cs="Arial"/>
          <w:szCs w:val="24"/>
          <w:lang w:val="en-US"/>
        </w:rPr>
      </w:pPr>
      <w:r w:rsidRPr="00170D38">
        <w:rPr>
          <w:rFonts w:eastAsia="Calibri" w:cs="Arial"/>
          <w:szCs w:val="24"/>
          <w:lang w:val="en-US"/>
        </w:rPr>
        <w:t xml:space="preserve">in the area of food of animal origin and food of </w:t>
      </w:r>
      <w:r w:rsidR="00170D38" w:rsidRPr="00170D38">
        <w:rPr>
          <w:rFonts w:eastAsia="Calibri" w:cs="Arial"/>
          <w:szCs w:val="24"/>
          <w:lang w:val="en-US"/>
        </w:rPr>
        <w:t>non-animal</w:t>
      </w:r>
      <w:r w:rsidRPr="00170D38">
        <w:rPr>
          <w:rFonts w:eastAsia="Calibri" w:cs="Arial"/>
          <w:szCs w:val="24"/>
          <w:lang w:val="en-US"/>
        </w:rPr>
        <w:t xml:space="preserve"> origin</w:t>
      </w:r>
    </w:p>
    <w:p w14:paraId="543DD8D6" w14:textId="50A2AF70" w:rsidR="005E5BBD" w:rsidRPr="00170D38" w:rsidRDefault="005E5BBD" w:rsidP="00CA22CD">
      <w:pPr>
        <w:pStyle w:val="ListParagraph"/>
        <w:numPr>
          <w:ilvl w:val="0"/>
          <w:numId w:val="39"/>
        </w:numPr>
        <w:ind w:left="1071" w:hanging="357"/>
        <w:contextualSpacing w:val="0"/>
        <w:rPr>
          <w:rFonts w:eastAsia="Calibri" w:cs="Arial"/>
          <w:szCs w:val="24"/>
          <w:lang w:val="en-US"/>
        </w:rPr>
      </w:pPr>
      <w:r w:rsidRPr="00170D38">
        <w:rPr>
          <w:rFonts w:eastAsia="Calibri" w:cs="Arial"/>
          <w:szCs w:val="24"/>
          <w:lang w:val="en-US"/>
        </w:rPr>
        <w:t>in the area of other veterinary public health competences (VMP, ABP et</w:t>
      </w:r>
      <w:r w:rsidR="00977797">
        <w:rPr>
          <w:rFonts w:eastAsia="Calibri" w:cs="Arial"/>
          <w:szCs w:val="24"/>
          <w:lang w:val="en-US"/>
        </w:rPr>
        <w:t>c.</w:t>
      </w:r>
      <w:r w:rsidRPr="00170D38">
        <w:rPr>
          <w:rFonts w:eastAsia="Calibri" w:cs="Arial"/>
          <w:szCs w:val="24"/>
          <w:lang w:val="en-US"/>
        </w:rPr>
        <w:t>)</w:t>
      </w:r>
    </w:p>
    <w:p w14:paraId="63B47137" w14:textId="77777777" w:rsidR="005E5BBD" w:rsidRPr="00170D38" w:rsidRDefault="005E5BBD" w:rsidP="00CA22CD">
      <w:pPr>
        <w:pStyle w:val="ListParagraph"/>
        <w:numPr>
          <w:ilvl w:val="0"/>
          <w:numId w:val="39"/>
        </w:numPr>
        <w:ind w:left="1071" w:hanging="357"/>
        <w:contextualSpacing w:val="0"/>
        <w:rPr>
          <w:rFonts w:eastAsia="Calibri" w:cs="Arial"/>
          <w:szCs w:val="24"/>
          <w:lang w:val="en-US"/>
        </w:rPr>
      </w:pPr>
      <w:r w:rsidRPr="00170D38">
        <w:rPr>
          <w:rFonts w:eastAsia="Calibri" w:cs="Arial"/>
          <w:szCs w:val="24"/>
          <w:lang w:val="en-US"/>
        </w:rPr>
        <w:t>official controls over entire food chain</w:t>
      </w:r>
    </w:p>
    <w:p w14:paraId="1C684544" w14:textId="5F581D3F" w:rsidR="005E5BBD" w:rsidRPr="00170D38" w:rsidRDefault="005E5BBD" w:rsidP="00CA22CD">
      <w:pPr>
        <w:pStyle w:val="ListParagraph"/>
        <w:numPr>
          <w:ilvl w:val="0"/>
          <w:numId w:val="39"/>
        </w:numPr>
        <w:ind w:left="1071" w:hanging="357"/>
        <w:contextualSpacing w:val="0"/>
        <w:rPr>
          <w:rFonts w:eastAsia="Calibri" w:cs="Arial"/>
          <w:szCs w:val="24"/>
          <w:lang w:val="en-US"/>
        </w:rPr>
      </w:pPr>
      <w:r w:rsidRPr="00170D38">
        <w:rPr>
          <w:rFonts w:eastAsia="Calibri" w:cs="Arial"/>
          <w:szCs w:val="24"/>
          <w:lang w:val="en-US"/>
        </w:rPr>
        <w:t xml:space="preserve">ensuring data and reports for the purposes of reporting to international </w:t>
      </w:r>
      <w:r w:rsidR="00977797" w:rsidRPr="00170D38">
        <w:rPr>
          <w:rFonts w:eastAsia="Calibri" w:cs="Arial"/>
          <w:szCs w:val="24"/>
          <w:lang w:val="en-US"/>
        </w:rPr>
        <w:t>organizations</w:t>
      </w:r>
      <w:r w:rsidRPr="00170D38">
        <w:rPr>
          <w:rFonts w:eastAsia="Calibri" w:cs="Arial"/>
          <w:szCs w:val="24"/>
          <w:lang w:val="en-US"/>
        </w:rPr>
        <w:t xml:space="preserve"> (EFSA, WAHIS etc</w:t>
      </w:r>
      <w:r w:rsidR="00977797">
        <w:rPr>
          <w:rFonts w:eastAsia="Calibri" w:cs="Arial"/>
          <w:szCs w:val="24"/>
          <w:lang w:val="en-US"/>
        </w:rPr>
        <w:t>.</w:t>
      </w:r>
      <w:r w:rsidRPr="00170D38">
        <w:rPr>
          <w:rFonts w:eastAsia="Calibri" w:cs="Arial"/>
          <w:szCs w:val="24"/>
          <w:lang w:val="en-US"/>
        </w:rPr>
        <w:t>)</w:t>
      </w:r>
    </w:p>
    <w:p w14:paraId="4EE2AC5C" w14:textId="77777777" w:rsidR="00B55E1E" w:rsidRPr="00B55E1E" w:rsidRDefault="00B55E1E" w:rsidP="00CA22CD">
      <w:pPr>
        <w:spacing w:before="120"/>
        <w:ind w:left="357"/>
        <w:rPr>
          <w:rFonts w:eastAsia="Calibri" w:cs="Arial"/>
          <w:bCs/>
        </w:rPr>
      </w:pPr>
      <w:r w:rsidRPr="00B55E1E">
        <w:rPr>
          <w:rFonts w:eastAsia="Calibri" w:cs="Arial"/>
          <w:bCs/>
        </w:rPr>
        <w:t xml:space="preserve">On </w:t>
      </w:r>
      <w:r w:rsidRPr="00FC32A6">
        <w:rPr>
          <w:rFonts w:eastAsia="Calibri" w:cs="Arial"/>
          <w:b/>
        </w:rPr>
        <w:t>phytosanitary</w:t>
      </w:r>
      <w:r w:rsidRPr="00B55E1E">
        <w:rPr>
          <w:rFonts w:eastAsia="Calibri" w:cs="Arial"/>
          <w:bCs/>
          <w:i/>
          <w:iCs/>
        </w:rPr>
        <w:t xml:space="preserve">, </w:t>
      </w:r>
      <w:r w:rsidRPr="00B55E1E">
        <w:rPr>
          <w:rFonts w:eastAsia="Calibri" w:cs="Arial"/>
          <w:bCs/>
        </w:rPr>
        <w:t>the country must enhance its implementation and strive for alignment with the European Union's Farm to Fork and Biodiversity Strategy within the framework of the European Green Deal. These efforts should include the adoption and implementation of legislative package on plant health and official controls, as well as the new proposal of EU Regulation related to the sustainable use of plant protection products.</w:t>
      </w:r>
    </w:p>
    <w:p w14:paraId="68FB221B" w14:textId="77777777" w:rsidR="00B55E1E" w:rsidRPr="00B55E1E" w:rsidRDefault="00B55E1E" w:rsidP="00CA22CD">
      <w:pPr>
        <w:spacing w:before="120"/>
        <w:ind w:left="357"/>
        <w:rPr>
          <w:rFonts w:eastAsia="Calibri" w:cs="Arial"/>
          <w:bCs/>
        </w:rPr>
      </w:pPr>
      <w:r w:rsidRPr="00B55E1E">
        <w:rPr>
          <w:rFonts w:eastAsia="Calibri" w:cs="Arial"/>
          <w:bCs/>
        </w:rPr>
        <w:t xml:space="preserve">EU Plant Health Regime, regulated by Regulation (EU) 2016/2031 and Official Control Regulation (EU) 2017/625, aims to ensure a harmonised approach concerning the protective measures against quarantine and other regulated plant pests. The Phytosanitary Directorate drafted a new Plant Health Law transposing regulations and relevant secondary legislations. The new Law focuses on measures on protecting plants against pests that pose plant health risks and reducing those risks to an appropriate level, with strict connections on the production and marketing of seeds and other propagating material. Additionally, prevention and early detection of pests are essential for timely and effective eradication. Therefore, </w:t>
      </w:r>
      <w:r w:rsidRPr="00B55E1E">
        <w:rPr>
          <w:rFonts w:eastAsia="Calibri" w:cs="Arial"/>
          <w:bCs/>
        </w:rPr>
        <w:lastRenderedPageBreak/>
        <w:t>surveillance is an integral part of the plant health regime, including specific survey programs for particular pests based on Multi-annual and Annual survey programmes.</w:t>
      </w:r>
    </w:p>
    <w:p w14:paraId="29854754" w14:textId="166DDD98" w:rsidR="00B55E1E" w:rsidRPr="00B55E1E" w:rsidRDefault="00B55E1E" w:rsidP="00CA22CD">
      <w:pPr>
        <w:spacing w:before="120"/>
        <w:ind w:left="357"/>
        <w:rPr>
          <w:rFonts w:eastAsia="Calibri" w:cs="Arial"/>
          <w:bCs/>
        </w:rPr>
      </w:pPr>
      <w:r w:rsidRPr="00B55E1E">
        <w:rPr>
          <w:rFonts w:eastAsia="Calibri" w:cs="Arial"/>
          <w:bCs/>
        </w:rPr>
        <w:t>In line with the adopted Law on Phytopharmacy, secondary legislation must be adopted based on the National Action Plan (NAP) for the sustainable use of plant protection products. An important part of NAP is the Integrated Pest Management (IPM), aiming to promote the application of all good agricultural practices to reduce the use of pesticides in agricultural production to an ecologically friendly and technically justified and safe level. There is a need to promote the IPM at the territorial and field levels, with the involvement of the relevant public institutions. The assistance will improve the capacities of the Competent Authorities and other stakeholders to create and implement phytosanitary policy and legislation, both in plant health and sustainable use of pesticides area.</w:t>
      </w:r>
    </w:p>
    <w:p w14:paraId="790E179C" w14:textId="77777777" w:rsidR="00B55E1E" w:rsidRPr="00922BB5" w:rsidRDefault="00B55E1E" w:rsidP="00CA22CD">
      <w:pPr>
        <w:keepNext/>
        <w:keepLines/>
        <w:spacing w:before="120"/>
        <w:ind w:left="357"/>
        <w:outlineLvl w:val="0"/>
        <w:rPr>
          <w:rFonts w:eastAsia="Yu Gothic Light" w:cs="Times New Roman"/>
          <w:bCs/>
          <w:i/>
          <w:iCs/>
          <w:color w:val="0D0D0D"/>
          <w:szCs w:val="32"/>
        </w:rPr>
      </w:pPr>
      <w:r w:rsidRPr="00922BB5">
        <w:rPr>
          <w:rFonts w:eastAsia="Yu Gothic Light" w:cs="Times New Roman"/>
          <w:bCs/>
          <w:i/>
          <w:iCs/>
          <w:color w:val="0D0D0D"/>
          <w:szCs w:val="32"/>
        </w:rPr>
        <w:t>Illegal, unreported and unregulated fishing</w:t>
      </w:r>
    </w:p>
    <w:p w14:paraId="2CACC16C" w14:textId="5E25F6C5" w:rsidR="00B55E1E" w:rsidRPr="00B55E1E" w:rsidRDefault="00B55E1E" w:rsidP="00CA22CD">
      <w:pPr>
        <w:spacing w:before="120"/>
        <w:ind w:left="357"/>
        <w:rPr>
          <w:rFonts w:eastAsia="Calibri" w:cs="Arial"/>
          <w:bCs/>
          <w:i/>
          <w:iCs/>
          <w:szCs w:val="24"/>
        </w:rPr>
      </w:pPr>
      <w:r w:rsidRPr="00B55E1E">
        <w:rPr>
          <w:rFonts w:eastAsia="Calibri" w:cs="Arial"/>
          <w:bCs/>
          <w:szCs w:val="24"/>
        </w:rPr>
        <w:t>The legal and institutional alignment of the sector follows the National Plan for the Adoption of the Acquis (NPAA). Taking into consideration that North Macedonia is a land lock country a large part of the EU acquis on fisheries is not applicable. However, North Macedonia, should engage in the fight against IUU, and the national legal framework need keeping pace with changes to the EU’s Common Fisheries Policy. In this context, the country needs to increase its alignment with the EU legislation and improve its administrative capacities for managing resources and fleets and the inspections and control of the fishing policy. Establishment the system for prevent, deter and eliminate IUU fishing has been determinate as one of the priority in the Strategic response 2021-2027 for Republic of North Macedonia. Therefore, the new draft Law on Fisheries and Aquaculture provide an option for establishing secondary legislation regarding IUU fishing. Strengthening the national legislation and further alignment with the EU regulation is pivotal in order to alignment the legislation and establishment the system for prevent, deter and eliminate IUU fishing. It is of essential importance further training of national authorities to get acquainted with actual requirements for fight against IUU and its implementation. In addition, putting in place IT solutions for the national catch certification and supply of technical equipment should contribute to the establishing and functioning of the system for prevention, deter and elimination IUU fishing.</w:t>
      </w:r>
    </w:p>
    <w:p w14:paraId="7A85088C" w14:textId="77777777" w:rsidR="00B55E1E" w:rsidRPr="00922BB5" w:rsidRDefault="00B55E1E" w:rsidP="00CA22CD">
      <w:pPr>
        <w:keepNext/>
        <w:keepLines/>
        <w:spacing w:before="120"/>
        <w:ind w:left="357"/>
        <w:outlineLvl w:val="0"/>
        <w:rPr>
          <w:rFonts w:eastAsia="Yu Gothic Light" w:cs="Times New Roman"/>
          <w:bCs/>
          <w:i/>
          <w:iCs/>
          <w:color w:val="0D0D0D"/>
          <w:szCs w:val="32"/>
        </w:rPr>
      </w:pPr>
      <w:r w:rsidRPr="00B55E1E">
        <w:rPr>
          <w:rFonts w:eastAsia="Yu Gothic Light" w:cs="Times New Roman"/>
          <w:bCs/>
          <w:i/>
          <w:iCs/>
          <w:color w:val="0D0D0D"/>
          <w:szCs w:val="24"/>
          <w:u w:val="single"/>
        </w:rPr>
        <w:t xml:space="preserve"> </w:t>
      </w:r>
      <w:bookmarkStart w:id="127" w:name="_Hlk127221040"/>
      <w:r w:rsidRPr="00922BB5">
        <w:rPr>
          <w:rFonts w:eastAsia="Yu Gothic Light" w:cs="Times New Roman"/>
          <w:bCs/>
          <w:i/>
          <w:iCs/>
          <w:color w:val="0D0D0D"/>
          <w:szCs w:val="32"/>
        </w:rPr>
        <w:t xml:space="preserve">AFSARD – </w:t>
      </w:r>
      <w:bookmarkEnd w:id="127"/>
      <w:r w:rsidRPr="00922BB5">
        <w:rPr>
          <w:rFonts w:eastAsia="Yu Gothic Light" w:cs="Times New Roman"/>
          <w:bCs/>
          <w:i/>
          <w:iCs/>
          <w:color w:val="0D0D0D"/>
          <w:szCs w:val="32"/>
        </w:rPr>
        <w:t>Agency for financial support of Agriculture and Rural development</w:t>
      </w:r>
    </w:p>
    <w:p w14:paraId="5CA5EB87" w14:textId="3C751F8A" w:rsidR="00B55E1E" w:rsidRPr="00B55E1E" w:rsidRDefault="00B55E1E" w:rsidP="00CA22CD">
      <w:pPr>
        <w:spacing w:before="120"/>
        <w:ind w:left="357"/>
        <w:rPr>
          <w:rFonts w:eastAsia="Calibri" w:cs="Arial"/>
          <w:bCs/>
          <w:szCs w:val="24"/>
        </w:rPr>
      </w:pPr>
      <w:r w:rsidRPr="00B55E1E">
        <w:rPr>
          <w:rFonts w:eastAsia="Calibri" w:cs="Arial"/>
          <w:bCs/>
          <w:szCs w:val="24"/>
        </w:rPr>
        <w:t xml:space="preserve">Following the implementation of IPARD </w:t>
      </w:r>
      <w:r w:rsidR="002D6EFA">
        <w:rPr>
          <w:rFonts w:eastAsia="Calibri" w:cs="Arial"/>
          <w:bCs/>
          <w:szCs w:val="24"/>
        </w:rPr>
        <w:t>I</w:t>
      </w:r>
      <w:r w:rsidRPr="00B55E1E">
        <w:rPr>
          <w:rFonts w:eastAsia="Calibri" w:cs="Arial"/>
          <w:bCs/>
          <w:szCs w:val="24"/>
        </w:rPr>
        <w:t xml:space="preserve"> and </w:t>
      </w:r>
      <w:r w:rsidR="002D6EFA">
        <w:rPr>
          <w:rFonts w:eastAsia="Calibri" w:cs="Arial"/>
          <w:bCs/>
          <w:szCs w:val="24"/>
        </w:rPr>
        <w:t>II</w:t>
      </w:r>
      <w:r w:rsidRPr="00B55E1E">
        <w:rPr>
          <w:rFonts w:eastAsia="Calibri" w:cs="Arial"/>
          <w:bCs/>
          <w:szCs w:val="24"/>
        </w:rPr>
        <w:t>, a significant trend of increasing utilization of IPARD funds can be observed through the implementation of projects that are of vital importance for agriculture and rural development. The Sector for Control, as an independent internal organizational unit is responsible for performing on-the-spot controls of the applicant or the beneficiary of financial support for the purpose of determining the actual situation, before project approval, before making payments, ex-post controls, as well as additional controls as required and act according to reports in order to prevent irregularities.</w:t>
      </w:r>
    </w:p>
    <w:p w14:paraId="19AE91D4" w14:textId="3F1CC4AD" w:rsidR="00B55E1E" w:rsidRPr="00B55E1E" w:rsidRDefault="00B55E1E" w:rsidP="00CA22CD">
      <w:pPr>
        <w:spacing w:before="120"/>
        <w:ind w:left="357"/>
        <w:rPr>
          <w:rFonts w:eastAsia="Calibri" w:cs="Arial"/>
          <w:bCs/>
          <w:szCs w:val="24"/>
        </w:rPr>
      </w:pPr>
      <w:r w:rsidRPr="00B55E1E">
        <w:rPr>
          <w:rFonts w:eastAsia="Calibri" w:cs="Arial"/>
          <w:bCs/>
          <w:szCs w:val="24"/>
        </w:rPr>
        <w:t xml:space="preserve">The sector for control is facing many challenges </w:t>
      </w:r>
      <w:r w:rsidR="002D6EFA">
        <w:rPr>
          <w:rFonts w:eastAsia="Calibri" w:cs="Arial"/>
          <w:bCs/>
          <w:szCs w:val="24"/>
        </w:rPr>
        <w:t>caused by the</w:t>
      </w:r>
      <w:r w:rsidRPr="00B55E1E">
        <w:rPr>
          <w:rFonts w:eastAsia="Calibri" w:cs="Arial"/>
          <w:bCs/>
          <w:szCs w:val="24"/>
        </w:rPr>
        <w:t xml:space="preserve"> outdated IT equipment for performing field controls such as non-functional laptops, non-functional mobile printers, outdated models of GPS trackers as well as the necessary work equipment of the employees themselves who perform controls in the field (protective uniform).</w:t>
      </w:r>
      <w:r w:rsidR="002D6EFA">
        <w:rPr>
          <w:rFonts w:eastAsia="Calibri" w:cs="Arial"/>
          <w:bCs/>
          <w:szCs w:val="24"/>
        </w:rPr>
        <w:t xml:space="preserve"> </w:t>
      </w:r>
      <w:r w:rsidRPr="00B55E1E">
        <w:rPr>
          <w:rFonts w:eastAsia="Calibri" w:cs="Arial"/>
          <w:bCs/>
          <w:szCs w:val="24"/>
        </w:rPr>
        <w:t>In 2020, 5908 controls were performed on an annual basis, in 2021, 5247 controls were performed, and in 2022, the number of on-site controls was 5</w:t>
      </w:r>
      <w:r w:rsidR="00DA4A66">
        <w:rPr>
          <w:rFonts w:eastAsia="Calibri" w:cs="Arial"/>
          <w:bCs/>
          <w:szCs w:val="24"/>
        </w:rPr>
        <w:t>,</w:t>
      </w:r>
      <w:r w:rsidRPr="00B55E1E">
        <w:rPr>
          <w:rFonts w:eastAsia="Calibri" w:cs="Arial"/>
          <w:bCs/>
          <w:szCs w:val="24"/>
        </w:rPr>
        <w:t>537.</w:t>
      </w:r>
      <w:r w:rsidR="002D6EFA">
        <w:rPr>
          <w:rFonts w:eastAsia="Calibri" w:cs="Arial"/>
          <w:bCs/>
          <w:szCs w:val="24"/>
        </w:rPr>
        <w:t xml:space="preserve"> </w:t>
      </w:r>
      <w:r w:rsidRPr="00B55E1E">
        <w:rPr>
          <w:rFonts w:eastAsia="Calibri" w:cs="Arial"/>
          <w:bCs/>
          <w:szCs w:val="24"/>
        </w:rPr>
        <w:t xml:space="preserve">A larger number of controls is expected from 2023 with the start of the IPARD </w:t>
      </w:r>
      <w:r w:rsidR="002D6EFA">
        <w:rPr>
          <w:rFonts w:eastAsia="Calibri" w:cs="Arial"/>
          <w:bCs/>
          <w:szCs w:val="24"/>
        </w:rPr>
        <w:t>III</w:t>
      </w:r>
      <w:r w:rsidRPr="00B55E1E">
        <w:rPr>
          <w:rFonts w:eastAsia="Calibri" w:cs="Arial"/>
          <w:bCs/>
          <w:szCs w:val="24"/>
        </w:rPr>
        <w:t xml:space="preserve"> Program.</w:t>
      </w:r>
    </w:p>
    <w:p w14:paraId="65B346D7" w14:textId="3E1ED62E" w:rsidR="00B55E1E" w:rsidRPr="00B55E1E" w:rsidRDefault="00B55E1E" w:rsidP="00CA22CD">
      <w:pPr>
        <w:spacing w:before="120"/>
        <w:ind w:left="357"/>
        <w:rPr>
          <w:rFonts w:eastAsia="Calibri" w:cs="Arial"/>
          <w:bCs/>
          <w:szCs w:val="24"/>
          <w:lang w:val="en-US"/>
        </w:rPr>
      </w:pPr>
      <w:r w:rsidRPr="00B55E1E">
        <w:rPr>
          <w:rFonts w:eastAsia="Calibri" w:cs="Arial"/>
          <w:bCs/>
          <w:szCs w:val="24"/>
        </w:rPr>
        <w:t xml:space="preserve">Given that IPARD </w:t>
      </w:r>
      <w:r w:rsidR="002D6EFA">
        <w:rPr>
          <w:rFonts w:eastAsia="Calibri" w:cs="Arial"/>
          <w:bCs/>
          <w:szCs w:val="24"/>
        </w:rPr>
        <w:t>III</w:t>
      </w:r>
      <w:r w:rsidRPr="00B55E1E">
        <w:rPr>
          <w:rFonts w:eastAsia="Calibri" w:cs="Arial"/>
          <w:bCs/>
          <w:szCs w:val="24"/>
        </w:rPr>
        <w:t xml:space="preserve"> 2021-2027 has a significantly higher value than IPARD </w:t>
      </w:r>
      <w:r w:rsidR="002D6EFA">
        <w:rPr>
          <w:rFonts w:eastAsia="Calibri" w:cs="Arial"/>
          <w:bCs/>
          <w:szCs w:val="24"/>
        </w:rPr>
        <w:t>I</w:t>
      </w:r>
      <w:r w:rsidRPr="00B55E1E">
        <w:rPr>
          <w:rFonts w:eastAsia="Calibri" w:cs="Arial"/>
          <w:bCs/>
          <w:szCs w:val="24"/>
        </w:rPr>
        <w:t xml:space="preserve"> and </w:t>
      </w:r>
      <w:r w:rsidR="002D6EFA">
        <w:rPr>
          <w:rFonts w:eastAsia="Calibri" w:cs="Arial"/>
          <w:bCs/>
          <w:szCs w:val="24"/>
        </w:rPr>
        <w:t>II</w:t>
      </w:r>
      <w:r w:rsidRPr="00B55E1E">
        <w:rPr>
          <w:rFonts w:eastAsia="Calibri" w:cs="Arial"/>
          <w:bCs/>
          <w:szCs w:val="24"/>
        </w:rPr>
        <w:t xml:space="preserve">, i.e. about 97 million </w:t>
      </w:r>
      <w:r w:rsidR="002D6EFA">
        <w:rPr>
          <w:rFonts w:eastAsia="Calibri" w:cs="Arial"/>
          <w:bCs/>
          <w:szCs w:val="24"/>
        </w:rPr>
        <w:t>EUR</w:t>
      </w:r>
      <w:r w:rsidRPr="00B55E1E">
        <w:rPr>
          <w:rFonts w:eastAsia="Calibri" w:cs="Arial"/>
          <w:bCs/>
          <w:szCs w:val="24"/>
        </w:rPr>
        <w:t>, maximum focus and dedication of employees is needed to perform their tasks in a timely and professional manner.</w:t>
      </w:r>
      <w:r w:rsidR="00BD4614">
        <w:rPr>
          <w:rFonts w:eastAsia="Calibri" w:cs="Arial"/>
          <w:bCs/>
          <w:szCs w:val="24"/>
        </w:rPr>
        <w:t xml:space="preserve"> </w:t>
      </w:r>
      <w:r w:rsidRPr="00B55E1E">
        <w:rPr>
          <w:rFonts w:eastAsia="Calibri" w:cs="Arial"/>
          <w:bCs/>
          <w:szCs w:val="24"/>
        </w:rPr>
        <w:t>To raise the level of professionalism, it is necessary to improve the working environment, which will enable the successful functioning of the AFSARD.</w:t>
      </w:r>
      <w:r w:rsidR="00BD4614">
        <w:rPr>
          <w:rFonts w:eastAsia="Calibri" w:cs="Arial"/>
          <w:bCs/>
          <w:szCs w:val="24"/>
        </w:rPr>
        <w:t xml:space="preserve"> </w:t>
      </w:r>
      <w:r w:rsidRPr="00B55E1E">
        <w:rPr>
          <w:rFonts w:eastAsia="Calibri" w:cs="Arial"/>
          <w:bCs/>
          <w:szCs w:val="24"/>
          <w:lang w:val="en-US"/>
        </w:rPr>
        <w:t xml:space="preserve">IPARD </w:t>
      </w:r>
      <w:r w:rsidR="006F5A97">
        <w:rPr>
          <w:rFonts w:eastAsia="Calibri" w:cs="Arial"/>
          <w:bCs/>
          <w:szCs w:val="24"/>
          <w:lang w:val="en-US"/>
        </w:rPr>
        <w:t>II</w:t>
      </w:r>
      <w:r w:rsidRPr="00B55E1E">
        <w:rPr>
          <w:rFonts w:eastAsia="Calibri" w:cs="Arial"/>
          <w:bCs/>
          <w:szCs w:val="24"/>
          <w:lang w:val="en-US"/>
        </w:rPr>
        <w:t xml:space="preserve"> </w:t>
      </w:r>
      <w:r w:rsidR="006F5A97">
        <w:rPr>
          <w:rFonts w:eastAsia="Calibri" w:cs="Arial"/>
          <w:bCs/>
          <w:szCs w:val="24"/>
          <w:lang w:val="en-US"/>
        </w:rPr>
        <w:t>c</w:t>
      </w:r>
      <w:r w:rsidRPr="00B55E1E">
        <w:rPr>
          <w:rFonts w:eastAsia="Calibri" w:cs="Arial"/>
          <w:bCs/>
          <w:szCs w:val="24"/>
          <w:lang w:val="en-US"/>
        </w:rPr>
        <w:t xml:space="preserve">annot </w:t>
      </w:r>
      <w:r w:rsidR="006F5A97">
        <w:rPr>
          <w:rFonts w:eastAsia="Calibri" w:cs="Arial"/>
          <w:bCs/>
          <w:szCs w:val="24"/>
          <w:lang w:val="en-US"/>
        </w:rPr>
        <w:t xml:space="preserve">cover </w:t>
      </w:r>
      <w:r w:rsidRPr="00B55E1E">
        <w:rPr>
          <w:rFonts w:eastAsia="Calibri" w:cs="Arial"/>
          <w:bCs/>
          <w:szCs w:val="24"/>
          <w:lang w:val="en-US"/>
        </w:rPr>
        <w:t xml:space="preserve">purchase </w:t>
      </w:r>
      <w:r w:rsidR="006F5A97">
        <w:rPr>
          <w:rFonts w:eastAsia="Calibri" w:cs="Arial"/>
          <w:bCs/>
          <w:szCs w:val="24"/>
          <w:lang w:val="en-US"/>
        </w:rPr>
        <w:t xml:space="preserve">of </w:t>
      </w:r>
      <w:r w:rsidRPr="00B55E1E">
        <w:rPr>
          <w:rFonts w:eastAsia="Calibri" w:cs="Arial"/>
          <w:bCs/>
          <w:szCs w:val="24"/>
          <w:lang w:val="en-US"/>
        </w:rPr>
        <w:t>supplies</w:t>
      </w:r>
      <w:r w:rsidR="006F5A97">
        <w:rPr>
          <w:rFonts w:eastAsia="Calibri" w:cs="Arial"/>
          <w:bCs/>
          <w:szCs w:val="24"/>
          <w:lang w:val="en-US"/>
        </w:rPr>
        <w:t xml:space="preserve"> due to the </w:t>
      </w:r>
      <w:r w:rsidRPr="00B55E1E">
        <w:rPr>
          <w:rFonts w:eastAsia="Calibri" w:cs="Arial"/>
          <w:bCs/>
          <w:szCs w:val="24"/>
          <w:lang w:val="en-US"/>
        </w:rPr>
        <w:t xml:space="preserve">final phase </w:t>
      </w:r>
      <w:r w:rsidR="00BE05BA">
        <w:rPr>
          <w:rFonts w:eastAsia="Calibri" w:cs="Arial"/>
          <w:bCs/>
          <w:szCs w:val="24"/>
          <w:lang w:val="en-US"/>
        </w:rPr>
        <w:t xml:space="preserve">of implementation. </w:t>
      </w:r>
    </w:p>
    <w:p w14:paraId="29B1A051" w14:textId="013286DA" w:rsidR="00B55E1E" w:rsidRPr="00CA22CD" w:rsidRDefault="00FE62E6" w:rsidP="00CA22CD">
      <w:pPr>
        <w:pStyle w:val="Heading1"/>
        <w:numPr>
          <w:ilvl w:val="0"/>
          <w:numId w:val="0"/>
        </w:numPr>
        <w:spacing w:after="0"/>
        <w:ind w:left="357"/>
        <w:rPr>
          <w:b w:val="0"/>
          <w:u w:val="single"/>
        </w:rPr>
      </w:pPr>
      <w:r w:rsidRPr="00CA22CD">
        <w:rPr>
          <w:b w:val="0"/>
          <w:u w:val="single"/>
        </w:rPr>
        <w:t xml:space="preserve">Main </w:t>
      </w:r>
      <w:r w:rsidR="00B55E1E" w:rsidRPr="00CA22CD">
        <w:rPr>
          <w:b w:val="0"/>
          <w:u w:val="single"/>
        </w:rPr>
        <w:t xml:space="preserve">stakeholders </w:t>
      </w:r>
    </w:p>
    <w:p w14:paraId="51663F76" w14:textId="36B4469B" w:rsidR="00D249CF" w:rsidRPr="00D249CF" w:rsidRDefault="00D249CF" w:rsidP="00CA22CD">
      <w:pPr>
        <w:spacing w:before="120"/>
        <w:ind w:left="357"/>
      </w:pPr>
      <w:r>
        <w:t>M</w:t>
      </w:r>
      <w:r w:rsidRPr="00D249CF">
        <w:t xml:space="preserve">ain stakeholders and corresponding institutional and/or organisational issues (mandates, potential roles, and capacities) </w:t>
      </w:r>
      <w:r>
        <w:t xml:space="preserve">identified </w:t>
      </w:r>
      <w:r w:rsidRPr="00D249CF">
        <w:t>to be covered by the Action</w:t>
      </w:r>
      <w:r>
        <w:t xml:space="preserve"> in the </w:t>
      </w:r>
      <w:r w:rsidRPr="00D249CF">
        <w:t>area of rural and agriculture development are as follows:</w:t>
      </w:r>
    </w:p>
    <w:p w14:paraId="1E6000B8" w14:textId="1A79DFF1" w:rsidR="00B55E1E" w:rsidRPr="00B55E1E" w:rsidRDefault="00B55E1E" w:rsidP="00CA22CD">
      <w:pPr>
        <w:numPr>
          <w:ilvl w:val="0"/>
          <w:numId w:val="26"/>
        </w:numPr>
        <w:spacing w:before="120"/>
        <w:ind w:left="1077"/>
        <w:rPr>
          <w:rFonts w:eastAsia="Calibri" w:cs="Arial"/>
          <w:szCs w:val="24"/>
        </w:rPr>
      </w:pPr>
      <w:r w:rsidRPr="00B55E1E">
        <w:rPr>
          <w:rFonts w:eastAsia="Calibri" w:cs="Arial"/>
          <w:b/>
          <w:bCs/>
          <w:szCs w:val="24"/>
        </w:rPr>
        <w:lastRenderedPageBreak/>
        <w:t>Ministry of Agriculture, Forestry and Water Economy (MoAFWE)</w:t>
      </w:r>
      <w:r w:rsidR="00207C78">
        <w:rPr>
          <w:rFonts w:eastAsia="Calibri" w:cs="Arial"/>
          <w:b/>
          <w:bCs/>
          <w:szCs w:val="24"/>
        </w:rPr>
        <w:t xml:space="preserve"> </w:t>
      </w:r>
      <w:r w:rsidRPr="00B55E1E">
        <w:rPr>
          <w:rFonts w:eastAsia="Calibri" w:cs="Arial"/>
          <w:szCs w:val="24"/>
        </w:rPr>
        <w:t>is responsible for developing and implementing agriculture, forestry, and water management policies.</w:t>
      </w:r>
      <w:r w:rsidR="00207C78">
        <w:rPr>
          <w:rFonts w:eastAsia="Calibri" w:cs="Arial"/>
          <w:szCs w:val="24"/>
        </w:rPr>
        <w:t xml:space="preserve"> </w:t>
      </w:r>
      <w:r w:rsidRPr="00B55E1E">
        <w:rPr>
          <w:rFonts w:eastAsia="Calibri" w:cs="Arial"/>
          <w:szCs w:val="24"/>
        </w:rPr>
        <w:t>The Ministry is also responsible for managing fishing activities in North Macedonia, including regulating and controlling fishing, managing fish stocks, aquaculture, protection and sustainable use of fish.</w:t>
      </w:r>
      <w:r w:rsidR="00207C78">
        <w:rPr>
          <w:rFonts w:eastAsia="Calibri" w:cs="Arial"/>
          <w:szCs w:val="24"/>
        </w:rPr>
        <w:t xml:space="preserve"> </w:t>
      </w:r>
    </w:p>
    <w:p w14:paraId="64085CA5" w14:textId="73750ECE" w:rsidR="00B55E1E" w:rsidRPr="00B55E1E" w:rsidRDefault="00B55E1E" w:rsidP="00CA22CD">
      <w:pPr>
        <w:numPr>
          <w:ilvl w:val="0"/>
          <w:numId w:val="26"/>
        </w:numPr>
        <w:spacing w:before="120"/>
        <w:ind w:left="1077"/>
        <w:rPr>
          <w:rFonts w:eastAsia="Calibri" w:cs="Arial"/>
          <w:szCs w:val="24"/>
        </w:rPr>
      </w:pPr>
      <w:r w:rsidRPr="00B55E1E">
        <w:rPr>
          <w:rFonts w:eastAsia="Calibri" w:cs="Arial"/>
          <w:b/>
          <w:bCs/>
          <w:szCs w:val="24"/>
        </w:rPr>
        <w:t>Food and Veterinary Agency (FVA)</w:t>
      </w:r>
      <w:r w:rsidR="00207C78">
        <w:rPr>
          <w:rFonts w:eastAsia="Calibri" w:cs="Arial"/>
          <w:b/>
          <w:bCs/>
          <w:szCs w:val="24"/>
        </w:rPr>
        <w:t xml:space="preserve"> </w:t>
      </w:r>
      <w:r w:rsidRPr="00B55E1E">
        <w:rPr>
          <w:rFonts w:eastAsia="Calibri" w:cs="Arial"/>
          <w:szCs w:val="24"/>
        </w:rPr>
        <w:t xml:space="preserve">is a central competent authority for food and feed safety and veterinary policy. FVA is an independent body of the public administration in the role of legal entity. </w:t>
      </w:r>
    </w:p>
    <w:p w14:paraId="2FD722EC" w14:textId="55E051E8" w:rsidR="00B55E1E" w:rsidRPr="00E0090F" w:rsidRDefault="00B55E1E" w:rsidP="00CA22CD">
      <w:pPr>
        <w:numPr>
          <w:ilvl w:val="0"/>
          <w:numId w:val="26"/>
        </w:numPr>
        <w:spacing w:before="120"/>
        <w:ind w:left="1077"/>
        <w:rPr>
          <w:rFonts w:eastAsia="Calibri" w:cs="Arial"/>
          <w:szCs w:val="24"/>
        </w:rPr>
      </w:pPr>
      <w:r w:rsidRPr="00B55E1E">
        <w:rPr>
          <w:rFonts w:eastAsia="Calibri" w:cs="Arial"/>
          <w:b/>
          <w:bCs/>
          <w:szCs w:val="24"/>
        </w:rPr>
        <w:t xml:space="preserve">Phytosanitary Directorate </w:t>
      </w:r>
      <w:r w:rsidRPr="00B55E1E">
        <w:rPr>
          <w:rFonts w:eastAsia="Calibri" w:cs="Arial"/>
          <w:bCs/>
          <w:szCs w:val="24"/>
        </w:rPr>
        <w:t xml:space="preserve">is a body within the Ministry of Agriculture, Forestry and Water Economy responsible for creation and implementation of the policy and legislation related to the plant health and sustainable use of plant protection products. The other Competent Authorities involved in plant protection sector are State Phytosanitary Laboratory (SPL) for laboratory analysis, State Agricultural Inspectorate (SAI) within which is border and in-land phytosanitary inspection and Seed and Seedling </w:t>
      </w:r>
      <w:r w:rsidRPr="00E0090F">
        <w:rPr>
          <w:rFonts w:eastAsia="Calibri" w:cs="Arial"/>
          <w:bCs/>
          <w:szCs w:val="24"/>
        </w:rPr>
        <w:t xml:space="preserve">Directorate for the issues related to the plant propagating material. </w:t>
      </w:r>
    </w:p>
    <w:p w14:paraId="16FFC869" w14:textId="4BCCD976" w:rsidR="00B55E1E" w:rsidRPr="00CA22CD" w:rsidRDefault="00B55E1E" w:rsidP="00CA22CD">
      <w:pPr>
        <w:numPr>
          <w:ilvl w:val="0"/>
          <w:numId w:val="26"/>
        </w:numPr>
        <w:spacing w:before="120"/>
        <w:ind w:left="1077"/>
        <w:rPr>
          <w:szCs w:val="24"/>
          <w:lang w:val="en-IE"/>
        </w:rPr>
      </w:pPr>
      <w:r w:rsidRPr="00E0090F">
        <w:rPr>
          <w:rFonts w:eastAsia="Calibri" w:cs="Arial"/>
          <w:b/>
          <w:bCs/>
          <w:szCs w:val="24"/>
        </w:rPr>
        <w:t xml:space="preserve">Agency for Financial Support in Agriculture and Rural Development (AFSARD) </w:t>
      </w:r>
      <w:r w:rsidRPr="00E0090F">
        <w:rPr>
          <w:rFonts w:eastAsia="Calibri" w:cs="Arial"/>
          <w:szCs w:val="24"/>
        </w:rPr>
        <w:t xml:space="preserve">is a responsible institution for the full, timely and accurate implementation of the Programs for Financial Support of the Agriculture and Rural Development, through an established, efficient, effective and economical control and management system. </w:t>
      </w:r>
      <w:r w:rsidR="00207C78" w:rsidRPr="00E0090F">
        <w:rPr>
          <w:rFonts w:eastAsia="Calibri" w:cs="Arial"/>
          <w:szCs w:val="24"/>
        </w:rPr>
        <w:t>AFSARD</w:t>
      </w:r>
      <w:r w:rsidRPr="00E0090F">
        <w:rPr>
          <w:rFonts w:eastAsia="Calibri" w:cs="Arial"/>
          <w:szCs w:val="24"/>
        </w:rPr>
        <w:t xml:space="preserve"> appl</w:t>
      </w:r>
      <w:r w:rsidR="00207C78" w:rsidRPr="00E0090F">
        <w:rPr>
          <w:rFonts w:eastAsia="Calibri" w:cs="Arial"/>
          <w:szCs w:val="24"/>
        </w:rPr>
        <w:t>ies</w:t>
      </w:r>
      <w:r w:rsidRPr="00E0090F">
        <w:rPr>
          <w:rFonts w:eastAsia="Calibri" w:cs="Arial"/>
          <w:szCs w:val="24"/>
        </w:rPr>
        <w:t xml:space="preserve"> the quality management system - ISO 9001:2015</w:t>
      </w:r>
      <w:r w:rsidR="00E0090F" w:rsidRPr="00E0090F">
        <w:rPr>
          <w:rFonts w:eastAsia="Calibri" w:cs="Arial"/>
          <w:szCs w:val="24"/>
        </w:rPr>
        <w:t>.</w:t>
      </w:r>
      <w:r w:rsidRPr="00E0090F">
        <w:rPr>
          <w:rFonts w:eastAsia="Calibri" w:cs="Arial"/>
          <w:szCs w:val="24"/>
        </w:rPr>
        <w:t xml:space="preserve"> </w:t>
      </w:r>
    </w:p>
    <w:p w14:paraId="5EE5D690" w14:textId="77777777" w:rsidR="004E2D18" w:rsidRPr="003775F2" w:rsidRDefault="004E2D18" w:rsidP="00CA22CD">
      <w:pPr>
        <w:pStyle w:val="Heading1"/>
        <w:numPr>
          <w:ilvl w:val="1"/>
          <w:numId w:val="7"/>
        </w:numPr>
        <w:spacing w:before="360"/>
        <w:ind w:left="1559" w:hanging="431"/>
        <w:rPr>
          <w:lang w:val="en-IE"/>
        </w:rPr>
      </w:pPr>
      <w:r>
        <w:rPr>
          <w:lang w:val="en-IE"/>
        </w:rPr>
        <w:t>Lessons Learned</w:t>
      </w:r>
    </w:p>
    <w:p w14:paraId="174743A3" w14:textId="7E734FCB" w:rsidR="00AB56A9" w:rsidRDefault="00AB56A9" w:rsidP="00CA22CD">
      <w:pPr>
        <w:spacing w:before="120" w:after="120"/>
        <w:ind w:left="1077"/>
      </w:pPr>
      <w:bookmarkStart w:id="128" w:name="_Toc47101956"/>
      <w:bookmarkStart w:id="129" w:name="_Toc51270451"/>
      <w:bookmarkStart w:id="130" w:name="_Ref58358933"/>
      <w:bookmarkStart w:id="131" w:name="_Ref58877297"/>
      <w:r>
        <w:t xml:space="preserve">The EU is the largest donor in the country for the </w:t>
      </w:r>
      <w:r w:rsidR="000A5256">
        <w:t>competitiveness</w:t>
      </w:r>
      <w:r>
        <w:t>, agriculture and rural development</w:t>
      </w:r>
      <w:r w:rsidR="000A5256">
        <w:t xml:space="preserve"> sectors, benefiting of EUR 165.3 million in EU grants </w:t>
      </w:r>
      <w:r>
        <w:t xml:space="preserve"> </w:t>
      </w:r>
      <w:r w:rsidR="000A5256">
        <w:t>u</w:t>
      </w:r>
      <w:r>
        <w:t>nder IPA II.</w:t>
      </w:r>
      <w:r w:rsidR="00847F4A" w:rsidRPr="00847F4A">
        <w:rPr>
          <w:rFonts w:eastAsia="Calibri" w:cs="Times New Roman"/>
          <w:color w:val="0D0D0D"/>
          <w:szCs w:val="24"/>
        </w:rPr>
        <w:t xml:space="preserve"> </w:t>
      </w:r>
      <w:r w:rsidR="006C0938">
        <w:t xml:space="preserve">A new package of EUR 25.85 million, focused on greening the economy through establishing the Green Economy Fund, is funded under IPA III. </w:t>
      </w:r>
      <w:r>
        <w:t>The implementation of the EU</w:t>
      </w:r>
      <w:r w:rsidR="000A5256">
        <w:t xml:space="preserve">-funded interventions </w:t>
      </w:r>
      <w:r w:rsidR="00847F4A">
        <w:t xml:space="preserve">led to the </w:t>
      </w:r>
      <w:r>
        <w:t xml:space="preserve">following conclusions: </w:t>
      </w:r>
    </w:p>
    <w:p w14:paraId="3F89A8AD" w14:textId="42E04F67" w:rsidR="00022B19" w:rsidRPr="00CA22CD" w:rsidRDefault="008F074C" w:rsidP="003662EA">
      <w:pPr>
        <w:pStyle w:val="ListParagraph"/>
        <w:numPr>
          <w:ilvl w:val="0"/>
          <w:numId w:val="35"/>
        </w:numPr>
        <w:spacing w:before="120"/>
        <w:ind w:left="1791" w:hanging="357"/>
        <w:contextualSpacing w:val="0"/>
      </w:pPr>
      <w:r>
        <w:t>Clear strategic vision and p</w:t>
      </w:r>
      <w:r w:rsidR="00847F4A" w:rsidRPr="00B56153">
        <w:rPr>
          <w:rFonts w:eastAsia="Calibri" w:cs="Times New Roman"/>
          <w:szCs w:val="20"/>
          <w:lang w:eastAsia="x-none"/>
        </w:rPr>
        <w:t xml:space="preserve">olitical commitment </w:t>
      </w:r>
      <w:r w:rsidRPr="00B56153">
        <w:rPr>
          <w:rFonts w:eastAsia="Calibri" w:cs="Times New Roman"/>
          <w:szCs w:val="20"/>
          <w:lang w:eastAsia="x-none"/>
        </w:rPr>
        <w:t xml:space="preserve">to far-reaching sector reforms are crucial for the national and EU investments. </w:t>
      </w:r>
      <w:r w:rsidR="00022B19" w:rsidRPr="00B56153">
        <w:rPr>
          <w:rFonts w:eastAsia="Calibri" w:cs="Times New Roman"/>
          <w:szCs w:val="20"/>
          <w:lang w:eastAsia="x-none"/>
        </w:rPr>
        <w:t xml:space="preserve">With the </w:t>
      </w:r>
      <w:r w:rsidR="00E66EDD">
        <w:rPr>
          <w:rFonts w:eastAsia="Calibri" w:cs="Times New Roman"/>
          <w:szCs w:val="20"/>
          <w:lang w:eastAsia="x-none"/>
        </w:rPr>
        <w:t xml:space="preserve">adoption of </w:t>
      </w:r>
      <w:r w:rsidR="00022B19" w:rsidRPr="003662EA">
        <w:rPr>
          <w:rFonts w:eastAsia="Calibri" w:cs="Times New Roman"/>
          <w:szCs w:val="20"/>
          <w:lang w:eastAsia="x-none"/>
        </w:rPr>
        <w:t>performance</w:t>
      </w:r>
      <w:r w:rsidR="00022B19" w:rsidRPr="00B56153">
        <w:rPr>
          <w:rFonts w:eastAsia="Calibri" w:cs="Times New Roman"/>
          <w:szCs w:val="20"/>
          <w:lang w:eastAsia="x-none"/>
        </w:rPr>
        <w:t xml:space="preserve"> assessment framework </w:t>
      </w:r>
      <w:r w:rsidR="00E66EDD">
        <w:rPr>
          <w:rFonts w:eastAsia="Calibri" w:cs="Times New Roman"/>
          <w:szCs w:val="20"/>
          <w:lang w:eastAsia="x-none"/>
        </w:rPr>
        <w:t xml:space="preserve">in 2021 </w:t>
      </w:r>
      <w:r w:rsidR="00022B19" w:rsidRPr="003662EA">
        <w:rPr>
          <w:rFonts w:eastAsia="Calibri" w:cs="Times New Roman"/>
          <w:szCs w:val="20"/>
          <w:lang w:eastAsia="x-none"/>
        </w:rPr>
        <w:t xml:space="preserve">and </w:t>
      </w:r>
      <w:r w:rsidR="00022B19" w:rsidRPr="00B56153">
        <w:rPr>
          <w:rFonts w:eastAsia="Calibri" w:cs="Times New Roman"/>
          <w:szCs w:val="20"/>
          <w:lang w:eastAsia="x-none"/>
        </w:rPr>
        <w:t xml:space="preserve">the Strategic Response </w:t>
      </w:r>
      <w:r w:rsidR="00E66EDD">
        <w:rPr>
          <w:rFonts w:eastAsia="Calibri" w:cs="Times New Roman"/>
          <w:szCs w:val="20"/>
          <w:lang w:eastAsia="x-none"/>
        </w:rPr>
        <w:t xml:space="preserve">in 2022, </w:t>
      </w:r>
      <w:r w:rsidR="00022B19" w:rsidRPr="003662EA">
        <w:rPr>
          <w:rFonts w:eastAsia="Calibri" w:cs="Times New Roman"/>
          <w:szCs w:val="20"/>
          <w:lang w:eastAsia="x-none"/>
        </w:rPr>
        <w:t>N</w:t>
      </w:r>
      <w:r w:rsidR="00022B19" w:rsidRPr="00B56153">
        <w:rPr>
          <w:rFonts w:eastAsia="Calibri" w:cs="Times New Roman"/>
          <w:szCs w:val="20"/>
          <w:lang w:eastAsia="x-none"/>
        </w:rPr>
        <w:t xml:space="preserve">orth Macedonia has established targets for year 2027 for a number of sector reforms. These targets </w:t>
      </w:r>
      <w:r w:rsidR="00E66EDD">
        <w:rPr>
          <w:rFonts w:eastAsia="Calibri" w:cs="Times New Roman"/>
          <w:szCs w:val="20"/>
          <w:lang w:eastAsia="x-none"/>
        </w:rPr>
        <w:t xml:space="preserve">have </w:t>
      </w:r>
      <w:r w:rsidR="00022B19" w:rsidRPr="003662EA">
        <w:rPr>
          <w:rFonts w:eastAsia="Calibri" w:cs="Times New Roman"/>
          <w:szCs w:val="20"/>
          <w:lang w:eastAsia="x-none"/>
        </w:rPr>
        <w:t>support</w:t>
      </w:r>
      <w:r w:rsidR="00E66EDD">
        <w:rPr>
          <w:rFonts w:eastAsia="Calibri" w:cs="Times New Roman"/>
          <w:szCs w:val="20"/>
          <w:lang w:eastAsia="x-none"/>
        </w:rPr>
        <w:t>ed</w:t>
      </w:r>
      <w:r w:rsidR="00022B19" w:rsidRPr="003662EA">
        <w:rPr>
          <w:rFonts w:eastAsia="Calibri" w:cs="Times New Roman"/>
          <w:szCs w:val="20"/>
          <w:lang w:eastAsia="x-none"/>
        </w:rPr>
        <w:t xml:space="preserve"> </w:t>
      </w:r>
      <w:r w:rsidR="00022B19" w:rsidRPr="00B56153">
        <w:rPr>
          <w:rFonts w:eastAsia="Calibri" w:cs="Times New Roman"/>
          <w:szCs w:val="20"/>
          <w:lang w:eastAsia="x-none"/>
        </w:rPr>
        <w:t xml:space="preserve">well the </w:t>
      </w:r>
      <w:r w:rsidR="00E66EDD">
        <w:rPr>
          <w:rFonts w:eastAsia="Calibri" w:cs="Times New Roman"/>
          <w:szCs w:val="20"/>
          <w:lang w:eastAsia="x-none"/>
        </w:rPr>
        <w:t xml:space="preserve">definition of strategic priorities for the new generation of strategies and helped the  </w:t>
      </w:r>
      <w:r w:rsidR="00022B19" w:rsidRPr="003662EA">
        <w:rPr>
          <w:rFonts w:eastAsia="Calibri" w:cs="Times New Roman"/>
          <w:szCs w:val="20"/>
          <w:lang w:eastAsia="x-none"/>
        </w:rPr>
        <w:t xml:space="preserve">programming process </w:t>
      </w:r>
      <w:r w:rsidR="00022B19" w:rsidRPr="00B56153">
        <w:rPr>
          <w:rFonts w:eastAsia="Calibri" w:cs="Times New Roman"/>
          <w:szCs w:val="20"/>
          <w:lang w:eastAsia="x-none"/>
        </w:rPr>
        <w:t xml:space="preserve">channelling the EU and national investments in the right direction to achieve the targets. However, the current framework does not cover all areas. </w:t>
      </w:r>
      <w:r w:rsidR="00E66EDD" w:rsidRPr="00B56153">
        <w:rPr>
          <w:rFonts w:eastAsia="Calibri" w:cs="Times New Roman"/>
          <w:szCs w:val="20"/>
          <w:lang w:eastAsia="x-none"/>
        </w:rPr>
        <w:t>In some areas, such as the intellectual rights, the</w:t>
      </w:r>
      <w:r w:rsidR="00022B19" w:rsidRPr="00B56153">
        <w:rPr>
          <w:rFonts w:eastAsia="Calibri" w:cs="Times New Roman"/>
          <w:szCs w:val="20"/>
          <w:lang w:eastAsia="x-none"/>
        </w:rPr>
        <w:t xml:space="preserve"> strategic vacuum </w:t>
      </w:r>
      <w:r w:rsidR="00E66EDD">
        <w:rPr>
          <w:rFonts w:eastAsia="Calibri" w:cs="Times New Roman"/>
          <w:szCs w:val="20"/>
          <w:lang w:eastAsia="x-none"/>
        </w:rPr>
        <w:t xml:space="preserve">since 2018 delayed significantly the reforms, weakened the existing capacities, and hampered national and donors’ investments. This is why the adoption of a new IPR strategy has been included as a precondition for any EU investments, even under the project approach. </w:t>
      </w:r>
    </w:p>
    <w:p w14:paraId="6C7717EA" w14:textId="0FA746BA" w:rsidR="004454D2" w:rsidRDefault="008F074C" w:rsidP="004454D2">
      <w:pPr>
        <w:pStyle w:val="ListParagraph"/>
        <w:numPr>
          <w:ilvl w:val="0"/>
          <w:numId w:val="35"/>
        </w:numPr>
        <w:spacing w:before="120"/>
        <w:ind w:left="1791" w:hanging="357"/>
        <w:contextualSpacing w:val="0"/>
      </w:pPr>
      <w:r>
        <w:t xml:space="preserve">The clear political vision has to be backed by </w:t>
      </w:r>
      <w:r w:rsidR="009E0CEA">
        <w:t xml:space="preserve">sophisticated, well-coordinated and inclusive policy-making, implementation and reporting process. </w:t>
      </w:r>
      <w:r w:rsidR="004454D2">
        <w:t xml:space="preserve">Involving stakeholders, namely the business and farmers communities, </w:t>
      </w:r>
      <w:r w:rsidR="009E0CEA">
        <w:t xml:space="preserve">researchers and innovators, as well as local community organisation, </w:t>
      </w:r>
      <w:r w:rsidR="004454D2">
        <w:t xml:space="preserve">is a vector of success for any action. They must be partners in the activities, not only beneficiaries. This approach, </w:t>
      </w:r>
      <w:r w:rsidR="009E0CEA">
        <w:t>ensuring</w:t>
      </w:r>
      <w:r w:rsidR="004454D2">
        <w:t xml:space="preserve"> the sustainably of the EU investments, requires strong communication and outreach policy</w:t>
      </w:r>
      <w:r w:rsidR="009E0CEA">
        <w:t>, and this has been streamlined through all action components</w:t>
      </w:r>
      <w:r w:rsidR="004454D2">
        <w:t>.</w:t>
      </w:r>
      <w:r w:rsidR="005E511E">
        <w:t xml:space="preserve"> In addition, the Action relies on the involvement of the two sector working groups – on competitiveness sand on agriculture and rural development - where the interests of the authorities meet those of the donors and civil society. </w:t>
      </w:r>
    </w:p>
    <w:p w14:paraId="2EC4077A" w14:textId="7723ED42" w:rsidR="00847F4A" w:rsidRPr="00DF52C9" w:rsidRDefault="005E511E" w:rsidP="00CA22CD">
      <w:pPr>
        <w:numPr>
          <w:ilvl w:val="0"/>
          <w:numId w:val="35"/>
        </w:numPr>
        <w:spacing w:before="120"/>
        <w:ind w:left="1791" w:hanging="357"/>
        <w:rPr>
          <w:rFonts w:eastAsia="Calibri" w:cs="Times New Roman"/>
          <w:szCs w:val="20"/>
          <w:lang w:eastAsia="x-none"/>
        </w:rPr>
      </w:pPr>
      <w:r>
        <w:rPr>
          <w:rFonts w:eastAsia="Calibri" w:cs="Times New Roman"/>
          <w:szCs w:val="20"/>
          <w:lang w:eastAsia="x-none"/>
        </w:rPr>
        <w:t>I</w:t>
      </w:r>
      <w:r w:rsidR="00847F4A" w:rsidRPr="00DF52C9">
        <w:rPr>
          <w:rFonts w:eastAsia="Calibri" w:cs="Times New Roman"/>
          <w:szCs w:val="20"/>
          <w:lang w:eastAsia="x-none"/>
        </w:rPr>
        <w:t xml:space="preserve">nvesting in </w:t>
      </w:r>
      <w:r w:rsidR="00DD0D42" w:rsidRPr="00DF52C9">
        <w:rPr>
          <w:rFonts w:eastAsia="Calibri" w:cs="Times New Roman"/>
          <w:szCs w:val="20"/>
          <w:lang w:eastAsia="x-none"/>
        </w:rPr>
        <w:t>capacit</w:t>
      </w:r>
      <w:r w:rsidR="00DD0D42">
        <w:rPr>
          <w:rFonts w:eastAsia="Calibri" w:cs="Times New Roman"/>
          <w:szCs w:val="20"/>
          <w:lang w:eastAsia="x-none"/>
        </w:rPr>
        <w:t>ies</w:t>
      </w:r>
      <w:r w:rsidR="00DD0D42" w:rsidRPr="00DF52C9">
        <w:rPr>
          <w:rFonts w:eastAsia="Calibri" w:cs="Times New Roman"/>
          <w:szCs w:val="20"/>
          <w:lang w:eastAsia="x-none"/>
        </w:rPr>
        <w:t xml:space="preserve"> </w:t>
      </w:r>
      <w:r>
        <w:rPr>
          <w:rFonts w:eastAsia="Calibri" w:cs="Times New Roman"/>
          <w:szCs w:val="20"/>
          <w:lang w:eastAsia="x-none"/>
        </w:rPr>
        <w:t xml:space="preserve">remains the most important tool </w:t>
      </w:r>
      <w:r w:rsidR="00847F4A" w:rsidRPr="00DF52C9">
        <w:rPr>
          <w:rFonts w:eastAsia="Calibri" w:cs="Times New Roman"/>
          <w:szCs w:val="20"/>
          <w:lang w:eastAsia="x-none"/>
        </w:rPr>
        <w:t>for minimising risks</w:t>
      </w:r>
      <w:r>
        <w:rPr>
          <w:rFonts w:eastAsia="Calibri" w:cs="Times New Roman"/>
          <w:szCs w:val="20"/>
          <w:lang w:eastAsia="x-none"/>
        </w:rPr>
        <w:t xml:space="preserve"> to assistance</w:t>
      </w:r>
      <w:r w:rsidR="00847F4A" w:rsidRPr="00DF52C9">
        <w:rPr>
          <w:rFonts w:eastAsia="Calibri" w:cs="Times New Roman"/>
          <w:szCs w:val="20"/>
          <w:lang w:eastAsia="x-none"/>
        </w:rPr>
        <w:t>, promoting sustainability, and maximising impact.</w:t>
      </w:r>
      <w:r w:rsidR="00FC087C">
        <w:rPr>
          <w:rFonts w:eastAsia="Calibri" w:cs="Times New Roman"/>
          <w:szCs w:val="20"/>
          <w:lang w:eastAsia="x-none"/>
        </w:rPr>
        <w:t xml:space="preserve"> T</w:t>
      </w:r>
      <w:r w:rsidR="00DD0D42">
        <w:rPr>
          <w:rFonts w:eastAsia="Calibri" w:cs="Times New Roman"/>
          <w:szCs w:val="20"/>
          <w:lang w:eastAsia="x-none"/>
        </w:rPr>
        <w:t xml:space="preserve">hese investments </w:t>
      </w:r>
      <w:r w:rsidR="00FC087C">
        <w:rPr>
          <w:rFonts w:eastAsia="Calibri" w:cs="Times New Roman"/>
          <w:szCs w:val="20"/>
          <w:lang w:eastAsia="x-none"/>
        </w:rPr>
        <w:t xml:space="preserve">must cover all aspects of administrative capacities: clear competences and institutional roles, preparedness and  </w:t>
      </w:r>
      <w:r w:rsidR="00FC087C">
        <w:rPr>
          <w:rFonts w:eastAsia="Calibri" w:cs="Times New Roman"/>
          <w:szCs w:val="20"/>
          <w:lang w:eastAsia="x-none"/>
        </w:rPr>
        <w:lastRenderedPageBreak/>
        <w:t>knowledge of staff,</w:t>
      </w:r>
      <w:r w:rsidR="008F2D50">
        <w:rPr>
          <w:rFonts w:eastAsia="Calibri" w:cs="Times New Roman"/>
          <w:szCs w:val="20"/>
          <w:lang w:eastAsia="x-none"/>
        </w:rPr>
        <w:t xml:space="preserve"> business processes</w:t>
      </w:r>
      <w:r w:rsidR="00FC087C">
        <w:rPr>
          <w:rFonts w:eastAsia="Calibri" w:cs="Times New Roman"/>
          <w:szCs w:val="20"/>
          <w:lang w:eastAsia="x-none"/>
        </w:rPr>
        <w:t xml:space="preserve"> at institutional level, inter-institutional coordination, </w:t>
      </w:r>
      <w:r w:rsidR="008F2D50">
        <w:rPr>
          <w:rFonts w:eastAsia="Calibri" w:cs="Times New Roman"/>
          <w:szCs w:val="20"/>
          <w:lang w:eastAsia="x-none"/>
        </w:rPr>
        <w:t xml:space="preserve">quality assurance and standards at work, etc. While the ongoing public administration reform will target horizontally a significant part of these priorities, the capacity building measures in specific institutional and sectoral context provide additional value and ensure a strong synergic effect. </w:t>
      </w:r>
    </w:p>
    <w:p w14:paraId="71C67FA7" w14:textId="0A62993B" w:rsidR="00FC087C" w:rsidRPr="003662EA" w:rsidRDefault="00DD0D42" w:rsidP="003662EA">
      <w:pPr>
        <w:numPr>
          <w:ilvl w:val="0"/>
          <w:numId w:val="35"/>
        </w:numPr>
        <w:spacing w:before="120"/>
        <w:ind w:left="1791" w:hanging="357"/>
        <w:rPr>
          <w:rFonts w:eastAsia="Calibri" w:cs="Times New Roman"/>
          <w:szCs w:val="20"/>
          <w:lang w:eastAsia="x-none"/>
        </w:rPr>
      </w:pPr>
      <w:r>
        <w:rPr>
          <w:rFonts w:eastAsia="Calibri" w:cs="Times New Roman"/>
          <w:szCs w:val="20"/>
          <w:lang w:eastAsia="x-none"/>
        </w:rPr>
        <w:t xml:space="preserve">Significant part of the EU assistance targets alignment with the EU legislation, and preparation of the stakeholders to implement it in support of the early integration concept. It has never been easy to follow on the level of alignment. </w:t>
      </w:r>
      <w:r w:rsidR="00922BB5">
        <w:rPr>
          <w:rFonts w:eastAsia="Calibri" w:cs="Times New Roman"/>
          <w:szCs w:val="20"/>
          <w:lang w:eastAsia="x-none"/>
        </w:rPr>
        <w:t>D</w:t>
      </w:r>
      <w:r w:rsidR="00922BB5" w:rsidRPr="00DF52C9">
        <w:rPr>
          <w:rFonts w:eastAsia="Calibri" w:cs="Times New Roman"/>
          <w:szCs w:val="20"/>
          <w:lang w:eastAsia="x-none"/>
        </w:rPr>
        <w:t xml:space="preserve">espite the National Programme for the Adoption of the </w:t>
      </w:r>
      <w:r w:rsidR="00922BB5" w:rsidRPr="00DF52C9">
        <w:rPr>
          <w:rFonts w:eastAsia="Calibri" w:cs="Times New Roman"/>
          <w:i/>
          <w:iCs/>
          <w:szCs w:val="20"/>
          <w:lang w:eastAsia="x-none"/>
        </w:rPr>
        <w:t>Acquis</w:t>
      </w:r>
      <w:r w:rsidR="00922BB5" w:rsidRPr="00DF52C9">
        <w:rPr>
          <w:rFonts w:eastAsia="Calibri" w:cs="Times New Roman"/>
          <w:szCs w:val="20"/>
          <w:lang w:eastAsia="x-none"/>
        </w:rPr>
        <w:t xml:space="preserve"> (NPAA)</w:t>
      </w:r>
      <w:r w:rsidR="00922BB5">
        <w:rPr>
          <w:rFonts w:eastAsia="Calibri" w:cs="Times New Roman"/>
          <w:szCs w:val="20"/>
          <w:lang w:eastAsia="x-none"/>
        </w:rPr>
        <w:t xml:space="preserve">, </w:t>
      </w:r>
      <w:r>
        <w:rPr>
          <w:rFonts w:eastAsia="Calibri" w:cs="Times New Roman"/>
          <w:szCs w:val="20"/>
          <w:lang w:eastAsia="x-none"/>
        </w:rPr>
        <w:t xml:space="preserve">there is </w:t>
      </w:r>
      <w:r w:rsidR="00922BB5">
        <w:rPr>
          <w:rFonts w:eastAsia="Calibri" w:cs="Times New Roman"/>
          <w:szCs w:val="20"/>
          <w:lang w:eastAsia="x-none"/>
        </w:rPr>
        <w:t>still</w:t>
      </w:r>
      <w:r w:rsidR="00847F4A" w:rsidRPr="00DF52C9">
        <w:rPr>
          <w:rFonts w:eastAsia="Calibri" w:cs="Times New Roman"/>
          <w:szCs w:val="20"/>
          <w:lang w:eastAsia="x-none"/>
        </w:rPr>
        <w:t xml:space="preserve"> </w:t>
      </w:r>
      <w:r>
        <w:rPr>
          <w:rFonts w:eastAsia="Calibri" w:cs="Times New Roman"/>
          <w:szCs w:val="20"/>
          <w:lang w:eastAsia="x-none"/>
        </w:rPr>
        <w:t xml:space="preserve">no </w:t>
      </w:r>
      <w:r w:rsidR="00847F4A" w:rsidRPr="00DF52C9">
        <w:rPr>
          <w:rFonts w:eastAsia="Calibri" w:cs="Times New Roman"/>
          <w:szCs w:val="20"/>
          <w:lang w:eastAsia="x-none"/>
        </w:rPr>
        <w:t>reliable system for monitoring the alignment</w:t>
      </w:r>
      <w:r>
        <w:rPr>
          <w:rFonts w:eastAsia="Calibri" w:cs="Times New Roman"/>
          <w:szCs w:val="20"/>
          <w:lang w:eastAsia="x-none"/>
        </w:rPr>
        <w:t xml:space="preserve"> at legal level and even less at the level of implementation. The new stage of accession of North Macedonia and the efforts of the Government to establish a well functioning negotiation system provide </w:t>
      </w:r>
      <w:r w:rsidR="00FC087C">
        <w:rPr>
          <w:rFonts w:eastAsia="Calibri" w:cs="Times New Roman"/>
          <w:szCs w:val="20"/>
          <w:lang w:eastAsia="x-none"/>
        </w:rPr>
        <w:t xml:space="preserve">some assurance that this issue will be resolved in due time by putting in place a new comprehensive IT system on legislative correspondence. It will be equally important to back up the data with enhanced digitalisation at institutional and sector level – one of the objectives of this action. </w:t>
      </w:r>
    </w:p>
    <w:p w14:paraId="09A48267" w14:textId="14B25CA6" w:rsidR="00FD7FCD" w:rsidRPr="003C0CD7" w:rsidRDefault="00FD7FCD" w:rsidP="00CA22CD">
      <w:pPr>
        <w:pStyle w:val="Heading1"/>
        <w:spacing w:before="240" w:after="240"/>
        <w:ind w:left="717" w:hanging="357"/>
        <w:rPr>
          <w:lang w:val="en-IE"/>
        </w:rPr>
      </w:pPr>
      <w:bookmarkStart w:id="132" w:name="_Ref59012514"/>
      <w:bookmarkStart w:id="133" w:name="_Toc73090747"/>
      <w:r w:rsidRPr="003C0CD7">
        <w:rPr>
          <w:lang w:val="en-IE"/>
        </w:rPr>
        <w:t>DESCRIPTION OF THE ACTION</w:t>
      </w:r>
      <w:bookmarkEnd w:id="128"/>
      <w:bookmarkEnd w:id="129"/>
      <w:bookmarkEnd w:id="130"/>
      <w:bookmarkEnd w:id="131"/>
      <w:bookmarkEnd w:id="132"/>
      <w:bookmarkEnd w:id="133"/>
    </w:p>
    <w:p w14:paraId="133A6338" w14:textId="77777777" w:rsidR="00B26539" w:rsidRPr="003C0CD7" w:rsidRDefault="00B26539" w:rsidP="00CA22CD">
      <w:pPr>
        <w:pStyle w:val="Heading1"/>
        <w:numPr>
          <w:ilvl w:val="1"/>
          <w:numId w:val="1"/>
        </w:numPr>
        <w:spacing w:before="240" w:after="240"/>
        <w:ind w:left="1560"/>
        <w:rPr>
          <w:lang w:val="en-IE"/>
        </w:rPr>
      </w:pPr>
      <w:bookmarkStart w:id="134" w:name="_Toc58681338"/>
      <w:bookmarkStart w:id="135" w:name="_Toc58836468"/>
      <w:bookmarkStart w:id="136" w:name="_Toc58838086"/>
      <w:bookmarkStart w:id="137" w:name="_Toc58838141"/>
      <w:bookmarkStart w:id="138" w:name="_Toc58845983"/>
      <w:bookmarkStart w:id="139" w:name="_Toc58876993"/>
      <w:bookmarkStart w:id="140" w:name="_Toc58878028"/>
      <w:bookmarkStart w:id="141" w:name="_Toc59012341"/>
      <w:bookmarkStart w:id="142" w:name="_Toc59012917"/>
      <w:bookmarkStart w:id="143" w:name="_Toc59020765"/>
      <w:bookmarkStart w:id="144" w:name="_Toc59023365"/>
      <w:bookmarkStart w:id="145" w:name="_Toc59029534"/>
      <w:bookmarkStart w:id="146" w:name="_Toc59030350"/>
      <w:bookmarkStart w:id="147" w:name="_Toc59031667"/>
      <w:bookmarkStart w:id="148" w:name="_Toc62247166"/>
      <w:bookmarkStart w:id="149" w:name="_Toc62247223"/>
      <w:bookmarkStart w:id="150" w:name="_Toc62459265"/>
      <w:bookmarkStart w:id="151" w:name="_Toc62476929"/>
      <w:bookmarkStart w:id="152" w:name="_Toc63235837"/>
      <w:bookmarkStart w:id="153" w:name="_Toc63248943"/>
      <w:bookmarkStart w:id="154" w:name="_Toc63263272"/>
      <w:bookmarkStart w:id="155" w:name="_Toc64043049"/>
      <w:bookmarkStart w:id="156" w:name="_Toc65663761"/>
      <w:bookmarkStart w:id="157" w:name="_Toc65665576"/>
      <w:bookmarkStart w:id="158" w:name="_Toc65665938"/>
      <w:bookmarkStart w:id="159" w:name="_Toc65666117"/>
      <w:bookmarkStart w:id="160" w:name="_Toc65671194"/>
      <w:bookmarkStart w:id="161" w:name="_Toc65671253"/>
      <w:bookmarkStart w:id="162" w:name="_Toc65671909"/>
      <w:bookmarkStart w:id="163" w:name="_Toc65674765"/>
      <w:bookmarkStart w:id="164" w:name="_Toc65676415"/>
      <w:bookmarkStart w:id="165" w:name="_Toc65688252"/>
      <w:bookmarkStart w:id="166" w:name="_Toc66465141"/>
      <w:bookmarkStart w:id="167" w:name="_Toc66465594"/>
      <w:bookmarkStart w:id="168" w:name="_Toc66465653"/>
      <w:bookmarkStart w:id="169" w:name="_Toc66696379"/>
      <w:bookmarkStart w:id="170" w:name="_Toc67665928"/>
      <w:bookmarkStart w:id="171" w:name="_Toc69384712"/>
      <w:bookmarkStart w:id="172" w:name="_Toc69384843"/>
      <w:bookmarkStart w:id="173" w:name="_Toc69384971"/>
      <w:bookmarkStart w:id="174" w:name="_Toc69385099"/>
      <w:bookmarkStart w:id="175" w:name="_Toc69460848"/>
      <w:bookmarkStart w:id="176" w:name="_Toc69460975"/>
      <w:bookmarkStart w:id="177" w:name="_Toc69469911"/>
      <w:bookmarkStart w:id="178" w:name="_Toc69485774"/>
      <w:bookmarkStart w:id="179" w:name="_Toc69487649"/>
      <w:bookmarkStart w:id="180" w:name="_Toc72142239"/>
      <w:bookmarkStart w:id="181" w:name="_Toc72142325"/>
      <w:bookmarkStart w:id="182" w:name="_Toc73090665"/>
      <w:bookmarkStart w:id="183" w:name="_Toc73090748"/>
      <w:bookmarkStart w:id="184" w:name="_Toc73090749"/>
      <w:bookmarkStart w:id="185" w:name="_Ref58337114"/>
      <w:bookmarkStart w:id="186" w:name="_Ref58337116"/>
      <w:bookmarkStart w:id="187" w:name="_Ref58424170"/>
      <w:bookmarkStart w:id="188" w:name="_Ref58688188"/>
      <w:bookmarkStart w:id="189" w:name="_Ref58859220"/>
      <w:bookmarkStart w:id="190" w:name="_Ref58859419"/>
      <w:bookmarkStart w:id="191" w:name="_Ref60739130"/>
      <w:bookmarkStart w:id="192" w:name="_Ref60742845"/>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3C0CD7">
        <w:rPr>
          <w:lang w:val="en-IE"/>
        </w:rPr>
        <w:t xml:space="preserve">Intervention Logic </w:t>
      </w:r>
    </w:p>
    <w:p w14:paraId="63978633" w14:textId="59386B36" w:rsidR="008D649C" w:rsidRPr="00CA22CD" w:rsidRDefault="008D649C" w:rsidP="00CA22CD">
      <w:pPr>
        <w:pStyle w:val="Heading1"/>
        <w:numPr>
          <w:ilvl w:val="0"/>
          <w:numId w:val="0"/>
        </w:numPr>
        <w:spacing w:after="0"/>
        <w:ind w:left="1440"/>
        <w:rPr>
          <w:b w:val="0"/>
          <w:lang w:val="en-IE"/>
        </w:rPr>
      </w:pPr>
      <w:r w:rsidRPr="00CA22CD">
        <w:rPr>
          <w:b w:val="0"/>
          <w:lang w:val="en-IE"/>
        </w:rPr>
        <w:t xml:space="preserve">The Overall Objective/Impact of this Action is: </w:t>
      </w:r>
    </w:p>
    <w:p w14:paraId="485C2DF0" w14:textId="55B9078D" w:rsidR="00C17FD5" w:rsidRPr="00CA22CD" w:rsidRDefault="008D649C" w:rsidP="00CA22CD">
      <w:pPr>
        <w:spacing w:before="120"/>
        <w:ind w:left="2160"/>
        <w:rPr>
          <w:i/>
          <w:szCs w:val="24"/>
        </w:rPr>
      </w:pPr>
      <w:r w:rsidRPr="00CA22CD">
        <w:rPr>
          <w:rFonts w:cs="Times New Roman"/>
          <w:i/>
          <w:color w:val="0D0D0D" w:themeColor="text1" w:themeTint="F2"/>
          <w:lang w:val="en-IE"/>
        </w:rPr>
        <w:t xml:space="preserve">To </w:t>
      </w:r>
      <w:r w:rsidRPr="00CA22CD">
        <w:rPr>
          <w:i/>
          <w:szCs w:val="24"/>
        </w:rPr>
        <w:t>unleash</w:t>
      </w:r>
      <w:r w:rsidR="00EE03A2">
        <w:rPr>
          <w:i/>
          <w:szCs w:val="24"/>
        </w:rPr>
        <w:t xml:space="preserve"> the</w:t>
      </w:r>
      <w:r w:rsidRPr="00CA22CD">
        <w:rPr>
          <w:i/>
          <w:szCs w:val="24"/>
        </w:rPr>
        <w:t xml:space="preserve"> </w:t>
      </w:r>
      <w:r w:rsidR="00C17FD5" w:rsidRPr="00CA22CD">
        <w:rPr>
          <w:i/>
          <w:szCs w:val="24"/>
        </w:rPr>
        <w:t>economic potential of North Macedonia</w:t>
      </w:r>
      <w:r w:rsidR="00EE03A2">
        <w:rPr>
          <w:i/>
          <w:szCs w:val="24"/>
        </w:rPr>
        <w:t xml:space="preserve"> </w:t>
      </w:r>
      <w:r w:rsidR="00781A83">
        <w:rPr>
          <w:i/>
          <w:szCs w:val="24"/>
        </w:rPr>
        <w:t>and enhance country’s  cohesion with EU</w:t>
      </w:r>
      <w:r w:rsidR="00781A83" w:rsidRPr="00603C3E">
        <w:rPr>
          <w:i/>
          <w:szCs w:val="24"/>
        </w:rPr>
        <w:t xml:space="preserve"> </w:t>
      </w:r>
    </w:p>
    <w:p w14:paraId="1BB8FCC5" w14:textId="747DAA82" w:rsidR="00EE03A2" w:rsidRDefault="00EE03A2" w:rsidP="00CA22CD">
      <w:pPr>
        <w:spacing w:before="120"/>
        <w:ind w:left="1440"/>
        <w:rPr>
          <w:rFonts w:cs="Times New Roman"/>
          <w:color w:val="0D0D0D" w:themeColor="text1" w:themeTint="F2"/>
          <w:lang w:val="en-IE"/>
        </w:rPr>
      </w:pPr>
      <w:r w:rsidRPr="003C0CD7">
        <w:rPr>
          <w:rFonts w:cs="Times New Roman"/>
          <w:color w:val="0D0D0D" w:themeColor="text1" w:themeTint="F2"/>
          <w:lang w:val="en-IE"/>
        </w:rPr>
        <w:t xml:space="preserve">The Specific Objective (Outcome) of this </w:t>
      </w:r>
      <w:r>
        <w:rPr>
          <w:rFonts w:cs="Times New Roman"/>
          <w:color w:val="0D0D0D" w:themeColor="text1" w:themeTint="F2"/>
          <w:lang w:val="en-IE"/>
        </w:rPr>
        <w:t>A</w:t>
      </w:r>
      <w:r w:rsidRPr="003C0CD7">
        <w:rPr>
          <w:rFonts w:cs="Times New Roman"/>
          <w:color w:val="0D0D0D" w:themeColor="text1" w:themeTint="F2"/>
          <w:lang w:val="en-IE"/>
        </w:rPr>
        <w:t xml:space="preserve">ction </w:t>
      </w:r>
      <w:r>
        <w:rPr>
          <w:rFonts w:cs="Times New Roman"/>
          <w:color w:val="0D0D0D" w:themeColor="text1" w:themeTint="F2"/>
          <w:lang w:val="en-IE"/>
        </w:rPr>
        <w:t>is:</w:t>
      </w:r>
      <w:r w:rsidRPr="003C0CD7">
        <w:rPr>
          <w:rFonts w:cs="Times New Roman"/>
          <w:color w:val="0D0D0D" w:themeColor="text1" w:themeTint="F2"/>
          <w:lang w:val="en-IE"/>
        </w:rPr>
        <w:t xml:space="preserve"> </w:t>
      </w:r>
    </w:p>
    <w:p w14:paraId="7C56ADC9" w14:textId="4C91F36A" w:rsidR="00EE03A2" w:rsidRPr="00603C3E" w:rsidRDefault="00EE03A2" w:rsidP="00CA22CD">
      <w:pPr>
        <w:spacing w:before="120"/>
        <w:ind w:left="2160"/>
        <w:rPr>
          <w:i/>
          <w:szCs w:val="24"/>
        </w:rPr>
      </w:pPr>
      <w:r>
        <w:rPr>
          <w:i/>
          <w:szCs w:val="24"/>
        </w:rPr>
        <w:t>To</w:t>
      </w:r>
      <w:r w:rsidRPr="00603C3E">
        <w:rPr>
          <w:i/>
          <w:szCs w:val="24"/>
        </w:rPr>
        <w:t xml:space="preserve"> </w:t>
      </w:r>
      <w:r w:rsidR="009C20E8">
        <w:rPr>
          <w:i/>
          <w:szCs w:val="24"/>
        </w:rPr>
        <w:t>accelerate the business environment reform and</w:t>
      </w:r>
      <w:r w:rsidR="00781A83">
        <w:rPr>
          <w:i/>
          <w:szCs w:val="24"/>
        </w:rPr>
        <w:t xml:space="preserve"> </w:t>
      </w:r>
      <w:r w:rsidR="000178A4">
        <w:rPr>
          <w:i/>
          <w:szCs w:val="24"/>
        </w:rPr>
        <w:t xml:space="preserve">transformation </w:t>
      </w:r>
    </w:p>
    <w:p w14:paraId="7A638A07" w14:textId="77777777" w:rsidR="003417B9" w:rsidRDefault="003417B9" w:rsidP="00CA22CD">
      <w:pPr>
        <w:spacing w:before="120"/>
        <w:ind w:left="1440"/>
        <w:rPr>
          <w:rFonts w:cs="Times New Roman"/>
          <w:color w:val="0D0D0D" w:themeColor="text1" w:themeTint="F2"/>
          <w:szCs w:val="24"/>
        </w:rPr>
      </w:pPr>
      <w:r>
        <w:rPr>
          <w:rFonts w:cs="Times New Roman"/>
          <w:color w:val="0D0D0D" w:themeColor="text1" w:themeTint="F2"/>
          <w:szCs w:val="24"/>
        </w:rPr>
        <w:t>This Outcome will be achieved through the delivery of the following Outputs:</w:t>
      </w:r>
    </w:p>
    <w:p w14:paraId="2E78DCE9" w14:textId="61E3F77B" w:rsidR="00C17FD5" w:rsidRPr="00CA22CD" w:rsidRDefault="003417B9" w:rsidP="00CA22CD">
      <w:pPr>
        <w:spacing w:before="120"/>
        <w:ind w:left="2160"/>
        <w:rPr>
          <w:i/>
          <w:szCs w:val="24"/>
        </w:rPr>
      </w:pPr>
      <w:r w:rsidRPr="00AA05FA">
        <w:rPr>
          <w:rFonts w:cs="Times New Roman"/>
          <w:i/>
        </w:rPr>
        <w:t xml:space="preserve">Output </w:t>
      </w:r>
      <w:r w:rsidR="00C17FD5" w:rsidRPr="00CA22CD">
        <w:rPr>
          <w:bCs/>
          <w:i/>
          <w:szCs w:val="24"/>
        </w:rPr>
        <w:t>1:</w:t>
      </w:r>
      <w:r w:rsidR="00EE03A2" w:rsidRPr="00CA22CD">
        <w:rPr>
          <w:bCs/>
          <w:i/>
          <w:szCs w:val="24"/>
        </w:rPr>
        <w:t xml:space="preserve"> </w:t>
      </w:r>
      <w:r w:rsidR="00781A83">
        <w:rPr>
          <w:bCs/>
          <w:i/>
          <w:szCs w:val="24"/>
        </w:rPr>
        <w:t>Improved</w:t>
      </w:r>
      <w:r w:rsidR="00EE03A2" w:rsidRPr="00CA22CD">
        <w:rPr>
          <w:i/>
        </w:rPr>
        <w:t xml:space="preserve"> l</w:t>
      </w:r>
      <w:r w:rsidR="00C17FD5" w:rsidRPr="00CA22CD">
        <w:rPr>
          <w:i/>
        </w:rPr>
        <w:t>egal</w:t>
      </w:r>
      <w:r w:rsidR="00923278">
        <w:rPr>
          <w:i/>
        </w:rPr>
        <w:t xml:space="preserve">, </w:t>
      </w:r>
      <w:r w:rsidR="00C17FD5" w:rsidRPr="00CA22CD">
        <w:rPr>
          <w:i/>
        </w:rPr>
        <w:t xml:space="preserve">administrative </w:t>
      </w:r>
      <w:r w:rsidR="00923278">
        <w:rPr>
          <w:i/>
        </w:rPr>
        <w:t xml:space="preserve">and operational </w:t>
      </w:r>
      <w:r w:rsidR="00C17FD5" w:rsidRPr="00CA22CD">
        <w:rPr>
          <w:i/>
        </w:rPr>
        <w:t xml:space="preserve">framework for </w:t>
      </w:r>
      <w:r w:rsidR="00781A83">
        <w:rPr>
          <w:i/>
        </w:rPr>
        <w:t>private sector development</w:t>
      </w:r>
    </w:p>
    <w:p w14:paraId="322CEB15" w14:textId="74C4D9FC" w:rsidR="00C17FD5" w:rsidRPr="00CA22CD" w:rsidRDefault="003417B9" w:rsidP="00CA22CD">
      <w:pPr>
        <w:spacing w:before="120"/>
        <w:ind w:left="2160"/>
        <w:rPr>
          <w:i/>
          <w:szCs w:val="24"/>
        </w:rPr>
      </w:pPr>
      <w:r w:rsidRPr="00CA22CD">
        <w:rPr>
          <w:bCs/>
          <w:i/>
          <w:szCs w:val="24"/>
        </w:rPr>
        <w:t xml:space="preserve">Output </w:t>
      </w:r>
      <w:r w:rsidR="00C17FD5" w:rsidRPr="00CA22CD">
        <w:rPr>
          <w:bCs/>
          <w:i/>
          <w:szCs w:val="24"/>
        </w:rPr>
        <w:t>2:</w:t>
      </w:r>
      <w:r w:rsidR="00C17FD5" w:rsidRPr="00CA22CD">
        <w:rPr>
          <w:i/>
          <w:szCs w:val="24"/>
        </w:rPr>
        <w:t xml:space="preserve"> </w:t>
      </w:r>
      <w:r w:rsidR="00923278">
        <w:rPr>
          <w:i/>
          <w:szCs w:val="24"/>
        </w:rPr>
        <w:t>Strengthened capacities for effective and efficient management of a</w:t>
      </w:r>
      <w:r w:rsidR="00C17FD5" w:rsidRPr="00CA22CD">
        <w:rPr>
          <w:i/>
          <w:szCs w:val="24"/>
        </w:rPr>
        <w:t>gricultur</w:t>
      </w:r>
      <w:r w:rsidR="00923278">
        <w:rPr>
          <w:i/>
          <w:szCs w:val="24"/>
        </w:rPr>
        <w:t xml:space="preserve">e </w:t>
      </w:r>
      <w:r w:rsidR="00C17FD5" w:rsidRPr="00CA22CD">
        <w:rPr>
          <w:i/>
          <w:szCs w:val="24"/>
        </w:rPr>
        <w:t xml:space="preserve">and </w:t>
      </w:r>
      <w:r w:rsidR="00923278">
        <w:rPr>
          <w:i/>
          <w:szCs w:val="24"/>
        </w:rPr>
        <w:t>f</w:t>
      </w:r>
      <w:r w:rsidR="00C17FD5" w:rsidRPr="00CA22CD">
        <w:rPr>
          <w:i/>
          <w:szCs w:val="24"/>
        </w:rPr>
        <w:t xml:space="preserve">isheries </w:t>
      </w:r>
    </w:p>
    <w:p w14:paraId="3FAD8D6A" w14:textId="77777777" w:rsidR="00EE03A2" w:rsidRPr="00F26843" w:rsidRDefault="00EE03A2" w:rsidP="00CA22CD">
      <w:pPr>
        <w:ind w:left="1440"/>
        <w:rPr>
          <w:rFonts w:cs="Times New Roman"/>
          <w:color w:val="0D0D0D"/>
          <w:lang w:val="en-IE"/>
        </w:rPr>
      </w:pPr>
    </w:p>
    <w:p w14:paraId="6A9132BF" w14:textId="77777777" w:rsidR="00C60BF9" w:rsidRPr="003C0CD7" w:rsidRDefault="00C60BF9" w:rsidP="00EA2398">
      <w:pPr>
        <w:pStyle w:val="Heading1"/>
        <w:numPr>
          <w:ilvl w:val="1"/>
          <w:numId w:val="1"/>
        </w:numPr>
        <w:rPr>
          <w:lang w:val="en-IE"/>
        </w:rPr>
      </w:pPr>
      <w:bookmarkStart w:id="193" w:name="_Ref58424572"/>
      <w:bookmarkStart w:id="194" w:name="_Toc73090752"/>
      <w:bookmarkEnd w:id="184"/>
      <w:r w:rsidRPr="003C0CD7">
        <w:rPr>
          <w:lang w:val="en-IE"/>
        </w:rPr>
        <w:t>Indicative Activities</w:t>
      </w:r>
      <w:bookmarkEnd w:id="193"/>
      <w:bookmarkEnd w:id="194"/>
    </w:p>
    <w:p w14:paraId="48D66583" w14:textId="77777777" w:rsidR="00BE7382" w:rsidRDefault="00BE7382" w:rsidP="00CA22CD">
      <w:pPr>
        <w:ind w:left="1440"/>
        <w:rPr>
          <w:lang w:val="en-IE"/>
        </w:rPr>
      </w:pPr>
      <w:r>
        <w:rPr>
          <w:lang w:val="en-IE"/>
        </w:rPr>
        <w:t>The Action will be implemented through the following main activities:</w:t>
      </w:r>
    </w:p>
    <w:p w14:paraId="3FA23452" w14:textId="5FAE8FA1" w:rsidR="000D0B6F" w:rsidRPr="00761107" w:rsidRDefault="00BE7382" w:rsidP="00CA22CD">
      <w:pPr>
        <w:spacing w:before="240"/>
        <w:ind w:left="1440"/>
        <w:rPr>
          <w:rFonts w:eastAsia="Calibri" w:cs="Arial"/>
          <w:u w:val="single"/>
        </w:rPr>
      </w:pPr>
      <w:r w:rsidRPr="00CA22CD">
        <w:rPr>
          <w:rFonts w:eastAsia="Calibri" w:cs="Arial"/>
          <w:b/>
          <w:bCs/>
        </w:rPr>
        <w:t>Output 1</w:t>
      </w:r>
      <w:r w:rsidR="000D0B6F" w:rsidRPr="00CA22CD">
        <w:rPr>
          <w:rFonts w:eastAsia="Calibri" w:cs="Arial"/>
          <w:b/>
          <w:bCs/>
        </w:rPr>
        <w:t xml:space="preserve">: </w:t>
      </w:r>
      <w:r w:rsidRPr="00CA22CD">
        <w:rPr>
          <w:rFonts w:eastAsia="Calibri" w:cs="Arial"/>
          <w:b/>
        </w:rPr>
        <w:t xml:space="preserve">Improved legal </w:t>
      </w:r>
      <w:r w:rsidR="000D0B6F" w:rsidRPr="00CA22CD">
        <w:rPr>
          <w:rFonts w:eastAsia="Calibri" w:cs="Arial"/>
          <w:b/>
        </w:rPr>
        <w:t xml:space="preserve">and administrative framework for </w:t>
      </w:r>
      <w:r w:rsidR="00781A83">
        <w:rPr>
          <w:rFonts w:eastAsia="Calibri" w:cs="Arial"/>
          <w:b/>
        </w:rPr>
        <w:t xml:space="preserve">private sector development, </w:t>
      </w:r>
      <w:r w:rsidR="00781A83" w:rsidRPr="00CA22CD">
        <w:rPr>
          <w:rFonts w:eastAsia="Calibri" w:cs="Arial"/>
        </w:rPr>
        <w:t>with a focus on</w:t>
      </w:r>
      <w:r w:rsidR="00A77890" w:rsidRPr="00AA05FA">
        <w:rPr>
          <w:rFonts w:eastAsia="Calibri" w:cs="Arial"/>
        </w:rPr>
        <w:t>:</w:t>
      </w:r>
    </w:p>
    <w:p w14:paraId="7E52B177" w14:textId="7C0A7679" w:rsidR="00BE099B" w:rsidRPr="00AA05FA" w:rsidRDefault="00A77890" w:rsidP="00CA22CD">
      <w:pPr>
        <w:pStyle w:val="Heading1"/>
        <w:numPr>
          <w:ilvl w:val="0"/>
          <w:numId w:val="0"/>
        </w:numPr>
        <w:ind w:left="1440"/>
        <w:rPr>
          <w:rFonts w:eastAsia="Calibri" w:cs="Arial"/>
          <w:bCs/>
          <w:szCs w:val="24"/>
        </w:rPr>
      </w:pPr>
      <w:r w:rsidRPr="00AA05FA">
        <w:rPr>
          <w:bCs/>
        </w:rPr>
        <w:t xml:space="preserve"> </w:t>
      </w:r>
      <w:r w:rsidR="00BE7382" w:rsidRPr="00AA05FA">
        <w:rPr>
          <w:bCs/>
        </w:rPr>
        <w:t xml:space="preserve">(1). </w:t>
      </w:r>
      <w:r w:rsidRPr="00246684">
        <w:t xml:space="preserve">Right </w:t>
      </w:r>
      <w:r w:rsidR="00721DC8" w:rsidRPr="003662EA">
        <w:t>of establishment and freedom to provide services</w:t>
      </w:r>
      <w:r w:rsidR="00721DC8" w:rsidRPr="00CD5A0E">
        <w:rPr>
          <w:b w:val="0"/>
        </w:rPr>
        <w:t xml:space="preserve"> </w:t>
      </w:r>
      <w:r>
        <w:t xml:space="preserve">– </w:t>
      </w:r>
      <w:r w:rsidRPr="003662EA">
        <w:rPr>
          <w:b w:val="0"/>
        </w:rPr>
        <w:t>the Action will</w:t>
      </w:r>
      <w:r w:rsidR="00721DC8" w:rsidRPr="00AA05FA">
        <w:rPr>
          <w:rFonts w:eastAsia="Calibri"/>
          <w:szCs w:val="20"/>
          <w:lang w:eastAsia="x-none"/>
        </w:rPr>
        <w:t>:</w:t>
      </w:r>
    </w:p>
    <w:p w14:paraId="30968467" w14:textId="5F36C18D" w:rsidR="000D0B6F" w:rsidRPr="00AA05FA" w:rsidRDefault="00A77890" w:rsidP="00CA22CD">
      <w:pPr>
        <w:pStyle w:val="Heading1"/>
        <w:numPr>
          <w:ilvl w:val="2"/>
          <w:numId w:val="11"/>
        </w:numPr>
        <w:ind w:left="2410" w:hanging="567"/>
        <w:rPr>
          <w:rFonts w:eastAsia="Calibri"/>
          <w:iCs/>
          <w:szCs w:val="20"/>
          <w:lang w:eastAsia="x-none"/>
        </w:rPr>
      </w:pPr>
      <w:r w:rsidRPr="00AA05FA">
        <w:rPr>
          <w:rFonts w:eastAsia="Calibri"/>
          <w:b w:val="0"/>
          <w:szCs w:val="20"/>
          <w:lang w:eastAsia="x-none"/>
        </w:rPr>
        <w:t xml:space="preserve">Align </w:t>
      </w:r>
      <w:r w:rsidRPr="008233CB">
        <w:rPr>
          <w:rFonts w:eastAsia="Calibri"/>
          <w:b w:val="0"/>
          <w:szCs w:val="20"/>
          <w:lang w:eastAsia="x-none"/>
        </w:rPr>
        <w:t xml:space="preserve">further </w:t>
      </w:r>
      <w:r w:rsidR="00721DC8" w:rsidRPr="00CA22CD">
        <w:rPr>
          <w:rFonts w:eastAsia="Calibri"/>
          <w:b w:val="0"/>
          <w:szCs w:val="20"/>
          <w:lang w:eastAsia="x-none"/>
        </w:rPr>
        <w:t xml:space="preserve">the </w:t>
      </w:r>
      <w:r w:rsidR="00721DC8" w:rsidRPr="00CA22CD">
        <w:rPr>
          <w:rFonts w:eastAsia="Calibri" w:cs="Arial"/>
          <w:b w:val="0"/>
          <w:szCs w:val="24"/>
        </w:rPr>
        <w:t xml:space="preserve">national legislation with the EU Directive on Services 2006/123/EC </w:t>
      </w:r>
      <w:r w:rsidR="00721DC8">
        <w:rPr>
          <w:rFonts w:eastAsia="Calibri" w:cs="Arial"/>
          <w:b w:val="0"/>
          <w:szCs w:val="24"/>
        </w:rPr>
        <w:t xml:space="preserve">covering amendments to the </w:t>
      </w:r>
      <w:r w:rsidR="00721DC8">
        <w:rPr>
          <w:rFonts w:eastAsia="Calibri"/>
          <w:b w:val="0"/>
          <w:szCs w:val="20"/>
          <w:lang w:eastAsia="x-none"/>
        </w:rPr>
        <w:t xml:space="preserve">law on services and the specific legislation on the </w:t>
      </w:r>
      <w:r w:rsidR="000D0B6F" w:rsidRPr="00CA22CD">
        <w:rPr>
          <w:rFonts w:eastAsia="Calibri"/>
          <w:b w:val="0"/>
          <w:szCs w:val="20"/>
          <w:lang w:eastAsia="x-none"/>
        </w:rPr>
        <w:t>notification procedure, Point of Single Contact (PSC) and Internal Market Information System (IMI)</w:t>
      </w:r>
      <w:r w:rsidR="000D0B6F" w:rsidRPr="00CA22CD">
        <w:rPr>
          <w:rFonts w:eastAsia="Calibri"/>
          <w:b w:val="0"/>
          <w:i/>
          <w:szCs w:val="20"/>
          <w:lang w:eastAsia="x-none"/>
        </w:rPr>
        <w:t xml:space="preserve"> </w:t>
      </w:r>
      <w:r w:rsidR="000D0B6F" w:rsidRPr="00CA22CD">
        <w:rPr>
          <w:rFonts w:eastAsia="Calibri"/>
          <w:b w:val="0"/>
          <w:szCs w:val="20"/>
          <w:lang w:eastAsia="x-none"/>
        </w:rPr>
        <w:t xml:space="preserve">in line with the </w:t>
      </w:r>
      <w:r w:rsidR="000D0B6F" w:rsidRPr="00CA22CD">
        <w:rPr>
          <w:rFonts w:eastAsia="Calibri"/>
          <w:b w:val="0"/>
          <w:i/>
          <w:iCs/>
          <w:szCs w:val="20"/>
          <w:lang w:eastAsia="x-none"/>
        </w:rPr>
        <w:t>National Action Plan for the compliance with the EU Services Directive</w:t>
      </w:r>
      <w:r w:rsidR="000D0B6F" w:rsidRPr="00AA05FA">
        <w:rPr>
          <w:rFonts w:eastAsia="Calibri"/>
          <w:i/>
          <w:iCs/>
          <w:szCs w:val="20"/>
          <w:lang w:eastAsia="x-none"/>
        </w:rPr>
        <w:t>.</w:t>
      </w:r>
      <w:r w:rsidR="005F7649" w:rsidRPr="005F7649">
        <w:rPr>
          <w:rFonts w:eastAsia="Calibri" w:cs="Arial"/>
          <w:iCs/>
        </w:rPr>
        <w:t xml:space="preserve"> </w:t>
      </w:r>
    </w:p>
    <w:p w14:paraId="68DA9E63" w14:textId="0EAD9E20" w:rsidR="000D0B6F" w:rsidRPr="000D0B6F" w:rsidRDefault="00721DC8" w:rsidP="00CA22CD">
      <w:pPr>
        <w:numPr>
          <w:ilvl w:val="2"/>
          <w:numId w:val="11"/>
        </w:numPr>
        <w:spacing w:before="120"/>
        <w:ind w:left="2410" w:hanging="567"/>
        <w:rPr>
          <w:rFonts w:eastAsia="Calibri" w:cs="Times New Roman"/>
          <w:szCs w:val="20"/>
          <w:lang w:eastAsia="x-none"/>
        </w:rPr>
      </w:pPr>
      <w:r w:rsidRPr="000D0B6F">
        <w:rPr>
          <w:rFonts w:eastAsia="Calibri" w:cs="Times New Roman"/>
          <w:iCs/>
          <w:szCs w:val="20"/>
          <w:lang w:eastAsia="x-none"/>
        </w:rPr>
        <w:t xml:space="preserve">Upgrade </w:t>
      </w:r>
      <w:r w:rsidR="000D0B6F" w:rsidRPr="000D0B6F">
        <w:rPr>
          <w:rFonts w:eastAsia="Calibri" w:cs="Times New Roman"/>
          <w:iCs/>
          <w:szCs w:val="20"/>
          <w:lang w:eastAsia="x-none"/>
        </w:rPr>
        <w:t xml:space="preserve">the </w:t>
      </w:r>
      <w:r w:rsidR="000D0B6F" w:rsidRPr="000D0B6F">
        <w:rPr>
          <w:rFonts w:eastAsia="Calibri" w:cs="Times New Roman"/>
          <w:i/>
          <w:szCs w:val="20"/>
          <w:lang w:eastAsia="x-none"/>
        </w:rPr>
        <w:t>Point of Single Contact (PSC)</w:t>
      </w:r>
      <w:r w:rsidR="000D0B6F" w:rsidRPr="000D0B6F">
        <w:rPr>
          <w:rFonts w:eastAsia="Calibri" w:cs="Times New Roman"/>
          <w:szCs w:val="20"/>
          <w:lang w:eastAsia="x-none"/>
        </w:rPr>
        <w:t xml:space="preserve"> </w:t>
      </w:r>
      <w:r>
        <w:rPr>
          <w:rFonts w:eastAsia="Calibri" w:cs="Times New Roman"/>
          <w:iCs/>
          <w:szCs w:val="20"/>
          <w:lang w:eastAsia="x-none"/>
        </w:rPr>
        <w:t>to address the EU</w:t>
      </w:r>
      <w:r w:rsidR="000D0B6F" w:rsidRPr="000D0B6F">
        <w:rPr>
          <w:rFonts w:eastAsia="Calibri" w:cs="Times New Roman"/>
          <w:iCs/>
          <w:szCs w:val="20"/>
          <w:lang w:eastAsia="x-none"/>
        </w:rPr>
        <w:t xml:space="preserve"> guidance and recommendation </w:t>
      </w:r>
      <w:r w:rsidR="00A77890">
        <w:rPr>
          <w:rFonts w:eastAsia="Calibri" w:cs="Times New Roman"/>
          <w:iCs/>
          <w:szCs w:val="20"/>
          <w:lang w:eastAsia="x-none"/>
        </w:rPr>
        <w:t>and ensure</w:t>
      </w:r>
      <w:r w:rsidR="00A77890" w:rsidRPr="000D0B6F">
        <w:rPr>
          <w:rFonts w:eastAsia="Calibri" w:cs="Times New Roman"/>
          <w:szCs w:val="20"/>
          <w:lang w:eastAsia="x-none"/>
        </w:rPr>
        <w:t xml:space="preserve"> </w:t>
      </w:r>
      <w:r w:rsidR="000D0B6F" w:rsidRPr="000D0B6F">
        <w:rPr>
          <w:rFonts w:eastAsia="Calibri" w:cs="Times New Roman"/>
          <w:szCs w:val="20"/>
          <w:lang w:eastAsia="x-none"/>
        </w:rPr>
        <w:t xml:space="preserve">continuous functionality of the PSC </w:t>
      </w:r>
      <w:r w:rsidR="00A77890">
        <w:rPr>
          <w:rFonts w:eastAsia="Calibri" w:cs="Times New Roman"/>
          <w:szCs w:val="20"/>
          <w:lang w:eastAsia="x-none"/>
        </w:rPr>
        <w:t>and full access of the</w:t>
      </w:r>
      <w:r w:rsidR="00A77890" w:rsidRPr="000D0B6F">
        <w:rPr>
          <w:rFonts w:eastAsia="Calibri" w:cs="Times New Roman"/>
          <w:szCs w:val="20"/>
          <w:lang w:eastAsia="x-none"/>
        </w:rPr>
        <w:t xml:space="preserve"> </w:t>
      </w:r>
      <w:r w:rsidR="000D0B6F" w:rsidRPr="000D0B6F">
        <w:rPr>
          <w:rFonts w:eastAsia="Calibri" w:cs="Times New Roman"/>
          <w:szCs w:val="20"/>
          <w:lang w:eastAsia="x-none"/>
        </w:rPr>
        <w:t>service providers to information and administrative services online.</w:t>
      </w:r>
    </w:p>
    <w:p w14:paraId="633611F6" w14:textId="5846E62C" w:rsidR="00354E35" w:rsidRPr="00AA05FA" w:rsidRDefault="00354E35" w:rsidP="00CA22CD">
      <w:pPr>
        <w:numPr>
          <w:ilvl w:val="2"/>
          <w:numId w:val="11"/>
        </w:numPr>
        <w:spacing w:before="120"/>
        <w:ind w:left="2410" w:hanging="567"/>
        <w:rPr>
          <w:rFonts w:eastAsia="Calibri" w:cs="Times New Roman"/>
          <w:iCs/>
          <w:szCs w:val="20"/>
          <w:lang w:eastAsia="x-none"/>
        </w:rPr>
      </w:pPr>
      <w:r w:rsidRPr="00AA05FA">
        <w:rPr>
          <w:rFonts w:eastAsia="Calibri" w:cs="Times New Roman"/>
          <w:szCs w:val="20"/>
          <w:lang w:eastAsia="x-none"/>
        </w:rPr>
        <w:t xml:space="preserve">Strengthen the capacity of </w:t>
      </w:r>
      <w:r w:rsidR="00A77890" w:rsidRPr="00CD5A0E">
        <w:rPr>
          <w:rFonts w:eastAsia="Calibri" w:cs="Times New Roman"/>
          <w:szCs w:val="20"/>
          <w:lang w:eastAsia="x-none"/>
        </w:rPr>
        <w:t xml:space="preserve"> the </w:t>
      </w:r>
      <w:r w:rsidR="000D0B6F" w:rsidRPr="00CD5A0E">
        <w:rPr>
          <w:rFonts w:eastAsia="Calibri" w:cs="Times New Roman"/>
          <w:szCs w:val="20"/>
          <w:lang w:eastAsia="x-none"/>
        </w:rPr>
        <w:t xml:space="preserve">Ministry of Economy and other national institutions </w:t>
      </w:r>
      <w:r w:rsidRPr="00CD5A0E">
        <w:rPr>
          <w:rFonts w:eastAsia="Calibri" w:cs="Times New Roman"/>
          <w:szCs w:val="20"/>
          <w:lang w:eastAsia="x-none"/>
        </w:rPr>
        <w:t>to understand the</w:t>
      </w:r>
      <w:r w:rsidR="000D0B6F" w:rsidRPr="00CD5A0E">
        <w:rPr>
          <w:rFonts w:eastAsia="Calibri" w:cs="Times New Roman"/>
          <w:szCs w:val="20"/>
          <w:lang w:eastAsia="x-none"/>
        </w:rPr>
        <w:t xml:space="preserve"> </w:t>
      </w:r>
      <w:r w:rsidRPr="00CD5A0E">
        <w:rPr>
          <w:rFonts w:eastAsia="Calibri" w:cs="Times New Roman"/>
          <w:szCs w:val="20"/>
          <w:lang w:eastAsia="x-none"/>
        </w:rPr>
        <w:t xml:space="preserve">EU policy on services </w:t>
      </w:r>
      <w:r>
        <w:rPr>
          <w:rFonts w:eastAsia="Calibri" w:cs="Times New Roman"/>
          <w:szCs w:val="20"/>
          <w:lang w:eastAsia="x-none"/>
        </w:rPr>
        <w:t>(including the new trends, linked to the Green deal</w:t>
      </w:r>
      <w:r w:rsidR="005F7649">
        <w:rPr>
          <w:rFonts w:eastAsia="Calibri" w:cs="Times New Roman"/>
          <w:szCs w:val="20"/>
          <w:lang w:eastAsia="x-none"/>
        </w:rPr>
        <w:t xml:space="preserve"> and the digitalisation and innovation drive</w:t>
      </w:r>
      <w:r>
        <w:rPr>
          <w:rFonts w:eastAsia="Calibri" w:cs="Times New Roman"/>
          <w:szCs w:val="20"/>
          <w:lang w:eastAsia="x-none"/>
        </w:rPr>
        <w:t>)</w:t>
      </w:r>
      <w:r w:rsidR="005F7649">
        <w:rPr>
          <w:rFonts w:eastAsia="Calibri" w:cs="Times New Roman"/>
          <w:szCs w:val="20"/>
          <w:lang w:eastAsia="x-none"/>
        </w:rPr>
        <w:t xml:space="preserve"> and</w:t>
      </w:r>
      <w:r w:rsidRPr="00AA05FA">
        <w:rPr>
          <w:rFonts w:eastAsia="Calibri" w:cs="Times New Roman"/>
          <w:szCs w:val="20"/>
          <w:lang w:eastAsia="x-none"/>
        </w:rPr>
        <w:t xml:space="preserve"> the benefits and </w:t>
      </w:r>
      <w:r w:rsidRPr="00AA05FA">
        <w:rPr>
          <w:rFonts w:eastAsia="Calibri" w:cs="Times New Roman"/>
          <w:szCs w:val="20"/>
          <w:lang w:eastAsia="x-none"/>
        </w:rPr>
        <w:lastRenderedPageBreak/>
        <w:t>implications of the transposition</w:t>
      </w:r>
      <w:r>
        <w:rPr>
          <w:rFonts w:eastAsia="Calibri" w:cs="Times New Roman"/>
          <w:szCs w:val="20"/>
          <w:lang w:eastAsia="x-none"/>
        </w:rPr>
        <w:t xml:space="preserve"> process</w:t>
      </w:r>
      <w:r w:rsidRPr="00AA05FA">
        <w:rPr>
          <w:rFonts w:eastAsia="Calibri" w:cs="Times New Roman"/>
          <w:szCs w:val="20"/>
          <w:lang w:eastAsia="x-none"/>
        </w:rPr>
        <w:t xml:space="preserve">, </w:t>
      </w:r>
      <w:r w:rsidR="005F7649">
        <w:rPr>
          <w:rFonts w:eastAsia="Calibri" w:cs="Times New Roman"/>
          <w:szCs w:val="20"/>
          <w:lang w:eastAsia="x-none"/>
        </w:rPr>
        <w:t xml:space="preserve">as well as </w:t>
      </w:r>
      <w:r w:rsidRPr="00AA05FA">
        <w:rPr>
          <w:rFonts w:eastAsia="Calibri" w:cs="Times New Roman"/>
          <w:szCs w:val="20"/>
          <w:lang w:eastAsia="x-none"/>
        </w:rPr>
        <w:t xml:space="preserve">to </w:t>
      </w:r>
      <w:r w:rsidR="005F7649">
        <w:rPr>
          <w:rFonts w:eastAsia="Calibri" w:cs="Times New Roman"/>
          <w:szCs w:val="20"/>
          <w:lang w:eastAsia="x-none"/>
        </w:rPr>
        <w:t xml:space="preserve">monitor and </w:t>
      </w:r>
      <w:r>
        <w:rPr>
          <w:rFonts w:eastAsia="Calibri" w:cs="Times New Roman"/>
          <w:szCs w:val="20"/>
          <w:lang w:eastAsia="x-none"/>
        </w:rPr>
        <w:t>analys</w:t>
      </w:r>
      <w:r w:rsidR="005F7649">
        <w:rPr>
          <w:rFonts w:eastAsia="Calibri" w:cs="Times New Roman"/>
          <w:szCs w:val="20"/>
          <w:lang w:eastAsia="x-none"/>
        </w:rPr>
        <w:t xml:space="preserve">e </w:t>
      </w:r>
      <w:r>
        <w:rPr>
          <w:rFonts w:eastAsia="Calibri" w:cs="Times New Roman"/>
          <w:szCs w:val="20"/>
          <w:lang w:eastAsia="x-none"/>
        </w:rPr>
        <w:t xml:space="preserve">the </w:t>
      </w:r>
      <w:r w:rsidR="005F7649">
        <w:rPr>
          <w:rFonts w:eastAsia="Calibri" w:cs="Times New Roman"/>
          <w:szCs w:val="20"/>
          <w:lang w:eastAsia="x-none"/>
        </w:rPr>
        <w:t>service markets</w:t>
      </w:r>
      <w:r>
        <w:rPr>
          <w:rFonts w:eastAsia="Calibri" w:cs="Times New Roman"/>
          <w:szCs w:val="20"/>
          <w:lang w:eastAsia="x-none"/>
        </w:rPr>
        <w:t xml:space="preserve"> and </w:t>
      </w:r>
      <w:r w:rsidR="005F7649">
        <w:rPr>
          <w:rFonts w:eastAsia="Calibri" w:cs="Times New Roman"/>
          <w:szCs w:val="20"/>
          <w:lang w:eastAsia="x-none"/>
        </w:rPr>
        <w:t xml:space="preserve">infrastructure and </w:t>
      </w:r>
      <w:r>
        <w:rPr>
          <w:rFonts w:eastAsia="Calibri" w:cs="Times New Roman"/>
          <w:szCs w:val="20"/>
          <w:lang w:eastAsia="x-none"/>
        </w:rPr>
        <w:t>provid</w:t>
      </w:r>
      <w:r w:rsidR="005F7649">
        <w:rPr>
          <w:rFonts w:eastAsia="Calibri" w:cs="Times New Roman"/>
          <w:szCs w:val="20"/>
          <w:lang w:eastAsia="x-none"/>
        </w:rPr>
        <w:t>e</w:t>
      </w:r>
      <w:r>
        <w:rPr>
          <w:rFonts w:eastAsia="Calibri" w:cs="Times New Roman"/>
          <w:szCs w:val="20"/>
          <w:lang w:eastAsia="x-none"/>
        </w:rPr>
        <w:t xml:space="preserve"> adequate response</w:t>
      </w:r>
      <w:r w:rsidR="005F7649">
        <w:rPr>
          <w:rFonts w:eastAsia="Calibri" w:cs="Times New Roman"/>
          <w:szCs w:val="20"/>
          <w:lang w:eastAsia="x-none"/>
        </w:rPr>
        <w:t xml:space="preserve">. </w:t>
      </w:r>
      <w:r w:rsidR="00833459">
        <w:rPr>
          <w:rFonts w:eastAsia="Calibri" w:cs="Times New Roman"/>
          <w:szCs w:val="20"/>
          <w:lang w:eastAsia="x-none"/>
        </w:rPr>
        <w:t>This activity implies training in various forms (structured training, advising, coaching, on-the-job support</w:t>
      </w:r>
      <w:r w:rsidR="00A54195">
        <w:rPr>
          <w:rFonts w:eastAsia="Calibri" w:cs="Times New Roman"/>
          <w:szCs w:val="20"/>
          <w:lang w:eastAsia="x-none"/>
        </w:rPr>
        <w:t>, peer-to-peer change</w:t>
      </w:r>
      <w:r w:rsidR="00833459">
        <w:rPr>
          <w:rFonts w:eastAsia="Calibri" w:cs="Times New Roman"/>
          <w:szCs w:val="20"/>
          <w:lang w:eastAsia="x-none"/>
        </w:rPr>
        <w:t xml:space="preserve">). </w:t>
      </w:r>
    </w:p>
    <w:p w14:paraId="09233855" w14:textId="6A292065" w:rsidR="00C60BF9" w:rsidRPr="00AA05FA" w:rsidRDefault="005F7649" w:rsidP="00CA22CD">
      <w:pPr>
        <w:numPr>
          <w:ilvl w:val="2"/>
          <w:numId w:val="11"/>
        </w:numPr>
        <w:spacing w:before="120"/>
        <w:ind w:left="2410" w:hanging="567"/>
        <w:rPr>
          <w:rFonts w:eastAsia="Calibri" w:cs="Times New Roman"/>
          <w:iCs/>
          <w:szCs w:val="20"/>
          <w:lang w:eastAsia="x-none"/>
        </w:rPr>
      </w:pPr>
      <w:r w:rsidRPr="00CD5A0E">
        <w:rPr>
          <w:rFonts w:eastAsia="Calibri" w:cs="Arial"/>
          <w:iCs/>
        </w:rPr>
        <w:t>R</w:t>
      </w:r>
      <w:r w:rsidRPr="00CA22CD">
        <w:rPr>
          <w:rFonts w:eastAsia="Calibri" w:cs="Arial"/>
          <w:iCs/>
        </w:rPr>
        <w:t xml:space="preserve">aising </w:t>
      </w:r>
      <w:r w:rsidRPr="00AA05FA">
        <w:rPr>
          <w:rFonts w:eastAsia="Calibri" w:cs="Arial"/>
          <w:iCs/>
        </w:rPr>
        <w:t xml:space="preserve">the awareness </w:t>
      </w:r>
      <w:r w:rsidR="00833459">
        <w:rPr>
          <w:rFonts w:eastAsia="Calibri" w:cs="Arial"/>
          <w:iCs/>
        </w:rPr>
        <w:t xml:space="preserve">of the private sector, authorities and the general public </w:t>
      </w:r>
      <w:r w:rsidRPr="00AA05FA">
        <w:rPr>
          <w:rFonts w:eastAsia="Calibri" w:cs="Arial"/>
          <w:iCs/>
        </w:rPr>
        <w:t xml:space="preserve">on the </w:t>
      </w:r>
      <w:r>
        <w:rPr>
          <w:rFonts w:eastAsia="Calibri" w:cs="Arial"/>
          <w:iCs/>
        </w:rPr>
        <w:t xml:space="preserve">new </w:t>
      </w:r>
      <w:r w:rsidRPr="00AA05FA">
        <w:rPr>
          <w:rFonts w:eastAsia="Calibri" w:cs="Arial"/>
          <w:iCs/>
        </w:rPr>
        <w:t>requirements,</w:t>
      </w:r>
      <w:r>
        <w:rPr>
          <w:rFonts w:eastAsia="Calibri" w:cs="Arial"/>
          <w:iCs/>
        </w:rPr>
        <w:t xml:space="preserve"> rights and obligations related to the improvements in the national legislation on services</w:t>
      </w:r>
      <w:r w:rsidR="00833459">
        <w:rPr>
          <w:rFonts w:eastAsia="Calibri" w:cs="Arial"/>
          <w:iCs/>
        </w:rPr>
        <w:t xml:space="preserve"> and the national support framework. </w:t>
      </w:r>
    </w:p>
    <w:p w14:paraId="6E5C0DC4" w14:textId="0E93AF63" w:rsidR="00833459" w:rsidRPr="00603C3E" w:rsidRDefault="00A77890" w:rsidP="00CA22CD">
      <w:pPr>
        <w:pStyle w:val="Heading1"/>
        <w:numPr>
          <w:ilvl w:val="0"/>
          <w:numId w:val="0"/>
        </w:numPr>
        <w:ind w:left="1440"/>
        <w:rPr>
          <w:rFonts w:eastAsia="Calibri" w:cs="Arial"/>
          <w:bCs/>
          <w:szCs w:val="24"/>
        </w:rPr>
      </w:pPr>
      <w:r>
        <w:rPr>
          <w:bCs/>
          <w:szCs w:val="20"/>
        </w:rPr>
        <w:t xml:space="preserve">(2) </w:t>
      </w:r>
      <w:r w:rsidRPr="0047637E">
        <w:t xml:space="preserve">Market </w:t>
      </w:r>
      <w:r w:rsidR="00FC2E70" w:rsidRPr="0047637E">
        <w:t xml:space="preserve">surveillance and consumer protection </w:t>
      </w:r>
      <w:r w:rsidR="00063135">
        <w:t>-</w:t>
      </w:r>
      <w:r w:rsidR="00833459">
        <w:t xml:space="preserve"> </w:t>
      </w:r>
      <w:r w:rsidR="00833459" w:rsidRPr="00603C3E">
        <w:rPr>
          <w:b w:val="0"/>
        </w:rPr>
        <w:t>the Action will</w:t>
      </w:r>
      <w:r w:rsidR="00833459" w:rsidRPr="00603C3E">
        <w:rPr>
          <w:rFonts w:eastAsia="Calibri"/>
          <w:szCs w:val="20"/>
          <w:lang w:eastAsia="x-none"/>
        </w:rPr>
        <w:t>:</w:t>
      </w:r>
    </w:p>
    <w:p w14:paraId="0A2A175C" w14:textId="43A373D1" w:rsidR="00A54195" w:rsidRPr="00AA05FA" w:rsidRDefault="00833459" w:rsidP="00430D76">
      <w:pPr>
        <w:numPr>
          <w:ilvl w:val="2"/>
          <w:numId w:val="11"/>
        </w:numPr>
        <w:spacing w:before="120"/>
        <w:ind w:left="2410" w:hanging="567"/>
        <w:rPr>
          <w:rFonts w:eastAsia="Calibri" w:cs="Times New Roman"/>
          <w:iCs/>
          <w:szCs w:val="20"/>
          <w:lang w:eastAsia="x-none"/>
        </w:rPr>
      </w:pPr>
      <w:r w:rsidRPr="00CA22CD">
        <w:rPr>
          <w:rFonts w:eastAsia="Calibri"/>
          <w:szCs w:val="20"/>
          <w:lang w:eastAsia="x-none"/>
        </w:rPr>
        <w:t xml:space="preserve">Strengthen </w:t>
      </w:r>
      <w:r w:rsidR="00FC2E70" w:rsidRPr="00AA05FA">
        <w:rPr>
          <w:rFonts w:eastAsia="Calibri" w:cs="Times New Roman"/>
          <w:szCs w:val="20"/>
          <w:lang w:eastAsia="x-none"/>
        </w:rPr>
        <w:t>the capacities of the State Market Inspectorate (SMI) to exercise the legally prescribed competencies according to the Law on Consumer Protection</w:t>
      </w:r>
      <w:r w:rsidRPr="00CA22CD">
        <w:rPr>
          <w:rFonts w:eastAsia="Calibri"/>
          <w:szCs w:val="20"/>
          <w:lang w:eastAsia="x-none"/>
        </w:rPr>
        <w:t xml:space="preserve">, </w:t>
      </w:r>
      <w:r w:rsidR="00FC2E70" w:rsidRPr="00AA05FA">
        <w:rPr>
          <w:rFonts w:eastAsia="Calibri" w:cs="Times New Roman"/>
          <w:szCs w:val="20"/>
          <w:lang w:eastAsia="x-none"/>
        </w:rPr>
        <w:t>the Law on General Product Safety</w:t>
      </w:r>
      <w:r w:rsidRPr="00761107">
        <w:rPr>
          <w:rFonts w:eastAsia="Times New Roman"/>
          <w:szCs w:val="24"/>
          <w:lang w:eastAsia="en-GB"/>
        </w:rPr>
        <w:t xml:space="preserve"> </w:t>
      </w:r>
      <w:r w:rsidRPr="004C5CF8">
        <w:rPr>
          <w:rFonts w:eastAsia="Times New Roman" w:cs="Times New Roman"/>
          <w:szCs w:val="24"/>
          <w:lang w:eastAsia="en-GB"/>
        </w:rPr>
        <w:t xml:space="preserve">and </w:t>
      </w:r>
      <w:r w:rsidRPr="00CD5A0E">
        <w:rPr>
          <w:rFonts w:eastAsia="Times New Roman"/>
          <w:szCs w:val="24"/>
          <w:lang w:eastAsia="en-GB"/>
        </w:rPr>
        <w:t xml:space="preserve">the </w:t>
      </w:r>
      <w:r w:rsidRPr="00CD5A0E">
        <w:rPr>
          <w:rFonts w:eastAsia="Times New Roman" w:cs="Times New Roman"/>
          <w:szCs w:val="24"/>
          <w:lang w:eastAsia="en-GB"/>
        </w:rPr>
        <w:t>Law on technical requirements for pro</w:t>
      </w:r>
      <w:r w:rsidR="00A54195" w:rsidRPr="00CA22CD">
        <w:rPr>
          <w:rFonts w:eastAsia="Times New Roman"/>
          <w:szCs w:val="24"/>
          <w:lang w:eastAsia="en-GB"/>
        </w:rPr>
        <w:t xml:space="preserve">ducts and conformity assessment. </w:t>
      </w:r>
      <w:r w:rsidR="00A54195">
        <w:rPr>
          <w:rFonts w:eastAsia="Calibri" w:cs="Times New Roman"/>
          <w:szCs w:val="20"/>
          <w:lang w:eastAsia="x-none"/>
        </w:rPr>
        <w:t xml:space="preserve">This activity implies training in various forms (structured training, advising, coaching, on-the-job support, peer-to-peer change). </w:t>
      </w:r>
    </w:p>
    <w:p w14:paraId="47B6FD77" w14:textId="685F4DE2" w:rsidR="00A54195" w:rsidRPr="00603C3E" w:rsidRDefault="00A54195" w:rsidP="00430D76">
      <w:pPr>
        <w:numPr>
          <w:ilvl w:val="2"/>
          <w:numId w:val="11"/>
        </w:numPr>
        <w:spacing w:before="120"/>
        <w:ind w:left="2410" w:hanging="567"/>
        <w:rPr>
          <w:rFonts w:eastAsia="Calibri" w:cs="Times New Roman"/>
          <w:iCs/>
          <w:szCs w:val="20"/>
          <w:lang w:eastAsia="x-none"/>
        </w:rPr>
      </w:pPr>
      <w:r w:rsidRPr="00E6716E">
        <w:rPr>
          <w:rFonts w:eastAsia="Times New Roman" w:cs="Times New Roman"/>
          <w:szCs w:val="24"/>
          <w:lang w:eastAsia="en-GB"/>
        </w:rPr>
        <w:t>Digitalis</w:t>
      </w:r>
      <w:r w:rsidRPr="00E6716E">
        <w:rPr>
          <w:rFonts w:eastAsia="Times New Roman"/>
          <w:szCs w:val="24"/>
          <w:lang w:eastAsia="en-GB"/>
        </w:rPr>
        <w:t xml:space="preserve">e </w:t>
      </w:r>
      <w:r w:rsidRPr="00E6716E">
        <w:rPr>
          <w:rFonts w:eastAsia="Times New Roman" w:cs="Times New Roman"/>
          <w:szCs w:val="24"/>
          <w:lang w:eastAsia="en-GB"/>
        </w:rPr>
        <w:t xml:space="preserve">the business processes in the State Market Inspectorate and put in place </w:t>
      </w:r>
      <w:r>
        <w:rPr>
          <w:rFonts w:eastAsia="Times New Roman" w:cs="Times New Roman"/>
          <w:szCs w:val="24"/>
          <w:lang w:eastAsia="en-GB"/>
        </w:rPr>
        <w:t>software applications allowing effective and highly automated business circuit and process management, effective data c</w:t>
      </w:r>
      <w:r w:rsidR="00063135">
        <w:rPr>
          <w:rFonts w:eastAsia="Times New Roman" w:cs="Times New Roman"/>
          <w:szCs w:val="24"/>
          <w:lang w:eastAsia="en-GB"/>
        </w:rPr>
        <w:t>ollection and</w:t>
      </w:r>
      <w:r>
        <w:rPr>
          <w:rFonts w:eastAsia="Times New Roman" w:cs="Times New Roman"/>
          <w:szCs w:val="24"/>
          <w:lang w:eastAsia="en-GB"/>
        </w:rPr>
        <w:t xml:space="preserve"> </w:t>
      </w:r>
      <w:r w:rsidRPr="00E6716E">
        <w:rPr>
          <w:rFonts w:eastAsia="Times New Roman" w:cs="Times New Roman"/>
          <w:szCs w:val="24"/>
          <w:lang w:eastAsia="en-GB"/>
        </w:rPr>
        <w:t>processing</w:t>
      </w:r>
      <w:r w:rsidR="00063135">
        <w:rPr>
          <w:rFonts w:eastAsia="Times New Roman" w:cs="Times New Roman"/>
          <w:szCs w:val="24"/>
          <w:lang w:eastAsia="en-GB"/>
        </w:rPr>
        <w:t>, and</w:t>
      </w:r>
      <w:r w:rsidRPr="00E6716E">
        <w:rPr>
          <w:rFonts w:eastAsia="Times New Roman" w:cs="Times New Roman"/>
          <w:szCs w:val="24"/>
          <w:lang w:eastAsia="en-GB"/>
        </w:rPr>
        <w:t xml:space="preserve"> </w:t>
      </w:r>
      <w:r w:rsidR="00063135">
        <w:rPr>
          <w:rFonts w:eastAsia="Times New Roman" w:cs="Times New Roman"/>
          <w:szCs w:val="24"/>
          <w:lang w:eastAsia="en-GB"/>
        </w:rPr>
        <w:t xml:space="preserve">improved transparency. </w:t>
      </w:r>
    </w:p>
    <w:p w14:paraId="35FEA54D" w14:textId="08EDC3D4" w:rsidR="00A54195" w:rsidRDefault="00A54195" w:rsidP="00CA22CD">
      <w:pPr>
        <w:pStyle w:val="Heading1"/>
        <w:numPr>
          <w:ilvl w:val="0"/>
          <w:numId w:val="45"/>
        </w:numPr>
        <w:ind w:left="2410" w:hanging="567"/>
        <w:rPr>
          <w:rFonts w:eastAsia="Calibri"/>
          <w:b w:val="0"/>
          <w:szCs w:val="20"/>
          <w:lang w:eastAsia="x-none"/>
        </w:rPr>
      </w:pPr>
      <w:r>
        <w:rPr>
          <w:rFonts w:eastAsia="Calibri"/>
          <w:b w:val="0"/>
          <w:szCs w:val="20"/>
          <w:lang w:eastAsia="x-none"/>
        </w:rPr>
        <w:t>E</w:t>
      </w:r>
      <w:r w:rsidR="00FC2E70" w:rsidRPr="00CA22CD">
        <w:rPr>
          <w:rFonts w:eastAsia="Calibri"/>
          <w:b w:val="0"/>
          <w:szCs w:val="20"/>
          <w:lang w:eastAsia="x-none"/>
        </w:rPr>
        <w:t xml:space="preserve">stablish an Alternative Dispute Resolution System on consumer matters </w:t>
      </w:r>
      <w:r w:rsidR="00063135">
        <w:rPr>
          <w:rFonts w:eastAsia="Calibri"/>
          <w:b w:val="0"/>
          <w:szCs w:val="20"/>
          <w:lang w:eastAsia="x-none"/>
        </w:rPr>
        <w:t>encompassing</w:t>
      </w:r>
      <w:r w:rsidR="00FC2E70" w:rsidRPr="00CA22CD">
        <w:rPr>
          <w:rFonts w:eastAsia="Calibri"/>
          <w:b w:val="0"/>
          <w:szCs w:val="20"/>
          <w:lang w:eastAsia="x-none"/>
        </w:rPr>
        <w:t xml:space="preserve"> development of the</w:t>
      </w:r>
      <w:r w:rsidR="00063135">
        <w:rPr>
          <w:rFonts w:eastAsia="Calibri"/>
          <w:b w:val="0"/>
          <w:szCs w:val="20"/>
          <w:lang w:eastAsia="x-none"/>
        </w:rPr>
        <w:t xml:space="preserve"> necessary</w:t>
      </w:r>
      <w:r w:rsidR="00FC2E70" w:rsidRPr="00CA22CD">
        <w:rPr>
          <w:rFonts w:eastAsia="Calibri"/>
          <w:b w:val="0"/>
          <w:szCs w:val="20"/>
          <w:lang w:eastAsia="x-none"/>
        </w:rPr>
        <w:t xml:space="preserve"> </w:t>
      </w:r>
      <w:r w:rsidR="008B4880" w:rsidRPr="00CA22CD">
        <w:rPr>
          <w:rFonts w:eastAsia="Calibri"/>
          <w:b w:val="0"/>
          <w:szCs w:val="20"/>
          <w:lang w:eastAsia="x-none"/>
        </w:rPr>
        <w:t xml:space="preserve">legislation </w:t>
      </w:r>
      <w:r w:rsidR="00FC2E70" w:rsidRPr="00CA22CD">
        <w:rPr>
          <w:rFonts w:eastAsia="Calibri"/>
          <w:b w:val="0"/>
          <w:szCs w:val="20"/>
          <w:lang w:eastAsia="x-none"/>
        </w:rPr>
        <w:t xml:space="preserve">and </w:t>
      </w:r>
      <w:r w:rsidR="008B4880" w:rsidRPr="00CA22CD">
        <w:rPr>
          <w:rFonts w:eastAsia="Calibri"/>
          <w:b w:val="0"/>
          <w:szCs w:val="20"/>
          <w:lang w:eastAsia="x-none"/>
        </w:rPr>
        <w:t xml:space="preserve">capacity </w:t>
      </w:r>
      <w:r w:rsidR="00FC2E70" w:rsidRPr="00CA22CD">
        <w:rPr>
          <w:rFonts w:eastAsia="Calibri"/>
          <w:b w:val="0"/>
          <w:szCs w:val="20"/>
          <w:lang w:eastAsia="x-none"/>
        </w:rPr>
        <w:t xml:space="preserve">building of the </w:t>
      </w:r>
      <w:r w:rsidR="00287490" w:rsidRPr="00CA22CD">
        <w:rPr>
          <w:rFonts w:eastAsia="Calibri"/>
          <w:b w:val="0"/>
          <w:szCs w:val="20"/>
          <w:lang w:eastAsia="x-none"/>
        </w:rPr>
        <w:t xml:space="preserve">relevant staff </w:t>
      </w:r>
      <w:r w:rsidR="00FC2E70" w:rsidRPr="00CA22CD">
        <w:rPr>
          <w:rFonts w:eastAsia="Calibri"/>
          <w:b w:val="0"/>
          <w:szCs w:val="20"/>
          <w:lang w:eastAsia="x-none"/>
        </w:rPr>
        <w:t>to understand and pursue the implementation of the legislation protecting the consumers.</w:t>
      </w:r>
      <w:r w:rsidRPr="00A54195">
        <w:rPr>
          <w:rFonts w:eastAsia="Calibri"/>
          <w:b w:val="0"/>
          <w:szCs w:val="20"/>
          <w:lang w:eastAsia="x-none"/>
        </w:rPr>
        <w:t xml:space="preserve"> </w:t>
      </w:r>
    </w:p>
    <w:p w14:paraId="2D9F9C4E" w14:textId="4EF41E8A" w:rsidR="00A54195" w:rsidRPr="00CA22CD" w:rsidRDefault="00063135" w:rsidP="00CA22CD">
      <w:pPr>
        <w:pStyle w:val="Heading1"/>
        <w:numPr>
          <w:ilvl w:val="0"/>
          <w:numId w:val="45"/>
        </w:numPr>
        <w:ind w:left="2410" w:hanging="567"/>
        <w:rPr>
          <w:rFonts w:eastAsia="Calibri"/>
          <w:b w:val="0"/>
          <w:szCs w:val="20"/>
          <w:lang w:eastAsia="x-none"/>
        </w:rPr>
      </w:pPr>
      <w:r>
        <w:rPr>
          <w:rFonts w:eastAsia="Calibri"/>
          <w:b w:val="0"/>
          <w:szCs w:val="20"/>
          <w:lang w:eastAsia="x-none"/>
        </w:rPr>
        <w:t>Raising the public</w:t>
      </w:r>
      <w:r w:rsidR="00A54195" w:rsidRPr="0090187D">
        <w:rPr>
          <w:rFonts w:eastAsia="Calibri"/>
          <w:b w:val="0"/>
          <w:szCs w:val="20"/>
          <w:lang w:eastAsia="x-none"/>
        </w:rPr>
        <w:t xml:space="preserve"> awareness on consumer rights and liabilities for general public and businesses </w:t>
      </w:r>
      <w:r w:rsidRPr="0090187D">
        <w:rPr>
          <w:rFonts w:eastAsia="Calibri"/>
          <w:b w:val="0"/>
          <w:szCs w:val="20"/>
          <w:lang w:eastAsia="x-none"/>
        </w:rPr>
        <w:t>chambers</w:t>
      </w:r>
      <w:r>
        <w:rPr>
          <w:rFonts w:eastAsia="Calibri"/>
          <w:b w:val="0"/>
          <w:szCs w:val="20"/>
          <w:lang w:eastAsia="x-none"/>
        </w:rPr>
        <w:t xml:space="preserve"> through a series of targeted consumer protection campaigns. </w:t>
      </w:r>
    </w:p>
    <w:p w14:paraId="4C82319D" w14:textId="61E3EECA" w:rsidR="006924F4" w:rsidRPr="006924F4" w:rsidRDefault="00A77890" w:rsidP="00CA22CD">
      <w:pPr>
        <w:pStyle w:val="Heading1"/>
        <w:numPr>
          <w:ilvl w:val="0"/>
          <w:numId w:val="0"/>
        </w:numPr>
        <w:ind w:left="1843"/>
      </w:pPr>
      <w:r>
        <w:rPr>
          <w:rFonts w:cs="Arial"/>
          <w:bCs/>
        </w:rPr>
        <w:t>(3)</w:t>
      </w:r>
      <w:r w:rsidR="006924F4" w:rsidRPr="004656D4">
        <w:rPr>
          <w:rFonts w:cs="Arial"/>
          <w:bCs/>
        </w:rPr>
        <w:t xml:space="preserve"> </w:t>
      </w:r>
      <w:r w:rsidR="006924F4" w:rsidRPr="004656D4">
        <w:t xml:space="preserve">Intellectual Rights </w:t>
      </w:r>
      <w:r w:rsidR="00063135">
        <w:t xml:space="preserve">- </w:t>
      </w:r>
      <w:r w:rsidR="00063135" w:rsidRPr="00603C3E">
        <w:rPr>
          <w:b w:val="0"/>
        </w:rPr>
        <w:t>the Action will</w:t>
      </w:r>
      <w:r w:rsidR="00063135" w:rsidRPr="00603C3E">
        <w:rPr>
          <w:rFonts w:eastAsia="Calibri"/>
          <w:szCs w:val="20"/>
          <w:lang w:eastAsia="x-none"/>
        </w:rPr>
        <w:t>:</w:t>
      </w:r>
    </w:p>
    <w:p w14:paraId="6A25202C" w14:textId="7094FBB5" w:rsidR="00DD1A8B" w:rsidRPr="006924F4" w:rsidRDefault="00063135" w:rsidP="00CA22CD">
      <w:pPr>
        <w:numPr>
          <w:ilvl w:val="2"/>
          <w:numId w:val="13"/>
        </w:numPr>
        <w:spacing w:before="120"/>
        <w:ind w:left="2410" w:hanging="567"/>
        <w:rPr>
          <w:rFonts w:eastAsia="Calibri" w:cs="Times New Roman"/>
          <w:szCs w:val="20"/>
          <w:lang w:eastAsia="x-none"/>
        </w:rPr>
      </w:pPr>
      <w:r>
        <w:rPr>
          <w:rFonts w:eastAsia="Calibri" w:cs="Times New Roman"/>
          <w:szCs w:val="20"/>
          <w:lang w:eastAsia="x-none"/>
        </w:rPr>
        <w:t xml:space="preserve">Align further </w:t>
      </w:r>
      <w:r w:rsidR="00DD1A8B" w:rsidRPr="006924F4">
        <w:rPr>
          <w:rFonts w:eastAsia="Calibri" w:cs="Times New Roman"/>
          <w:szCs w:val="20"/>
          <w:lang w:eastAsia="x-none"/>
        </w:rPr>
        <w:t xml:space="preserve">the </w:t>
      </w:r>
      <w:r w:rsidRPr="006924F4">
        <w:rPr>
          <w:rFonts w:eastAsia="Calibri" w:cs="Times New Roman"/>
          <w:szCs w:val="20"/>
          <w:lang w:eastAsia="x-none"/>
        </w:rPr>
        <w:t xml:space="preserve">national </w:t>
      </w:r>
      <w:r>
        <w:rPr>
          <w:rFonts w:eastAsia="Calibri" w:cs="Times New Roman"/>
          <w:szCs w:val="20"/>
          <w:lang w:eastAsia="x-none"/>
        </w:rPr>
        <w:t>legislation</w:t>
      </w:r>
      <w:r w:rsidRPr="006924F4">
        <w:rPr>
          <w:rFonts w:eastAsia="Calibri" w:cs="Times New Roman"/>
          <w:szCs w:val="20"/>
          <w:lang w:eastAsia="x-none"/>
        </w:rPr>
        <w:t xml:space="preserve"> </w:t>
      </w:r>
      <w:r w:rsidR="00DD1A8B" w:rsidRPr="006924F4">
        <w:rPr>
          <w:rFonts w:eastAsia="Calibri" w:cs="Times New Roman"/>
          <w:szCs w:val="20"/>
          <w:lang w:eastAsia="x-none"/>
        </w:rPr>
        <w:t xml:space="preserve">on </w:t>
      </w:r>
      <w:r w:rsidRPr="006924F4">
        <w:rPr>
          <w:rFonts w:eastAsia="Calibri" w:cs="Times New Roman"/>
          <w:szCs w:val="20"/>
          <w:lang w:eastAsia="x-none"/>
        </w:rPr>
        <w:t xml:space="preserve">industrial property </w:t>
      </w:r>
      <w:r>
        <w:rPr>
          <w:rFonts w:eastAsia="Calibri" w:cs="Times New Roman"/>
          <w:szCs w:val="20"/>
          <w:lang w:eastAsia="x-none"/>
        </w:rPr>
        <w:t xml:space="preserve">with the EU acquis, and </w:t>
      </w:r>
      <w:r w:rsidR="00DD1A8B" w:rsidRPr="006924F4">
        <w:rPr>
          <w:rFonts w:eastAsia="Calibri" w:cs="Times New Roman"/>
          <w:szCs w:val="20"/>
          <w:lang w:eastAsia="x-none"/>
        </w:rPr>
        <w:t xml:space="preserve"> the </w:t>
      </w:r>
      <w:r w:rsidRPr="006924F4">
        <w:rPr>
          <w:rFonts w:eastAsia="Calibri" w:cs="Times New Roman"/>
          <w:szCs w:val="20"/>
          <w:lang w:eastAsia="x-none"/>
        </w:rPr>
        <w:t>international agreements with EPO, EUIPO &amp; WIPO</w:t>
      </w:r>
      <w:r w:rsidR="00C05F60">
        <w:rPr>
          <w:rFonts w:eastAsia="Calibri" w:cs="Times New Roman"/>
          <w:szCs w:val="20"/>
          <w:lang w:eastAsia="x-none"/>
        </w:rPr>
        <w:t>.</w:t>
      </w:r>
    </w:p>
    <w:p w14:paraId="25429AA7" w14:textId="21CE0805" w:rsidR="00F1040F" w:rsidRDefault="00063135" w:rsidP="00CA22CD">
      <w:pPr>
        <w:numPr>
          <w:ilvl w:val="2"/>
          <w:numId w:val="13"/>
        </w:numPr>
        <w:spacing w:before="120"/>
        <w:ind w:left="2410" w:hanging="567"/>
        <w:rPr>
          <w:rFonts w:eastAsia="Calibri" w:cs="Times New Roman"/>
          <w:szCs w:val="20"/>
          <w:lang w:eastAsia="x-none"/>
        </w:rPr>
      </w:pPr>
      <w:r>
        <w:rPr>
          <w:rFonts w:eastAsia="Calibri" w:cs="Times New Roman"/>
          <w:szCs w:val="20"/>
          <w:lang w:eastAsia="x-none"/>
        </w:rPr>
        <w:t xml:space="preserve">Strengthen the capacity of the </w:t>
      </w:r>
      <w:r w:rsidR="00DD1A8B" w:rsidRPr="006924F4">
        <w:rPr>
          <w:rFonts w:eastAsia="Calibri" w:cs="Times New Roman"/>
          <w:szCs w:val="20"/>
          <w:lang w:eastAsia="x-none"/>
        </w:rPr>
        <w:t>State Office for Industrial Property (SOIP)</w:t>
      </w:r>
      <w:r w:rsidR="00F1040F">
        <w:rPr>
          <w:rFonts w:eastAsia="Calibri" w:cs="Times New Roman"/>
          <w:szCs w:val="20"/>
          <w:lang w:eastAsia="x-none"/>
        </w:rPr>
        <w:t xml:space="preserve">, </w:t>
      </w:r>
      <w:r w:rsidR="00DD1A8B" w:rsidRPr="006924F4">
        <w:rPr>
          <w:rFonts w:eastAsia="Calibri" w:cs="Times New Roman"/>
          <w:szCs w:val="20"/>
          <w:lang w:eastAsia="x-none"/>
        </w:rPr>
        <w:t xml:space="preserve">State Market Inspectorate (SMI) </w:t>
      </w:r>
      <w:r w:rsidR="00F1040F">
        <w:rPr>
          <w:rFonts w:eastAsia="Calibri" w:cs="Times New Roman"/>
          <w:szCs w:val="20"/>
          <w:lang w:eastAsia="x-none"/>
        </w:rPr>
        <w:t xml:space="preserve">and Customs </w:t>
      </w:r>
      <w:r>
        <w:rPr>
          <w:rFonts w:eastAsia="Calibri" w:cs="Times New Roman"/>
          <w:szCs w:val="20"/>
          <w:lang w:eastAsia="x-none"/>
        </w:rPr>
        <w:t xml:space="preserve">to </w:t>
      </w:r>
      <w:r w:rsidR="00F1040F">
        <w:rPr>
          <w:rFonts w:eastAsia="Calibri" w:cs="Times New Roman"/>
          <w:szCs w:val="20"/>
          <w:lang w:eastAsia="x-none"/>
        </w:rPr>
        <w:t xml:space="preserve">protect the rights holders by applying pro-active measures, providing adequate response to counterfeiting and pirating goods, and enforcing the national legislation. </w:t>
      </w:r>
    </w:p>
    <w:p w14:paraId="768F7FBA" w14:textId="0F8A9D76" w:rsidR="00F1040F" w:rsidRDefault="00C05F60" w:rsidP="00CA22CD">
      <w:pPr>
        <w:numPr>
          <w:ilvl w:val="2"/>
          <w:numId w:val="13"/>
        </w:numPr>
        <w:spacing w:before="120"/>
        <w:ind w:left="2410" w:hanging="567"/>
        <w:rPr>
          <w:rFonts w:eastAsia="Calibri" w:cs="Times New Roman"/>
          <w:szCs w:val="20"/>
          <w:lang w:eastAsia="x-none"/>
        </w:rPr>
      </w:pPr>
      <w:r>
        <w:rPr>
          <w:rFonts w:eastAsia="Calibri" w:cs="Times New Roman"/>
          <w:szCs w:val="20"/>
          <w:lang w:eastAsia="x-none"/>
        </w:rPr>
        <w:t xml:space="preserve">Digitalise the </w:t>
      </w:r>
      <w:r w:rsidR="00F1040F">
        <w:rPr>
          <w:rFonts w:eastAsia="Calibri" w:cs="Times New Roman"/>
          <w:szCs w:val="20"/>
          <w:lang w:eastAsia="x-none"/>
        </w:rPr>
        <w:t>IPR enforcement process by putting in place</w:t>
      </w:r>
    </w:p>
    <w:p w14:paraId="142F0DBF" w14:textId="61FD87BE" w:rsidR="00162BE9" w:rsidRPr="00CA22CD" w:rsidRDefault="00F1040F" w:rsidP="00CA22CD">
      <w:pPr>
        <w:pStyle w:val="ListParagraph"/>
        <w:numPr>
          <w:ilvl w:val="0"/>
          <w:numId w:val="46"/>
        </w:numPr>
        <w:spacing w:before="120"/>
        <w:ind w:left="2835" w:hanging="425"/>
        <w:contextualSpacing w:val="0"/>
        <w:rPr>
          <w:rFonts w:eastAsia="Calibri" w:cs="Times New Roman"/>
          <w:szCs w:val="20"/>
          <w:lang w:eastAsia="x-none"/>
        </w:rPr>
      </w:pPr>
      <w:r w:rsidRPr="00CA22CD">
        <w:rPr>
          <w:rFonts w:eastAsia="Calibri" w:cs="Times New Roman"/>
          <w:szCs w:val="20"/>
          <w:lang w:eastAsia="x-none"/>
        </w:rPr>
        <w:t xml:space="preserve">an </w:t>
      </w:r>
      <w:r w:rsidR="00D85545" w:rsidRPr="00CA22CD">
        <w:rPr>
          <w:rFonts w:eastAsia="Calibri" w:cs="Times New Roman"/>
          <w:szCs w:val="20"/>
          <w:lang w:val="en-US" w:eastAsia="x-none"/>
        </w:rPr>
        <w:t>a</w:t>
      </w:r>
      <w:r w:rsidR="00ED5B33" w:rsidRPr="00CA22CD">
        <w:rPr>
          <w:rFonts w:eastAsia="Calibri" w:cs="Times New Roman"/>
          <w:szCs w:val="20"/>
          <w:lang w:val="en-US" w:eastAsia="x-none"/>
        </w:rPr>
        <w:t xml:space="preserve">nti-counterfeiting </w:t>
      </w:r>
      <w:r w:rsidR="00D642F2" w:rsidRPr="00CA22CD">
        <w:rPr>
          <w:rFonts w:eastAsia="Calibri" w:cs="Times New Roman"/>
          <w:szCs w:val="20"/>
          <w:lang w:eastAsia="x-none"/>
        </w:rPr>
        <w:t>software solution which will allow IP right holders, companies from North Macedonia to report, in a structured format, information about IPR infringements that have occurred in the internal market, neighbouring countries in which they were victims</w:t>
      </w:r>
      <w:r w:rsidR="00ED5B33" w:rsidRPr="00CA22CD">
        <w:rPr>
          <w:rFonts w:eastAsia="Calibri" w:cs="Times New Roman"/>
          <w:szCs w:val="20"/>
          <w:lang w:val="en-US" w:eastAsia="x-none"/>
        </w:rPr>
        <w:t>is</w:t>
      </w:r>
      <w:r w:rsidR="00162BE9" w:rsidRPr="00CA22CD">
        <w:rPr>
          <w:rFonts w:eastAsia="Calibri" w:cs="Times New Roman"/>
          <w:szCs w:val="20"/>
          <w:lang w:eastAsia="x-none"/>
        </w:rPr>
        <w:t>;</w:t>
      </w:r>
    </w:p>
    <w:p w14:paraId="3C9BB4D6" w14:textId="2E299770" w:rsidR="00162BE9" w:rsidRDefault="0076772C" w:rsidP="00CA22CD">
      <w:pPr>
        <w:pStyle w:val="ListParagraph"/>
        <w:numPr>
          <w:ilvl w:val="0"/>
          <w:numId w:val="46"/>
        </w:numPr>
        <w:spacing w:before="120"/>
        <w:ind w:left="2835" w:hanging="425"/>
        <w:contextualSpacing w:val="0"/>
      </w:pPr>
      <w:r>
        <w:t>O</w:t>
      </w:r>
      <w:r w:rsidR="0040307C" w:rsidRPr="0040307C">
        <w:t>rphan works database register</w:t>
      </w:r>
    </w:p>
    <w:p w14:paraId="7AD8DAE0" w14:textId="761F20B4" w:rsidR="00C05F60" w:rsidRPr="00CA22CD" w:rsidRDefault="00DF214B" w:rsidP="00CA22CD">
      <w:pPr>
        <w:pStyle w:val="ListParagraph"/>
        <w:numPr>
          <w:ilvl w:val="0"/>
          <w:numId w:val="46"/>
        </w:numPr>
        <w:spacing w:before="120"/>
        <w:ind w:left="2835" w:hanging="425"/>
        <w:contextualSpacing w:val="0"/>
        <w:rPr>
          <w:rFonts w:eastAsia="Calibri" w:cs="Times New Roman"/>
          <w:szCs w:val="20"/>
          <w:lang w:eastAsia="x-none"/>
        </w:rPr>
      </w:pPr>
      <w:r w:rsidRPr="00CA22CD">
        <w:rPr>
          <w:rFonts w:eastAsia="Calibri" w:cs="Times New Roman"/>
          <w:szCs w:val="20"/>
          <w:lang w:eastAsia="x-none"/>
        </w:rPr>
        <w:t>legit-stream</w:t>
      </w:r>
      <w:r w:rsidR="003B147D" w:rsidRPr="00CA22CD">
        <w:rPr>
          <w:rFonts w:eastAsia="Calibri" w:cs="Times New Roman"/>
          <w:szCs w:val="20"/>
          <w:lang w:eastAsia="x-none"/>
        </w:rPr>
        <w:t xml:space="preserve"> platform to </w:t>
      </w:r>
      <w:r w:rsidR="006465A9" w:rsidRPr="00CA22CD">
        <w:rPr>
          <w:rFonts w:eastAsia="Calibri" w:cs="Times New Roman"/>
          <w:szCs w:val="20"/>
          <w:lang w:eastAsia="x-none"/>
        </w:rPr>
        <w:t>help finding legally digital content easily</w:t>
      </w:r>
      <w:r w:rsidR="00EA007C" w:rsidRPr="00CA22CD">
        <w:rPr>
          <w:rFonts w:eastAsia="Calibri" w:cs="Times New Roman"/>
          <w:szCs w:val="20"/>
          <w:lang w:eastAsia="x-none"/>
        </w:rPr>
        <w:t xml:space="preserve"> and</w:t>
      </w:r>
      <w:r w:rsidR="002260F1" w:rsidRPr="00CA22CD">
        <w:rPr>
          <w:rFonts w:eastAsia="Calibri" w:cs="Times New Roman"/>
          <w:szCs w:val="20"/>
          <w:lang w:eastAsia="x-none"/>
        </w:rPr>
        <w:t xml:space="preserve"> provide an alternative legal option to non-licensed, illegal internet content</w:t>
      </w:r>
      <w:r w:rsidR="006465A9" w:rsidRPr="00CA22CD">
        <w:rPr>
          <w:rFonts w:eastAsia="Calibri" w:cs="Times New Roman"/>
          <w:szCs w:val="20"/>
          <w:lang w:eastAsia="x-none"/>
        </w:rPr>
        <w:t>.</w:t>
      </w:r>
      <w:r w:rsidRPr="00CA22CD">
        <w:rPr>
          <w:rFonts w:eastAsia="Calibri" w:cs="Times New Roman"/>
          <w:szCs w:val="20"/>
          <w:lang w:eastAsia="x-none"/>
        </w:rPr>
        <w:t xml:space="preserve"> </w:t>
      </w:r>
    </w:p>
    <w:p w14:paraId="76B0DC3D" w14:textId="70561B11" w:rsidR="00C05F60" w:rsidRPr="006924F4" w:rsidRDefault="00C05F60" w:rsidP="00430D76">
      <w:pPr>
        <w:numPr>
          <w:ilvl w:val="2"/>
          <w:numId w:val="13"/>
        </w:numPr>
        <w:spacing w:before="120"/>
        <w:ind w:left="2410" w:hanging="567"/>
        <w:rPr>
          <w:rFonts w:eastAsia="Calibri" w:cs="Times New Roman"/>
          <w:szCs w:val="20"/>
          <w:lang w:eastAsia="x-none"/>
        </w:rPr>
      </w:pPr>
      <w:r w:rsidRPr="006924F4">
        <w:rPr>
          <w:rFonts w:eastAsia="Calibri" w:cs="Arial"/>
        </w:rPr>
        <w:t>Raising public awareness o</w:t>
      </w:r>
      <w:r>
        <w:rPr>
          <w:rFonts w:eastAsia="Calibri" w:cs="Arial"/>
        </w:rPr>
        <w:t xml:space="preserve">n </w:t>
      </w:r>
      <w:r w:rsidRPr="006924F4">
        <w:rPr>
          <w:rFonts w:eastAsia="Calibri" w:cs="Arial"/>
        </w:rPr>
        <w:t>Industrial property rights including Anti-Counterfeiting to the general public, right holders and users</w:t>
      </w:r>
      <w:r w:rsidR="00162BE9">
        <w:rPr>
          <w:rFonts w:eastAsia="Calibri" w:cs="Arial"/>
        </w:rPr>
        <w:t xml:space="preserve"> through targeted campaigns focused on youth, private sector and public at general. </w:t>
      </w:r>
    </w:p>
    <w:p w14:paraId="29E814E5" w14:textId="57CEFA45" w:rsidR="00924B26" w:rsidRPr="00AA05FA" w:rsidRDefault="00A77890" w:rsidP="00CA22CD">
      <w:pPr>
        <w:pStyle w:val="Heading1"/>
        <w:numPr>
          <w:ilvl w:val="0"/>
          <w:numId w:val="0"/>
        </w:numPr>
        <w:spacing w:after="0"/>
        <w:ind w:left="1843"/>
        <w:rPr>
          <w:bCs/>
        </w:rPr>
      </w:pPr>
      <w:r w:rsidRPr="00AA05FA">
        <w:rPr>
          <w:rFonts w:cs="Arial"/>
          <w:bCs/>
        </w:rPr>
        <w:t>(4).</w:t>
      </w:r>
      <w:r w:rsidR="00924B26" w:rsidRPr="00761107">
        <w:rPr>
          <w:rFonts w:cs="Arial"/>
          <w:bCs/>
        </w:rPr>
        <w:t xml:space="preserve"> </w:t>
      </w:r>
      <w:r w:rsidR="00924B26" w:rsidRPr="00CA22CD">
        <w:rPr>
          <w:iCs/>
        </w:rPr>
        <w:t>Research</w:t>
      </w:r>
      <w:r w:rsidRPr="00CA22CD">
        <w:rPr>
          <w:iCs/>
        </w:rPr>
        <w:t xml:space="preserve"> and</w:t>
      </w:r>
      <w:r w:rsidR="00924B26" w:rsidRPr="00CA22CD">
        <w:rPr>
          <w:iCs/>
        </w:rPr>
        <w:t xml:space="preserve"> Innovation</w:t>
      </w:r>
      <w:r w:rsidR="00162BE9">
        <w:rPr>
          <w:iCs/>
        </w:rPr>
        <w:t xml:space="preserve"> - </w:t>
      </w:r>
      <w:r w:rsidR="00162BE9" w:rsidRPr="00603C3E">
        <w:rPr>
          <w:b w:val="0"/>
        </w:rPr>
        <w:t>the Action will</w:t>
      </w:r>
      <w:r w:rsidR="00162BE9" w:rsidRPr="00603C3E">
        <w:rPr>
          <w:rFonts w:eastAsia="Calibri"/>
          <w:szCs w:val="20"/>
          <w:lang w:eastAsia="x-none"/>
        </w:rPr>
        <w:t>:</w:t>
      </w:r>
    </w:p>
    <w:p w14:paraId="60C2A227" w14:textId="19763E7E" w:rsidR="00924B26" w:rsidRPr="00AA05FA" w:rsidRDefault="00924B26" w:rsidP="00CA22CD">
      <w:pPr>
        <w:numPr>
          <w:ilvl w:val="2"/>
          <w:numId w:val="14"/>
        </w:numPr>
        <w:spacing w:before="120"/>
        <w:ind w:left="2410" w:hanging="567"/>
        <w:rPr>
          <w:rFonts w:eastAsia="Calibri" w:cs="Times New Roman"/>
          <w:szCs w:val="24"/>
        </w:rPr>
      </w:pPr>
      <w:r w:rsidRPr="00761107">
        <w:rPr>
          <w:rFonts w:eastAsia="Calibri" w:cs="Times New Roman"/>
          <w:szCs w:val="24"/>
        </w:rPr>
        <w:t xml:space="preserve">Support </w:t>
      </w:r>
      <w:r w:rsidR="00162BE9" w:rsidRPr="004C5CF8">
        <w:rPr>
          <w:rFonts w:eastAsia="Calibri" w:cs="Times New Roman"/>
          <w:szCs w:val="24"/>
        </w:rPr>
        <w:t xml:space="preserve">the </w:t>
      </w:r>
      <w:r w:rsidRPr="00CD5A0E">
        <w:rPr>
          <w:rFonts w:eastAsia="Calibri" w:cs="Times New Roman"/>
          <w:szCs w:val="24"/>
        </w:rPr>
        <w:t>effective</w:t>
      </w:r>
      <w:r w:rsidR="00162BE9" w:rsidRPr="00CD5A0E">
        <w:rPr>
          <w:rFonts w:eastAsia="Calibri" w:cs="Times New Roman"/>
          <w:szCs w:val="24"/>
        </w:rPr>
        <w:t xml:space="preserve"> and</w:t>
      </w:r>
      <w:r w:rsidRPr="00CD5A0E">
        <w:rPr>
          <w:rFonts w:eastAsia="Calibri" w:cs="Times New Roman"/>
          <w:szCs w:val="24"/>
        </w:rPr>
        <w:t xml:space="preserve"> efficient functioning of the national coordination and advisory bodies for Competitiveness, Innovation and Smart Specialization </w:t>
      </w:r>
      <w:r w:rsidR="00162BE9" w:rsidRPr="00CD5A0E">
        <w:rPr>
          <w:rFonts w:eastAsia="Calibri" w:cs="Times New Roman"/>
          <w:szCs w:val="24"/>
        </w:rPr>
        <w:t xml:space="preserve">and </w:t>
      </w:r>
      <w:r w:rsidR="00162BE9">
        <w:rPr>
          <w:rFonts w:eastAsia="Calibri" w:cs="Times New Roman"/>
          <w:szCs w:val="24"/>
        </w:rPr>
        <w:t>the</w:t>
      </w:r>
      <w:r w:rsidRPr="00AA05FA">
        <w:rPr>
          <w:rFonts w:eastAsia="Calibri" w:cs="Times New Roman"/>
          <w:szCs w:val="24"/>
        </w:rPr>
        <w:t xml:space="preserve"> </w:t>
      </w:r>
      <w:r w:rsidRPr="00AA05FA">
        <w:rPr>
          <w:rFonts w:eastAsia="Calibri" w:cs="Times New Roman"/>
          <w:szCs w:val="24"/>
        </w:rPr>
        <w:lastRenderedPageBreak/>
        <w:t>continuous S3 Entrepreneurial Discovery Process</w:t>
      </w:r>
      <w:r w:rsidR="00CD5A0E" w:rsidRPr="00761107">
        <w:rPr>
          <w:rFonts w:eastAsia="Calibri" w:cs="Times New Roman"/>
          <w:szCs w:val="24"/>
        </w:rPr>
        <w:t xml:space="preserve">, promoting a </w:t>
      </w:r>
      <w:r w:rsidRPr="00CD5A0E">
        <w:rPr>
          <w:rFonts w:eastAsia="Calibri" w:cs="Times New Roman"/>
          <w:szCs w:val="24"/>
        </w:rPr>
        <w:t>sustainable consultative process among stakeholders (</w:t>
      </w:r>
      <w:r w:rsidR="00CD5A0E" w:rsidRPr="00CD5A0E">
        <w:rPr>
          <w:rFonts w:eastAsia="Calibri" w:cs="Times New Roman"/>
          <w:szCs w:val="24"/>
        </w:rPr>
        <w:t>quadruple</w:t>
      </w:r>
      <w:r w:rsidRPr="00CD5A0E">
        <w:rPr>
          <w:rFonts w:eastAsia="Calibri" w:cs="Times New Roman"/>
          <w:szCs w:val="24"/>
        </w:rPr>
        <w:t xml:space="preserve"> helix - policy, industry, science and society)</w:t>
      </w:r>
      <w:r w:rsidR="00CD5A0E" w:rsidRPr="00AA05FA">
        <w:rPr>
          <w:rFonts w:eastAsia="Calibri" w:cs="Times New Roman"/>
          <w:szCs w:val="24"/>
        </w:rPr>
        <w:t xml:space="preserve">. This activity implies </w:t>
      </w:r>
      <w:r w:rsidR="00CD5A0E">
        <w:rPr>
          <w:rFonts w:eastAsia="Calibri" w:cs="Times New Roman"/>
          <w:szCs w:val="24"/>
        </w:rPr>
        <w:t>also putting in place of a</w:t>
      </w:r>
      <w:r w:rsidRPr="00CD5A0E">
        <w:rPr>
          <w:rFonts w:eastAsia="Calibri" w:cs="Times New Roman"/>
          <w:szCs w:val="24"/>
        </w:rPr>
        <w:t xml:space="preserve"> S3 integrated management and information system for stakeholders’ coordination</w:t>
      </w:r>
      <w:r w:rsidR="00CD5A0E">
        <w:rPr>
          <w:rFonts w:eastAsia="Calibri" w:cs="Times New Roman"/>
          <w:szCs w:val="24"/>
        </w:rPr>
        <w:t xml:space="preserve"> and visibility </w:t>
      </w:r>
      <w:r w:rsidRPr="00761107">
        <w:rPr>
          <w:rFonts w:eastAsia="Calibri" w:cs="Times New Roman"/>
          <w:szCs w:val="24"/>
        </w:rPr>
        <w:t xml:space="preserve">in line with the </w:t>
      </w:r>
      <w:r w:rsidRPr="00CD5A0E">
        <w:rPr>
          <w:rFonts w:eastAsia="Calibri" w:cs="Times New Roman"/>
          <w:szCs w:val="24"/>
        </w:rPr>
        <w:t xml:space="preserve">digital transformation </w:t>
      </w:r>
      <w:r w:rsidR="00CD5A0E">
        <w:rPr>
          <w:rFonts w:eastAsia="Calibri" w:cs="Times New Roman"/>
          <w:szCs w:val="24"/>
        </w:rPr>
        <w:t xml:space="preserve">policy of the country. </w:t>
      </w:r>
    </w:p>
    <w:p w14:paraId="6FC26006" w14:textId="0B9F4A03" w:rsidR="00924B26" w:rsidRPr="00924B26" w:rsidRDefault="00A4471E" w:rsidP="00CA22CD">
      <w:pPr>
        <w:numPr>
          <w:ilvl w:val="2"/>
          <w:numId w:val="14"/>
        </w:numPr>
        <w:spacing w:before="120"/>
        <w:ind w:left="2410" w:hanging="567"/>
        <w:rPr>
          <w:rFonts w:eastAsia="Calibri" w:cs="Times New Roman"/>
          <w:szCs w:val="20"/>
          <w:lang w:eastAsia="x-none"/>
        </w:rPr>
      </w:pPr>
      <w:r w:rsidRPr="00AA05FA">
        <w:rPr>
          <w:rFonts w:eastAsia="Calibri" w:cs="Times New Roman"/>
          <w:szCs w:val="20"/>
          <w:lang w:eastAsia="x-none"/>
        </w:rPr>
        <w:t xml:space="preserve">Design </w:t>
      </w:r>
      <w:r>
        <w:rPr>
          <w:rFonts w:eastAsia="Calibri" w:cs="Times New Roman"/>
          <w:szCs w:val="20"/>
          <w:lang w:eastAsia="x-none"/>
        </w:rPr>
        <w:t xml:space="preserve">and implemented </w:t>
      </w:r>
      <w:r w:rsidRPr="00AA05FA">
        <w:rPr>
          <w:rFonts w:eastAsia="Calibri" w:cs="Times New Roman"/>
          <w:szCs w:val="20"/>
          <w:lang w:eastAsia="x-none"/>
        </w:rPr>
        <w:t xml:space="preserve">selected support measures to support technological and practice-based innovation (e.g., digital and green transition of SMEs; mobility scheme between </w:t>
      </w:r>
      <w:r w:rsidRPr="004C5CF8">
        <w:rPr>
          <w:rFonts w:eastAsia="Calibri" w:cs="Times New Roman"/>
          <w:szCs w:val="20"/>
          <w:lang w:eastAsia="x-none"/>
        </w:rPr>
        <w:t>academia and industry improving the brain circulation and allowing highly qualified young researchers and professionals to transfer know-how in production environment, etc.)</w:t>
      </w:r>
      <w:r w:rsidRPr="00A4471E">
        <w:rPr>
          <w:rFonts w:eastAsia="Calibri" w:cs="Times New Roman"/>
          <w:szCs w:val="20"/>
          <w:lang w:eastAsia="x-none"/>
        </w:rPr>
        <w:t xml:space="preserve">. This process will be backed up by assessment of the </w:t>
      </w:r>
      <w:r w:rsidRPr="00A4471E">
        <w:rPr>
          <w:rFonts w:eastAsia="Calibri" w:cs="Times New Roman"/>
          <w:szCs w:val="24"/>
        </w:rPr>
        <w:t>effectiveness of the S3 policy mix support measures for private sector, research and innovation in the previous period, analysis of the gaps</w:t>
      </w:r>
      <w:r>
        <w:rPr>
          <w:rFonts w:eastAsia="Calibri" w:cs="Times New Roman"/>
          <w:szCs w:val="24"/>
        </w:rPr>
        <w:t xml:space="preserve">, </w:t>
      </w:r>
      <w:r w:rsidRPr="00761107">
        <w:rPr>
          <w:rFonts w:eastAsia="Calibri" w:cs="Times New Roman"/>
          <w:szCs w:val="24"/>
        </w:rPr>
        <w:t>map</w:t>
      </w:r>
      <w:r w:rsidRPr="004C5CF8">
        <w:rPr>
          <w:rFonts w:eastAsia="Calibri" w:cs="Times New Roman"/>
          <w:szCs w:val="24"/>
        </w:rPr>
        <w:t>ping and analysis of the</w:t>
      </w:r>
      <w:r w:rsidRPr="00A4471E">
        <w:rPr>
          <w:rFonts w:eastAsia="Calibri" w:cs="Times New Roman"/>
          <w:szCs w:val="24"/>
        </w:rPr>
        <w:t xml:space="preserve"> </w:t>
      </w:r>
      <w:r w:rsidR="00924B26" w:rsidRPr="00A4471E">
        <w:rPr>
          <w:rFonts w:eastAsia="Calibri" w:cs="Times New Roman"/>
          <w:szCs w:val="24"/>
        </w:rPr>
        <w:t xml:space="preserve">available S3 policy mix funding source, </w:t>
      </w:r>
      <w:r w:rsidRPr="00A4471E">
        <w:rPr>
          <w:rFonts w:eastAsia="Calibri" w:cs="Times New Roman"/>
          <w:szCs w:val="24"/>
        </w:rPr>
        <w:t xml:space="preserve">and identification of the most adequate </w:t>
      </w:r>
      <w:r w:rsidR="00924B26" w:rsidRPr="00A4471E">
        <w:rPr>
          <w:rFonts w:eastAsia="Calibri" w:cs="Times New Roman"/>
          <w:szCs w:val="24"/>
        </w:rPr>
        <w:t xml:space="preserve">finance </w:t>
      </w:r>
      <w:r w:rsidRPr="00A4471E">
        <w:rPr>
          <w:rFonts w:eastAsia="Calibri" w:cs="Times New Roman"/>
          <w:szCs w:val="24"/>
        </w:rPr>
        <w:t xml:space="preserve">sources </w:t>
      </w:r>
      <w:r w:rsidR="00924B26" w:rsidRPr="00A4471E">
        <w:rPr>
          <w:rFonts w:eastAsia="Calibri" w:cs="Times New Roman"/>
          <w:szCs w:val="24"/>
        </w:rPr>
        <w:t xml:space="preserve">for the stakeholders (policy, industry, </w:t>
      </w:r>
      <w:r w:rsidR="00A65AE5">
        <w:rPr>
          <w:rFonts w:eastAsia="Calibri" w:cs="Times New Roman"/>
          <w:szCs w:val="24"/>
        </w:rPr>
        <w:t xml:space="preserve">agriculture, </w:t>
      </w:r>
      <w:r w:rsidR="00924B26" w:rsidRPr="00AA05FA">
        <w:rPr>
          <w:rFonts w:eastAsia="Calibri" w:cs="Times New Roman"/>
          <w:szCs w:val="24"/>
        </w:rPr>
        <w:t>science and society)</w:t>
      </w:r>
      <w:r w:rsidR="00924B26" w:rsidRPr="00761107">
        <w:rPr>
          <w:rFonts w:eastAsia="Calibri" w:cs="Times New Roman"/>
          <w:szCs w:val="24"/>
        </w:rPr>
        <w:t>.</w:t>
      </w:r>
      <w:r>
        <w:rPr>
          <w:rFonts w:eastAsia="Calibri" w:cs="Times New Roman"/>
          <w:szCs w:val="24"/>
        </w:rPr>
        <w:t xml:space="preserve"> The action will </w:t>
      </w:r>
      <w:r w:rsidR="00924B26" w:rsidRPr="00924B26">
        <w:rPr>
          <w:rFonts w:eastAsia="Calibri" w:cs="Times New Roman"/>
          <w:szCs w:val="20"/>
          <w:lang w:eastAsia="x-none"/>
        </w:rPr>
        <w:t>pilot</w:t>
      </w:r>
      <w:r>
        <w:rPr>
          <w:rFonts w:eastAsia="Calibri" w:cs="Times New Roman"/>
          <w:szCs w:val="20"/>
          <w:lang w:eastAsia="x-none"/>
        </w:rPr>
        <w:t xml:space="preserve"> </w:t>
      </w:r>
      <w:r w:rsidR="00924B26" w:rsidRPr="00924B26">
        <w:rPr>
          <w:rFonts w:eastAsia="Calibri" w:cs="Times New Roman"/>
          <w:szCs w:val="20"/>
          <w:lang w:eastAsia="x-none"/>
        </w:rPr>
        <w:t>up to three support measures with an impact on green and digital transition, and gender equality</w:t>
      </w:r>
      <w:r>
        <w:rPr>
          <w:rFonts w:eastAsia="Calibri" w:cs="Times New Roman"/>
          <w:szCs w:val="20"/>
          <w:lang w:eastAsia="x-none"/>
        </w:rPr>
        <w:t xml:space="preserve">. </w:t>
      </w:r>
    </w:p>
    <w:p w14:paraId="0EEAC124" w14:textId="14F63AE6" w:rsidR="00924B26" w:rsidRPr="00924B26" w:rsidRDefault="00A4471E" w:rsidP="00CA22CD">
      <w:pPr>
        <w:numPr>
          <w:ilvl w:val="2"/>
          <w:numId w:val="14"/>
        </w:numPr>
        <w:spacing w:before="120"/>
        <w:ind w:left="2410" w:hanging="567"/>
        <w:rPr>
          <w:rFonts w:eastAsia="Calibri" w:cs="Times New Roman"/>
          <w:szCs w:val="20"/>
          <w:lang w:eastAsia="x-none"/>
        </w:rPr>
      </w:pPr>
      <w:r>
        <w:rPr>
          <w:rFonts w:eastAsia="Calibri" w:cs="Times New Roman"/>
          <w:szCs w:val="20"/>
          <w:lang w:eastAsia="x-none"/>
        </w:rPr>
        <w:t xml:space="preserve">Conduct a </w:t>
      </w:r>
      <w:r w:rsidRPr="00924B26">
        <w:rPr>
          <w:rFonts w:eastAsia="Calibri" w:cs="Times New Roman"/>
          <w:szCs w:val="20"/>
          <w:lang w:eastAsia="x-none"/>
        </w:rPr>
        <w:t xml:space="preserve">feasibility </w:t>
      </w:r>
      <w:r w:rsidR="00924B26" w:rsidRPr="00924B26">
        <w:rPr>
          <w:rFonts w:eastAsia="Calibri" w:cs="Times New Roman"/>
          <w:szCs w:val="20"/>
          <w:lang w:eastAsia="x-none"/>
        </w:rPr>
        <w:t xml:space="preserve">study for establishment of innovation infrastructure in line with the S3 policy mix (e.g., canters of excellence and technology transfer offices) </w:t>
      </w:r>
    </w:p>
    <w:p w14:paraId="5F003866" w14:textId="328B3797" w:rsidR="00924B26" w:rsidRDefault="00A4471E" w:rsidP="00CA22CD">
      <w:pPr>
        <w:numPr>
          <w:ilvl w:val="2"/>
          <w:numId w:val="14"/>
        </w:numPr>
        <w:spacing w:before="120"/>
        <w:ind w:left="2410" w:hanging="567"/>
        <w:rPr>
          <w:rFonts w:eastAsia="Calibri" w:cs="Times New Roman"/>
          <w:szCs w:val="20"/>
          <w:lang w:eastAsia="x-none"/>
        </w:rPr>
      </w:pPr>
      <w:r w:rsidRPr="00924B26">
        <w:rPr>
          <w:rFonts w:eastAsia="Calibri" w:cs="Times New Roman"/>
          <w:szCs w:val="20"/>
          <w:lang w:eastAsia="x-none"/>
        </w:rPr>
        <w:t>Promot</w:t>
      </w:r>
      <w:r>
        <w:rPr>
          <w:rFonts w:eastAsia="Calibri" w:cs="Times New Roman"/>
          <w:szCs w:val="20"/>
          <w:lang w:eastAsia="x-none"/>
        </w:rPr>
        <w:t xml:space="preserve">e the </w:t>
      </w:r>
      <w:r w:rsidR="00924B26" w:rsidRPr="00924B26">
        <w:rPr>
          <w:rFonts w:eastAsia="Calibri" w:cs="Times New Roman"/>
          <w:szCs w:val="20"/>
          <w:lang w:eastAsia="x-none"/>
        </w:rPr>
        <w:t xml:space="preserve">EU programs and </w:t>
      </w:r>
      <w:r>
        <w:rPr>
          <w:rFonts w:eastAsia="Calibri" w:cs="Times New Roman"/>
          <w:szCs w:val="20"/>
          <w:lang w:eastAsia="x-none"/>
        </w:rPr>
        <w:t xml:space="preserve">strengthen the </w:t>
      </w:r>
      <w:r w:rsidR="00924B26" w:rsidRPr="00924B26">
        <w:rPr>
          <w:rFonts w:eastAsia="Calibri" w:cs="Times New Roman"/>
          <w:szCs w:val="20"/>
          <w:lang w:eastAsia="x-none"/>
        </w:rPr>
        <w:t xml:space="preserve">capacity of national stakeholders to </w:t>
      </w:r>
      <w:r>
        <w:rPr>
          <w:rFonts w:eastAsia="Calibri" w:cs="Times New Roman"/>
          <w:szCs w:val="20"/>
          <w:lang w:eastAsia="x-none"/>
        </w:rPr>
        <w:t xml:space="preserve">support the national participation in the </w:t>
      </w:r>
      <w:r w:rsidR="00924B26" w:rsidRPr="00924B26">
        <w:rPr>
          <w:rFonts w:eastAsia="Calibri" w:cs="Times New Roman"/>
          <w:szCs w:val="20"/>
          <w:lang w:eastAsia="x-none"/>
        </w:rPr>
        <w:t>Union programs in line with S3 (MSMEs, academic institutions, TTOs, intermediaries, etc.) as well as European Research Area and the European Innovation Area</w:t>
      </w:r>
      <w:r>
        <w:rPr>
          <w:rFonts w:eastAsia="Calibri" w:cs="Times New Roman"/>
          <w:szCs w:val="20"/>
          <w:lang w:eastAsia="x-none"/>
        </w:rPr>
        <w:t>.</w:t>
      </w:r>
    </w:p>
    <w:p w14:paraId="26809558" w14:textId="6083DA04" w:rsidR="00924B26" w:rsidRPr="004C5CF8" w:rsidRDefault="00162BE9" w:rsidP="00CA22CD">
      <w:pPr>
        <w:pStyle w:val="Heading1"/>
        <w:numPr>
          <w:ilvl w:val="0"/>
          <w:numId w:val="0"/>
        </w:numPr>
        <w:spacing w:after="0"/>
        <w:ind w:left="720"/>
      </w:pPr>
      <w:r>
        <w:t>Output</w:t>
      </w:r>
      <w:r w:rsidRPr="00924B26">
        <w:t xml:space="preserve"> </w:t>
      </w:r>
      <w:r w:rsidR="00924B26" w:rsidRPr="00924B26">
        <w:t xml:space="preserve">2: </w:t>
      </w:r>
      <w:r w:rsidR="00236D8D" w:rsidRPr="00CA22CD">
        <w:rPr>
          <w:szCs w:val="24"/>
        </w:rPr>
        <w:t>Strengthened capacities for effective and efficient management of agriculture and fisheries</w:t>
      </w:r>
    </w:p>
    <w:p w14:paraId="24631F15" w14:textId="79DD9C08" w:rsidR="00924B26" w:rsidRPr="00CA22CD" w:rsidRDefault="00A65AE5" w:rsidP="00CA22CD">
      <w:pPr>
        <w:pStyle w:val="Heading1"/>
        <w:numPr>
          <w:ilvl w:val="0"/>
          <w:numId w:val="0"/>
        </w:numPr>
        <w:spacing w:after="0"/>
        <w:ind w:left="1440" w:hanging="360"/>
        <w:rPr>
          <w:rFonts w:eastAsia="Calibri" w:cs="Arial"/>
          <w:szCs w:val="24"/>
        </w:rPr>
      </w:pPr>
      <w:r w:rsidRPr="003662EA">
        <w:rPr>
          <w:bCs/>
        </w:rPr>
        <w:t>(1).</w:t>
      </w:r>
      <w:r w:rsidRPr="00761107">
        <w:rPr>
          <w:b w:val="0"/>
          <w:bCs/>
        </w:rPr>
        <w:t xml:space="preserve"> </w:t>
      </w:r>
      <w:r w:rsidR="002E25A7" w:rsidRPr="003662EA">
        <w:rPr>
          <w:bCs/>
        </w:rPr>
        <w:t>Aligning the national policy with the EU objectives on green and smart agriculture</w:t>
      </w:r>
      <w:r w:rsidR="002E25A7">
        <w:rPr>
          <w:bCs/>
        </w:rPr>
        <w:t xml:space="preserve">, </w:t>
      </w:r>
      <w:r w:rsidR="002E25A7" w:rsidRPr="003662EA">
        <w:rPr>
          <w:bCs/>
        </w:rPr>
        <w:t>and</w:t>
      </w:r>
      <w:r w:rsidR="002E25A7">
        <w:rPr>
          <w:b w:val="0"/>
          <w:bCs/>
        </w:rPr>
        <w:t xml:space="preserve"> </w:t>
      </w:r>
      <w:r w:rsidR="002E25A7" w:rsidRPr="00CA22CD">
        <w:rPr>
          <w:rFonts w:eastAsia="Calibri" w:cs="Arial"/>
        </w:rPr>
        <w:t xml:space="preserve">promotion </w:t>
      </w:r>
      <w:r w:rsidR="00B23017" w:rsidRPr="00CA22CD">
        <w:rPr>
          <w:rFonts w:eastAsia="Calibri" w:cs="Arial"/>
        </w:rPr>
        <w:t>of the</w:t>
      </w:r>
      <w:r w:rsidR="00924B26" w:rsidRPr="00CA22CD">
        <w:rPr>
          <w:rFonts w:eastAsia="Calibri" w:cs="Arial"/>
        </w:rPr>
        <w:t xml:space="preserve"> organic food</w:t>
      </w:r>
      <w:r w:rsidR="00B23017" w:rsidRPr="00CA22CD">
        <w:rPr>
          <w:rFonts w:eastAsia="Calibri" w:cs="Arial"/>
        </w:rPr>
        <w:t xml:space="preserve"> production</w:t>
      </w:r>
      <w:r w:rsidR="00246684">
        <w:rPr>
          <w:rFonts w:eastAsia="Calibri" w:cs="Arial"/>
        </w:rPr>
        <w:t xml:space="preserve">, </w:t>
      </w:r>
      <w:r w:rsidR="00267725" w:rsidRPr="00CA22CD">
        <w:rPr>
          <w:rFonts w:eastAsia="Calibri" w:cs="Arial"/>
          <w:b w:val="0"/>
        </w:rPr>
        <w:t>encompassing</w:t>
      </w:r>
      <w:r w:rsidR="00924B26" w:rsidRPr="00CA22CD">
        <w:rPr>
          <w:rFonts w:eastAsia="Calibri" w:cs="Arial"/>
          <w:color w:val="000000"/>
        </w:rPr>
        <w:t>:</w:t>
      </w:r>
    </w:p>
    <w:p w14:paraId="2B0DCA3C" w14:textId="1F933911" w:rsidR="00816E3E" w:rsidRPr="00DA3B78" w:rsidRDefault="00816E3E" w:rsidP="00CA22CD">
      <w:pPr>
        <w:numPr>
          <w:ilvl w:val="2"/>
          <w:numId w:val="24"/>
        </w:numPr>
        <w:spacing w:before="120"/>
        <w:ind w:left="2127" w:hanging="567"/>
        <w:rPr>
          <w:rFonts w:eastAsia="Calibri" w:cs="Times New Roman"/>
          <w:i/>
          <w:iCs/>
          <w:szCs w:val="20"/>
          <w:lang w:eastAsia="x-none"/>
        </w:rPr>
      </w:pPr>
      <w:r w:rsidRPr="00DA3B78">
        <w:rPr>
          <w:rFonts w:eastAsia="Calibri" w:cs="Times New Roman"/>
          <w:szCs w:val="20"/>
          <w:lang w:eastAsia="x-none"/>
        </w:rPr>
        <w:t xml:space="preserve">Alignment of the national regulations with the EU </w:t>
      </w:r>
      <w:r w:rsidRPr="00DA3B78">
        <w:rPr>
          <w:rFonts w:eastAsia="Calibri" w:cs="Times New Roman"/>
          <w:i/>
          <w:iCs/>
          <w:szCs w:val="20"/>
          <w:lang w:eastAsia="x-none"/>
        </w:rPr>
        <w:t xml:space="preserve">acquis </w:t>
      </w:r>
      <w:r w:rsidR="002E25A7" w:rsidRPr="00CA22CD">
        <w:rPr>
          <w:rFonts w:eastAsia="Calibri" w:cs="Times New Roman"/>
          <w:iCs/>
          <w:szCs w:val="20"/>
          <w:lang w:eastAsia="x-none"/>
        </w:rPr>
        <w:t>such as</w:t>
      </w:r>
      <w:r w:rsidR="002E25A7" w:rsidRPr="00DA3B78">
        <w:rPr>
          <w:rFonts w:eastAsia="Calibri" w:cs="Times New Roman"/>
          <w:i/>
          <w:iCs/>
          <w:szCs w:val="20"/>
          <w:lang w:eastAsia="x-none"/>
        </w:rPr>
        <w:t xml:space="preserve"> </w:t>
      </w:r>
      <w:r w:rsidRPr="00DA3B78">
        <w:rPr>
          <w:rFonts w:eastAsia="Calibri" w:cs="Times New Roman"/>
          <w:szCs w:val="20"/>
          <w:lang w:eastAsia="x-none"/>
        </w:rPr>
        <w:t>on organic production</w:t>
      </w:r>
      <w:r w:rsidRPr="00DA3B78">
        <w:rPr>
          <w:rFonts w:eastAsia="Calibri" w:cs="Times New Roman"/>
          <w:lang w:val="en-IE"/>
        </w:rPr>
        <w:t xml:space="preserve"> </w:t>
      </w:r>
      <w:r w:rsidRPr="00DA3B78">
        <w:rPr>
          <w:rFonts w:eastAsia="Calibri" w:cs="Times New Roman"/>
          <w:szCs w:val="20"/>
          <w:lang w:val="en-IE" w:eastAsia="x-none"/>
        </w:rPr>
        <w:t>and preparing rulebooks according to the new Law on organic agriculture production</w:t>
      </w:r>
      <w:r w:rsidRPr="00DA3B78">
        <w:rPr>
          <w:rFonts w:eastAsia="Calibri" w:cs="Times New Roman"/>
          <w:szCs w:val="20"/>
          <w:lang w:eastAsia="x-none"/>
        </w:rPr>
        <w:t>.</w:t>
      </w:r>
    </w:p>
    <w:p w14:paraId="4B1435F7" w14:textId="73385CB0" w:rsidR="00816E3E" w:rsidRPr="00816E3E" w:rsidRDefault="00783937" w:rsidP="00CA22CD">
      <w:pPr>
        <w:numPr>
          <w:ilvl w:val="2"/>
          <w:numId w:val="24"/>
        </w:numPr>
        <w:spacing w:before="120"/>
        <w:ind w:left="2127" w:hanging="567"/>
        <w:rPr>
          <w:rFonts w:eastAsia="Calibri" w:cs="Times New Roman"/>
          <w:i/>
          <w:iCs/>
          <w:szCs w:val="20"/>
          <w:lang w:eastAsia="x-none"/>
        </w:rPr>
      </w:pPr>
      <w:r>
        <w:rPr>
          <w:rFonts w:eastAsia="Calibri" w:cs="Times New Roman"/>
          <w:bCs/>
          <w:szCs w:val="20"/>
          <w:lang w:eastAsia="x-none"/>
        </w:rPr>
        <w:t>E</w:t>
      </w:r>
      <w:r w:rsidR="00177D88" w:rsidRPr="00177D88">
        <w:rPr>
          <w:rFonts w:eastAsia="Calibri" w:cs="Times New Roman"/>
          <w:bCs/>
          <w:szCs w:val="20"/>
          <w:lang w:eastAsia="x-none"/>
        </w:rPr>
        <w:t xml:space="preserve">stablishment of the </w:t>
      </w:r>
      <w:r w:rsidR="00816E3E" w:rsidRPr="00816E3E">
        <w:rPr>
          <w:rFonts w:eastAsia="Calibri" w:cs="Times New Roman"/>
          <w:bCs/>
          <w:szCs w:val="20"/>
          <w:lang w:eastAsia="x-none"/>
        </w:rPr>
        <w:t xml:space="preserve">systematic monitoring and control of the certification procedures and the products' certification. </w:t>
      </w:r>
      <w:r w:rsidR="00816E3E" w:rsidRPr="00816E3E" w:rsidDel="00ED4AF8">
        <w:rPr>
          <w:rFonts w:eastAsia="Times New Roman" w:cs="Times New Roman"/>
          <w:sz w:val="16"/>
          <w:szCs w:val="16"/>
          <w:lang w:eastAsia="en-GB"/>
        </w:rPr>
        <w:t xml:space="preserve"> </w:t>
      </w:r>
    </w:p>
    <w:p w14:paraId="61671A39" w14:textId="12109FE7" w:rsidR="00816E3E" w:rsidRDefault="00816E3E" w:rsidP="00CA22CD">
      <w:pPr>
        <w:numPr>
          <w:ilvl w:val="2"/>
          <w:numId w:val="24"/>
        </w:numPr>
        <w:spacing w:before="120"/>
        <w:ind w:left="2127" w:hanging="567"/>
        <w:rPr>
          <w:rFonts w:eastAsia="Calibri" w:cs="Times New Roman"/>
          <w:szCs w:val="20"/>
          <w:lang w:eastAsia="x-none"/>
        </w:rPr>
      </w:pPr>
      <w:r w:rsidRPr="00816E3E">
        <w:rPr>
          <w:rFonts w:eastAsia="Calibri" w:cs="Times New Roman"/>
          <w:szCs w:val="20"/>
          <w:lang w:eastAsia="x-none"/>
        </w:rPr>
        <w:t xml:space="preserve">Strengthening capacities </w:t>
      </w:r>
      <w:r w:rsidR="00A8198D" w:rsidRPr="00177D88">
        <w:rPr>
          <w:rFonts w:eastAsia="Calibri" w:cs="Times New Roman"/>
          <w:szCs w:val="20"/>
          <w:lang w:eastAsia="x-none"/>
        </w:rPr>
        <w:t>for</w:t>
      </w:r>
      <w:r w:rsidRPr="00816E3E">
        <w:rPr>
          <w:rFonts w:eastAsia="Calibri" w:cs="Times New Roman"/>
          <w:szCs w:val="20"/>
          <w:lang w:eastAsia="x-none"/>
        </w:rPr>
        <w:t xml:space="preserve"> export to the regional and EU market</w:t>
      </w:r>
      <w:r w:rsidR="00E128BA">
        <w:rPr>
          <w:rFonts w:eastAsia="Calibri" w:cs="Times New Roman"/>
          <w:szCs w:val="20"/>
          <w:lang w:eastAsia="x-none"/>
        </w:rPr>
        <w:t xml:space="preserve"> </w:t>
      </w:r>
      <w:r w:rsidR="002F0850">
        <w:rPr>
          <w:rFonts w:eastAsia="Calibri" w:cs="Times New Roman"/>
          <w:szCs w:val="20"/>
          <w:lang w:eastAsia="x-none"/>
        </w:rPr>
        <w:t xml:space="preserve">through analysis </w:t>
      </w:r>
      <w:r w:rsidR="00156CEA">
        <w:rPr>
          <w:rFonts w:eastAsia="Calibri" w:cs="Times New Roman"/>
          <w:szCs w:val="20"/>
          <w:lang w:eastAsia="x-none"/>
        </w:rPr>
        <w:t>of</w:t>
      </w:r>
      <w:r w:rsidR="002F0850" w:rsidRPr="000635E9">
        <w:rPr>
          <w:rFonts w:eastAsia="Calibri" w:cs="Times New Roman"/>
          <w:szCs w:val="20"/>
          <w:lang w:eastAsia="x-none"/>
        </w:rPr>
        <w:t xml:space="preserve"> organic farming in </w:t>
      </w:r>
      <w:r w:rsidR="003B1333">
        <w:rPr>
          <w:rFonts w:eastAsia="Calibri" w:cs="Times New Roman"/>
          <w:szCs w:val="20"/>
          <w:lang w:eastAsia="x-none"/>
        </w:rPr>
        <w:t>North Macedonia</w:t>
      </w:r>
      <w:r w:rsidR="002F0850" w:rsidRPr="000635E9">
        <w:rPr>
          <w:rFonts w:eastAsia="Calibri" w:cs="Times New Roman"/>
          <w:szCs w:val="20"/>
          <w:lang w:eastAsia="x-none"/>
        </w:rPr>
        <w:t>, both in the area of production and marketing</w:t>
      </w:r>
      <w:r w:rsidR="003B1333">
        <w:rPr>
          <w:rFonts w:eastAsia="Calibri" w:cs="Times New Roman"/>
          <w:szCs w:val="20"/>
          <w:lang w:eastAsia="x-none"/>
        </w:rPr>
        <w:t>, as well as</w:t>
      </w:r>
      <w:r w:rsidR="002F0850" w:rsidRPr="000635E9">
        <w:rPr>
          <w:rFonts w:eastAsia="Calibri" w:cs="Times New Roman"/>
          <w:szCs w:val="20"/>
          <w:lang w:eastAsia="x-none"/>
        </w:rPr>
        <w:t xml:space="preserve"> market </w:t>
      </w:r>
      <w:r w:rsidR="003B1333">
        <w:rPr>
          <w:rFonts w:eastAsia="Calibri" w:cs="Times New Roman"/>
          <w:szCs w:val="20"/>
          <w:lang w:eastAsia="x-none"/>
        </w:rPr>
        <w:t>assessment</w:t>
      </w:r>
      <w:r w:rsidR="002F0850" w:rsidRPr="000635E9">
        <w:rPr>
          <w:rFonts w:eastAsia="Calibri" w:cs="Times New Roman"/>
          <w:szCs w:val="20"/>
          <w:lang w:eastAsia="x-none"/>
        </w:rPr>
        <w:t xml:space="preserve"> for identifi</w:t>
      </w:r>
      <w:r w:rsidR="002D45B2">
        <w:rPr>
          <w:rFonts w:eastAsia="Calibri" w:cs="Times New Roman"/>
          <w:szCs w:val="20"/>
          <w:lang w:eastAsia="x-none"/>
        </w:rPr>
        <w:t>ed</w:t>
      </w:r>
      <w:r w:rsidR="002F0850" w:rsidRPr="000635E9">
        <w:rPr>
          <w:rFonts w:eastAsia="Calibri" w:cs="Times New Roman"/>
          <w:szCs w:val="20"/>
          <w:lang w:eastAsia="x-none"/>
        </w:rPr>
        <w:t xml:space="preserve"> national</w:t>
      </w:r>
      <w:r w:rsidR="002F0850">
        <w:rPr>
          <w:rFonts w:eastAsia="Calibri" w:cs="Times New Roman"/>
          <w:szCs w:val="20"/>
          <w:lang w:eastAsia="x-none"/>
        </w:rPr>
        <w:t xml:space="preserve"> </w:t>
      </w:r>
      <w:r w:rsidR="002F0850" w:rsidRPr="00C959EB">
        <w:rPr>
          <w:rFonts w:eastAsia="Calibri" w:cs="Times New Roman"/>
          <w:szCs w:val="20"/>
          <w:lang w:eastAsia="x-none"/>
        </w:rPr>
        <w:t>organic products</w:t>
      </w:r>
      <w:r w:rsidR="002D45B2">
        <w:rPr>
          <w:rFonts w:eastAsia="Calibri" w:cs="Times New Roman"/>
          <w:szCs w:val="20"/>
          <w:lang w:eastAsia="x-none"/>
        </w:rPr>
        <w:t>.</w:t>
      </w:r>
    </w:p>
    <w:p w14:paraId="181EB8B2" w14:textId="60112066" w:rsidR="00816E3E" w:rsidRPr="00816E3E" w:rsidRDefault="00816E3E" w:rsidP="00CA22CD">
      <w:pPr>
        <w:numPr>
          <w:ilvl w:val="2"/>
          <w:numId w:val="24"/>
        </w:numPr>
        <w:spacing w:before="120"/>
        <w:ind w:left="2127" w:hanging="567"/>
        <w:rPr>
          <w:rFonts w:eastAsia="Calibri" w:cs="Times New Roman"/>
          <w:szCs w:val="20"/>
          <w:lang w:eastAsia="x-none"/>
        </w:rPr>
      </w:pPr>
      <w:r w:rsidRPr="00816E3E">
        <w:rPr>
          <w:rFonts w:eastAsia="Calibri" w:cs="Times New Roman"/>
          <w:szCs w:val="20"/>
          <w:lang w:eastAsia="x-none"/>
        </w:rPr>
        <w:t>Promotion and raising the awareness of farmers and agricultural communities on environmentally friendly agriculture and organic farming practice.</w:t>
      </w:r>
    </w:p>
    <w:p w14:paraId="449D0C6A" w14:textId="10168BA8" w:rsidR="00816E3E" w:rsidRDefault="00816E3E" w:rsidP="00CA22CD">
      <w:pPr>
        <w:numPr>
          <w:ilvl w:val="2"/>
          <w:numId w:val="24"/>
        </w:numPr>
        <w:spacing w:before="120"/>
        <w:ind w:left="2127" w:hanging="567"/>
        <w:rPr>
          <w:rFonts w:eastAsia="Calibri" w:cs="Times New Roman"/>
          <w:szCs w:val="20"/>
          <w:lang w:val="en-IE" w:eastAsia="x-none"/>
        </w:rPr>
      </w:pPr>
      <w:r w:rsidRPr="00816E3E">
        <w:rPr>
          <w:rFonts w:eastAsia="Calibri" w:cs="Times New Roman"/>
          <w:szCs w:val="20"/>
          <w:lang w:eastAsia="x-none"/>
        </w:rPr>
        <w:t>Promotion of the national logo for organic production in order to increase consumer awareness of the use of organic products, as well as the preparation of comparative analysis of the economic, environmental and social benefits of the population using organic products</w:t>
      </w:r>
      <w:r w:rsidR="00F710E2">
        <w:rPr>
          <w:rFonts w:eastAsia="Calibri" w:cs="Times New Roman"/>
          <w:szCs w:val="20"/>
          <w:lang w:eastAsia="x-none"/>
        </w:rPr>
        <w:t>.</w:t>
      </w:r>
    </w:p>
    <w:p w14:paraId="6DA0367D" w14:textId="3AF4ABDD" w:rsidR="00816E3E" w:rsidRPr="00CA22CD" w:rsidRDefault="00816E3E" w:rsidP="00CA22CD">
      <w:pPr>
        <w:numPr>
          <w:ilvl w:val="2"/>
          <w:numId w:val="24"/>
        </w:numPr>
        <w:spacing w:before="120"/>
        <w:ind w:left="2127" w:hanging="567"/>
        <w:rPr>
          <w:rFonts w:eastAsia="Calibri" w:cs="Times New Roman"/>
          <w:szCs w:val="20"/>
          <w:lang w:val="en-IE" w:eastAsia="x-none"/>
        </w:rPr>
      </w:pPr>
      <w:r w:rsidRPr="00816E3E">
        <w:rPr>
          <w:rFonts w:eastAsia="Calibri" w:cs="Times New Roman"/>
          <w:szCs w:val="20"/>
          <w:lang w:val="en-IE" w:eastAsia="x-none"/>
        </w:rPr>
        <w:t xml:space="preserve">Capacity building of organic farmers at local and national levels on implementation of new </w:t>
      </w:r>
      <w:r w:rsidR="00177D88" w:rsidRPr="00816E3E">
        <w:rPr>
          <w:rFonts w:eastAsia="Calibri" w:cs="Times New Roman"/>
          <w:szCs w:val="20"/>
          <w:lang w:val="en-IE" w:eastAsia="x-none"/>
        </w:rPr>
        <w:t>rules according</w:t>
      </w:r>
      <w:r w:rsidRPr="00816E3E">
        <w:rPr>
          <w:rFonts w:eastAsia="Calibri" w:cs="Times New Roman"/>
          <w:szCs w:val="20"/>
          <w:lang w:val="en-IE" w:eastAsia="x-none"/>
        </w:rPr>
        <w:t xml:space="preserve"> </w:t>
      </w:r>
      <w:r w:rsidR="007A50DA">
        <w:rPr>
          <w:rFonts w:eastAsia="Calibri" w:cs="Times New Roman"/>
          <w:szCs w:val="20"/>
          <w:lang w:val="en-IE" w:eastAsia="x-none"/>
        </w:rPr>
        <w:t xml:space="preserve">to the </w:t>
      </w:r>
      <w:r w:rsidRPr="00816E3E">
        <w:rPr>
          <w:rFonts w:eastAsia="Calibri" w:cs="Times New Roman"/>
          <w:szCs w:val="20"/>
          <w:lang w:val="en-IE" w:eastAsia="x-none"/>
        </w:rPr>
        <w:t xml:space="preserve">new </w:t>
      </w:r>
      <w:r w:rsidR="007A50DA">
        <w:rPr>
          <w:rFonts w:eastAsia="Calibri" w:cs="Times New Roman"/>
          <w:szCs w:val="20"/>
          <w:lang w:val="en-IE" w:eastAsia="x-none"/>
        </w:rPr>
        <w:t>L</w:t>
      </w:r>
      <w:r w:rsidRPr="00816E3E">
        <w:rPr>
          <w:rFonts w:eastAsia="Calibri" w:cs="Times New Roman"/>
          <w:szCs w:val="20"/>
          <w:lang w:val="en-IE" w:eastAsia="x-none"/>
        </w:rPr>
        <w:t>aw o</w:t>
      </w:r>
      <w:r w:rsidR="001F1797">
        <w:rPr>
          <w:rFonts w:eastAsia="Calibri" w:cs="Times New Roman"/>
          <w:szCs w:val="20"/>
          <w:lang w:val="en-IE" w:eastAsia="x-none"/>
        </w:rPr>
        <w:t>n</w:t>
      </w:r>
      <w:r w:rsidRPr="00816E3E">
        <w:rPr>
          <w:rFonts w:eastAsia="Calibri" w:cs="Times New Roman"/>
          <w:szCs w:val="20"/>
          <w:lang w:val="en-IE" w:eastAsia="x-none"/>
        </w:rPr>
        <w:t xml:space="preserve"> organic agriculture production</w:t>
      </w:r>
      <w:r w:rsidR="000F1636">
        <w:rPr>
          <w:rFonts w:eastAsia="Calibri" w:cs="Times New Roman"/>
          <w:szCs w:val="20"/>
          <w:lang w:val="en-IE" w:eastAsia="x-none"/>
        </w:rPr>
        <w:t xml:space="preserve"> as well as on</w:t>
      </w:r>
      <w:r w:rsidR="000F1636" w:rsidRPr="000F1636">
        <w:rPr>
          <w:rFonts w:eastAsia="Calibri" w:cs="Times New Roman"/>
          <w:szCs w:val="20"/>
          <w:lang w:eastAsia="x-none"/>
        </w:rPr>
        <w:t xml:space="preserve"> organi</w:t>
      </w:r>
      <w:r w:rsidR="000F1636">
        <w:rPr>
          <w:rFonts w:eastAsia="Calibri" w:cs="Times New Roman"/>
          <w:szCs w:val="20"/>
          <w:lang w:eastAsia="x-none"/>
        </w:rPr>
        <w:t>s</w:t>
      </w:r>
      <w:r w:rsidR="000F1636" w:rsidRPr="000F1636">
        <w:rPr>
          <w:rFonts w:eastAsia="Calibri" w:cs="Times New Roman"/>
          <w:szCs w:val="20"/>
          <w:lang w:eastAsia="x-none"/>
        </w:rPr>
        <w:t>ing organic farmers in a "producer organization" as a tool for increasing the market offer in the overall food sector.</w:t>
      </w:r>
    </w:p>
    <w:p w14:paraId="6A9A04C5" w14:textId="77777777" w:rsidR="00246684" w:rsidRDefault="00246684" w:rsidP="00CA22CD">
      <w:pPr>
        <w:numPr>
          <w:ilvl w:val="2"/>
          <w:numId w:val="24"/>
        </w:numPr>
        <w:spacing w:before="120"/>
        <w:ind w:left="2127" w:hanging="567"/>
        <w:rPr>
          <w:rFonts w:eastAsia="Calibri" w:cs="Times New Roman"/>
          <w:szCs w:val="20"/>
          <w:lang w:eastAsia="x-none"/>
        </w:rPr>
      </w:pPr>
      <w:r w:rsidRPr="00C73AB6">
        <w:rPr>
          <w:rFonts w:eastAsia="Calibri" w:cs="Times New Roman"/>
          <w:szCs w:val="20"/>
          <w:lang w:eastAsia="x-none"/>
        </w:rPr>
        <w:t>Upgrading IT software system</w:t>
      </w:r>
      <w:r>
        <w:rPr>
          <w:rFonts w:eastAsia="Calibri" w:cs="Times New Roman"/>
          <w:szCs w:val="20"/>
          <w:lang w:eastAsia="x-none"/>
        </w:rPr>
        <w:t xml:space="preserve"> </w:t>
      </w:r>
      <w:r w:rsidRPr="00816E3E">
        <w:rPr>
          <w:rFonts w:eastAsia="Calibri" w:cs="Times New Roman"/>
          <w:szCs w:val="20"/>
          <w:lang w:eastAsia="x-none"/>
        </w:rPr>
        <w:t xml:space="preserve">for monitoring and </w:t>
      </w:r>
      <w:r>
        <w:rPr>
          <w:rFonts w:eastAsia="Calibri" w:cs="Times New Roman"/>
          <w:szCs w:val="20"/>
          <w:lang w:eastAsia="x-none"/>
        </w:rPr>
        <w:t xml:space="preserve">inspection controls of organic farmers and training of all </w:t>
      </w:r>
      <w:r w:rsidRPr="00EE37F3">
        <w:rPr>
          <w:rFonts w:eastAsia="Calibri" w:cs="Times New Roman"/>
          <w:szCs w:val="20"/>
          <w:lang w:eastAsia="x-none"/>
        </w:rPr>
        <w:t>beneficiaries in organic control system</w:t>
      </w:r>
      <w:r>
        <w:rPr>
          <w:rFonts w:eastAsia="Calibri" w:cs="Times New Roman"/>
          <w:szCs w:val="20"/>
          <w:lang w:eastAsia="x-none"/>
        </w:rPr>
        <w:t xml:space="preserve"> </w:t>
      </w:r>
      <w:r w:rsidRPr="00EE37F3">
        <w:rPr>
          <w:rFonts w:eastAsia="Calibri" w:cs="Times New Roman"/>
          <w:szCs w:val="20"/>
          <w:lang w:eastAsia="x-none"/>
        </w:rPr>
        <w:t>(control/</w:t>
      </w:r>
      <w:r>
        <w:rPr>
          <w:rFonts w:eastAsia="Calibri" w:cs="Times New Roman"/>
          <w:szCs w:val="20"/>
          <w:lang w:eastAsia="x-none"/>
        </w:rPr>
        <w:t>c</w:t>
      </w:r>
      <w:r w:rsidRPr="00EE37F3">
        <w:rPr>
          <w:rFonts w:eastAsia="Calibri" w:cs="Times New Roman"/>
          <w:szCs w:val="20"/>
          <w:lang w:eastAsia="x-none"/>
        </w:rPr>
        <w:t>ertification body, inspectorate and administration)</w:t>
      </w:r>
      <w:r>
        <w:rPr>
          <w:rFonts w:eastAsia="Calibri" w:cs="Times New Roman"/>
          <w:szCs w:val="20"/>
          <w:lang w:eastAsia="x-none"/>
        </w:rPr>
        <w:t>.</w:t>
      </w:r>
    </w:p>
    <w:p w14:paraId="27367099" w14:textId="354D93E7" w:rsidR="00246684" w:rsidRPr="00CA22CD" w:rsidRDefault="00246684" w:rsidP="00CA22CD">
      <w:pPr>
        <w:numPr>
          <w:ilvl w:val="2"/>
          <w:numId w:val="24"/>
        </w:numPr>
        <w:spacing w:before="120"/>
        <w:ind w:left="2127" w:hanging="567"/>
        <w:rPr>
          <w:rFonts w:eastAsia="Calibri" w:cs="Times New Roman"/>
          <w:szCs w:val="20"/>
          <w:lang w:eastAsia="x-none"/>
        </w:rPr>
      </w:pPr>
      <w:r w:rsidRPr="00CA22CD">
        <w:rPr>
          <w:rFonts w:eastAsia="Calibri" w:cs="Arial"/>
          <w:bCs/>
        </w:rPr>
        <w:lastRenderedPageBreak/>
        <w:t xml:space="preserve">Renewal of the IT equipment for </w:t>
      </w:r>
      <w:r w:rsidRPr="00CA22CD">
        <w:rPr>
          <w:rFonts w:eastAsia="Calibri" w:cs="Arial"/>
          <w:bCs/>
          <w:lang w:val="en-IE"/>
        </w:rPr>
        <w:t>AFSARD</w:t>
      </w:r>
      <w:r w:rsidRPr="00CA22CD">
        <w:rPr>
          <w:rFonts w:eastAsia="Calibri" w:cs="Arial"/>
          <w:bCs/>
        </w:rPr>
        <w:t xml:space="preserve"> Sector for control for implementation of on-the spot checks</w:t>
      </w:r>
      <w:r w:rsidR="00BC065B" w:rsidRPr="00CA22CD">
        <w:rPr>
          <w:rFonts w:eastAsia="Calibri" w:cs="Arial"/>
          <w:bCs/>
        </w:rPr>
        <w:t xml:space="preserve"> this</w:t>
      </w:r>
      <w:r w:rsidR="00BC065B">
        <w:rPr>
          <w:rFonts w:eastAsia="Calibri" w:cs="Arial"/>
          <w:bCs/>
        </w:rPr>
        <w:t xml:space="preserve"> will ensure better implementation of the EU funds in the sector and improve the control standards of the management of the EU assistance.</w:t>
      </w:r>
    </w:p>
    <w:p w14:paraId="053030AD" w14:textId="77777777" w:rsidR="00BC065B" w:rsidRPr="009510D8" w:rsidRDefault="00BC065B" w:rsidP="00BC065B">
      <w:pPr>
        <w:numPr>
          <w:ilvl w:val="2"/>
          <w:numId w:val="24"/>
        </w:numPr>
        <w:spacing w:before="120"/>
        <w:ind w:left="2127" w:hanging="567"/>
        <w:rPr>
          <w:rFonts w:eastAsia="Calibri" w:cs="Times New Roman"/>
          <w:iCs/>
          <w:szCs w:val="20"/>
          <w:lang w:eastAsia="x-none"/>
        </w:rPr>
      </w:pPr>
      <w:r w:rsidRPr="009510D8">
        <w:rPr>
          <w:rFonts w:eastAsia="Calibri" w:cs="Times New Roman"/>
          <w:iCs/>
          <w:szCs w:val="20"/>
          <w:lang w:eastAsia="x-none"/>
        </w:rPr>
        <w:t xml:space="preserve">Assist the alignment of legal and institutional framework linked to </w:t>
      </w:r>
      <w:r w:rsidRPr="009510D8">
        <w:rPr>
          <w:rFonts w:eastAsia="Calibri" w:cs="Times New Roman"/>
          <w:b/>
          <w:iCs/>
          <w:szCs w:val="20"/>
          <w:lang w:eastAsia="x-none"/>
        </w:rPr>
        <w:t>Chapter 11</w:t>
      </w:r>
      <w:r w:rsidRPr="009510D8">
        <w:rPr>
          <w:b/>
          <w:bCs/>
        </w:rPr>
        <w:t xml:space="preserve"> </w:t>
      </w:r>
      <w:r w:rsidRPr="009510D8">
        <w:rPr>
          <w:rFonts w:eastAsia="Calibri" w:cs="Times New Roman"/>
          <w:b/>
          <w:bCs/>
          <w:iCs/>
          <w:szCs w:val="20"/>
          <w:lang w:eastAsia="x-none"/>
        </w:rPr>
        <w:t>Agriculture and rural development</w:t>
      </w:r>
      <w:r w:rsidRPr="009510D8">
        <w:rPr>
          <w:rFonts w:eastAsia="Calibri" w:cs="Times New Roman"/>
          <w:iCs/>
          <w:szCs w:val="20"/>
          <w:lang w:eastAsia="x-none"/>
        </w:rPr>
        <w:t xml:space="preserve"> following the screening process and during the start</w:t>
      </w:r>
      <w:r>
        <w:rPr>
          <w:rFonts w:eastAsia="Calibri" w:cs="Times New Roman"/>
          <w:iCs/>
          <w:szCs w:val="20"/>
          <w:lang w:eastAsia="x-none"/>
        </w:rPr>
        <w:t xml:space="preserve">ing </w:t>
      </w:r>
      <w:r w:rsidRPr="009510D8">
        <w:rPr>
          <w:rFonts w:eastAsia="Calibri" w:cs="Times New Roman"/>
          <w:iCs/>
          <w:szCs w:val="20"/>
          <w:lang w:eastAsia="x-none"/>
        </w:rPr>
        <w:t>of the negotiations.</w:t>
      </w:r>
      <w:r>
        <w:rPr>
          <w:rFonts w:eastAsia="Calibri" w:cs="Times New Roman"/>
          <w:iCs/>
          <w:szCs w:val="20"/>
          <w:lang w:eastAsia="x-none"/>
        </w:rPr>
        <w:t xml:space="preserve"> This may include preparation or review of legislation and functional analysis of the bodies involved.</w:t>
      </w:r>
    </w:p>
    <w:p w14:paraId="24C81C3D" w14:textId="1EA7B862" w:rsidR="00BC065B" w:rsidRPr="009510D8" w:rsidRDefault="00BC065B" w:rsidP="00BC065B">
      <w:pPr>
        <w:numPr>
          <w:ilvl w:val="2"/>
          <w:numId w:val="24"/>
        </w:numPr>
        <w:spacing w:before="120"/>
        <w:ind w:left="2127" w:hanging="567"/>
        <w:rPr>
          <w:rFonts w:eastAsia="Calibri" w:cs="Times New Roman"/>
          <w:iCs/>
          <w:szCs w:val="20"/>
          <w:lang w:eastAsia="x-none"/>
        </w:rPr>
      </w:pPr>
      <w:r w:rsidRPr="009510D8">
        <w:rPr>
          <w:rFonts w:eastAsia="Calibri" w:cs="Times New Roman"/>
          <w:iCs/>
          <w:szCs w:val="20"/>
          <w:lang w:eastAsia="x-none"/>
        </w:rPr>
        <w:t xml:space="preserve">Provide with capacity building to </w:t>
      </w:r>
      <w:r>
        <w:rPr>
          <w:rFonts w:eastAsia="Calibri" w:cs="Times New Roman"/>
          <w:iCs/>
          <w:szCs w:val="20"/>
          <w:lang w:eastAsia="x-none"/>
        </w:rPr>
        <w:t>the</w:t>
      </w:r>
      <w:r w:rsidRPr="009510D8">
        <w:rPr>
          <w:rFonts w:eastAsia="Calibri" w:cs="Times New Roman"/>
          <w:iCs/>
          <w:szCs w:val="20"/>
          <w:lang w:eastAsia="x-none"/>
        </w:rPr>
        <w:t xml:space="preserve"> </w:t>
      </w:r>
      <w:r>
        <w:rPr>
          <w:rFonts w:eastAsia="Calibri" w:cs="Times New Roman"/>
          <w:iCs/>
          <w:szCs w:val="20"/>
          <w:lang w:eastAsia="x-none"/>
        </w:rPr>
        <w:t xml:space="preserve">staff of Ministry of Agriculture, Forestry and Water Economy and to the subordinated bodies to address any challenges during the preparation for starting negotiations. This will assist the above authorities </w:t>
      </w:r>
      <w:r>
        <w:rPr>
          <w:sz w:val="23"/>
          <w:szCs w:val="23"/>
        </w:rPr>
        <w:t>to deliver on the sectoral structural reforms, align the sector systems and standards with the EU ones and ensure that the invested EU and national funds in the Agriculture sector will create value added and improve the every-day life of the farmers.</w:t>
      </w:r>
    </w:p>
    <w:p w14:paraId="2BF01D43" w14:textId="77777777" w:rsidR="00BC065B" w:rsidRPr="009510D8" w:rsidRDefault="00BC065B" w:rsidP="00BC065B">
      <w:pPr>
        <w:numPr>
          <w:ilvl w:val="2"/>
          <w:numId w:val="24"/>
        </w:numPr>
        <w:spacing w:before="120"/>
        <w:ind w:left="2127" w:hanging="567"/>
        <w:rPr>
          <w:rFonts w:eastAsia="Calibri" w:cs="Times New Roman"/>
          <w:iCs/>
          <w:szCs w:val="20"/>
          <w:lang w:eastAsia="x-none"/>
        </w:rPr>
      </w:pPr>
      <w:r w:rsidRPr="009510D8">
        <w:rPr>
          <w:rFonts w:eastAsia="Calibri" w:cs="Times New Roman"/>
          <w:iCs/>
          <w:szCs w:val="20"/>
          <w:lang w:eastAsia="x-none"/>
        </w:rPr>
        <w:t>Provide with ad hoc assistance and expertise on any issues related to the approximation of the sector of Agriculture and Rural Development to the EU acquis</w:t>
      </w:r>
      <w:r>
        <w:rPr>
          <w:rFonts w:eastAsia="Calibri" w:cs="Times New Roman"/>
          <w:iCs/>
          <w:szCs w:val="20"/>
          <w:lang w:eastAsia="x-none"/>
        </w:rPr>
        <w:t xml:space="preserve">. This may include preparation of studies, sector assessments, strategic planning, reporting etc. </w:t>
      </w:r>
    </w:p>
    <w:p w14:paraId="267E4250" w14:textId="6FB7260A" w:rsidR="00924B26" w:rsidRPr="00CA22CD" w:rsidRDefault="00A65AE5" w:rsidP="00CA22CD">
      <w:pPr>
        <w:pStyle w:val="ListParagraph"/>
        <w:spacing w:before="120"/>
        <w:ind w:left="1134"/>
        <w:rPr>
          <w:rFonts w:eastAsia="Calibri" w:cs="Times New Roman"/>
          <w:b/>
          <w:szCs w:val="20"/>
          <w:lang w:eastAsia="x-none"/>
        </w:rPr>
      </w:pPr>
      <w:r w:rsidRPr="00CA22CD">
        <w:rPr>
          <w:rFonts w:eastAsia="Calibri" w:cs="Times New Roman"/>
          <w:b/>
          <w:szCs w:val="20"/>
          <w:lang w:eastAsia="x-none"/>
        </w:rPr>
        <w:t xml:space="preserve">(2). </w:t>
      </w:r>
      <w:r w:rsidR="00B23017" w:rsidRPr="00CA22CD">
        <w:rPr>
          <w:rFonts w:eastAsia="Calibri" w:cs="Times New Roman"/>
          <w:b/>
          <w:szCs w:val="20"/>
          <w:lang w:eastAsia="x-none"/>
        </w:rPr>
        <w:t xml:space="preserve">Strengthening </w:t>
      </w:r>
      <w:r w:rsidR="00924B26" w:rsidRPr="00CA22CD">
        <w:rPr>
          <w:rFonts w:eastAsia="Calibri" w:cs="Times New Roman"/>
          <w:b/>
          <w:szCs w:val="20"/>
          <w:lang w:eastAsia="x-none"/>
        </w:rPr>
        <w:t>the GI/PGI System</w:t>
      </w:r>
      <w:r w:rsidR="00267725">
        <w:rPr>
          <w:rFonts w:eastAsia="Calibri" w:cs="Times New Roman"/>
          <w:b/>
          <w:szCs w:val="20"/>
          <w:lang w:eastAsia="x-none"/>
        </w:rPr>
        <w:t xml:space="preserve"> </w:t>
      </w:r>
      <w:r w:rsidR="00267725" w:rsidRPr="00CA22CD">
        <w:rPr>
          <w:rFonts w:eastAsia="Calibri" w:cs="Times New Roman"/>
          <w:szCs w:val="20"/>
          <w:lang w:eastAsia="x-none"/>
        </w:rPr>
        <w:t>by</w:t>
      </w:r>
      <w:r w:rsidR="00924B26" w:rsidRPr="00CA22CD">
        <w:rPr>
          <w:rFonts w:eastAsia="Calibri" w:cs="Times New Roman"/>
          <w:b/>
          <w:szCs w:val="20"/>
          <w:lang w:eastAsia="x-none"/>
        </w:rPr>
        <w:t>:</w:t>
      </w:r>
    </w:p>
    <w:p w14:paraId="6EE754E6" w14:textId="6D5B827F" w:rsidR="003C684F" w:rsidRDefault="003C684F" w:rsidP="00CA22CD">
      <w:pPr>
        <w:pStyle w:val="ListParagraph"/>
        <w:numPr>
          <w:ilvl w:val="2"/>
          <w:numId w:val="23"/>
        </w:numPr>
        <w:spacing w:before="120"/>
        <w:ind w:left="2127" w:hanging="567"/>
        <w:contextualSpacing w:val="0"/>
      </w:pPr>
      <w:r w:rsidRPr="00BD3309">
        <w:rPr>
          <w:rFonts w:cs="Arial"/>
          <w:color w:val="000000"/>
        </w:rPr>
        <w:t>Further alignment</w:t>
      </w:r>
      <w:r w:rsidRPr="00BD3309">
        <w:t xml:space="preserve"> of the </w:t>
      </w:r>
      <w:r>
        <w:t>national PDO</w:t>
      </w:r>
      <w:r w:rsidRPr="00BD3309">
        <w:t xml:space="preserve">/PGI </w:t>
      </w:r>
      <w:r>
        <w:t>legislation</w:t>
      </w:r>
      <w:r w:rsidRPr="00BD3309">
        <w:t xml:space="preserve"> for spirits with the EU</w:t>
      </w:r>
      <w:r w:rsidRPr="00BD3309">
        <w:rPr>
          <w:i/>
          <w:iCs/>
        </w:rPr>
        <w:t xml:space="preserve"> acquis</w:t>
      </w:r>
      <w:r w:rsidRPr="00BD3309">
        <w:t xml:space="preserve"> on the geographical indication. </w:t>
      </w:r>
    </w:p>
    <w:p w14:paraId="4E323AAC" w14:textId="3FF253E0" w:rsidR="005F38C2" w:rsidRPr="003C684F" w:rsidRDefault="003C684F" w:rsidP="00CA22CD">
      <w:pPr>
        <w:pStyle w:val="ListParagraph"/>
        <w:spacing w:before="120"/>
        <w:ind w:left="2127"/>
        <w:contextualSpacing w:val="0"/>
      </w:pPr>
      <w:r>
        <w:t xml:space="preserve">Raising awareness of producers and processors of </w:t>
      </w:r>
      <w:r w:rsidR="0081212B">
        <w:t xml:space="preserve">all </w:t>
      </w:r>
      <w:r>
        <w:t>GI products on the GI protections, benefits and impact on rural economy</w:t>
      </w:r>
      <w:r w:rsidR="0081212B">
        <w:t>.</w:t>
      </w:r>
      <w:r>
        <w:t xml:space="preserve"> </w:t>
      </w:r>
    </w:p>
    <w:p w14:paraId="503CA672" w14:textId="03336DE1" w:rsidR="00924B26" w:rsidRPr="00924B26" w:rsidRDefault="00A65AE5" w:rsidP="00CA22CD">
      <w:pPr>
        <w:pStyle w:val="Heading1"/>
        <w:numPr>
          <w:ilvl w:val="0"/>
          <w:numId w:val="0"/>
        </w:numPr>
        <w:spacing w:after="0"/>
        <w:ind w:left="1134"/>
      </w:pPr>
      <w:r>
        <w:rPr>
          <w:bCs/>
        </w:rPr>
        <w:t>(3)</w:t>
      </w:r>
      <w:r w:rsidR="00267725">
        <w:rPr>
          <w:bCs/>
        </w:rPr>
        <w:t xml:space="preserve">. </w:t>
      </w:r>
      <w:r w:rsidR="00B23017">
        <w:rPr>
          <w:bCs/>
        </w:rPr>
        <w:t>Enhancing</w:t>
      </w:r>
      <w:r w:rsidR="00B23017">
        <w:t xml:space="preserve"> t</w:t>
      </w:r>
      <w:r w:rsidR="00924B26" w:rsidRPr="00924B26">
        <w:t xml:space="preserve">he Veterinary system </w:t>
      </w:r>
      <w:r w:rsidR="00267725" w:rsidRPr="00CA22CD">
        <w:rPr>
          <w:b w:val="0"/>
        </w:rPr>
        <w:t>by</w:t>
      </w:r>
    </w:p>
    <w:p w14:paraId="04C82D5F" w14:textId="77777777" w:rsidR="00924B26" w:rsidRPr="00924B26" w:rsidRDefault="00924B26" w:rsidP="00CA22CD">
      <w:pPr>
        <w:numPr>
          <w:ilvl w:val="1"/>
          <w:numId w:val="15"/>
        </w:numPr>
        <w:spacing w:before="120"/>
        <w:ind w:left="2268"/>
        <w:rPr>
          <w:rFonts w:eastAsia="Calibri" w:cs="Times New Roman"/>
          <w:vanish/>
          <w:szCs w:val="20"/>
          <w:lang w:eastAsia="x-none"/>
        </w:rPr>
      </w:pPr>
    </w:p>
    <w:p w14:paraId="0E8135BC" w14:textId="77777777" w:rsidR="00924B26" w:rsidRPr="00924B26" w:rsidRDefault="00924B26" w:rsidP="00CA22CD">
      <w:pPr>
        <w:numPr>
          <w:ilvl w:val="1"/>
          <w:numId w:val="15"/>
        </w:numPr>
        <w:spacing w:before="120"/>
        <w:ind w:left="1920"/>
        <w:rPr>
          <w:rFonts w:eastAsia="Calibri" w:cs="Times New Roman"/>
          <w:vanish/>
          <w:szCs w:val="20"/>
          <w:lang w:eastAsia="x-none"/>
        </w:rPr>
      </w:pPr>
    </w:p>
    <w:p w14:paraId="0DF724D2" w14:textId="77777777" w:rsidR="00924B26" w:rsidRPr="00924B26" w:rsidRDefault="00924B26" w:rsidP="00CA22CD">
      <w:pPr>
        <w:numPr>
          <w:ilvl w:val="0"/>
          <w:numId w:val="17"/>
        </w:numPr>
        <w:spacing w:before="120"/>
        <w:ind w:left="1800"/>
        <w:rPr>
          <w:rFonts w:eastAsia="Calibri" w:cs="Times New Roman"/>
          <w:bCs/>
          <w:vanish/>
          <w:color w:val="000000"/>
          <w:szCs w:val="20"/>
          <w:lang w:val="x-none" w:eastAsia="x-none"/>
        </w:rPr>
      </w:pPr>
    </w:p>
    <w:p w14:paraId="5D4C569E" w14:textId="77777777" w:rsidR="00924B26" w:rsidRPr="00924B26" w:rsidRDefault="00924B26" w:rsidP="00CA22CD">
      <w:pPr>
        <w:numPr>
          <w:ilvl w:val="0"/>
          <w:numId w:val="17"/>
        </w:numPr>
        <w:spacing w:before="120"/>
        <w:ind w:left="1800"/>
        <w:rPr>
          <w:rFonts w:eastAsia="Calibri" w:cs="Times New Roman"/>
          <w:bCs/>
          <w:vanish/>
          <w:color w:val="000000"/>
          <w:szCs w:val="20"/>
          <w:lang w:val="x-none" w:eastAsia="x-none"/>
        </w:rPr>
      </w:pPr>
    </w:p>
    <w:p w14:paraId="54A3CC6E" w14:textId="77777777" w:rsidR="00924B26" w:rsidRPr="00924B26" w:rsidRDefault="00924B26" w:rsidP="00CA22CD">
      <w:pPr>
        <w:numPr>
          <w:ilvl w:val="1"/>
          <w:numId w:val="17"/>
        </w:numPr>
        <w:spacing w:before="120"/>
        <w:ind w:left="2232"/>
        <w:rPr>
          <w:rFonts w:eastAsia="Calibri" w:cs="Times New Roman"/>
          <w:bCs/>
          <w:vanish/>
          <w:color w:val="000000"/>
          <w:szCs w:val="20"/>
          <w:lang w:val="x-none" w:eastAsia="x-none"/>
        </w:rPr>
      </w:pPr>
    </w:p>
    <w:p w14:paraId="2AE67A6B" w14:textId="77777777" w:rsidR="00924B26" w:rsidRPr="00924B26" w:rsidRDefault="00924B26" w:rsidP="00CA22CD">
      <w:pPr>
        <w:numPr>
          <w:ilvl w:val="1"/>
          <w:numId w:val="17"/>
        </w:numPr>
        <w:spacing w:before="120"/>
        <w:ind w:left="2232"/>
        <w:rPr>
          <w:rFonts w:eastAsia="Calibri" w:cs="Times New Roman"/>
          <w:bCs/>
          <w:vanish/>
          <w:color w:val="000000"/>
          <w:szCs w:val="20"/>
          <w:lang w:val="x-none" w:eastAsia="x-none"/>
        </w:rPr>
      </w:pPr>
    </w:p>
    <w:p w14:paraId="66F32845" w14:textId="77777777" w:rsidR="00924B26" w:rsidRPr="00924B26" w:rsidRDefault="00924B26" w:rsidP="00CA22CD">
      <w:pPr>
        <w:numPr>
          <w:ilvl w:val="0"/>
          <w:numId w:val="18"/>
        </w:numPr>
        <w:spacing w:before="120"/>
        <w:ind w:left="1800"/>
        <w:rPr>
          <w:rFonts w:eastAsia="Calibri" w:cs="Times New Roman"/>
          <w:bCs/>
          <w:vanish/>
          <w:color w:val="000000"/>
          <w:szCs w:val="20"/>
          <w:lang w:val="x-none" w:eastAsia="x-none"/>
        </w:rPr>
      </w:pPr>
    </w:p>
    <w:p w14:paraId="195CD143" w14:textId="77777777" w:rsidR="00924B26" w:rsidRPr="00924B26" w:rsidRDefault="00924B26" w:rsidP="00CA22CD">
      <w:pPr>
        <w:numPr>
          <w:ilvl w:val="0"/>
          <w:numId w:val="18"/>
        </w:numPr>
        <w:spacing w:before="120"/>
        <w:ind w:left="1800"/>
        <w:rPr>
          <w:rFonts w:eastAsia="Calibri" w:cs="Times New Roman"/>
          <w:bCs/>
          <w:vanish/>
          <w:color w:val="000000"/>
          <w:szCs w:val="20"/>
          <w:lang w:val="x-none" w:eastAsia="x-none"/>
        </w:rPr>
      </w:pPr>
    </w:p>
    <w:p w14:paraId="18D4A3ED" w14:textId="77777777" w:rsidR="00924B26" w:rsidRPr="00924B26" w:rsidRDefault="00924B26" w:rsidP="00CA22CD">
      <w:pPr>
        <w:numPr>
          <w:ilvl w:val="1"/>
          <w:numId w:val="18"/>
        </w:numPr>
        <w:spacing w:before="120"/>
        <w:ind w:left="2232"/>
        <w:rPr>
          <w:rFonts w:eastAsia="Calibri" w:cs="Times New Roman"/>
          <w:bCs/>
          <w:vanish/>
          <w:color w:val="000000"/>
          <w:szCs w:val="20"/>
          <w:lang w:val="x-none" w:eastAsia="x-none"/>
        </w:rPr>
      </w:pPr>
    </w:p>
    <w:p w14:paraId="30A1717F" w14:textId="77777777" w:rsidR="00924B26" w:rsidRPr="00924B26" w:rsidRDefault="00924B26" w:rsidP="00CA22CD">
      <w:pPr>
        <w:numPr>
          <w:ilvl w:val="1"/>
          <w:numId w:val="18"/>
        </w:numPr>
        <w:spacing w:before="120"/>
        <w:ind w:left="2232"/>
        <w:rPr>
          <w:rFonts w:eastAsia="Calibri" w:cs="Times New Roman"/>
          <w:bCs/>
          <w:vanish/>
          <w:color w:val="000000"/>
          <w:szCs w:val="20"/>
          <w:lang w:val="x-none" w:eastAsia="x-none"/>
        </w:rPr>
      </w:pPr>
    </w:p>
    <w:p w14:paraId="5E9E0707" w14:textId="56CAA67E" w:rsidR="00924B26" w:rsidRPr="00AA05FA" w:rsidRDefault="00924B26" w:rsidP="00CA22CD">
      <w:pPr>
        <w:pStyle w:val="ListParagraph"/>
        <w:numPr>
          <w:ilvl w:val="0"/>
          <w:numId w:val="22"/>
        </w:numPr>
        <w:spacing w:before="120"/>
        <w:ind w:left="2291"/>
        <w:contextualSpacing w:val="0"/>
        <w:rPr>
          <w:rFonts w:eastAsia="Calibri" w:cs="Arial"/>
          <w:bCs/>
          <w:color w:val="000000"/>
        </w:rPr>
      </w:pPr>
      <w:r w:rsidRPr="00AA05FA">
        <w:rPr>
          <w:rFonts w:eastAsia="Calibri" w:cs="Times New Roman"/>
          <w:bCs/>
          <w:color w:val="000000"/>
          <w:szCs w:val="20"/>
          <w:lang w:eastAsia="x-none"/>
        </w:rPr>
        <w:t>Further aligning the national legislation with the EU acquis on veterinar</w:t>
      </w:r>
      <w:r w:rsidR="00BB621D">
        <w:rPr>
          <w:rFonts w:eastAsia="Calibri" w:cs="Times New Roman"/>
          <w:bCs/>
          <w:color w:val="000000"/>
          <w:szCs w:val="20"/>
          <w:lang w:eastAsia="x-none"/>
        </w:rPr>
        <w:t xml:space="preserve">y, </w:t>
      </w:r>
      <w:r w:rsidR="0060253D" w:rsidRPr="00141E29">
        <w:rPr>
          <w:rFonts w:eastAsia="Calibri" w:cs="Arial"/>
          <w:bCs/>
          <w:color w:val="000000"/>
        </w:rPr>
        <w:t>environmentally friendly food production</w:t>
      </w:r>
      <w:r w:rsidR="0060253D">
        <w:rPr>
          <w:rFonts w:eastAsia="Calibri" w:cs="Arial"/>
          <w:bCs/>
          <w:color w:val="000000"/>
        </w:rPr>
        <w:t>,</w:t>
      </w:r>
      <w:r w:rsidR="0060253D" w:rsidRPr="00AA05FA" w:rsidDel="00BB621D">
        <w:rPr>
          <w:rFonts w:eastAsia="Calibri" w:cs="Times New Roman"/>
          <w:bCs/>
          <w:color w:val="000000"/>
          <w:szCs w:val="20"/>
          <w:lang w:eastAsia="x-none"/>
        </w:rPr>
        <w:t xml:space="preserve"> </w:t>
      </w:r>
      <w:r w:rsidRPr="004C5CF8">
        <w:rPr>
          <w:rFonts w:eastAsia="Calibri" w:cs="Arial"/>
          <w:bCs/>
          <w:color w:val="000000"/>
        </w:rPr>
        <w:t xml:space="preserve">animal health </w:t>
      </w:r>
      <w:r w:rsidRPr="00761107">
        <w:rPr>
          <w:rFonts w:eastAsia="Calibri" w:cs="Arial"/>
          <w:bCs/>
          <w:color w:val="000000"/>
        </w:rPr>
        <w:t>and official control</w:t>
      </w:r>
      <w:r w:rsidR="0060253D">
        <w:rPr>
          <w:rFonts w:eastAsia="Calibri" w:cs="Arial"/>
          <w:bCs/>
          <w:color w:val="000000"/>
        </w:rPr>
        <w:t>s</w:t>
      </w:r>
      <w:r w:rsidRPr="00AA05FA">
        <w:rPr>
          <w:rFonts w:eastAsia="Calibri" w:cs="Arial"/>
          <w:bCs/>
          <w:color w:val="000000"/>
        </w:rPr>
        <w:t>.</w:t>
      </w:r>
    </w:p>
    <w:p w14:paraId="48BDC865" w14:textId="28809CEB" w:rsidR="00924B26" w:rsidRDefault="00644C6C" w:rsidP="00CA22CD">
      <w:pPr>
        <w:pStyle w:val="ListParagraph"/>
        <w:numPr>
          <w:ilvl w:val="0"/>
          <w:numId w:val="22"/>
        </w:numPr>
        <w:spacing w:before="120"/>
        <w:ind w:left="2291"/>
        <w:contextualSpacing w:val="0"/>
        <w:rPr>
          <w:rFonts w:eastAsia="Calibri" w:cs="Arial"/>
          <w:bCs/>
          <w:color w:val="000000"/>
        </w:rPr>
      </w:pPr>
      <w:r>
        <w:rPr>
          <w:rFonts w:eastAsia="Calibri" w:cs="Arial"/>
          <w:bCs/>
          <w:color w:val="000000"/>
        </w:rPr>
        <w:t xml:space="preserve">Development and implementation of </w:t>
      </w:r>
      <w:r w:rsidR="00924B26" w:rsidRPr="00924B26">
        <w:rPr>
          <w:rFonts w:eastAsia="Calibri" w:cs="Arial"/>
          <w:bCs/>
          <w:color w:val="000000"/>
        </w:rPr>
        <w:t xml:space="preserve">animal disease risk analysis, </w:t>
      </w:r>
      <w:r w:rsidR="0060253D">
        <w:rPr>
          <w:rFonts w:eastAsia="Calibri" w:cs="Arial"/>
          <w:bCs/>
          <w:color w:val="000000"/>
        </w:rPr>
        <w:t xml:space="preserve">strengthening the capacities for </w:t>
      </w:r>
      <w:r w:rsidR="00924B26" w:rsidRPr="00924B26">
        <w:rPr>
          <w:rFonts w:eastAsia="Calibri" w:cs="Arial"/>
          <w:bCs/>
          <w:color w:val="000000"/>
        </w:rPr>
        <w:t>early detection of animal diseases and emergency preparedness</w:t>
      </w:r>
      <w:r w:rsidR="0060253D">
        <w:rPr>
          <w:rFonts w:eastAsia="Calibri" w:cs="Arial"/>
          <w:bCs/>
          <w:color w:val="000000"/>
        </w:rPr>
        <w:t xml:space="preserve">, and putting in place of </w:t>
      </w:r>
      <w:r w:rsidR="007935F2">
        <w:rPr>
          <w:rFonts w:eastAsia="Calibri" w:cs="Arial"/>
          <w:bCs/>
          <w:color w:val="000000"/>
        </w:rPr>
        <w:t xml:space="preserve">integrated </w:t>
      </w:r>
      <w:r w:rsidR="0060253D">
        <w:rPr>
          <w:rFonts w:eastAsia="Calibri" w:cs="Arial"/>
          <w:bCs/>
          <w:color w:val="000000"/>
        </w:rPr>
        <w:t>IT solutions for monitoring</w:t>
      </w:r>
      <w:r w:rsidR="00924B26" w:rsidRPr="00924B26">
        <w:rPr>
          <w:rFonts w:eastAsia="Calibri" w:cs="Arial"/>
          <w:bCs/>
          <w:color w:val="000000"/>
        </w:rPr>
        <w:t xml:space="preserve"> animal health and food safety.</w:t>
      </w:r>
    </w:p>
    <w:p w14:paraId="219D1A6C" w14:textId="6910B5A4" w:rsidR="00155378" w:rsidRPr="00246684" w:rsidRDefault="00155378" w:rsidP="00CA22CD">
      <w:pPr>
        <w:pStyle w:val="ListParagraph"/>
        <w:numPr>
          <w:ilvl w:val="0"/>
          <w:numId w:val="22"/>
        </w:numPr>
        <w:spacing w:before="120"/>
        <w:ind w:left="2291"/>
        <w:contextualSpacing w:val="0"/>
        <w:rPr>
          <w:rFonts w:eastAsia="Calibri" w:cs="Arial"/>
          <w:bCs/>
          <w:color w:val="000000"/>
        </w:rPr>
      </w:pPr>
      <w:r w:rsidRPr="00246684">
        <w:rPr>
          <w:rFonts w:eastAsia="Calibri" w:cs="Arial"/>
          <w:bCs/>
          <w:color w:val="000000"/>
        </w:rPr>
        <w:t>Improving the effectiveness of the official controls through (a) capacity building measures and procedural improvements, (b). modernised equipment for performance of official controls and (c). digitalisation of the control routine and business management process.</w:t>
      </w:r>
    </w:p>
    <w:p w14:paraId="33BDB936" w14:textId="576A8984" w:rsidR="00924B26" w:rsidRPr="00CA22CD" w:rsidRDefault="00267725" w:rsidP="00CA22CD">
      <w:pPr>
        <w:tabs>
          <w:tab w:val="left" w:pos="63"/>
        </w:tabs>
        <w:spacing w:before="120"/>
        <w:ind w:left="1134"/>
        <w:rPr>
          <w:rFonts w:eastAsia="Calibri" w:cs="Arial"/>
          <w:b/>
          <w:bCs/>
          <w:color w:val="000000"/>
        </w:rPr>
      </w:pPr>
      <w:r w:rsidRPr="00CA22CD">
        <w:rPr>
          <w:rFonts w:eastAsia="Calibri" w:cs="Arial"/>
          <w:b/>
          <w:bCs/>
          <w:color w:val="000000"/>
        </w:rPr>
        <w:t xml:space="preserve">(4). Improving </w:t>
      </w:r>
      <w:r w:rsidR="00924B26" w:rsidRPr="00CA22CD">
        <w:rPr>
          <w:rFonts w:eastAsia="Calibri" w:cs="Arial"/>
          <w:b/>
          <w:bCs/>
          <w:color w:val="000000"/>
        </w:rPr>
        <w:t xml:space="preserve">the </w:t>
      </w:r>
      <w:r w:rsidR="00924B26" w:rsidRPr="00AA05FA">
        <w:rPr>
          <w:rFonts w:eastAsia="Calibri" w:cs="Arial"/>
          <w:b/>
          <w:color w:val="000000"/>
        </w:rPr>
        <w:t xml:space="preserve">Phytosanitary </w:t>
      </w:r>
      <w:r w:rsidRPr="00761107">
        <w:rPr>
          <w:rFonts w:eastAsia="Calibri" w:cs="Arial"/>
          <w:b/>
          <w:color w:val="000000"/>
        </w:rPr>
        <w:t>system</w:t>
      </w:r>
      <w:r w:rsidR="00155378">
        <w:rPr>
          <w:rFonts w:eastAsia="Calibri" w:cs="Arial"/>
          <w:b/>
          <w:color w:val="000000"/>
        </w:rPr>
        <w:t xml:space="preserve">, </w:t>
      </w:r>
      <w:r w:rsidR="00155378" w:rsidRPr="00CA22CD">
        <w:rPr>
          <w:rFonts w:eastAsia="Calibri" w:cs="Arial"/>
          <w:color w:val="000000"/>
        </w:rPr>
        <w:t>encompassing</w:t>
      </w:r>
      <w:r w:rsidR="00F24E86" w:rsidRPr="00CA22CD">
        <w:rPr>
          <w:rFonts w:eastAsia="Calibri" w:cs="Arial"/>
          <w:b/>
          <w:bCs/>
          <w:color w:val="000000"/>
        </w:rPr>
        <w:t xml:space="preserve">: </w:t>
      </w:r>
    </w:p>
    <w:p w14:paraId="31C7CF73" w14:textId="77777777" w:rsidR="00155378" w:rsidRDefault="00155378" w:rsidP="00CA22CD">
      <w:pPr>
        <w:spacing w:before="120"/>
        <w:ind w:left="1701"/>
        <w:rPr>
          <w:rFonts w:eastAsia="Calibri" w:cs="Arial"/>
          <w:bCs/>
          <w:color w:val="000000"/>
        </w:rPr>
      </w:pPr>
      <w:r>
        <w:rPr>
          <w:rFonts w:eastAsia="Calibri" w:cs="Arial"/>
          <w:bCs/>
          <w:color w:val="000000"/>
        </w:rPr>
        <w:t>(a). Reform-focused measures including:</w:t>
      </w:r>
    </w:p>
    <w:p w14:paraId="3D152CD6" w14:textId="4E0F92EB" w:rsidR="00155378" w:rsidRDefault="00924B26" w:rsidP="00CA22CD">
      <w:pPr>
        <w:pStyle w:val="ListParagraph"/>
        <w:numPr>
          <w:ilvl w:val="2"/>
          <w:numId w:val="21"/>
        </w:numPr>
        <w:spacing w:before="120"/>
        <w:ind w:left="2835" w:hanging="567"/>
        <w:contextualSpacing w:val="0"/>
        <w:rPr>
          <w:rFonts w:eastAsia="Calibri" w:cs="Arial"/>
          <w:bCs/>
          <w:color w:val="000000"/>
        </w:rPr>
      </w:pPr>
      <w:r w:rsidRPr="00CA22CD">
        <w:rPr>
          <w:rFonts w:eastAsia="Calibri" w:cs="Arial"/>
          <w:bCs/>
          <w:color w:val="000000"/>
        </w:rPr>
        <w:t>Further aligning the national legislation with the acquis on plant health and plant protection products</w:t>
      </w:r>
      <w:r w:rsidR="007935F2" w:rsidRPr="00CA22CD">
        <w:rPr>
          <w:rFonts w:eastAsia="Calibri" w:cs="Arial"/>
          <w:bCs/>
          <w:color w:val="000000"/>
        </w:rPr>
        <w:t>.</w:t>
      </w:r>
    </w:p>
    <w:p w14:paraId="44792B1F" w14:textId="4684239A" w:rsidR="00155378" w:rsidRDefault="00924B26" w:rsidP="00CA22CD">
      <w:pPr>
        <w:pStyle w:val="ListParagraph"/>
        <w:numPr>
          <w:ilvl w:val="2"/>
          <w:numId w:val="21"/>
        </w:numPr>
        <w:spacing w:before="120"/>
        <w:ind w:left="2835" w:hanging="567"/>
        <w:contextualSpacing w:val="0"/>
        <w:rPr>
          <w:rFonts w:eastAsia="Calibri" w:cs="Arial"/>
          <w:bCs/>
          <w:color w:val="000000"/>
        </w:rPr>
      </w:pPr>
      <w:r w:rsidRPr="00E12F3E">
        <w:rPr>
          <w:rFonts w:eastAsia="Calibri" w:cs="Arial"/>
          <w:bCs/>
          <w:color w:val="000000"/>
        </w:rPr>
        <w:t xml:space="preserve">Development of the necessary phytosanitary measures to eradicate quarantine pests in the area. </w:t>
      </w:r>
    </w:p>
    <w:p w14:paraId="76640690" w14:textId="55BD1C07" w:rsidR="00155378" w:rsidRDefault="00155378" w:rsidP="00CA22CD">
      <w:pPr>
        <w:pStyle w:val="ListParagraph"/>
        <w:numPr>
          <w:ilvl w:val="2"/>
          <w:numId w:val="21"/>
        </w:numPr>
        <w:spacing w:before="120"/>
        <w:ind w:left="2835" w:hanging="567"/>
        <w:contextualSpacing w:val="0"/>
        <w:rPr>
          <w:rFonts w:eastAsia="Calibri" w:cs="Arial"/>
          <w:bCs/>
          <w:color w:val="000000"/>
        </w:rPr>
      </w:pPr>
      <w:r w:rsidRPr="00E12F3E">
        <w:rPr>
          <w:rFonts w:eastAsia="Calibri" w:cs="Arial"/>
          <w:bCs/>
          <w:color w:val="000000"/>
        </w:rPr>
        <w:t>Capacity building activities to increase the efficient implementation of legislation and phytosanitary information system.</w:t>
      </w:r>
    </w:p>
    <w:p w14:paraId="698F07E7" w14:textId="52E90A5D" w:rsidR="00155378" w:rsidRDefault="00924B26" w:rsidP="00CA22CD">
      <w:pPr>
        <w:pStyle w:val="ListParagraph"/>
        <w:numPr>
          <w:ilvl w:val="2"/>
          <w:numId w:val="21"/>
        </w:numPr>
        <w:spacing w:before="120"/>
        <w:ind w:left="2835" w:hanging="567"/>
        <w:contextualSpacing w:val="0"/>
        <w:rPr>
          <w:rFonts w:eastAsia="Calibri" w:cs="Arial"/>
          <w:bCs/>
          <w:color w:val="000000"/>
        </w:rPr>
      </w:pPr>
      <w:r w:rsidRPr="00E12F3E">
        <w:rPr>
          <w:rFonts w:eastAsia="Calibri" w:cs="Arial"/>
          <w:bCs/>
          <w:color w:val="000000"/>
        </w:rPr>
        <w:t>Further development of a functional National plant protection organisation.</w:t>
      </w:r>
    </w:p>
    <w:p w14:paraId="123B4BCA" w14:textId="513F791C" w:rsidR="00155378" w:rsidRDefault="00924B26" w:rsidP="00CA22CD">
      <w:pPr>
        <w:pStyle w:val="ListParagraph"/>
        <w:numPr>
          <w:ilvl w:val="2"/>
          <w:numId w:val="21"/>
        </w:numPr>
        <w:spacing w:before="120"/>
        <w:ind w:left="2835" w:hanging="567"/>
        <w:contextualSpacing w:val="0"/>
        <w:rPr>
          <w:rFonts w:eastAsia="Calibri" w:cs="Arial"/>
          <w:bCs/>
          <w:color w:val="000000"/>
        </w:rPr>
      </w:pPr>
      <w:r w:rsidRPr="00E12F3E">
        <w:rPr>
          <w:rFonts w:eastAsia="Calibri" w:cs="Arial"/>
          <w:bCs/>
          <w:color w:val="000000"/>
        </w:rPr>
        <w:t>Development of risk-based and preventive measures to protect the country’s territory from pests that plants, plant products or other objects from a third country might introduce.</w:t>
      </w:r>
    </w:p>
    <w:p w14:paraId="2949E6DA" w14:textId="0B161386" w:rsidR="00155378" w:rsidRDefault="00924B26" w:rsidP="00CA22CD">
      <w:pPr>
        <w:pStyle w:val="ListParagraph"/>
        <w:numPr>
          <w:ilvl w:val="2"/>
          <w:numId w:val="21"/>
        </w:numPr>
        <w:spacing w:before="120"/>
        <w:ind w:left="2835" w:hanging="567"/>
        <w:contextualSpacing w:val="0"/>
        <w:rPr>
          <w:rFonts w:eastAsia="Calibri" w:cs="Arial"/>
          <w:bCs/>
          <w:color w:val="000000"/>
        </w:rPr>
      </w:pPr>
      <w:r w:rsidRPr="00E12F3E">
        <w:rPr>
          <w:rFonts w:eastAsia="Calibri" w:cs="Arial"/>
          <w:bCs/>
          <w:color w:val="000000"/>
        </w:rPr>
        <w:lastRenderedPageBreak/>
        <w:t>Further development of the system of phytosanitary certification for export.</w:t>
      </w:r>
    </w:p>
    <w:p w14:paraId="5C0DC428" w14:textId="135B1BE5" w:rsidR="00924B26" w:rsidRPr="00E12F3E" w:rsidRDefault="00924B26" w:rsidP="00CA22CD">
      <w:pPr>
        <w:pStyle w:val="ListParagraph"/>
        <w:numPr>
          <w:ilvl w:val="2"/>
          <w:numId w:val="21"/>
        </w:numPr>
        <w:spacing w:before="120"/>
        <w:ind w:left="2835" w:hanging="567"/>
        <w:contextualSpacing w:val="0"/>
        <w:rPr>
          <w:rFonts w:eastAsia="Calibri" w:cs="Arial"/>
          <w:bCs/>
          <w:color w:val="000000"/>
        </w:rPr>
      </w:pPr>
      <w:r w:rsidRPr="00E12F3E">
        <w:rPr>
          <w:rFonts w:eastAsia="Calibri" w:cs="Arial"/>
          <w:bCs/>
          <w:color w:val="000000"/>
        </w:rPr>
        <w:t>Extension of the IPM within the whole territory, involving all stakeholders on the central and regional levels.</w:t>
      </w:r>
    </w:p>
    <w:p w14:paraId="319B37C4" w14:textId="019380EB" w:rsidR="007B374D" w:rsidRPr="00924B26" w:rsidRDefault="00155378" w:rsidP="00CA22CD">
      <w:pPr>
        <w:spacing w:before="120"/>
        <w:ind w:left="1701"/>
        <w:rPr>
          <w:rFonts w:eastAsia="Calibri" w:cs="Arial"/>
          <w:bCs/>
          <w:color w:val="000000"/>
        </w:rPr>
      </w:pPr>
      <w:r>
        <w:rPr>
          <w:rFonts w:eastAsia="Calibri" w:cs="Arial"/>
          <w:bCs/>
          <w:color w:val="000000"/>
        </w:rPr>
        <w:t xml:space="preserve">(b). </w:t>
      </w:r>
      <w:r w:rsidR="005D1976">
        <w:rPr>
          <w:rFonts w:eastAsia="Calibri" w:cs="Arial"/>
          <w:bCs/>
          <w:color w:val="000000"/>
        </w:rPr>
        <w:t>Delivering</w:t>
      </w:r>
      <w:r w:rsidR="0009581E">
        <w:rPr>
          <w:rFonts w:eastAsia="Calibri" w:cs="Arial"/>
          <w:bCs/>
          <w:color w:val="000000"/>
        </w:rPr>
        <w:t xml:space="preserve"> laboratory and inspection equipment </w:t>
      </w:r>
      <w:r w:rsidR="007B374D">
        <w:rPr>
          <w:rFonts w:eastAsia="Calibri" w:cs="Arial"/>
          <w:bCs/>
          <w:color w:val="000000"/>
        </w:rPr>
        <w:t>of the</w:t>
      </w:r>
      <w:r w:rsidR="005D1976">
        <w:rPr>
          <w:rFonts w:eastAsia="Calibri" w:cs="Arial"/>
          <w:bCs/>
          <w:color w:val="000000"/>
        </w:rPr>
        <w:t xml:space="preserve"> competent authorities involved in the phytosanitary system (</w:t>
      </w:r>
      <w:r w:rsidR="0009581E">
        <w:rPr>
          <w:rFonts w:eastAsia="Calibri" w:cs="Arial"/>
          <w:bCs/>
          <w:color w:val="000000"/>
        </w:rPr>
        <w:t xml:space="preserve">Phytosanitary Inspection, </w:t>
      </w:r>
      <w:r w:rsidR="005D1976">
        <w:rPr>
          <w:rFonts w:eastAsia="Calibri" w:cs="Arial"/>
          <w:bCs/>
          <w:color w:val="000000"/>
        </w:rPr>
        <w:t>Phytosanitary</w:t>
      </w:r>
      <w:r w:rsidR="0009581E">
        <w:rPr>
          <w:rFonts w:eastAsia="Calibri" w:cs="Arial"/>
          <w:bCs/>
          <w:color w:val="000000"/>
        </w:rPr>
        <w:t xml:space="preserve"> Directorate</w:t>
      </w:r>
      <w:r w:rsidR="005D1976">
        <w:rPr>
          <w:rFonts w:eastAsia="Calibri" w:cs="Arial"/>
          <w:bCs/>
          <w:color w:val="000000"/>
        </w:rPr>
        <w:t xml:space="preserve"> and </w:t>
      </w:r>
      <w:r w:rsidR="0009581E">
        <w:rPr>
          <w:rFonts w:eastAsia="Calibri" w:cs="Arial"/>
          <w:bCs/>
          <w:color w:val="000000"/>
        </w:rPr>
        <w:t xml:space="preserve">State Sanitary </w:t>
      </w:r>
      <w:r w:rsidR="001C7B21">
        <w:rPr>
          <w:rFonts w:eastAsia="Calibri" w:cs="Arial"/>
          <w:bCs/>
          <w:color w:val="000000"/>
        </w:rPr>
        <w:t>Laboratory</w:t>
      </w:r>
      <w:r w:rsidR="005D1976">
        <w:rPr>
          <w:rFonts w:eastAsia="Calibri" w:cs="Arial"/>
          <w:bCs/>
          <w:color w:val="000000"/>
        </w:rPr>
        <w:t>)</w:t>
      </w:r>
    </w:p>
    <w:p w14:paraId="6A949E06" w14:textId="1730868C" w:rsidR="00924B26" w:rsidRPr="00CA22CD" w:rsidRDefault="00155378" w:rsidP="00CA22CD">
      <w:pPr>
        <w:pStyle w:val="Heading1"/>
        <w:numPr>
          <w:ilvl w:val="0"/>
          <w:numId w:val="0"/>
        </w:numPr>
        <w:spacing w:after="0"/>
        <w:ind w:left="1344"/>
      </w:pPr>
      <w:r w:rsidRPr="00924B26" w:rsidDel="00155378">
        <w:rPr>
          <w:rFonts w:eastAsia="Calibri" w:cs="Arial"/>
          <w:bCs/>
          <w:color w:val="000000"/>
        </w:rPr>
        <w:t xml:space="preserve"> </w:t>
      </w:r>
      <w:r w:rsidR="00267725">
        <w:rPr>
          <w:bCs/>
        </w:rPr>
        <w:t xml:space="preserve">(5). </w:t>
      </w:r>
      <w:r w:rsidR="00B23017" w:rsidRPr="00AA05FA">
        <w:rPr>
          <w:bCs/>
        </w:rPr>
        <w:t xml:space="preserve">Preventing </w:t>
      </w:r>
      <w:r w:rsidR="00B23017" w:rsidRPr="004C5CF8">
        <w:t>the</w:t>
      </w:r>
      <w:r w:rsidR="00924B26" w:rsidRPr="00761107">
        <w:t xml:space="preserve"> illegal, unreported and unregulated fishing </w:t>
      </w:r>
    </w:p>
    <w:p w14:paraId="627F482F" w14:textId="77777777" w:rsidR="00924B26" w:rsidRPr="00924B26" w:rsidRDefault="00924B26" w:rsidP="00CA22CD">
      <w:pPr>
        <w:numPr>
          <w:ilvl w:val="1"/>
          <w:numId w:val="16"/>
        </w:numPr>
        <w:spacing w:before="120"/>
        <w:ind w:left="1824"/>
        <w:rPr>
          <w:rFonts w:eastAsia="Calibri" w:cs="Times New Roman"/>
          <w:bCs/>
          <w:vanish/>
          <w:szCs w:val="20"/>
          <w:lang w:eastAsia="x-none"/>
        </w:rPr>
      </w:pPr>
    </w:p>
    <w:p w14:paraId="48012484" w14:textId="77777777" w:rsidR="00924B26" w:rsidRPr="00924B26" w:rsidRDefault="00924B26" w:rsidP="00CA22CD">
      <w:pPr>
        <w:pStyle w:val="ListParagraph"/>
        <w:numPr>
          <w:ilvl w:val="0"/>
          <w:numId w:val="20"/>
        </w:numPr>
        <w:spacing w:before="120"/>
        <w:ind w:left="2195" w:hanging="539"/>
        <w:contextualSpacing w:val="0"/>
        <w:rPr>
          <w:rFonts w:eastAsia="Calibri" w:cs="Times New Roman"/>
          <w:bCs/>
          <w:szCs w:val="20"/>
          <w:lang w:eastAsia="x-none"/>
        </w:rPr>
      </w:pPr>
      <w:r w:rsidRPr="00924B26">
        <w:rPr>
          <w:rFonts w:eastAsia="Calibri" w:cs="Times New Roman"/>
          <w:bCs/>
          <w:szCs w:val="20"/>
          <w:lang w:eastAsia="x-none"/>
        </w:rPr>
        <w:t>Strengthening the national legislation and programmes on aquaculture and fisheries and align them with the EU regulation to prevent, deter, and eliminate illegal, unreported, and unregulated fishing (IUU Regulation).</w:t>
      </w:r>
    </w:p>
    <w:p w14:paraId="6EE2B5F1" w14:textId="77777777" w:rsidR="00924B26" w:rsidRPr="00924B26" w:rsidRDefault="00924B26" w:rsidP="00CA22CD">
      <w:pPr>
        <w:pStyle w:val="ListParagraph"/>
        <w:numPr>
          <w:ilvl w:val="0"/>
          <w:numId w:val="20"/>
        </w:numPr>
        <w:spacing w:before="120"/>
        <w:ind w:left="2195" w:hanging="539"/>
        <w:contextualSpacing w:val="0"/>
        <w:rPr>
          <w:rFonts w:eastAsia="Calibri" w:cs="Times New Roman"/>
          <w:bCs/>
          <w:szCs w:val="20"/>
          <w:lang w:eastAsia="x-none"/>
        </w:rPr>
      </w:pPr>
      <w:r w:rsidRPr="00924B26">
        <w:rPr>
          <w:rFonts w:eastAsia="Calibri" w:cs="Times New Roman"/>
          <w:bCs/>
          <w:szCs w:val="20"/>
          <w:lang w:eastAsia="x-none"/>
        </w:rPr>
        <w:t>Introduction and enforcement of new legislation related to IUU to the importers of fishery products</w:t>
      </w:r>
    </w:p>
    <w:p w14:paraId="3C07AB16" w14:textId="634AD548" w:rsidR="008E06F7" w:rsidRPr="008E06F7" w:rsidRDefault="00924B26" w:rsidP="00CA22CD">
      <w:pPr>
        <w:pStyle w:val="ListParagraph"/>
        <w:numPr>
          <w:ilvl w:val="0"/>
          <w:numId w:val="20"/>
        </w:numPr>
        <w:spacing w:before="120"/>
        <w:ind w:left="2195" w:hanging="539"/>
        <w:contextualSpacing w:val="0"/>
        <w:rPr>
          <w:rFonts w:eastAsia="Calibri" w:cs="Times New Roman"/>
          <w:bCs/>
          <w:szCs w:val="20"/>
          <w:lang w:eastAsia="x-none"/>
        </w:rPr>
      </w:pPr>
      <w:r w:rsidRPr="008E06F7">
        <w:rPr>
          <w:rFonts w:eastAsia="Calibri" w:cs="Times New Roman"/>
          <w:bCs/>
          <w:color w:val="000000"/>
          <w:szCs w:val="20"/>
          <w:lang w:eastAsia="x-none"/>
        </w:rPr>
        <w:t xml:space="preserve">Capacity-building activities </w:t>
      </w:r>
      <w:r w:rsidR="007A331E" w:rsidRPr="008E06F7">
        <w:rPr>
          <w:rFonts w:eastAsia="Calibri" w:cs="Times New Roman"/>
          <w:bCs/>
          <w:color w:val="000000"/>
          <w:szCs w:val="20"/>
          <w:lang w:eastAsia="x-none"/>
        </w:rPr>
        <w:t>for the national author</w:t>
      </w:r>
      <w:r w:rsidR="008E06F7" w:rsidRPr="008E06F7">
        <w:rPr>
          <w:rFonts w:eastAsia="Calibri" w:cs="Times New Roman"/>
          <w:bCs/>
          <w:color w:val="000000"/>
          <w:szCs w:val="20"/>
          <w:lang w:eastAsia="x-none"/>
        </w:rPr>
        <w:t xml:space="preserve">ities </w:t>
      </w:r>
      <w:r w:rsidR="002836BA" w:rsidRPr="00924B26">
        <w:rPr>
          <w:rFonts w:eastAsia="Calibri" w:cs="Times New Roman"/>
          <w:bCs/>
          <w:szCs w:val="20"/>
          <w:lang w:eastAsia="x-none"/>
        </w:rPr>
        <w:t>to implement the catch certification scheme</w:t>
      </w:r>
      <w:r w:rsidR="002836BA">
        <w:rPr>
          <w:rFonts w:eastAsia="Calibri" w:cs="Times New Roman"/>
          <w:bCs/>
          <w:color w:val="000000"/>
          <w:szCs w:val="20"/>
          <w:lang w:eastAsia="x-none"/>
        </w:rPr>
        <w:t xml:space="preserve"> and </w:t>
      </w:r>
      <w:r w:rsidR="008E06F7">
        <w:rPr>
          <w:rFonts w:eastAsia="Calibri" w:cs="Times New Roman"/>
          <w:bCs/>
          <w:color w:val="000000"/>
          <w:szCs w:val="20"/>
          <w:lang w:eastAsia="x-none"/>
        </w:rPr>
        <w:t xml:space="preserve">on </w:t>
      </w:r>
      <w:r w:rsidRPr="008E06F7">
        <w:rPr>
          <w:rFonts w:eastAsia="Calibri" w:cs="Times New Roman"/>
          <w:bCs/>
          <w:color w:val="000000"/>
          <w:szCs w:val="20"/>
          <w:lang w:eastAsia="x-none"/>
        </w:rPr>
        <w:t>inspection and control to increase the efficient implementation of legislation, monitoring, reporting and control of IUU regulation</w:t>
      </w:r>
      <w:r w:rsidR="002836BA">
        <w:rPr>
          <w:rFonts w:eastAsia="Calibri" w:cs="Times New Roman"/>
          <w:bCs/>
          <w:color w:val="000000"/>
          <w:szCs w:val="20"/>
          <w:lang w:eastAsia="x-none"/>
        </w:rPr>
        <w:t>.</w:t>
      </w:r>
      <w:r w:rsidR="00120FC3" w:rsidRPr="008E06F7">
        <w:rPr>
          <w:rFonts w:eastAsia="Calibri" w:cs="Times New Roman"/>
          <w:bCs/>
          <w:szCs w:val="20"/>
          <w:lang w:eastAsia="x-none"/>
        </w:rPr>
        <w:t xml:space="preserve"> </w:t>
      </w:r>
    </w:p>
    <w:p w14:paraId="3C0DFC0B" w14:textId="732EAB03" w:rsidR="00924B26" w:rsidRPr="00924B26" w:rsidRDefault="00666624" w:rsidP="00CA22CD">
      <w:pPr>
        <w:pStyle w:val="ListParagraph"/>
        <w:numPr>
          <w:ilvl w:val="0"/>
          <w:numId w:val="20"/>
        </w:numPr>
        <w:spacing w:before="120"/>
        <w:ind w:left="2195" w:hanging="539"/>
        <w:contextualSpacing w:val="0"/>
        <w:rPr>
          <w:rFonts w:eastAsia="Calibri" w:cs="Times New Roman"/>
          <w:bCs/>
          <w:szCs w:val="20"/>
          <w:lang w:eastAsia="x-none"/>
        </w:rPr>
      </w:pPr>
      <w:r>
        <w:rPr>
          <w:rFonts w:eastAsia="Calibri" w:cs="Times New Roman"/>
          <w:bCs/>
          <w:szCs w:val="20"/>
          <w:lang w:eastAsia="x-none"/>
        </w:rPr>
        <w:t>P</w:t>
      </w:r>
      <w:r w:rsidR="00924B26" w:rsidRPr="00924B26">
        <w:rPr>
          <w:rFonts w:eastAsia="Calibri" w:cs="Times New Roman"/>
          <w:bCs/>
          <w:szCs w:val="20"/>
          <w:lang w:eastAsia="x-none"/>
        </w:rPr>
        <w:t>utting in place IT solutions for the national catch certification</w:t>
      </w:r>
      <w:r w:rsidR="00120FC3">
        <w:rPr>
          <w:rFonts w:eastAsia="Calibri" w:cs="Times New Roman"/>
          <w:bCs/>
          <w:szCs w:val="20"/>
          <w:lang w:eastAsia="x-none"/>
        </w:rPr>
        <w:t xml:space="preserve"> including traceability of the fishery and agriculture products and supply of the technical equipment.</w:t>
      </w:r>
    </w:p>
    <w:p w14:paraId="63E6B46E" w14:textId="77777777" w:rsidR="00BE7382" w:rsidRPr="00924B26" w:rsidRDefault="00BE7382" w:rsidP="00CA22CD">
      <w:pPr>
        <w:pStyle w:val="ListParagraph"/>
        <w:spacing w:before="120"/>
        <w:ind w:left="1571"/>
        <w:rPr>
          <w:rFonts w:eastAsia="Calibri" w:cs="Times New Roman"/>
          <w:szCs w:val="20"/>
          <w:lang w:eastAsia="x-none"/>
        </w:rPr>
      </w:pPr>
    </w:p>
    <w:p w14:paraId="5A247448" w14:textId="77777777" w:rsidR="00C60BF9" w:rsidRPr="003C0CD7" w:rsidRDefault="00C60BF9" w:rsidP="00430D76">
      <w:pPr>
        <w:pStyle w:val="Heading1"/>
        <w:numPr>
          <w:ilvl w:val="1"/>
          <w:numId w:val="1"/>
        </w:numPr>
        <w:ind w:left="1276"/>
        <w:rPr>
          <w:lang w:val="en-IE"/>
        </w:rPr>
      </w:pPr>
      <w:bookmarkStart w:id="195" w:name="_Toc47101961"/>
      <w:bookmarkStart w:id="196" w:name="_Toc51270456"/>
      <w:bookmarkStart w:id="197" w:name="_Ref58597072"/>
      <w:bookmarkStart w:id="198" w:name="_Toc73090754"/>
      <w:bookmarkStart w:id="199" w:name="_Toc47101960"/>
      <w:bookmarkStart w:id="200" w:name="_Toc51270455"/>
      <w:bookmarkStart w:id="201" w:name="_Ref58425507"/>
      <w:r w:rsidRPr="003C0CD7">
        <w:rPr>
          <w:lang w:val="en-IE"/>
        </w:rPr>
        <w:t>Mainstreaming</w:t>
      </w:r>
      <w:bookmarkEnd w:id="195"/>
      <w:bookmarkEnd w:id="196"/>
      <w:bookmarkEnd w:id="197"/>
      <w:bookmarkEnd w:id="198"/>
      <w:r w:rsidRPr="003C0CD7">
        <w:rPr>
          <w:lang w:val="en-IE"/>
        </w:rPr>
        <w:t xml:space="preserve"> </w:t>
      </w:r>
    </w:p>
    <w:p w14:paraId="267239DC" w14:textId="17BD0AD4" w:rsidR="0006347F" w:rsidRPr="003C0CD7" w:rsidRDefault="00C60BF9" w:rsidP="00CA22CD">
      <w:pPr>
        <w:spacing w:before="120"/>
        <w:ind w:left="1440"/>
        <w:rPr>
          <w:rFonts w:cs="Times New Roman"/>
          <w:b/>
          <w:color w:val="0D0D0D" w:themeColor="text1" w:themeTint="F2"/>
          <w:szCs w:val="24"/>
          <w:lang w:val="en-IE"/>
        </w:rPr>
      </w:pPr>
      <w:r w:rsidRPr="003C0CD7">
        <w:rPr>
          <w:rFonts w:cs="Times New Roman"/>
          <w:b/>
          <w:color w:val="0D0D0D" w:themeColor="text1" w:themeTint="F2"/>
          <w:szCs w:val="24"/>
          <w:lang w:val="en-IE"/>
        </w:rPr>
        <w:t>Environmental Protection, Climate Change and Biodiversity</w:t>
      </w:r>
    </w:p>
    <w:p w14:paraId="6041261C" w14:textId="2D6AE295" w:rsidR="00A77B3C" w:rsidRDefault="00E87F3B" w:rsidP="00CA22CD">
      <w:pPr>
        <w:spacing w:before="120"/>
        <w:ind w:left="1440"/>
      </w:pPr>
      <w:r w:rsidRPr="00C43C76">
        <w:t xml:space="preserve">North Macedonia is committed to using the EU experience and support to improve its economy’s performance in line with the EU </w:t>
      </w:r>
      <w:r w:rsidRPr="00C43C76">
        <w:rPr>
          <w:i/>
        </w:rPr>
        <w:t>acquis</w:t>
      </w:r>
      <w:r w:rsidRPr="00C43C76">
        <w:t xml:space="preserve"> and EU policies, namely the Green Agenda and the Digital Transformation</w:t>
      </w:r>
      <w:r>
        <w:t xml:space="preserve">. </w:t>
      </w:r>
      <w:r w:rsidR="00B92103" w:rsidRPr="00B92103">
        <w:t xml:space="preserve">EU funds will be channelled to greening the business practices and implementing the EU environmental and quality </w:t>
      </w:r>
      <w:r w:rsidR="00B92103" w:rsidRPr="0032250A">
        <w:t>standards</w:t>
      </w:r>
      <w:r w:rsidR="006A4B89">
        <w:t xml:space="preserve"> in industry and agriculture. The action will promote </w:t>
      </w:r>
      <w:r w:rsidR="00B92103" w:rsidRPr="0032250A">
        <w:t xml:space="preserve">innovation </w:t>
      </w:r>
      <w:r w:rsidR="00A77B3C">
        <w:t xml:space="preserve">policy focused on </w:t>
      </w:r>
      <w:r w:rsidR="00A77B3C" w:rsidRPr="0032250A">
        <w:t xml:space="preserve">sustainable use </w:t>
      </w:r>
      <w:r w:rsidR="00A77B3C">
        <w:t xml:space="preserve">of natural resources, </w:t>
      </w:r>
      <w:r w:rsidR="00A77B3C" w:rsidRPr="0032250A">
        <w:t xml:space="preserve">resource-saving </w:t>
      </w:r>
      <w:r w:rsidR="00A77B3C">
        <w:t>in industry and agriculture,</w:t>
      </w:r>
      <w:r w:rsidR="00A77B3C" w:rsidRPr="0032250A">
        <w:t xml:space="preserve"> and nature-based solutions </w:t>
      </w:r>
      <w:r w:rsidR="00A77B3C">
        <w:t xml:space="preserve">decreasing pollution. </w:t>
      </w:r>
      <w:r w:rsidR="008917CD">
        <w:t xml:space="preserve">In the implementation of S3, </w:t>
      </w:r>
      <w:r w:rsidR="008917CD" w:rsidRPr="008917CD">
        <w:t xml:space="preserve">support measures </w:t>
      </w:r>
      <w:r w:rsidR="008917CD">
        <w:t xml:space="preserve">will </w:t>
      </w:r>
      <w:r w:rsidR="008917CD" w:rsidRPr="008917CD">
        <w:t>be piloted with an impact on green and digital transition</w:t>
      </w:r>
      <w:r w:rsidR="004E6BE2">
        <w:t xml:space="preserve"> of SMEs</w:t>
      </w:r>
      <w:r w:rsidR="008917CD">
        <w:t>.</w:t>
      </w:r>
      <w:r w:rsidR="006A4B89" w:rsidRPr="006A4B89">
        <w:rPr>
          <w:iCs/>
          <w:szCs w:val="24"/>
        </w:rPr>
        <w:t xml:space="preserve"> </w:t>
      </w:r>
      <w:r w:rsidR="006A4B89" w:rsidRPr="0032250A">
        <w:t>No support will be provided to “environmental non-friendly or neutral” business activities.</w:t>
      </w:r>
      <w:r w:rsidR="006A4B89" w:rsidRPr="00B92103">
        <w:t xml:space="preserve"> </w:t>
      </w:r>
    </w:p>
    <w:p w14:paraId="4B014C2D" w14:textId="75E2341E" w:rsidR="00B92103" w:rsidRDefault="006A4B89" w:rsidP="00CA22CD">
      <w:pPr>
        <w:spacing w:before="120"/>
        <w:ind w:left="1440"/>
        <w:rPr>
          <w:rFonts w:cs="Times New Roman"/>
          <w:bCs/>
          <w:color w:val="0D0D0D" w:themeColor="text1" w:themeTint="F2"/>
          <w:szCs w:val="24"/>
          <w:lang w:val="en-IE"/>
        </w:rPr>
      </w:pPr>
      <w:r w:rsidRPr="00972DC4">
        <w:rPr>
          <w:iCs/>
          <w:szCs w:val="24"/>
        </w:rPr>
        <w:t xml:space="preserve">The </w:t>
      </w:r>
      <w:r>
        <w:rPr>
          <w:iCs/>
          <w:szCs w:val="24"/>
        </w:rPr>
        <w:t>activities linked to promoting the organic agriculture and modern veterinary and phytosanitary policy</w:t>
      </w:r>
      <w:r w:rsidRPr="00972DC4">
        <w:rPr>
          <w:iCs/>
          <w:szCs w:val="24"/>
        </w:rPr>
        <w:t xml:space="preserve"> will have positive impact on environment, biodiversity, climate change mitigation</w:t>
      </w:r>
      <w:r>
        <w:rPr>
          <w:iCs/>
          <w:szCs w:val="24"/>
        </w:rPr>
        <w:t xml:space="preserve"> </w:t>
      </w:r>
      <w:r w:rsidRPr="00B92103">
        <w:t>and saving of natural resources.</w:t>
      </w:r>
      <w:r w:rsidR="00A77B3C">
        <w:t xml:space="preserve"> This will support the implementation of the </w:t>
      </w:r>
      <w:r w:rsidR="00B92103" w:rsidRPr="00920BB4">
        <w:rPr>
          <w:rFonts w:cs="Times New Roman"/>
          <w:bCs/>
          <w:color w:val="0D0D0D" w:themeColor="text1" w:themeTint="F2"/>
          <w:szCs w:val="24"/>
          <w:lang w:val="en-IE"/>
        </w:rPr>
        <w:t>North Macedonian Agriculture Strategy 2017-2027</w:t>
      </w:r>
      <w:r w:rsidR="00A77B3C">
        <w:rPr>
          <w:rFonts w:cs="Times New Roman"/>
          <w:bCs/>
          <w:color w:val="0D0D0D" w:themeColor="text1" w:themeTint="F2"/>
          <w:szCs w:val="24"/>
          <w:lang w:val="en-IE"/>
        </w:rPr>
        <w:t>, which</w:t>
      </w:r>
      <w:r w:rsidR="00B92103" w:rsidRPr="00920BB4">
        <w:rPr>
          <w:rFonts w:cs="Times New Roman"/>
          <w:bCs/>
          <w:color w:val="0D0D0D" w:themeColor="text1" w:themeTint="F2"/>
          <w:szCs w:val="24"/>
          <w:lang w:val="en-IE"/>
        </w:rPr>
        <w:t xml:space="preserve"> emphasises the need to encourage sustainable agriculture practices, such as agri-environmental measures, integrated natural resource management, and organic agriculture. The </w:t>
      </w:r>
      <w:r w:rsidR="00A77B3C">
        <w:rPr>
          <w:rFonts w:cs="Times New Roman"/>
          <w:bCs/>
          <w:color w:val="0D0D0D" w:themeColor="text1" w:themeTint="F2"/>
          <w:szCs w:val="24"/>
          <w:lang w:val="en-IE"/>
        </w:rPr>
        <w:t>Action will</w:t>
      </w:r>
      <w:r w:rsidR="00B92103" w:rsidRPr="00920BB4">
        <w:rPr>
          <w:rFonts w:cs="Times New Roman"/>
          <w:bCs/>
          <w:color w:val="0D0D0D" w:themeColor="text1" w:themeTint="F2"/>
          <w:szCs w:val="24"/>
          <w:lang w:val="en-IE"/>
        </w:rPr>
        <w:t xml:space="preserve"> maximise the agricultural sector's contribution to a modern, resource-efficient and competitive economy. In the long term, this will improve the quality of life for rural residents and increase resilience to the impacts of climate change, reducing exposure to natural disasters.</w:t>
      </w:r>
    </w:p>
    <w:p w14:paraId="4D706774" w14:textId="10B45B0F" w:rsidR="00C60BF9" w:rsidRDefault="00C60BF9" w:rsidP="00CA22CD">
      <w:pPr>
        <w:spacing w:before="120"/>
        <w:ind w:left="1440"/>
        <w:rPr>
          <w:rFonts w:cs="Times New Roman"/>
          <w:b/>
          <w:color w:val="0D0D0D" w:themeColor="text1" w:themeTint="F2"/>
          <w:szCs w:val="24"/>
          <w:lang w:val="en-IE"/>
        </w:rPr>
      </w:pPr>
      <w:r w:rsidRPr="003C0CD7">
        <w:rPr>
          <w:rFonts w:cs="Times New Roman"/>
          <w:b/>
          <w:color w:val="0D0D0D" w:themeColor="text1" w:themeTint="F2"/>
          <w:szCs w:val="24"/>
          <w:lang w:val="en-IE"/>
        </w:rPr>
        <w:t>Gender equality and empowerment of women and girls</w:t>
      </w:r>
    </w:p>
    <w:p w14:paraId="5316B192" w14:textId="1763FFC4" w:rsidR="000D1DE1" w:rsidRPr="001213DB" w:rsidRDefault="00C60BF9" w:rsidP="00CA22CD">
      <w:pPr>
        <w:spacing w:before="120"/>
        <w:ind w:left="1440"/>
        <w:rPr>
          <w:szCs w:val="24"/>
          <w:lang w:val="en-IE"/>
        </w:rPr>
      </w:pPr>
      <w:r w:rsidRPr="003C0CD7">
        <w:rPr>
          <w:szCs w:val="24"/>
          <w:lang w:val="en-IE"/>
        </w:rPr>
        <w:t xml:space="preserve">As per OECD Gender DAC codes identified in section 1.1, this action is labelled </w:t>
      </w:r>
      <w:r w:rsidRPr="00891450">
        <w:rPr>
          <w:szCs w:val="24"/>
          <w:lang w:val="en-IE"/>
        </w:rPr>
        <w:t xml:space="preserve">as </w:t>
      </w:r>
      <w:r w:rsidR="00D74BEE" w:rsidRPr="00891450">
        <w:rPr>
          <w:szCs w:val="24"/>
          <w:lang w:val="en-IE"/>
        </w:rPr>
        <w:t>G</w:t>
      </w:r>
      <w:r w:rsidR="00D74BEE">
        <w:rPr>
          <w:szCs w:val="24"/>
          <w:lang w:val="en-IE"/>
        </w:rPr>
        <w:t>0; yet it remains gender-sensitive</w:t>
      </w:r>
      <w:r w:rsidR="00891450" w:rsidRPr="00891450">
        <w:rPr>
          <w:szCs w:val="24"/>
          <w:lang w:val="en-IE"/>
        </w:rPr>
        <w:t>.</w:t>
      </w:r>
      <w:r w:rsidR="00891450">
        <w:rPr>
          <w:szCs w:val="24"/>
          <w:lang w:val="en-IE"/>
        </w:rPr>
        <w:t xml:space="preserve"> </w:t>
      </w:r>
      <w:r w:rsidR="00F25AA0" w:rsidRPr="00972DC4">
        <w:rPr>
          <w:iCs/>
          <w:szCs w:val="24"/>
        </w:rPr>
        <w:t xml:space="preserve">The country has put in place the legal framework </w:t>
      </w:r>
      <w:r w:rsidR="00D74BEE">
        <w:rPr>
          <w:iCs/>
          <w:szCs w:val="24"/>
        </w:rPr>
        <w:t>for</w:t>
      </w:r>
      <w:r w:rsidR="00F25AA0" w:rsidRPr="00972DC4">
        <w:rPr>
          <w:iCs/>
          <w:szCs w:val="24"/>
        </w:rPr>
        <w:t xml:space="preserve"> gender equality</w:t>
      </w:r>
      <w:r w:rsidR="00D74BEE">
        <w:rPr>
          <w:iCs/>
          <w:szCs w:val="24"/>
        </w:rPr>
        <w:t xml:space="preserve">, </w:t>
      </w:r>
      <w:r w:rsidR="00D74BEE" w:rsidRPr="00972DC4">
        <w:rPr>
          <w:iCs/>
          <w:szCs w:val="24"/>
        </w:rPr>
        <w:t xml:space="preserve">equal opportunities </w:t>
      </w:r>
      <w:r w:rsidR="00F25AA0" w:rsidRPr="00972DC4">
        <w:rPr>
          <w:iCs/>
          <w:szCs w:val="24"/>
        </w:rPr>
        <w:t xml:space="preserve">and </w:t>
      </w:r>
      <w:r w:rsidR="00D74BEE" w:rsidRPr="00972DC4">
        <w:rPr>
          <w:iCs/>
          <w:szCs w:val="24"/>
        </w:rPr>
        <w:t>protection from discrimination</w:t>
      </w:r>
      <w:r w:rsidR="00D74BEE">
        <w:rPr>
          <w:iCs/>
          <w:szCs w:val="24"/>
        </w:rPr>
        <w:t xml:space="preserve"> and this Action will contribute to the implementation of the legal framework in practice</w:t>
      </w:r>
      <w:r w:rsidR="00F25AA0" w:rsidRPr="00972DC4">
        <w:rPr>
          <w:iCs/>
          <w:szCs w:val="24"/>
        </w:rPr>
        <w:t xml:space="preserve">. </w:t>
      </w:r>
      <w:r w:rsidR="008917CD" w:rsidRPr="008917CD">
        <w:rPr>
          <w:rFonts w:cs="Times New Roman"/>
          <w:bCs/>
          <w:color w:val="0D0D0D" w:themeColor="text1" w:themeTint="F2"/>
        </w:rPr>
        <w:t xml:space="preserve">In the implementation of S3, </w:t>
      </w:r>
      <w:r w:rsidR="00641AED">
        <w:rPr>
          <w:rFonts w:cs="Times New Roman"/>
          <w:bCs/>
          <w:color w:val="0D0D0D" w:themeColor="text1" w:themeTint="F2"/>
        </w:rPr>
        <w:t xml:space="preserve">the piloted </w:t>
      </w:r>
      <w:r w:rsidR="008917CD" w:rsidRPr="008917CD">
        <w:rPr>
          <w:rFonts w:cs="Times New Roman"/>
          <w:bCs/>
          <w:color w:val="0D0D0D" w:themeColor="text1" w:themeTint="F2"/>
        </w:rPr>
        <w:t xml:space="preserve">support measures will </w:t>
      </w:r>
      <w:r w:rsidR="00641AED">
        <w:rPr>
          <w:rFonts w:cs="Times New Roman"/>
          <w:bCs/>
          <w:color w:val="0D0D0D" w:themeColor="text1" w:themeTint="F2"/>
        </w:rPr>
        <w:t>promote gender opportunities for both women researches and business women</w:t>
      </w:r>
      <w:r w:rsidR="008917CD" w:rsidRPr="008917CD">
        <w:rPr>
          <w:rFonts w:cs="Times New Roman"/>
          <w:bCs/>
          <w:color w:val="0D0D0D" w:themeColor="text1" w:themeTint="F2"/>
        </w:rPr>
        <w:t>.</w:t>
      </w:r>
      <w:r w:rsidR="009105A1" w:rsidRPr="009105A1">
        <w:rPr>
          <w:rFonts w:eastAsia="Times New Roman" w:cs="Times New Roman"/>
          <w:sz w:val="22"/>
          <w:lang w:eastAsia="en-GB"/>
        </w:rPr>
        <w:t xml:space="preserve"> </w:t>
      </w:r>
      <w:r w:rsidR="00C61AF8">
        <w:rPr>
          <w:rFonts w:eastAsia="Times New Roman" w:cs="Times New Roman"/>
          <w:sz w:val="22"/>
          <w:lang w:eastAsia="en-GB"/>
        </w:rPr>
        <w:t xml:space="preserve"> </w:t>
      </w:r>
      <w:r w:rsidR="00797FF4">
        <w:rPr>
          <w:szCs w:val="24"/>
        </w:rPr>
        <w:t xml:space="preserve">The </w:t>
      </w:r>
      <w:r w:rsidR="00641AED">
        <w:rPr>
          <w:szCs w:val="24"/>
        </w:rPr>
        <w:t xml:space="preserve">activities related to </w:t>
      </w:r>
      <w:r w:rsidR="00797FF4" w:rsidRPr="001213DB">
        <w:rPr>
          <w:szCs w:val="24"/>
        </w:rPr>
        <w:t>agriculture</w:t>
      </w:r>
      <w:r w:rsidR="00641AED">
        <w:rPr>
          <w:szCs w:val="24"/>
        </w:rPr>
        <w:t xml:space="preserve"> will also promote </w:t>
      </w:r>
      <w:r w:rsidR="00CF1980" w:rsidRPr="001213DB">
        <w:rPr>
          <w:szCs w:val="24"/>
        </w:rPr>
        <w:t xml:space="preserve">-related output, special focus will be put on involving women. In North Macedonia the percentage of women owning land and production tools is very small. Therefore, the Action will actively promote equal </w:t>
      </w:r>
      <w:r w:rsidR="00CF1980" w:rsidRPr="001213DB">
        <w:rPr>
          <w:szCs w:val="24"/>
        </w:rPr>
        <w:lastRenderedPageBreak/>
        <w:t>opportunities with a special focus on engaging women in self-support cooperative activities. During the implementation, equal opportunities and gender mainstreaming will be ensured through gender sensitive analysis, training, review of standards, skills development and information. In addition, all implementing partners will be requested to provide monitoring data recording the participation of men and women by age in terms of expert inputs and staff hired by the project</w:t>
      </w:r>
      <w:r w:rsidR="001213DB">
        <w:rPr>
          <w:szCs w:val="24"/>
        </w:rPr>
        <w:t>.</w:t>
      </w:r>
    </w:p>
    <w:p w14:paraId="04749ACF" w14:textId="655587A0" w:rsidR="00C60BF9" w:rsidRPr="000D1DE1" w:rsidRDefault="00C60BF9" w:rsidP="00CA22CD">
      <w:pPr>
        <w:spacing w:before="120"/>
        <w:ind w:left="1440"/>
        <w:rPr>
          <w:color w:val="0D0D0D"/>
          <w:szCs w:val="24"/>
          <w:lang w:val="en-IE"/>
        </w:rPr>
      </w:pPr>
      <w:r w:rsidRPr="003C0CD7">
        <w:rPr>
          <w:rFonts w:cs="Times New Roman"/>
          <w:b/>
          <w:color w:val="0D0D0D" w:themeColor="text1" w:themeTint="F2"/>
          <w:lang w:val="en-IE"/>
        </w:rPr>
        <w:t xml:space="preserve">Human Rights </w:t>
      </w:r>
    </w:p>
    <w:p w14:paraId="1D52ABBF" w14:textId="60809DA3" w:rsidR="00C60BF9" w:rsidRPr="00D82D2F" w:rsidRDefault="00C21321" w:rsidP="00CA22CD">
      <w:pPr>
        <w:spacing w:before="120"/>
        <w:ind w:left="1440"/>
        <w:rPr>
          <w:rFonts w:cs="Times New Roman"/>
          <w:lang w:val="en-IE"/>
        </w:rPr>
      </w:pPr>
      <w:r w:rsidRPr="00D82D2F">
        <w:t>This Action takes into consideration the country’s commitment to advance the human rights agenda in practice. It will support North Macedonia in enforcing the right of the citizens to have a job and decent living, and to live in a clean environment, where natural resources are benefitting all citizens.</w:t>
      </w:r>
      <w:r>
        <w:t xml:space="preserve"> </w:t>
      </w:r>
      <w:r w:rsidR="00081ECB" w:rsidRPr="00081ECB">
        <w:rPr>
          <w:lang w:val="en-IE"/>
        </w:rPr>
        <w:t>The Action aims to ensure equal access and opportunities for all, without discrimination based on factors such as sex, race, ethnicity, religion, disability, age, or sexual orientation. It will also actively promote equal participation of women and men through accessible information and design and will consider equal opportunities throughout the project cycle. The Action will work to create an inclusive environment that supports gender equality and the participation of individuals with disabilities.</w:t>
      </w:r>
      <w:r>
        <w:rPr>
          <w:lang w:val="en-IE"/>
        </w:rPr>
        <w:t xml:space="preserve"> </w:t>
      </w:r>
    </w:p>
    <w:p w14:paraId="4F57A221" w14:textId="77777777" w:rsidR="007F3D92" w:rsidRDefault="007F3D92" w:rsidP="00CA22CD">
      <w:pPr>
        <w:spacing w:before="120"/>
        <w:ind w:left="1440"/>
        <w:rPr>
          <w:rFonts w:cs="Times New Roman"/>
          <w:b/>
          <w:color w:val="0D0D0D" w:themeColor="text1" w:themeTint="F2"/>
          <w:szCs w:val="24"/>
          <w:lang w:val="en-IE"/>
        </w:rPr>
      </w:pPr>
      <w:r>
        <w:rPr>
          <w:rFonts w:cs="Times New Roman"/>
          <w:b/>
          <w:color w:val="0D0D0D" w:themeColor="text1" w:themeTint="F2"/>
          <w:szCs w:val="24"/>
          <w:lang w:val="en-IE"/>
        </w:rPr>
        <w:t>Civil Society Organisations</w:t>
      </w:r>
    </w:p>
    <w:p w14:paraId="06CF30DB" w14:textId="66F3361F" w:rsidR="006C7BF7" w:rsidRPr="006C7BF7" w:rsidRDefault="006C7BF7" w:rsidP="00CA22CD">
      <w:pPr>
        <w:spacing w:before="120"/>
        <w:ind w:left="1440"/>
        <w:rPr>
          <w:rFonts w:cs="Times New Roman"/>
          <w:color w:val="0D0D0D" w:themeColor="text1" w:themeTint="F2"/>
          <w:szCs w:val="24"/>
          <w:lang w:val="en-IE"/>
        </w:rPr>
      </w:pPr>
      <w:r w:rsidRPr="006C7BF7">
        <w:rPr>
          <w:rFonts w:cs="Times New Roman"/>
          <w:color w:val="0D0D0D" w:themeColor="text1" w:themeTint="F2"/>
          <w:szCs w:val="24"/>
          <w:lang w:val="en-IE"/>
        </w:rPr>
        <w:t xml:space="preserve">The consultation and communication processes with civil society and the general public are of utmost importance in establishing and promoting a competitive economy, facilitated by private sector development, research and innovation, and the fortification of agriculture and fisheries. CSOs will be included directly in implementing activities, with their significant contribution expected. Furthermore, they serve as an essential platform to check the progress against the real needs on the ground. For this reason, communication and coordination with the CSOs will be integral to the contracts. </w:t>
      </w:r>
    </w:p>
    <w:p w14:paraId="54BDE876" w14:textId="77777777" w:rsidR="00C60BF9" w:rsidRPr="003C0CD7" w:rsidRDefault="00C60BF9" w:rsidP="00EA2398">
      <w:pPr>
        <w:pStyle w:val="Heading1"/>
        <w:numPr>
          <w:ilvl w:val="1"/>
          <w:numId w:val="1"/>
        </w:numPr>
        <w:rPr>
          <w:lang w:val="en-IE"/>
        </w:rPr>
      </w:pPr>
      <w:bookmarkStart w:id="202" w:name="_Toc73090755"/>
      <w:r w:rsidRPr="003C0CD7">
        <w:rPr>
          <w:lang w:val="en-IE"/>
        </w:rPr>
        <w:t>Risks</w:t>
      </w:r>
      <w:bookmarkEnd w:id="199"/>
      <w:bookmarkEnd w:id="200"/>
      <w:bookmarkEnd w:id="201"/>
      <w:bookmarkEnd w:id="202"/>
      <w:r w:rsidRPr="003C0CD7">
        <w:rPr>
          <w:lang w:val="en-IE"/>
        </w:rPr>
        <w:t xml:space="preserve"> and </w:t>
      </w:r>
      <w:r w:rsidR="00653DDC">
        <w:rPr>
          <w:lang w:val="en-IE"/>
        </w:rPr>
        <w:t>Assumptions</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1990"/>
        <w:gridCol w:w="1417"/>
        <w:gridCol w:w="1275"/>
        <w:gridCol w:w="3970"/>
      </w:tblGrid>
      <w:tr w:rsidR="00C60BF9" w:rsidRPr="008704EA" w14:paraId="6E5ED7BA" w14:textId="77777777" w:rsidTr="00CA22CD">
        <w:trPr>
          <w:trHeight w:val="757"/>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2BF8420D" w14:textId="77777777" w:rsidR="00C60BF9" w:rsidRPr="003C0CD7" w:rsidRDefault="00C60BF9" w:rsidP="00EA2398">
            <w:pPr>
              <w:rPr>
                <w:rFonts w:cs="Times New Roman"/>
                <w:b/>
                <w:lang w:val="en-IE"/>
              </w:rPr>
            </w:pPr>
            <w:r w:rsidRPr="003C0CD7">
              <w:rPr>
                <w:b/>
                <w:lang w:val="en-IE"/>
              </w:rPr>
              <w:t>Category</w:t>
            </w:r>
          </w:p>
        </w:tc>
        <w:tc>
          <w:tcPr>
            <w:tcW w:w="1990" w:type="dxa"/>
            <w:tcBorders>
              <w:top w:val="single" w:sz="4" w:space="0" w:color="auto"/>
              <w:left w:val="single" w:sz="4" w:space="0" w:color="auto"/>
              <w:bottom w:val="single" w:sz="4" w:space="0" w:color="auto"/>
              <w:right w:val="single" w:sz="4" w:space="0" w:color="auto"/>
            </w:tcBorders>
          </w:tcPr>
          <w:p w14:paraId="6E0AA451" w14:textId="77777777" w:rsidR="00C60BF9" w:rsidRPr="003C0CD7" w:rsidRDefault="00C60BF9" w:rsidP="00EA2398">
            <w:pPr>
              <w:rPr>
                <w:rFonts w:cs="Times New Roman"/>
                <w:b/>
                <w:lang w:val="en-IE"/>
              </w:rPr>
            </w:pPr>
            <w:r w:rsidRPr="003C0CD7">
              <w:rPr>
                <w:rFonts w:cs="Times New Roman"/>
                <w:b/>
                <w:lang w:val="en-IE"/>
              </w:rPr>
              <w:t>Risks</w:t>
            </w:r>
          </w:p>
        </w:tc>
        <w:tc>
          <w:tcPr>
            <w:tcW w:w="1417" w:type="dxa"/>
            <w:tcBorders>
              <w:top w:val="single" w:sz="4" w:space="0" w:color="auto"/>
              <w:left w:val="single" w:sz="4" w:space="0" w:color="auto"/>
              <w:bottom w:val="single" w:sz="4" w:space="0" w:color="auto"/>
              <w:right w:val="single" w:sz="4" w:space="0" w:color="auto"/>
            </w:tcBorders>
          </w:tcPr>
          <w:p w14:paraId="294EAF17" w14:textId="77777777" w:rsidR="00C60BF9" w:rsidRPr="003C0CD7" w:rsidRDefault="00C60BF9" w:rsidP="00EA2398">
            <w:pPr>
              <w:jc w:val="left"/>
              <w:rPr>
                <w:rFonts w:cs="Times New Roman"/>
                <w:b/>
                <w:lang w:val="en-IE"/>
              </w:rPr>
            </w:pPr>
            <w:r w:rsidRPr="003C0CD7">
              <w:rPr>
                <w:rFonts w:cs="Times New Roman"/>
                <w:b/>
                <w:lang w:val="en-IE"/>
              </w:rPr>
              <w:t>Likelihood</w:t>
            </w:r>
          </w:p>
          <w:p w14:paraId="4A9FBBFA" w14:textId="77777777" w:rsidR="00C60BF9" w:rsidRPr="003C0CD7" w:rsidRDefault="00C60BF9" w:rsidP="00EA2398">
            <w:pPr>
              <w:jc w:val="left"/>
              <w:rPr>
                <w:rFonts w:cs="Times New Roman"/>
                <w:b/>
                <w:lang w:val="en-IE"/>
              </w:rPr>
            </w:pPr>
            <w:r w:rsidRPr="003C0CD7">
              <w:rPr>
                <w:rFonts w:cs="Times New Roman"/>
                <w:b/>
                <w:lang w:val="en-IE"/>
              </w:rPr>
              <w:t>(High/</w:t>
            </w:r>
          </w:p>
          <w:p w14:paraId="6CFB4F9E" w14:textId="77777777" w:rsidR="00C60BF9" w:rsidRPr="003C0CD7" w:rsidRDefault="00C60BF9" w:rsidP="00EA2398">
            <w:pPr>
              <w:jc w:val="left"/>
              <w:rPr>
                <w:rFonts w:cs="Times New Roman"/>
                <w:b/>
                <w:lang w:val="en-IE"/>
              </w:rPr>
            </w:pPr>
            <w:r w:rsidRPr="003C0CD7">
              <w:rPr>
                <w:rFonts w:cs="Times New Roman"/>
                <w:b/>
                <w:lang w:val="en-IE"/>
              </w:rPr>
              <w:t>Medium/</w:t>
            </w:r>
          </w:p>
          <w:p w14:paraId="002A4C86" w14:textId="77777777" w:rsidR="00C60BF9" w:rsidRPr="003C0CD7" w:rsidRDefault="00C60BF9" w:rsidP="00EA2398">
            <w:pPr>
              <w:jc w:val="left"/>
              <w:rPr>
                <w:rFonts w:cs="Times New Roman"/>
                <w:b/>
                <w:lang w:val="en-IE"/>
              </w:rPr>
            </w:pPr>
            <w:r w:rsidRPr="003C0CD7">
              <w:rPr>
                <w:rFonts w:cs="Times New Roman"/>
                <w:b/>
                <w:lang w:val="en-IE"/>
              </w:rPr>
              <w:t>Low)</w:t>
            </w:r>
          </w:p>
        </w:tc>
        <w:tc>
          <w:tcPr>
            <w:tcW w:w="1275" w:type="dxa"/>
            <w:tcBorders>
              <w:top w:val="single" w:sz="4" w:space="0" w:color="auto"/>
              <w:left w:val="single" w:sz="4" w:space="0" w:color="auto"/>
              <w:bottom w:val="single" w:sz="4" w:space="0" w:color="auto"/>
              <w:right w:val="single" w:sz="4" w:space="0" w:color="auto"/>
            </w:tcBorders>
          </w:tcPr>
          <w:p w14:paraId="71C66859" w14:textId="77777777" w:rsidR="00C60BF9" w:rsidRPr="003C0CD7" w:rsidRDefault="00C60BF9" w:rsidP="00EA2398">
            <w:pPr>
              <w:jc w:val="left"/>
              <w:rPr>
                <w:rFonts w:cs="Times New Roman"/>
                <w:b/>
                <w:lang w:val="en-IE"/>
              </w:rPr>
            </w:pPr>
            <w:r w:rsidRPr="003C0CD7">
              <w:rPr>
                <w:rFonts w:cs="Times New Roman"/>
                <w:b/>
                <w:lang w:val="en-IE"/>
              </w:rPr>
              <w:t xml:space="preserve">Impact </w:t>
            </w:r>
          </w:p>
          <w:p w14:paraId="639E1CF6" w14:textId="77777777" w:rsidR="00C60BF9" w:rsidRPr="003C0CD7" w:rsidRDefault="00C60BF9" w:rsidP="00EA2398">
            <w:pPr>
              <w:jc w:val="left"/>
              <w:rPr>
                <w:rFonts w:cs="Times New Roman"/>
                <w:b/>
                <w:lang w:val="en-IE"/>
              </w:rPr>
            </w:pPr>
            <w:r w:rsidRPr="003C0CD7">
              <w:rPr>
                <w:rFonts w:cs="Times New Roman"/>
                <w:b/>
                <w:lang w:val="en-IE"/>
              </w:rPr>
              <w:t>(High/</w:t>
            </w:r>
          </w:p>
          <w:p w14:paraId="43C9F08B" w14:textId="77777777" w:rsidR="00C60BF9" w:rsidRPr="003C0CD7" w:rsidRDefault="00C60BF9" w:rsidP="00EA2398">
            <w:pPr>
              <w:jc w:val="left"/>
              <w:rPr>
                <w:rFonts w:cs="Times New Roman"/>
                <w:b/>
                <w:lang w:val="en-IE"/>
              </w:rPr>
            </w:pPr>
            <w:r w:rsidRPr="003C0CD7">
              <w:rPr>
                <w:rFonts w:cs="Times New Roman"/>
                <w:b/>
                <w:lang w:val="en-IE"/>
              </w:rPr>
              <w:t>Medium/</w:t>
            </w:r>
          </w:p>
          <w:p w14:paraId="351DE2E8" w14:textId="77777777" w:rsidR="00C60BF9" w:rsidRPr="003C0CD7" w:rsidRDefault="00C60BF9" w:rsidP="00EA2398">
            <w:pPr>
              <w:jc w:val="left"/>
              <w:rPr>
                <w:rFonts w:cs="Times New Roman"/>
                <w:b/>
                <w:lang w:val="en-IE"/>
              </w:rPr>
            </w:pPr>
            <w:r w:rsidRPr="003C0CD7">
              <w:rPr>
                <w:rFonts w:cs="Times New Roman"/>
                <w:b/>
                <w:lang w:val="en-IE"/>
              </w:rPr>
              <w:t>Low)</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5696B306" w14:textId="77777777" w:rsidR="00C60BF9" w:rsidRPr="003C0CD7" w:rsidRDefault="00C60BF9" w:rsidP="00EA2398">
            <w:pPr>
              <w:rPr>
                <w:rFonts w:cs="Times New Roman"/>
                <w:b/>
                <w:lang w:val="en-IE"/>
              </w:rPr>
            </w:pPr>
            <w:r w:rsidRPr="003C0CD7">
              <w:rPr>
                <w:rFonts w:cs="Times New Roman"/>
                <w:b/>
                <w:lang w:val="en-IE"/>
              </w:rPr>
              <w:t>Mitigating measures</w:t>
            </w:r>
          </w:p>
        </w:tc>
      </w:tr>
      <w:tr w:rsidR="0002729C" w:rsidRPr="008704EA" w14:paraId="21B4B051" w14:textId="77777777" w:rsidTr="00CA22CD">
        <w:trPr>
          <w:trHeight w:val="530"/>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4786DFA6" w14:textId="79DC3006" w:rsidR="0002729C" w:rsidRPr="003C0CD7" w:rsidRDefault="0002729C" w:rsidP="00EA2398">
            <w:pPr>
              <w:rPr>
                <w:rFonts w:cs="Times New Roman"/>
                <w:lang w:val="en-IE"/>
              </w:rPr>
            </w:pPr>
            <w:r>
              <w:rPr>
                <w:rFonts w:cs="Times New Roman"/>
                <w:lang w:val="en-IE"/>
              </w:rPr>
              <w:t>People and the organisation</w:t>
            </w:r>
          </w:p>
        </w:tc>
        <w:tc>
          <w:tcPr>
            <w:tcW w:w="1990" w:type="dxa"/>
            <w:tcBorders>
              <w:top w:val="single" w:sz="4" w:space="0" w:color="auto"/>
              <w:left w:val="single" w:sz="4" w:space="0" w:color="auto"/>
              <w:bottom w:val="single" w:sz="4" w:space="0" w:color="auto"/>
              <w:right w:val="single" w:sz="4" w:space="0" w:color="auto"/>
            </w:tcBorders>
          </w:tcPr>
          <w:p w14:paraId="2E1EC3C9" w14:textId="7257B933" w:rsidR="0002729C" w:rsidRPr="003C0CD7" w:rsidRDefault="0002729C">
            <w:pPr>
              <w:jc w:val="left"/>
              <w:rPr>
                <w:rFonts w:cs="Times New Roman"/>
                <w:b/>
                <w:bCs/>
                <w:lang w:val="en-IE"/>
              </w:rPr>
            </w:pPr>
            <w:r w:rsidRPr="003024E2">
              <w:rPr>
                <w:rFonts w:cs="Times New Roman"/>
                <w:szCs w:val="24"/>
              </w:rPr>
              <w:t xml:space="preserve">Lack of political </w:t>
            </w:r>
            <w:r w:rsidR="00BB7519">
              <w:rPr>
                <w:rFonts w:cs="Times New Roman"/>
                <w:szCs w:val="24"/>
              </w:rPr>
              <w:t>consensus</w:t>
            </w:r>
            <w:r w:rsidR="00BB7519" w:rsidRPr="003024E2">
              <w:rPr>
                <w:rFonts w:cs="Times New Roman"/>
                <w:szCs w:val="24"/>
              </w:rPr>
              <w:t xml:space="preserve"> </w:t>
            </w:r>
            <w:r w:rsidRPr="003024E2">
              <w:rPr>
                <w:rFonts w:cs="Times New Roman"/>
                <w:szCs w:val="24"/>
              </w:rPr>
              <w:t>to continue with the implementation of reforms in the private sector development, trade, research and innovation and Agriculture and Fishery sectors</w:t>
            </w:r>
          </w:p>
        </w:tc>
        <w:tc>
          <w:tcPr>
            <w:tcW w:w="1417" w:type="dxa"/>
            <w:tcBorders>
              <w:top w:val="single" w:sz="4" w:space="0" w:color="auto"/>
              <w:left w:val="single" w:sz="4" w:space="0" w:color="auto"/>
              <w:bottom w:val="single" w:sz="4" w:space="0" w:color="auto"/>
              <w:right w:val="single" w:sz="4" w:space="0" w:color="auto"/>
            </w:tcBorders>
          </w:tcPr>
          <w:p w14:paraId="6D49D1F4" w14:textId="2A68CB4F" w:rsidR="0002729C" w:rsidRPr="003C0CD7" w:rsidRDefault="00687EC0" w:rsidP="00EA2398">
            <w:pPr>
              <w:jc w:val="left"/>
              <w:rPr>
                <w:rFonts w:cs="Times New Roman"/>
                <w:b/>
                <w:bCs/>
                <w:lang w:val="en-IE"/>
              </w:rPr>
            </w:pPr>
            <w:r>
              <w:rPr>
                <w:rFonts w:cs="Times New Roman"/>
                <w:lang w:val="en-IE"/>
              </w:rPr>
              <w:t>M</w:t>
            </w:r>
          </w:p>
        </w:tc>
        <w:tc>
          <w:tcPr>
            <w:tcW w:w="1275" w:type="dxa"/>
            <w:tcBorders>
              <w:top w:val="single" w:sz="4" w:space="0" w:color="auto"/>
              <w:left w:val="single" w:sz="4" w:space="0" w:color="auto"/>
              <w:bottom w:val="single" w:sz="4" w:space="0" w:color="auto"/>
              <w:right w:val="single" w:sz="4" w:space="0" w:color="auto"/>
            </w:tcBorders>
          </w:tcPr>
          <w:p w14:paraId="440878F9" w14:textId="2851105A" w:rsidR="0002729C" w:rsidRPr="003C0CD7" w:rsidRDefault="0002729C" w:rsidP="00EA2398">
            <w:pPr>
              <w:jc w:val="left"/>
              <w:rPr>
                <w:rFonts w:cs="Times New Roman"/>
                <w:b/>
                <w:bCs/>
                <w:lang w:val="en-IE"/>
              </w:rPr>
            </w:pPr>
            <w:r w:rsidRPr="003024E2">
              <w:rPr>
                <w:rFonts w:cs="Times New Roman"/>
                <w:lang w:val="en-IE"/>
              </w:rPr>
              <w:t>H</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5A8FC1DC" w14:textId="3BFB9C43" w:rsidR="00BB7519" w:rsidRPr="002A5446" w:rsidRDefault="00BB7519" w:rsidP="00BB7519">
            <w:pPr>
              <w:spacing w:before="100" w:beforeAutospacing="1" w:after="100" w:afterAutospacing="1"/>
              <w:ind w:right="93"/>
              <w:textAlignment w:val="baseline"/>
              <w:rPr>
                <w:rFonts w:eastAsia="Times New Roman" w:cs="Times New Roman"/>
                <w:lang w:eastAsia="en-GB"/>
              </w:rPr>
            </w:pPr>
            <w:r w:rsidRPr="7F7F5FA2">
              <w:rPr>
                <w:rFonts w:eastAsia="Times New Roman" w:cs="Times New Roman"/>
                <w:lang w:eastAsia="en-GB"/>
              </w:rPr>
              <w:t xml:space="preserve">Keeping the dynamics of the accession process is an important leverage tool to align political visions. The progress with the ongoing screening will help enhancing the societal support for the accession process. The active strategic communication on the concrete benefits of the EU accession, including with outreach to smaller locations </w:t>
            </w:r>
            <w:r>
              <w:rPr>
                <w:rFonts w:eastAsia="Times New Roman" w:cs="Times New Roman"/>
                <w:lang w:eastAsia="en-GB"/>
              </w:rPr>
              <w:t xml:space="preserve">and rural areas </w:t>
            </w:r>
            <w:r w:rsidRPr="7F7F5FA2">
              <w:rPr>
                <w:rFonts w:eastAsia="Times New Roman" w:cs="Times New Roman"/>
                <w:lang w:eastAsia="en-GB"/>
              </w:rPr>
              <w:t>will support the process.  </w:t>
            </w:r>
          </w:p>
          <w:p w14:paraId="1415C1B3" w14:textId="114C559E" w:rsidR="0002729C" w:rsidRPr="003C0CD7" w:rsidRDefault="00BB7519" w:rsidP="00BB7519">
            <w:pPr>
              <w:rPr>
                <w:rFonts w:cs="Times New Roman"/>
                <w:b/>
                <w:bCs/>
                <w:lang w:val="en-IE"/>
              </w:rPr>
            </w:pPr>
            <w:r w:rsidRPr="7F7F5FA2">
              <w:rPr>
                <w:rFonts w:eastAsia="Times New Roman" w:cs="Times New Roman"/>
                <w:lang w:eastAsia="en-GB"/>
              </w:rPr>
              <w:t xml:space="preserve">Enhanced political dialogue with the political actors will be important </w:t>
            </w:r>
            <w:r>
              <w:rPr>
                <w:rFonts w:eastAsia="Times New Roman" w:cs="Times New Roman"/>
                <w:lang w:eastAsia="en-GB"/>
              </w:rPr>
              <w:t xml:space="preserve">as well through </w:t>
            </w:r>
            <w:r>
              <w:rPr>
                <w:rFonts w:cs="Times New Roman"/>
                <w:lang w:val="en-IE"/>
              </w:rPr>
              <w:t>engaging in continuous policy dialogue with institutions and authorities of North Macedonia through mainly the SWGs, with strong ownership and leadership by the relevant ministries.</w:t>
            </w:r>
          </w:p>
        </w:tc>
      </w:tr>
      <w:tr w:rsidR="00FD647B" w:rsidRPr="008704EA" w14:paraId="30312A42" w14:textId="77777777" w:rsidTr="00CA22CD">
        <w:trPr>
          <w:trHeight w:val="530"/>
        </w:trPr>
        <w:tc>
          <w:tcPr>
            <w:tcW w:w="1867" w:type="dxa"/>
            <w:tcBorders>
              <w:top w:val="single" w:sz="4" w:space="0" w:color="auto"/>
              <w:left w:val="single" w:sz="4" w:space="0" w:color="auto"/>
              <w:bottom w:val="single" w:sz="4" w:space="0" w:color="auto"/>
              <w:right w:val="single" w:sz="4" w:space="0" w:color="auto"/>
            </w:tcBorders>
            <w:shd w:val="clear" w:color="auto" w:fill="auto"/>
          </w:tcPr>
          <w:p w14:paraId="2BDCE76C" w14:textId="37A94E20" w:rsidR="00FD647B" w:rsidRPr="003C0CD7" w:rsidRDefault="00FD647B" w:rsidP="00EA2398">
            <w:pPr>
              <w:rPr>
                <w:rFonts w:cs="Times New Roman"/>
                <w:lang w:val="en-IE"/>
              </w:rPr>
            </w:pPr>
            <w:r>
              <w:rPr>
                <w:rFonts w:cs="Times New Roman"/>
                <w:lang w:val="en-IE"/>
              </w:rPr>
              <w:lastRenderedPageBreak/>
              <w:t>Planning, process and system</w:t>
            </w:r>
          </w:p>
        </w:tc>
        <w:tc>
          <w:tcPr>
            <w:tcW w:w="1990" w:type="dxa"/>
            <w:tcBorders>
              <w:top w:val="single" w:sz="4" w:space="0" w:color="auto"/>
              <w:left w:val="single" w:sz="4" w:space="0" w:color="auto"/>
              <w:bottom w:val="single" w:sz="4" w:space="0" w:color="auto"/>
              <w:right w:val="single" w:sz="4" w:space="0" w:color="auto"/>
            </w:tcBorders>
          </w:tcPr>
          <w:p w14:paraId="54A6E576" w14:textId="387D3F8D" w:rsidR="00FD647B" w:rsidRPr="003C0CD7" w:rsidRDefault="00BB7519" w:rsidP="00EA2398">
            <w:pPr>
              <w:jc w:val="left"/>
              <w:rPr>
                <w:rFonts w:cs="Times New Roman"/>
                <w:b/>
                <w:bCs/>
                <w:lang w:val="en-IE"/>
              </w:rPr>
            </w:pPr>
            <w:r>
              <w:t xml:space="preserve">Insufficient  </w:t>
            </w:r>
            <w:r w:rsidR="00FD647B">
              <w:t>administrative capacity, lack of adequate number and quality staffing and insufficient coordination among the institutions</w:t>
            </w:r>
          </w:p>
        </w:tc>
        <w:tc>
          <w:tcPr>
            <w:tcW w:w="1417" w:type="dxa"/>
            <w:tcBorders>
              <w:top w:val="single" w:sz="4" w:space="0" w:color="auto"/>
              <w:left w:val="single" w:sz="4" w:space="0" w:color="auto"/>
              <w:bottom w:val="single" w:sz="4" w:space="0" w:color="auto"/>
              <w:right w:val="single" w:sz="4" w:space="0" w:color="auto"/>
            </w:tcBorders>
          </w:tcPr>
          <w:p w14:paraId="21BDC7CB" w14:textId="6A78AE94" w:rsidR="00FD647B" w:rsidRPr="003C0CD7" w:rsidRDefault="00FD647B" w:rsidP="00EA2398">
            <w:pPr>
              <w:jc w:val="left"/>
              <w:rPr>
                <w:rFonts w:cs="Times New Roman"/>
                <w:b/>
                <w:lang w:val="en-IE"/>
              </w:rPr>
            </w:pPr>
            <w:r>
              <w:rPr>
                <w:rFonts w:cs="Times New Roman"/>
                <w:bCs/>
                <w:lang w:val="en-IE"/>
              </w:rPr>
              <w:t>M</w:t>
            </w:r>
          </w:p>
        </w:tc>
        <w:tc>
          <w:tcPr>
            <w:tcW w:w="1275" w:type="dxa"/>
            <w:tcBorders>
              <w:top w:val="single" w:sz="4" w:space="0" w:color="auto"/>
              <w:left w:val="single" w:sz="4" w:space="0" w:color="auto"/>
              <w:bottom w:val="single" w:sz="4" w:space="0" w:color="auto"/>
              <w:right w:val="single" w:sz="4" w:space="0" w:color="auto"/>
            </w:tcBorders>
          </w:tcPr>
          <w:p w14:paraId="08A68E1E" w14:textId="32CE5163" w:rsidR="00FD647B" w:rsidRPr="003C0CD7" w:rsidRDefault="00FD647B" w:rsidP="00EA2398">
            <w:pPr>
              <w:jc w:val="left"/>
              <w:rPr>
                <w:rFonts w:cs="Times New Roman"/>
                <w:b/>
                <w:lang w:val="en-IE"/>
              </w:rPr>
            </w:pPr>
            <w:r w:rsidRPr="003024E2">
              <w:rPr>
                <w:rFonts w:cs="Times New Roman"/>
                <w:bCs/>
                <w:lang w:val="en-IE"/>
              </w:rPr>
              <w:t>H</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78A6C06E" w14:textId="3178CEB1" w:rsidR="00FD647B" w:rsidRPr="00CA22CD" w:rsidRDefault="00BB7519" w:rsidP="00EA2398">
            <w:pPr>
              <w:rPr>
                <w:rFonts w:cs="Times New Roman"/>
                <w:b/>
              </w:rPr>
            </w:pPr>
            <w:r w:rsidRPr="00F409CB">
              <w:t xml:space="preserve">The ongoing Public Administration Reform (PAR) is expected to address the high staff turnover in all institutions by proposing a viable retention and merit-based policy and modern human resource management. As intermediate mitigation approach, technical assistance and capacity building measures, including by this action, will be put in place.  </w:t>
            </w:r>
          </w:p>
        </w:tc>
      </w:tr>
    </w:tbl>
    <w:p w14:paraId="3AE8A23B" w14:textId="77777777" w:rsidR="00C60BF9" w:rsidRDefault="00C60BF9" w:rsidP="00EA2398">
      <w:pPr>
        <w:rPr>
          <w:b/>
          <w:szCs w:val="24"/>
          <w:lang w:val="en-IE"/>
        </w:rPr>
      </w:pPr>
    </w:p>
    <w:p w14:paraId="26A35809" w14:textId="77777777" w:rsidR="005B2F62" w:rsidRDefault="005B2F62" w:rsidP="00EA2398">
      <w:pPr>
        <w:spacing w:before="120" w:after="120"/>
        <w:rPr>
          <w:rFonts w:cs="Times New Roman"/>
          <w:b/>
          <w:color w:val="0D0D0D" w:themeColor="text1" w:themeTint="F2"/>
        </w:rPr>
      </w:pPr>
      <w:r w:rsidRPr="00162DD2">
        <w:rPr>
          <w:rFonts w:cs="Times New Roman"/>
          <w:b/>
          <w:color w:val="0D0D0D" w:themeColor="text1" w:themeTint="F2"/>
        </w:rPr>
        <w:t>External Assumptions</w:t>
      </w:r>
    </w:p>
    <w:p w14:paraId="6B530F4D" w14:textId="25389EFC" w:rsidR="00A0436E" w:rsidRPr="004578BF" w:rsidRDefault="004578BF" w:rsidP="00EA2398">
      <w:pPr>
        <w:rPr>
          <w:rFonts w:cs="Times New Roman"/>
          <w:bCs/>
          <w:color w:val="0D0D0D" w:themeColor="text1" w:themeTint="F2"/>
        </w:rPr>
      </w:pPr>
      <w:r>
        <w:rPr>
          <w:rFonts w:cs="Times New Roman"/>
          <w:bCs/>
          <w:color w:val="0D0D0D" w:themeColor="text1" w:themeTint="F2"/>
        </w:rPr>
        <w:t>The following a</w:t>
      </w:r>
      <w:r w:rsidRPr="004578BF">
        <w:rPr>
          <w:rFonts w:cs="Times New Roman"/>
          <w:bCs/>
          <w:color w:val="0D0D0D" w:themeColor="text1" w:themeTint="F2"/>
        </w:rPr>
        <w:t>ssumptions allow for a successful cause-and-effect relationship between different levels of results</w:t>
      </w:r>
      <w:r w:rsidR="00621C43">
        <w:rPr>
          <w:rFonts w:cs="Times New Roman"/>
          <w:bCs/>
          <w:color w:val="0D0D0D" w:themeColor="text1" w:themeTint="F2"/>
        </w:rPr>
        <w:t>:</w:t>
      </w:r>
    </w:p>
    <w:p w14:paraId="76975196" w14:textId="77777777" w:rsidR="008869BA" w:rsidRPr="007B1257" w:rsidRDefault="008869BA" w:rsidP="00CA22CD">
      <w:pPr>
        <w:pStyle w:val="ListParagraph"/>
        <w:numPr>
          <w:ilvl w:val="0"/>
          <w:numId w:val="25"/>
        </w:numPr>
        <w:spacing w:before="120"/>
        <w:ind w:left="714" w:hanging="357"/>
        <w:contextualSpacing w:val="0"/>
        <w:rPr>
          <w:color w:val="0D0D0D" w:themeColor="text1" w:themeTint="F2"/>
        </w:rPr>
      </w:pPr>
      <w:r w:rsidRPr="007B1257">
        <w:rPr>
          <w:color w:val="0D0D0D" w:themeColor="text1" w:themeTint="F2"/>
        </w:rPr>
        <w:t>Macroeconomic and fiscal stability is ensured</w:t>
      </w:r>
    </w:p>
    <w:p w14:paraId="3D7F7B28" w14:textId="07905749" w:rsidR="003425B6" w:rsidRDefault="00B66EAB" w:rsidP="00CA22CD">
      <w:pPr>
        <w:pStyle w:val="ListParagraph"/>
        <w:numPr>
          <w:ilvl w:val="0"/>
          <w:numId w:val="25"/>
        </w:numPr>
        <w:spacing w:before="120"/>
        <w:ind w:left="714" w:hanging="357"/>
        <w:contextualSpacing w:val="0"/>
        <w:rPr>
          <w:color w:val="0D0D0D" w:themeColor="text1" w:themeTint="F2"/>
        </w:rPr>
      </w:pPr>
      <w:r>
        <w:rPr>
          <w:color w:val="0D0D0D" w:themeColor="text1" w:themeTint="F2"/>
        </w:rPr>
        <w:t>T</w:t>
      </w:r>
      <w:r w:rsidR="003425B6" w:rsidRPr="00972DC4">
        <w:rPr>
          <w:color w:val="0D0D0D" w:themeColor="text1" w:themeTint="F2"/>
        </w:rPr>
        <w:t xml:space="preserve">he economy and creation of a business climate favourable to economic growth </w:t>
      </w:r>
      <w:r w:rsidR="005E1D68">
        <w:rPr>
          <w:color w:val="0D0D0D" w:themeColor="text1" w:themeTint="F2"/>
        </w:rPr>
        <w:t>remain</w:t>
      </w:r>
      <w:r w:rsidR="005E1D68" w:rsidRPr="00972DC4">
        <w:rPr>
          <w:color w:val="0D0D0D" w:themeColor="text1" w:themeTint="F2"/>
        </w:rPr>
        <w:t xml:space="preserve"> </w:t>
      </w:r>
      <w:r w:rsidR="003425B6" w:rsidRPr="00972DC4">
        <w:rPr>
          <w:color w:val="0D0D0D" w:themeColor="text1" w:themeTint="F2"/>
        </w:rPr>
        <w:t xml:space="preserve">top priorities </w:t>
      </w:r>
      <w:r w:rsidR="005E1D68">
        <w:rPr>
          <w:color w:val="0D0D0D" w:themeColor="text1" w:themeTint="F2"/>
        </w:rPr>
        <w:t>for</w:t>
      </w:r>
      <w:r w:rsidR="005E1D68" w:rsidRPr="00972DC4">
        <w:rPr>
          <w:color w:val="0D0D0D" w:themeColor="text1" w:themeTint="F2"/>
        </w:rPr>
        <w:t xml:space="preserve"> </w:t>
      </w:r>
      <w:r w:rsidR="003425B6" w:rsidRPr="00972DC4">
        <w:rPr>
          <w:color w:val="0D0D0D" w:themeColor="text1" w:themeTint="F2"/>
        </w:rPr>
        <w:t>the Government of North Macedonia.</w:t>
      </w:r>
    </w:p>
    <w:p w14:paraId="46893654" w14:textId="5CA4DB28" w:rsidR="007B1257" w:rsidRDefault="005E1D68" w:rsidP="00CA22CD">
      <w:pPr>
        <w:pStyle w:val="ListParagraph"/>
        <w:numPr>
          <w:ilvl w:val="0"/>
          <w:numId w:val="25"/>
        </w:numPr>
        <w:spacing w:before="120"/>
        <w:ind w:left="714" w:hanging="357"/>
        <w:contextualSpacing w:val="0"/>
        <w:rPr>
          <w:color w:val="0D0D0D" w:themeColor="text1" w:themeTint="F2"/>
        </w:rPr>
      </w:pPr>
      <w:r w:rsidRPr="007B1257">
        <w:rPr>
          <w:color w:val="0D0D0D" w:themeColor="text1" w:themeTint="F2"/>
        </w:rPr>
        <w:t xml:space="preserve">Incentives </w:t>
      </w:r>
      <w:r w:rsidR="007B1257" w:rsidRPr="007B1257">
        <w:rPr>
          <w:color w:val="0D0D0D" w:themeColor="text1" w:themeTint="F2"/>
        </w:rPr>
        <w:t xml:space="preserve">for RDI </w:t>
      </w:r>
      <w:r>
        <w:rPr>
          <w:color w:val="0D0D0D" w:themeColor="text1" w:themeTint="F2"/>
        </w:rPr>
        <w:t>gradually</w:t>
      </w:r>
      <w:r w:rsidR="007B1257" w:rsidRPr="007B1257">
        <w:rPr>
          <w:color w:val="0D0D0D" w:themeColor="text1" w:themeTint="F2"/>
        </w:rPr>
        <w:t xml:space="preserve"> increase</w:t>
      </w:r>
    </w:p>
    <w:p w14:paraId="37C363EC" w14:textId="77777777" w:rsidR="005E1D68" w:rsidRDefault="005E1D68" w:rsidP="005E1D68">
      <w:pPr>
        <w:pStyle w:val="ListParagraph"/>
        <w:numPr>
          <w:ilvl w:val="0"/>
          <w:numId w:val="56"/>
        </w:numPr>
        <w:spacing w:before="120"/>
        <w:contextualSpacing w:val="0"/>
        <w:rPr>
          <w:color w:val="0D0D0D" w:themeColor="text1" w:themeTint="F2"/>
        </w:rPr>
      </w:pPr>
      <w:r w:rsidRPr="002E515D">
        <w:rPr>
          <w:bCs/>
          <w:color w:val="0D0D0D" w:themeColor="text1" w:themeTint="F2"/>
        </w:rPr>
        <w:t xml:space="preserve">Continued political will and commitment of the Government and public administration to the accession process and </w:t>
      </w:r>
      <w:r w:rsidRPr="002E515D">
        <w:rPr>
          <w:color w:val="0D0D0D" w:themeColor="text1" w:themeTint="F2"/>
        </w:rPr>
        <w:t>the alignment of the EU acquis</w:t>
      </w:r>
    </w:p>
    <w:p w14:paraId="15039E8C" w14:textId="76DF654B" w:rsidR="005E1D68" w:rsidRDefault="00784BFB" w:rsidP="005E1D68">
      <w:pPr>
        <w:pStyle w:val="ListParagraph"/>
        <w:numPr>
          <w:ilvl w:val="0"/>
          <w:numId w:val="56"/>
        </w:numPr>
        <w:spacing w:before="120"/>
        <w:contextualSpacing w:val="0"/>
        <w:rPr>
          <w:color w:val="0D0D0D" w:themeColor="text1" w:themeTint="F2"/>
        </w:rPr>
      </w:pPr>
      <w:r>
        <w:rPr>
          <w:bCs/>
          <w:color w:val="0D0D0D" w:themeColor="text1" w:themeTint="F2"/>
        </w:rPr>
        <w:t xml:space="preserve">The political commitment is translated into physical and human resources for the continuation of the sector reforms and the implementation of the EU assistance </w:t>
      </w:r>
    </w:p>
    <w:p w14:paraId="13375C4B" w14:textId="1117ED2E" w:rsidR="005E1D68" w:rsidRPr="00AA05FA" w:rsidRDefault="005E1D68" w:rsidP="00CA22CD">
      <w:pPr>
        <w:pStyle w:val="ListParagraph"/>
        <w:numPr>
          <w:ilvl w:val="0"/>
          <w:numId w:val="56"/>
        </w:numPr>
        <w:spacing w:before="120"/>
        <w:contextualSpacing w:val="0"/>
        <w:rPr>
          <w:color w:val="0D0D0D" w:themeColor="text1" w:themeTint="F2"/>
        </w:rPr>
      </w:pPr>
      <w:r>
        <w:rPr>
          <w:color w:val="0D0D0D" w:themeColor="text1" w:themeTint="F2"/>
        </w:rPr>
        <w:t xml:space="preserve">Willingness on behalf of the economic operators and academia to cooperate </w:t>
      </w:r>
      <w:r w:rsidRPr="002E515D">
        <w:rPr>
          <w:bCs/>
          <w:color w:val="0D0D0D" w:themeColor="text1" w:themeTint="F2"/>
        </w:rPr>
        <w:t xml:space="preserve"> </w:t>
      </w:r>
    </w:p>
    <w:p w14:paraId="21C1D43F" w14:textId="1C9000BD" w:rsidR="00371650" w:rsidRPr="001A3404" w:rsidRDefault="004652A0" w:rsidP="00CA22CD">
      <w:pPr>
        <w:pStyle w:val="ListParagraph"/>
        <w:numPr>
          <w:ilvl w:val="0"/>
          <w:numId w:val="53"/>
        </w:numPr>
        <w:autoSpaceDE w:val="0"/>
        <w:autoSpaceDN w:val="0"/>
        <w:adjustRightInd w:val="0"/>
        <w:spacing w:before="120"/>
        <w:contextualSpacing w:val="0"/>
        <w:rPr>
          <w:color w:val="0D0D0D" w:themeColor="text1" w:themeTint="F2"/>
        </w:rPr>
      </w:pPr>
      <w:r w:rsidRPr="001A3404">
        <w:rPr>
          <w:color w:val="0D0D0D" w:themeColor="text1" w:themeTint="F2"/>
        </w:rPr>
        <w:t>Good cooperation and coordination among key stakeholders including local administration</w:t>
      </w:r>
    </w:p>
    <w:p w14:paraId="20F6E485" w14:textId="77777777" w:rsidR="00FB5360" w:rsidRDefault="00FB5360" w:rsidP="00EA2398">
      <w:pPr>
        <w:rPr>
          <w:color w:val="0D0D0D" w:themeColor="text1" w:themeTint="F2"/>
        </w:rPr>
      </w:pPr>
    </w:p>
    <w:p w14:paraId="78ADAD28" w14:textId="77777777" w:rsidR="00EF6C41" w:rsidRDefault="00EF6C41" w:rsidP="00EA2398">
      <w:pPr>
        <w:rPr>
          <w:color w:val="0D0D0D" w:themeColor="text1" w:themeTint="F2"/>
        </w:rPr>
      </w:pPr>
    </w:p>
    <w:p w14:paraId="4EC4F9E0" w14:textId="77777777" w:rsidR="00EF6C41" w:rsidRDefault="00EF6C41" w:rsidP="00EA2398">
      <w:pPr>
        <w:rPr>
          <w:color w:val="0D0D0D" w:themeColor="text1" w:themeTint="F2"/>
        </w:rPr>
      </w:pPr>
    </w:p>
    <w:p w14:paraId="68D220DA" w14:textId="77777777" w:rsidR="00EF6C41" w:rsidRDefault="00EF6C41" w:rsidP="00EA2398">
      <w:pPr>
        <w:rPr>
          <w:color w:val="0D0D0D" w:themeColor="text1" w:themeTint="F2"/>
        </w:rPr>
      </w:pPr>
    </w:p>
    <w:p w14:paraId="3BCB58A9" w14:textId="77777777" w:rsidR="00EF6C41" w:rsidRPr="00EF6C41" w:rsidRDefault="00EF6C41">
      <w:pPr>
        <w:pStyle w:val="ListParagraph"/>
        <w:numPr>
          <w:ilvl w:val="0"/>
          <w:numId w:val="32"/>
        </w:numPr>
        <w:rPr>
          <w:vanish/>
          <w:lang w:val="en-IE"/>
        </w:rPr>
      </w:pPr>
    </w:p>
    <w:p w14:paraId="5A905F81" w14:textId="77777777" w:rsidR="00EF6C41" w:rsidRPr="00EF6C41" w:rsidRDefault="00EF6C41">
      <w:pPr>
        <w:pStyle w:val="ListParagraph"/>
        <w:numPr>
          <w:ilvl w:val="0"/>
          <w:numId w:val="32"/>
        </w:numPr>
        <w:rPr>
          <w:vanish/>
          <w:lang w:val="en-IE"/>
        </w:rPr>
      </w:pPr>
    </w:p>
    <w:p w14:paraId="5396BC1C" w14:textId="77777777" w:rsidR="00EF6C41" w:rsidRPr="00EF6C41" w:rsidRDefault="00EF6C41">
      <w:pPr>
        <w:pStyle w:val="ListParagraph"/>
        <w:numPr>
          <w:ilvl w:val="0"/>
          <w:numId w:val="32"/>
        </w:numPr>
        <w:rPr>
          <w:vanish/>
          <w:lang w:val="en-IE"/>
        </w:rPr>
      </w:pPr>
    </w:p>
    <w:p w14:paraId="28A4A050" w14:textId="77777777" w:rsidR="00EF6C41" w:rsidRPr="00EF6C41" w:rsidRDefault="00EF6C41">
      <w:pPr>
        <w:pStyle w:val="ListParagraph"/>
        <w:numPr>
          <w:ilvl w:val="1"/>
          <w:numId w:val="32"/>
        </w:numPr>
        <w:rPr>
          <w:vanish/>
          <w:lang w:val="en-IE"/>
        </w:rPr>
      </w:pPr>
    </w:p>
    <w:p w14:paraId="72A63844" w14:textId="77777777" w:rsidR="00EF6C41" w:rsidRPr="00EF6C41" w:rsidRDefault="00EF6C41">
      <w:pPr>
        <w:pStyle w:val="ListParagraph"/>
        <w:numPr>
          <w:ilvl w:val="1"/>
          <w:numId w:val="32"/>
        </w:numPr>
        <w:rPr>
          <w:vanish/>
          <w:lang w:val="en-IE"/>
        </w:rPr>
      </w:pPr>
    </w:p>
    <w:p w14:paraId="645A2346" w14:textId="77777777" w:rsidR="00EF6C41" w:rsidRPr="00EF6C41" w:rsidRDefault="00EF6C41">
      <w:pPr>
        <w:pStyle w:val="ListParagraph"/>
        <w:numPr>
          <w:ilvl w:val="1"/>
          <w:numId w:val="32"/>
        </w:numPr>
        <w:rPr>
          <w:vanish/>
          <w:lang w:val="en-IE"/>
        </w:rPr>
      </w:pPr>
    </w:p>
    <w:p w14:paraId="5DB9377F" w14:textId="77777777" w:rsidR="00EF6C41" w:rsidRPr="00EF6C41" w:rsidRDefault="00EF6C41">
      <w:pPr>
        <w:pStyle w:val="ListParagraph"/>
        <w:numPr>
          <w:ilvl w:val="1"/>
          <w:numId w:val="32"/>
        </w:numPr>
        <w:rPr>
          <w:vanish/>
          <w:lang w:val="en-IE"/>
        </w:rPr>
      </w:pPr>
    </w:p>
    <w:p w14:paraId="637508DD" w14:textId="3AA980BB" w:rsidR="00FB5360" w:rsidRPr="005E4A1A" w:rsidRDefault="00FB5360" w:rsidP="005E4A1A">
      <w:pPr>
        <w:ind w:left="360"/>
        <w:rPr>
          <w:color w:val="0D0D0D" w:themeColor="text1" w:themeTint="F2"/>
        </w:rPr>
        <w:sectPr w:rsidR="00FB5360" w:rsidRPr="005E4A1A" w:rsidSect="009D4EF1">
          <w:headerReference w:type="default" r:id="rId23"/>
          <w:footerReference w:type="default" r:id="rId24"/>
          <w:pgSz w:w="11906" w:h="16838"/>
          <w:pgMar w:top="993" w:right="720" w:bottom="426" w:left="720" w:header="510" w:footer="483" w:gutter="0"/>
          <w:cols w:space="708"/>
          <w:docGrid w:linePitch="360"/>
        </w:sectPr>
      </w:pPr>
    </w:p>
    <w:tbl>
      <w:tblPr>
        <w:tblpPr w:leftFromText="180" w:rightFromText="180" w:vertAnchor="text" w:horzAnchor="margin" w:tblpY="55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2219"/>
        <w:gridCol w:w="3325"/>
        <w:gridCol w:w="1803"/>
        <w:gridCol w:w="1661"/>
        <w:gridCol w:w="2358"/>
        <w:gridCol w:w="2222"/>
        <w:gridCol w:w="18"/>
      </w:tblGrid>
      <w:tr w:rsidR="00EF6C41" w:rsidRPr="006575A0" w14:paraId="5AF7D810" w14:textId="77777777" w:rsidTr="00CA22CD">
        <w:trPr>
          <w:trHeight w:val="697"/>
          <w:tblHeader/>
        </w:trPr>
        <w:tc>
          <w:tcPr>
            <w:tcW w:w="5000" w:type="pct"/>
            <w:gridSpan w:val="8"/>
            <w:tcBorders>
              <w:top w:val="nil"/>
              <w:left w:val="nil"/>
              <w:bottom w:val="single" w:sz="4" w:space="0" w:color="auto"/>
              <w:right w:val="nil"/>
            </w:tcBorders>
            <w:shd w:val="clear" w:color="auto" w:fill="auto"/>
          </w:tcPr>
          <w:p w14:paraId="3B9DDE37" w14:textId="77777777" w:rsidR="00EF6C41" w:rsidRPr="00EF6C41" w:rsidRDefault="00EF6C41">
            <w:pPr>
              <w:pStyle w:val="ListParagraph"/>
              <w:numPr>
                <w:ilvl w:val="1"/>
                <w:numId w:val="32"/>
              </w:numPr>
              <w:rPr>
                <w:b/>
                <w:bCs/>
                <w:lang w:val="en-IE"/>
              </w:rPr>
            </w:pPr>
            <w:r w:rsidRPr="00EF6C41">
              <w:rPr>
                <w:b/>
                <w:bCs/>
                <w:lang w:val="en-IE"/>
              </w:rPr>
              <w:lastRenderedPageBreak/>
              <w:t xml:space="preserve">Indicative Logical Framework Matrix </w:t>
            </w:r>
          </w:p>
          <w:p w14:paraId="052E441E" w14:textId="77777777" w:rsidR="00EF6C41" w:rsidRPr="006575A0" w:rsidRDefault="00EF6C41" w:rsidP="00EF6C41">
            <w:pPr>
              <w:jc w:val="center"/>
              <w:rPr>
                <w:rFonts w:eastAsia="Calibri" w:cs="Times New Roman"/>
                <w:b/>
                <w:color w:val="0D0D0D"/>
                <w:sz w:val="18"/>
                <w:szCs w:val="18"/>
              </w:rPr>
            </w:pPr>
          </w:p>
        </w:tc>
      </w:tr>
      <w:tr w:rsidR="00EF6C41" w:rsidRPr="006575A0" w14:paraId="10FE96B7" w14:textId="77777777" w:rsidTr="00CA22CD">
        <w:trPr>
          <w:gridAfter w:val="1"/>
          <w:wAfter w:w="8" w:type="pct"/>
          <w:trHeight w:val="428"/>
          <w:tblHeader/>
        </w:trPr>
        <w:tc>
          <w:tcPr>
            <w:tcW w:w="585" w:type="pct"/>
            <w:tcBorders>
              <w:top w:val="single" w:sz="4" w:space="0" w:color="auto"/>
              <w:bottom w:val="single" w:sz="4" w:space="0" w:color="auto"/>
            </w:tcBorders>
            <w:shd w:val="clear" w:color="auto" w:fill="BFBFBF"/>
          </w:tcPr>
          <w:p w14:paraId="77CD3FAD" w14:textId="77777777" w:rsidR="00EF6C41" w:rsidRPr="004C5CF8" w:rsidRDefault="00EF6C41" w:rsidP="00EF6C41">
            <w:pPr>
              <w:jc w:val="center"/>
              <w:rPr>
                <w:rFonts w:eastAsia="Calibri" w:cs="Times New Roman"/>
                <w:b/>
                <w:bCs/>
                <w:color w:val="0D0D0D"/>
                <w:sz w:val="18"/>
                <w:szCs w:val="18"/>
              </w:rPr>
            </w:pPr>
            <w:bookmarkStart w:id="203" w:name="_Ref58688204"/>
            <w:bookmarkStart w:id="204" w:name="_Ref58688290"/>
            <w:bookmarkStart w:id="205" w:name="_Toc73090750"/>
            <w:r w:rsidRPr="004C5CF8">
              <w:rPr>
                <w:rFonts w:eastAsia="Calibri" w:cs="Times New Roman"/>
                <w:b/>
                <w:bCs/>
                <w:color w:val="0D0D0D"/>
                <w:sz w:val="18"/>
                <w:szCs w:val="18"/>
              </w:rPr>
              <w:t>Results</w:t>
            </w:r>
          </w:p>
        </w:tc>
        <w:tc>
          <w:tcPr>
            <w:tcW w:w="720" w:type="pct"/>
            <w:tcBorders>
              <w:top w:val="single" w:sz="4" w:space="0" w:color="auto"/>
              <w:bottom w:val="single" w:sz="4" w:space="0" w:color="auto"/>
            </w:tcBorders>
            <w:shd w:val="clear" w:color="auto" w:fill="BFBFBF"/>
          </w:tcPr>
          <w:p w14:paraId="1810C603" w14:textId="77777777" w:rsidR="00EF6C41" w:rsidRPr="00761107" w:rsidRDefault="00EF6C41" w:rsidP="00EF6C41">
            <w:pPr>
              <w:jc w:val="center"/>
              <w:rPr>
                <w:rFonts w:eastAsia="Calibri" w:cs="Times New Roman"/>
                <w:b/>
                <w:color w:val="0D0D0D"/>
                <w:sz w:val="18"/>
                <w:szCs w:val="18"/>
              </w:rPr>
            </w:pPr>
            <w:r w:rsidRPr="00761107">
              <w:rPr>
                <w:rFonts w:eastAsia="Calibri" w:cs="Times New Roman"/>
                <w:b/>
                <w:color w:val="0D0D0D"/>
                <w:sz w:val="18"/>
                <w:szCs w:val="18"/>
              </w:rPr>
              <w:t>Results chain:</w:t>
            </w:r>
          </w:p>
          <w:p w14:paraId="568925CC" w14:textId="77777777" w:rsidR="00EF6C41" w:rsidRPr="00761107" w:rsidRDefault="00EF6C41" w:rsidP="00EF6C41">
            <w:pPr>
              <w:jc w:val="center"/>
              <w:rPr>
                <w:rFonts w:eastAsia="Calibri" w:cs="Times New Roman"/>
                <w:b/>
                <w:color w:val="0D0D0D"/>
                <w:sz w:val="18"/>
                <w:szCs w:val="18"/>
              </w:rPr>
            </w:pPr>
            <w:r w:rsidRPr="00761107">
              <w:rPr>
                <w:rFonts w:eastAsia="Calibri" w:cs="Times New Roman"/>
                <w:b/>
                <w:color w:val="0D0D0D"/>
                <w:sz w:val="18"/>
                <w:szCs w:val="18"/>
              </w:rPr>
              <w:t xml:space="preserve">Main expected results </w:t>
            </w:r>
          </w:p>
        </w:tc>
        <w:tc>
          <w:tcPr>
            <w:tcW w:w="1079" w:type="pct"/>
            <w:tcBorders>
              <w:top w:val="single" w:sz="4" w:space="0" w:color="auto"/>
              <w:bottom w:val="single" w:sz="4" w:space="0" w:color="auto"/>
            </w:tcBorders>
            <w:shd w:val="clear" w:color="auto" w:fill="BFBFBF"/>
          </w:tcPr>
          <w:p w14:paraId="667BF29A" w14:textId="77777777" w:rsidR="00EF6C41" w:rsidRPr="00761107" w:rsidRDefault="00EF6C41" w:rsidP="00EF6C41">
            <w:pPr>
              <w:jc w:val="center"/>
              <w:rPr>
                <w:rFonts w:eastAsia="Calibri" w:cs="Times New Roman"/>
                <w:b/>
                <w:color w:val="0D0D0D"/>
                <w:sz w:val="18"/>
                <w:szCs w:val="18"/>
              </w:rPr>
            </w:pPr>
            <w:r w:rsidRPr="00761107">
              <w:rPr>
                <w:rFonts w:eastAsia="Calibri" w:cs="Times New Roman"/>
                <w:b/>
                <w:color w:val="0D0D0D"/>
                <w:sz w:val="18"/>
                <w:szCs w:val="18"/>
              </w:rPr>
              <w:t xml:space="preserve">Indicators </w:t>
            </w:r>
          </w:p>
          <w:p w14:paraId="3C16E293" w14:textId="77777777" w:rsidR="00EF6C41" w:rsidRPr="00761107" w:rsidRDefault="00EF6C41" w:rsidP="00EF6C41">
            <w:pPr>
              <w:jc w:val="center"/>
              <w:rPr>
                <w:rFonts w:eastAsia="Calibri" w:cs="Times New Roman"/>
                <w:b/>
                <w:color w:val="0D0D0D"/>
                <w:sz w:val="18"/>
                <w:szCs w:val="18"/>
              </w:rPr>
            </w:pPr>
          </w:p>
        </w:tc>
        <w:tc>
          <w:tcPr>
            <w:tcW w:w="585" w:type="pct"/>
            <w:tcBorders>
              <w:top w:val="single" w:sz="4" w:space="0" w:color="auto"/>
              <w:bottom w:val="single" w:sz="4" w:space="0" w:color="auto"/>
            </w:tcBorders>
            <w:shd w:val="clear" w:color="auto" w:fill="BFBFBF"/>
          </w:tcPr>
          <w:p w14:paraId="54FEF911" w14:textId="77777777" w:rsidR="00EF6C41" w:rsidRPr="00761107" w:rsidRDefault="00EF6C41" w:rsidP="00EF6C41">
            <w:pPr>
              <w:jc w:val="center"/>
              <w:rPr>
                <w:rFonts w:eastAsia="Calibri" w:cs="Times New Roman"/>
                <w:b/>
                <w:color w:val="0D0D0D"/>
                <w:sz w:val="18"/>
                <w:szCs w:val="18"/>
              </w:rPr>
            </w:pPr>
            <w:r w:rsidRPr="00761107">
              <w:rPr>
                <w:rFonts w:eastAsia="Calibri" w:cs="Times New Roman"/>
                <w:b/>
                <w:color w:val="0D0D0D"/>
                <w:sz w:val="18"/>
                <w:szCs w:val="18"/>
              </w:rPr>
              <w:t>Baselines</w:t>
            </w:r>
          </w:p>
          <w:p w14:paraId="54A5EEF2" w14:textId="77777777" w:rsidR="00EF6C41" w:rsidRPr="00761107" w:rsidRDefault="00EF6C41" w:rsidP="00EF6C41">
            <w:pPr>
              <w:jc w:val="center"/>
              <w:rPr>
                <w:rFonts w:eastAsia="Calibri" w:cs="Times New Roman"/>
                <w:b/>
                <w:color w:val="0D0D0D"/>
                <w:sz w:val="18"/>
                <w:szCs w:val="18"/>
              </w:rPr>
            </w:pPr>
            <w:r w:rsidRPr="00761107">
              <w:rPr>
                <w:rFonts w:eastAsia="Calibri" w:cs="Times New Roman"/>
                <w:b/>
                <w:color w:val="0D0D0D"/>
                <w:sz w:val="18"/>
                <w:szCs w:val="18"/>
              </w:rPr>
              <w:t>(values and years)</w:t>
            </w:r>
          </w:p>
        </w:tc>
        <w:tc>
          <w:tcPr>
            <w:tcW w:w="539" w:type="pct"/>
            <w:tcBorders>
              <w:top w:val="single" w:sz="4" w:space="0" w:color="auto"/>
              <w:bottom w:val="single" w:sz="4" w:space="0" w:color="auto"/>
            </w:tcBorders>
            <w:shd w:val="clear" w:color="auto" w:fill="BFBFBF"/>
          </w:tcPr>
          <w:p w14:paraId="7CCC97B9" w14:textId="77777777" w:rsidR="00EF6C41" w:rsidRPr="00761107" w:rsidRDefault="00EF6C41" w:rsidP="00EF6C41">
            <w:pPr>
              <w:jc w:val="center"/>
              <w:rPr>
                <w:rFonts w:eastAsia="Calibri" w:cs="Times New Roman"/>
                <w:b/>
                <w:color w:val="0D0D0D"/>
                <w:sz w:val="18"/>
                <w:szCs w:val="18"/>
              </w:rPr>
            </w:pPr>
            <w:r w:rsidRPr="00761107">
              <w:rPr>
                <w:rFonts w:eastAsia="Calibri" w:cs="Times New Roman"/>
                <w:b/>
                <w:color w:val="0D0D0D"/>
                <w:sz w:val="18"/>
                <w:szCs w:val="18"/>
              </w:rPr>
              <w:t>Targets</w:t>
            </w:r>
          </w:p>
          <w:p w14:paraId="4FE57DEE" w14:textId="77777777" w:rsidR="00EF6C41" w:rsidRPr="004C5CF8" w:rsidRDefault="00EF6C41" w:rsidP="00EF6C41">
            <w:pPr>
              <w:jc w:val="center"/>
              <w:rPr>
                <w:rFonts w:eastAsia="Calibri" w:cs="Times New Roman"/>
                <w:b/>
                <w:color w:val="0D0D0D"/>
                <w:sz w:val="18"/>
                <w:szCs w:val="18"/>
              </w:rPr>
            </w:pPr>
            <w:r w:rsidRPr="00761107">
              <w:rPr>
                <w:rFonts w:eastAsia="Calibri" w:cs="Times New Roman"/>
                <w:b/>
                <w:color w:val="0D0D0D"/>
                <w:sz w:val="18"/>
                <w:szCs w:val="18"/>
              </w:rPr>
              <w:t>(values and years)</w:t>
            </w:r>
          </w:p>
        </w:tc>
        <w:tc>
          <w:tcPr>
            <w:tcW w:w="765" w:type="pct"/>
            <w:tcBorders>
              <w:top w:val="single" w:sz="4" w:space="0" w:color="auto"/>
              <w:bottom w:val="single" w:sz="4" w:space="0" w:color="auto"/>
            </w:tcBorders>
            <w:shd w:val="clear" w:color="auto" w:fill="BFBFBF"/>
          </w:tcPr>
          <w:p w14:paraId="321CF8B1" w14:textId="77777777" w:rsidR="00EF6C41" w:rsidRPr="00761107" w:rsidRDefault="00EF6C41" w:rsidP="00EF6C41">
            <w:pPr>
              <w:jc w:val="center"/>
              <w:rPr>
                <w:rFonts w:eastAsia="Calibri" w:cs="Times New Roman"/>
                <w:b/>
                <w:color w:val="0D0D0D"/>
                <w:sz w:val="18"/>
                <w:szCs w:val="18"/>
              </w:rPr>
            </w:pPr>
            <w:r w:rsidRPr="00761107">
              <w:rPr>
                <w:rFonts w:eastAsia="Calibri" w:cs="Times New Roman"/>
                <w:b/>
                <w:color w:val="0D0D0D"/>
                <w:sz w:val="18"/>
                <w:szCs w:val="18"/>
              </w:rPr>
              <w:t>Sources of data</w:t>
            </w:r>
          </w:p>
        </w:tc>
        <w:tc>
          <w:tcPr>
            <w:tcW w:w="721" w:type="pct"/>
            <w:tcBorders>
              <w:top w:val="single" w:sz="4" w:space="0" w:color="auto"/>
              <w:bottom w:val="single" w:sz="4" w:space="0" w:color="auto"/>
            </w:tcBorders>
            <w:shd w:val="clear" w:color="auto" w:fill="BFBFBF"/>
          </w:tcPr>
          <w:p w14:paraId="1C7D60FD" w14:textId="77777777" w:rsidR="00EF6C41" w:rsidRPr="00761107" w:rsidRDefault="00EF6C41" w:rsidP="00EF6C41">
            <w:pPr>
              <w:jc w:val="center"/>
              <w:rPr>
                <w:rFonts w:eastAsia="Calibri" w:cs="Times New Roman"/>
                <w:b/>
                <w:color w:val="0D0D0D"/>
                <w:sz w:val="18"/>
                <w:szCs w:val="18"/>
              </w:rPr>
            </w:pPr>
            <w:r w:rsidRPr="00761107">
              <w:rPr>
                <w:rFonts w:eastAsia="Calibri" w:cs="Times New Roman"/>
                <w:b/>
                <w:color w:val="0D0D0D"/>
                <w:sz w:val="18"/>
                <w:szCs w:val="18"/>
              </w:rPr>
              <w:t>Assumptions</w:t>
            </w:r>
          </w:p>
        </w:tc>
      </w:tr>
      <w:tr w:rsidR="00EF6C41" w:rsidRPr="006575A0" w14:paraId="62EF4576" w14:textId="77777777" w:rsidTr="00CA22CD">
        <w:trPr>
          <w:gridAfter w:val="1"/>
          <w:wAfter w:w="8" w:type="pct"/>
          <w:tblHeader/>
        </w:trPr>
        <w:tc>
          <w:tcPr>
            <w:tcW w:w="585" w:type="pct"/>
            <w:vMerge w:val="restart"/>
            <w:shd w:val="clear" w:color="auto" w:fill="D9D9D9"/>
          </w:tcPr>
          <w:p w14:paraId="11E8A4ED" w14:textId="77777777" w:rsidR="00EF6C41" w:rsidRPr="004C5CF8" w:rsidRDefault="00EF6C41" w:rsidP="00EF6C41">
            <w:pPr>
              <w:tabs>
                <w:tab w:val="left" w:pos="0"/>
                <w:tab w:val="left" w:pos="132"/>
              </w:tabs>
              <w:ind w:right="113"/>
              <w:rPr>
                <w:rFonts w:eastAsia="Calibri" w:cs="Times New Roman"/>
                <w:b/>
                <w:color w:val="0D0D0D"/>
                <w:sz w:val="18"/>
                <w:szCs w:val="18"/>
              </w:rPr>
            </w:pPr>
            <w:r w:rsidRPr="004C5CF8">
              <w:rPr>
                <w:rFonts w:eastAsia="Calibri" w:cs="Times New Roman"/>
                <w:b/>
                <w:color w:val="0D0D0D"/>
                <w:sz w:val="18"/>
                <w:szCs w:val="18"/>
              </w:rPr>
              <w:t>Impact</w:t>
            </w:r>
          </w:p>
        </w:tc>
        <w:tc>
          <w:tcPr>
            <w:tcW w:w="720" w:type="pct"/>
            <w:vMerge w:val="restart"/>
            <w:shd w:val="clear" w:color="auto" w:fill="auto"/>
          </w:tcPr>
          <w:p w14:paraId="250BE5A7" w14:textId="433DDFE9" w:rsidR="00EF6C41" w:rsidRPr="00246684" w:rsidRDefault="00DB66D1" w:rsidP="00EF6C41">
            <w:pPr>
              <w:jc w:val="left"/>
              <w:rPr>
                <w:rFonts w:eastAsia="Calibri" w:cs="Times New Roman"/>
                <w:color w:val="FF0000"/>
                <w:sz w:val="18"/>
                <w:szCs w:val="18"/>
                <w:highlight w:val="yellow"/>
              </w:rPr>
            </w:pPr>
            <w:r w:rsidRPr="00CA22CD">
              <w:rPr>
                <w:rFonts w:cs="Times New Roman"/>
                <w:i/>
                <w:sz w:val="18"/>
                <w:szCs w:val="18"/>
              </w:rPr>
              <w:t>Economic potential of North Macedonia unleashed in line with the EU objectives on climate change and the protection of biodiversity</w:t>
            </w:r>
          </w:p>
        </w:tc>
        <w:tc>
          <w:tcPr>
            <w:tcW w:w="1079" w:type="pct"/>
            <w:shd w:val="clear" w:color="auto" w:fill="auto"/>
          </w:tcPr>
          <w:p w14:paraId="5475EB11" w14:textId="5CE7711B" w:rsidR="00EF6C41" w:rsidRPr="00761107" w:rsidRDefault="00EF6C41" w:rsidP="00EF6C41">
            <w:pPr>
              <w:autoSpaceDE w:val="0"/>
              <w:autoSpaceDN w:val="0"/>
              <w:adjustRightInd w:val="0"/>
              <w:jc w:val="left"/>
              <w:rPr>
                <w:rFonts w:eastAsia="Calibri" w:cs="Times New Roman"/>
                <w:sz w:val="18"/>
                <w:szCs w:val="18"/>
              </w:rPr>
            </w:pPr>
            <w:r w:rsidRPr="003662EA">
              <w:rPr>
                <w:rFonts w:eastAsia="Calibri" w:cs="Times New Roman"/>
                <w:sz w:val="18"/>
                <w:szCs w:val="18"/>
              </w:rPr>
              <w:t>Dista</w:t>
            </w:r>
            <w:r w:rsidRPr="00DE71C5">
              <w:rPr>
                <w:rFonts w:eastAsia="Calibri" w:cs="Times New Roman"/>
                <w:sz w:val="18"/>
                <w:szCs w:val="18"/>
              </w:rPr>
              <w:t>nce to frontier</w:t>
            </w:r>
            <w:r w:rsidR="003854D2" w:rsidRPr="00A40470">
              <w:rPr>
                <w:rFonts w:eastAsia="Calibri" w:cs="Times New Roman"/>
                <w:sz w:val="18"/>
                <w:szCs w:val="18"/>
              </w:rPr>
              <w:t xml:space="preserve"> </w:t>
            </w:r>
            <w:r w:rsidR="00DF70ED" w:rsidRPr="00CA22CD">
              <w:rPr>
                <w:rFonts w:eastAsia="Calibri" w:cs="Times New Roman"/>
                <w:sz w:val="18"/>
                <w:szCs w:val="18"/>
              </w:rPr>
              <w:t xml:space="preserve">rank </w:t>
            </w:r>
            <w:r w:rsidR="00616F38" w:rsidRPr="00CA22CD">
              <w:rPr>
                <w:rFonts w:eastAsia="Calibri" w:cs="Times New Roman"/>
                <w:sz w:val="18"/>
                <w:szCs w:val="18"/>
              </w:rPr>
              <w:t>(</w:t>
            </w:r>
            <w:r w:rsidRPr="00CA22CD">
              <w:rPr>
                <w:rFonts w:eastAsia="Calibri" w:cs="Times New Roman"/>
                <w:sz w:val="18"/>
                <w:szCs w:val="18"/>
              </w:rPr>
              <w:t>the ease of doing business</w:t>
            </w:r>
            <w:r w:rsidR="00616F38" w:rsidRPr="00CA22CD">
              <w:rPr>
                <w:rFonts w:eastAsia="Calibri" w:cs="Times New Roman"/>
                <w:sz w:val="18"/>
                <w:szCs w:val="18"/>
              </w:rPr>
              <w:t>)</w:t>
            </w:r>
          </w:p>
        </w:tc>
        <w:tc>
          <w:tcPr>
            <w:tcW w:w="585" w:type="pct"/>
          </w:tcPr>
          <w:p w14:paraId="4AC7DC3E" w14:textId="58773037" w:rsidR="00EF6C41" w:rsidRPr="00246684" w:rsidRDefault="00EF6C41" w:rsidP="00EF6C41">
            <w:pPr>
              <w:outlineLvl w:val="1"/>
              <w:rPr>
                <w:rFonts w:eastAsia="Calibri" w:cs="Times New Roman"/>
                <w:sz w:val="18"/>
                <w:szCs w:val="18"/>
              </w:rPr>
            </w:pPr>
            <w:r w:rsidRPr="00246684">
              <w:rPr>
                <w:rFonts w:eastAsia="Calibri" w:cs="Times New Roman"/>
                <w:sz w:val="18"/>
                <w:szCs w:val="18"/>
              </w:rPr>
              <w:t>17 (2020)</w:t>
            </w:r>
          </w:p>
          <w:p w14:paraId="70591408" w14:textId="6F8183FF" w:rsidR="00EF6C41" w:rsidRPr="00761107" w:rsidRDefault="00EF6C41" w:rsidP="00EF6C41">
            <w:pPr>
              <w:autoSpaceDE w:val="0"/>
              <w:autoSpaceDN w:val="0"/>
              <w:adjustRightInd w:val="0"/>
              <w:rPr>
                <w:rFonts w:eastAsia="Calibri" w:cs="Times New Roman"/>
                <w:sz w:val="18"/>
                <w:szCs w:val="18"/>
              </w:rPr>
            </w:pPr>
          </w:p>
        </w:tc>
        <w:tc>
          <w:tcPr>
            <w:tcW w:w="539" w:type="pct"/>
          </w:tcPr>
          <w:p w14:paraId="24626B1F" w14:textId="35F15D98" w:rsidR="00EF6C41" w:rsidRPr="003662EA" w:rsidRDefault="00EF6C41" w:rsidP="00EF6C41">
            <w:pPr>
              <w:outlineLvl w:val="1"/>
              <w:rPr>
                <w:rFonts w:eastAsia="Calibri" w:cs="Times New Roman"/>
                <w:sz w:val="18"/>
                <w:szCs w:val="18"/>
              </w:rPr>
            </w:pPr>
            <w:r w:rsidRPr="00246684">
              <w:rPr>
                <w:rFonts w:eastAsia="Calibri" w:cs="Times New Roman"/>
                <w:sz w:val="18"/>
                <w:szCs w:val="18"/>
              </w:rPr>
              <w:t>Rank ≤ 20 (202</w:t>
            </w:r>
            <w:r w:rsidR="00616F38" w:rsidRPr="00246684">
              <w:rPr>
                <w:rFonts w:eastAsia="Calibri" w:cs="Times New Roman"/>
                <w:sz w:val="18"/>
                <w:szCs w:val="18"/>
              </w:rPr>
              <w:t>7</w:t>
            </w:r>
            <w:r w:rsidRPr="003662EA">
              <w:rPr>
                <w:rFonts w:eastAsia="Calibri" w:cs="Times New Roman"/>
                <w:sz w:val="18"/>
                <w:szCs w:val="18"/>
              </w:rPr>
              <w:t>)</w:t>
            </w:r>
          </w:p>
          <w:p w14:paraId="6EB4539C" w14:textId="77777777" w:rsidR="00EF6C41" w:rsidRPr="00761107" w:rsidRDefault="00EF6C41" w:rsidP="00EF6C41">
            <w:pPr>
              <w:autoSpaceDE w:val="0"/>
              <w:autoSpaceDN w:val="0"/>
              <w:adjustRightInd w:val="0"/>
              <w:rPr>
                <w:rFonts w:eastAsia="Calibri" w:cs="Times New Roman"/>
                <w:sz w:val="18"/>
                <w:szCs w:val="18"/>
              </w:rPr>
            </w:pPr>
          </w:p>
        </w:tc>
        <w:tc>
          <w:tcPr>
            <w:tcW w:w="765" w:type="pct"/>
            <w:shd w:val="clear" w:color="auto" w:fill="auto"/>
          </w:tcPr>
          <w:p w14:paraId="16F86F3A" w14:textId="77777777" w:rsidR="00EF6C41" w:rsidRPr="00761107" w:rsidRDefault="00EF6C41" w:rsidP="00EF6C41">
            <w:pPr>
              <w:autoSpaceDE w:val="0"/>
              <w:autoSpaceDN w:val="0"/>
              <w:adjustRightInd w:val="0"/>
              <w:rPr>
                <w:rFonts w:eastAsia="Calibri" w:cs="Times New Roman"/>
                <w:sz w:val="18"/>
                <w:szCs w:val="18"/>
              </w:rPr>
            </w:pPr>
            <w:r w:rsidRPr="00246684">
              <w:rPr>
                <w:rFonts w:eastAsia="Calibri" w:cs="Times New Roman"/>
                <w:sz w:val="18"/>
                <w:szCs w:val="18"/>
              </w:rPr>
              <w:t>WB</w:t>
            </w:r>
          </w:p>
        </w:tc>
        <w:tc>
          <w:tcPr>
            <w:tcW w:w="721" w:type="pct"/>
            <w:vMerge w:val="restart"/>
            <w:shd w:val="clear" w:color="auto" w:fill="auto"/>
          </w:tcPr>
          <w:p w14:paraId="53CFB8BE" w14:textId="77777777" w:rsidR="00EF6C41" w:rsidRPr="00761107" w:rsidRDefault="00EF6C41" w:rsidP="00EF6C41">
            <w:pPr>
              <w:rPr>
                <w:rFonts w:eastAsia="Calibri" w:cs="Times New Roman"/>
                <w:i/>
                <w:color w:val="0D0D0D"/>
                <w:sz w:val="18"/>
                <w:szCs w:val="18"/>
                <w:highlight w:val="yellow"/>
              </w:rPr>
            </w:pPr>
            <w:r w:rsidRPr="00761107">
              <w:rPr>
                <w:rFonts w:eastAsia="Calibri" w:cs="Times New Roman"/>
                <w:i/>
                <w:color w:val="0D0D0D"/>
                <w:sz w:val="18"/>
                <w:szCs w:val="18"/>
              </w:rPr>
              <w:t>Not applicable</w:t>
            </w:r>
          </w:p>
        </w:tc>
      </w:tr>
      <w:tr w:rsidR="00EF6C41" w:rsidRPr="006575A0" w14:paraId="6546DBA4" w14:textId="77777777" w:rsidTr="00CA22CD">
        <w:trPr>
          <w:gridAfter w:val="1"/>
          <w:wAfter w:w="8" w:type="pct"/>
          <w:tblHeader/>
        </w:trPr>
        <w:tc>
          <w:tcPr>
            <w:tcW w:w="585" w:type="pct"/>
            <w:vMerge/>
            <w:shd w:val="clear" w:color="auto" w:fill="D9D9D9"/>
          </w:tcPr>
          <w:p w14:paraId="1048A40D" w14:textId="77777777" w:rsidR="00EF6C41" w:rsidRPr="00761107" w:rsidRDefault="00EF6C41" w:rsidP="00EF6C41">
            <w:pPr>
              <w:tabs>
                <w:tab w:val="left" w:pos="0"/>
                <w:tab w:val="left" w:pos="132"/>
              </w:tabs>
              <w:ind w:right="113"/>
              <w:rPr>
                <w:rFonts w:eastAsia="Calibri" w:cs="Times New Roman"/>
                <w:b/>
                <w:color w:val="0D0D0D"/>
                <w:sz w:val="18"/>
                <w:szCs w:val="18"/>
              </w:rPr>
            </w:pPr>
          </w:p>
        </w:tc>
        <w:tc>
          <w:tcPr>
            <w:tcW w:w="720" w:type="pct"/>
            <w:vMerge/>
            <w:shd w:val="clear" w:color="auto" w:fill="auto"/>
          </w:tcPr>
          <w:p w14:paraId="4DCA3494" w14:textId="77777777" w:rsidR="00EF6C41" w:rsidRPr="00CA22CD" w:rsidRDefault="00EF6C41" w:rsidP="00EF6C41">
            <w:pPr>
              <w:rPr>
                <w:rFonts w:eastAsia="Calibri" w:cs="Times New Roman"/>
                <w:color w:val="FF0000"/>
                <w:sz w:val="18"/>
                <w:szCs w:val="18"/>
                <w:highlight w:val="yellow"/>
              </w:rPr>
            </w:pPr>
          </w:p>
        </w:tc>
        <w:tc>
          <w:tcPr>
            <w:tcW w:w="1079" w:type="pct"/>
            <w:shd w:val="clear" w:color="auto" w:fill="auto"/>
          </w:tcPr>
          <w:p w14:paraId="614FF1E6" w14:textId="77777777" w:rsidR="00EF6C41" w:rsidRPr="00CA22CD" w:rsidRDefault="00EF6C41" w:rsidP="00EF6C41">
            <w:pPr>
              <w:autoSpaceDE w:val="0"/>
              <w:autoSpaceDN w:val="0"/>
              <w:adjustRightInd w:val="0"/>
              <w:jc w:val="left"/>
              <w:rPr>
                <w:rFonts w:eastAsia="Calibri" w:cs="Times New Roman"/>
                <w:sz w:val="18"/>
                <w:szCs w:val="18"/>
              </w:rPr>
            </w:pPr>
            <w:r w:rsidRPr="00CA22CD">
              <w:rPr>
                <w:rFonts w:eastAsia="Calibri" w:cs="Times New Roman"/>
                <w:sz w:val="18"/>
                <w:szCs w:val="18"/>
              </w:rPr>
              <w:t>Research and Development expenditure per inhabitants (Euro/inhabitants)</w:t>
            </w:r>
          </w:p>
        </w:tc>
        <w:tc>
          <w:tcPr>
            <w:tcW w:w="585" w:type="pct"/>
          </w:tcPr>
          <w:p w14:paraId="52FFE01E" w14:textId="50ABDFFB" w:rsidR="00EF6C41" w:rsidRPr="00CA22CD" w:rsidRDefault="00EF6C41" w:rsidP="00EF6C41">
            <w:pPr>
              <w:outlineLvl w:val="1"/>
              <w:rPr>
                <w:rFonts w:eastAsia="Calibri" w:cs="Times New Roman"/>
                <w:sz w:val="18"/>
                <w:szCs w:val="18"/>
              </w:rPr>
            </w:pPr>
            <w:r w:rsidRPr="00CA22CD">
              <w:rPr>
                <w:rFonts w:eastAsia="Calibri" w:cs="Times New Roman"/>
                <w:sz w:val="18"/>
                <w:szCs w:val="18"/>
              </w:rPr>
              <w:t>19,9 E</w:t>
            </w:r>
            <w:r w:rsidR="00C62F7F" w:rsidRPr="00CA22CD">
              <w:rPr>
                <w:rFonts w:eastAsia="Calibri" w:cs="Times New Roman"/>
                <w:sz w:val="18"/>
                <w:szCs w:val="18"/>
              </w:rPr>
              <w:t>UR</w:t>
            </w:r>
            <w:r w:rsidRPr="00CA22CD">
              <w:rPr>
                <w:rFonts w:eastAsia="Calibri" w:cs="Times New Roman"/>
                <w:sz w:val="18"/>
                <w:szCs w:val="18"/>
              </w:rPr>
              <w:t>/inhab.</w:t>
            </w:r>
          </w:p>
        </w:tc>
        <w:tc>
          <w:tcPr>
            <w:tcW w:w="539" w:type="pct"/>
          </w:tcPr>
          <w:p w14:paraId="3D45B764" w14:textId="1193B5F1" w:rsidR="00EF6C41" w:rsidRPr="00CA22CD" w:rsidRDefault="00EF6C41" w:rsidP="00EF6C41">
            <w:pPr>
              <w:outlineLvl w:val="1"/>
              <w:rPr>
                <w:rFonts w:eastAsia="Calibri" w:cs="Times New Roman"/>
                <w:sz w:val="18"/>
                <w:szCs w:val="18"/>
              </w:rPr>
            </w:pPr>
            <w:r w:rsidRPr="00CA22CD">
              <w:rPr>
                <w:rFonts w:eastAsia="Calibri" w:cs="Times New Roman"/>
                <w:sz w:val="18"/>
                <w:szCs w:val="18"/>
              </w:rPr>
              <w:t>≥ 50 E</w:t>
            </w:r>
            <w:r w:rsidR="00C62F7F" w:rsidRPr="00CA22CD">
              <w:rPr>
                <w:rFonts w:eastAsia="Calibri" w:cs="Times New Roman"/>
                <w:sz w:val="18"/>
                <w:szCs w:val="18"/>
              </w:rPr>
              <w:t>UR</w:t>
            </w:r>
            <w:r w:rsidRPr="00CA22CD">
              <w:rPr>
                <w:rFonts w:eastAsia="Calibri" w:cs="Times New Roman"/>
                <w:sz w:val="18"/>
                <w:szCs w:val="18"/>
              </w:rPr>
              <w:t>/inhab.</w:t>
            </w:r>
          </w:p>
        </w:tc>
        <w:tc>
          <w:tcPr>
            <w:tcW w:w="765" w:type="pct"/>
            <w:shd w:val="clear" w:color="auto" w:fill="auto"/>
          </w:tcPr>
          <w:p w14:paraId="36993EA9" w14:textId="77777777" w:rsidR="00EF6C41" w:rsidRPr="00CA22CD" w:rsidRDefault="00EF6C41" w:rsidP="00EF6C41">
            <w:pPr>
              <w:autoSpaceDE w:val="0"/>
              <w:autoSpaceDN w:val="0"/>
              <w:adjustRightInd w:val="0"/>
              <w:rPr>
                <w:rFonts w:eastAsia="Calibri" w:cs="Times New Roman"/>
                <w:sz w:val="18"/>
                <w:szCs w:val="18"/>
              </w:rPr>
            </w:pPr>
            <w:r w:rsidRPr="00CA22CD">
              <w:rPr>
                <w:rFonts w:eastAsia="Calibri" w:cs="Times New Roman"/>
                <w:sz w:val="18"/>
                <w:szCs w:val="18"/>
              </w:rPr>
              <w:t>SSO</w:t>
            </w:r>
          </w:p>
        </w:tc>
        <w:tc>
          <w:tcPr>
            <w:tcW w:w="721" w:type="pct"/>
            <w:vMerge/>
            <w:shd w:val="clear" w:color="auto" w:fill="auto"/>
          </w:tcPr>
          <w:p w14:paraId="3005B03D" w14:textId="77777777" w:rsidR="00EF6C41" w:rsidRPr="00761107" w:rsidRDefault="00EF6C41" w:rsidP="00EF6C41">
            <w:pPr>
              <w:rPr>
                <w:rFonts w:eastAsia="Calibri" w:cs="Times New Roman"/>
                <w:i/>
                <w:color w:val="0D0D0D"/>
                <w:sz w:val="18"/>
                <w:szCs w:val="18"/>
              </w:rPr>
            </w:pPr>
          </w:p>
        </w:tc>
      </w:tr>
      <w:tr w:rsidR="00EF6C41" w:rsidRPr="006575A0" w14:paraId="658E85F4" w14:textId="77777777" w:rsidTr="00CA22CD">
        <w:trPr>
          <w:gridAfter w:val="1"/>
          <w:wAfter w:w="8" w:type="pct"/>
          <w:trHeight w:val="679"/>
          <w:tblHeader/>
        </w:trPr>
        <w:tc>
          <w:tcPr>
            <w:tcW w:w="585" w:type="pct"/>
            <w:vMerge/>
            <w:shd w:val="clear" w:color="auto" w:fill="D9D9D9"/>
          </w:tcPr>
          <w:p w14:paraId="6A65075B" w14:textId="77777777" w:rsidR="00EF6C41" w:rsidRPr="00761107" w:rsidRDefault="00EF6C41" w:rsidP="00EF6C41">
            <w:pPr>
              <w:tabs>
                <w:tab w:val="left" w:pos="0"/>
                <w:tab w:val="left" w:pos="132"/>
              </w:tabs>
              <w:ind w:right="113"/>
              <w:rPr>
                <w:rFonts w:eastAsia="Calibri" w:cs="Times New Roman"/>
                <w:b/>
                <w:color w:val="0D0D0D"/>
                <w:sz w:val="18"/>
                <w:szCs w:val="18"/>
              </w:rPr>
            </w:pPr>
          </w:p>
        </w:tc>
        <w:tc>
          <w:tcPr>
            <w:tcW w:w="720" w:type="pct"/>
            <w:vMerge/>
            <w:shd w:val="clear" w:color="auto" w:fill="auto"/>
          </w:tcPr>
          <w:p w14:paraId="40D813A9" w14:textId="77777777" w:rsidR="00EF6C41" w:rsidRPr="00CA22CD" w:rsidRDefault="00EF6C41" w:rsidP="00EF6C41">
            <w:pPr>
              <w:rPr>
                <w:rFonts w:eastAsia="Calibri" w:cs="Times New Roman"/>
                <w:color w:val="FF0000"/>
                <w:sz w:val="18"/>
                <w:szCs w:val="18"/>
                <w:highlight w:val="yellow"/>
              </w:rPr>
            </w:pPr>
          </w:p>
        </w:tc>
        <w:tc>
          <w:tcPr>
            <w:tcW w:w="1079" w:type="pct"/>
            <w:shd w:val="clear" w:color="auto" w:fill="auto"/>
          </w:tcPr>
          <w:p w14:paraId="3C771FEC" w14:textId="77777777" w:rsidR="00EF6C41" w:rsidRPr="00CA22CD" w:rsidRDefault="00EF6C41" w:rsidP="00EF6C41">
            <w:pPr>
              <w:autoSpaceDE w:val="0"/>
              <w:autoSpaceDN w:val="0"/>
              <w:adjustRightInd w:val="0"/>
              <w:jc w:val="left"/>
              <w:rPr>
                <w:rFonts w:eastAsia="Calibri" w:cs="Times New Roman"/>
                <w:sz w:val="18"/>
                <w:szCs w:val="18"/>
              </w:rPr>
            </w:pPr>
            <w:r w:rsidRPr="00CA22CD">
              <w:rPr>
                <w:rFonts w:eastAsia="Calibri" w:cs="Times New Roman"/>
                <w:sz w:val="18"/>
                <w:szCs w:val="18"/>
              </w:rPr>
              <w:t>Value of export of agriculture products</w:t>
            </w:r>
          </w:p>
        </w:tc>
        <w:tc>
          <w:tcPr>
            <w:tcW w:w="585" w:type="pct"/>
          </w:tcPr>
          <w:p w14:paraId="41107F4B" w14:textId="77777777" w:rsidR="00EF6C41" w:rsidRPr="00CA22CD" w:rsidRDefault="00EF6C41" w:rsidP="00EF6C41">
            <w:pPr>
              <w:outlineLvl w:val="1"/>
              <w:rPr>
                <w:rFonts w:eastAsia="Calibri" w:cs="Times New Roman"/>
                <w:sz w:val="18"/>
                <w:szCs w:val="18"/>
              </w:rPr>
            </w:pPr>
            <w:r w:rsidRPr="00CA22CD">
              <w:rPr>
                <w:rFonts w:eastAsia="Calibri" w:cs="Times New Roman"/>
                <w:sz w:val="18"/>
                <w:szCs w:val="18"/>
              </w:rPr>
              <w:t>624,503,315 Euro (2019)</w:t>
            </w:r>
          </w:p>
        </w:tc>
        <w:tc>
          <w:tcPr>
            <w:tcW w:w="539" w:type="pct"/>
          </w:tcPr>
          <w:p w14:paraId="30F042EE" w14:textId="77777777" w:rsidR="00EF6C41" w:rsidRPr="00CA22CD" w:rsidRDefault="00EF6C41" w:rsidP="00EF6C41">
            <w:pPr>
              <w:jc w:val="left"/>
              <w:outlineLvl w:val="1"/>
              <w:rPr>
                <w:rFonts w:eastAsia="Calibri" w:cs="Times New Roman"/>
                <w:sz w:val="18"/>
                <w:szCs w:val="18"/>
              </w:rPr>
            </w:pPr>
            <w:r w:rsidRPr="00CA22CD">
              <w:rPr>
                <w:rFonts w:eastAsia="Calibri" w:cs="Times New Roman"/>
                <w:sz w:val="18"/>
                <w:szCs w:val="18"/>
              </w:rPr>
              <w:t>≥835,000,000 Euro (2027)</w:t>
            </w:r>
          </w:p>
        </w:tc>
        <w:tc>
          <w:tcPr>
            <w:tcW w:w="765" w:type="pct"/>
            <w:shd w:val="clear" w:color="auto" w:fill="auto"/>
          </w:tcPr>
          <w:p w14:paraId="0C446068" w14:textId="77777777" w:rsidR="00EF6C41" w:rsidRPr="00CA22CD" w:rsidRDefault="00EF6C41" w:rsidP="00EF6C41">
            <w:pPr>
              <w:autoSpaceDE w:val="0"/>
              <w:autoSpaceDN w:val="0"/>
              <w:adjustRightInd w:val="0"/>
              <w:rPr>
                <w:rFonts w:eastAsia="Calibri" w:cs="Times New Roman"/>
                <w:sz w:val="18"/>
                <w:szCs w:val="18"/>
              </w:rPr>
            </w:pPr>
            <w:r w:rsidRPr="00CA22CD">
              <w:rPr>
                <w:rFonts w:eastAsia="Calibri" w:cs="Times New Roman"/>
                <w:sz w:val="18"/>
                <w:szCs w:val="18"/>
              </w:rPr>
              <w:t>WTO</w:t>
            </w:r>
          </w:p>
        </w:tc>
        <w:tc>
          <w:tcPr>
            <w:tcW w:w="721" w:type="pct"/>
            <w:vMerge/>
            <w:shd w:val="clear" w:color="auto" w:fill="auto"/>
          </w:tcPr>
          <w:p w14:paraId="3633353F" w14:textId="77777777" w:rsidR="00EF6C41" w:rsidRPr="00761107" w:rsidRDefault="00EF6C41" w:rsidP="00EF6C41">
            <w:pPr>
              <w:rPr>
                <w:rFonts w:eastAsia="Calibri" w:cs="Times New Roman"/>
                <w:i/>
                <w:color w:val="0D0D0D"/>
                <w:sz w:val="18"/>
                <w:szCs w:val="18"/>
              </w:rPr>
            </w:pPr>
          </w:p>
        </w:tc>
      </w:tr>
      <w:tr w:rsidR="00AA05FA" w:rsidRPr="006575A0" w14:paraId="70CA1C63" w14:textId="77777777" w:rsidTr="00CA22CD">
        <w:trPr>
          <w:gridAfter w:val="1"/>
          <w:wAfter w:w="8" w:type="pct"/>
          <w:trHeight w:val="496"/>
          <w:tblHeader/>
        </w:trPr>
        <w:tc>
          <w:tcPr>
            <w:tcW w:w="585" w:type="pct"/>
            <w:vMerge w:val="restart"/>
            <w:shd w:val="clear" w:color="auto" w:fill="D9D9D9"/>
          </w:tcPr>
          <w:p w14:paraId="7E0C2806" w14:textId="37C3BAD2" w:rsidR="00AA05FA" w:rsidRPr="00761107" w:rsidRDefault="00AA05FA" w:rsidP="00AA05FA">
            <w:pPr>
              <w:tabs>
                <w:tab w:val="left" w:pos="12"/>
              </w:tabs>
              <w:ind w:left="12"/>
              <w:rPr>
                <w:rFonts w:eastAsia="Calibri" w:cs="Times New Roman"/>
                <w:b/>
                <w:sz w:val="18"/>
                <w:szCs w:val="18"/>
              </w:rPr>
            </w:pPr>
            <w:r w:rsidRPr="004C5CF8">
              <w:rPr>
                <w:rFonts w:eastAsia="Calibri" w:cs="Times New Roman"/>
                <w:b/>
                <w:sz w:val="18"/>
                <w:szCs w:val="18"/>
              </w:rPr>
              <w:t xml:space="preserve">Outcome </w:t>
            </w:r>
          </w:p>
        </w:tc>
        <w:tc>
          <w:tcPr>
            <w:tcW w:w="720" w:type="pct"/>
            <w:vMerge w:val="restart"/>
            <w:shd w:val="clear" w:color="auto" w:fill="auto"/>
          </w:tcPr>
          <w:p w14:paraId="75F2C8E4" w14:textId="764AA33F" w:rsidR="00AA05FA" w:rsidRPr="00CA22CD" w:rsidRDefault="00AA05FA" w:rsidP="00CA22CD">
            <w:pPr>
              <w:spacing w:before="120"/>
              <w:jc w:val="left"/>
              <w:rPr>
                <w:rFonts w:cs="Times New Roman"/>
                <w:i/>
                <w:sz w:val="18"/>
                <w:szCs w:val="18"/>
              </w:rPr>
            </w:pPr>
            <w:r w:rsidRPr="00CA22CD">
              <w:rPr>
                <w:rFonts w:cs="Times New Roman"/>
                <w:i/>
                <w:sz w:val="18"/>
                <w:szCs w:val="18"/>
              </w:rPr>
              <w:t xml:space="preserve">Accelerated business environment reform and transformation </w:t>
            </w:r>
          </w:p>
          <w:p w14:paraId="336860BF" w14:textId="1DDAD1B7" w:rsidR="00AA05FA" w:rsidRPr="00761107" w:rsidRDefault="00AA05FA" w:rsidP="00AA05FA">
            <w:pPr>
              <w:autoSpaceDE w:val="0"/>
              <w:autoSpaceDN w:val="0"/>
              <w:adjustRightInd w:val="0"/>
              <w:jc w:val="left"/>
              <w:rPr>
                <w:rFonts w:eastAsia="Calibri" w:cs="Times New Roman"/>
                <w:sz w:val="18"/>
                <w:szCs w:val="18"/>
                <w:highlight w:val="yellow"/>
              </w:rPr>
            </w:pPr>
          </w:p>
        </w:tc>
        <w:tc>
          <w:tcPr>
            <w:tcW w:w="1079" w:type="pct"/>
            <w:tcBorders>
              <w:bottom w:val="single" w:sz="4" w:space="0" w:color="auto"/>
            </w:tcBorders>
            <w:shd w:val="clear" w:color="auto" w:fill="auto"/>
          </w:tcPr>
          <w:p w14:paraId="46544EE3" w14:textId="5C0855AA" w:rsidR="00AA05FA" w:rsidRPr="00761107" w:rsidRDefault="00AA05FA" w:rsidP="00AA05FA">
            <w:pPr>
              <w:autoSpaceDE w:val="0"/>
              <w:autoSpaceDN w:val="0"/>
              <w:adjustRightInd w:val="0"/>
              <w:rPr>
                <w:rFonts w:eastAsia="Calibri" w:cs="Times New Roman"/>
                <w:sz w:val="18"/>
                <w:szCs w:val="18"/>
              </w:rPr>
            </w:pPr>
            <w:r w:rsidRPr="00761107">
              <w:rPr>
                <w:rFonts w:eastAsia="Calibri" w:cs="Times New Roman"/>
                <w:sz w:val="18"/>
                <w:szCs w:val="18"/>
              </w:rPr>
              <w:t>Level of progress in negotiation thematic Cluster 2: Internal market (Chapters: 1, 3, 7, 28)</w:t>
            </w:r>
            <w:r w:rsidR="00761107" w:rsidRPr="00761107">
              <w:rPr>
                <w:rFonts w:eastAsia="Calibri" w:cs="Times New Roman"/>
                <w:sz w:val="18"/>
                <w:szCs w:val="18"/>
              </w:rPr>
              <w:t xml:space="preserve"> and Cluster 5: Resources, agriculture and cohesion (chapters 11, 12 13) </w:t>
            </w:r>
          </w:p>
        </w:tc>
        <w:tc>
          <w:tcPr>
            <w:tcW w:w="585" w:type="pct"/>
            <w:tcBorders>
              <w:bottom w:val="single" w:sz="4" w:space="0" w:color="auto"/>
            </w:tcBorders>
          </w:tcPr>
          <w:p w14:paraId="5889C9ED" w14:textId="08E8BC32" w:rsidR="00AA05FA" w:rsidRPr="00761107" w:rsidRDefault="00AA05FA" w:rsidP="00AA05FA">
            <w:pPr>
              <w:jc w:val="left"/>
              <w:rPr>
                <w:rFonts w:eastAsia="Calibri" w:cs="Times New Roman"/>
                <w:sz w:val="18"/>
                <w:szCs w:val="18"/>
              </w:rPr>
            </w:pPr>
            <w:r w:rsidRPr="00761107">
              <w:rPr>
                <w:rFonts w:eastAsia="Calibri" w:cs="Times New Roman"/>
                <w:sz w:val="18"/>
                <w:szCs w:val="18"/>
              </w:rPr>
              <w:t>Moderately prepared</w:t>
            </w:r>
          </w:p>
          <w:p w14:paraId="391471C6" w14:textId="1E75740C" w:rsidR="00AA05FA" w:rsidRPr="00761107" w:rsidRDefault="00AA05FA" w:rsidP="00AA05FA">
            <w:pPr>
              <w:jc w:val="left"/>
              <w:rPr>
                <w:rFonts w:eastAsia="Calibri" w:cs="Times New Roman"/>
                <w:sz w:val="18"/>
                <w:szCs w:val="18"/>
              </w:rPr>
            </w:pPr>
            <w:r w:rsidRPr="00761107">
              <w:rPr>
                <w:rFonts w:eastAsia="Calibri" w:cs="Times New Roman"/>
                <w:sz w:val="18"/>
                <w:szCs w:val="18"/>
              </w:rPr>
              <w:t>(2022)</w:t>
            </w:r>
          </w:p>
          <w:p w14:paraId="2B632997" w14:textId="4B89E72E" w:rsidR="00AA05FA" w:rsidRPr="00761107" w:rsidRDefault="00AA05FA" w:rsidP="00AA05FA">
            <w:pPr>
              <w:jc w:val="left"/>
              <w:rPr>
                <w:rFonts w:eastAsia="Calibri" w:cs="Times New Roman"/>
                <w:sz w:val="18"/>
                <w:szCs w:val="18"/>
              </w:rPr>
            </w:pPr>
          </w:p>
        </w:tc>
        <w:tc>
          <w:tcPr>
            <w:tcW w:w="539" w:type="pct"/>
            <w:tcBorders>
              <w:bottom w:val="single" w:sz="4" w:space="0" w:color="auto"/>
            </w:tcBorders>
          </w:tcPr>
          <w:p w14:paraId="163F5881" w14:textId="58E56F17" w:rsidR="00AA05FA" w:rsidRPr="00761107" w:rsidRDefault="00AA05FA" w:rsidP="00AA05FA">
            <w:pPr>
              <w:jc w:val="left"/>
              <w:rPr>
                <w:rFonts w:eastAsia="Calibri" w:cs="Times New Roman"/>
                <w:sz w:val="18"/>
                <w:szCs w:val="18"/>
              </w:rPr>
            </w:pPr>
            <w:r w:rsidRPr="00761107">
              <w:rPr>
                <w:rFonts w:eastAsia="Calibri" w:cs="Times New Roman"/>
                <w:sz w:val="18"/>
                <w:szCs w:val="18"/>
              </w:rPr>
              <w:t>Good level of preparation (2027)</w:t>
            </w:r>
          </w:p>
        </w:tc>
        <w:tc>
          <w:tcPr>
            <w:tcW w:w="765" w:type="pct"/>
            <w:tcBorders>
              <w:bottom w:val="single" w:sz="4" w:space="0" w:color="auto"/>
            </w:tcBorders>
            <w:shd w:val="clear" w:color="auto" w:fill="auto"/>
          </w:tcPr>
          <w:p w14:paraId="17330DC1" w14:textId="45959ED1" w:rsidR="00AA05FA" w:rsidRPr="00761107" w:rsidRDefault="00AA05FA" w:rsidP="00AA05FA">
            <w:pPr>
              <w:jc w:val="left"/>
              <w:rPr>
                <w:rFonts w:eastAsia="Calibri" w:cs="Times New Roman"/>
                <w:sz w:val="18"/>
                <w:szCs w:val="18"/>
              </w:rPr>
            </w:pPr>
            <w:r w:rsidRPr="00761107">
              <w:rPr>
                <w:rFonts w:eastAsia="Calibri" w:cs="Times New Roman"/>
                <w:sz w:val="18"/>
                <w:szCs w:val="18"/>
              </w:rPr>
              <w:t>EC Annual Progress Report</w:t>
            </w:r>
          </w:p>
        </w:tc>
        <w:tc>
          <w:tcPr>
            <w:tcW w:w="721" w:type="pct"/>
            <w:vMerge w:val="restart"/>
            <w:shd w:val="clear" w:color="auto" w:fill="auto"/>
          </w:tcPr>
          <w:p w14:paraId="1CD680DC" w14:textId="77777777" w:rsidR="00AA05FA" w:rsidRPr="00CA22CD" w:rsidRDefault="00AA05FA" w:rsidP="00CA22CD">
            <w:pPr>
              <w:spacing w:before="120"/>
              <w:rPr>
                <w:rFonts w:cs="Times New Roman"/>
                <w:color w:val="0D0D0D" w:themeColor="text1" w:themeTint="F2"/>
                <w:sz w:val="18"/>
                <w:szCs w:val="18"/>
              </w:rPr>
            </w:pPr>
            <w:r w:rsidRPr="00CA22CD">
              <w:rPr>
                <w:rFonts w:cs="Times New Roman"/>
                <w:color w:val="0D0D0D" w:themeColor="text1" w:themeTint="F2"/>
                <w:sz w:val="18"/>
                <w:szCs w:val="18"/>
              </w:rPr>
              <w:t>Macroeconomic and fiscal stability is ensured</w:t>
            </w:r>
          </w:p>
          <w:p w14:paraId="6C1A2913" w14:textId="77777777" w:rsidR="00AA05FA" w:rsidRPr="00CA22CD" w:rsidRDefault="00AA05FA" w:rsidP="00CA22CD">
            <w:pPr>
              <w:spacing w:before="120"/>
              <w:rPr>
                <w:rFonts w:cs="Times New Roman"/>
                <w:color w:val="0D0D0D" w:themeColor="text1" w:themeTint="F2"/>
                <w:sz w:val="18"/>
                <w:szCs w:val="18"/>
              </w:rPr>
            </w:pPr>
            <w:r w:rsidRPr="00CA22CD">
              <w:rPr>
                <w:rFonts w:cs="Times New Roman"/>
                <w:color w:val="0D0D0D" w:themeColor="text1" w:themeTint="F2"/>
                <w:sz w:val="18"/>
                <w:szCs w:val="18"/>
              </w:rPr>
              <w:t>The economy and creation of a business climate favourable to economic growth remain top priorities for the Government of North Macedonia.</w:t>
            </w:r>
          </w:p>
          <w:p w14:paraId="3D75F1CD" w14:textId="46CF9E45" w:rsidR="00AA05FA" w:rsidRPr="00761107" w:rsidRDefault="00AA05FA" w:rsidP="00CA22CD">
            <w:pPr>
              <w:spacing w:before="120" w:after="120"/>
              <w:jc w:val="left"/>
              <w:rPr>
                <w:rFonts w:eastAsia="Calibri" w:cs="Times New Roman"/>
                <w:sz w:val="18"/>
                <w:szCs w:val="18"/>
                <w:highlight w:val="yellow"/>
              </w:rPr>
            </w:pPr>
            <w:r w:rsidRPr="00CA22CD">
              <w:rPr>
                <w:rFonts w:cs="Times New Roman"/>
                <w:color w:val="0D0D0D" w:themeColor="text1" w:themeTint="F2"/>
                <w:sz w:val="18"/>
                <w:szCs w:val="18"/>
              </w:rPr>
              <w:t>Incentives for RDI gradually increase</w:t>
            </w:r>
            <w:r w:rsidRPr="00761107">
              <w:rPr>
                <w:rFonts w:eastAsia="Calibri" w:cs="Times New Roman"/>
                <w:sz w:val="18"/>
                <w:szCs w:val="18"/>
              </w:rPr>
              <w:t>e Government incentives for RDI remain at its current level or increase</w:t>
            </w:r>
          </w:p>
        </w:tc>
      </w:tr>
      <w:tr w:rsidR="00AA05FA" w:rsidRPr="006575A0" w14:paraId="160AD44A" w14:textId="77777777" w:rsidTr="00CA22CD">
        <w:trPr>
          <w:gridAfter w:val="1"/>
          <w:wAfter w:w="8" w:type="pct"/>
          <w:trHeight w:val="312"/>
          <w:tblHeader/>
        </w:trPr>
        <w:tc>
          <w:tcPr>
            <w:tcW w:w="585" w:type="pct"/>
            <w:vMerge/>
            <w:shd w:val="clear" w:color="auto" w:fill="D9D9D9"/>
          </w:tcPr>
          <w:p w14:paraId="23D62DB2" w14:textId="77777777" w:rsidR="00AA05FA" w:rsidRPr="00761107" w:rsidRDefault="00AA05FA" w:rsidP="00AA05FA">
            <w:pPr>
              <w:tabs>
                <w:tab w:val="left" w:pos="12"/>
              </w:tabs>
              <w:ind w:left="12"/>
              <w:rPr>
                <w:rFonts w:eastAsia="Calibri" w:cs="Times New Roman"/>
                <w:b/>
                <w:color w:val="0D0D0D"/>
                <w:sz w:val="18"/>
                <w:szCs w:val="18"/>
              </w:rPr>
            </w:pPr>
          </w:p>
        </w:tc>
        <w:tc>
          <w:tcPr>
            <w:tcW w:w="720" w:type="pct"/>
            <w:vMerge/>
            <w:shd w:val="clear" w:color="auto" w:fill="auto"/>
          </w:tcPr>
          <w:p w14:paraId="6AA3D409" w14:textId="77777777" w:rsidR="00AA05FA" w:rsidRPr="00761107" w:rsidRDefault="00AA05FA" w:rsidP="00AA05FA">
            <w:pPr>
              <w:autoSpaceDE w:val="0"/>
              <w:autoSpaceDN w:val="0"/>
              <w:adjustRightInd w:val="0"/>
              <w:jc w:val="left"/>
              <w:rPr>
                <w:rFonts w:eastAsia="Calibri" w:cs="Times New Roman"/>
                <w:color w:val="FF0000"/>
                <w:sz w:val="18"/>
                <w:szCs w:val="18"/>
                <w:highlight w:val="yellow"/>
              </w:rPr>
            </w:pPr>
          </w:p>
        </w:tc>
        <w:tc>
          <w:tcPr>
            <w:tcW w:w="1079" w:type="pct"/>
            <w:tcBorders>
              <w:bottom w:val="single" w:sz="4" w:space="0" w:color="auto"/>
            </w:tcBorders>
            <w:shd w:val="clear" w:color="auto" w:fill="auto"/>
          </w:tcPr>
          <w:p w14:paraId="2A0A5D53" w14:textId="508FB60B" w:rsidR="00AA05FA" w:rsidRPr="00761107" w:rsidRDefault="00AA05FA" w:rsidP="00761107">
            <w:pPr>
              <w:autoSpaceDE w:val="0"/>
              <w:autoSpaceDN w:val="0"/>
              <w:adjustRightInd w:val="0"/>
              <w:rPr>
                <w:rFonts w:eastAsia="Calibri" w:cs="Times New Roman"/>
                <w:sz w:val="18"/>
                <w:szCs w:val="18"/>
              </w:rPr>
            </w:pPr>
            <w:r w:rsidRPr="00761107">
              <w:rPr>
                <w:rFonts w:eastAsia="Calibri" w:cs="Times New Roman"/>
                <w:sz w:val="18"/>
                <w:szCs w:val="18"/>
              </w:rPr>
              <w:t>Number of enterprises</w:t>
            </w:r>
          </w:p>
        </w:tc>
        <w:tc>
          <w:tcPr>
            <w:tcW w:w="585" w:type="pct"/>
            <w:tcBorders>
              <w:bottom w:val="single" w:sz="4" w:space="0" w:color="auto"/>
            </w:tcBorders>
          </w:tcPr>
          <w:p w14:paraId="6AAAFCE3" w14:textId="34479837" w:rsidR="00AA05FA" w:rsidRPr="00761107" w:rsidRDefault="00AA05FA" w:rsidP="00AA05FA">
            <w:pPr>
              <w:jc w:val="left"/>
              <w:rPr>
                <w:rFonts w:eastAsia="Calibri" w:cs="Times New Roman"/>
                <w:sz w:val="18"/>
                <w:szCs w:val="18"/>
              </w:rPr>
            </w:pPr>
            <w:r w:rsidRPr="00761107">
              <w:rPr>
                <w:rFonts w:eastAsia="Calibri" w:cs="Times New Roman"/>
                <w:sz w:val="18"/>
                <w:szCs w:val="18"/>
              </w:rPr>
              <w:t>58 765 (2019)</w:t>
            </w:r>
          </w:p>
        </w:tc>
        <w:tc>
          <w:tcPr>
            <w:tcW w:w="539" w:type="pct"/>
            <w:tcBorders>
              <w:bottom w:val="single" w:sz="4" w:space="0" w:color="auto"/>
            </w:tcBorders>
          </w:tcPr>
          <w:p w14:paraId="3CB47219" w14:textId="39A7561D" w:rsidR="00AA05FA" w:rsidRPr="00761107" w:rsidRDefault="00AA05FA" w:rsidP="00AA05FA">
            <w:pPr>
              <w:jc w:val="left"/>
              <w:rPr>
                <w:rFonts w:eastAsia="Calibri" w:cs="Times New Roman"/>
                <w:sz w:val="18"/>
                <w:szCs w:val="18"/>
              </w:rPr>
            </w:pPr>
            <w:r w:rsidRPr="00761107">
              <w:rPr>
                <w:rFonts w:eastAsia="Calibri" w:cs="Times New Roman"/>
                <w:sz w:val="18"/>
                <w:szCs w:val="18"/>
              </w:rPr>
              <w:t>&gt;70.000 (2027)</w:t>
            </w:r>
          </w:p>
        </w:tc>
        <w:tc>
          <w:tcPr>
            <w:tcW w:w="765" w:type="pct"/>
            <w:tcBorders>
              <w:bottom w:val="single" w:sz="4" w:space="0" w:color="auto"/>
            </w:tcBorders>
            <w:shd w:val="clear" w:color="auto" w:fill="auto"/>
          </w:tcPr>
          <w:p w14:paraId="7189F68E" w14:textId="639F7218" w:rsidR="00AA05FA" w:rsidRPr="004C5CF8" w:rsidRDefault="00AA05FA" w:rsidP="00AA05FA">
            <w:pPr>
              <w:jc w:val="left"/>
              <w:rPr>
                <w:rFonts w:eastAsia="Calibri" w:cs="Times New Roman"/>
                <w:sz w:val="18"/>
                <w:szCs w:val="18"/>
              </w:rPr>
            </w:pPr>
            <w:r w:rsidRPr="00761107">
              <w:rPr>
                <w:rFonts w:eastAsia="Calibri" w:cs="Times New Roman"/>
                <w:sz w:val="18"/>
                <w:szCs w:val="18"/>
              </w:rPr>
              <w:t>National Statistical office</w:t>
            </w:r>
            <w:r w:rsidRPr="004C5CF8">
              <w:rPr>
                <w:rStyle w:val="FootnoteReference"/>
                <w:rFonts w:eastAsia="Calibri" w:cs="Times New Roman"/>
                <w:sz w:val="18"/>
                <w:szCs w:val="18"/>
              </w:rPr>
              <w:footnoteReference w:id="20"/>
            </w:r>
          </w:p>
        </w:tc>
        <w:tc>
          <w:tcPr>
            <w:tcW w:w="721" w:type="pct"/>
            <w:vMerge/>
            <w:shd w:val="clear" w:color="auto" w:fill="auto"/>
          </w:tcPr>
          <w:p w14:paraId="54C49EBE" w14:textId="77777777" w:rsidR="00AA05FA" w:rsidRPr="00761107" w:rsidRDefault="00AA05FA" w:rsidP="00AA05FA">
            <w:pPr>
              <w:autoSpaceDE w:val="0"/>
              <w:autoSpaceDN w:val="0"/>
              <w:adjustRightInd w:val="0"/>
              <w:rPr>
                <w:rFonts w:eastAsia="Calibri" w:cs="Times New Roman"/>
                <w:color w:val="0D0D0D"/>
                <w:sz w:val="18"/>
                <w:szCs w:val="18"/>
                <w:highlight w:val="yellow"/>
              </w:rPr>
            </w:pPr>
          </w:p>
        </w:tc>
      </w:tr>
      <w:tr w:rsidR="00AA05FA" w:rsidRPr="006575A0" w14:paraId="57A6B155" w14:textId="77777777" w:rsidTr="00CA22CD">
        <w:trPr>
          <w:gridAfter w:val="1"/>
          <w:wAfter w:w="8" w:type="pct"/>
          <w:trHeight w:val="220"/>
          <w:tblHeader/>
        </w:trPr>
        <w:tc>
          <w:tcPr>
            <w:tcW w:w="585" w:type="pct"/>
            <w:vMerge/>
            <w:shd w:val="clear" w:color="auto" w:fill="D9D9D9"/>
          </w:tcPr>
          <w:p w14:paraId="14AFF6C8" w14:textId="77777777" w:rsidR="00AA05FA" w:rsidRPr="00761107" w:rsidRDefault="00AA05FA" w:rsidP="00AA05FA">
            <w:pPr>
              <w:tabs>
                <w:tab w:val="left" w:pos="12"/>
              </w:tabs>
              <w:ind w:left="12"/>
              <w:rPr>
                <w:rFonts w:eastAsia="Calibri" w:cs="Times New Roman"/>
                <w:b/>
                <w:color w:val="0D0D0D"/>
                <w:sz w:val="18"/>
                <w:szCs w:val="18"/>
              </w:rPr>
            </w:pPr>
          </w:p>
        </w:tc>
        <w:tc>
          <w:tcPr>
            <w:tcW w:w="720" w:type="pct"/>
            <w:vMerge/>
            <w:shd w:val="clear" w:color="auto" w:fill="auto"/>
          </w:tcPr>
          <w:p w14:paraId="3D9B1107" w14:textId="77777777" w:rsidR="00AA05FA" w:rsidRPr="00CA22CD" w:rsidRDefault="00AA05FA" w:rsidP="00AA05FA">
            <w:pPr>
              <w:autoSpaceDE w:val="0"/>
              <w:autoSpaceDN w:val="0"/>
              <w:adjustRightInd w:val="0"/>
              <w:jc w:val="left"/>
              <w:rPr>
                <w:rFonts w:eastAsia="Calibri" w:cs="Times New Roman"/>
                <w:color w:val="FF0000"/>
                <w:sz w:val="18"/>
                <w:szCs w:val="18"/>
                <w:highlight w:val="yellow"/>
              </w:rPr>
            </w:pPr>
          </w:p>
        </w:tc>
        <w:tc>
          <w:tcPr>
            <w:tcW w:w="1079" w:type="pct"/>
            <w:tcBorders>
              <w:bottom w:val="single" w:sz="4" w:space="0" w:color="auto"/>
            </w:tcBorders>
            <w:shd w:val="clear" w:color="auto" w:fill="auto"/>
          </w:tcPr>
          <w:p w14:paraId="00E90021" w14:textId="1656E14A" w:rsidR="00AA05FA" w:rsidRPr="00246684" w:rsidRDefault="00AA05FA" w:rsidP="00AA05FA">
            <w:pPr>
              <w:autoSpaceDE w:val="0"/>
              <w:autoSpaceDN w:val="0"/>
              <w:adjustRightInd w:val="0"/>
              <w:rPr>
                <w:rFonts w:eastAsia="Calibri" w:cs="Times New Roman"/>
                <w:color w:val="FF0000"/>
                <w:sz w:val="18"/>
                <w:szCs w:val="18"/>
                <w:highlight w:val="yellow"/>
              </w:rPr>
            </w:pPr>
            <w:r w:rsidRPr="00761107">
              <w:rPr>
                <w:rFonts w:eastAsia="Calibri" w:cs="Times New Roman"/>
                <w:sz w:val="18"/>
                <w:szCs w:val="18"/>
              </w:rPr>
              <w:t xml:space="preserve">Enterprise survival rate </w:t>
            </w:r>
            <w:r w:rsidRPr="004C5CF8">
              <w:rPr>
                <w:rStyle w:val="FootnoteReference"/>
                <w:rFonts w:eastAsia="Calibri" w:cs="Times New Roman"/>
                <w:sz w:val="18"/>
                <w:szCs w:val="18"/>
              </w:rPr>
              <w:footnoteReference w:id="21"/>
            </w:r>
          </w:p>
        </w:tc>
        <w:tc>
          <w:tcPr>
            <w:tcW w:w="585" w:type="pct"/>
            <w:tcBorders>
              <w:bottom w:val="single" w:sz="4" w:space="0" w:color="auto"/>
            </w:tcBorders>
          </w:tcPr>
          <w:p w14:paraId="05B6A984" w14:textId="0DD15B26" w:rsidR="00AA05FA" w:rsidRPr="00DE71C5" w:rsidRDefault="00AA05FA" w:rsidP="00AA05FA">
            <w:pPr>
              <w:jc w:val="left"/>
              <w:rPr>
                <w:rFonts w:eastAsia="Calibri" w:cs="Times New Roman"/>
                <w:sz w:val="18"/>
                <w:szCs w:val="18"/>
              </w:rPr>
            </w:pPr>
            <w:r w:rsidRPr="00761107">
              <w:rPr>
                <w:rFonts w:eastAsia="Calibri" w:cs="Times New Roman"/>
                <w:sz w:val="18"/>
                <w:szCs w:val="18"/>
              </w:rPr>
              <w:t>54.1%</w:t>
            </w:r>
          </w:p>
        </w:tc>
        <w:tc>
          <w:tcPr>
            <w:tcW w:w="539" w:type="pct"/>
            <w:tcBorders>
              <w:bottom w:val="single" w:sz="4" w:space="0" w:color="auto"/>
            </w:tcBorders>
          </w:tcPr>
          <w:p w14:paraId="4B91D0EB" w14:textId="33A26B5D" w:rsidR="00AA05FA" w:rsidRPr="00246684" w:rsidRDefault="00AA05FA" w:rsidP="00AA05FA">
            <w:pPr>
              <w:jc w:val="left"/>
              <w:rPr>
                <w:rFonts w:eastAsia="Calibri" w:cs="Times New Roman"/>
                <w:sz w:val="18"/>
                <w:szCs w:val="18"/>
              </w:rPr>
            </w:pPr>
            <w:r w:rsidRPr="00761107">
              <w:rPr>
                <w:rFonts w:eastAsia="Calibri" w:cs="Times New Roman"/>
                <w:sz w:val="18"/>
                <w:szCs w:val="18"/>
              </w:rPr>
              <w:t>55% (2027)</w:t>
            </w:r>
          </w:p>
        </w:tc>
        <w:tc>
          <w:tcPr>
            <w:tcW w:w="765" w:type="pct"/>
            <w:tcBorders>
              <w:bottom w:val="single" w:sz="4" w:space="0" w:color="auto"/>
            </w:tcBorders>
            <w:shd w:val="clear" w:color="auto" w:fill="auto"/>
          </w:tcPr>
          <w:p w14:paraId="3408B3E7" w14:textId="78FDAF37" w:rsidR="00AA05FA" w:rsidRPr="00761107" w:rsidRDefault="00AA05FA" w:rsidP="00AA05FA">
            <w:pPr>
              <w:jc w:val="left"/>
              <w:rPr>
                <w:rFonts w:eastAsia="Calibri" w:cs="Times New Roman"/>
                <w:sz w:val="18"/>
                <w:szCs w:val="18"/>
                <w:highlight w:val="yellow"/>
              </w:rPr>
            </w:pPr>
            <w:r w:rsidRPr="00761107">
              <w:rPr>
                <w:rFonts w:eastAsia="Calibri" w:cs="Times New Roman"/>
                <w:sz w:val="18"/>
                <w:szCs w:val="18"/>
              </w:rPr>
              <w:t>National Statistical office</w:t>
            </w:r>
            <w:r w:rsidRPr="004C5CF8">
              <w:rPr>
                <w:rStyle w:val="FootnoteReference"/>
                <w:rFonts w:eastAsia="Calibri" w:cs="Times New Roman"/>
                <w:sz w:val="18"/>
                <w:szCs w:val="18"/>
              </w:rPr>
              <w:footnoteReference w:id="22"/>
            </w:r>
          </w:p>
        </w:tc>
        <w:tc>
          <w:tcPr>
            <w:tcW w:w="721" w:type="pct"/>
            <w:vMerge/>
            <w:shd w:val="clear" w:color="auto" w:fill="auto"/>
          </w:tcPr>
          <w:p w14:paraId="4CEA680E" w14:textId="77777777" w:rsidR="00AA05FA" w:rsidRPr="00761107" w:rsidRDefault="00AA05FA" w:rsidP="00AA05FA">
            <w:pPr>
              <w:autoSpaceDE w:val="0"/>
              <w:autoSpaceDN w:val="0"/>
              <w:adjustRightInd w:val="0"/>
              <w:rPr>
                <w:rFonts w:eastAsia="Calibri" w:cs="Times New Roman"/>
                <w:color w:val="0D0D0D"/>
                <w:sz w:val="18"/>
                <w:szCs w:val="18"/>
                <w:highlight w:val="yellow"/>
              </w:rPr>
            </w:pPr>
          </w:p>
        </w:tc>
      </w:tr>
      <w:tr w:rsidR="00AA05FA" w:rsidRPr="006575A0" w14:paraId="10D43915" w14:textId="77777777" w:rsidTr="00CA22CD">
        <w:trPr>
          <w:gridAfter w:val="1"/>
          <w:wAfter w:w="8" w:type="pct"/>
          <w:trHeight w:val="502"/>
          <w:tblHeader/>
        </w:trPr>
        <w:tc>
          <w:tcPr>
            <w:tcW w:w="585" w:type="pct"/>
            <w:vMerge/>
            <w:shd w:val="clear" w:color="auto" w:fill="D9D9D9"/>
          </w:tcPr>
          <w:p w14:paraId="2EBC1167" w14:textId="77777777" w:rsidR="00AA05FA" w:rsidRPr="00761107" w:rsidDel="00DB66D1" w:rsidRDefault="00AA05FA" w:rsidP="00AA05FA">
            <w:pPr>
              <w:tabs>
                <w:tab w:val="left" w:pos="0"/>
                <w:tab w:val="left" w:pos="132"/>
              </w:tabs>
              <w:rPr>
                <w:rFonts w:eastAsia="Calibri" w:cs="Times New Roman"/>
                <w:b/>
                <w:color w:val="0D0D0D"/>
                <w:sz w:val="18"/>
                <w:szCs w:val="18"/>
              </w:rPr>
            </w:pPr>
          </w:p>
        </w:tc>
        <w:tc>
          <w:tcPr>
            <w:tcW w:w="720" w:type="pct"/>
            <w:vMerge/>
            <w:shd w:val="clear" w:color="auto" w:fill="auto"/>
          </w:tcPr>
          <w:p w14:paraId="7FF45F53" w14:textId="77777777" w:rsidR="00AA05FA" w:rsidRPr="00761107" w:rsidRDefault="00AA05FA" w:rsidP="00AA05FA">
            <w:pPr>
              <w:autoSpaceDE w:val="0"/>
              <w:autoSpaceDN w:val="0"/>
              <w:adjustRightInd w:val="0"/>
              <w:rPr>
                <w:rFonts w:eastAsia="Calibri" w:cs="Times New Roman"/>
                <w:sz w:val="18"/>
                <w:szCs w:val="18"/>
              </w:rPr>
            </w:pPr>
          </w:p>
        </w:tc>
        <w:tc>
          <w:tcPr>
            <w:tcW w:w="1079" w:type="pct"/>
            <w:shd w:val="clear" w:color="auto" w:fill="FFFFFF"/>
          </w:tcPr>
          <w:p w14:paraId="5CF9FB38" w14:textId="5FB8752C" w:rsidR="00AA05FA" w:rsidRPr="004C5CF8" w:rsidRDefault="00AA05FA" w:rsidP="00AA05FA">
            <w:pPr>
              <w:autoSpaceDE w:val="0"/>
              <w:autoSpaceDN w:val="0"/>
              <w:adjustRightInd w:val="0"/>
              <w:jc w:val="left"/>
              <w:rPr>
                <w:rFonts w:eastAsia="Calibri" w:cs="Times New Roman"/>
                <w:sz w:val="18"/>
                <w:szCs w:val="18"/>
              </w:rPr>
            </w:pPr>
            <w:r w:rsidRPr="00CA22CD">
              <w:rPr>
                <w:rFonts w:cs="Times New Roman"/>
                <w:sz w:val="18"/>
                <w:szCs w:val="18"/>
              </w:rPr>
              <w:t>Agricultural area under integrated plant protection.</w:t>
            </w:r>
          </w:p>
        </w:tc>
        <w:tc>
          <w:tcPr>
            <w:tcW w:w="585" w:type="pct"/>
            <w:shd w:val="clear" w:color="auto" w:fill="FFFFFF"/>
          </w:tcPr>
          <w:p w14:paraId="7D278E26" w14:textId="179A5B0B" w:rsidR="00AA05FA" w:rsidRPr="00761107" w:rsidRDefault="00AA05FA" w:rsidP="00AA05FA">
            <w:pPr>
              <w:rPr>
                <w:rFonts w:eastAsia="Calibri" w:cs="Times New Roman"/>
                <w:sz w:val="18"/>
                <w:szCs w:val="18"/>
              </w:rPr>
            </w:pPr>
            <w:r w:rsidRPr="00761107">
              <w:rPr>
                <w:rFonts w:eastAsia="Calibri" w:cs="Times New Roman"/>
                <w:sz w:val="18"/>
                <w:szCs w:val="18"/>
              </w:rPr>
              <w:t>5 (2020)</w:t>
            </w:r>
          </w:p>
        </w:tc>
        <w:tc>
          <w:tcPr>
            <w:tcW w:w="539" w:type="pct"/>
            <w:shd w:val="clear" w:color="auto" w:fill="FFFFFF"/>
          </w:tcPr>
          <w:p w14:paraId="71853CD7" w14:textId="393F30AF" w:rsidR="00AA05FA" w:rsidRPr="00761107" w:rsidRDefault="00AA05FA" w:rsidP="00AA05FA">
            <w:pPr>
              <w:outlineLvl w:val="1"/>
              <w:rPr>
                <w:rFonts w:eastAsia="Calibri" w:cs="Times New Roman"/>
                <w:sz w:val="18"/>
                <w:szCs w:val="18"/>
              </w:rPr>
            </w:pPr>
            <w:r w:rsidRPr="00761107">
              <w:rPr>
                <w:rFonts w:eastAsia="Calibri" w:cs="Times New Roman"/>
                <w:sz w:val="18"/>
                <w:szCs w:val="18"/>
              </w:rPr>
              <w:t>30% (2027)</w:t>
            </w:r>
          </w:p>
        </w:tc>
        <w:tc>
          <w:tcPr>
            <w:tcW w:w="765" w:type="pct"/>
            <w:shd w:val="clear" w:color="auto" w:fill="FFFFFF"/>
          </w:tcPr>
          <w:p w14:paraId="1F7BF9D2" w14:textId="210250ED" w:rsidR="00AA05FA" w:rsidRPr="00761107" w:rsidRDefault="00AA05FA" w:rsidP="00AA05FA">
            <w:pPr>
              <w:jc w:val="left"/>
              <w:rPr>
                <w:rFonts w:eastAsia="Calibri" w:cs="Times New Roman"/>
                <w:sz w:val="18"/>
                <w:szCs w:val="18"/>
              </w:rPr>
            </w:pPr>
            <w:r w:rsidRPr="00761107">
              <w:rPr>
                <w:rFonts w:eastAsia="Calibri" w:cs="Times New Roman"/>
                <w:sz w:val="18"/>
                <w:szCs w:val="18"/>
              </w:rPr>
              <w:t>Ministry of Agriculture</w:t>
            </w:r>
          </w:p>
        </w:tc>
        <w:tc>
          <w:tcPr>
            <w:tcW w:w="721" w:type="pct"/>
            <w:vMerge/>
            <w:shd w:val="clear" w:color="auto" w:fill="auto"/>
          </w:tcPr>
          <w:p w14:paraId="722BAE8D" w14:textId="77777777" w:rsidR="00AA05FA" w:rsidRPr="00761107" w:rsidRDefault="00AA05FA" w:rsidP="00AA05FA">
            <w:pPr>
              <w:autoSpaceDE w:val="0"/>
              <w:autoSpaceDN w:val="0"/>
              <w:adjustRightInd w:val="0"/>
              <w:rPr>
                <w:rFonts w:eastAsia="Calibri" w:cs="Times New Roman"/>
                <w:color w:val="0D0D0D"/>
                <w:sz w:val="18"/>
                <w:szCs w:val="18"/>
                <w:highlight w:val="yellow"/>
              </w:rPr>
            </w:pPr>
          </w:p>
        </w:tc>
      </w:tr>
      <w:tr w:rsidR="00AA05FA" w:rsidRPr="006575A0" w14:paraId="22D8C593" w14:textId="77777777" w:rsidTr="00CA22CD">
        <w:trPr>
          <w:gridAfter w:val="1"/>
          <w:wAfter w:w="8" w:type="pct"/>
          <w:trHeight w:val="512"/>
          <w:tblHeader/>
        </w:trPr>
        <w:tc>
          <w:tcPr>
            <w:tcW w:w="585" w:type="pct"/>
            <w:vMerge/>
            <w:shd w:val="clear" w:color="auto" w:fill="D9D9D9"/>
          </w:tcPr>
          <w:p w14:paraId="1BE1FF3E" w14:textId="77777777" w:rsidR="00AA05FA" w:rsidRPr="00761107" w:rsidDel="00DB66D1" w:rsidRDefault="00AA05FA" w:rsidP="00AA05FA">
            <w:pPr>
              <w:tabs>
                <w:tab w:val="left" w:pos="0"/>
                <w:tab w:val="left" w:pos="132"/>
              </w:tabs>
              <w:rPr>
                <w:rFonts w:eastAsia="Calibri" w:cs="Times New Roman"/>
                <w:b/>
                <w:color w:val="0D0D0D"/>
                <w:sz w:val="18"/>
                <w:szCs w:val="18"/>
              </w:rPr>
            </w:pPr>
          </w:p>
        </w:tc>
        <w:tc>
          <w:tcPr>
            <w:tcW w:w="720" w:type="pct"/>
            <w:vMerge/>
            <w:shd w:val="clear" w:color="auto" w:fill="auto"/>
          </w:tcPr>
          <w:p w14:paraId="4809A319" w14:textId="77777777" w:rsidR="00AA05FA" w:rsidRPr="00CA22CD" w:rsidRDefault="00AA05FA" w:rsidP="00AA05FA">
            <w:pPr>
              <w:autoSpaceDE w:val="0"/>
              <w:autoSpaceDN w:val="0"/>
              <w:adjustRightInd w:val="0"/>
              <w:rPr>
                <w:rFonts w:eastAsia="Calibri" w:cs="Times New Roman"/>
                <w:sz w:val="18"/>
                <w:szCs w:val="18"/>
              </w:rPr>
            </w:pPr>
          </w:p>
        </w:tc>
        <w:tc>
          <w:tcPr>
            <w:tcW w:w="1079" w:type="pct"/>
            <w:shd w:val="clear" w:color="auto" w:fill="FFFFFF"/>
          </w:tcPr>
          <w:p w14:paraId="2AF975C1" w14:textId="77777777" w:rsidR="00AA05FA" w:rsidRPr="00761107" w:rsidRDefault="00AA05FA" w:rsidP="00AA05FA">
            <w:pPr>
              <w:autoSpaceDE w:val="0"/>
              <w:autoSpaceDN w:val="0"/>
              <w:adjustRightInd w:val="0"/>
              <w:jc w:val="left"/>
              <w:rPr>
                <w:rFonts w:eastAsia="Calibri" w:cs="Times New Roman"/>
                <w:sz w:val="18"/>
                <w:szCs w:val="18"/>
              </w:rPr>
            </w:pPr>
            <w:r w:rsidRPr="00761107">
              <w:rPr>
                <w:rFonts w:eastAsia="Calibri" w:cs="Times New Roman"/>
                <w:sz w:val="18"/>
                <w:szCs w:val="18"/>
              </w:rPr>
              <w:t>Agricultural area under organic farming (without pastures)</w:t>
            </w:r>
          </w:p>
          <w:p w14:paraId="34C2CB0D" w14:textId="77777777" w:rsidR="00AA05FA" w:rsidRPr="00246684" w:rsidRDefault="00AA05FA" w:rsidP="00AA05FA">
            <w:pPr>
              <w:autoSpaceDE w:val="0"/>
              <w:autoSpaceDN w:val="0"/>
              <w:adjustRightInd w:val="0"/>
              <w:jc w:val="left"/>
              <w:rPr>
                <w:rFonts w:eastAsia="Calibri" w:cs="Times New Roman"/>
                <w:sz w:val="18"/>
                <w:szCs w:val="18"/>
              </w:rPr>
            </w:pPr>
          </w:p>
        </w:tc>
        <w:tc>
          <w:tcPr>
            <w:tcW w:w="585" w:type="pct"/>
            <w:shd w:val="clear" w:color="auto" w:fill="FFFFFF"/>
          </w:tcPr>
          <w:p w14:paraId="2FF48AD0" w14:textId="3F273246" w:rsidR="00AA05FA" w:rsidRPr="00246684" w:rsidRDefault="00AA05FA" w:rsidP="00AA05FA">
            <w:pPr>
              <w:rPr>
                <w:rFonts w:eastAsia="Calibri" w:cs="Times New Roman"/>
                <w:sz w:val="18"/>
                <w:szCs w:val="18"/>
              </w:rPr>
            </w:pPr>
            <w:r w:rsidRPr="00761107">
              <w:rPr>
                <w:rFonts w:eastAsia="Calibri" w:cs="Times New Roman"/>
                <w:sz w:val="18"/>
                <w:szCs w:val="18"/>
              </w:rPr>
              <w:t>2,716 Ha (2018)</w:t>
            </w:r>
          </w:p>
        </w:tc>
        <w:tc>
          <w:tcPr>
            <w:tcW w:w="539" w:type="pct"/>
            <w:shd w:val="clear" w:color="auto" w:fill="FFFFFF"/>
          </w:tcPr>
          <w:p w14:paraId="5DC07401" w14:textId="77777777" w:rsidR="00AA05FA" w:rsidRPr="00761107" w:rsidRDefault="00AA05FA" w:rsidP="00AA05FA">
            <w:pPr>
              <w:outlineLvl w:val="1"/>
              <w:rPr>
                <w:rFonts w:eastAsia="Calibri" w:cs="Times New Roman"/>
                <w:sz w:val="18"/>
                <w:szCs w:val="18"/>
              </w:rPr>
            </w:pPr>
            <w:r w:rsidRPr="00761107">
              <w:rPr>
                <w:rFonts w:eastAsia="Calibri" w:cs="Times New Roman"/>
                <w:sz w:val="18"/>
                <w:szCs w:val="18"/>
              </w:rPr>
              <w:t>≥ 3,100 Ha (2027)</w:t>
            </w:r>
          </w:p>
          <w:p w14:paraId="537E2647" w14:textId="77777777" w:rsidR="00AA05FA" w:rsidRPr="00246684" w:rsidRDefault="00AA05FA" w:rsidP="00AA05FA">
            <w:pPr>
              <w:jc w:val="left"/>
              <w:rPr>
                <w:rFonts w:eastAsia="Calibri" w:cs="Times New Roman"/>
                <w:sz w:val="18"/>
                <w:szCs w:val="18"/>
              </w:rPr>
            </w:pPr>
          </w:p>
        </w:tc>
        <w:tc>
          <w:tcPr>
            <w:tcW w:w="765" w:type="pct"/>
            <w:shd w:val="clear" w:color="auto" w:fill="FFFFFF"/>
          </w:tcPr>
          <w:p w14:paraId="298F4E08" w14:textId="3B2F3CA1" w:rsidR="00AA05FA" w:rsidRPr="00246684" w:rsidRDefault="00AA05FA" w:rsidP="00AA05FA">
            <w:pPr>
              <w:jc w:val="left"/>
              <w:rPr>
                <w:rFonts w:eastAsia="Calibri" w:cs="Times New Roman"/>
                <w:sz w:val="18"/>
                <w:szCs w:val="18"/>
              </w:rPr>
            </w:pPr>
            <w:r w:rsidRPr="00761107">
              <w:rPr>
                <w:rFonts w:eastAsia="Calibri" w:cs="Times New Roman"/>
                <w:sz w:val="18"/>
                <w:szCs w:val="18"/>
              </w:rPr>
              <w:t>State Statistical Office (SSO)</w:t>
            </w:r>
          </w:p>
        </w:tc>
        <w:tc>
          <w:tcPr>
            <w:tcW w:w="721" w:type="pct"/>
            <w:vMerge/>
            <w:shd w:val="clear" w:color="auto" w:fill="auto"/>
          </w:tcPr>
          <w:p w14:paraId="79B15362" w14:textId="77777777" w:rsidR="00AA05FA" w:rsidRPr="00761107" w:rsidRDefault="00AA05FA" w:rsidP="00AA05FA">
            <w:pPr>
              <w:autoSpaceDE w:val="0"/>
              <w:autoSpaceDN w:val="0"/>
              <w:adjustRightInd w:val="0"/>
              <w:rPr>
                <w:rFonts w:eastAsia="Calibri" w:cs="Times New Roman"/>
                <w:color w:val="0D0D0D"/>
                <w:sz w:val="18"/>
                <w:szCs w:val="18"/>
                <w:highlight w:val="yellow"/>
              </w:rPr>
            </w:pPr>
          </w:p>
        </w:tc>
      </w:tr>
      <w:tr w:rsidR="00AA05FA" w:rsidRPr="006575A0" w14:paraId="7D8256EF" w14:textId="77777777" w:rsidTr="00CA22CD">
        <w:trPr>
          <w:gridAfter w:val="1"/>
          <w:wAfter w:w="8" w:type="pct"/>
          <w:trHeight w:val="398"/>
          <w:tblHeader/>
        </w:trPr>
        <w:tc>
          <w:tcPr>
            <w:tcW w:w="585" w:type="pct"/>
            <w:vMerge w:val="restart"/>
            <w:shd w:val="clear" w:color="auto" w:fill="D9D9D9"/>
          </w:tcPr>
          <w:p w14:paraId="3D936179" w14:textId="77777777" w:rsidR="00AA05FA" w:rsidRPr="004C5CF8" w:rsidRDefault="00AA05FA" w:rsidP="00AA05FA">
            <w:pPr>
              <w:tabs>
                <w:tab w:val="left" w:pos="0"/>
                <w:tab w:val="left" w:pos="132"/>
              </w:tabs>
              <w:rPr>
                <w:rFonts w:eastAsia="Calibri" w:cs="Times New Roman"/>
                <w:b/>
                <w:color w:val="0D0D0D"/>
                <w:sz w:val="18"/>
                <w:szCs w:val="18"/>
              </w:rPr>
            </w:pPr>
            <w:r w:rsidRPr="004C5CF8">
              <w:rPr>
                <w:rFonts w:eastAsia="Calibri" w:cs="Times New Roman"/>
                <w:b/>
                <w:color w:val="0D0D0D"/>
                <w:sz w:val="18"/>
                <w:szCs w:val="18"/>
              </w:rPr>
              <w:t xml:space="preserve">Output 1 </w:t>
            </w:r>
          </w:p>
          <w:p w14:paraId="6B338015" w14:textId="3737C86B" w:rsidR="00AA05FA" w:rsidRPr="00761107" w:rsidRDefault="00AA05FA" w:rsidP="00AA05FA">
            <w:pPr>
              <w:tabs>
                <w:tab w:val="left" w:pos="0"/>
                <w:tab w:val="left" w:pos="132"/>
              </w:tabs>
              <w:rPr>
                <w:rFonts w:eastAsia="Calibri" w:cs="Times New Roman"/>
                <w:b/>
                <w:color w:val="0D0D0D"/>
                <w:sz w:val="18"/>
                <w:szCs w:val="18"/>
              </w:rPr>
            </w:pPr>
          </w:p>
          <w:p w14:paraId="31C58577" w14:textId="72107906" w:rsidR="00AA05FA" w:rsidRPr="00761107" w:rsidRDefault="00AA05FA" w:rsidP="00AA05FA">
            <w:pPr>
              <w:tabs>
                <w:tab w:val="left" w:pos="0"/>
                <w:tab w:val="left" w:pos="132"/>
              </w:tabs>
              <w:jc w:val="left"/>
              <w:rPr>
                <w:rFonts w:eastAsia="Calibri" w:cs="Times New Roman"/>
                <w:b/>
                <w:color w:val="0D0D0D"/>
                <w:sz w:val="18"/>
                <w:szCs w:val="18"/>
              </w:rPr>
            </w:pPr>
          </w:p>
          <w:p w14:paraId="5A0F43E2" w14:textId="7CFFD84E" w:rsidR="00AA05FA" w:rsidRPr="00761107" w:rsidRDefault="00AA05FA" w:rsidP="00AA05FA">
            <w:pPr>
              <w:tabs>
                <w:tab w:val="left" w:pos="0"/>
                <w:tab w:val="left" w:pos="132"/>
              </w:tabs>
              <w:jc w:val="left"/>
              <w:rPr>
                <w:rFonts w:eastAsia="Calibri" w:cs="Times New Roman"/>
                <w:b/>
                <w:color w:val="0D0D0D"/>
                <w:sz w:val="18"/>
                <w:szCs w:val="18"/>
              </w:rPr>
            </w:pPr>
          </w:p>
        </w:tc>
        <w:tc>
          <w:tcPr>
            <w:tcW w:w="720" w:type="pct"/>
            <w:vMerge w:val="restart"/>
            <w:shd w:val="clear" w:color="auto" w:fill="auto"/>
          </w:tcPr>
          <w:p w14:paraId="4BAC9A9F" w14:textId="69ADEFED" w:rsidR="00AA05FA" w:rsidRPr="003662EA" w:rsidRDefault="00AA05FA" w:rsidP="00CA22CD">
            <w:pPr>
              <w:jc w:val="left"/>
              <w:rPr>
                <w:rFonts w:eastAsia="Calibri" w:cs="Times New Roman"/>
                <w:sz w:val="18"/>
                <w:szCs w:val="18"/>
              </w:rPr>
            </w:pPr>
            <w:r w:rsidRPr="00CA22CD">
              <w:rPr>
                <w:rFonts w:cs="Times New Roman"/>
                <w:bCs/>
                <w:i/>
                <w:sz w:val="18"/>
                <w:szCs w:val="18"/>
              </w:rPr>
              <w:t>Improved</w:t>
            </w:r>
            <w:r w:rsidRPr="00CA22CD">
              <w:rPr>
                <w:rFonts w:cs="Times New Roman"/>
                <w:i/>
                <w:sz w:val="18"/>
                <w:szCs w:val="18"/>
              </w:rPr>
              <w:t xml:space="preserve"> legal, administrative and operational framework for private sector development</w:t>
            </w:r>
          </w:p>
          <w:p w14:paraId="16AC28A5" w14:textId="01D9FC42" w:rsidR="00AA05FA" w:rsidRPr="00761107" w:rsidRDefault="00AA05FA" w:rsidP="00CA22CD">
            <w:pPr>
              <w:jc w:val="left"/>
              <w:rPr>
                <w:rFonts w:eastAsia="Calibri" w:cs="Times New Roman"/>
                <w:sz w:val="18"/>
                <w:szCs w:val="18"/>
                <w:highlight w:val="lightGray"/>
              </w:rPr>
            </w:pPr>
          </w:p>
        </w:tc>
        <w:tc>
          <w:tcPr>
            <w:tcW w:w="1079" w:type="pct"/>
            <w:shd w:val="clear" w:color="auto" w:fill="FFFFFF"/>
          </w:tcPr>
          <w:p w14:paraId="659FF8DD" w14:textId="24F1A011" w:rsidR="00AA05FA" w:rsidRPr="00761107" w:rsidRDefault="00AA05FA" w:rsidP="00AA05FA">
            <w:pPr>
              <w:autoSpaceDE w:val="0"/>
              <w:autoSpaceDN w:val="0"/>
              <w:adjustRightInd w:val="0"/>
              <w:jc w:val="left"/>
              <w:rPr>
                <w:rFonts w:eastAsia="Calibri" w:cs="Times New Roman"/>
                <w:sz w:val="18"/>
                <w:szCs w:val="18"/>
              </w:rPr>
            </w:pPr>
            <w:r w:rsidRPr="003662EA">
              <w:rPr>
                <w:rFonts w:eastAsia="Calibri" w:cs="Times New Roman"/>
                <w:sz w:val="18"/>
                <w:szCs w:val="18"/>
              </w:rPr>
              <w:t xml:space="preserve">Number of </w:t>
            </w:r>
            <w:r w:rsidRPr="00DE71C5">
              <w:rPr>
                <w:rFonts w:eastAsia="Calibri" w:cs="Times New Roman"/>
                <w:sz w:val="18"/>
                <w:szCs w:val="18"/>
              </w:rPr>
              <w:t xml:space="preserve">pieces of EU </w:t>
            </w:r>
            <w:r w:rsidRPr="00CA22CD">
              <w:rPr>
                <w:rFonts w:eastAsia="Calibri" w:cs="Times New Roman"/>
                <w:sz w:val="18"/>
                <w:szCs w:val="18"/>
              </w:rPr>
              <w:t>legislation fully transposed under  Cluster 2: Internal market (Chapters: 1, 3, 7, 28)</w:t>
            </w:r>
          </w:p>
        </w:tc>
        <w:tc>
          <w:tcPr>
            <w:tcW w:w="585" w:type="pct"/>
            <w:shd w:val="clear" w:color="auto" w:fill="FFFFFF"/>
          </w:tcPr>
          <w:p w14:paraId="451B1598" w14:textId="649676F4" w:rsidR="00AA05FA" w:rsidRPr="00761107" w:rsidRDefault="00AA05FA" w:rsidP="00AA05FA">
            <w:pPr>
              <w:rPr>
                <w:rFonts w:eastAsia="Calibri" w:cs="Times New Roman"/>
                <w:sz w:val="18"/>
                <w:szCs w:val="18"/>
              </w:rPr>
            </w:pPr>
            <w:r w:rsidRPr="003662EA">
              <w:rPr>
                <w:rFonts w:eastAsia="Calibri" w:cs="Times New Roman"/>
                <w:sz w:val="18"/>
                <w:szCs w:val="18"/>
              </w:rPr>
              <w:t xml:space="preserve">N/A </w:t>
            </w:r>
          </w:p>
        </w:tc>
        <w:tc>
          <w:tcPr>
            <w:tcW w:w="539" w:type="pct"/>
            <w:shd w:val="clear" w:color="auto" w:fill="FFFFFF"/>
          </w:tcPr>
          <w:p w14:paraId="3B1843DB" w14:textId="7B5E531E" w:rsidR="00AA05FA" w:rsidRPr="00CA22CD" w:rsidRDefault="00AA05FA" w:rsidP="00AA05FA">
            <w:pPr>
              <w:jc w:val="left"/>
              <w:rPr>
                <w:rFonts w:eastAsia="Calibri" w:cs="Times New Roman"/>
                <w:sz w:val="18"/>
                <w:szCs w:val="18"/>
              </w:rPr>
            </w:pPr>
            <w:r w:rsidRPr="00246684">
              <w:rPr>
                <w:rFonts w:eastAsia="Calibri" w:cs="Times New Roman"/>
                <w:sz w:val="18"/>
                <w:szCs w:val="18"/>
              </w:rPr>
              <w:t>&gt;</w:t>
            </w:r>
            <w:r w:rsidRPr="00CA22CD">
              <w:rPr>
                <w:rFonts w:eastAsia="Calibri" w:cs="Times New Roman"/>
                <w:sz w:val="18"/>
                <w:szCs w:val="18"/>
              </w:rPr>
              <w:t>10 (2027)</w:t>
            </w:r>
          </w:p>
        </w:tc>
        <w:tc>
          <w:tcPr>
            <w:tcW w:w="765" w:type="pct"/>
            <w:shd w:val="clear" w:color="auto" w:fill="FFFFFF"/>
          </w:tcPr>
          <w:p w14:paraId="2CF00805" w14:textId="2F6DCBA2" w:rsidR="00AA05FA" w:rsidRPr="00761107" w:rsidRDefault="00AA05FA" w:rsidP="00AA05FA">
            <w:pPr>
              <w:jc w:val="left"/>
              <w:rPr>
                <w:rFonts w:eastAsia="Calibri" w:cs="Times New Roman"/>
                <w:sz w:val="18"/>
                <w:szCs w:val="18"/>
                <w:highlight w:val="yellow"/>
              </w:rPr>
            </w:pPr>
            <w:r w:rsidRPr="004C5CF8">
              <w:rPr>
                <w:rFonts w:eastAsia="Calibri" w:cs="Times New Roman"/>
                <w:sz w:val="18"/>
                <w:szCs w:val="18"/>
              </w:rPr>
              <w:t>Report on implementation of National Action plan on compliance with Services Directive</w:t>
            </w:r>
            <w:r w:rsidRPr="00761107">
              <w:rPr>
                <w:rFonts w:eastAsia="Calibri" w:cs="Times New Roman"/>
                <w:sz w:val="18"/>
                <w:szCs w:val="18"/>
              </w:rPr>
              <w:t xml:space="preserve"> / </w:t>
            </w:r>
            <w:r w:rsidRPr="00246684">
              <w:rPr>
                <w:rFonts w:eastAsia="Calibri" w:cs="Times New Roman"/>
                <w:sz w:val="18"/>
                <w:szCs w:val="18"/>
              </w:rPr>
              <w:t xml:space="preserve"> EC progress report for North Macedonia</w:t>
            </w:r>
          </w:p>
        </w:tc>
        <w:tc>
          <w:tcPr>
            <w:tcW w:w="721" w:type="pct"/>
            <w:vMerge w:val="restart"/>
            <w:shd w:val="clear" w:color="auto" w:fill="auto"/>
          </w:tcPr>
          <w:p w14:paraId="70DA8CBF" w14:textId="6FC39262" w:rsidR="00AA05FA" w:rsidRPr="00CA22CD" w:rsidRDefault="00AA05FA" w:rsidP="00CA22CD">
            <w:pPr>
              <w:rPr>
                <w:rFonts w:cs="Times New Roman"/>
                <w:color w:val="0D0D0D" w:themeColor="text1" w:themeTint="F2"/>
                <w:sz w:val="18"/>
                <w:szCs w:val="18"/>
              </w:rPr>
            </w:pPr>
            <w:r w:rsidRPr="00CA22CD">
              <w:rPr>
                <w:rFonts w:cs="Times New Roman"/>
                <w:color w:val="0D0D0D" w:themeColor="text1" w:themeTint="F2"/>
                <w:sz w:val="18"/>
                <w:szCs w:val="18"/>
              </w:rPr>
              <w:t xml:space="preserve"> Continued political will and commitment of the Government and public administration to the accession process and the alignment of the EU acquis</w:t>
            </w:r>
          </w:p>
          <w:p w14:paraId="0B5673A6" w14:textId="77777777" w:rsidR="00AA05FA" w:rsidRPr="00CA22CD" w:rsidRDefault="00AA05FA" w:rsidP="00CA22CD">
            <w:pPr>
              <w:spacing w:before="120"/>
              <w:rPr>
                <w:rFonts w:cs="Times New Roman"/>
                <w:color w:val="0D0D0D" w:themeColor="text1" w:themeTint="F2"/>
                <w:sz w:val="18"/>
                <w:szCs w:val="18"/>
              </w:rPr>
            </w:pPr>
            <w:r w:rsidRPr="00CA22CD">
              <w:rPr>
                <w:rFonts w:cs="Times New Roman"/>
                <w:bCs/>
                <w:color w:val="0D0D0D" w:themeColor="text1" w:themeTint="F2"/>
                <w:sz w:val="18"/>
                <w:szCs w:val="18"/>
              </w:rPr>
              <w:t xml:space="preserve">The political commitment is translated into physical and human resources for the continuation of the sector reforms and the implementation of the EU assistance </w:t>
            </w:r>
          </w:p>
          <w:p w14:paraId="0E9F6F50" w14:textId="77777777" w:rsidR="00AA05FA" w:rsidRPr="00CA22CD" w:rsidRDefault="00AA05FA" w:rsidP="00CA22CD">
            <w:pPr>
              <w:spacing w:before="120"/>
              <w:rPr>
                <w:rFonts w:cs="Times New Roman"/>
                <w:color w:val="0D0D0D" w:themeColor="text1" w:themeTint="F2"/>
                <w:sz w:val="18"/>
                <w:szCs w:val="18"/>
              </w:rPr>
            </w:pPr>
            <w:r w:rsidRPr="00CA22CD">
              <w:rPr>
                <w:rFonts w:cs="Times New Roman"/>
                <w:color w:val="0D0D0D" w:themeColor="text1" w:themeTint="F2"/>
                <w:sz w:val="18"/>
                <w:szCs w:val="18"/>
              </w:rPr>
              <w:lastRenderedPageBreak/>
              <w:t xml:space="preserve">Willingness on behalf of the economic operators and academia to cooperate </w:t>
            </w:r>
            <w:r w:rsidRPr="00CA22CD">
              <w:rPr>
                <w:rFonts w:cs="Times New Roman"/>
                <w:bCs/>
                <w:color w:val="0D0D0D" w:themeColor="text1" w:themeTint="F2"/>
                <w:sz w:val="18"/>
                <w:szCs w:val="18"/>
              </w:rPr>
              <w:t xml:space="preserve"> </w:t>
            </w:r>
          </w:p>
          <w:p w14:paraId="157E18E5" w14:textId="77777777" w:rsidR="00AA05FA" w:rsidRPr="00CA22CD" w:rsidRDefault="00AA05FA" w:rsidP="00CA22CD">
            <w:pPr>
              <w:autoSpaceDE w:val="0"/>
              <w:autoSpaceDN w:val="0"/>
              <w:adjustRightInd w:val="0"/>
              <w:spacing w:before="120"/>
              <w:rPr>
                <w:rFonts w:cs="Times New Roman"/>
                <w:color w:val="0D0D0D" w:themeColor="text1" w:themeTint="F2"/>
                <w:sz w:val="18"/>
                <w:szCs w:val="18"/>
              </w:rPr>
            </w:pPr>
            <w:r w:rsidRPr="00CA22CD">
              <w:rPr>
                <w:rFonts w:cs="Times New Roman"/>
                <w:color w:val="0D0D0D" w:themeColor="text1" w:themeTint="F2"/>
                <w:sz w:val="18"/>
                <w:szCs w:val="18"/>
              </w:rPr>
              <w:t>Good cooperation and coordination among key stakeholders including local administration</w:t>
            </w:r>
          </w:p>
          <w:p w14:paraId="274E2F89" w14:textId="1429134E" w:rsidR="00AA05FA" w:rsidRPr="004C5CF8" w:rsidRDefault="00AA05FA" w:rsidP="00AA05FA">
            <w:pPr>
              <w:autoSpaceDE w:val="0"/>
              <w:autoSpaceDN w:val="0"/>
              <w:adjustRightInd w:val="0"/>
              <w:jc w:val="left"/>
              <w:rPr>
                <w:rFonts w:eastAsia="Calibri" w:cs="Times New Roman"/>
                <w:color w:val="0D0D0D"/>
                <w:sz w:val="18"/>
                <w:szCs w:val="18"/>
                <w:highlight w:val="yellow"/>
              </w:rPr>
            </w:pPr>
          </w:p>
        </w:tc>
      </w:tr>
      <w:tr w:rsidR="00AA05FA" w:rsidRPr="006575A0" w14:paraId="242BC30E" w14:textId="77777777" w:rsidTr="00CA22CD">
        <w:trPr>
          <w:gridAfter w:val="1"/>
          <w:wAfter w:w="8" w:type="pct"/>
          <w:trHeight w:val="725"/>
          <w:tblHeader/>
        </w:trPr>
        <w:tc>
          <w:tcPr>
            <w:tcW w:w="585" w:type="pct"/>
            <w:vMerge/>
            <w:shd w:val="clear" w:color="auto" w:fill="D9D9D9"/>
          </w:tcPr>
          <w:p w14:paraId="0C4E098F" w14:textId="78A19DE6" w:rsidR="00AA05FA" w:rsidRPr="00761107" w:rsidRDefault="00AA05FA" w:rsidP="00AA05FA">
            <w:pPr>
              <w:tabs>
                <w:tab w:val="left" w:pos="0"/>
                <w:tab w:val="left" w:pos="132"/>
              </w:tabs>
              <w:jc w:val="left"/>
              <w:rPr>
                <w:rFonts w:eastAsia="Calibri" w:cs="Times New Roman"/>
                <w:b/>
                <w:color w:val="0D0D0D"/>
                <w:sz w:val="18"/>
                <w:szCs w:val="18"/>
              </w:rPr>
            </w:pPr>
          </w:p>
        </w:tc>
        <w:tc>
          <w:tcPr>
            <w:tcW w:w="720" w:type="pct"/>
            <w:vMerge/>
            <w:shd w:val="clear" w:color="auto" w:fill="auto"/>
          </w:tcPr>
          <w:p w14:paraId="28D17ACF" w14:textId="1CAF6D05" w:rsidR="00AA05FA" w:rsidRPr="00CA22CD" w:rsidRDefault="00AA05FA" w:rsidP="00761107">
            <w:pPr>
              <w:jc w:val="left"/>
              <w:rPr>
                <w:rFonts w:eastAsia="Calibri" w:cs="Times New Roman"/>
                <w:color w:val="FF0000"/>
                <w:sz w:val="18"/>
                <w:szCs w:val="18"/>
              </w:rPr>
            </w:pPr>
          </w:p>
        </w:tc>
        <w:tc>
          <w:tcPr>
            <w:tcW w:w="1079" w:type="pct"/>
            <w:shd w:val="clear" w:color="auto" w:fill="FFFFFF"/>
          </w:tcPr>
          <w:p w14:paraId="07611219" w14:textId="3CD3ABA5" w:rsidR="00AA05FA" w:rsidRPr="00CA22CD" w:rsidRDefault="00AA05FA" w:rsidP="00AA05FA">
            <w:pPr>
              <w:autoSpaceDE w:val="0"/>
              <w:autoSpaceDN w:val="0"/>
              <w:adjustRightInd w:val="0"/>
              <w:jc w:val="left"/>
              <w:rPr>
                <w:rFonts w:eastAsia="Calibri" w:cs="Times New Roman"/>
                <w:sz w:val="18"/>
                <w:szCs w:val="18"/>
              </w:rPr>
            </w:pPr>
            <w:r w:rsidRPr="00CA22CD">
              <w:rPr>
                <w:rFonts w:eastAsia="Calibri" w:cs="Times New Roman"/>
                <w:sz w:val="18"/>
                <w:szCs w:val="18"/>
              </w:rPr>
              <w:t xml:space="preserve">Number of new services functional in the Point of Single Contact (PSC) </w:t>
            </w:r>
          </w:p>
        </w:tc>
        <w:tc>
          <w:tcPr>
            <w:tcW w:w="585" w:type="pct"/>
            <w:shd w:val="clear" w:color="auto" w:fill="FFFFFF"/>
          </w:tcPr>
          <w:p w14:paraId="31FFF3B8" w14:textId="77777777" w:rsidR="00AA05FA" w:rsidRPr="00CA22CD" w:rsidRDefault="00AA05FA" w:rsidP="00AA05FA">
            <w:pPr>
              <w:rPr>
                <w:rFonts w:eastAsia="Calibri" w:cs="Times New Roman"/>
                <w:sz w:val="18"/>
                <w:szCs w:val="18"/>
              </w:rPr>
            </w:pPr>
            <w:r w:rsidRPr="00CA22CD">
              <w:rPr>
                <w:rFonts w:eastAsia="Calibri" w:cs="Times New Roman"/>
                <w:sz w:val="18"/>
                <w:szCs w:val="18"/>
              </w:rPr>
              <w:t>1 (2023)</w:t>
            </w:r>
          </w:p>
        </w:tc>
        <w:tc>
          <w:tcPr>
            <w:tcW w:w="539" w:type="pct"/>
            <w:shd w:val="clear" w:color="auto" w:fill="FFFFFF"/>
          </w:tcPr>
          <w:p w14:paraId="43359AE2" w14:textId="77777777" w:rsidR="00AA05FA" w:rsidRPr="00CA22CD" w:rsidRDefault="00AA05FA" w:rsidP="00AA05FA">
            <w:pPr>
              <w:jc w:val="left"/>
              <w:rPr>
                <w:rFonts w:eastAsia="Calibri" w:cs="Times New Roman"/>
                <w:sz w:val="18"/>
                <w:szCs w:val="18"/>
              </w:rPr>
            </w:pPr>
            <w:r w:rsidRPr="00CA22CD">
              <w:rPr>
                <w:rFonts w:eastAsia="Calibri" w:cs="Times New Roman"/>
                <w:sz w:val="18"/>
                <w:szCs w:val="18"/>
              </w:rPr>
              <w:t>50% of the listed in the catalogue of service (2027)</w:t>
            </w:r>
          </w:p>
        </w:tc>
        <w:tc>
          <w:tcPr>
            <w:tcW w:w="765" w:type="pct"/>
            <w:shd w:val="clear" w:color="auto" w:fill="FFFFFF"/>
          </w:tcPr>
          <w:p w14:paraId="7A839D0D" w14:textId="77777777" w:rsidR="00AA05FA" w:rsidRPr="00CA22CD" w:rsidRDefault="00AA05FA" w:rsidP="00AA05FA">
            <w:pPr>
              <w:jc w:val="left"/>
              <w:rPr>
                <w:rFonts w:eastAsia="Calibri" w:cs="Times New Roman"/>
                <w:sz w:val="18"/>
                <w:szCs w:val="18"/>
              </w:rPr>
            </w:pPr>
            <w:r w:rsidRPr="00CA22CD">
              <w:rPr>
                <w:rFonts w:eastAsia="Calibri" w:cs="Times New Roman"/>
                <w:sz w:val="18"/>
                <w:szCs w:val="18"/>
              </w:rPr>
              <w:t>Report on implementation of National Action plan on compliance with Services Directive</w:t>
            </w:r>
          </w:p>
        </w:tc>
        <w:tc>
          <w:tcPr>
            <w:tcW w:w="721" w:type="pct"/>
            <w:vMerge/>
            <w:shd w:val="clear" w:color="auto" w:fill="auto"/>
          </w:tcPr>
          <w:p w14:paraId="262CEA78" w14:textId="77777777" w:rsidR="00AA05FA" w:rsidRPr="00761107" w:rsidRDefault="00AA05FA" w:rsidP="00AA05FA">
            <w:pPr>
              <w:autoSpaceDE w:val="0"/>
              <w:autoSpaceDN w:val="0"/>
              <w:adjustRightInd w:val="0"/>
              <w:rPr>
                <w:rFonts w:eastAsia="Calibri" w:cs="Times New Roman"/>
                <w:color w:val="0D0D0D"/>
                <w:sz w:val="18"/>
                <w:szCs w:val="18"/>
                <w:highlight w:val="yellow"/>
              </w:rPr>
            </w:pPr>
          </w:p>
        </w:tc>
      </w:tr>
      <w:tr w:rsidR="00AA05FA" w:rsidRPr="006575A0" w14:paraId="1F45C03A" w14:textId="77777777" w:rsidTr="00CA22CD">
        <w:trPr>
          <w:gridAfter w:val="1"/>
          <w:wAfter w:w="8" w:type="pct"/>
          <w:trHeight w:val="418"/>
          <w:tblHeader/>
        </w:trPr>
        <w:tc>
          <w:tcPr>
            <w:tcW w:w="585" w:type="pct"/>
            <w:vMerge/>
            <w:shd w:val="clear" w:color="auto" w:fill="D9D9D9"/>
          </w:tcPr>
          <w:p w14:paraId="3DE6B22C" w14:textId="6C9B04E0" w:rsidR="00AA05FA" w:rsidRPr="00761107" w:rsidRDefault="00AA05FA" w:rsidP="00AA05FA">
            <w:pPr>
              <w:tabs>
                <w:tab w:val="left" w:pos="0"/>
                <w:tab w:val="left" w:pos="132"/>
              </w:tabs>
              <w:jc w:val="left"/>
              <w:rPr>
                <w:rFonts w:eastAsia="Calibri" w:cs="Times New Roman"/>
                <w:b/>
                <w:color w:val="0D0D0D"/>
                <w:sz w:val="18"/>
                <w:szCs w:val="18"/>
              </w:rPr>
            </w:pPr>
          </w:p>
        </w:tc>
        <w:tc>
          <w:tcPr>
            <w:tcW w:w="720" w:type="pct"/>
            <w:vMerge/>
            <w:shd w:val="clear" w:color="auto" w:fill="auto"/>
          </w:tcPr>
          <w:p w14:paraId="564E23C4" w14:textId="4DE05D34" w:rsidR="00AA05FA" w:rsidRPr="00CA22CD" w:rsidRDefault="00AA05FA" w:rsidP="00761107">
            <w:pPr>
              <w:jc w:val="left"/>
              <w:rPr>
                <w:rFonts w:eastAsia="Calibri" w:cs="Times New Roman"/>
                <w:sz w:val="18"/>
                <w:szCs w:val="18"/>
              </w:rPr>
            </w:pPr>
          </w:p>
        </w:tc>
        <w:tc>
          <w:tcPr>
            <w:tcW w:w="1079" w:type="pct"/>
            <w:shd w:val="clear" w:color="auto" w:fill="FFFFFF"/>
          </w:tcPr>
          <w:p w14:paraId="0EBEF19E" w14:textId="1F6C9E1A" w:rsidR="00AA05FA" w:rsidRPr="00761107" w:rsidRDefault="00AA05FA" w:rsidP="00AA05FA">
            <w:pPr>
              <w:autoSpaceDE w:val="0"/>
              <w:autoSpaceDN w:val="0"/>
              <w:adjustRightInd w:val="0"/>
              <w:rPr>
                <w:rFonts w:eastAsia="Calibri" w:cs="Times New Roman"/>
                <w:sz w:val="18"/>
                <w:szCs w:val="18"/>
              </w:rPr>
            </w:pPr>
            <w:r w:rsidRPr="00CA22CD">
              <w:rPr>
                <w:rFonts w:eastAsia="Calibri" w:cs="Times New Roman"/>
                <w:sz w:val="18"/>
                <w:szCs w:val="18"/>
              </w:rPr>
              <w:t>Number of market inspectors trained on quality controls</w:t>
            </w:r>
          </w:p>
        </w:tc>
        <w:tc>
          <w:tcPr>
            <w:tcW w:w="585" w:type="pct"/>
            <w:shd w:val="clear" w:color="auto" w:fill="FFFFFF"/>
          </w:tcPr>
          <w:p w14:paraId="4E4804F4" w14:textId="77777777" w:rsidR="00AA05FA" w:rsidRPr="00761107" w:rsidRDefault="00AA05FA" w:rsidP="00AA05FA">
            <w:pPr>
              <w:rPr>
                <w:rFonts w:eastAsia="Calibri" w:cs="Times New Roman"/>
                <w:sz w:val="18"/>
                <w:szCs w:val="18"/>
              </w:rPr>
            </w:pPr>
            <w:r w:rsidRPr="00246684">
              <w:rPr>
                <w:rFonts w:eastAsia="Calibri" w:cs="Times New Roman"/>
                <w:sz w:val="18"/>
                <w:szCs w:val="18"/>
              </w:rPr>
              <w:t>0 (2023)</w:t>
            </w:r>
          </w:p>
        </w:tc>
        <w:tc>
          <w:tcPr>
            <w:tcW w:w="539" w:type="pct"/>
            <w:shd w:val="clear" w:color="auto" w:fill="FFFFFF"/>
          </w:tcPr>
          <w:p w14:paraId="3BF2D437" w14:textId="77777777" w:rsidR="00AA05FA" w:rsidRPr="00761107" w:rsidRDefault="00AA05FA" w:rsidP="00AA05FA">
            <w:pPr>
              <w:rPr>
                <w:rFonts w:eastAsia="Calibri" w:cs="Times New Roman"/>
                <w:sz w:val="18"/>
                <w:szCs w:val="18"/>
              </w:rPr>
            </w:pPr>
            <w:r w:rsidRPr="00246684">
              <w:rPr>
                <w:rFonts w:eastAsia="Calibri" w:cs="Times New Roman"/>
                <w:sz w:val="18"/>
                <w:szCs w:val="18"/>
              </w:rPr>
              <w:t>≥150 (2027)</w:t>
            </w:r>
          </w:p>
        </w:tc>
        <w:tc>
          <w:tcPr>
            <w:tcW w:w="765" w:type="pct"/>
            <w:shd w:val="clear" w:color="auto" w:fill="FFFFFF"/>
          </w:tcPr>
          <w:p w14:paraId="6DC41812" w14:textId="77777777" w:rsidR="00AA05FA" w:rsidRPr="00AA05FA" w:rsidRDefault="00AA05FA" w:rsidP="00AA05FA">
            <w:pPr>
              <w:jc w:val="left"/>
              <w:rPr>
                <w:rFonts w:eastAsia="Calibri" w:cs="Times New Roman"/>
                <w:sz w:val="18"/>
                <w:szCs w:val="18"/>
                <w:highlight w:val="yellow"/>
              </w:rPr>
            </w:pPr>
            <w:r w:rsidRPr="00246684">
              <w:rPr>
                <w:rFonts w:eastAsia="Calibri" w:cs="Times New Roman"/>
                <w:sz w:val="18"/>
                <w:szCs w:val="18"/>
              </w:rPr>
              <w:t>Semi-annual report of the Market Inspectorate</w:t>
            </w:r>
          </w:p>
        </w:tc>
        <w:tc>
          <w:tcPr>
            <w:tcW w:w="721" w:type="pct"/>
            <w:vMerge/>
            <w:shd w:val="clear" w:color="auto" w:fill="auto"/>
          </w:tcPr>
          <w:p w14:paraId="16DC5F6E" w14:textId="77777777" w:rsidR="00AA05FA" w:rsidRPr="00761107" w:rsidRDefault="00AA05FA" w:rsidP="00AA05FA">
            <w:pPr>
              <w:autoSpaceDE w:val="0"/>
              <w:autoSpaceDN w:val="0"/>
              <w:adjustRightInd w:val="0"/>
              <w:rPr>
                <w:rFonts w:eastAsia="Calibri" w:cs="Times New Roman"/>
                <w:color w:val="0D0D0D"/>
                <w:sz w:val="18"/>
                <w:szCs w:val="18"/>
                <w:highlight w:val="yellow"/>
              </w:rPr>
            </w:pPr>
          </w:p>
        </w:tc>
      </w:tr>
      <w:tr w:rsidR="00AA05FA" w:rsidRPr="006575A0" w14:paraId="5FB07B71" w14:textId="77777777" w:rsidTr="00CA22CD">
        <w:trPr>
          <w:gridAfter w:val="1"/>
          <w:wAfter w:w="8" w:type="pct"/>
          <w:trHeight w:val="418"/>
          <w:tblHeader/>
        </w:trPr>
        <w:tc>
          <w:tcPr>
            <w:tcW w:w="585" w:type="pct"/>
            <w:vMerge/>
            <w:shd w:val="clear" w:color="auto" w:fill="D9D9D9"/>
          </w:tcPr>
          <w:p w14:paraId="51EC2C90" w14:textId="7BDF1DAD" w:rsidR="00AA05FA" w:rsidRPr="00761107" w:rsidRDefault="00AA05FA" w:rsidP="00AA05FA">
            <w:pPr>
              <w:tabs>
                <w:tab w:val="left" w:pos="0"/>
                <w:tab w:val="left" w:pos="132"/>
              </w:tabs>
              <w:jc w:val="left"/>
              <w:rPr>
                <w:rFonts w:eastAsia="Calibri" w:cs="Times New Roman"/>
                <w:b/>
                <w:color w:val="0D0D0D"/>
                <w:sz w:val="18"/>
                <w:szCs w:val="18"/>
              </w:rPr>
            </w:pPr>
          </w:p>
        </w:tc>
        <w:tc>
          <w:tcPr>
            <w:tcW w:w="720" w:type="pct"/>
            <w:vMerge/>
            <w:shd w:val="clear" w:color="auto" w:fill="auto"/>
          </w:tcPr>
          <w:p w14:paraId="6C7672B1" w14:textId="210C0A4B" w:rsidR="00AA05FA" w:rsidRPr="00CA22CD" w:rsidRDefault="00AA05FA" w:rsidP="00761107">
            <w:pPr>
              <w:jc w:val="left"/>
              <w:rPr>
                <w:rFonts w:eastAsia="Calibri" w:cs="Times New Roman"/>
                <w:color w:val="FF0000"/>
                <w:sz w:val="18"/>
                <w:szCs w:val="18"/>
              </w:rPr>
            </w:pPr>
          </w:p>
        </w:tc>
        <w:tc>
          <w:tcPr>
            <w:tcW w:w="1079" w:type="pct"/>
            <w:shd w:val="clear" w:color="auto" w:fill="FFFFFF"/>
          </w:tcPr>
          <w:p w14:paraId="171ADD19" w14:textId="24FA1806" w:rsidR="00AA05FA" w:rsidRPr="00CA22CD" w:rsidRDefault="00AA05FA" w:rsidP="00AA05FA">
            <w:pPr>
              <w:autoSpaceDE w:val="0"/>
              <w:autoSpaceDN w:val="0"/>
              <w:adjustRightInd w:val="0"/>
              <w:jc w:val="left"/>
              <w:rPr>
                <w:rFonts w:eastAsia="Calibri" w:cs="Times New Roman"/>
                <w:sz w:val="18"/>
                <w:szCs w:val="18"/>
              </w:rPr>
            </w:pPr>
            <w:r w:rsidRPr="00CA22CD">
              <w:rPr>
                <w:rFonts w:eastAsia="Calibri" w:cs="Times New Roman"/>
                <w:sz w:val="18"/>
                <w:szCs w:val="18"/>
              </w:rPr>
              <w:t>Number of consumer complaints finalised annually</w:t>
            </w:r>
          </w:p>
        </w:tc>
        <w:tc>
          <w:tcPr>
            <w:tcW w:w="585" w:type="pct"/>
            <w:shd w:val="clear" w:color="auto" w:fill="FFFFFF"/>
          </w:tcPr>
          <w:p w14:paraId="7CA0D807" w14:textId="77777777" w:rsidR="00AA05FA" w:rsidRPr="00CA22CD" w:rsidRDefault="00AA05FA" w:rsidP="00AA05FA">
            <w:pPr>
              <w:rPr>
                <w:rFonts w:eastAsia="Calibri" w:cs="Times New Roman"/>
                <w:sz w:val="18"/>
                <w:szCs w:val="18"/>
              </w:rPr>
            </w:pPr>
            <w:r w:rsidRPr="00CA22CD">
              <w:rPr>
                <w:rFonts w:eastAsia="Calibri" w:cs="Times New Roman"/>
                <w:sz w:val="18"/>
                <w:szCs w:val="18"/>
              </w:rPr>
              <w:t>1934 (2022)</w:t>
            </w:r>
          </w:p>
        </w:tc>
        <w:tc>
          <w:tcPr>
            <w:tcW w:w="539" w:type="pct"/>
            <w:shd w:val="clear" w:color="auto" w:fill="FFFFFF"/>
          </w:tcPr>
          <w:p w14:paraId="418C7D7A" w14:textId="77777777" w:rsidR="00AA05FA" w:rsidRPr="00CA22CD" w:rsidRDefault="00AA05FA" w:rsidP="00AA05FA">
            <w:pPr>
              <w:rPr>
                <w:rFonts w:eastAsia="Calibri" w:cs="Times New Roman"/>
                <w:sz w:val="18"/>
                <w:szCs w:val="18"/>
              </w:rPr>
            </w:pPr>
            <w:r w:rsidRPr="00CA22CD">
              <w:rPr>
                <w:rFonts w:eastAsia="Calibri" w:cs="Times New Roman"/>
                <w:sz w:val="18"/>
                <w:szCs w:val="18"/>
              </w:rPr>
              <w:t>≥30% (2027)</w:t>
            </w:r>
          </w:p>
        </w:tc>
        <w:tc>
          <w:tcPr>
            <w:tcW w:w="765" w:type="pct"/>
            <w:shd w:val="clear" w:color="auto" w:fill="FFFFFF"/>
          </w:tcPr>
          <w:p w14:paraId="45B691C1" w14:textId="77777777" w:rsidR="00AA05FA" w:rsidRPr="00CA22CD" w:rsidRDefault="00AA05FA" w:rsidP="00AA05FA">
            <w:pPr>
              <w:jc w:val="left"/>
              <w:rPr>
                <w:rFonts w:eastAsia="Calibri" w:cs="Times New Roman"/>
                <w:sz w:val="18"/>
                <w:szCs w:val="18"/>
              </w:rPr>
            </w:pPr>
            <w:r w:rsidRPr="00CA22CD">
              <w:rPr>
                <w:rFonts w:eastAsia="Calibri" w:cs="Times New Roman"/>
                <w:sz w:val="18"/>
                <w:szCs w:val="18"/>
              </w:rPr>
              <w:t>Semi-annual report of the Market Inspectorate</w:t>
            </w:r>
          </w:p>
        </w:tc>
        <w:tc>
          <w:tcPr>
            <w:tcW w:w="721" w:type="pct"/>
            <w:vMerge/>
            <w:shd w:val="clear" w:color="auto" w:fill="auto"/>
          </w:tcPr>
          <w:p w14:paraId="08026A30" w14:textId="77777777" w:rsidR="00AA05FA" w:rsidRPr="00761107" w:rsidRDefault="00AA05FA" w:rsidP="00AA05FA">
            <w:pPr>
              <w:autoSpaceDE w:val="0"/>
              <w:autoSpaceDN w:val="0"/>
              <w:adjustRightInd w:val="0"/>
              <w:rPr>
                <w:rFonts w:eastAsia="Calibri" w:cs="Times New Roman"/>
                <w:color w:val="0D0D0D"/>
                <w:sz w:val="18"/>
                <w:szCs w:val="18"/>
                <w:highlight w:val="yellow"/>
              </w:rPr>
            </w:pPr>
          </w:p>
        </w:tc>
      </w:tr>
      <w:tr w:rsidR="00AA05FA" w:rsidRPr="006575A0" w14:paraId="735D40B3" w14:textId="77777777" w:rsidTr="00CA22CD">
        <w:trPr>
          <w:gridAfter w:val="1"/>
          <w:wAfter w:w="8" w:type="pct"/>
          <w:trHeight w:val="418"/>
          <w:tblHeader/>
        </w:trPr>
        <w:tc>
          <w:tcPr>
            <w:tcW w:w="585" w:type="pct"/>
            <w:vMerge/>
            <w:shd w:val="clear" w:color="auto" w:fill="D9D9D9"/>
          </w:tcPr>
          <w:p w14:paraId="7CD0932F" w14:textId="1D31CF35" w:rsidR="00AA05FA" w:rsidRPr="00761107" w:rsidRDefault="00AA05FA" w:rsidP="00AA05FA">
            <w:pPr>
              <w:tabs>
                <w:tab w:val="left" w:pos="0"/>
                <w:tab w:val="left" w:pos="132"/>
              </w:tabs>
              <w:jc w:val="left"/>
              <w:rPr>
                <w:rFonts w:eastAsia="Calibri" w:cs="Times New Roman"/>
                <w:b/>
                <w:color w:val="0D0D0D"/>
                <w:sz w:val="18"/>
                <w:szCs w:val="18"/>
              </w:rPr>
            </w:pPr>
          </w:p>
        </w:tc>
        <w:tc>
          <w:tcPr>
            <w:tcW w:w="720" w:type="pct"/>
            <w:vMerge/>
            <w:shd w:val="clear" w:color="auto" w:fill="auto"/>
          </w:tcPr>
          <w:p w14:paraId="68AB7858" w14:textId="24E9B7B2" w:rsidR="00AA05FA" w:rsidRPr="00CA22CD" w:rsidRDefault="00AA05FA" w:rsidP="00761107">
            <w:pPr>
              <w:jc w:val="left"/>
              <w:rPr>
                <w:rFonts w:eastAsia="Calibri" w:cs="Times New Roman"/>
                <w:color w:val="FF0000"/>
                <w:sz w:val="18"/>
                <w:szCs w:val="18"/>
              </w:rPr>
            </w:pPr>
          </w:p>
        </w:tc>
        <w:tc>
          <w:tcPr>
            <w:tcW w:w="1079" w:type="pct"/>
            <w:shd w:val="clear" w:color="auto" w:fill="FFFFFF"/>
          </w:tcPr>
          <w:p w14:paraId="1534B4FE" w14:textId="29786A15" w:rsidR="00AA05FA" w:rsidRPr="00CA22CD" w:rsidRDefault="00AA05FA" w:rsidP="00AA05FA">
            <w:pPr>
              <w:autoSpaceDE w:val="0"/>
              <w:autoSpaceDN w:val="0"/>
              <w:adjustRightInd w:val="0"/>
              <w:jc w:val="left"/>
              <w:rPr>
                <w:rFonts w:eastAsia="Calibri" w:cs="Times New Roman"/>
                <w:sz w:val="18"/>
                <w:szCs w:val="18"/>
              </w:rPr>
            </w:pPr>
            <w:r w:rsidRPr="00CA22CD">
              <w:rPr>
                <w:rFonts w:eastAsia="Calibri" w:cs="Times New Roman"/>
                <w:sz w:val="18"/>
                <w:szCs w:val="18"/>
              </w:rPr>
              <w:t xml:space="preserve">Number of filed applications for IP rights </w:t>
            </w:r>
          </w:p>
        </w:tc>
        <w:tc>
          <w:tcPr>
            <w:tcW w:w="585" w:type="pct"/>
            <w:shd w:val="clear" w:color="auto" w:fill="FFFFFF"/>
          </w:tcPr>
          <w:p w14:paraId="221032C4" w14:textId="77777777" w:rsidR="00AA05FA" w:rsidRPr="00CA22CD" w:rsidRDefault="00AA05FA" w:rsidP="00AA05FA">
            <w:pPr>
              <w:jc w:val="left"/>
              <w:rPr>
                <w:rFonts w:eastAsia="Calibri" w:cs="Times New Roman"/>
                <w:sz w:val="18"/>
                <w:szCs w:val="18"/>
              </w:rPr>
            </w:pPr>
            <w:r w:rsidRPr="00CA22CD">
              <w:rPr>
                <w:rFonts w:eastAsia="Calibri" w:cs="Times New Roman"/>
                <w:sz w:val="18"/>
                <w:szCs w:val="18"/>
              </w:rPr>
              <w:t xml:space="preserve">650 patents (2022) </w:t>
            </w:r>
          </w:p>
          <w:p w14:paraId="62784F69" w14:textId="77777777" w:rsidR="00AA05FA" w:rsidRPr="00CA22CD" w:rsidRDefault="00AA05FA" w:rsidP="00AA05FA">
            <w:pPr>
              <w:jc w:val="left"/>
              <w:rPr>
                <w:rFonts w:eastAsia="Calibri" w:cs="Times New Roman"/>
                <w:sz w:val="18"/>
                <w:szCs w:val="18"/>
              </w:rPr>
            </w:pPr>
            <w:r w:rsidRPr="00CA22CD">
              <w:rPr>
                <w:rFonts w:eastAsia="Calibri" w:cs="Times New Roman"/>
                <w:sz w:val="18"/>
                <w:szCs w:val="18"/>
              </w:rPr>
              <w:t>3,593 trademarks (2022)</w:t>
            </w:r>
          </w:p>
          <w:p w14:paraId="3C8B508D" w14:textId="77777777" w:rsidR="00AA05FA" w:rsidRPr="00CA22CD" w:rsidRDefault="00AA05FA" w:rsidP="00AA05FA">
            <w:pPr>
              <w:jc w:val="left"/>
              <w:rPr>
                <w:rFonts w:eastAsia="Calibri" w:cs="Times New Roman"/>
                <w:sz w:val="18"/>
                <w:szCs w:val="18"/>
              </w:rPr>
            </w:pPr>
            <w:r w:rsidRPr="00CA22CD">
              <w:rPr>
                <w:rFonts w:eastAsia="Calibri" w:cs="Times New Roman"/>
                <w:sz w:val="18"/>
                <w:szCs w:val="18"/>
              </w:rPr>
              <w:lastRenderedPageBreak/>
              <w:t>157 industrial designs (2022)</w:t>
            </w:r>
          </w:p>
        </w:tc>
        <w:tc>
          <w:tcPr>
            <w:tcW w:w="539" w:type="pct"/>
            <w:shd w:val="clear" w:color="auto" w:fill="FFFFFF"/>
          </w:tcPr>
          <w:p w14:paraId="479E1028" w14:textId="77777777" w:rsidR="00AA05FA" w:rsidRPr="00CA22CD" w:rsidRDefault="00AA05FA" w:rsidP="00AA05FA">
            <w:pPr>
              <w:rPr>
                <w:rFonts w:eastAsia="Calibri" w:cs="Times New Roman"/>
                <w:sz w:val="18"/>
                <w:szCs w:val="18"/>
              </w:rPr>
            </w:pPr>
            <w:r w:rsidRPr="00CA22CD">
              <w:rPr>
                <w:rFonts w:eastAsia="Calibri" w:cs="Times New Roman"/>
                <w:sz w:val="18"/>
                <w:szCs w:val="18"/>
              </w:rPr>
              <w:lastRenderedPageBreak/>
              <w:t>≥30% each (2028)</w:t>
            </w:r>
          </w:p>
        </w:tc>
        <w:tc>
          <w:tcPr>
            <w:tcW w:w="765" w:type="pct"/>
            <w:shd w:val="clear" w:color="auto" w:fill="FFFFFF"/>
          </w:tcPr>
          <w:p w14:paraId="15DEADB1" w14:textId="77777777" w:rsidR="00AA05FA" w:rsidRPr="00CA22CD" w:rsidRDefault="00AA05FA" w:rsidP="00AA05FA">
            <w:pPr>
              <w:rPr>
                <w:rFonts w:eastAsia="Calibri" w:cs="Times New Roman"/>
                <w:sz w:val="18"/>
                <w:szCs w:val="18"/>
              </w:rPr>
            </w:pPr>
            <w:r w:rsidRPr="00CA22CD">
              <w:rPr>
                <w:rFonts w:eastAsia="Calibri" w:cs="Times New Roman"/>
                <w:sz w:val="18"/>
                <w:szCs w:val="18"/>
              </w:rPr>
              <w:t>Annual report of the SOIP</w:t>
            </w:r>
          </w:p>
        </w:tc>
        <w:tc>
          <w:tcPr>
            <w:tcW w:w="721" w:type="pct"/>
            <w:vMerge/>
            <w:shd w:val="clear" w:color="auto" w:fill="auto"/>
          </w:tcPr>
          <w:p w14:paraId="1ABA2D01" w14:textId="77777777" w:rsidR="00AA05FA" w:rsidRPr="00761107" w:rsidRDefault="00AA05FA" w:rsidP="00AA05FA">
            <w:pPr>
              <w:autoSpaceDE w:val="0"/>
              <w:autoSpaceDN w:val="0"/>
              <w:adjustRightInd w:val="0"/>
              <w:rPr>
                <w:rFonts w:eastAsia="Calibri" w:cs="Times New Roman"/>
                <w:color w:val="0D0D0D"/>
                <w:sz w:val="18"/>
                <w:szCs w:val="18"/>
                <w:highlight w:val="yellow"/>
              </w:rPr>
            </w:pPr>
          </w:p>
        </w:tc>
      </w:tr>
      <w:tr w:rsidR="00AA05FA" w:rsidRPr="006575A0" w14:paraId="5AD402BD" w14:textId="77777777" w:rsidTr="00CA22CD">
        <w:trPr>
          <w:gridAfter w:val="1"/>
          <w:wAfter w:w="8" w:type="pct"/>
          <w:trHeight w:val="418"/>
          <w:tblHeader/>
        </w:trPr>
        <w:tc>
          <w:tcPr>
            <w:tcW w:w="585" w:type="pct"/>
            <w:vMerge/>
            <w:shd w:val="clear" w:color="auto" w:fill="D9D9D9"/>
          </w:tcPr>
          <w:p w14:paraId="3D33409B" w14:textId="77777777" w:rsidR="00AA05FA" w:rsidRPr="00761107" w:rsidRDefault="00AA05FA" w:rsidP="00AA05FA">
            <w:pPr>
              <w:tabs>
                <w:tab w:val="left" w:pos="0"/>
                <w:tab w:val="left" w:pos="132"/>
              </w:tabs>
              <w:jc w:val="left"/>
              <w:rPr>
                <w:rFonts w:eastAsia="Calibri" w:cs="Times New Roman"/>
                <w:b/>
                <w:color w:val="0D0D0D"/>
                <w:sz w:val="18"/>
                <w:szCs w:val="18"/>
              </w:rPr>
            </w:pPr>
          </w:p>
        </w:tc>
        <w:tc>
          <w:tcPr>
            <w:tcW w:w="720" w:type="pct"/>
            <w:vMerge/>
            <w:shd w:val="clear" w:color="auto" w:fill="auto"/>
          </w:tcPr>
          <w:p w14:paraId="724251D2" w14:textId="77777777" w:rsidR="00AA05FA" w:rsidRPr="00CA22CD" w:rsidRDefault="00AA05FA" w:rsidP="00AA05FA">
            <w:pPr>
              <w:jc w:val="left"/>
              <w:rPr>
                <w:rFonts w:eastAsia="Calibri" w:cs="Times New Roman"/>
                <w:color w:val="FF0000"/>
                <w:sz w:val="18"/>
                <w:szCs w:val="18"/>
                <w:highlight w:val="yellow"/>
              </w:rPr>
            </w:pPr>
          </w:p>
        </w:tc>
        <w:tc>
          <w:tcPr>
            <w:tcW w:w="1079" w:type="pct"/>
            <w:shd w:val="clear" w:color="auto" w:fill="FFFFFF"/>
          </w:tcPr>
          <w:p w14:paraId="7549EB7C" w14:textId="5B988A23" w:rsidR="00AA05FA" w:rsidRPr="00761107" w:rsidRDefault="00AA05FA" w:rsidP="00AA05FA">
            <w:pPr>
              <w:autoSpaceDE w:val="0"/>
              <w:autoSpaceDN w:val="0"/>
              <w:adjustRightInd w:val="0"/>
              <w:jc w:val="left"/>
              <w:rPr>
                <w:rFonts w:eastAsia="Calibri" w:cs="Times New Roman"/>
                <w:sz w:val="18"/>
                <w:szCs w:val="18"/>
              </w:rPr>
            </w:pPr>
            <w:r w:rsidRPr="00CA22CD">
              <w:rPr>
                <w:rFonts w:eastAsia="Calibri" w:cs="Times New Roman"/>
                <w:sz w:val="18"/>
                <w:szCs w:val="18"/>
              </w:rPr>
              <w:t xml:space="preserve">Number of </w:t>
            </w:r>
            <w:r w:rsidRPr="00761107">
              <w:rPr>
                <w:rFonts w:eastAsia="Calibri" w:cs="Times New Roman"/>
                <w:sz w:val="18"/>
                <w:szCs w:val="18"/>
              </w:rPr>
              <w:t xml:space="preserve">partnerships between economy and research </w:t>
            </w:r>
            <w:r w:rsidRPr="00246684">
              <w:rPr>
                <w:rFonts w:eastAsia="Calibri" w:cs="Times New Roman"/>
                <w:sz w:val="18"/>
                <w:szCs w:val="18"/>
              </w:rPr>
              <w:t xml:space="preserve"> </w:t>
            </w:r>
            <w:r w:rsidRPr="00761107">
              <w:rPr>
                <w:rFonts w:eastAsia="Calibri" w:cs="Times New Roman"/>
                <w:sz w:val="18"/>
                <w:szCs w:val="18"/>
              </w:rPr>
              <w:t>sectors</w:t>
            </w:r>
          </w:p>
        </w:tc>
        <w:tc>
          <w:tcPr>
            <w:tcW w:w="585" w:type="pct"/>
            <w:shd w:val="clear" w:color="auto" w:fill="FFFFFF"/>
          </w:tcPr>
          <w:p w14:paraId="2FDBDA2D" w14:textId="672D29BE" w:rsidR="00AA05FA" w:rsidRPr="00761107" w:rsidRDefault="00AA05FA" w:rsidP="00AA05FA">
            <w:pPr>
              <w:rPr>
                <w:rFonts w:eastAsia="Calibri" w:cs="Times New Roman"/>
                <w:sz w:val="18"/>
                <w:szCs w:val="18"/>
              </w:rPr>
            </w:pPr>
            <w:r w:rsidRPr="00246684">
              <w:rPr>
                <w:rFonts w:eastAsia="Calibri" w:cs="Times New Roman"/>
                <w:sz w:val="18"/>
                <w:szCs w:val="18"/>
              </w:rPr>
              <w:t>0 (2022)</w:t>
            </w:r>
          </w:p>
        </w:tc>
        <w:tc>
          <w:tcPr>
            <w:tcW w:w="539" w:type="pct"/>
            <w:shd w:val="clear" w:color="auto" w:fill="FFFFFF"/>
          </w:tcPr>
          <w:p w14:paraId="204DBA01" w14:textId="1E3BD326" w:rsidR="00AA05FA" w:rsidRPr="00761107" w:rsidRDefault="00AA05FA" w:rsidP="00AA05FA">
            <w:pPr>
              <w:rPr>
                <w:rFonts w:eastAsia="Calibri" w:cs="Times New Roman"/>
                <w:sz w:val="18"/>
                <w:szCs w:val="18"/>
              </w:rPr>
            </w:pPr>
            <w:r w:rsidRPr="00246684">
              <w:rPr>
                <w:rFonts w:eastAsia="Calibri" w:cs="Times New Roman"/>
                <w:sz w:val="18"/>
                <w:szCs w:val="18"/>
              </w:rPr>
              <w:t>≥</w:t>
            </w:r>
            <w:r w:rsidRPr="00761107">
              <w:rPr>
                <w:rFonts w:eastAsia="Calibri" w:cs="Times New Roman"/>
                <w:sz w:val="18"/>
                <w:szCs w:val="18"/>
              </w:rPr>
              <w:t>10 (2027)</w:t>
            </w:r>
          </w:p>
        </w:tc>
        <w:tc>
          <w:tcPr>
            <w:tcW w:w="765" w:type="pct"/>
            <w:shd w:val="clear" w:color="auto" w:fill="FFFFFF"/>
          </w:tcPr>
          <w:p w14:paraId="60E5810B" w14:textId="697B25D8" w:rsidR="00AA05FA" w:rsidRPr="00761107" w:rsidRDefault="00AA05FA" w:rsidP="00AA05FA">
            <w:pPr>
              <w:rPr>
                <w:rFonts w:eastAsia="Calibri" w:cs="Times New Roman"/>
                <w:sz w:val="18"/>
                <w:szCs w:val="18"/>
              </w:rPr>
            </w:pPr>
            <w:r w:rsidRPr="00761107">
              <w:rPr>
                <w:rFonts w:eastAsia="Calibri" w:cs="Times New Roman"/>
                <w:sz w:val="18"/>
                <w:szCs w:val="18"/>
              </w:rPr>
              <w:t>Annual Report on implementation of S3 Action plan</w:t>
            </w:r>
          </w:p>
        </w:tc>
        <w:tc>
          <w:tcPr>
            <w:tcW w:w="721" w:type="pct"/>
            <w:vMerge/>
            <w:shd w:val="clear" w:color="auto" w:fill="auto"/>
          </w:tcPr>
          <w:p w14:paraId="5F94642D" w14:textId="77777777" w:rsidR="00AA05FA" w:rsidRPr="00761107" w:rsidRDefault="00AA05FA" w:rsidP="00AA05FA">
            <w:pPr>
              <w:autoSpaceDE w:val="0"/>
              <w:autoSpaceDN w:val="0"/>
              <w:adjustRightInd w:val="0"/>
              <w:rPr>
                <w:rFonts w:eastAsia="Calibri" w:cs="Times New Roman"/>
                <w:color w:val="0D0D0D"/>
                <w:sz w:val="18"/>
                <w:szCs w:val="18"/>
                <w:highlight w:val="yellow"/>
              </w:rPr>
            </w:pPr>
          </w:p>
        </w:tc>
      </w:tr>
      <w:tr w:rsidR="00AA05FA" w:rsidRPr="006575A0" w14:paraId="3C52C3C1" w14:textId="77777777" w:rsidTr="00CA22CD">
        <w:trPr>
          <w:gridAfter w:val="1"/>
          <w:wAfter w:w="8" w:type="pct"/>
          <w:trHeight w:val="418"/>
          <w:tblHeader/>
        </w:trPr>
        <w:tc>
          <w:tcPr>
            <w:tcW w:w="585" w:type="pct"/>
            <w:vMerge w:val="restart"/>
            <w:shd w:val="clear" w:color="auto" w:fill="D9D9D9"/>
          </w:tcPr>
          <w:p w14:paraId="307BAAE8" w14:textId="78202108" w:rsidR="00AA05FA" w:rsidRPr="004C5CF8" w:rsidRDefault="00AA05FA" w:rsidP="00AA05FA">
            <w:pPr>
              <w:tabs>
                <w:tab w:val="left" w:pos="0"/>
                <w:tab w:val="left" w:pos="132"/>
              </w:tabs>
              <w:jc w:val="left"/>
              <w:rPr>
                <w:rFonts w:eastAsia="Calibri" w:cs="Times New Roman"/>
                <w:b/>
                <w:color w:val="0D0D0D"/>
                <w:sz w:val="18"/>
                <w:szCs w:val="18"/>
              </w:rPr>
            </w:pPr>
            <w:r w:rsidRPr="00AA05FA">
              <w:rPr>
                <w:rFonts w:eastAsia="Calibri" w:cs="Times New Roman"/>
                <w:b/>
                <w:color w:val="0D0D0D"/>
                <w:sz w:val="18"/>
                <w:szCs w:val="18"/>
              </w:rPr>
              <w:t xml:space="preserve">Output </w:t>
            </w:r>
            <w:r w:rsidRPr="004C5CF8">
              <w:rPr>
                <w:rFonts w:eastAsia="Calibri" w:cs="Times New Roman"/>
                <w:b/>
                <w:color w:val="0D0D0D"/>
                <w:sz w:val="18"/>
                <w:szCs w:val="18"/>
              </w:rPr>
              <w:t>2</w:t>
            </w:r>
          </w:p>
          <w:p w14:paraId="13585961" w14:textId="03A03402" w:rsidR="00AA05FA" w:rsidRPr="00761107" w:rsidRDefault="00AA05FA" w:rsidP="00AA05FA">
            <w:pPr>
              <w:tabs>
                <w:tab w:val="left" w:pos="0"/>
                <w:tab w:val="left" w:pos="132"/>
              </w:tabs>
              <w:jc w:val="left"/>
              <w:rPr>
                <w:rFonts w:eastAsia="Calibri" w:cs="Times New Roman"/>
                <w:b/>
                <w:color w:val="0D0D0D"/>
                <w:sz w:val="18"/>
                <w:szCs w:val="18"/>
              </w:rPr>
            </w:pPr>
          </w:p>
          <w:p w14:paraId="3F69A293" w14:textId="33F7ED32" w:rsidR="00AA05FA" w:rsidRPr="00761107" w:rsidRDefault="00AA05FA" w:rsidP="00AA05FA">
            <w:pPr>
              <w:tabs>
                <w:tab w:val="left" w:pos="0"/>
                <w:tab w:val="left" w:pos="132"/>
              </w:tabs>
              <w:jc w:val="left"/>
              <w:rPr>
                <w:rFonts w:eastAsia="Calibri" w:cs="Times New Roman"/>
                <w:b/>
                <w:color w:val="0D0D0D"/>
                <w:sz w:val="18"/>
                <w:szCs w:val="18"/>
              </w:rPr>
            </w:pPr>
          </w:p>
          <w:p w14:paraId="30D5433D" w14:textId="4953610B" w:rsidR="00AA05FA" w:rsidRPr="00761107" w:rsidRDefault="00AA05FA" w:rsidP="00AA05FA">
            <w:pPr>
              <w:tabs>
                <w:tab w:val="left" w:pos="0"/>
                <w:tab w:val="left" w:pos="132"/>
              </w:tabs>
              <w:jc w:val="left"/>
              <w:rPr>
                <w:rFonts w:eastAsia="Calibri" w:cs="Times New Roman"/>
                <w:b/>
                <w:color w:val="0D0D0D"/>
                <w:sz w:val="18"/>
                <w:szCs w:val="18"/>
              </w:rPr>
            </w:pPr>
          </w:p>
        </w:tc>
        <w:tc>
          <w:tcPr>
            <w:tcW w:w="720" w:type="pct"/>
            <w:vMerge w:val="restart"/>
            <w:shd w:val="clear" w:color="auto" w:fill="auto"/>
          </w:tcPr>
          <w:p w14:paraId="7A8DB62A" w14:textId="44B7C5EB" w:rsidR="00AA05FA" w:rsidRPr="00A40470" w:rsidRDefault="00236D8D" w:rsidP="00AA05FA">
            <w:pPr>
              <w:jc w:val="left"/>
              <w:rPr>
                <w:rFonts w:eastAsia="Calibri" w:cs="Times New Roman"/>
                <w:sz w:val="18"/>
                <w:szCs w:val="18"/>
              </w:rPr>
            </w:pPr>
            <w:r w:rsidRPr="00CA22CD">
              <w:rPr>
                <w:i/>
                <w:sz w:val="18"/>
                <w:szCs w:val="18"/>
              </w:rPr>
              <w:t xml:space="preserve">Strengthened capacities for effective and efficient management of agriculture and fisheries </w:t>
            </w:r>
          </w:p>
          <w:p w14:paraId="29926438" w14:textId="5930A3DB" w:rsidR="00AA05FA" w:rsidRPr="00CA22CD" w:rsidRDefault="00AA05FA" w:rsidP="00761107">
            <w:pPr>
              <w:jc w:val="left"/>
              <w:rPr>
                <w:rFonts w:eastAsia="Calibri" w:cs="Times New Roman"/>
                <w:sz w:val="18"/>
                <w:szCs w:val="18"/>
              </w:rPr>
            </w:pPr>
          </w:p>
          <w:p w14:paraId="00814FC2" w14:textId="15EB7B1E" w:rsidR="00AA05FA" w:rsidRPr="00AA05FA" w:rsidRDefault="00AA05FA" w:rsidP="00761107">
            <w:pPr>
              <w:jc w:val="left"/>
              <w:rPr>
                <w:rFonts w:eastAsia="Calibri" w:cs="Times New Roman"/>
                <w:sz w:val="18"/>
                <w:szCs w:val="18"/>
              </w:rPr>
            </w:pPr>
            <w:commentRangeStart w:id="206"/>
            <w:commentRangeEnd w:id="206"/>
          </w:p>
        </w:tc>
        <w:tc>
          <w:tcPr>
            <w:tcW w:w="1079" w:type="pct"/>
            <w:shd w:val="clear" w:color="auto" w:fill="FFFFFF"/>
          </w:tcPr>
          <w:p w14:paraId="7BDD7BB9" w14:textId="35F65C72" w:rsidR="00AA05FA" w:rsidRPr="00AA05FA" w:rsidDel="00631DA7" w:rsidRDefault="00AA05FA" w:rsidP="004C5CF8">
            <w:pPr>
              <w:rPr>
                <w:rFonts w:eastAsia="Calibri" w:cs="Times New Roman"/>
                <w:sz w:val="18"/>
                <w:szCs w:val="18"/>
              </w:rPr>
            </w:pPr>
            <w:r w:rsidRPr="00AA05FA">
              <w:rPr>
                <w:rFonts w:eastAsia="Calibri" w:cs="Times New Roman"/>
                <w:sz w:val="18"/>
                <w:szCs w:val="18"/>
              </w:rPr>
              <w:t>Number of piece</w:t>
            </w:r>
            <w:r w:rsidRPr="00761107">
              <w:rPr>
                <w:rFonts w:eastAsia="Calibri" w:cs="Times New Roman"/>
                <w:sz w:val="18"/>
                <w:szCs w:val="18"/>
              </w:rPr>
              <w:t>s of EU legislation</w:t>
            </w:r>
            <w:r w:rsidRPr="004C5CF8">
              <w:rPr>
                <w:rFonts w:eastAsia="Calibri" w:cs="Times New Roman"/>
                <w:sz w:val="18"/>
                <w:szCs w:val="18"/>
              </w:rPr>
              <w:t xml:space="preserve"> fully transposed under Cluster 5: </w:t>
            </w:r>
            <w:r w:rsidRPr="00CA22CD">
              <w:rPr>
                <w:rFonts w:eastAsia="Calibri" w:cs="Times New Roman"/>
                <w:sz w:val="18"/>
                <w:szCs w:val="18"/>
                <w:highlight w:val="yellow"/>
              </w:rPr>
              <w:t>(</w:t>
            </w:r>
            <w:r w:rsidRPr="004C5CF8">
              <w:rPr>
                <w:rFonts w:eastAsia="Calibri" w:cs="Times New Roman"/>
                <w:sz w:val="18"/>
                <w:szCs w:val="18"/>
              </w:rPr>
              <w:t>Chapters: 11,12,</w:t>
            </w:r>
            <w:r w:rsidR="00761107" w:rsidRPr="00CA22CD">
              <w:rPr>
                <w:rFonts w:eastAsia="Calibri" w:cs="Times New Roman"/>
                <w:sz w:val="18"/>
                <w:szCs w:val="18"/>
              </w:rPr>
              <w:t>13</w:t>
            </w:r>
            <w:r w:rsidRPr="004C5CF8">
              <w:rPr>
                <w:rFonts w:eastAsia="Calibri" w:cs="Times New Roman"/>
                <w:sz w:val="18"/>
                <w:szCs w:val="18"/>
              </w:rPr>
              <w:t>)</w:t>
            </w:r>
          </w:p>
        </w:tc>
        <w:tc>
          <w:tcPr>
            <w:tcW w:w="585" w:type="pct"/>
            <w:shd w:val="clear" w:color="auto" w:fill="FFFFFF"/>
          </w:tcPr>
          <w:p w14:paraId="7AE05586" w14:textId="214733D4" w:rsidR="00AA05FA" w:rsidRPr="004C5CF8" w:rsidRDefault="00AA05FA" w:rsidP="00AA05FA">
            <w:pPr>
              <w:jc w:val="left"/>
              <w:rPr>
                <w:rFonts w:eastAsia="Calibri" w:cs="Times New Roman"/>
                <w:sz w:val="18"/>
                <w:szCs w:val="18"/>
              </w:rPr>
            </w:pPr>
            <w:r w:rsidRPr="004C5CF8">
              <w:rPr>
                <w:rFonts w:eastAsia="Calibri" w:cs="Times New Roman"/>
                <w:sz w:val="18"/>
                <w:szCs w:val="18"/>
              </w:rPr>
              <w:t xml:space="preserve">N/A </w:t>
            </w:r>
          </w:p>
        </w:tc>
        <w:tc>
          <w:tcPr>
            <w:tcW w:w="539" w:type="pct"/>
            <w:shd w:val="clear" w:color="auto" w:fill="FFFFFF"/>
          </w:tcPr>
          <w:p w14:paraId="0B3E0206" w14:textId="439C1020" w:rsidR="00AA05FA" w:rsidRPr="00761107" w:rsidRDefault="00AA05FA" w:rsidP="00AA05FA">
            <w:pPr>
              <w:jc w:val="left"/>
              <w:rPr>
                <w:rFonts w:eastAsia="Calibri" w:cs="Times New Roman"/>
                <w:sz w:val="18"/>
                <w:szCs w:val="18"/>
              </w:rPr>
            </w:pPr>
            <w:r w:rsidRPr="00761107">
              <w:rPr>
                <w:rFonts w:eastAsia="Calibri" w:cs="Times New Roman"/>
                <w:sz w:val="18"/>
                <w:szCs w:val="18"/>
              </w:rPr>
              <w:t>&gt;10 (2027)</w:t>
            </w:r>
          </w:p>
        </w:tc>
        <w:tc>
          <w:tcPr>
            <w:tcW w:w="765" w:type="pct"/>
            <w:shd w:val="clear" w:color="auto" w:fill="FFFFFF"/>
          </w:tcPr>
          <w:p w14:paraId="64E05BE5" w14:textId="552379BC" w:rsidR="00AA05FA" w:rsidRPr="00761107" w:rsidRDefault="00AA05FA" w:rsidP="00AA05FA">
            <w:pPr>
              <w:rPr>
                <w:rFonts w:eastAsia="Calibri" w:cs="Times New Roman"/>
                <w:sz w:val="18"/>
                <w:szCs w:val="18"/>
              </w:rPr>
            </w:pPr>
            <w:r w:rsidRPr="00761107">
              <w:rPr>
                <w:rFonts w:eastAsia="Calibri" w:cs="Times New Roman"/>
                <w:sz w:val="18"/>
                <w:szCs w:val="18"/>
              </w:rPr>
              <w:t>Report on implementation of National Action plan on compliance with Services Directive /  EC progress report for North Macedonia</w:t>
            </w:r>
          </w:p>
        </w:tc>
        <w:tc>
          <w:tcPr>
            <w:tcW w:w="721" w:type="pct"/>
            <w:vMerge/>
            <w:shd w:val="clear" w:color="auto" w:fill="FFFFFF"/>
          </w:tcPr>
          <w:p w14:paraId="0E32577B" w14:textId="77777777" w:rsidR="00AA05FA" w:rsidRPr="00761107" w:rsidRDefault="00AA05FA" w:rsidP="00AA05FA">
            <w:pPr>
              <w:autoSpaceDE w:val="0"/>
              <w:autoSpaceDN w:val="0"/>
              <w:adjustRightInd w:val="0"/>
              <w:rPr>
                <w:rFonts w:eastAsia="Calibri" w:cs="Times New Roman"/>
                <w:color w:val="0D0D0D"/>
                <w:sz w:val="18"/>
                <w:szCs w:val="18"/>
                <w:highlight w:val="yellow"/>
              </w:rPr>
            </w:pPr>
          </w:p>
        </w:tc>
      </w:tr>
      <w:tr w:rsidR="00AA05FA" w:rsidRPr="006575A0" w14:paraId="2BF4ED5F" w14:textId="77777777" w:rsidTr="00CA22CD">
        <w:trPr>
          <w:gridAfter w:val="1"/>
          <w:wAfter w:w="8" w:type="pct"/>
          <w:trHeight w:val="418"/>
          <w:tblHeader/>
        </w:trPr>
        <w:tc>
          <w:tcPr>
            <w:tcW w:w="585" w:type="pct"/>
            <w:vMerge/>
            <w:shd w:val="clear" w:color="auto" w:fill="D9D9D9"/>
          </w:tcPr>
          <w:p w14:paraId="3FEE6795" w14:textId="0C97A402" w:rsidR="00AA05FA" w:rsidRPr="00761107" w:rsidRDefault="00AA05FA" w:rsidP="00CA22CD">
            <w:pPr>
              <w:tabs>
                <w:tab w:val="left" w:pos="0"/>
                <w:tab w:val="left" w:pos="132"/>
              </w:tabs>
              <w:jc w:val="left"/>
              <w:rPr>
                <w:rFonts w:eastAsia="Calibri" w:cs="Times New Roman"/>
                <w:b/>
                <w:color w:val="0D0D0D"/>
                <w:sz w:val="18"/>
                <w:szCs w:val="18"/>
              </w:rPr>
            </w:pPr>
          </w:p>
        </w:tc>
        <w:tc>
          <w:tcPr>
            <w:tcW w:w="720" w:type="pct"/>
            <w:vMerge/>
            <w:shd w:val="clear" w:color="auto" w:fill="auto"/>
          </w:tcPr>
          <w:p w14:paraId="38088C02" w14:textId="2541A0B5" w:rsidR="00AA05FA" w:rsidRPr="00CA22CD" w:rsidRDefault="00AA05FA" w:rsidP="00761107">
            <w:pPr>
              <w:jc w:val="left"/>
              <w:rPr>
                <w:rFonts w:eastAsia="Calibri" w:cs="Times New Roman"/>
                <w:color w:val="FF0000"/>
                <w:sz w:val="18"/>
                <w:szCs w:val="18"/>
              </w:rPr>
            </w:pPr>
          </w:p>
        </w:tc>
        <w:tc>
          <w:tcPr>
            <w:tcW w:w="1079" w:type="pct"/>
            <w:shd w:val="clear" w:color="auto" w:fill="FFFFFF"/>
          </w:tcPr>
          <w:p w14:paraId="3AEFEA24" w14:textId="05DEF8E8" w:rsidR="00AA05FA" w:rsidRPr="00246684" w:rsidRDefault="00AA05FA" w:rsidP="00AA05FA">
            <w:pPr>
              <w:rPr>
                <w:rFonts w:eastAsia="Calibri" w:cs="Times New Roman"/>
                <w:sz w:val="18"/>
                <w:szCs w:val="18"/>
              </w:rPr>
            </w:pPr>
            <w:r w:rsidRPr="00CA22CD">
              <w:rPr>
                <w:rFonts w:eastAsia="Calibri" w:cs="Times New Roman"/>
                <w:sz w:val="18"/>
                <w:szCs w:val="18"/>
              </w:rPr>
              <w:t>Numb</w:t>
            </w:r>
            <w:r w:rsidRPr="00761107">
              <w:rPr>
                <w:rFonts w:eastAsia="Calibri" w:cs="Times New Roman"/>
                <w:sz w:val="18"/>
                <w:szCs w:val="18"/>
              </w:rPr>
              <w:t>er of organic farmers</w:t>
            </w:r>
          </w:p>
          <w:p w14:paraId="20F63083" w14:textId="77777777" w:rsidR="00AA05FA" w:rsidRPr="003662EA" w:rsidRDefault="00AA05FA" w:rsidP="00AA05FA">
            <w:pPr>
              <w:rPr>
                <w:rFonts w:eastAsia="Calibri" w:cs="Times New Roman"/>
                <w:sz w:val="18"/>
                <w:szCs w:val="18"/>
              </w:rPr>
            </w:pPr>
          </w:p>
          <w:p w14:paraId="1FAFC55E" w14:textId="77777777" w:rsidR="00AA05FA" w:rsidRPr="00DE71C5" w:rsidRDefault="00AA05FA" w:rsidP="00AA05FA">
            <w:pPr>
              <w:autoSpaceDE w:val="0"/>
              <w:autoSpaceDN w:val="0"/>
              <w:adjustRightInd w:val="0"/>
              <w:jc w:val="left"/>
              <w:rPr>
                <w:rFonts w:eastAsia="Calibri" w:cs="Times New Roman"/>
                <w:sz w:val="18"/>
                <w:szCs w:val="18"/>
              </w:rPr>
            </w:pPr>
          </w:p>
        </w:tc>
        <w:tc>
          <w:tcPr>
            <w:tcW w:w="585" w:type="pct"/>
            <w:shd w:val="clear" w:color="auto" w:fill="FFFFFF"/>
          </w:tcPr>
          <w:p w14:paraId="35336E55" w14:textId="77777777" w:rsidR="00AA05FA" w:rsidRPr="00CA22CD" w:rsidRDefault="00AA05FA" w:rsidP="00AA05FA">
            <w:pPr>
              <w:jc w:val="left"/>
              <w:rPr>
                <w:rFonts w:eastAsia="Calibri" w:cs="Times New Roman"/>
                <w:sz w:val="18"/>
                <w:szCs w:val="18"/>
              </w:rPr>
            </w:pPr>
            <w:r w:rsidRPr="00A40470">
              <w:rPr>
                <w:rFonts w:eastAsia="Calibri" w:cs="Times New Roman"/>
                <w:sz w:val="18"/>
                <w:szCs w:val="18"/>
              </w:rPr>
              <w:t>927 (2022)</w:t>
            </w:r>
          </w:p>
        </w:tc>
        <w:tc>
          <w:tcPr>
            <w:tcW w:w="539" w:type="pct"/>
            <w:shd w:val="clear" w:color="auto" w:fill="FFFFFF"/>
          </w:tcPr>
          <w:p w14:paraId="111C7BCA" w14:textId="6462EB73" w:rsidR="00AA05FA" w:rsidRPr="00CA22CD" w:rsidRDefault="00AA05FA" w:rsidP="00AA05FA">
            <w:pPr>
              <w:jc w:val="left"/>
              <w:rPr>
                <w:rFonts w:eastAsia="Calibri" w:cs="Times New Roman"/>
                <w:sz w:val="18"/>
                <w:szCs w:val="18"/>
              </w:rPr>
            </w:pPr>
            <w:r w:rsidRPr="00CA22CD">
              <w:rPr>
                <w:rFonts w:eastAsia="Calibri" w:cs="Times New Roman"/>
                <w:sz w:val="18"/>
                <w:szCs w:val="18"/>
              </w:rPr>
              <w:t>≥ 10% up (2027)</w:t>
            </w:r>
          </w:p>
        </w:tc>
        <w:tc>
          <w:tcPr>
            <w:tcW w:w="765" w:type="pct"/>
            <w:shd w:val="clear" w:color="auto" w:fill="FFFFFF"/>
          </w:tcPr>
          <w:p w14:paraId="0CC59DBF" w14:textId="77777777" w:rsidR="00AA05FA" w:rsidRPr="00CA22CD" w:rsidRDefault="00AA05FA" w:rsidP="00AA05FA">
            <w:pPr>
              <w:rPr>
                <w:rFonts w:eastAsia="Calibri" w:cs="Times New Roman"/>
                <w:sz w:val="18"/>
                <w:szCs w:val="18"/>
              </w:rPr>
            </w:pPr>
            <w:r w:rsidRPr="00CA22CD">
              <w:rPr>
                <w:rFonts w:eastAsia="Calibri" w:cs="Times New Roman"/>
                <w:sz w:val="18"/>
                <w:szCs w:val="18"/>
              </w:rPr>
              <w:t>Annual reports of MAFWE and State Statistical office</w:t>
            </w:r>
          </w:p>
        </w:tc>
        <w:tc>
          <w:tcPr>
            <w:tcW w:w="721" w:type="pct"/>
            <w:vMerge/>
            <w:shd w:val="clear" w:color="auto" w:fill="FFFFFF"/>
          </w:tcPr>
          <w:p w14:paraId="1441660E" w14:textId="77777777" w:rsidR="00AA05FA" w:rsidRPr="00761107" w:rsidRDefault="00AA05FA" w:rsidP="00AA05FA">
            <w:pPr>
              <w:autoSpaceDE w:val="0"/>
              <w:autoSpaceDN w:val="0"/>
              <w:adjustRightInd w:val="0"/>
              <w:rPr>
                <w:rFonts w:eastAsia="Calibri" w:cs="Times New Roman"/>
                <w:color w:val="0D0D0D"/>
                <w:sz w:val="18"/>
                <w:szCs w:val="18"/>
                <w:highlight w:val="yellow"/>
              </w:rPr>
            </w:pPr>
          </w:p>
        </w:tc>
      </w:tr>
      <w:tr w:rsidR="00AA05FA" w:rsidRPr="006575A0" w14:paraId="7A97083D" w14:textId="77777777" w:rsidTr="00CA22CD">
        <w:trPr>
          <w:gridAfter w:val="1"/>
          <w:wAfter w:w="8" w:type="pct"/>
          <w:trHeight w:val="418"/>
          <w:tblHeader/>
        </w:trPr>
        <w:tc>
          <w:tcPr>
            <w:tcW w:w="585" w:type="pct"/>
            <w:vMerge/>
            <w:shd w:val="clear" w:color="auto" w:fill="D9D9D9"/>
          </w:tcPr>
          <w:p w14:paraId="6E431785" w14:textId="1C0F685A" w:rsidR="00AA05FA" w:rsidRPr="00761107" w:rsidRDefault="00AA05FA" w:rsidP="00AA05FA">
            <w:pPr>
              <w:tabs>
                <w:tab w:val="left" w:pos="0"/>
                <w:tab w:val="left" w:pos="132"/>
              </w:tabs>
              <w:jc w:val="left"/>
              <w:rPr>
                <w:rFonts w:eastAsia="Calibri" w:cs="Times New Roman"/>
                <w:b/>
                <w:color w:val="0D0D0D"/>
                <w:sz w:val="18"/>
                <w:szCs w:val="18"/>
              </w:rPr>
            </w:pPr>
          </w:p>
        </w:tc>
        <w:tc>
          <w:tcPr>
            <w:tcW w:w="720" w:type="pct"/>
            <w:vMerge/>
            <w:shd w:val="clear" w:color="auto" w:fill="auto"/>
          </w:tcPr>
          <w:p w14:paraId="1EEA4A7F" w14:textId="5F1C814A" w:rsidR="00AA05FA" w:rsidRPr="00CA22CD" w:rsidRDefault="00AA05FA" w:rsidP="00761107">
            <w:pPr>
              <w:jc w:val="left"/>
              <w:rPr>
                <w:rFonts w:eastAsia="Calibri" w:cs="Times New Roman"/>
                <w:sz w:val="18"/>
                <w:szCs w:val="18"/>
              </w:rPr>
            </w:pPr>
          </w:p>
        </w:tc>
        <w:tc>
          <w:tcPr>
            <w:tcW w:w="1079" w:type="pct"/>
            <w:shd w:val="clear" w:color="auto" w:fill="FFFFFF"/>
          </w:tcPr>
          <w:p w14:paraId="1D38A34F" w14:textId="56E32B80" w:rsidR="00AA05FA" w:rsidRPr="00761107" w:rsidRDefault="00AA05FA" w:rsidP="00AA05FA">
            <w:pPr>
              <w:autoSpaceDE w:val="0"/>
              <w:autoSpaceDN w:val="0"/>
              <w:adjustRightInd w:val="0"/>
              <w:jc w:val="left"/>
              <w:rPr>
                <w:rFonts w:eastAsia="Calibri" w:cs="Times New Roman"/>
                <w:sz w:val="18"/>
                <w:szCs w:val="18"/>
              </w:rPr>
            </w:pPr>
            <w:r w:rsidRPr="00CA22CD">
              <w:rPr>
                <w:rFonts w:eastAsia="Calibri" w:cs="Times New Roman"/>
                <w:sz w:val="18"/>
                <w:szCs w:val="18"/>
              </w:rPr>
              <w:t xml:space="preserve">Number of </w:t>
            </w:r>
            <w:r w:rsidRPr="00761107">
              <w:rPr>
                <w:rFonts w:eastAsia="Calibri" w:cs="Times New Roman"/>
                <w:sz w:val="18"/>
                <w:szCs w:val="18"/>
              </w:rPr>
              <w:t xml:space="preserve">organic </w:t>
            </w:r>
            <w:r w:rsidRPr="00246684">
              <w:rPr>
                <w:rFonts w:eastAsia="Calibri" w:cs="Times New Roman"/>
                <w:sz w:val="18"/>
                <w:szCs w:val="18"/>
              </w:rPr>
              <w:t xml:space="preserve">farmers </w:t>
            </w:r>
            <w:r w:rsidRPr="00761107">
              <w:rPr>
                <w:rFonts w:eastAsia="Calibri" w:cs="Times New Roman"/>
                <w:sz w:val="18"/>
                <w:szCs w:val="18"/>
              </w:rPr>
              <w:t xml:space="preserve">benefitting directly from the EU assistance </w:t>
            </w:r>
          </w:p>
        </w:tc>
        <w:tc>
          <w:tcPr>
            <w:tcW w:w="585" w:type="pct"/>
            <w:shd w:val="clear" w:color="auto" w:fill="FFFFFF"/>
          </w:tcPr>
          <w:p w14:paraId="20DDD7E1" w14:textId="77777777" w:rsidR="00AA05FA" w:rsidRPr="00761107" w:rsidRDefault="00AA05FA" w:rsidP="00AA05FA">
            <w:pPr>
              <w:jc w:val="left"/>
              <w:rPr>
                <w:rFonts w:eastAsia="Calibri" w:cs="Times New Roman"/>
                <w:sz w:val="18"/>
                <w:szCs w:val="18"/>
              </w:rPr>
            </w:pPr>
            <w:r w:rsidRPr="00246684">
              <w:rPr>
                <w:rFonts w:eastAsia="Calibri" w:cs="Times New Roman"/>
                <w:sz w:val="18"/>
                <w:szCs w:val="18"/>
              </w:rPr>
              <w:t>0 (2023)</w:t>
            </w:r>
          </w:p>
        </w:tc>
        <w:tc>
          <w:tcPr>
            <w:tcW w:w="539" w:type="pct"/>
            <w:shd w:val="clear" w:color="auto" w:fill="FFFFFF"/>
          </w:tcPr>
          <w:p w14:paraId="79AFA5D5" w14:textId="77777777" w:rsidR="00AA05FA" w:rsidRPr="00761107" w:rsidRDefault="00AA05FA" w:rsidP="00AA05FA">
            <w:pPr>
              <w:jc w:val="left"/>
              <w:rPr>
                <w:rFonts w:eastAsia="Calibri" w:cs="Times New Roman"/>
                <w:sz w:val="18"/>
                <w:szCs w:val="18"/>
              </w:rPr>
            </w:pPr>
            <w:r w:rsidRPr="00246684">
              <w:rPr>
                <w:rFonts w:eastAsia="Calibri" w:cs="Times New Roman"/>
                <w:sz w:val="18"/>
                <w:szCs w:val="18"/>
              </w:rPr>
              <w:t>≥ 1,500 (2028)</w:t>
            </w:r>
          </w:p>
        </w:tc>
        <w:tc>
          <w:tcPr>
            <w:tcW w:w="765" w:type="pct"/>
            <w:shd w:val="clear" w:color="auto" w:fill="FFFFFF"/>
          </w:tcPr>
          <w:p w14:paraId="6279C713" w14:textId="77777777" w:rsidR="00AA05FA" w:rsidRPr="00761107" w:rsidRDefault="00AA05FA" w:rsidP="00AA05FA">
            <w:pPr>
              <w:jc w:val="left"/>
              <w:rPr>
                <w:rFonts w:eastAsia="Calibri" w:cs="Times New Roman"/>
                <w:sz w:val="18"/>
                <w:szCs w:val="18"/>
              </w:rPr>
            </w:pPr>
            <w:r w:rsidRPr="00246684">
              <w:rPr>
                <w:rFonts w:eastAsia="Calibri" w:cs="Times New Roman"/>
                <w:sz w:val="18"/>
                <w:szCs w:val="18"/>
              </w:rPr>
              <w:t>Project progress report</w:t>
            </w:r>
          </w:p>
        </w:tc>
        <w:tc>
          <w:tcPr>
            <w:tcW w:w="721" w:type="pct"/>
            <w:vMerge/>
            <w:shd w:val="clear" w:color="auto" w:fill="auto"/>
          </w:tcPr>
          <w:p w14:paraId="74D716EA" w14:textId="77777777" w:rsidR="00AA05FA" w:rsidRPr="00761107" w:rsidRDefault="00AA05FA" w:rsidP="00AA05FA">
            <w:pPr>
              <w:autoSpaceDE w:val="0"/>
              <w:autoSpaceDN w:val="0"/>
              <w:adjustRightInd w:val="0"/>
              <w:rPr>
                <w:rFonts w:eastAsia="Calibri" w:cs="Times New Roman"/>
                <w:color w:val="0D0D0D"/>
                <w:sz w:val="18"/>
                <w:szCs w:val="18"/>
                <w:highlight w:val="yellow"/>
              </w:rPr>
            </w:pPr>
          </w:p>
        </w:tc>
      </w:tr>
      <w:tr w:rsidR="00AA05FA" w:rsidRPr="006575A0" w14:paraId="17A98322" w14:textId="77777777" w:rsidTr="00CA22CD">
        <w:trPr>
          <w:gridAfter w:val="1"/>
          <w:wAfter w:w="8" w:type="pct"/>
          <w:trHeight w:val="418"/>
          <w:tblHeader/>
        </w:trPr>
        <w:tc>
          <w:tcPr>
            <w:tcW w:w="585" w:type="pct"/>
            <w:vMerge/>
            <w:shd w:val="clear" w:color="auto" w:fill="D9D9D9"/>
          </w:tcPr>
          <w:p w14:paraId="0F240878" w14:textId="1FAA275D" w:rsidR="00AA05FA" w:rsidRPr="00761107" w:rsidRDefault="00AA05FA" w:rsidP="00AA05FA">
            <w:pPr>
              <w:tabs>
                <w:tab w:val="left" w:pos="0"/>
                <w:tab w:val="left" w:pos="132"/>
              </w:tabs>
              <w:jc w:val="left"/>
              <w:rPr>
                <w:rFonts w:eastAsia="Calibri" w:cs="Times New Roman"/>
                <w:b/>
                <w:color w:val="0D0D0D"/>
                <w:sz w:val="18"/>
                <w:szCs w:val="18"/>
              </w:rPr>
            </w:pPr>
          </w:p>
        </w:tc>
        <w:tc>
          <w:tcPr>
            <w:tcW w:w="720" w:type="pct"/>
            <w:vMerge/>
            <w:shd w:val="clear" w:color="auto" w:fill="auto"/>
          </w:tcPr>
          <w:p w14:paraId="7465A441" w14:textId="2F5CC0E2" w:rsidR="00AA05FA" w:rsidRPr="00CA22CD" w:rsidRDefault="00AA05FA" w:rsidP="00761107">
            <w:pPr>
              <w:jc w:val="left"/>
              <w:rPr>
                <w:rFonts w:eastAsia="Calibri" w:cs="Times New Roman"/>
                <w:sz w:val="18"/>
                <w:szCs w:val="18"/>
              </w:rPr>
            </w:pPr>
          </w:p>
        </w:tc>
        <w:tc>
          <w:tcPr>
            <w:tcW w:w="1079" w:type="pct"/>
            <w:shd w:val="clear" w:color="auto" w:fill="FFFFFF"/>
          </w:tcPr>
          <w:p w14:paraId="7A5B4872" w14:textId="6408BB1E" w:rsidR="00AA05FA" w:rsidRPr="00761107" w:rsidRDefault="00AA05FA" w:rsidP="00AA05FA">
            <w:pPr>
              <w:autoSpaceDE w:val="0"/>
              <w:autoSpaceDN w:val="0"/>
              <w:adjustRightInd w:val="0"/>
              <w:jc w:val="left"/>
              <w:rPr>
                <w:rFonts w:eastAsia="Calibri" w:cs="Times New Roman"/>
                <w:sz w:val="18"/>
                <w:szCs w:val="18"/>
              </w:rPr>
            </w:pPr>
            <w:r w:rsidRPr="00CA22CD">
              <w:rPr>
                <w:rFonts w:cs="Times New Roman"/>
                <w:sz w:val="18"/>
                <w:szCs w:val="18"/>
              </w:rPr>
              <w:t xml:space="preserve">Number of registered products with PDO/PGI </w:t>
            </w:r>
          </w:p>
        </w:tc>
        <w:tc>
          <w:tcPr>
            <w:tcW w:w="585" w:type="pct"/>
            <w:shd w:val="clear" w:color="auto" w:fill="FFFFFF"/>
          </w:tcPr>
          <w:p w14:paraId="1AF740EA" w14:textId="77777777" w:rsidR="00AA05FA" w:rsidRPr="00761107" w:rsidRDefault="00AA05FA" w:rsidP="00AA05FA">
            <w:pPr>
              <w:jc w:val="left"/>
              <w:rPr>
                <w:rFonts w:eastAsia="Calibri" w:cs="Times New Roman"/>
                <w:sz w:val="18"/>
                <w:szCs w:val="18"/>
              </w:rPr>
            </w:pPr>
            <w:r w:rsidRPr="00246684">
              <w:rPr>
                <w:rFonts w:cs="Times New Roman"/>
                <w:sz w:val="18"/>
                <w:szCs w:val="18"/>
              </w:rPr>
              <w:t>2 (2023)</w:t>
            </w:r>
          </w:p>
        </w:tc>
        <w:tc>
          <w:tcPr>
            <w:tcW w:w="539" w:type="pct"/>
            <w:shd w:val="clear" w:color="auto" w:fill="FFFFFF"/>
          </w:tcPr>
          <w:p w14:paraId="1A822275" w14:textId="77777777" w:rsidR="00AA05FA" w:rsidRPr="00761107" w:rsidRDefault="00AA05FA" w:rsidP="00AA05FA">
            <w:pPr>
              <w:jc w:val="left"/>
              <w:rPr>
                <w:rFonts w:eastAsia="Calibri" w:cs="Times New Roman"/>
                <w:sz w:val="18"/>
                <w:szCs w:val="18"/>
              </w:rPr>
            </w:pPr>
            <w:r w:rsidRPr="00246684">
              <w:rPr>
                <w:rFonts w:cs="Times New Roman"/>
                <w:sz w:val="18"/>
                <w:szCs w:val="18"/>
              </w:rPr>
              <w:t>≥ 20 (2027)</w:t>
            </w:r>
          </w:p>
        </w:tc>
        <w:tc>
          <w:tcPr>
            <w:tcW w:w="765" w:type="pct"/>
            <w:shd w:val="clear" w:color="auto" w:fill="FFFFFF"/>
          </w:tcPr>
          <w:p w14:paraId="0D70A6FE" w14:textId="77777777" w:rsidR="00AA05FA" w:rsidRPr="00761107" w:rsidRDefault="00AA05FA" w:rsidP="00AA05FA">
            <w:pPr>
              <w:jc w:val="left"/>
              <w:rPr>
                <w:rFonts w:eastAsia="Calibri" w:cs="Times New Roman"/>
                <w:sz w:val="18"/>
                <w:szCs w:val="18"/>
              </w:rPr>
            </w:pPr>
            <w:r w:rsidRPr="00246684">
              <w:rPr>
                <w:rFonts w:cs="Times New Roman"/>
                <w:sz w:val="18"/>
                <w:szCs w:val="18"/>
              </w:rPr>
              <w:t>MoAFWA Register of PDO/PGI products</w:t>
            </w:r>
          </w:p>
        </w:tc>
        <w:tc>
          <w:tcPr>
            <w:tcW w:w="721" w:type="pct"/>
            <w:vMerge/>
            <w:shd w:val="clear" w:color="auto" w:fill="auto"/>
          </w:tcPr>
          <w:p w14:paraId="35C31280" w14:textId="77777777" w:rsidR="00AA05FA" w:rsidRPr="00761107" w:rsidRDefault="00AA05FA" w:rsidP="00AA05FA">
            <w:pPr>
              <w:autoSpaceDE w:val="0"/>
              <w:autoSpaceDN w:val="0"/>
              <w:adjustRightInd w:val="0"/>
              <w:rPr>
                <w:rFonts w:eastAsia="Calibri" w:cs="Times New Roman"/>
                <w:color w:val="0D0D0D"/>
                <w:sz w:val="18"/>
                <w:szCs w:val="18"/>
                <w:highlight w:val="yellow"/>
              </w:rPr>
            </w:pPr>
          </w:p>
        </w:tc>
      </w:tr>
      <w:tr w:rsidR="00AA05FA" w:rsidRPr="006575A0" w14:paraId="7AC3BBEB" w14:textId="77777777" w:rsidTr="00CA22CD">
        <w:trPr>
          <w:gridAfter w:val="1"/>
          <w:wAfter w:w="8" w:type="pct"/>
          <w:trHeight w:val="418"/>
          <w:tblHeader/>
        </w:trPr>
        <w:tc>
          <w:tcPr>
            <w:tcW w:w="585" w:type="pct"/>
            <w:vMerge/>
            <w:shd w:val="clear" w:color="auto" w:fill="D9D9D9"/>
          </w:tcPr>
          <w:p w14:paraId="5D185F87" w14:textId="4F4EB4F0" w:rsidR="00AA05FA" w:rsidRPr="00761107" w:rsidRDefault="00AA05FA" w:rsidP="00AA05FA">
            <w:pPr>
              <w:tabs>
                <w:tab w:val="left" w:pos="0"/>
                <w:tab w:val="left" w:pos="132"/>
              </w:tabs>
              <w:jc w:val="left"/>
              <w:rPr>
                <w:rFonts w:eastAsia="Calibri" w:cs="Times New Roman"/>
                <w:b/>
                <w:color w:val="0D0D0D"/>
                <w:sz w:val="18"/>
                <w:szCs w:val="18"/>
              </w:rPr>
            </w:pPr>
          </w:p>
        </w:tc>
        <w:tc>
          <w:tcPr>
            <w:tcW w:w="720" w:type="pct"/>
            <w:vMerge/>
            <w:shd w:val="clear" w:color="auto" w:fill="auto"/>
          </w:tcPr>
          <w:p w14:paraId="0B15B662" w14:textId="0CE031F0" w:rsidR="00AA05FA" w:rsidRPr="00CA22CD" w:rsidRDefault="00AA05FA" w:rsidP="00761107">
            <w:pPr>
              <w:jc w:val="left"/>
              <w:rPr>
                <w:rFonts w:eastAsia="Calibri" w:cs="Times New Roman"/>
                <w:sz w:val="18"/>
                <w:szCs w:val="18"/>
              </w:rPr>
            </w:pPr>
          </w:p>
        </w:tc>
        <w:tc>
          <w:tcPr>
            <w:tcW w:w="1079" w:type="pct"/>
            <w:shd w:val="clear" w:color="auto" w:fill="FFFFFF"/>
          </w:tcPr>
          <w:p w14:paraId="5B027623" w14:textId="3DFF6423" w:rsidR="00AA05FA" w:rsidRPr="00761107" w:rsidRDefault="00AA05FA" w:rsidP="00AA05FA">
            <w:pPr>
              <w:autoSpaceDE w:val="0"/>
              <w:autoSpaceDN w:val="0"/>
              <w:adjustRightInd w:val="0"/>
              <w:jc w:val="left"/>
              <w:rPr>
                <w:rFonts w:eastAsia="Calibri" w:cs="Times New Roman"/>
                <w:sz w:val="18"/>
                <w:szCs w:val="18"/>
              </w:rPr>
            </w:pPr>
            <w:r w:rsidRPr="00CA22CD">
              <w:rPr>
                <w:rFonts w:eastAsia="Calibri" w:cs="Times New Roman"/>
                <w:sz w:val="18"/>
                <w:szCs w:val="18"/>
              </w:rPr>
              <w:t>Number of type of reports generated by the IT solutions (software) for animal health and food safety (FVA)</w:t>
            </w:r>
          </w:p>
        </w:tc>
        <w:tc>
          <w:tcPr>
            <w:tcW w:w="585" w:type="pct"/>
            <w:shd w:val="clear" w:color="auto" w:fill="FFFFFF"/>
          </w:tcPr>
          <w:p w14:paraId="087B00D3" w14:textId="16A18D52" w:rsidR="00AA05FA" w:rsidRPr="00761107" w:rsidRDefault="00AA05FA" w:rsidP="00AA05FA">
            <w:pPr>
              <w:jc w:val="left"/>
              <w:rPr>
                <w:rFonts w:eastAsia="Calibri" w:cs="Times New Roman"/>
                <w:sz w:val="18"/>
                <w:szCs w:val="18"/>
              </w:rPr>
            </w:pPr>
            <w:r w:rsidRPr="00246684">
              <w:rPr>
                <w:rFonts w:eastAsia="Calibri" w:cs="Times New Roman"/>
                <w:sz w:val="18"/>
                <w:szCs w:val="18"/>
              </w:rPr>
              <w:t>0 (2022)</w:t>
            </w:r>
          </w:p>
        </w:tc>
        <w:tc>
          <w:tcPr>
            <w:tcW w:w="539" w:type="pct"/>
            <w:shd w:val="clear" w:color="auto" w:fill="FFFFFF"/>
          </w:tcPr>
          <w:p w14:paraId="71DB458A" w14:textId="3FBB7726" w:rsidR="00AA05FA" w:rsidRPr="00761107" w:rsidRDefault="00AA05FA" w:rsidP="00AA05FA">
            <w:pPr>
              <w:jc w:val="left"/>
              <w:rPr>
                <w:rFonts w:eastAsia="Calibri" w:cs="Times New Roman"/>
                <w:sz w:val="18"/>
                <w:szCs w:val="18"/>
              </w:rPr>
            </w:pPr>
            <w:r w:rsidRPr="00246684">
              <w:rPr>
                <w:rFonts w:eastAsia="Calibri" w:cs="Times New Roman"/>
                <w:sz w:val="18"/>
                <w:szCs w:val="18"/>
              </w:rPr>
              <w:t>≥5 (2027)</w:t>
            </w:r>
          </w:p>
        </w:tc>
        <w:tc>
          <w:tcPr>
            <w:tcW w:w="765" w:type="pct"/>
            <w:shd w:val="clear" w:color="auto" w:fill="FFFFFF"/>
          </w:tcPr>
          <w:p w14:paraId="0407A364" w14:textId="0E1E721F" w:rsidR="00AA05FA" w:rsidRPr="00761107" w:rsidRDefault="00AA05FA" w:rsidP="00AA05FA">
            <w:pPr>
              <w:jc w:val="left"/>
              <w:rPr>
                <w:rFonts w:eastAsia="Calibri" w:cs="Times New Roman"/>
                <w:sz w:val="18"/>
                <w:szCs w:val="18"/>
                <w:highlight w:val="yellow"/>
              </w:rPr>
            </w:pPr>
            <w:r w:rsidRPr="00761107">
              <w:rPr>
                <w:rFonts w:eastAsia="Calibri" w:cs="Times New Roman"/>
                <w:sz w:val="18"/>
                <w:szCs w:val="18"/>
              </w:rPr>
              <w:t>EFSA data  reporting tools</w:t>
            </w:r>
          </w:p>
        </w:tc>
        <w:tc>
          <w:tcPr>
            <w:tcW w:w="721" w:type="pct"/>
            <w:vMerge/>
            <w:shd w:val="clear" w:color="auto" w:fill="auto"/>
          </w:tcPr>
          <w:p w14:paraId="3413E84E" w14:textId="77777777" w:rsidR="00AA05FA" w:rsidRPr="00761107" w:rsidRDefault="00AA05FA" w:rsidP="00AA05FA">
            <w:pPr>
              <w:autoSpaceDE w:val="0"/>
              <w:autoSpaceDN w:val="0"/>
              <w:adjustRightInd w:val="0"/>
              <w:rPr>
                <w:rFonts w:eastAsia="Calibri" w:cs="Times New Roman"/>
                <w:color w:val="0D0D0D"/>
                <w:sz w:val="18"/>
                <w:szCs w:val="18"/>
                <w:highlight w:val="yellow"/>
              </w:rPr>
            </w:pPr>
          </w:p>
        </w:tc>
      </w:tr>
      <w:tr w:rsidR="00AA05FA" w:rsidRPr="006575A0" w14:paraId="7507E4B4" w14:textId="77777777" w:rsidTr="00CA22CD">
        <w:trPr>
          <w:gridAfter w:val="1"/>
          <w:wAfter w:w="8" w:type="pct"/>
          <w:trHeight w:val="418"/>
          <w:tblHeader/>
        </w:trPr>
        <w:tc>
          <w:tcPr>
            <w:tcW w:w="585" w:type="pct"/>
            <w:vMerge/>
            <w:shd w:val="clear" w:color="auto" w:fill="D9D9D9"/>
          </w:tcPr>
          <w:p w14:paraId="420D206E" w14:textId="74B1C341" w:rsidR="00AA05FA" w:rsidRPr="00761107" w:rsidRDefault="00AA05FA" w:rsidP="00AA05FA">
            <w:pPr>
              <w:tabs>
                <w:tab w:val="left" w:pos="0"/>
                <w:tab w:val="left" w:pos="132"/>
              </w:tabs>
              <w:jc w:val="left"/>
              <w:rPr>
                <w:rFonts w:eastAsia="Calibri" w:cs="Times New Roman"/>
                <w:b/>
                <w:color w:val="0D0D0D"/>
                <w:sz w:val="18"/>
                <w:szCs w:val="18"/>
              </w:rPr>
            </w:pPr>
          </w:p>
        </w:tc>
        <w:tc>
          <w:tcPr>
            <w:tcW w:w="720" w:type="pct"/>
            <w:vMerge/>
            <w:shd w:val="clear" w:color="auto" w:fill="auto"/>
          </w:tcPr>
          <w:p w14:paraId="0CA1F1C2" w14:textId="75DFAECF" w:rsidR="00AA05FA" w:rsidRPr="00CA22CD" w:rsidRDefault="00AA05FA" w:rsidP="00761107">
            <w:pPr>
              <w:jc w:val="left"/>
              <w:rPr>
                <w:rFonts w:eastAsia="Calibri" w:cs="Times New Roman"/>
                <w:sz w:val="18"/>
                <w:szCs w:val="18"/>
              </w:rPr>
            </w:pPr>
          </w:p>
        </w:tc>
        <w:tc>
          <w:tcPr>
            <w:tcW w:w="1079" w:type="pct"/>
            <w:shd w:val="clear" w:color="auto" w:fill="FFFFFF"/>
          </w:tcPr>
          <w:p w14:paraId="3BC45221" w14:textId="09B15E52" w:rsidR="00AA05FA" w:rsidRPr="00AA05FA" w:rsidRDefault="00AA05FA" w:rsidP="00AA05FA">
            <w:pPr>
              <w:autoSpaceDE w:val="0"/>
              <w:autoSpaceDN w:val="0"/>
              <w:adjustRightInd w:val="0"/>
              <w:jc w:val="left"/>
              <w:rPr>
                <w:rFonts w:eastAsia="Calibri" w:cs="Times New Roman"/>
                <w:sz w:val="18"/>
                <w:szCs w:val="18"/>
              </w:rPr>
            </w:pPr>
            <w:r w:rsidRPr="00761107">
              <w:rPr>
                <w:rFonts w:eastAsia="Calibri" w:cs="Times New Roman"/>
                <w:sz w:val="18"/>
                <w:szCs w:val="18"/>
              </w:rPr>
              <w:t>Number of implemented legislation in line with the</w:t>
            </w:r>
            <w:r w:rsidRPr="00CA22CD">
              <w:rPr>
                <w:rFonts w:eastAsia="Calibri" w:cs="Times New Roman"/>
                <w:sz w:val="18"/>
                <w:szCs w:val="18"/>
              </w:rPr>
              <w:t xml:space="preserve"> </w:t>
            </w:r>
            <w:r w:rsidRPr="00AA05FA">
              <w:rPr>
                <w:rFonts w:eastAsia="Calibri" w:cs="Times New Roman"/>
                <w:bCs/>
                <w:sz w:val="18"/>
                <w:szCs w:val="18"/>
              </w:rPr>
              <w:t>FVA Action Plan</w:t>
            </w:r>
          </w:p>
        </w:tc>
        <w:tc>
          <w:tcPr>
            <w:tcW w:w="585" w:type="pct"/>
            <w:shd w:val="clear" w:color="auto" w:fill="FFFFFF"/>
          </w:tcPr>
          <w:p w14:paraId="758F8DBB" w14:textId="567C3731" w:rsidR="00AA05FA" w:rsidRPr="004C5CF8" w:rsidRDefault="00AA05FA" w:rsidP="00AA05FA">
            <w:pPr>
              <w:jc w:val="left"/>
              <w:rPr>
                <w:rFonts w:eastAsia="Calibri" w:cs="Times New Roman"/>
                <w:sz w:val="18"/>
                <w:szCs w:val="18"/>
              </w:rPr>
            </w:pPr>
            <w:r w:rsidRPr="004C5CF8">
              <w:rPr>
                <w:rFonts w:eastAsia="Calibri" w:cs="Times New Roman"/>
                <w:sz w:val="18"/>
                <w:szCs w:val="18"/>
              </w:rPr>
              <w:t>3 (2022)</w:t>
            </w:r>
          </w:p>
        </w:tc>
        <w:tc>
          <w:tcPr>
            <w:tcW w:w="539" w:type="pct"/>
            <w:shd w:val="clear" w:color="auto" w:fill="FFFFFF"/>
          </w:tcPr>
          <w:p w14:paraId="1F3D45A8" w14:textId="03CD37D3" w:rsidR="00AA05FA" w:rsidRPr="00761107" w:rsidRDefault="00AA05FA" w:rsidP="00AA05FA">
            <w:pPr>
              <w:jc w:val="left"/>
              <w:rPr>
                <w:rFonts w:eastAsia="Calibri" w:cs="Times New Roman"/>
                <w:sz w:val="18"/>
                <w:szCs w:val="18"/>
                <w:highlight w:val="yellow"/>
              </w:rPr>
            </w:pPr>
            <w:r w:rsidRPr="00246684">
              <w:rPr>
                <w:rFonts w:eastAsia="Calibri" w:cs="Times New Roman"/>
                <w:sz w:val="18"/>
                <w:szCs w:val="18"/>
              </w:rPr>
              <w:t>≥</w:t>
            </w:r>
            <w:r w:rsidRPr="00761107">
              <w:rPr>
                <w:rFonts w:eastAsia="Calibri" w:cs="Times New Roman"/>
                <w:sz w:val="18"/>
                <w:szCs w:val="18"/>
              </w:rPr>
              <w:t>23 (2027)</w:t>
            </w:r>
          </w:p>
        </w:tc>
        <w:tc>
          <w:tcPr>
            <w:tcW w:w="765" w:type="pct"/>
            <w:shd w:val="clear" w:color="auto" w:fill="FFFFFF"/>
          </w:tcPr>
          <w:p w14:paraId="732B7932" w14:textId="77777777" w:rsidR="00AA05FA" w:rsidRPr="00761107" w:rsidRDefault="00AA05FA" w:rsidP="00AA05FA">
            <w:pPr>
              <w:jc w:val="left"/>
              <w:rPr>
                <w:rFonts w:eastAsia="Calibri" w:cs="Times New Roman"/>
                <w:sz w:val="18"/>
                <w:szCs w:val="18"/>
              </w:rPr>
            </w:pPr>
            <w:r w:rsidRPr="00761107">
              <w:rPr>
                <w:rFonts w:eastAsia="Calibri" w:cs="Times New Roman"/>
                <w:sz w:val="18"/>
                <w:szCs w:val="18"/>
              </w:rPr>
              <w:t>EC progress report for North Macedonia</w:t>
            </w:r>
          </w:p>
          <w:p w14:paraId="0CA6084A" w14:textId="709F59EB" w:rsidR="00AA05FA" w:rsidRPr="00761107" w:rsidRDefault="00AA05FA" w:rsidP="00AA05FA">
            <w:pPr>
              <w:jc w:val="left"/>
              <w:rPr>
                <w:rFonts w:eastAsia="Calibri" w:cs="Times New Roman"/>
                <w:sz w:val="18"/>
                <w:szCs w:val="18"/>
                <w:highlight w:val="yellow"/>
              </w:rPr>
            </w:pPr>
            <w:r w:rsidRPr="00761107">
              <w:rPr>
                <w:rFonts w:eastAsia="Calibri" w:cs="Times New Roman"/>
                <w:sz w:val="18"/>
                <w:szCs w:val="18"/>
              </w:rPr>
              <w:t xml:space="preserve">Sub-committee on Agriculture and Fisheries Report </w:t>
            </w:r>
          </w:p>
        </w:tc>
        <w:tc>
          <w:tcPr>
            <w:tcW w:w="721" w:type="pct"/>
            <w:vMerge/>
            <w:shd w:val="clear" w:color="auto" w:fill="auto"/>
          </w:tcPr>
          <w:p w14:paraId="5898B295" w14:textId="77777777" w:rsidR="00AA05FA" w:rsidRPr="00761107" w:rsidRDefault="00AA05FA" w:rsidP="00AA05FA">
            <w:pPr>
              <w:autoSpaceDE w:val="0"/>
              <w:autoSpaceDN w:val="0"/>
              <w:adjustRightInd w:val="0"/>
              <w:rPr>
                <w:rFonts w:eastAsia="Calibri" w:cs="Times New Roman"/>
                <w:color w:val="0D0D0D"/>
                <w:sz w:val="18"/>
                <w:szCs w:val="18"/>
                <w:highlight w:val="yellow"/>
              </w:rPr>
            </w:pPr>
          </w:p>
        </w:tc>
      </w:tr>
      <w:tr w:rsidR="00AA05FA" w:rsidRPr="006575A0" w14:paraId="3288A494" w14:textId="77777777" w:rsidTr="00CA22CD">
        <w:trPr>
          <w:gridAfter w:val="1"/>
          <w:wAfter w:w="8" w:type="pct"/>
          <w:trHeight w:val="418"/>
          <w:tblHeader/>
        </w:trPr>
        <w:tc>
          <w:tcPr>
            <w:tcW w:w="585" w:type="pct"/>
            <w:vMerge/>
            <w:shd w:val="clear" w:color="auto" w:fill="D9D9D9"/>
          </w:tcPr>
          <w:p w14:paraId="37F4959F" w14:textId="77777777" w:rsidR="00AA05FA" w:rsidRPr="00761107" w:rsidRDefault="00AA05FA" w:rsidP="00AA05FA">
            <w:pPr>
              <w:tabs>
                <w:tab w:val="left" w:pos="0"/>
                <w:tab w:val="left" w:pos="132"/>
              </w:tabs>
              <w:jc w:val="left"/>
              <w:rPr>
                <w:rFonts w:eastAsia="Calibri" w:cs="Times New Roman"/>
                <w:b/>
                <w:color w:val="0D0D0D"/>
                <w:sz w:val="18"/>
                <w:szCs w:val="18"/>
              </w:rPr>
            </w:pPr>
          </w:p>
        </w:tc>
        <w:tc>
          <w:tcPr>
            <w:tcW w:w="720" w:type="pct"/>
            <w:vMerge/>
            <w:shd w:val="clear" w:color="auto" w:fill="auto"/>
          </w:tcPr>
          <w:p w14:paraId="3D1CD605" w14:textId="77777777" w:rsidR="00AA05FA" w:rsidRPr="00761107" w:rsidRDefault="00AA05FA" w:rsidP="00761107">
            <w:pPr>
              <w:jc w:val="left"/>
              <w:rPr>
                <w:rFonts w:eastAsia="Calibri" w:cs="Times New Roman"/>
                <w:sz w:val="18"/>
                <w:szCs w:val="18"/>
              </w:rPr>
            </w:pPr>
          </w:p>
        </w:tc>
        <w:tc>
          <w:tcPr>
            <w:tcW w:w="1079" w:type="pct"/>
            <w:shd w:val="clear" w:color="auto" w:fill="FFFFFF"/>
          </w:tcPr>
          <w:p w14:paraId="164B4ED1" w14:textId="27FC6BC8" w:rsidR="00AA05FA" w:rsidRPr="00761107" w:rsidDel="00786A3C" w:rsidRDefault="00AA05FA" w:rsidP="00AA05FA">
            <w:pPr>
              <w:autoSpaceDE w:val="0"/>
              <w:autoSpaceDN w:val="0"/>
              <w:adjustRightInd w:val="0"/>
              <w:jc w:val="left"/>
              <w:rPr>
                <w:rFonts w:eastAsia="Calibri" w:cs="Times New Roman"/>
                <w:sz w:val="18"/>
                <w:szCs w:val="18"/>
              </w:rPr>
            </w:pPr>
            <w:r w:rsidRPr="00761107">
              <w:rPr>
                <w:rFonts w:eastAsia="Calibri" w:cs="Times New Roman"/>
                <w:sz w:val="18"/>
                <w:szCs w:val="18"/>
              </w:rPr>
              <w:t>Number of registered professional operators based on Directive 2000/29/EC</w:t>
            </w:r>
          </w:p>
        </w:tc>
        <w:tc>
          <w:tcPr>
            <w:tcW w:w="585" w:type="pct"/>
            <w:shd w:val="clear" w:color="auto" w:fill="FFFFFF"/>
          </w:tcPr>
          <w:p w14:paraId="621B68F6" w14:textId="19BFAECD" w:rsidR="00AA05FA" w:rsidRPr="00761107" w:rsidRDefault="00AA05FA" w:rsidP="00AA05FA">
            <w:pPr>
              <w:jc w:val="left"/>
              <w:rPr>
                <w:rFonts w:eastAsia="Calibri" w:cs="Times New Roman"/>
                <w:sz w:val="18"/>
                <w:szCs w:val="18"/>
              </w:rPr>
            </w:pPr>
            <w:r w:rsidRPr="00761107">
              <w:rPr>
                <w:rFonts w:eastAsia="Calibri" w:cs="Times New Roman"/>
                <w:sz w:val="18"/>
                <w:szCs w:val="18"/>
              </w:rPr>
              <w:t>0 (2020)</w:t>
            </w:r>
          </w:p>
        </w:tc>
        <w:tc>
          <w:tcPr>
            <w:tcW w:w="539" w:type="pct"/>
            <w:shd w:val="clear" w:color="auto" w:fill="FFFFFF"/>
          </w:tcPr>
          <w:p w14:paraId="509698AE" w14:textId="69A1AB76" w:rsidR="00AA05FA" w:rsidRPr="00761107" w:rsidRDefault="00AA05FA" w:rsidP="00AA05FA">
            <w:pPr>
              <w:jc w:val="left"/>
              <w:rPr>
                <w:rFonts w:eastAsia="Calibri" w:cs="Times New Roman"/>
                <w:sz w:val="18"/>
                <w:szCs w:val="18"/>
              </w:rPr>
            </w:pPr>
            <w:r w:rsidRPr="00761107">
              <w:rPr>
                <w:rFonts w:eastAsia="Calibri" w:cs="Times New Roman"/>
                <w:sz w:val="18"/>
                <w:szCs w:val="18"/>
              </w:rPr>
              <w:t>≥785 (2027)</w:t>
            </w:r>
          </w:p>
        </w:tc>
        <w:tc>
          <w:tcPr>
            <w:tcW w:w="765" w:type="pct"/>
            <w:shd w:val="clear" w:color="auto" w:fill="FFFFFF"/>
          </w:tcPr>
          <w:p w14:paraId="3C6C39F5" w14:textId="7A3BC886" w:rsidR="00AA05FA" w:rsidRPr="00761107" w:rsidRDefault="00AA05FA" w:rsidP="00AA05FA">
            <w:pPr>
              <w:jc w:val="left"/>
              <w:rPr>
                <w:rFonts w:eastAsia="Calibri" w:cs="Times New Roman"/>
                <w:sz w:val="18"/>
                <w:szCs w:val="18"/>
              </w:rPr>
            </w:pPr>
            <w:r w:rsidRPr="00761107">
              <w:rPr>
                <w:rFonts w:eastAsia="Calibri" w:cs="Times New Roman"/>
                <w:sz w:val="18"/>
                <w:szCs w:val="18"/>
              </w:rPr>
              <w:t>Register of producers, traders exporter, of plant and plants products and Phytosanitary Information System, Phytosanitary Directorate, MAFWE.</w:t>
            </w:r>
          </w:p>
        </w:tc>
        <w:tc>
          <w:tcPr>
            <w:tcW w:w="721" w:type="pct"/>
            <w:vMerge/>
            <w:shd w:val="clear" w:color="auto" w:fill="auto"/>
          </w:tcPr>
          <w:p w14:paraId="1EF83151" w14:textId="77777777" w:rsidR="00AA05FA" w:rsidRPr="00761107" w:rsidRDefault="00AA05FA" w:rsidP="00AA05FA">
            <w:pPr>
              <w:autoSpaceDE w:val="0"/>
              <w:autoSpaceDN w:val="0"/>
              <w:adjustRightInd w:val="0"/>
              <w:rPr>
                <w:rFonts w:eastAsia="Calibri" w:cs="Times New Roman"/>
                <w:color w:val="0D0D0D"/>
                <w:sz w:val="18"/>
                <w:szCs w:val="18"/>
                <w:highlight w:val="yellow"/>
              </w:rPr>
            </w:pPr>
          </w:p>
        </w:tc>
      </w:tr>
      <w:tr w:rsidR="00AA05FA" w:rsidRPr="006575A0" w14:paraId="44CBD1AA" w14:textId="77777777" w:rsidTr="00CA22CD">
        <w:trPr>
          <w:gridAfter w:val="1"/>
          <w:wAfter w:w="8" w:type="pct"/>
          <w:trHeight w:val="418"/>
          <w:tblHeader/>
        </w:trPr>
        <w:tc>
          <w:tcPr>
            <w:tcW w:w="585" w:type="pct"/>
            <w:vMerge/>
            <w:shd w:val="clear" w:color="auto" w:fill="D9D9D9"/>
          </w:tcPr>
          <w:p w14:paraId="4ADDC0C8" w14:textId="0DBA35C3" w:rsidR="00AA05FA" w:rsidRPr="00761107" w:rsidRDefault="00AA05FA" w:rsidP="00AA05FA">
            <w:pPr>
              <w:tabs>
                <w:tab w:val="left" w:pos="0"/>
                <w:tab w:val="left" w:pos="132"/>
              </w:tabs>
              <w:jc w:val="left"/>
              <w:rPr>
                <w:rFonts w:eastAsia="Calibri" w:cs="Times New Roman"/>
                <w:b/>
                <w:color w:val="0D0D0D"/>
                <w:sz w:val="18"/>
                <w:szCs w:val="18"/>
              </w:rPr>
            </w:pPr>
          </w:p>
        </w:tc>
        <w:tc>
          <w:tcPr>
            <w:tcW w:w="720" w:type="pct"/>
            <w:vMerge/>
            <w:shd w:val="clear" w:color="auto" w:fill="auto"/>
          </w:tcPr>
          <w:p w14:paraId="38398802" w14:textId="55F2A346" w:rsidR="00AA05FA" w:rsidRPr="00CA22CD" w:rsidRDefault="00AA05FA" w:rsidP="00761107">
            <w:pPr>
              <w:jc w:val="left"/>
              <w:rPr>
                <w:rFonts w:eastAsia="Calibri" w:cs="Times New Roman"/>
                <w:sz w:val="18"/>
                <w:szCs w:val="18"/>
              </w:rPr>
            </w:pPr>
          </w:p>
        </w:tc>
        <w:tc>
          <w:tcPr>
            <w:tcW w:w="1079" w:type="pct"/>
            <w:shd w:val="clear" w:color="auto" w:fill="FFFFFF"/>
          </w:tcPr>
          <w:p w14:paraId="122375EB" w14:textId="747C2DD4" w:rsidR="00AA05FA" w:rsidRPr="00761107" w:rsidRDefault="00AA05FA" w:rsidP="00AA05FA">
            <w:pPr>
              <w:autoSpaceDE w:val="0"/>
              <w:autoSpaceDN w:val="0"/>
              <w:adjustRightInd w:val="0"/>
              <w:jc w:val="left"/>
              <w:rPr>
                <w:rFonts w:eastAsia="Calibri" w:cs="Times New Roman"/>
                <w:sz w:val="18"/>
                <w:szCs w:val="18"/>
              </w:rPr>
            </w:pPr>
            <w:r w:rsidRPr="00CA22CD">
              <w:rPr>
                <w:rFonts w:eastAsia="Calibri" w:cs="Times New Roman"/>
                <w:sz w:val="18"/>
                <w:szCs w:val="18"/>
              </w:rPr>
              <w:t xml:space="preserve">Number of implemented legislation and other relevant documents adopted </w:t>
            </w:r>
          </w:p>
        </w:tc>
        <w:tc>
          <w:tcPr>
            <w:tcW w:w="585" w:type="pct"/>
            <w:shd w:val="clear" w:color="auto" w:fill="FFFFFF"/>
          </w:tcPr>
          <w:p w14:paraId="756F6CE5" w14:textId="77777777" w:rsidR="00AA05FA" w:rsidRPr="00761107" w:rsidRDefault="00AA05FA" w:rsidP="00AA05FA">
            <w:pPr>
              <w:jc w:val="left"/>
              <w:rPr>
                <w:rFonts w:eastAsia="Calibri" w:cs="Times New Roman"/>
                <w:sz w:val="18"/>
                <w:szCs w:val="18"/>
              </w:rPr>
            </w:pPr>
            <w:r w:rsidRPr="00246684">
              <w:rPr>
                <w:rFonts w:eastAsia="Calibri" w:cs="Times New Roman"/>
                <w:sz w:val="18"/>
                <w:szCs w:val="18"/>
              </w:rPr>
              <w:t>0 (2023)</w:t>
            </w:r>
          </w:p>
        </w:tc>
        <w:tc>
          <w:tcPr>
            <w:tcW w:w="539" w:type="pct"/>
            <w:shd w:val="clear" w:color="auto" w:fill="FFFFFF"/>
          </w:tcPr>
          <w:p w14:paraId="4EB173B1" w14:textId="77777777" w:rsidR="00AA05FA" w:rsidRPr="00761107" w:rsidRDefault="00AA05FA" w:rsidP="00AA05FA">
            <w:pPr>
              <w:jc w:val="left"/>
              <w:rPr>
                <w:rFonts w:eastAsia="Calibri" w:cs="Times New Roman"/>
                <w:sz w:val="18"/>
                <w:szCs w:val="18"/>
              </w:rPr>
            </w:pPr>
            <w:r w:rsidRPr="00246684">
              <w:rPr>
                <w:rFonts w:eastAsia="Calibri" w:cs="Times New Roman"/>
                <w:sz w:val="18"/>
                <w:szCs w:val="18"/>
              </w:rPr>
              <w:t>≥ 20 (2028)</w:t>
            </w:r>
          </w:p>
        </w:tc>
        <w:tc>
          <w:tcPr>
            <w:tcW w:w="765" w:type="pct"/>
            <w:shd w:val="clear" w:color="auto" w:fill="FFFFFF"/>
          </w:tcPr>
          <w:p w14:paraId="08B039BA" w14:textId="77777777" w:rsidR="00AA05FA" w:rsidRPr="003662EA" w:rsidRDefault="00AA05FA" w:rsidP="00AA05FA">
            <w:pPr>
              <w:jc w:val="left"/>
              <w:rPr>
                <w:rFonts w:eastAsia="Calibri" w:cs="Times New Roman"/>
                <w:sz w:val="18"/>
                <w:szCs w:val="18"/>
              </w:rPr>
            </w:pPr>
            <w:r w:rsidRPr="00246684">
              <w:rPr>
                <w:rFonts w:eastAsia="Calibri" w:cs="Times New Roman"/>
                <w:sz w:val="18"/>
                <w:szCs w:val="18"/>
              </w:rPr>
              <w:t>Proj</w:t>
            </w:r>
            <w:r w:rsidRPr="003662EA">
              <w:rPr>
                <w:rFonts w:eastAsia="Calibri" w:cs="Times New Roman"/>
                <w:sz w:val="18"/>
                <w:szCs w:val="18"/>
              </w:rPr>
              <w:t>ect progress report</w:t>
            </w:r>
          </w:p>
          <w:p w14:paraId="6BA341AD" w14:textId="77777777" w:rsidR="00AA05FA" w:rsidRPr="00761107" w:rsidRDefault="00AA05FA" w:rsidP="00AA05FA">
            <w:pPr>
              <w:jc w:val="left"/>
              <w:rPr>
                <w:rFonts w:eastAsia="Calibri" w:cs="Times New Roman"/>
                <w:sz w:val="18"/>
                <w:szCs w:val="18"/>
              </w:rPr>
            </w:pPr>
            <w:r w:rsidRPr="00761107">
              <w:rPr>
                <w:rFonts w:eastAsia="Calibri" w:cs="Times New Roman"/>
                <w:sz w:val="18"/>
                <w:szCs w:val="18"/>
              </w:rPr>
              <w:t>Official Journal</w:t>
            </w:r>
          </w:p>
        </w:tc>
        <w:tc>
          <w:tcPr>
            <w:tcW w:w="721" w:type="pct"/>
            <w:vMerge/>
            <w:shd w:val="clear" w:color="auto" w:fill="auto"/>
          </w:tcPr>
          <w:p w14:paraId="711B7105" w14:textId="77777777" w:rsidR="00AA05FA" w:rsidRPr="00761107" w:rsidRDefault="00AA05FA" w:rsidP="00AA05FA">
            <w:pPr>
              <w:autoSpaceDE w:val="0"/>
              <w:autoSpaceDN w:val="0"/>
              <w:adjustRightInd w:val="0"/>
              <w:rPr>
                <w:rFonts w:eastAsia="Calibri" w:cs="Times New Roman"/>
                <w:color w:val="0D0D0D"/>
                <w:sz w:val="18"/>
                <w:szCs w:val="18"/>
                <w:highlight w:val="yellow"/>
              </w:rPr>
            </w:pPr>
          </w:p>
        </w:tc>
      </w:tr>
      <w:tr w:rsidR="00AA05FA" w:rsidRPr="006575A0" w14:paraId="3EEBD364" w14:textId="77777777" w:rsidTr="00CA22CD">
        <w:trPr>
          <w:gridAfter w:val="1"/>
          <w:wAfter w:w="8" w:type="pct"/>
          <w:trHeight w:val="418"/>
          <w:tblHeader/>
        </w:trPr>
        <w:tc>
          <w:tcPr>
            <w:tcW w:w="585" w:type="pct"/>
            <w:vMerge/>
            <w:shd w:val="clear" w:color="auto" w:fill="D9D9D9"/>
          </w:tcPr>
          <w:p w14:paraId="5A37428B" w14:textId="30D19652" w:rsidR="00AA05FA" w:rsidRPr="00761107" w:rsidRDefault="00AA05FA" w:rsidP="00AA05FA">
            <w:pPr>
              <w:tabs>
                <w:tab w:val="left" w:pos="0"/>
                <w:tab w:val="left" w:pos="132"/>
              </w:tabs>
              <w:jc w:val="left"/>
              <w:rPr>
                <w:rFonts w:eastAsia="Calibri" w:cs="Times New Roman"/>
                <w:b/>
                <w:color w:val="0D0D0D"/>
                <w:sz w:val="18"/>
                <w:szCs w:val="18"/>
              </w:rPr>
            </w:pPr>
          </w:p>
        </w:tc>
        <w:tc>
          <w:tcPr>
            <w:tcW w:w="720" w:type="pct"/>
            <w:vMerge/>
            <w:shd w:val="clear" w:color="auto" w:fill="auto"/>
          </w:tcPr>
          <w:p w14:paraId="1500BBE5" w14:textId="6190DA90" w:rsidR="00AA05FA" w:rsidRPr="00CA22CD" w:rsidRDefault="00AA05FA" w:rsidP="00761107">
            <w:pPr>
              <w:jc w:val="left"/>
              <w:rPr>
                <w:rFonts w:eastAsia="Calibri" w:cs="Times New Roman"/>
                <w:sz w:val="18"/>
                <w:szCs w:val="18"/>
              </w:rPr>
            </w:pPr>
          </w:p>
        </w:tc>
        <w:tc>
          <w:tcPr>
            <w:tcW w:w="1079" w:type="pct"/>
            <w:shd w:val="clear" w:color="auto" w:fill="FFFFFF"/>
          </w:tcPr>
          <w:p w14:paraId="5834FB29" w14:textId="5AF70724" w:rsidR="00AA05FA" w:rsidRPr="00CA22CD" w:rsidRDefault="00AA05FA" w:rsidP="00AA05FA">
            <w:pPr>
              <w:autoSpaceDE w:val="0"/>
              <w:autoSpaceDN w:val="0"/>
              <w:adjustRightInd w:val="0"/>
              <w:jc w:val="left"/>
              <w:rPr>
                <w:rFonts w:eastAsia="Calibri" w:cs="Times New Roman"/>
                <w:sz w:val="18"/>
                <w:szCs w:val="18"/>
              </w:rPr>
            </w:pPr>
            <w:r w:rsidRPr="00CA22CD">
              <w:rPr>
                <w:rFonts w:eastAsia="Calibri" w:cs="Times New Roman"/>
                <w:sz w:val="18"/>
                <w:szCs w:val="18"/>
              </w:rPr>
              <w:t>Number of annual information notes of IPM prepared and distributed to the stakeholders</w:t>
            </w:r>
          </w:p>
        </w:tc>
        <w:tc>
          <w:tcPr>
            <w:tcW w:w="585" w:type="pct"/>
            <w:shd w:val="clear" w:color="auto" w:fill="FFFFFF"/>
          </w:tcPr>
          <w:p w14:paraId="03942BDD" w14:textId="77777777" w:rsidR="00AA05FA" w:rsidRPr="00CA22CD" w:rsidRDefault="00AA05FA" w:rsidP="00AA05FA">
            <w:pPr>
              <w:jc w:val="left"/>
              <w:rPr>
                <w:rFonts w:eastAsia="Calibri" w:cs="Times New Roman"/>
                <w:sz w:val="18"/>
                <w:szCs w:val="18"/>
              </w:rPr>
            </w:pPr>
            <w:r w:rsidRPr="00CA22CD">
              <w:rPr>
                <w:rFonts w:eastAsia="Calibri" w:cs="Times New Roman"/>
                <w:sz w:val="18"/>
                <w:szCs w:val="18"/>
              </w:rPr>
              <w:t>4 (2023)</w:t>
            </w:r>
          </w:p>
        </w:tc>
        <w:tc>
          <w:tcPr>
            <w:tcW w:w="539" w:type="pct"/>
            <w:shd w:val="clear" w:color="auto" w:fill="FFFFFF"/>
          </w:tcPr>
          <w:p w14:paraId="66637A33" w14:textId="77777777" w:rsidR="00AA05FA" w:rsidRPr="00CA22CD" w:rsidRDefault="00AA05FA" w:rsidP="00AA05FA">
            <w:pPr>
              <w:jc w:val="left"/>
              <w:rPr>
                <w:rFonts w:eastAsia="Calibri" w:cs="Times New Roman"/>
                <w:sz w:val="18"/>
                <w:szCs w:val="18"/>
              </w:rPr>
            </w:pPr>
            <w:r w:rsidRPr="00CA22CD">
              <w:rPr>
                <w:rFonts w:eastAsia="Calibri" w:cs="Times New Roman"/>
                <w:sz w:val="18"/>
                <w:szCs w:val="18"/>
              </w:rPr>
              <w:t>30 (2028)</w:t>
            </w:r>
          </w:p>
        </w:tc>
        <w:tc>
          <w:tcPr>
            <w:tcW w:w="765" w:type="pct"/>
            <w:shd w:val="clear" w:color="auto" w:fill="FFFFFF"/>
          </w:tcPr>
          <w:p w14:paraId="1153EA38" w14:textId="77777777" w:rsidR="00AA05FA" w:rsidRPr="00CA22CD" w:rsidRDefault="00AA05FA" w:rsidP="00AA05FA">
            <w:pPr>
              <w:jc w:val="left"/>
              <w:rPr>
                <w:rFonts w:eastAsia="Calibri" w:cs="Times New Roman"/>
                <w:sz w:val="18"/>
                <w:szCs w:val="18"/>
              </w:rPr>
            </w:pPr>
            <w:r w:rsidRPr="00CA22CD">
              <w:rPr>
                <w:rFonts w:eastAsia="Calibri" w:cs="Times New Roman"/>
                <w:sz w:val="18"/>
                <w:szCs w:val="18"/>
              </w:rPr>
              <w:t>Project progress report</w:t>
            </w:r>
          </w:p>
          <w:p w14:paraId="5B4D2B34" w14:textId="77777777" w:rsidR="00AA05FA" w:rsidRPr="00CA22CD" w:rsidRDefault="00AA05FA" w:rsidP="00AA05FA">
            <w:pPr>
              <w:jc w:val="left"/>
              <w:rPr>
                <w:rFonts w:eastAsia="Calibri" w:cs="Times New Roman"/>
                <w:sz w:val="18"/>
                <w:szCs w:val="18"/>
              </w:rPr>
            </w:pPr>
            <w:r w:rsidRPr="00CA22CD">
              <w:rPr>
                <w:rFonts w:eastAsia="Calibri" w:cs="Times New Roman"/>
                <w:sz w:val="18"/>
                <w:szCs w:val="18"/>
              </w:rPr>
              <w:t>Annual Report for implementation of Phytosanitary Policy Programme</w:t>
            </w:r>
          </w:p>
        </w:tc>
        <w:tc>
          <w:tcPr>
            <w:tcW w:w="721" w:type="pct"/>
            <w:vMerge/>
            <w:shd w:val="clear" w:color="auto" w:fill="auto"/>
          </w:tcPr>
          <w:p w14:paraId="3A7F40F5" w14:textId="77777777" w:rsidR="00AA05FA" w:rsidRPr="00761107" w:rsidRDefault="00AA05FA" w:rsidP="00AA05FA">
            <w:pPr>
              <w:autoSpaceDE w:val="0"/>
              <w:autoSpaceDN w:val="0"/>
              <w:adjustRightInd w:val="0"/>
              <w:rPr>
                <w:rFonts w:eastAsia="Calibri" w:cs="Times New Roman"/>
                <w:color w:val="0D0D0D"/>
                <w:sz w:val="18"/>
                <w:szCs w:val="18"/>
                <w:highlight w:val="yellow"/>
              </w:rPr>
            </w:pPr>
          </w:p>
        </w:tc>
      </w:tr>
      <w:tr w:rsidR="00AA05FA" w:rsidRPr="006575A0" w14:paraId="4C5A0301" w14:textId="77777777" w:rsidTr="00CA22CD">
        <w:trPr>
          <w:gridAfter w:val="1"/>
          <w:wAfter w:w="8" w:type="pct"/>
          <w:trHeight w:val="231"/>
          <w:tblHeader/>
        </w:trPr>
        <w:tc>
          <w:tcPr>
            <w:tcW w:w="585" w:type="pct"/>
            <w:vMerge/>
            <w:shd w:val="clear" w:color="auto" w:fill="D9D9D9"/>
          </w:tcPr>
          <w:p w14:paraId="6A132533" w14:textId="5419F93E" w:rsidR="00AA05FA" w:rsidRPr="00761107" w:rsidRDefault="00AA05FA" w:rsidP="00AA05FA">
            <w:pPr>
              <w:tabs>
                <w:tab w:val="left" w:pos="0"/>
                <w:tab w:val="left" w:pos="132"/>
              </w:tabs>
              <w:jc w:val="left"/>
              <w:rPr>
                <w:rFonts w:eastAsia="Calibri" w:cs="Times New Roman"/>
                <w:b/>
                <w:color w:val="0D0D0D"/>
                <w:sz w:val="18"/>
                <w:szCs w:val="18"/>
              </w:rPr>
            </w:pPr>
          </w:p>
        </w:tc>
        <w:tc>
          <w:tcPr>
            <w:tcW w:w="720" w:type="pct"/>
            <w:vMerge/>
            <w:shd w:val="clear" w:color="auto" w:fill="auto"/>
          </w:tcPr>
          <w:p w14:paraId="7B87005F" w14:textId="3DB15B05" w:rsidR="00AA05FA" w:rsidRPr="00CA22CD" w:rsidRDefault="00AA05FA" w:rsidP="00CA22CD">
            <w:pPr>
              <w:jc w:val="left"/>
              <w:rPr>
                <w:rFonts w:eastAsia="Calibri" w:cs="Times New Roman"/>
                <w:sz w:val="18"/>
                <w:szCs w:val="18"/>
              </w:rPr>
            </w:pPr>
          </w:p>
        </w:tc>
        <w:tc>
          <w:tcPr>
            <w:tcW w:w="1079" w:type="pct"/>
            <w:shd w:val="clear" w:color="auto" w:fill="FFFFFF"/>
          </w:tcPr>
          <w:p w14:paraId="05263D78" w14:textId="51D9C3EC" w:rsidR="00AA05FA" w:rsidRPr="00761107" w:rsidRDefault="00AA05FA" w:rsidP="00CA22CD">
            <w:pPr>
              <w:autoSpaceDE w:val="0"/>
              <w:autoSpaceDN w:val="0"/>
              <w:adjustRightInd w:val="0"/>
              <w:jc w:val="left"/>
              <w:rPr>
                <w:rFonts w:eastAsia="Calibri" w:cs="Times New Roman"/>
                <w:sz w:val="18"/>
                <w:szCs w:val="18"/>
              </w:rPr>
            </w:pPr>
            <w:r w:rsidRPr="00CA22CD">
              <w:rPr>
                <w:rFonts w:eastAsia="Calibri" w:cs="Times New Roman"/>
                <w:sz w:val="18"/>
                <w:szCs w:val="18"/>
              </w:rPr>
              <w:t>System for prevention and control of IUU established</w:t>
            </w:r>
          </w:p>
        </w:tc>
        <w:tc>
          <w:tcPr>
            <w:tcW w:w="585" w:type="pct"/>
            <w:shd w:val="clear" w:color="auto" w:fill="FFFFFF"/>
          </w:tcPr>
          <w:p w14:paraId="2710C8F0" w14:textId="77777777" w:rsidR="00AA05FA" w:rsidRPr="00761107" w:rsidRDefault="00AA05FA" w:rsidP="00AA05FA">
            <w:pPr>
              <w:rPr>
                <w:rFonts w:eastAsia="Calibri" w:cs="Times New Roman"/>
                <w:sz w:val="18"/>
                <w:szCs w:val="18"/>
              </w:rPr>
            </w:pPr>
            <w:r w:rsidRPr="00246684">
              <w:rPr>
                <w:rFonts w:eastAsia="Calibri" w:cs="Times New Roman"/>
                <w:sz w:val="18"/>
                <w:szCs w:val="18"/>
              </w:rPr>
              <w:t>0 (2020)</w:t>
            </w:r>
          </w:p>
        </w:tc>
        <w:tc>
          <w:tcPr>
            <w:tcW w:w="539" w:type="pct"/>
            <w:shd w:val="clear" w:color="auto" w:fill="FFFFFF"/>
          </w:tcPr>
          <w:p w14:paraId="49F95656" w14:textId="77777777" w:rsidR="00AA05FA" w:rsidRPr="00761107" w:rsidRDefault="00AA05FA" w:rsidP="00AA05FA">
            <w:pPr>
              <w:jc w:val="left"/>
              <w:rPr>
                <w:rFonts w:eastAsia="Calibri" w:cs="Times New Roman"/>
                <w:sz w:val="18"/>
                <w:szCs w:val="18"/>
              </w:rPr>
            </w:pPr>
            <w:r w:rsidRPr="00246684">
              <w:rPr>
                <w:rFonts w:eastAsia="Calibri" w:cs="Times New Roman"/>
                <w:sz w:val="18"/>
                <w:szCs w:val="18"/>
              </w:rPr>
              <w:t>Fully operative system for prevention and control of IUU (2027)</w:t>
            </w:r>
          </w:p>
        </w:tc>
        <w:tc>
          <w:tcPr>
            <w:tcW w:w="765" w:type="pct"/>
            <w:shd w:val="clear" w:color="auto" w:fill="FFFFFF"/>
          </w:tcPr>
          <w:p w14:paraId="7D71EF17" w14:textId="77777777" w:rsidR="00AA05FA" w:rsidRPr="00AA05FA" w:rsidRDefault="00AA05FA" w:rsidP="00AA05FA">
            <w:pPr>
              <w:jc w:val="left"/>
              <w:rPr>
                <w:rFonts w:eastAsia="Calibri" w:cs="Times New Roman"/>
                <w:sz w:val="18"/>
                <w:szCs w:val="18"/>
              </w:rPr>
            </w:pPr>
            <w:r w:rsidRPr="00246684">
              <w:rPr>
                <w:rFonts w:eastAsia="Calibri" w:cs="Times New Roman"/>
                <w:sz w:val="18"/>
                <w:szCs w:val="18"/>
              </w:rPr>
              <w:t>EU Annual Progress Report</w:t>
            </w:r>
          </w:p>
        </w:tc>
        <w:tc>
          <w:tcPr>
            <w:tcW w:w="721" w:type="pct"/>
            <w:vMerge/>
            <w:shd w:val="clear" w:color="auto" w:fill="auto"/>
          </w:tcPr>
          <w:p w14:paraId="16EE3AFF" w14:textId="77777777" w:rsidR="00AA05FA" w:rsidRPr="00761107" w:rsidRDefault="00AA05FA" w:rsidP="00AA05FA">
            <w:pPr>
              <w:autoSpaceDE w:val="0"/>
              <w:autoSpaceDN w:val="0"/>
              <w:adjustRightInd w:val="0"/>
              <w:rPr>
                <w:rFonts w:eastAsia="Calibri" w:cs="Times New Roman"/>
                <w:color w:val="0D0D0D"/>
                <w:sz w:val="18"/>
                <w:szCs w:val="18"/>
                <w:highlight w:val="yellow"/>
              </w:rPr>
            </w:pPr>
          </w:p>
        </w:tc>
      </w:tr>
      <w:tr w:rsidR="00AA05FA" w:rsidRPr="006575A0" w14:paraId="4D1EB044" w14:textId="77777777" w:rsidTr="00CA22CD">
        <w:trPr>
          <w:gridAfter w:val="1"/>
          <w:wAfter w:w="8" w:type="pct"/>
          <w:trHeight w:val="312"/>
          <w:tblHeader/>
        </w:trPr>
        <w:tc>
          <w:tcPr>
            <w:tcW w:w="585" w:type="pct"/>
            <w:vMerge/>
            <w:shd w:val="clear" w:color="auto" w:fill="D9D9D9"/>
          </w:tcPr>
          <w:p w14:paraId="34322A4F" w14:textId="44FD9C59" w:rsidR="00AA05FA" w:rsidRPr="00761107" w:rsidRDefault="00AA05FA" w:rsidP="00AA05FA">
            <w:pPr>
              <w:tabs>
                <w:tab w:val="left" w:pos="0"/>
                <w:tab w:val="left" w:pos="132"/>
              </w:tabs>
              <w:jc w:val="left"/>
              <w:rPr>
                <w:rFonts w:eastAsia="Calibri" w:cs="Times New Roman"/>
                <w:b/>
                <w:color w:val="0D0D0D"/>
                <w:sz w:val="18"/>
                <w:szCs w:val="18"/>
                <w:highlight w:val="yellow"/>
              </w:rPr>
            </w:pPr>
          </w:p>
        </w:tc>
        <w:tc>
          <w:tcPr>
            <w:tcW w:w="720" w:type="pct"/>
            <w:vMerge/>
            <w:shd w:val="clear" w:color="auto" w:fill="auto"/>
          </w:tcPr>
          <w:p w14:paraId="038DF697" w14:textId="4F7ADF94" w:rsidR="00AA05FA" w:rsidRPr="00CA22CD" w:rsidRDefault="00AA05FA" w:rsidP="00CA22CD">
            <w:pPr>
              <w:jc w:val="left"/>
              <w:rPr>
                <w:rFonts w:eastAsia="Calibri" w:cs="Times New Roman"/>
                <w:sz w:val="18"/>
                <w:szCs w:val="18"/>
              </w:rPr>
            </w:pPr>
          </w:p>
        </w:tc>
        <w:tc>
          <w:tcPr>
            <w:tcW w:w="1079" w:type="pct"/>
            <w:shd w:val="clear" w:color="auto" w:fill="FFFFFF"/>
          </w:tcPr>
          <w:p w14:paraId="7839A2D1" w14:textId="2A3E1864" w:rsidR="00AA05FA" w:rsidRPr="00CA22CD" w:rsidRDefault="00AA05FA" w:rsidP="00AA05FA">
            <w:pPr>
              <w:autoSpaceDE w:val="0"/>
              <w:autoSpaceDN w:val="0"/>
              <w:adjustRightInd w:val="0"/>
              <w:jc w:val="left"/>
              <w:rPr>
                <w:rFonts w:eastAsia="Calibri" w:cs="Times New Roman"/>
                <w:sz w:val="18"/>
                <w:szCs w:val="18"/>
              </w:rPr>
            </w:pPr>
            <w:r w:rsidRPr="00CA22CD">
              <w:rPr>
                <w:rFonts w:eastAsia="Calibri" w:cs="Times New Roman"/>
                <w:sz w:val="18"/>
                <w:szCs w:val="18"/>
                <w:lang w:val="en-US"/>
              </w:rPr>
              <w:t xml:space="preserve">Number of on-spot checks increased on the annual basis </w:t>
            </w:r>
          </w:p>
        </w:tc>
        <w:tc>
          <w:tcPr>
            <w:tcW w:w="585" w:type="pct"/>
            <w:shd w:val="clear" w:color="auto" w:fill="FFFFFF"/>
          </w:tcPr>
          <w:p w14:paraId="56283352" w14:textId="77777777" w:rsidR="00AA05FA" w:rsidRPr="00CA22CD" w:rsidRDefault="00AA05FA" w:rsidP="00AA05FA">
            <w:pPr>
              <w:rPr>
                <w:rFonts w:eastAsia="Calibri" w:cs="Times New Roman"/>
                <w:sz w:val="18"/>
                <w:szCs w:val="18"/>
              </w:rPr>
            </w:pPr>
            <w:r w:rsidRPr="00CA22CD">
              <w:rPr>
                <w:rFonts w:eastAsia="Calibri" w:cs="Times New Roman"/>
                <w:sz w:val="18"/>
                <w:szCs w:val="18"/>
                <w:lang w:val="en-IE"/>
              </w:rPr>
              <w:t>7315 (2023)</w:t>
            </w:r>
          </w:p>
        </w:tc>
        <w:tc>
          <w:tcPr>
            <w:tcW w:w="539" w:type="pct"/>
            <w:shd w:val="clear" w:color="auto" w:fill="FFFFFF"/>
          </w:tcPr>
          <w:p w14:paraId="5F45B351" w14:textId="77777777" w:rsidR="00AA05FA" w:rsidRPr="00CA22CD" w:rsidRDefault="00AA05FA" w:rsidP="00AA05FA">
            <w:pPr>
              <w:jc w:val="left"/>
              <w:rPr>
                <w:rFonts w:eastAsia="Calibri" w:cs="Times New Roman"/>
                <w:sz w:val="18"/>
                <w:szCs w:val="18"/>
              </w:rPr>
            </w:pPr>
            <w:r w:rsidRPr="00CA22CD">
              <w:rPr>
                <w:rFonts w:eastAsia="Calibri" w:cs="Times New Roman"/>
                <w:sz w:val="18"/>
                <w:szCs w:val="18"/>
              </w:rPr>
              <w:t>≥2</w:t>
            </w:r>
            <w:r w:rsidRPr="00CA22CD">
              <w:rPr>
                <w:rFonts w:eastAsia="Calibri" w:cs="Times New Roman"/>
                <w:sz w:val="18"/>
                <w:szCs w:val="18"/>
                <w:lang w:val="en-IE"/>
              </w:rPr>
              <w:t xml:space="preserve">0% increase (2027) </w:t>
            </w:r>
          </w:p>
        </w:tc>
        <w:tc>
          <w:tcPr>
            <w:tcW w:w="765" w:type="pct"/>
            <w:shd w:val="clear" w:color="auto" w:fill="FFFFFF"/>
          </w:tcPr>
          <w:p w14:paraId="0FFD2529" w14:textId="77777777" w:rsidR="00AA05FA" w:rsidRPr="00CA22CD" w:rsidRDefault="00AA05FA" w:rsidP="00AA05FA">
            <w:pPr>
              <w:jc w:val="left"/>
              <w:rPr>
                <w:rFonts w:eastAsia="Calibri" w:cs="Times New Roman"/>
                <w:sz w:val="18"/>
                <w:szCs w:val="18"/>
              </w:rPr>
            </w:pPr>
            <w:r w:rsidRPr="00CA22CD">
              <w:rPr>
                <w:rFonts w:eastAsia="Calibri" w:cs="Times New Roman"/>
                <w:sz w:val="18"/>
                <w:szCs w:val="18"/>
              </w:rPr>
              <w:t xml:space="preserve">AFSARD Annual Job Reports </w:t>
            </w:r>
          </w:p>
        </w:tc>
        <w:tc>
          <w:tcPr>
            <w:tcW w:w="721" w:type="pct"/>
            <w:shd w:val="clear" w:color="auto" w:fill="auto"/>
          </w:tcPr>
          <w:p w14:paraId="7D875D99" w14:textId="77777777" w:rsidR="00AA05FA" w:rsidRPr="00AA05FA" w:rsidRDefault="00AA05FA" w:rsidP="00AA05FA">
            <w:pPr>
              <w:autoSpaceDE w:val="0"/>
              <w:autoSpaceDN w:val="0"/>
              <w:adjustRightInd w:val="0"/>
              <w:rPr>
                <w:rFonts w:eastAsia="Calibri" w:cs="Times New Roman"/>
                <w:color w:val="0D0D0D"/>
                <w:sz w:val="18"/>
                <w:szCs w:val="18"/>
                <w:highlight w:val="yellow"/>
              </w:rPr>
            </w:pPr>
          </w:p>
        </w:tc>
      </w:tr>
      <w:bookmarkEnd w:id="203"/>
      <w:bookmarkEnd w:id="204"/>
      <w:bookmarkEnd w:id="205"/>
    </w:tbl>
    <w:p w14:paraId="59960802" w14:textId="4A3ADDAC" w:rsidR="00D370B8" w:rsidRPr="003C0CD7" w:rsidRDefault="00D370B8" w:rsidP="00EA2398">
      <w:pPr>
        <w:rPr>
          <w:lang w:val="en-IE"/>
        </w:rPr>
        <w:sectPr w:rsidR="00D370B8" w:rsidRPr="003C0CD7" w:rsidSect="009D4EF1">
          <w:pgSz w:w="16838" w:h="11906" w:orient="landscape"/>
          <w:pgMar w:top="720" w:right="993" w:bottom="720" w:left="426" w:header="510" w:footer="483" w:gutter="0"/>
          <w:cols w:space="708"/>
          <w:docGrid w:linePitch="360"/>
        </w:sectPr>
      </w:pPr>
    </w:p>
    <w:p w14:paraId="6BBE1648" w14:textId="2F736276" w:rsidR="008E6AFF" w:rsidRPr="009B333B" w:rsidRDefault="008E6AFF" w:rsidP="00AA05FA">
      <w:pPr>
        <w:pStyle w:val="Heading1"/>
        <w:ind w:left="426"/>
      </w:pPr>
      <w:bookmarkStart w:id="207" w:name="_Toc47101964"/>
      <w:bookmarkStart w:id="208" w:name="_Toc51270459"/>
      <w:bookmarkStart w:id="209" w:name="_Toc59031675"/>
      <w:bookmarkStart w:id="210" w:name="_Toc73090757"/>
      <w:bookmarkStart w:id="211" w:name="_Ref58337274"/>
      <w:bookmarkStart w:id="212" w:name="_Toc47101982"/>
      <w:bookmarkStart w:id="213" w:name="_Toc51270477"/>
      <w:bookmarkStart w:id="214" w:name="_Ref58359378"/>
      <w:bookmarkEnd w:id="185"/>
      <w:bookmarkEnd w:id="186"/>
      <w:bookmarkEnd w:id="187"/>
      <w:bookmarkEnd w:id="188"/>
      <w:bookmarkEnd w:id="189"/>
      <w:bookmarkEnd w:id="190"/>
      <w:bookmarkEnd w:id="191"/>
      <w:bookmarkEnd w:id="192"/>
      <w:r w:rsidRPr="009B333B">
        <w:lastRenderedPageBreak/>
        <w:t xml:space="preserve">IMPLEMENTATION </w:t>
      </w:r>
      <w:bookmarkEnd w:id="207"/>
      <w:bookmarkEnd w:id="208"/>
      <w:r w:rsidRPr="009B333B">
        <w:t>ARRANGEMENTS</w:t>
      </w:r>
      <w:bookmarkEnd w:id="209"/>
      <w:bookmarkEnd w:id="210"/>
      <w:r w:rsidRPr="009B333B">
        <w:t xml:space="preserve"> </w:t>
      </w:r>
      <w:bookmarkStart w:id="215" w:name="_Toc59023374"/>
      <w:bookmarkStart w:id="216" w:name="_Toc59029543"/>
      <w:bookmarkStart w:id="217" w:name="_Toc59030359"/>
      <w:bookmarkStart w:id="218" w:name="_Toc59031676"/>
      <w:bookmarkStart w:id="219" w:name="_Toc62247175"/>
      <w:bookmarkStart w:id="220" w:name="_Toc62247232"/>
      <w:bookmarkStart w:id="221" w:name="_Toc62459274"/>
      <w:bookmarkStart w:id="222" w:name="_Toc62476938"/>
      <w:bookmarkStart w:id="223" w:name="_Toc63235846"/>
      <w:bookmarkStart w:id="224" w:name="_Toc63248952"/>
      <w:bookmarkStart w:id="225" w:name="_Toc63263281"/>
      <w:bookmarkStart w:id="226" w:name="_Toc64043058"/>
      <w:bookmarkStart w:id="227" w:name="_Toc65663771"/>
      <w:bookmarkStart w:id="228" w:name="_Toc65665587"/>
      <w:bookmarkStart w:id="229" w:name="_Toc65665949"/>
      <w:bookmarkStart w:id="230" w:name="_Toc65666126"/>
      <w:bookmarkStart w:id="231" w:name="_Toc65671203"/>
      <w:bookmarkStart w:id="232" w:name="_Toc65671262"/>
      <w:bookmarkStart w:id="233" w:name="_Toc65671919"/>
      <w:bookmarkStart w:id="234" w:name="_Toc65674775"/>
      <w:bookmarkStart w:id="235" w:name="_Toc65676425"/>
      <w:bookmarkStart w:id="236" w:name="_Toc65688262"/>
      <w:bookmarkStart w:id="237" w:name="_Toc66465152"/>
      <w:bookmarkStart w:id="238" w:name="_Toc66465605"/>
      <w:bookmarkStart w:id="239" w:name="_Toc66465664"/>
      <w:bookmarkStart w:id="240" w:name="_Toc66696390"/>
      <w:bookmarkStart w:id="241" w:name="_Toc67665938"/>
      <w:bookmarkStart w:id="242" w:name="_Toc69384766"/>
      <w:bookmarkStart w:id="243" w:name="_Toc69384897"/>
      <w:bookmarkStart w:id="244" w:name="_Toc69385025"/>
      <w:bookmarkStart w:id="245" w:name="_Toc69385153"/>
      <w:bookmarkStart w:id="246" w:name="_Toc69460902"/>
      <w:bookmarkStart w:id="247" w:name="_Toc69461029"/>
      <w:bookmarkStart w:id="248" w:name="_Toc69469921"/>
      <w:bookmarkStart w:id="249" w:name="_Toc69485784"/>
      <w:bookmarkStart w:id="250" w:name="_Toc69487659"/>
      <w:bookmarkStart w:id="251" w:name="_Toc72142249"/>
      <w:bookmarkStart w:id="252" w:name="_Toc72142335"/>
      <w:bookmarkStart w:id="253" w:name="_Toc73090675"/>
      <w:bookmarkStart w:id="254" w:name="_Toc73090758"/>
      <w:bookmarkStart w:id="255" w:name="_Toc47101965"/>
      <w:bookmarkStart w:id="256" w:name="_Toc51270460"/>
      <w:bookmarkStart w:id="257" w:name="_Ref58359167"/>
      <w:bookmarkEnd w:id="211"/>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7669B506" w14:textId="77777777" w:rsidR="008E6AFF" w:rsidRPr="003C0CD7" w:rsidRDefault="008E6AFF" w:rsidP="00CA22CD">
      <w:pPr>
        <w:pStyle w:val="Heading1"/>
        <w:numPr>
          <w:ilvl w:val="1"/>
          <w:numId w:val="1"/>
        </w:numPr>
        <w:spacing w:before="240" w:after="240"/>
        <w:ind w:left="709" w:hanging="431"/>
        <w:rPr>
          <w:lang w:val="en-IE"/>
        </w:rPr>
      </w:pPr>
      <w:bookmarkStart w:id="258" w:name="_Toc59031677"/>
      <w:bookmarkStart w:id="259" w:name="_Ref65665776"/>
      <w:bookmarkStart w:id="260" w:name="_Toc73090759"/>
      <w:r w:rsidRPr="003C0CD7">
        <w:rPr>
          <w:lang w:val="en-IE"/>
        </w:rPr>
        <w:t>Financing Agreement</w:t>
      </w:r>
      <w:bookmarkEnd w:id="255"/>
      <w:bookmarkEnd w:id="256"/>
      <w:bookmarkEnd w:id="257"/>
      <w:bookmarkEnd w:id="258"/>
      <w:bookmarkEnd w:id="259"/>
      <w:bookmarkEnd w:id="260"/>
    </w:p>
    <w:p w14:paraId="631D46D6" w14:textId="77777777" w:rsidR="000436E8" w:rsidRPr="00034922" w:rsidRDefault="000436E8" w:rsidP="00CA22CD">
      <w:pPr>
        <w:spacing w:before="120" w:after="120"/>
        <w:ind w:left="561"/>
      </w:pPr>
      <w:bookmarkStart w:id="261" w:name="_Toc47101966"/>
      <w:bookmarkStart w:id="262" w:name="_Toc51270461"/>
      <w:bookmarkStart w:id="263" w:name="_Toc59031678"/>
      <w:r w:rsidRPr="00034922">
        <w:t xml:space="preserve">In order to implement this action, it is envisaged to conclude a financing agreement with the North Macedonia. </w:t>
      </w:r>
    </w:p>
    <w:p w14:paraId="16A5142A" w14:textId="28DD878F" w:rsidR="008E6AFF" w:rsidRPr="003C0CD7" w:rsidRDefault="008E6AFF" w:rsidP="00CA22CD">
      <w:pPr>
        <w:pStyle w:val="Heading1"/>
        <w:numPr>
          <w:ilvl w:val="1"/>
          <w:numId w:val="1"/>
        </w:numPr>
        <w:spacing w:before="240" w:after="240"/>
        <w:ind w:left="709" w:hanging="431"/>
        <w:rPr>
          <w:color w:val="auto"/>
          <w:lang w:val="en-IE"/>
        </w:rPr>
      </w:pPr>
      <w:bookmarkStart w:id="264" w:name="_Toc73090760"/>
      <w:r w:rsidRPr="00DC3DEB">
        <w:rPr>
          <w:lang w:val="en-IE"/>
        </w:rPr>
        <w:t>Indicative</w:t>
      </w:r>
      <w:r w:rsidRPr="00DC3DEB">
        <w:rPr>
          <w:color w:val="auto"/>
          <w:lang w:val="en-IE"/>
        </w:rPr>
        <w:t xml:space="preserve"> </w:t>
      </w:r>
      <w:r w:rsidRPr="00A112B0">
        <w:rPr>
          <w:color w:val="auto"/>
          <w:lang w:val="en-IE"/>
        </w:rPr>
        <w:t>Implementation</w:t>
      </w:r>
      <w:r w:rsidR="00E655AA" w:rsidRPr="00A112B0">
        <w:rPr>
          <w:color w:val="auto"/>
          <w:lang w:val="en-IE"/>
        </w:rPr>
        <w:t xml:space="preserve"> </w:t>
      </w:r>
      <w:r w:rsidRPr="003C0CD7">
        <w:rPr>
          <w:color w:val="auto"/>
          <w:lang w:val="en-IE"/>
        </w:rPr>
        <w:t>Period</w:t>
      </w:r>
      <w:bookmarkEnd w:id="261"/>
      <w:bookmarkEnd w:id="262"/>
      <w:bookmarkEnd w:id="263"/>
      <w:bookmarkEnd w:id="264"/>
      <w:r w:rsidRPr="003C0CD7">
        <w:rPr>
          <w:color w:val="auto"/>
          <w:lang w:val="en-IE"/>
        </w:rPr>
        <w:t xml:space="preserve"> </w:t>
      </w:r>
    </w:p>
    <w:p w14:paraId="74991298" w14:textId="77777777" w:rsidR="009B0510" w:rsidRPr="009B0510" w:rsidRDefault="009B0510" w:rsidP="00CA22CD">
      <w:pPr>
        <w:spacing w:before="120" w:after="120"/>
        <w:ind w:left="561"/>
        <w:rPr>
          <w:rFonts w:eastAsia="Calibri" w:cs="Times New Roman"/>
        </w:rPr>
      </w:pPr>
      <w:bookmarkStart w:id="265" w:name="_Toc47101967"/>
      <w:bookmarkStart w:id="266" w:name="_Toc51270462"/>
      <w:bookmarkStart w:id="267" w:name="_Ref58357974"/>
      <w:bookmarkStart w:id="268" w:name="_Ref58360386"/>
      <w:bookmarkStart w:id="269" w:name="_Ref58360539"/>
      <w:bookmarkStart w:id="270" w:name="_Ref58440441"/>
      <w:bookmarkStart w:id="271" w:name="_Ref58878099"/>
      <w:bookmarkStart w:id="272" w:name="_Ref58878176"/>
      <w:bookmarkStart w:id="273" w:name="_Ref58878177"/>
      <w:bookmarkStart w:id="274" w:name="_Ref58878225"/>
      <w:bookmarkStart w:id="275" w:name="_Toc59031679"/>
      <w:r w:rsidRPr="009B0510">
        <w:rPr>
          <w:rFonts w:eastAsia="Calibri" w:cs="Times New Roman"/>
        </w:rPr>
        <w:t>The indicative operational implementation period of this action, during which the activities described in section 3 will be carried out and the corresponding contracts and agreements implemented, is 72 months from the date of conclusion of the financing agreement.</w:t>
      </w:r>
    </w:p>
    <w:p w14:paraId="37E62600" w14:textId="2F6B59E4" w:rsidR="003221ED" w:rsidRDefault="009B0510" w:rsidP="00CA22CD">
      <w:pPr>
        <w:spacing w:before="120" w:after="120"/>
        <w:ind w:left="561"/>
        <w:rPr>
          <w:rFonts w:cs="Times New Roman"/>
          <w:highlight w:val="yellow"/>
          <w:lang w:val="en-IE"/>
        </w:rPr>
      </w:pPr>
      <w:r w:rsidRPr="009B0510">
        <w:rPr>
          <w:rFonts w:eastAsia="Calibri" w:cs="Times New Roman"/>
        </w:rPr>
        <w:t>Extensions of the implementation period may be agreed by the Commission’s responsible authorising officer by amending this Financing Decision and the relevant contracts and agreements.</w:t>
      </w:r>
    </w:p>
    <w:p w14:paraId="2D812006" w14:textId="7D60BA70" w:rsidR="008E6AFF" w:rsidRPr="003C0CD7" w:rsidRDefault="00240ECF" w:rsidP="00CA22CD">
      <w:pPr>
        <w:pStyle w:val="Heading1"/>
        <w:numPr>
          <w:ilvl w:val="1"/>
          <w:numId w:val="1"/>
        </w:numPr>
        <w:spacing w:before="240" w:after="240"/>
        <w:ind w:left="709" w:hanging="431"/>
        <w:rPr>
          <w:lang w:val="en-IE"/>
        </w:rPr>
      </w:pPr>
      <w:bookmarkStart w:id="276" w:name="_Toc73090765"/>
      <w:bookmarkEnd w:id="265"/>
      <w:bookmarkEnd w:id="266"/>
      <w:bookmarkEnd w:id="267"/>
      <w:bookmarkEnd w:id="268"/>
      <w:bookmarkEnd w:id="269"/>
      <w:bookmarkEnd w:id="270"/>
      <w:bookmarkEnd w:id="271"/>
      <w:bookmarkEnd w:id="272"/>
      <w:bookmarkEnd w:id="273"/>
      <w:bookmarkEnd w:id="274"/>
      <w:bookmarkEnd w:id="275"/>
      <w:r>
        <w:rPr>
          <w:lang w:val="en-IE"/>
        </w:rPr>
        <w:t>Implementation Modalities</w:t>
      </w:r>
      <w:r w:rsidR="008E6AFF" w:rsidRPr="003C0CD7">
        <w:rPr>
          <w:lang w:val="en-IE"/>
        </w:rPr>
        <w:t xml:space="preserve"> </w:t>
      </w:r>
      <w:bookmarkEnd w:id="276"/>
    </w:p>
    <w:p w14:paraId="28174481" w14:textId="707A80D0" w:rsidR="00A32BB1" w:rsidRDefault="00A32BB1" w:rsidP="00CA22CD">
      <w:pPr>
        <w:spacing w:before="120" w:after="120"/>
        <w:ind w:left="561"/>
        <w:rPr>
          <w:rFonts w:cs="Times New Roman"/>
          <w:lang w:val="en-IE"/>
        </w:rPr>
      </w:pPr>
      <w:r w:rsidRPr="003C0CD7">
        <w:rPr>
          <w:rFonts w:cs="Times New Roman"/>
          <w:lang w:val="en-IE"/>
        </w:rPr>
        <w:t>The Commission will ensure that the EU appropriate rules and procedures for providing financing to third parties are respected, including review procedures, where appropriate, and compliance of the action with EU restrictive measures.</w:t>
      </w:r>
    </w:p>
    <w:p w14:paraId="1DAC8184" w14:textId="77777777" w:rsidR="008E6AFF" w:rsidRPr="003C0CD7" w:rsidRDefault="008E6AFF" w:rsidP="00CA22CD">
      <w:pPr>
        <w:pStyle w:val="Heading1"/>
        <w:numPr>
          <w:ilvl w:val="2"/>
          <w:numId w:val="1"/>
        </w:numPr>
        <w:tabs>
          <w:tab w:val="left" w:pos="1418"/>
        </w:tabs>
        <w:spacing w:before="240"/>
        <w:ind w:left="1418" w:hanging="709"/>
        <w:rPr>
          <w:lang w:val="en-IE"/>
        </w:rPr>
      </w:pPr>
      <w:bookmarkStart w:id="277" w:name="_Toc47101972"/>
      <w:bookmarkStart w:id="278" w:name="_Toc51270467"/>
      <w:bookmarkStart w:id="279" w:name="_Ref58360228"/>
      <w:bookmarkStart w:id="280" w:name="_Ref58360553"/>
      <w:bookmarkStart w:id="281" w:name="_Ref58360670"/>
      <w:bookmarkStart w:id="282" w:name="_Ref58360706"/>
      <w:bookmarkStart w:id="283" w:name="_Ref58678954"/>
      <w:bookmarkStart w:id="284" w:name="_Ref58875949"/>
      <w:bookmarkStart w:id="285" w:name="_Toc59031684"/>
      <w:bookmarkStart w:id="286" w:name="_Toc73090766"/>
      <w:r w:rsidRPr="003C0CD7">
        <w:rPr>
          <w:lang w:val="en-IE"/>
        </w:rPr>
        <w:t>Direct Management (Grants</w:t>
      </w:r>
      <w:r w:rsidR="00994F13">
        <w:rPr>
          <w:lang w:val="en-IE"/>
        </w:rPr>
        <w:t>)</w:t>
      </w:r>
      <w:bookmarkEnd w:id="277"/>
      <w:bookmarkEnd w:id="278"/>
      <w:bookmarkEnd w:id="279"/>
      <w:bookmarkEnd w:id="280"/>
      <w:bookmarkEnd w:id="281"/>
      <w:bookmarkEnd w:id="282"/>
      <w:bookmarkEnd w:id="283"/>
      <w:bookmarkEnd w:id="284"/>
      <w:bookmarkEnd w:id="285"/>
      <w:bookmarkEnd w:id="286"/>
    </w:p>
    <w:p w14:paraId="672CD22A" w14:textId="2126D983" w:rsidR="00155378" w:rsidRPr="00E8555B" w:rsidRDefault="00155378" w:rsidP="00155378">
      <w:pPr>
        <w:pStyle w:val="Heading1"/>
        <w:numPr>
          <w:ilvl w:val="0"/>
          <w:numId w:val="58"/>
        </w:numPr>
        <w:spacing w:before="240" w:after="240"/>
        <w:rPr>
          <w:i/>
          <w:iCs/>
          <w:lang w:val="en-IE"/>
        </w:rPr>
      </w:pPr>
      <w:bookmarkStart w:id="287" w:name="_Ref399941359"/>
      <w:r w:rsidRPr="00E8555B">
        <w:rPr>
          <w:i/>
          <w:iCs/>
          <w:lang w:val="en-IE"/>
        </w:rPr>
        <w:t xml:space="preserve">Grant-Twinning-Call for proposals “Strengthening the </w:t>
      </w:r>
      <w:r w:rsidR="00CB1063">
        <w:rPr>
          <w:i/>
          <w:iCs/>
          <w:lang w:val="en-IE"/>
        </w:rPr>
        <w:t xml:space="preserve">phytosantiray capacities </w:t>
      </w:r>
      <w:r w:rsidRPr="00E8555B">
        <w:rPr>
          <w:i/>
          <w:iCs/>
          <w:lang w:val="en-IE"/>
        </w:rPr>
        <w:t>of North Macedonia”</w:t>
      </w:r>
      <w:bookmarkEnd w:id="287"/>
    </w:p>
    <w:p w14:paraId="3D877BFC" w14:textId="77777777" w:rsidR="00155378" w:rsidRPr="003C0CD7" w:rsidRDefault="00155378" w:rsidP="00155378">
      <w:pPr>
        <w:ind w:left="1440"/>
        <w:rPr>
          <w:rFonts w:cs="Times New Roman"/>
          <w:b/>
          <w:lang w:val="en-IE"/>
        </w:rPr>
      </w:pPr>
      <w:r w:rsidRPr="003C0CD7">
        <w:rPr>
          <w:rFonts w:cs="Times New Roman"/>
          <w:b/>
          <w:lang w:val="en-IE"/>
        </w:rPr>
        <w:t>(a) Purpose of the grant(s)</w:t>
      </w:r>
    </w:p>
    <w:p w14:paraId="11AC4D83" w14:textId="3263DDA4" w:rsidR="00155378" w:rsidRDefault="00155378" w:rsidP="00155378">
      <w:pPr>
        <w:spacing w:before="120"/>
        <w:ind w:left="1440"/>
        <w:rPr>
          <w:szCs w:val="24"/>
        </w:rPr>
      </w:pPr>
      <w:r w:rsidRPr="00437B08">
        <w:rPr>
          <w:rFonts w:cs="Times New Roman"/>
          <w:lang w:val="en-IE"/>
        </w:rPr>
        <w:t xml:space="preserve">This call for proposals will aim at the implementation of </w:t>
      </w:r>
      <w:r w:rsidR="00CB1063">
        <w:rPr>
          <w:rFonts w:cs="Times New Roman"/>
          <w:i/>
          <w:iCs/>
          <w:lang w:val="en-IE"/>
        </w:rPr>
        <w:t>Output</w:t>
      </w:r>
      <w:r w:rsidRPr="00437B08">
        <w:rPr>
          <w:rFonts w:cs="Times New Roman"/>
          <w:i/>
          <w:iCs/>
          <w:lang w:val="en-IE"/>
        </w:rPr>
        <w:t xml:space="preserve"> 1</w:t>
      </w:r>
      <w:r w:rsidR="00CB1063">
        <w:rPr>
          <w:rFonts w:cs="Times New Roman"/>
          <w:i/>
          <w:iCs/>
          <w:lang w:val="en-IE"/>
        </w:rPr>
        <w:t>(4)a</w:t>
      </w:r>
      <w:r w:rsidRPr="00437B08">
        <w:rPr>
          <w:rFonts w:cs="Times New Roman"/>
          <w:i/>
          <w:iCs/>
          <w:szCs w:val="24"/>
          <w:lang w:val="en-IE"/>
        </w:rPr>
        <w:t>:</w:t>
      </w:r>
      <w:r w:rsidRPr="00437B08">
        <w:rPr>
          <w:i/>
          <w:iCs/>
          <w:szCs w:val="24"/>
        </w:rPr>
        <w:t xml:space="preserve"> </w:t>
      </w:r>
      <w:r w:rsidR="00CB1063">
        <w:rPr>
          <w:i/>
          <w:iCs/>
          <w:szCs w:val="24"/>
        </w:rPr>
        <w:t>Improving the phyto-santiry system</w:t>
      </w:r>
      <w:r w:rsidR="00CB1063">
        <w:rPr>
          <w:rFonts w:eastAsia="Calibri" w:cs="Arial"/>
          <w:bCs/>
          <w:color w:val="000000"/>
        </w:rPr>
        <w:t xml:space="preserve"> - Reform-focused measures</w:t>
      </w:r>
      <w:r>
        <w:rPr>
          <w:szCs w:val="24"/>
        </w:rPr>
        <w:t>.</w:t>
      </w:r>
    </w:p>
    <w:p w14:paraId="1A2661B3" w14:textId="77777777" w:rsidR="00155378" w:rsidRPr="00E8555B" w:rsidRDefault="00155378" w:rsidP="00155378">
      <w:pPr>
        <w:ind w:left="1440"/>
        <w:rPr>
          <w:rFonts w:cs="Times New Roman"/>
          <w:b/>
        </w:rPr>
      </w:pPr>
    </w:p>
    <w:p w14:paraId="4D7ED1F7" w14:textId="77777777" w:rsidR="00155378" w:rsidRPr="003C0CD7" w:rsidRDefault="00155378" w:rsidP="00155378">
      <w:pPr>
        <w:ind w:left="1440"/>
        <w:rPr>
          <w:rFonts w:cs="Times New Roman"/>
          <w:b/>
          <w:lang w:val="en-IE"/>
        </w:rPr>
      </w:pPr>
      <w:r w:rsidRPr="003C0CD7">
        <w:rPr>
          <w:rFonts w:cs="Times New Roman"/>
          <w:b/>
          <w:lang w:val="en-IE"/>
        </w:rPr>
        <w:t>(b) Type of applicants targeted</w:t>
      </w:r>
    </w:p>
    <w:p w14:paraId="7DBFFC67" w14:textId="4562BE88" w:rsidR="00666B2C" w:rsidRDefault="00155378" w:rsidP="00CA22CD">
      <w:pPr>
        <w:spacing w:before="120"/>
        <w:ind w:left="1418"/>
        <w:rPr>
          <w:rFonts w:cs="Times New Roman"/>
          <w:szCs w:val="24"/>
        </w:rPr>
      </w:pPr>
      <w:r w:rsidRPr="00AD76FB">
        <w:rPr>
          <w:color w:val="000000"/>
          <w:szCs w:val="24"/>
          <w:lang w:eastAsia="mk-MK"/>
        </w:rPr>
        <w:t xml:space="preserve">The </w:t>
      </w:r>
      <w:r w:rsidRPr="00AD76FB">
        <w:rPr>
          <w:rFonts w:eastAsia="Arial Unicode MS"/>
          <w:szCs w:val="24"/>
          <w:lang w:eastAsia="de-DE"/>
        </w:rPr>
        <w:t>applicants must be</w:t>
      </w:r>
      <w:r>
        <w:rPr>
          <w:rFonts w:eastAsia="Arial Unicode MS"/>
          <w:szCs w:val="24"/>
          <w:lang w:eastAsia="de-DE"/>
        </w:rPr>
        <w:t xml:space="preserve"> </w:t>
      </w:r>
      <w:r w:rsidRPr="00AD76FB">
        <w:rPr>
          <w:rFonts w:eastAsia="Arial Unicode MS"/>
          <w:szCs w:val="24"/>
          <w:lang w:eastAsia="de-DE"/>
        </w:rPr>
        <w:t>EU Member State administrations or mandated bodies.</w:t>
      </w:r>
      <w:r>
        <w:rPr>
          <w:rFonts w:eastAsia="Arial Unicode MS"/>
          <w:szCs w:val="24"/>
          <w:lang w:eastAsia="de-DE"/>
        </w:rPr>
        <w:t xml:space="preserve"> </w:t>
      </w:r>
      <w:r w:rsidRPr="00AD76FB">
        <w:rPr>
          <w:rFonts w:eastAsia="Arial Unicode MS"/>
          <w:szCs w:val="24"/>
          <w:lang w:eastAsia="de-DE"/>
        </w:rPr>
        <w:t>The essential selection criterion is the operational capacity of the applicant.</w:t>
      </w:r>
      <w:r>
        <w:rPr>
          <w:rFonts w:eastAsia="Arial Unicode MS"/>
          <w:szCs w:val="24"/>
          <w:lang w:eastAsia="de-DE"/>
        </w:rPr>
        <w:t xml:space="preserve"> </w:t>
      </w:r>
      <w:r w:rsidRPr="00AD76FB">
        <w:rPr>
          <w:rFonts w:eastAsia="Arial Unicode MS"/>
          <w:szCs w:val="24"/>
          <w:lang w:eastAsia="de-DE"/>
        </w:rPr>
        <w:t xml:space="preserve">The essential award criteria are </w:t>
      </w:r>
      <w:r>
        <w:rPr>
          <w:rFonts w:eastAsia="Arial Unicode MS"/>
          <w:szCs w:val="24"/>
          <w:lang w:eastAsia="de-DE"/>
        </w:rPr>
        <w:t xml:space="preserve">the </w:t>
      </w:r>
      <w:r w:rsidRPr="00AD76FB">
        <w:rPr>
          <w:rFonts w:eastAsia="Arial Unicode MS"/>
          <w:szCs w:val="24"/>
          <w:lang w:eastAsia="de-DE"/>
        </w:rPr>
        <w:t>technical expertise of the applicant and the relevance, methodology and sustainability of the proposed action.</w:t>
      </w:r>
      <w:r>
        <w:rPr>
          <w:rFonts w:eastAsia="Arial Unicode MS"/>
          <w:szCs w:val="24"/>
          <w:lang w:eastAsia="de-DE"/>
        </w:rPr>
        <w:t xml:space="preserve"> </w:t>
      </w:r>
      <w:r w:rsidRPr="00AD76FB">
        <w:rPr>
          <w:rFonts w:eastAsia="Arial Unicode MS"/>
          <w:szCs w:val="24"/>
          <w:lang w:eastAsia="de-DE"/>
        </w:rPr>
        <w:t xml:space="preserve">The maximum possible rate of EU financing may be up to 100% of the total cost of the action in accordance with Article 192 of </w:t>
      </w:r>
      <w:r>
        <w:rPr>
          <w:rFonts w:eastAsia="Arial Unicode MS"/>
          <w:szCs w:val="24"/>
          <w:lang w:eastAsia="de-DE"/>
        </w:rPr>
        <w:t xml:space="preserve">the </w:t>
      </w:r>
      <w:r w:rsidRPr="00AD76FB">
        <w:rPr>
          <w:rFonts w:eastAsia="Arial Unicode MS"/>
          <w:szCs w:val="24"/>
          <w:lang w:eastAsia="de-DE"/>
        </w:rPr>
        <w:t xml:space="preserve">Financial Regulation if full funding is essential for the action to be carried out. </w:t>
      </w:r>
    </w:p>
    <w:p w14:paraId="587C4700" w14:textId="2842950C" w:rsidR="008E6AFF" w:rsidRPr="003C0CD7" w:rsidRDefault="008E6AFF" w:rsidP="00CA22CD">
      <w:pPr>
        <w:pStyle w:val="Heading1"/>
        <w:numPr>
          <w:ilvl w:val="2"/>
          <w:numId w:val="1"/>
        </w:numPr>
        <w:spacing w:before="240" w:after="0"/>
        <w:ind w:left="1225" w:hanging="505"/>
        <w:rPr>
          <w:lang w:val="en-IE"/>
        </w:rPr>
      </w:pPr>
      <w:bookmarkStart w:id="288" w:name="_Toc47101974"/>
      <w:bookmarkStart w:id="289" w:name="_Toc51270469"/>
      <w:bookmarkStart w:id="290" w:name="_Ref58360241"/>
      <w:bookmarkStart w:id="291" w:name="_Ref58360566"/>
      <w:bookmarkStart w:id="292" w:name="_Ref58360631"/>
      <w:bookmarkStart w:id="293" w:name="_Ref58360683"/>
      <w:bookmarkStart w:id="294" w:name="_Ref58678977"/>
      <w:bookmarkStart w:id="295" w:name="_Toc59031686"/>
      <w:bookmarkStart w:id="296" w:name="_Toc73090768"/>
      <w:r w:rsidRPr="003C0CD7">
        <w:rPr>
          <w:lang w:val="en-IE"/>
        </w:rPr>
        <w:t>Direct Management (Procurement)</w:t>
      </w:r>
      <w:bookmarkEnd w:id="288"/>
      <w:bookmarkEnd w:id="289"/>
      <w:bookmarkEnd w:id="290"/>
      <w:bookmarkEnd w:id="291"/>
      <w:bookmarkEnd w:id="292"/>
      <w:bookmarkEnd w:id="293"/>
      <w:bookmarkEnd w:id="294"/>
      <w:bookmarkEnd w:id="295"/>
      <w:bookmarkEnd w:id="296"/>
    </w:p>
    <w:p w14:paraId="0770730A" w14:textId="77777777" w:rsidR="00735DE4" w:rsidRPr="00034922" w:rsidRDefault="00735DE4" w:rsidP="00CA22CD">
      <w:pPr>
        <w:spacing w:before="120"/>
        <w:ind w:left="1225"/>
        <w:rPr>
          <w:rFonts w:cs="Calibri"/>
        </w:rPr>
      </w:pPr>
      <w:r w:rsidRPr="00034922">
        <w:rPr>
          <w:rFonts w:cs="Calibri"/>
        </w:rPr>
        <w:t>Procurement procedures will be used for:</w:t>
      </w:r>
    </w:p>
    <w:p w14:paraId="7FFA098A" w14:textId="4176A5F2" w:rsidR="00735DE4" w:rsidRPr="004C5CF8" w:rsidRDefault="002601E1" w:rsidP="00CA22CD">
      <w:pPr>
        <w:spacing w:before="120"/>
        <w:ind w:left="1225"/>
        <w:rPr>
          <w:rFonts w:cs="Calibri"/>
          <w:szCs w:val="24"/>
        </w:rPr>
      </w:pPr>
      <w:r w:rsidRPr="00CA22CD">
        <w:rPr>
          <w:rFonts w:cs="Calibri"/>
          <w:bCs/>
          <w:szCs w:val="24"/>
        </w:rPr>
        <w:t>Output 1</w:t>
      </w:r>
      <w:r w:rsidR="00735DE4" w:rsidRPr="00CA22CD">
        <w:rPr>
          <w:rFonts w:cs="Calibri"/>
          <w:bCs/>
          <w:szCs w:val="24"/>
        </w:rPr>
        <w:t xml:space="preserve">: </w:t>
      </w:r>
      <w:r w:rsidRPr="00CA22CD">
        <w:rPr>
          <w:rFonts w:cs="Times New Roman"/>
          <w:bCs/>
          <w:i/>
          <w:szCs w:val="24"/>
        </w:rPr>
        <w:t>Improved</w:t>
      </w:r>
      <w:r w:rsidRPr="00CA22CD">
        <w:rPr>
          <w:rFonts w:cs="Times New Roman"/>
          <w:i/>
          <w:szCs w:val="24"/>
        </w:rPr>
        <w:t xml:space="preserve"> legal, administrative and operational framework for private sector development</w:t>
      </w:r>
      <w:r w:rsidRPr="004C5CF8" w:rsidDel="002601E1">
        <w:rPr>
          <w:rFonts w:cs="Calibri"/>
          <w:szCs w:val="24"/>
        </w:rPr>
        <w:t xml:space="preserve"> </w:t>
      </w:r>
    </w:p>
    <w:p w14:paraId="44EA9175" w14:textId="22B9C9AA" w:rsidR="009F1578" w:rsidRPr="004C5CF8" w:rsidRDefault="002601E1" w:rsidP="00CA22CD">
      <w:pPr>
        <w:spacing w:before="120"/>
        <w:ind w:left="1225"/>
        <w:rPr>
          <w:rFonts w:cs="Times New Roman"/>
          <w:szCs w:val="24"/>
          <w:highlight w:val="yellow"/>
          <w:lang w:val="en-IE"/>
        </w:rPr>
      </w:pPr>
      <w:r w:rsidRPr="00CA22CD">
        <w:rPr>
          <w:rFonts w:cs="Calibri"/>
          <w:bCs/>
          <w:szCs w:val="24"/>
        </w:rPr>
        <w:t>Output 2</w:t>
      </w:r>
      <w:r w:rsidR="00735DE4" w:rsidRPr="00CA22CD">
        <w:rPr>
          <w:rFonts w:cs="Calibri"/>
          <w:bCs/>
          <w:szCs w:val="24"/>
        </w:rPr>
        <w:t>:</w:t>
      </w:r>
      <w:r w:rsidR="00735DE4" w:rsidRPr="004C5CF8">
        <w:rPr>
          <w:rFonts w:cs="Calibri"/>
          <w:szCs w:val="24"/>
        </w:rPr>
        <w:t xml:space="preserve"> </w:t>
      </w:r>
      <w:r w:rsidRPr="00CA22CD">
        <w:rPr>
          <w:i/>
          <w:szCs w:val="24"/>
        </w:rPr>
        <w:t>Strengthened capacities for effective and efficient management of agriculture and fisheries</w:t>
      </w:r>
      <w:r w:rsidR="007471DF">
        <w:rPr>
          <w:i/>
          <w:szCs w:val="24"/>
        </w:rPr>
        <w:t>, Activities (1),(2), (3), (4b) and (5).</w:t>
      </w:r>
    </w:p>
    <w:p w14:paraId="4B43CBD8" w14:textId="11DA473B" w:rsidR="008E6AFF" w:rsidRPr="003C0CD7" w:rsidRDefault="008E6AFF" w:rsidP="00CA22CD">
      <w:pPr>
        <w:pStyle w:val="Heading1"/>
        <w:numPr>
          <w:ilvl w:val="1"/>
          <w:numId w:val="1"/>
        </w:numPr>
        <w:spacing w:before="240" w:after="240"/>
        <w:ind w:left="992" w:hanging="431"/>
        <w:rPr>
          <w:lang w:val="en-IE"/>
        </w:rPr>
      </w:pPr>
      <w:bookmarkStart w:id="297" w:name="_Toc47101979"/>
      <w:bookmarkStart w:id="298" w:name="_Toc51270474"/>
      <w:bookmarkStart w:id="299" w:name="_Ref58440353"/>
      <w:bookmarkStart w:id="300" w:name="_Toc73090774"/>
      <w:r w:rsidRPr="003C0CD7">
        <w:rPr>
          <w:lang w:val="en-IE"/>
        </w:rPr>
        <w:lastRenderedPageBreak/>
        <w:t>Scope of geographical eligibility for procurement and grants</w:t>
      </w:r>
      <w:bookmarkEnd w:id="297"/>
      <w:bookmarkEnd w:id="298"/>
      <w:bookmarkEnd w:id="299"/>
      <w:bookmarkEnd w:id="300"/>
    </w:p>
    <w:p w14:paraId="02EFF3A4" w14:textId="77777777" w:rsidR="00E360A2" w:rsidRPr="003C0CD7" w:rsidRDefault="00E360A2" w:rsidP="00CA22CD">
      <w:pPr>
        <w:pStyle w:val="Text2"/>
        <w:spacing w:after="0"/>
        <w:ind w:left="720"/>
        <w:rPr>
          <w:lang w:val="en-IE"/>
        </w:rPr>
      </w:pPr>
      <w:r w:rsidRPr="003C0CD7">
        <w:rPr>
          <w:lang w:val="en-IE"/>
        </w:rPr>
        <w:t>The geographical eligibility in terms of place of establishment for participating in procurement and grant award procedures and in terms of origin of supplies purchased as established in the basic act and set out in the relevant contractual documents shall apply, subject to the following provisions.</w:t>
      </w:r>
    </w:p>
    <w:p w14:paraId="4A6289B5" w14:textId="77777777" w:rsidR="00622FAE" w:rsidRPr="003C0CD7" w:rsidRDefault="00622FAE" w:rsidP="00CA22CD">
      <w:pPr>
        <w:pStyle w:val="Text2"/>
        <w:spacing w:after="0"/>
        <w:ind w:left="720"/>
        <w:rPr>
          <w:szCs w:val="22"/>
          <w:lang w:val="en-IE" w:eastAsia="en-GB"/>
        </w:rPr>
      </w:pPr>
      <w:r w:rsidRPr="003C0CD7">
        <w:rPr>
          <w:szCs w:val="22"/>
          <w:lang w:val="en-IE"/>
        </w:rPr>
        <w:t xml:space="preserve">The Commission’s authorising officer responsible may extend the geographical eligibility </w:t>
      </w:r>
      <w:r w:rsidRPr="003C0CD7">
        <w:rPr>
          <w:szCs w:val="22"/>
          <w:lang w:val="en-IE" w:eastAsia="en-GB"/>
        </w:rPr>
        <w:t>on the basis of urgency or of unavailability of services in the markets of the countries or territories concerned, or in other duly substantiated cases where application of the eligibility rules would make the realisation of this action impossible or exceedingly difficult (Article 28(10) NDICI-Global Europe</w:t>
      </w:r>
      <w:r w:rsidRPr="003C0CD7">
        <w:rPr>
          <w:szCs w:val="22"/>
          <w:lang w:val="en-IE"/>
        </w:rPr>
        <w:t xml:space="preserve"> Regulation</w:t>
      </w:r>
      <w:r w:rsidRPr="003C0CD7">
        <w:rPr>
          <w:szCs w:val="22"/>
          <w:lang w:val="en-IE" w:eastAsia="en-GB"/>
        </w:rPr>
        <w:t>).</w:t>
      </w:r>
    </w:p>
    <w:p w14:paraId="4AC73E69" w14:textId="77777777" w:rsidR="008E6AFF" w:rsidRPr="003C0CD7" w:rsidRDefault="008E6AFF" w:rsidP="00CA22CD">
      <w:pPr>
        <w:pStyle w:val="Heading1"/>
        <w:numPr>
          <w:ilvl w:val="1"/>
          <w:numId w:val="1"/>
        </w:numPr>
        <w:tabs>
          <w:tab w:val="left" w:pos="851"/>
        </w:tabs>
        <w:spacing w:before="240" w:after="240"/>
        <w:ind w:left="568" w:hanging="284"/>
        <w:rPr>
          <w:lang w:val="en-IE"/>
        </w:rPr>
      </w:pPr>
      <w:bookmarkStart w:id="301" w:name="_Toc47101980"/>
      <w:bookmarkStart w:id="302" w:name="_Toc51270475"/>
      <w:bookmarkStart w:id="303" w:name="_Ref58357938"/>
      <w:bookmarkStart w:id="304" w:name="_Ref58358953"/>
      <w:bookmarkStart w:id="305" w:name="_Ref58359519"/>
      <w:bookmarkStart w:id="306" w:name="_Ref58360787"/>
      <w:bookmarkStart w:id="307" w:name="_Ref58360817"/>
      <w:bookmarkStart w:id="308" w:name="_Toc59031692"/>
      <w:bookmarkStart w:id="309" w:name="_Toc73090775"/>
      <w:r w:rsidRPr="003C0CD7">
        <w:rPr>
          <w:lang w:val="en-IE"/>
        </w:rPr>
        <w:t>Indicative Budget</w:t>
      </w:r>
      <w:bookmarkEnd w:id="301"/>
      <w:bookmarkEnd w:id="302"/>
      <w:bookmarkEnd w:id="303"/>
      <w:bookmarkEnd w:id="304"/>
      <w:bookmarkEnd w:id="305"/>
      <w:bookmarkEnd w:id="306"/>
      <w:bookmarkEnd w:id="307"/>
      <w:bookmarkEnd w:id="308"/>
      <w:bookmarkEnd w:id="309"/>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2268"/>
        <w:gridCol w:w="1842"/>
      </w:tblGrid>
      <w:tr w:rsidR="00C25EBB" w:rsidRPr="008704EA" w14:paraId="0579AEF9" w14:textId="77777777" w:rsidTr="00CA22CD">
        <w:tc>
          <w:tcPr>
            <w:tcW w:w="6096" w:type="dxa"/>
            <w:shd w:val="clear" w:color="auto" w:fill="auto"/>
          </w:tcPr>
          <w:p w14:paraId="0015D57F" w14:textId="77777777" w:rsidR="00C25EBB" w:rsidRPr="003C0CD7" w:rsidRDefault="00C25EBB" w:rsidP="00EA2398">
            <w:pPr>
              <w:pStyle w:val="Text2"/>
              <w:spacing w:before="60" w:after="60"/>
              <w:ind w:left="0"/>
              <w:jc w:val="center"/>
              <w:rPr>
                <w:b/>
                <w:bCs/>
                <w:lang w:val="en-IE"/>
              </w:rPr>
            </w:pPr>
            <w:r w:rsidRPr="003C0CD7">
              <w:rPr>
                <w:b/>
                <w:bCs/>
                <w:lang w:val="en-IE"/>
              </w:rPr>
              <w:t>Indicative Budget components</w:t>
            </w:r>
          </w:p>
        </w:tc>
        <w:tc>
          <w:tcPr>
            <w:tcW w:w="2268" w:type="dxa"/>
            <w:shd w:val="clear" w:color="auto" w:fill="auto"/>
          </w:tcPr>
          <w:p w14:paraId="60AC2620" w14:textId="77777777" w:rsidR="00C25EBB" w:rsidRPr="003C0CD7" w:rsidRDefault="00C25EBB" w:rsidP="00EA2398">
            <w:pPr>
              <w:pStyle w:val="Text2"/>
              <w:spacing w:before="60" w:after="60"/>
              <w:ind w:left="0"/>
              <w:jc w:val="center"/>
              <w:rPr>
                <w:b/>
                <w:lang w:val="en-IE"/>
              </w:rPr>
            </w:pPr>
            <w:r w:rsidRPr="003C0CD7">
              <w:rPr>
                <w:b/>
                <w:lang w:val="en-IE"/>
              </w:rPr>
              <w:t>EU contribution</w:t>
            </w:r>
          </w:p>
          <w:p w14:paraId="473F9449" w14:textId="77777777" w:rsidR="00C25EBB" w:rsidRPr="003C0CD7" w:rsidRDefault="00C25EBB" w:rsidP="00EA2398">
            <w:pPr>
              <w:pStyle w:val="Text2"/>
              <w:spacing w:before="60" w:after="60"/>
              <w:ind w:left="0"/>
              <w:jc w:val="center"/>
              <w:rPr>
                <w:b/>
                <w:lang w:val="en-IE"/>
              </w:rPr>
            </w:pPr>
            <w:r w:rsidRPr="003C0CD7">
              <w:rPr>
                <w:b/>
                <w:lang w:val="en-IE"/>
              </w:rPr>
              <w:t>(amount in EUR)</w:t>
            </w:r>
          </w:p>
          <w:p w14:paraId="546AD43E" w14:textId="68DA3680" w:rsidR="00C25EBB" w:rsidRPr="003C0CD7" w:rsidRDefault="00C25EBB" w:rsidP="00EA2398">
            <w:pPr>
              <w:pStyle w:val="Text2"/>
              <w:spacing w:before="60" w:after="60"/>
              <w:ind w:left="0"/>
              <w:jc w:val="center"/>
              <w:rPr>
                <w:b/>
                <w:lang w:val="en-IE"/>
              </w:rPr>
            </w:pPr>
            <w:r w:rsidRPr="003C0CD7">
              <w:rPr>
                <w:b/>
                <w:lang w:val="en-IE"/>
              </w:rPr>
              <w:t xml:space="preserve"> </w:t>
            </w:r>
          </w:p>
        </w:tc>
        <w:tc>
          <w:tcPr>
            <w:tcW w:w="1842" w:type="dxa"/>
            <w:shd w:val="clear" w:color="auto" w:fill="auto"/>
          </w:tcPr>
          <w:p w14:paraId="1129A3B2" w14:textId="58D39092" w:rsidR="00C25EBB" w:rsidRPr="00AA2EC5" w:rsidRDefault="00C25EBB" w:rsidP="00EA2398">
            <w:pPr>
              <w:pStyle w:val="Text2"/>
              <w:spacing w:before="60" w:after="60"/>
              <w:ind w:left="0"/>
              <w:jc w:val="center"/>
              <w:rPr>
                <w:b/>
                <w:bCs/>
                <w:lang w:val="en-IE"/>
              </w:rPr>
            </w:pPr>
            <w:r w:rsidRPr="00CA22CD">
              <w:rPr>
                <w:b/>
                <w:bCs/>
                <w:lang w:val="en-IE"/>
              </w:rPr>
              <w:t>Indicative third-party contribution, in currency identified</w:t>
            </w:r>
          </w:p>
        </w:tc>
      </w:tr>
      <w:tr w:rsidR="00C25EBB" w:rsidRPr="008704EA" w14:paraId="66067CE7" w14:textId="77777777" w:rsidTr="00CA22CD">
        <w:tc>
          <w:tcPr>
            <w:tcW w:w="6096" w:type="dxa"/>
            <w:shd w:val="clear" w:color="auto" w:fill="auto"/>
          </w:tcPr>
          <w:p w14:paraId="076A6D96" w14:textId="77777777" w:rsidR="00C25EBB" w:rsidRPr="003C0CD7" w:rsidRDefault="00BB4ECD" w:rsidP="00EA2398">
            <w:pPr>
              <w:pStyle w:val="Text2"/>
              <w:spacing w:before="60" w:after="60"/>
              <w:ind w:left="0"/>
              <w:rPr>
                <w:b/>
                <w:highlight w:val="lightGray"/>
                <w:lang w:val="en-IE"/>
              </w:rPr>
            </w:pPr>
            <w:r w:rsidRPr="00AA2EC5">
              <w:rPr>
                <w:b/>
                <w:lang w:val="en-IE"/>
              </w:rPr>
              <w:t xml:space="preserve">Methods of implementation </w:t>
            </w:r>
            <w:r w:rsidR="00C25EBB" w:rsidRPr="00AA2EC5">
              <w:rPr>
                <w:b/>
                <w:lang w:val="en-IE"/>
              </w:rPr>
              <w:t xml:space="preserve">– </w:t>
            </w:r>
            <w:r w:rsidR="00C25EBB" w:rsidRPr="00AA2EC5">
              <w:rPr>
                <w:lang w:val="en-IE"/>
              </w:rPr>
              <w:t>cf</w:t>
            </w:r>
            <w:r w:rsidR="006E658E" w:rsidRPr="00AA2EC5">
              <w:rPr>
                <w:lang w:val="en-IE"/>
              </w:rPr>
              <w:t>.</w:t>
            </w:r>
            <w:r w:rsidR="00C25EBB" w:rsidRPr="00AA2EC5">
              <w:rPr>
                <w:lang w:val="en-IE"/>
              </w:rPr>
              <w:t xml:space="preserve"> section 4.4</w:t>
            </w:r>
          </w:p>
        </w:tc>
        <w:tc>
          <w:tcPr>
            <w:tcW w:w="4110" w:type="dxa"/>
            <w:gridSpan w:val="2"/>
            <w:shd w:val="clear" w:color="auto" w:fill="auto"/>
          </w:tcPr>
          <w:p w14:paraId="18FABBE2" w14:textId="77777777" w:rsidR="00C25EBB" w:rsidRPr="003C0CD7" w:rsidRDefault="00C25EBB" w:rsidP="00EA2398">
            <w:pPr>
              <w:pStyle w:val="Text2"/>
              <w:spacing w:before="60" w:after="60"/>
              <w:ind w:left="0"/>
              <w:jc w:val="center"/>
              <w:rPr>
                <w:highlight w:val="yellow"/>
                <w:lang w:val="en-IE"/>
              </w:rPr>
            </w:pPr>
          </w:p>
        </w:tc>
      </w:tr>
      <w:tr w:rsidR="00C25EBB" w:rsidRPr="008704EA" w14:paraId="01159A86" w14:textId="77777777" w:rsidTr="00CA22CD">
        <w:tc>
          <w:tcPr>
            <w:tcW w:w="6096" w:type="dxa"/>
            <w:shd w:val="clear" w:color="auto" w:fill="auto"/>
          </w:tcPr>
          <w:p w14:paraId="5E47DF33" w14:textId="2A030593" w:rsidR="00430D76" w:rsidRPr="00CA22CD" w:rsidRDefault="00430D76" w:rsidP="00EA2398">
            <w:pPr>
              <w:pStyle w:val="Text2"/>
              <w:spacing w:before="60" w:after="60"/>
              <w:ind w:left="0"/>
              <w:rPr>
                <w:rFonts w:eastAsia="Calibri" w:cs="Arial"/>
                <w:b/>
              </w:rPr>
            </w:pPr>
            <w:r w:rsidRPr="004C5CF8">
              <w:rPr>
                <w:b/>
                <w:lang w:val="en-IE"/>
              </w:rPr>
              <w:t xml:space="preserve">Output </w:t>
            </w:r>
            <w:r w:rsidR="00240180" w:rsidRPr="00761107">
              <w:rPr>
                <w:b/>
                <w:lang w:val="en-IE"/>
              </w:rPr>
              <w:t>1</w:t>
            </w:r>
            <w:r>
              <w:rPr>
                <w:b/>
                <w:lang w:val="en-IE"/>
              </w:rPr>
              <w:t xml:space="preserve">: </w:t>
            </w:r>
            <w:r w:rsidR="004C5CF8" w:rsidRPr="00CA22CD">
              <w:rPr>
                <w:b/>
                <w:bCs/>
              </w:rPr>
              <w:t>Improved</w:t>
            </w:r>
            <w:r w:rsidR="004C5CF8" w:rsidRPr="00CA22CD">
              <w:rPr>
                <w:b/>
              </w:rPr>
              <w:t xml:space="preserve"> legal, administrative and operational framework for private sector development</w:t>
            </w:r>
          </w:p>
          <w:p w14:paraId="21F2A5C7" w14:textId="6B4C0425" w:rsidR="00C25EBB" w:rsidRPr="00240180" w:rsidRDefault="00C25EBB" w:rsidP="00EA2398">
            <w:pPr>
              <w:pStyle w:val="Text2"/>
              <w:spacing w:before="60" w:after="60"/>
              <w:ind w:left="0"/>
              <w:rPr>
                <w:highlight w:val="lightGray"/>
                <w:lang w:val="en-IE"/>
              </w:rPr>
            </w:pPr>
            <w:r w:rsidRPr="00240180">
              <w:rPr>
                <w:lang w:val="en-IE"/>
              </w:rPr>
              <w:t>composed of</w:t>
            </w:r>
          </w:p>
        </w:tc>
        <w:tc>
          <w:tcPr>
            <w:tcW w:w="2268" w:type="dxa"/>
            <w:shd w:val="clear" w:color="auto" w:fill="auto"/>
          </w:tcPr>
          <w:p w14:paraId="74CE806E" w14:textId="3D88820E" w:rsidR="00C25EBB" w:rsidRPr="00CA22CD" w:rsidRDefault="004C5CF8">
            <w:pPr>
              <w:pStyle w:val="Text2"/>
              <w:spacing w:before="60" w:after="60"/>
              <w:ind w:left="0"/>
              <w:jc w:val="center"/>
              <w:rPr>
                <w:b/>
                <w:bCs/>
                <w:lang w:val="en-IE"/>
              </w:rPr>
            </w:pPr>
            <w:r>
              <w:rPr>
                <w:b/>
                <w:bCs/>
                <w:lang w:val="en-IE"/>
              </w:rPr>
              <w:t>7</w:t>
            </w:r>
            <w:r w:rsidR="009B1EE5" w:rsidRPr="00CA22CD">
              <w:rPr>
                <w:b/>
                <w:bCs/>
                <w:lang w:val="en-IE"/>
              </w:rPr>
              <w:t>,</w:t>
            </w:r>
            <w:r w:rsidR="00DE1602">
              <w:rPr>
                <w:b/>
                <w:bCs/>
                <w:lang w:val="en-IE"/>
              </w:rPr>
              <w:t>5</w:t>
            </w:r>
            <w:r w:rsidRPr="00CA22CD">
              <w:rPr>
                <w:b/>
                <w:bCs/>
                <w:lang w:val="en-IE"/>
              </w:rPr>
              <w:t>00</w:t>
            </w:r>
            <w:r w:rsidR="009B1EE5" w:rsidRPr="00CA22CD">
              <w:rPr>
                <w:b/>
                <w:bCs/>
                <w:lang w:val="en-IE"/>
              </w:rPr>
              <w:t>,</w:t>
            </w:r>
            <w:r w:rsidR="00240180" w:rsidRPr="00CA22CD">
              <w:rPr>
                <w:b/>
                <w:bCs/>
                <w:lang w:val="en-IE"/>
              </w:rPr>
              <w:t>000</w:t>
            </w:r>
          </w:p>
        </w:tc>
        <w:tc>
          <w:tcPr>
            <w:tcW w:w="1842" w:type="dxa"/>
          </w:tcPr>
          <w:p w14:paraId="3122048E" w14:textId="715B3F45" w:rsidR="00C25EBB" w:rsidRPr="00CA22CD" w:rsidRDefault="00B269C5" w:rsidP="00EA2398">
            <w:pPr>
              <w:pStyle w:val="Text2"/>
              <w:spacing w:before="60" w:after="60"/>
              <w:ind w:left="0"/>
              <w:jc w:val="center"/>
              <w:rPr>
                <w:b/>
                <w:highlight w:val="yellow"/>
                <w:lang w:val="en-IE"/>
              </w:rPr>
            </w:pPr>
            <w:r w:rsidRPr="00CA22CD">
              <w:rPr>
                <w:b/>
                <w:lang w:val="en-IE"/>
              </w:rPr>
              <w:t>265,000</w:t>
            </w:r>
          </w:p>
        </w:tc>
      </w:tr>
      <w:tr w:rsidR="00191A30" w:rsidRPr="008704EA" w14:paraId="12A498EE" w14:textId="77777777" w:rsidTr="00CA22CD">
        <w:tc>
          <w:tcPr>
            <w:tcW w:w="6096" w:type="dxa"/>
            <w:shd w:val="clear" w:color="auto" w:fill="auto"/>
          </w:tcPr>
          <w:p w14:paraId="071F7907" w14:textId="70476C78" w:rsidR="00191A30" w:rsidRPr="003C0CD7" w:rsidRDefault="00191A30" w:rsidP="00EA2398">
            <w:pPr>
              <w:pStyle w:val="Text2"/>
              <w:spacing w:before="60" w:after="60"/>
              <w:ind w:left="0"/>
              <w:rPr>
                <w:lang w:val="en-IE"/>
              </w:rPr>
            </w:pPr>
            <w:r w:rsidRPr="003C0CD7">
              <w:rPr>
                <w:lang w:val="en-IE"/>
              </w:rPr>
              <w:t xml:space="preserve">Grants (direct management) – cf. section </w:t>
            </w:r>
            <w:r w:rsidRPr="003C0CD7">
              <w:rPr>
                <w:lang w:val="en-IE"/>
              </w:rPr>
              <w:fldChar w:fldCharType="begin"/>
            </w:r>
            <w:r w:rsidRPr="003C0CD7">
              <w:rPr>
                <w:lang w:val="en-IE"/>
              </w:rPr>
              <w:instrText xml:space="preserve"> REF _Ref58360553 \r \h  \* MERGEFORMAT </w:instrText>
            </w:r>
            <w:r w:rsidRPr="003C0CD7">
              <w:rPr>
                <w:lang w:val="en-IE"/>
              </w:rPr>
            </w:r>
            <w:r w:rsidRPr="003C0CD7">
              <w:rPr>
                <w:lang w:val="en-IE"/>
              </w:rPr>
              <w:fldChar w:fldCharType="separate"/>
            </w:r>
            <w:r w:rsidRPr="003C0CD7">
              <w:rPr>
                <w:lang w:val="en-IE"/>
              </w:rPr>
              <w:t>4.4.1</w:t>
            </w:r>
            <w:r w:rsidRPr="003C0CD7">
              <w:rPr>
                <w:lang w:val="en-IE"/>
              </w:rPr>
              <w:fldChar w:fldCharType="end"/>
            </w:r>
          </w:p>
        </w:tc>
        <w:tc>
          <w:tcPr>
            <w:tcW w:w="2268" w:type="dxa"/>
            <w:shd w:val="clear" w:color="auto" w:fill="auto"/>
          </w:tcPr>
          <w:p w14:paraId="0035446B" w14:textId="77777777" w:rsidR="00191A30" w:rsidRPr="00CA22CD" w:rsidRDefault="00191A30" w:rsidP="00EA2398">
            <w:pPr>
              <w:pStyle w:val="Text2"/>
              <w:spacing w:before="60" w:after="60"/>
              <w:ind w:left="0"/>
              <w:jc w:val="center"/>
              <w:rPr>
                <w:lang w:val="en-IE"/>
              </w:rPr>
            </w:pPr>
            <w:r w:rsidRPr="00CA22CD">
              <w:rPr>
                <w:lang w:val="en-IE"/>
              </w:rPr>
              <w:t>N.A.</w:t>
            </w:r>
          </w:p>
        </w:tc>
        <w:tc>
          <w:tcPr>
            <w:tcW w:w="1842" w:type="dxa"/>
            <w:shd w:val="clear" w:color="auto" w:fill="auto"/>
          </w:tcPr>
          <w:p w14:paraId="5D72A804" w14:textId="79C7C749" w:rsidR="00191A30" w:rsidRPr="003C0CD7" w:rsidRDefault="00191A30" w:rsidP="00EA2398">
            <w:pPr>
              <w:pStyle w:val="Text2"/>
              <w:spacing w:before="60" w:after="60"/>
              <w:ind w:left="0"/>
              <w:jc w:val="center"/>
              <w:rPr>
                <w:lang w:val="en-IE"/>
              </w:rPr>
            </w:pPr>
          </w:p>
        </w:tc>
      </w:tr>
      <w:tr w:rsidR="00191A30" w:rsidRPr="008704EA" w14:paraId="1C3B0678" w14:textId="77777777" w:rsidTr="00CA22CD">
        <w:tc>
          <w:tcPr>
            <w:tcW w:w="6096" w:type="dxa"/>
            <w:shd w:val="clear" w:color="auto" w:fill="auto"/>
          </w:tcPr>
          <w:p w14:paraId="4F8B9ACE" w14:textId="77777777" w:rsidR="00191A30" w:rsidRPr="000A639B" w:rsidRDefault="00191A30" w:rsidP="00EA2398">
            <w:pPr>
              <w:pStyle w:val="Text2"/>
              <w:spacing w:before="60" w:after="60"/>
              <w:ind w:left="0"/>
              <w:rPr>
                <w:lang w:val="fr-BE"/>
              </w:rPr>
            </w:pPr>
            <w:r w:rsidRPr="000A639B">
              <w:rPr>
                <w:lang w:val="fr-BE"/>
              </w:rPr>
              <w:t>Procurement (direct management)</w:t>
            </w:r>
            <w:r w:rsidRPr="000A639B">
              <w:rPr>
                <w:lang w:val="fr-BE" w:eastAsia="en-GB"/>
              </w:rPr>
              <w:t xml:space="preserve"> </w:t>
            </w:r>
            <w:r w:rsidRPr="000A639B">
              <w:rPr>
                <w:lang w:val="fr-BE"/>
              </w:rPr>
              <w:t xml:space="preserve">– cf. section </w:t>
            </w:r>
            <w:r w:rsidRPr="00240180">
              <w:fldChar w:fldCharType="begin"/>
            </w:r>
            <w:r w:rsidRPr="000A639B">
              <w:rPr>
                <w:lang w:val="fr-BE"/>
              </w:rPr>
              <w:instrText xml:space="preserve"> REF _Ref58360566 \r \h  \* MERGEFORMAT </w:instrText>
            </w:r>
            <w:r w:rsidRPr="00240180">
              <w:fldChar w:fldCharType="separate"/>
            </w:r>
            <w:r w:rsidRPr="000A639B">
              <w:rPr>
                <w:lang w:val="fr-BE"/>
              </w:rPr>
              <w:t>4.4.3</w:t>
            </w:r>
            <w:r w:rsidRPr="00240180">
              <w:fldChar w:fldCharType="end"/>
            </w:r>
          </w:p>
        </w:tc>
        <w:tc>
          <w:tcPr>
            <w:tcW w:w="2268" w:type="dxa"/>
            <w:shd w:val="clear" w:color="auto" w:fill="auto"/>
          </w:tcPr>
          <w:p w14:paraId="4456D1F0" w14:textId="2457DD69" w:rsidR="00191A30" w:rsidRPr="00CA22CD" w:rsidRDefault="004C5CF8">
            <w:pPr>
              <w:pStyle w:val="Text2"/>
              <w:spacing w:before="60" w:after="60"/>
              <w:ind w:left="0"/>
              <w:jc w:val="center"/>
              <w:rPr>
                <w:lang w:val="en-IE"/>
              </w:rPr>
            </w:pPr>
            <w:r>
              <w:rPr>
                <w:lang w:val="en-IE"/>
              </w:rPr>
              <w:t>7</w:t>
            </w:r>
            <w:r w:rsidR="009B1EE5" w:rsidRPr="00CA22CD">
              <w:rPr>
                <w:lang w:val="en-IE"/>
              </w:rPr>
              <w:t>,</w:t>
            </w:r>
            <w:r w:rsidR="00DE1602">
              <w:rPr>
                <w:lang w:val="en-IE"/>
              </w:rPr>
              <w:t>5</w:t>
            </w:r>
            <w:r w:rsidRPr="00CA22CD">
              <w:rPr>
                <w:lang w:val="en-IE"/>
              </w:rPr>
              <w:t>00</w:t>
            </w:r>
            <w:r w:rsidR="009B1EE5" w:rsidRPr="00CA22CD">
              <w:rPr>
                <w:lang w:val="en-IE"/>
              </w:rPr>
              <w:t>,</w:t>
            </w:r>
            <w:r w:rsidR="00191A30" w:rsidRPr="00CA22CD">
              <w:rPr>
                <w:lang w:val="en-IE"/>
              </w:rPr>
              <w:t>000</w:t>
            </w:r>
          </w:p>
        </w:tc>
        <w:tc>
          <w:tcPr>
            <w:tcW w:w="1842" w:type="dxa"/>
            <w:shd w:val="clear" w:color="auto" w:fill="auto"/>
          </w:tcPr>
          <w:p w14:paraId="66105934" w14:textId="663C7572" w:rsidR="00191A30" w:rsidRPr="00CA22CD" w:rsidRDefault="007471DF" w:rsidP="00EA2398">
            <w:pPr>
              <w:pStyle w:val="Text2"/>
              <w:spacing w:before="60" w:after="60"/>
              <w:ind w:left="0"/>
              <w:jc w:val="center"/>
              <w:rPr>
                <w:lang w:val="en-IE"/>
              </w:rPr>
            </w:pPr>
            <w:r w:rsidRPr="00CA22CD">
              <w:rPr>
                <w:lang w:val="en-IE"/>
              </w:rPr>
              <w:t>265,000</w:t>
            </w:r>
          </w:p>
        </w:tc>
      </w:tr>
      <w:tr w:rsidR="00C25EBB" w:rsidRPr="008704EA" w14:paraId="6AA37218" w14:textId="77777777" w:rsidTr="00CA22CD">
        <w:tc>
          <w:tcPr>
            <w:tcW w:w="6096" w:type="dxa"/>
            <w:shd w:val="clear" w:color="auto" w:fill="auto"/>
          </w:tcPr>
          <w:p w14:paraId="57DF8308" w14:textId="7AF64371" w:rsidR="004C5CF8" w:rsidRPr="00CA22CD" w:rsidRDefault="004C5CF8" w:rsidP="00EA2398">
            <w:pPr>
              <w:pStyle w:val="Text2"/>
              <w:spacing w:before="60" w:after="60"/>
              <w:ind w:left="0"/>
              <w:rPr>
                <w:b/>
                <w:lang w:val="en-IE"/>
              </w:rPr>
            </w:pPr>
            <w:r w:rsidRPr="00603C3E">
              <w:rPr>
                <w:b/>
                <w:lang w:val="en-IE"/>
              </w:rPr>
              <w:t xml:space="preserve">Output </w:t>
            </w:r>
            <w:r>
              <w:rPr>
                <w:b/>
                <w:lang w:val="en-IE"/>
              </w:rPr>
              <w:t xml:space="preserve">2: </w:t>
            </w:r>
            <w:r w:rsidRPr="00CA22CD">
              <w:rPr>
                <w:b/>
              </w:rPr>
              <w:t>Strengthened capacities for effective and efficient management of agriculture and fisheries</w:t>
            </w:r>
            <w:r w:rsidRPr="004C5CF8" w:rsidDel="004C5CF8">
              <w:rPr>
                <w:b/>
                <w:lang w:val="en-IE"/>
              </w:rPr>
              <w:t xml:space="preserve"> </w:t>
            </w:r>
          </w:p>
          <w:p w14:paraId="1F73F69F" w14:textId="1D40BEAC" w:rsidR="00C25EBB" w:rsidRPr="003C0CD7" w:rsidRDefault="00C25EBB" w:rsidP="00EA2398">
            <w:pPr>
              <w:pStyle w:val="Text2"/>
              <w:spacing w:before="60" w:after="60"/>
              <w:ind w:left="0"/>
              <w:rPr>
                <w:lang w:val="en-IE"/>
              </w:rPr>
            </w:pPr>
            <w:r w:rsidRPr="003C0CD7">
              <w:rPr>
                <w:lang w:val="en-IE"/>
              </w:rPr>
              <w:t>composed of</w:t>
            </w:r>
          </w:p>
        </w:tc>
        <w:tc>
          <w:tcPr>
            <w:tcW w:w="2268" w:type="dxa"/>
            <w:shd w:val="clear" w:color="auto" w:fill="auto"/>
          </w:tcPr>
          <w:p w14:paraId="3EC9011C" w14:textId="386E22E9" w:rsidR="00C25EBB" w:rsidRPr="00CA22CD" w:rsidRDefault="00BA5F3D">
            <w:pPr>
              <w:pStyle w:val="Text2"/>
              <w:spacing w:before="60" w:after="60"/>
              <w:ind w:left="0"/>
              <w:jc w:val="center"/>
              <w:rPr>
                <w:b/>
                <w:bCs/>
                <w:lang w:val="en-IE"/>
              </w:rPr>
            </w:pPr>
            <w:r>
              <w:rPr>
                <w:b/>
                <w:bCs/>
                <w:lang w:val="en-IE"/>
              </w:rPr>
              <w:t>8</w:t>
            </w:r>
            <w:r w:rsidR="009B1EE5" w:rsidRPr="00CA22CD">
              <w:rPr>
                <w:b/>
                <w:bCs/>
                <w:lang w:val="en-IE"/>
              </w:rPr>
              <w:t>,</w:t>
            </w:r>
            <w:r>
              <w:rPr>
                <w:b/>
                <w:bCs/>
                <w:lang w:val="en-IE"/>
              </w:rPr>
              <w:t>1</w:t>
            </w:r>
            <w:r w:rsidR="004C5CF8" w:rsidRPr="00CA22CD">
              <w:rPr>
                <w:b/>
                <w:bCs/>
                <w:lang w:val="en-IE"/>
              </w:rPr>
              <w:t>00</w:t>
            </w:r>
            <w:r w:rsidR="009B1EE5" w:rsidRPr="00CA22CD">
              <w:rPr>
                <w:b/>
                <w:bCs/>
                <w:lang w:val="en-IE"/>
              </w:rPr>
              <w:t xml:space="preserve">,000 </w:t>
            </w:r>
          </w:p>
        </w:tc>
        <w:tc>
          <w:tcPr>
            <w:tcW w:w="1842" w:type="dxa"/>
          </w:tcPr>
          <w:p w14:paraId="403C76B9" w14:textId="4000A397" w:rsidR="00C25EBB" w:rsidRPr="00CA22CD" w:rsidRDefault="00B269C5" w:rsidP="00EA2398">
            <w:pPr>
              <w:pStyle w:val="Text2"/>
              <w:spacing w:before="60" w:after="60"/>
              <w:ind w:left="0"/>
              <w:jc w:val="center"/>
              <w:rPr>
                <w:b/>
                <w:lang w:val="en-IE"/>
              </w:rPr>
            </w:pPr>
            <w:r w:rsidRPr="00CA22CD">
              <w:rPr>
                <w:b/>
                <w:lang w:val="en-IE"/>
              </w:rPr>
              <w:t>305,000</w:t>
            </w:r>
          </w:p>
        </w:tc>
      </w:tr>
      <w:tr w:rsidR="00D338B6" w:rsidRPr="008704EA" w14:paraId="06C033AD" w14:textId="77777777" w:rsidTr="00CA22CD">
        <w:tc>
          <w:tcPr>
            <w:tcW w:w="6096" w:type="dxa"/>
            <w:shd w:val="clear" w:color="auto" w:fill="auto"/>
          </w:tcPr>
          <w:p w14:paraId="1B5CE939" w14:textId="5ACAB825" w:rsidR="00D338B6" w:rsidRPr="003C0CD7" w:rsidRDefault="00D338B6" w:rsidP="00EA2398">
            <w:pPr>
              <w:pStyle w:val="Text2"/>
              <w:spacing w:before="60" w:after="60"/>
              <w:ind w:left="0"/>
              <w:rPr>
                <w:lang w:val="en-IE"/>
              </w:rPr>
            </w:pPr>
            <w:r w:rsidRPr="003C0CD7">
              <w:rPr>
                <w:lang w:val="en-IE"/>
              </w:rPr>
              <w:t xml:space="preserve">Grants (direct management) – cf. section </w:t>
            </w:r>
            <w:r w:rsidRPr="003C0CD7">
              <w:rPr>
                <w:lang w:val="en-IE"/>
              </w:rPr>
              <w:fldChar w:fldCharType="begin"/>
            </w:r>
            <w:r w:rsidRPr="003C0CD7">
              <w:rPr>
                <w:lang w:val="en-IE"/>
              </w:rPr>
              <w:instrText xml:space="preserve"> REF _Ref58360553 \r \h  \* MERGEFORMAT </w:instrText>
            </w:r>
            <w:r w:rsidRPr="003C0CD7">
              <w:rPr>
                <w:lang w:val="en-IE"/>
              </w:rPr>
            </w:r>
            <w:r w:rsidRPr="003C0CD7">
              <w:rPr>
                <w:lang w:val="en-IE"/>
              </w:rPr>
              <w:fldChar w:fldCharType="separate"/>
            </w:r>
            <w:r w:rsidRPr="003C0CD7">
              <w:rPr>
                <w:lang w:val="en-IE"/>
              </w:rPr>
              <w:t>4.4.1</w:t>
            </w:r>
            <w:r w:rsidRPr="003C0CD7">
              <w:rPr>
                <w:lang w:val="en-IE"/>
              </w:rPr>
              <w:fldChar w:fldCharType="end"/>
            </w:r>
          </w:p>
        </w:tc>
        <w:tc>
          <w:tcPr>
            <w:tcW w:w="2268" w:type="dxa"/>
            <w:shd w:val="clear" w:color="auto" w:fill="auto"/>
          </w:tcPr>
          <w:p w14:paraId="7A5EB322" w14:textId="7449501F" w:rsidR="00D338B6" w:rsidRPr="00CA22CD" w:rsidRDefault="00501AA7" w:rsidP="00EA2398">
            <w:pPr>
              <w:pStyle w:val="Text2"/>
              <w:spacing w:before="60" w:after="60"/>
              <w:ind w:left="0"/>
              <w:jc w:val="center"/>
              <w:rPr>
                <w:lang w:val="en-IE"/>
              </w:rPr>
            </w:pPr>
            <w:r w:rsidRPr="00CA22CD">
              <w:rPr>
                <w:lang w:val="en-IE"/>
              </w:rPr>
              <w:t>1</w:t>
            </w:r>
            <w:r w:rsidR="00806BB8" w:rsidRPr="00CA22CD">
              <w:rPr>
                <w:lang w:val="en-IE"/>
              </w:rPr>
              <w:t>,500,000</w:t>
            </w:r>
          </w:p>
        </w:tc>
        <w:tc>
          <w:tcPr>
            <w:tcW w:w="1842" w:type="dxa"/>
            <w:shd w:val="clear" w:color="auto" w:fill="auto"/>
          </w:tcPr>
          <w:p w14:paraId="566BF5C4" w14:textId="7D8F37DA" w:rsidR="00D338B6" w:rsidRPr="00CA22CD" w:rsidRDefault="00D338B6" w:rsidP="00EA2398">
            <w:pPr>
              <w:pStyle w:val="Text2"/>
              <w:spacing w:before="60" w:after="60"/>
              <w:ind w:left="0"/>
              <w:jc w:val="center"/>
              <w:rPr>
                <w:lang w:val="en-IE"/>
              </w:rPr>
            </w:pPr>
          </w:p>
        </w:tc>
      </w:tr>
      <w:tr w:rsidR="007304D9" w:rsidRPr="008704EA" w14:paraId="16169C64" w14:textId="77777777" w:rsidTr="00CA22CD">
        <w:tc>
          <w:tcPr>
            <w:tcW w:w="6096" w:type="dxa"/>
            <w:shd w:val="clear" w:color="auto" w:fill="auto"/>
          </w:tcPr>
          <w:p w14:paraId="168B34AA" w14:textId="6A085F52" w:rsidR="007304D9" w:rsidRPr="000A639B" w:rsidRDefault="007304D9" w:rsidP="00EA2398">
            <w:pPr>
              <w:pStyle w:val="Text2"/>
              <w:spacing w:before="60" w:after="60"/>
              <w:ind w:left="0"/>
              <w:rPr>
                <w:lang w:val="fr-BE"/>
              </w:rPr>
            </w:pPr>
            <w:r w:rsidRPr="000A639B">
              <w:rPr>
                <w:lang w:val="fr-BE"/>
              </w:rPr>
              <w:t>Procurement (direct management)</w:t>
            </w:r>
            <w:r w:rsidRPr="000A639B">
              <w:rPr>
                <w:lang w:val="fr-BE" w:eastAsia="en-GB"/>
              </w:rPr>
              <w:t xml:space="preserve"> </w:t>
            </w:r>
            <w:r w:rsidRPr="000A639B">
              <w:rPr>
                <w:lang w:val="fr-BE"/>
              </w:rPr>
              <w:t xml:space="preserve">– cf. section </w:t>
            </w:r>
            <w:r w:rsidRPr="00240180">
              <w:fldChar w:fldCharType="begin"/>
            </w:r>
            <w:r w:rsidRPr="000A639B">
              <w:rPr>
                <w:lang w:val="fr-BE"/>
              </w:rPr>
              <w:instrText xml:space="preserve"> REF _Ref58360566 \r \h  \* MERGEFORMAT </w:instrText>
            </w:r>
            <w:r w:rsidRPr="00240180">
              <w:fldChar w:fldCharType="separate"/>
            </w:r>
            <w:r w:rsidRPr="000A639B">
              <w:rPr>
                <w:lang w:val="fr-BE"/>
              </w:rPr>
              <w:t>4.4.3</w:t>
            </w:r>
            <w:r w:rsidRPr="00240180">
              <w:fldChar w:fldCharType="end"/>
            </w:r>
          </w:p>
        </w:tc>
        <w:tc>
          <w:tcPr>
            <w:tcW w:w="2268" w:type="dxa"/>
            <w:shd w:val="clear" w:color="auto" w:fill="auto"/>
          </w:tcPr>
          <w:p w14:paraId="757015CD" w14:textId="3B40FDE8" w:rsidR="007304D9" w:rsidRPr="00CA22CD" w:rsidRDefault="00E12F3E">
            <w:pPr>
              <w:pStyle w:val="Text2"/>
              <w:spacing w:before="60" w:after="60"/>
              <w:ind w:left="0"/>
              <w:jc w:val="center"/>
              <w:rPr>
                <w:lang w:val="en-IE"/>
              </w:rPr>
            </w:pPr>
            <w:r w:rsidRPr="00932517">
              <w:rPr>
                <w:lang w:val="en-IE"/>
              </w:rPr>
              <w:t>6</w:t>
            </w:r>
            <w:r w:rsidR="009B1EE5" w:rsidRPr="00CA22CD">
              <w:rPr>
                <w:lang w:val="en-IE"/>
              </w:rPr>
              <w:t>,</w:t>
            </w:r>
            <w:r w:rsidRPr="00932517">
              <w:rPr>
                <w:lang w:val="en-IE"/>
              </w:rPr>
              <w:t>6</w:t>
            </w:r>
            <w:r w:rsidR="004C5CF8" w:rsidRPr="00CA22CD">
              <w:rPr>
                <w:lang w:val="en-IE"/>
              </w:rPr>
              <w:t>00</w:t>
            </w:r>
            <w:r w:rsidR="009B1EE5" w:rsidRPr="00CA22CD">
              <w:rPr>
                <w:lang w:val="en-IE"/>
              </w:rPr>
              <w:t>,000</w:t>
            </w:r>
          </w:p>
        </w:tc>
        <w:tc>
          <w:tcPr>
            <w:tcW w:w="1842" w:type="dxa"/>
          </w:tcPr>
          <w:p w14:paraId="68015494" w14:textId="47598133" w:rsidR="007304D9" w:rsidRPr="00CA22CD" w:rsidRDefault="00B269C5" w:rsidP="00EA2398">
            <w:pPr>
              <w:pStyle w:val="Text2"/>
              <w:spacing w:before="60" w:after="60"/>
              <w:ind w:left="0"/>
              <w:jc w:val="center"/>
              <w:rPr>
                <w:lang w:val="en-IE"/>
              </w:rPr>
            </w:pPr>
            <w:r w:rsidRPr="00CA22CD">
              <w:rPr>
                <w:lang w:val="en-IE"/>
              </w:rPr>
              <w:t>305,000</w:t>
            </w:r>
          </w:p>
        </w:tc>
      </w:tr>
      <w:tr w:rsidR="004C5CF8" w:rsidRPr="008704EA" w14:paraId="4E90B306" w14:textId="77777777" w:rsidTr="00CA22CD">
        <w:tc>
          <w:tcPr>
            <w:tcW w:w="6096" w:type="dxa"/>
            <w:shd w:val="clear" w:color="auto" w:fill="auto"/>
          </w:tcPr>
          <w:p w14:paraId="14F4CF24" w14:textId="77777777" w:rsidR="004C5CF8" w:rsidRPr="003C0CD7" w:rsidRDefault="004C5CF8" w:rsidP="00EA2398">
            <w:pPr>
              <w:pStyle w:val="Text2"/>
              <w:spacing w:before="60" w:after="60"/>
              <w:ind w:left="0"/>
              <w:rPr>
                <w:b/>
                <w:lang w:val="en-IE"/>
              </w:rPr>
            </w:pPr>
          </w:p>
        </w:tc>
        <w:tc>
          <w:tcPr>
            <w:tcW w:w="2268" w:type="dxa"/>
            <w:shd w:val="clear" w:color="auto" w:fill="auto"/>
          </w:tcPr>
          <w:p w14:paraId="0EBB4FE7" w14:textId="77777777" w:rsidR="004C5CF8" w:rsidRPr="00932517" w:rsidRDefault="004C5CF8" w:rsidP="00EA2398">
            <w:pPr>
              <w:pStyle w:val="Text2"/>
              <w:spacing w:before="60" w:after="60"/>
              <w:ind w:left="0"/>
              <w:jc w:val="center"/>
              <w:rPr>
                <w:b/>
                <w:bCs/>
                <w:lang w:val="en-IE"/>
              </w:rPr>
            </w:pPr>
          </w:p>
        </w:tc>
        <w:tc>
          <w:tcPr>
            <w:tcW w:w="1842" w:type="dxa"/>
          </w:tcPr>
          <w:p w14:paraId="42F510C2" w14:textId="77777777" w:rsidR="004C5CF8" w:rsidRPr="00CA22CD" w:rsidRDefault="004C5CF8" w:rsidP="00EA2398">
            <w:pPr>
              <w:pStyle w:val="Text2"/>
              <w:spacing w:before="60" w:after="60"/>
              <w:ind w:left="0"/>
              <w:jc w:val="center"/>
            </w:pPr>
          </w:p>
        </w:tc>
      </w:tr>
      <w:tr w:rsidR="00A15807" w:rsidRPr="008704EA" w14:paraId="01D052DC" w14:textId="77777777" w:rsidTr="00CA22CD">
        <w:tc>
          <w:tcPr>
            <w:tcW w:w="6096" w:type="dxa"/>
            <w:shd w:val="clear" w:color="auto" w:fill="auto"/>
          </w:tcPr>
          <w:p w14:paraId="08E310A5" w14:textId="77777777" w:rsidR="00A15807" w:rsidRPr="003C0CD7" w:rsidRDefault="00A15807" w:rsidP="00EA2398">
            <w:pPr>
              <w:pStyle w:val="Text2"/>
              <w:spacing w:before="60" w:after="60"/>
              <w:ind w:left="0"/>
              <w:rPr>
                <w:lang w:val="en-IE"/>
              </w:rPr>
            </w:pPr>
            <w:r w:rsidRPr="003C0CD7">
              <w:rPr>
                <w:b/>
                <w:lang w:val="en-IE"/>
              </w:rPr>
              <w:t>Grants</w:t>
            </w:r>
            <w:r w:rsidRPr="003C0CD7">
              <w:rPr>
                <w:lang w:val="en-IE"/>
              </w:rPr>
              <w:t xml:space="preserve"> – total envelope under section 4.4.1 </w:t>
            </w:r>
          </w:p>
        </w:tc>
        <w:tc>
          <w:tcPr>
            <w:tcW w:w="2268" w:type="dxa"/>
            <w:shd w:val="clear" w:color="auto" w:fill="auto"/>
          </w:tcPr>
          <w:p w14:paraId="0A023C12" w14:textId="6C9C4EA8" w:rsidR="00A15807" w:rsidRPr="00CA22CD" w:rsidRDefault="00E3390F" w:rsidP="00EA2398">
            <w:pPr>
              <w:pStyle w:val="Text2"/>
              <w:spacing w:before="60" w:after="60"/>
              <w:ind w:left="0"/>
              <w:jc w:val="center"/>
              <w:rPr>
                <w:b/>
                <w:bCs/>
                <w:lang w:val="en-IE"/>
              </w:rPr>
            </w:pPr>
            <w:r w:rsidRPr="00CA22CD">
              <w:rPr>
                <w:b/>
                <w:bCs/>
                <w:lang w:val="en-IE"/>
              </w:rPr>
              <w:t>1,500,0</w:t>
            </w:r>
            <w:r w:rsidR="009047AA" w:rsidRPr="00CA22CD">
              <w:rPr>
                <w:b/>
                <w:bCs/>
                <w:lang w:val="en-IE"/>
              </w:rPr>
              <w:t>0</w:t>
            </w:r>
            <w:r w:rsidRPr="00CA22CD">
              <w:rPr>
                <w:b/>
                <w:bCs/>
                <w:lang w:val="en-IE"/>
              </w:rPr>
              <w:t>0</w:t>
            </w:r>
          </w:p>
        </w:tc>
        <w:tc>
          <w:tcPr>
            <w:tcW w:w="1842" w:type="dxa"/>
          </w:tcPr>
          <w:p w14:paraId="12C745E0" w14:textId="6E4C9E9C" w:rsidR="00A15807" w:rsidRPr="00CA22CD" w:rsidRDefault="00A15807" w:rsidP="00EA2398">
            <w:pPr>
              <w:pStyle w:val="Text2"/>
              <w:spacing w:before="60" w:after="60"/>
              <w:ind w:left="0"/>
              <w:jc w:val="center"/>
            </w:pPr>
          </w:p>
        </w:tc>
      </w:tr>
      <w:tr w:rsidR="00A15807" w:rsidRPr="008704EA" w14:paraId="0085ED37" w14:textId="77777777" w:rsidTr="00CA22CD">
        <w:tc>
          <w:tcPr>
            <w:tcW w:w="6096" w:type="dxa"/>
            <w:shd w:val="clear" w:color="auto" w:fill="auto"/>
          </w:tcPr>
          <w:p w14:paraId="3007630B" w14:textId="504A8046" w:rsidR="00A15807" w:rsidRPr="003C0CD7" w:rsidRDefault="00A15807" w:rsidP="00EA2398">
            <w:pPr>
              <w:pStyle w:val="Text2"/>
              <w:spacing w:before="60" w:after="60"/>
              <w:ind w:left="0"/>
              <w:rPr>
                <w:lang w:val="en-IE"/>
              </w:rPr>
            </w:pPr>
            <w:r w:rsidRPr="003C0CD7">
              <w:rPr>
                <w:b/>
                <w:lang w:val="en-IE"/>
              </w:rPr>
              <w:t>Procurement</w:t>
            </w:r>
            <w:r w:rsidRPr="003C0CD7">
              <w:rPr>
                <w:lang w:val="en-IE"/>
              </w:rPr>
              <w:t xml:space="preserve"> – total envelope under section </w:t>
            </w:r>
            <w:r w:rsidRPr="003C0CD7">
              <w:rPr>
                <w:lang w:val="en-IE"/>
              </w:rPr>
              <w:fldChar w:fldCharType="begin"/>
            </w:r>
            <w:r w:rsidRPr="003C0CD7">
              <w:rPr>
                <w:lang w:val="en-IE"/>
              </w:rPr>
              <w:instrText xml:space="preserve"> REF _Ref58360683 \r \h  \* MERGEFORMAT </w:instrText>
            </w:r>
            <w:r w:rsidRPr="003C0CD7">
              <w:rPr>
                <w:lang w:val="en-IE"/>
              </w:rPr>
            </w:r>
            <w:r w:rsidRPr="003C0CD7">
              <w:rPr>
                <w:lang w:val="en-IE"/>
              </w:rPr>
              <w:fldChar w:fldCharType="separate"/>
            </w:r>
            <w:r w:rsidRPr="003C0CD7">
              <w:rPr>
                <w:lang w:val="en-IE"/>
              </w:rPr>
              <w:t>4.4.3</w:t>
            </w:r>
            <w:r w:rsidRPr="003C0CD7">
              <w:rPr>
                <w:lang w:val="en-IE"/>
              </w:rPr>
              <w:fldChar w:fldCharType="end"/>
            </w:r>
          </w:p>
        </w:tc>
        <w:tc>
          <w:tcPr>
            <w:tcW w:w="2268" w:type="dxa"/>
            <w:shd w:val="clear" w:color="auto" w:fill="auto"/>
          </w:tcPr>
          <w:p w14:paraId="266F5B6A" w14:textId="3586A1DB" w:rsidR="00A15807" w:rsidRPr="00CA22CD" w:rsidRDefault="00E12F3E">
            <w:pPr>
              <w:pStyle w:val="Text2"/>
              <w:spacing w:before="60" w:after="60"/>
              <w:ind w:left="0"/>
              <w:jc w:val="center"/>
              <w:rPr>
                <w:b/>
                <w:bCs/>
                <w:lang w:val="en-IE"/>
              </w:rPr>
            </w:pPr>
            <w:r w:rsidRPr="00CA22CD">
              <w:rPr>
                <w:b/>
                <w:bCs/>
                <w:lang w:val="en-IE"/>
              </w:rPr>
              <w:t>1</w:t>
            </w:r>
            <w:r w:rsidRPr="00932517">
              <w:rPr>
                <w:b/>
                <w:bCs/>
                <w:lang w:val="en-IE"/>
              </w:rPr>
              <w:t>4</w:t>
            </w:r>
            <w:r w:rsidR="00433C2C" w:rsidRPr="00CA22CD">
              <w:rPr>
                <w:b/>
                <w:bCs/>
                <w:lang w:val="en-IE"/>
              </w:rPr>
              <w:t>,</w:t>
            </w:r>
            <w:r w:rsidRPr="00932517">
              <w:rPr>
                <w:b/>
                <w:bCs/>
                <w:lang w:val="en-IE"/>
              </w:rPr>
              <w:t>1</w:t>
            </w:r>
            <w:r w:rsidRPr="00CA22CD">
              <w:rPr>
                <w:b/>
                <w:bCs/>
                <w:lang w:val="en-IE"/>
              </w:rPr>
              <w:t>00</w:t>
            </w:r>
            <w:r w:rsidR="00433C2C" w:rsidRPr="00CA22CD">
              <w:rPr>
                <w:b/>
                <w:bCs/>
                <w:lang w:val="en-IE"/>
              </w:rPr>
              <w:t>,000</w:t>
            </w:r>
          </w:p>
        </w:tc>
        <w:tc>
          <w:tcPr>
            <w:tcW w:w="1842" w:type="dxa"/>
          </w:tcPr>
          <w:p w14:paraId="1912C7C1" w14:textId="4F1A238D" w:rsidR="00A15807" w:rsidRPr="00CA22CD" w:rsidRDefault="00B269C5" w:rsidP="00EA2398">
            <w:pPr>
              <w:pStyle w:val="Text2"/>
              <w:spacing w:before="60" w:after="60"/>
              <w:ind w:left="0"/>
              <w:jc w:val="center"/>
              <w:rPr>
                <w:b/>
                <w:lang w:val="en-IE"/>
              </w:rPr>
            </w:pPr>
            <w:r w:rsidRPr="00CA22CD">
              <w:rPr>
                <w:b/>
                <w:lang w:val="en-IE"/>
              </w:rPr>
              <w:t>570,000</w:t>
            </w:r>
          </w:p>
        </w:tc>
      </w:tr>
      <w:tr w:rsidR="00A15807" w:rsidRPr="008704EA" w14:paraId="49EE1548" w14:textId="77777777" w:rsidTr="00CA22CD">
        <w:tc>
          <w:tcPr>
            <w:tcW w:w="6096" w:type="dxa"/>
            <w:shd w:val="clear" w:color="auto" w:fill="auto"/>
          </w:tcPr>
          <w:p w14:paraId="0072AAB5" w14:textId="77777777" w:rsidR="00A15807" w:rsidRPr="003C0CD7" w:rsidRDefault="00A15807" w:rsidP="00EA2398">
            <w:pPr>
              <w:pStyle w:val="Text2"/>
              <w:spacing w:before="60" w:after="60"/>
              <w:ind w:left="0"/>
              <w:rPr>
                <w:lang w:val="en-IE"/>
              </w:rPr>
            </w:pPr>
            <w:r w:rsidRPr="003C0CD7">
              <w:rPr>
                <w:b/>
                <w:lang w:val="en-IE"/>
              </w:rPr>
              <w:t xml:space="preserve">Evaluation </w:t>
            </w:r>
            <w:r w:rsidRPr="003C0CD7">
              <w:rPr>
                <w:lang w:val="en-IE"/>
              </w:rPr>
              <w:t>– cf. section 5.2</w:t>
            </w:r>
          </w:p>
          <w:p w14:paraId="4A0B8D96" w14:textId="77777777" w:rsidR="00A15807" w:rsidRPr="003C0CD7" w:rsidRDefault="00A15807" w:rsidP="00EA2398">
            <w:pPr>
              <w:pStyle w:val="Text2"/>
              <w:spacing w:before="60" w:after="60"/>
              <w:ind w:left="0"/>
              <w:rPr>
                <w:b/>
                <w:lang w:val="en-IE"/>
              </w:rPr>
            </w:pPr>
            <w:r w:rsidRPr="003C0CD7">
              <w:rPr>
                <w:b/>
                <w:lang w:val="en-IE"/>
              </w:rPr>
              <w:t xml:space="preserve">Audit </w:t>
            </w:r>
            <w:r w:rsidRPr="003C0CD7">
              <w:rPr>
                <w:lang w:val="en-IE"/>
              </w:rPr>
              <w:t>– cf. section 5.3</w:t>
            </w:r>
          </w:p>
        </w:tc>
        <w:tc>
          <w:tcPr>
            <w:tcW w:w="2268" w:type="dxa"/>
            <w:shd w:val="clear" w:color="auto" w:fill="auto"/>
          </w:tcPr>
          <w:p w14:paraId="3843974C" w14:textId="3B305306" w:rsidR="00A15807" w:rsidRPr="00932517" w:rsidRDefault="00505E8F" w:rsidP="00EA2398">
            <w:pPr>
              <w:pStyle w:val="Text2"/>
              <w:spacing w:before="60" w:after="60"/>
              <w:ind w:left="0"/>
              <w:jc w:val="center"/>
              <w:rPr>
                <w:lang w:val="en-IE"/>
              </w:rPr>
            </w:pPr>
            <w:r w:rsidRPr="00932517">
              <w:rPr>
                <w:lang w:val="en-IE"/>
              </w:rPr>
              <w:t xml:space="preserve">may </w:t>
            </w:r>
            <w:r w:rsidR="00A15807" w:rsidRPr="00932517">
              <w:rPr>
                <w:lang w:val="en-IE"/>
              </w:rPr>
              <w:t>be covered by another Decision</w:t>
            </w:r>
            <w:r w:rsidR="00A15807" w:rsidRPr="00932517">
              <w:rPr>
                <w:rStyle w:val="Heading2Char"/>
                <w:lang w:val="en-IE"/>
              </w:rPr>
              <w:t xml:space="preserve"> </w:t>
            </w:r>
          </w:p>
        </w:tc>
        <w:tc>
          <w:tcPr>
            <w:tcW w:w="1842" w:type="dxa"/>
          </w:tcPr>
          <w:p w14:paraId="141021D1" w14:textId="7E2025A9" w:rsidR="00A15807" w:rsidRPr="00CA22CD" w:rsidRDefault="00A15807" w:rsidP="00EA2398">
            <w:pPr>
              <w:pStyle w:val="Text2"/>
              <w:spacing w:before="60" w:after="60"/>
              <w:ind w:left="0"/>
              <w:jc w:val="center"/>
              <w:rPr>
                <w:lang w:val="en-IE"/>
              </w:rPr>
            </w:pPr>
          </w:p>
        </w:tc>
      </w:tr>
      <w:tr w:rsidR="00A15807" w:rsidRPr="008704EA" w14:paraId="6D4FB6C6" w14:textId="77777777" w:rsidTr="00CA22CD">
        <w:tc>
          <w:tcPr>
            <w:tcW w:w="6096" w:type="dxa"/>
            <w:shd w:val="clear" w:color="auto" w:fill="auto"/>
          </w:tcPr>
          <w:p w14:paraId="4DB35A80" w14:textId="73BAD7BE" w:rsidR="00A15807" w:rsidRPr="003C0CD7" w:rsidRDefault="006F4A3A" w:rsidP="00EA2398">
            <w:pPr>
              <w:pStyle w:val="Text2"/>
              <w:spacing w:before="60" w:after="60"/>
              <w:ind w:left="0"/>
              <w:rPr>
                <w:lang w:val="en-IE"/>
              </w:rPr>
            </w:pPr>
            <w:r>
              <w:rPr>
                <w:b/>
                <w:lang w:val="en-IE"/>
              </w:rPr>
              <w:t xml:space="preserve">Strategic </w:t>
            </w:r>
            <w:r w:rsidR="00A15807" w:rsidRPr="003C0CD7">
              <w:rPr>
                <w:b/>
                <w:lang w:val="en-IE"/>
              </w:rPr>
              <w:t xml:space="preserve">Communication and </w:t>
            </w:r>
            <w:r>
              <w:rPr>
                <w:b/>
                <w:lang w:val="en-IE"/>
              </w:rPr>
              <w:t>Public Diplomacy</w:t>
            </w:r>
            <w:r w:rsidRPr="003C0CD7">
              <w:rPr>
                <w:b/>
                <w:lang w:val="en-IE"/>
              </w:rPr>
              <w:t xml:space="preserve"> </w:t>
            </w:r>
            <w:r w:rsidR="00A15807" w:rsidRPr="003C0CD7">
              <w:rPr>
                <w:lang w:val="en-IE"/>
              </w:rPr>
              <w:t>– cf. section 6</w:t>
            </w:r>
          </w:p>
        </w:tc>
        <w:tc>
          <w:tcPr>
            <w:tcW w:w="2268" w:type="dxa"/>
            <w:shd w:val="clear" w:color="auto" w:fill="auto"/>
          </w:tcPr>
          <w:p w14:paraId="74A3B730" w14:textId="762182B5" w:rsidR="00A15807" w:rsidRPr="00932517" w:rsidRDefault="00A15807" w:rsidP="00EA2398">
            <w:pPr>
              <w:pStyle w:val="Text2"/>
              <w:spacing w:before="60" w:after="60"/>
              <w:ind w:left="0"/>
              <w:jc w:val="center"/>
              <w:rPr>
                <w:lang w:val="en-IE"/>
              </w:rPr>
            </w:pPr>
            <w:r w:rsidRPr="00932517">
              <w:rPr>
                <w:lang w:val="en-IE"/>
              </w:rPr>
              <w:t>will be covered by another Decision</w:t>
            </w:r>
          </w:p>
        </w:tc>
        <w:tc>
          <w:tcPr>
            <w:tcW w:w="1842" w:type="dxa"/>
          </w:tcPr>
          <w:p w14:paraId="47B7B2B5" w14:textId="3251B636" w:rsidR="00A15807" w:rsidRPr="00CA22CD" w:rsidRDefault="00A15807" w:rsidP="00EA2398">
            <w:pPr>
              <w:pStyle w:val="Text2"/>
              <w:spacing w:before="60" w:after="60"/>
              <w:ind w:left="0"/>
              <w:jc w:val="center"/>
              <w:rPr>
                <w:lang w:val="en-IE"/>
              </w:rPr>
            </w:pPr>
          </w:p>
        </w:tc>
      </w:tr>
      <w:tr w:rsidR="00A15807" w:rsidRPr="008704EA" w14:paraId="7D5C83C5" w14:textId="77777777" w:rsidTr="00CA22CD">
        <w:tc>
          <w:tcPr>
            <w:tcW w:w="6096" w:type="dxa"/>
            <w:shd w:val="clear" w:color="auto" w:fill="auto"/>
          </w:tcPr>
          <w:p w14:paraId="42659141" w14:textId="47EDD2A3" w:rsidR="00A15807" w:rsidRPr="003C0CD7" w:rsidRDefault="00A15807" w:rsidP="00EA2398">
            <w:pPr>
              <w:pStyle w:val="Text2"/>
              <w:spacing w:before="60" w:after="60"/>
              <w:ind w:left="0"/>
              <w:rPr>
                <w:lang w:val="en-IE"/>
              </w:rPr>
            </w:pPr>
            <w:r w:rsidRPr="003C0CD7">
              <w:rPr>
                <w:b/>
                <w:lang w:val="en-IE"/>
              </w:rPr>
              <w:t xml:space="preserve">Totals </w:t>
            </w:r>
          </w:p>
        </w:tc>
        <w:tc>
          <w:tcPr>
            <w:tcW w:w="2268" w:type="dxa"/>
            <w:shd w:val="clear" w:color="auto" w:fill="auto"/>
          </w:tcPr>
          <w:p w14:paraId="4D82383D" w14:textId="4D0E1E12" w:rsidR="00A15807" w:rsidRPr="00CA22CD" w:rsidRDefault="00D338B6">
            <w:pPr>
              <w:pStyle w:val="Text2"/>
              <w:spacing w:before="60" w:after="60"/>
              <w:ind w:left="0"/>
              <w:jc w:val="center"/>
              <w:rPr>
                <w:b/>
                <w:bCs/>
                <w:lang w:val="en-IE"/>
              </w:rPr>
            </w:pPr>
            <w:r w:rsidRPr="00932517">
              <w:rPr>
                <w:b/>
                <w:bCs/>
                <w:lang w:val="en-IE"/>
              </w:rPr>
              <w:t>1</w:t>
            </w:r>
            <w:r w:rsidR="00AD3F44" w:rsidRPr="00932517">
              <w:rPr>
                <w:b/>
                <w:bCs/>
                <w:lang w:val="en-IE"/>
              </w:rPr>
              <w:t>5</w:t>
            </w:r>
            <w:r w:rsidRPr="00932517">
              <w:rPr>
                <w:b/>
                <w:bCs/>
                <w:lang w:val="en-IE"/>
              </w:rPr>
              <w:t>.</w:t>
            </w:r>
            <w:r w:rsidR="00F87FDF" w:rsidRPr="00932517">
              <w:rPr>
                <w:b/>
                <w:bCs/>
                <w:lang w:val="en-IE"/>
              </w:rPr>
              <w:t>6</w:t>
            </w:r>
            <w:r w:rsidR="004C5CF8" w:rsidRPr="00932517">
              <w:rPr>
                <w:b/>
                <w:bCs/>
                <w:lang w:val="en-IE"/>
              </w:rPr>
              <w:t>00</w:t>
            </w:r>
            <w:r w:rsidRPr="00932517">
              <w:rPr>
                <w:b/>
                <w:bCs/>
                <w:lang w:val="en-IE"/>
              </w:rPr>
              <w:t>.000</w:t>
            </w:r>
          </w:p>
        </w:tc>
        <w:tc>
          <w:tcPr>
            <w:tcW w:w="1842" w:type="dxa"/>
          </w:tcPr>
          <w:p w14:paraId="17B45CE5" w14:textId="31A47706" w:rsidR="00A15807" w:rsidRPr="00CA22CD" w:rsidRDefault="00B269C5" w:rsidP="00EA2398">
            <w:pPr>
              <w:pStyle w:val="Text2"/>
              <w:spacing w:before="60" w:after="60"/>
              <w:ind w:left="0"/>
              <w:jc w:val="center"/>
              <w:rPr>
                <w:b/>
                <w:lang w:val="en-IE"/>
              </w:rPr>
            </w:pPr>
            <w:r w:rsidRPr="00CA22CD">
              <w:rPr>
                <w:b/>
                <w:lang w:val="en-IE"/>
              </w:rPr>
              <w:t>57</w:t>
            </w:r>
            <w:r w:rsidR="00932517" w:rsidRPr="00CA22CD">
              <w:rPr>
                <w:b/>
                <w:lang w:val="en-IE"/>
              </w:rPr>
              <w:t>0,000</w:t>
            </w:r>
            <w:bookmarkStart w:id="310" w:name="_GoBack"/>
            <w:bookmarkEnd w:id="310"/>
          </w:p>
        </w:tc>
      </w:tr>
    </w:tbl>
    <w:p w14:paraId="613820D0" w14:textId="77777777" w:rsidR="008E6AFF" w:rsidRPr="003C0CD7" w:rsidRDefault="008E6AFF" w:rsidP="00CA22CD">
      <w:pPr>
        <w:pStyle w:val="Heading1"/>
        <w:numPr>
          <w:ilvl w:val="1"/>
          <w:numId w:val="1"/>
        </w:numPr>
        <w:spacing w:before="240" w:after="240"/>
        <w:ind w:left="851" w:hanging="431"/>
        <w:rPr>
          <w:lang w:val="en-IE"/>
        </w:rPr>
      </w:pPr>
      <w:bookmarkStart w:id="311" w:name="_Toc47101981"/>
      <w:bookmarkStart w:id="312" w:name="_Toc51270476"/>
      <w:bookmarkStart w:id="313" w:name="_Toc59031693"/>
      <w:bookmarkStart w:id="314" w:name="_Toc73090776"/>
      <w:r w:rsidRPr="003C0CD7">
        <w:rPr>
          <w:lang w:val="en-IE"/>
        </w:rPr>
        <w:t>Organisational Set-up and Responsibilities</w:t>
      </w:r>
      <w:bookmarkEnd w:id="311"/>
      <w:bookmarkEnd w:id="312"/>
      <w:bookmarkEnd w:id="313"/>
      <w:bookmarkEnd w:id="314"/>
    </w:p>
    <w:p w14:paraId="754EA41F" w14:textId="77777777" w:rsidR="005A6197" w:rsidRPr="00034922" w:rsidRDefault="005A6197" w:rsidP="00CA22CD">
      <w:pPr>
        <w:pStyle w:val="Text2"/>
        <w:spacing w:before="60" w:after="60"/>
        <w:ind w:left="720"/>
      </w:pPr>
      <w:r w:rsidRPr="00034922">
        <w:t xml:space="preserve">The Delegation of the European Union to North Macedonia is in charge of the implementation of the action and will collaborate with the Secretariat for European Affairs (NIPAC office), the line ministries involved and all stakeholders and implementing partners. </w:t>
      </w:r>
    </w:p>
    <w:p w14:paraId="64FB2F6C" w14:textId="77B2B051" w:rsidR="005A6197" w:rsidRPr="00034922" w:rsidRDefault="005A6197" w:rsidP="00CA22CD">
      <w:pPr>
        <w:pStyle w:val="Text2"/>
        <w:spacing w:before="60" w:after="60"/>
        <w:ind w:left="720"/>
      </w:pPr>
      <w:r w:rsidRPr="00034922">
        <w:lastRenderedPageBreak/>
        <w:t xml:space="preserve">At policy level the implementing partners will be accountable to the relevant SWGs (the Sector Working Group (SWG) Competitiveness and Innovation and SWG Agriculture and Rural Development) as well as the IPA Monitoring Committee. At contract level, the implementation arrangements will be discussed through the project Steering Committees having advisory functions and composed of the EU Delegation, the relevant national </w:t>
      </w:r>
      <w:r w:rsidR="00D338B6" w:rsidRPr="00034922">
        <w:t>authorities,</w:t>
      </w:r>
      <w:r w:rsidRPr="00034922">
        <w:t xml:space="preserve"> and all relevant implementing partners.</w:t>
      </w:r>
    </w:p>
    <w:p w14:paraId="77081673" w14:textId="77777777" w:rsidR="00384709" w:rsidRPr="003C0CD7" w:rsidRDefault="00E360A2" w:rsidP="00CA22CD">
      <w:pPr>
        <w:ind w:left="720"/>
        <w:rPr>
          <w:lang w:val="en-IE"/>
        </w:rPr>
      </w:pPr>
      <w:r w:rsidRPr="003C0CD7">
        <w:rPr>
          <w:szCs w:val="24"/>
          <w:lang w:val="en-IE"/>
        </w:rPr>
        <w:t>As part of its prerogative of budget implementation and to safeguard the financial interests of the Union, the Commission may participate in the above governance structures set up for governing the implementation of the action.</w:t>
      </w:r>
    </w:p>
    <w:p w14:paraId="0C52229B" w14:textId="27095036" w:rsidR="00384709" w:rsidRPr="003C0CD7" w:rsidRDefault="00384709" w:rsidP="001A1B4C">
      <w:pPr>
        <w:pStyle w:val="Heading1"/>
        <w:numPr>
          <w:ilvl w:val="1"/>
          <w:numId w:val="1"/>
        </w:numPr>
        <w:ind w:left="851"/>
        <w:rPr>
          <w:lang w:val="en-IE"/>
        </w:rPr>
      </w:pPr>
      <w:r w:rsidRPr="003C0CD7">
        <w:rPr>
          <w:lang w:val="en-IE"/>
        </w:rPr>
        <w:t xml:space="preserve">Pre-conditions </w:t>
      </w:r>
    </w:p>
    <w:p w14:paraId="2384EDC3" w14:textId="63015E46" w:rsidR="00C14F61" w:rsidRDefault="00C14F61" w:rsidP="00CA22CD">
      <w:pPr>
        <w:ind w:left="720"/>
      </w:pPr>
      <w:r>
        <w:t xml:space="preserve">The following pre-condition will apply: </w:t>
      </w:r>
    </w:p>
    <w:p w14:paraId="29CD465F" w14:textId="7E4B4900" w:rsidR="00384709" w:rsidRPr="004A03EB" w:rsidRDefault="008E2337" w:rsidP="00CA22CD">
      <w:pPr>
        <w:pStyle w:val="ListParagraph"/>
        <w:numPr>
          <w:ilvl w:val="0"/>
          <w:numId w:val="59"/>
        </w:numPr>
        <w:spacing w:before="120" w:after="120"/>
        <w:ind w:left="1434" w:hanging="357"/>
        <w:contextualSpacing w:val="0"/>
      </w:pPr>
      <w:r w:rsidRPr="00807B84">
        <w:t xml:space="preserve">For </w:t>
      </w:r>
      <w:r w:rsidR="004D5813" w:rsidRPr="00CA22CD">
        <w:rPr>
          <w:rFonts w:cs="Times New Roman"/>
          <w:bCs/>
          <w:color w:val="0D0D0D" w:themeColor="text1" w:themeTint="F2"/>
          <w:lang w:val="en-IE"/>
        </w:rPr>
        <w:t>Output 1</w:t>
      </w:r>
      <w:r w:rsidR="001A1B4C">
        <w:rPr>
          <w:rFonts w:cs="Times New Roman"/>
          <w:bCs/>
          <w:color w:val="0D0D0D" w:themeColor="text1" w:themeTint="F2"/>
          <w:lang w:val="en-IE"/>
        </w:rPr>
        <w:t>(3)</w:t>
      </w:r>
      <w:r w:rsidR="001A1B4C" w:rsidRPr="00CA22CD">
        <w:rPr>
          <w:rFonts w:cs="Times New Roman"/>
          <w:bCs/>
          <w:color w:val="0D0D0D" w:themeColor="text1" w:themeTint="F2"/>
          <w:lang w:val="en-IE"/>
        </w:rPr>
        <w:t xml:space="preserve">, North Macedonia will </w:t>
      </w:r>
      <w:r w:rsidR="00756303" w:rsidRPr="004A03EB">
        <w:rPr>
          <w:rFonts w:cs="Times New Roman"/>
          <w:color w:val="0D0D0D" w:themeColor="text1" w:themeTint="F2"/>
          <w:lang w:val="en-IE"/>
        </w:rPr>
        <w:t xml:space="preserve">adopt the </w:t>
      </w:r>
      <w:r w:rsidR="00807B84" w:rsidRPr="004A03EB">
        <w:rPr>
          <w:rFonts w:cs="Times New Roman"/>
          <w:color w:val="0D0D0D" w:themeColor="text1" w:themeTint="F2"/>
          <w:lang w:val="en-IE"/>
        </w:rPr>
        <w:t xml:space="preserve">National </w:t>
      </w:r>
      <w:r w:rsidRPr="004A03EB">
        <w:rPr>
          <w:rFonts w:cs="Times New Roman"/>
          <w:color w:val="0D0D0D" w:themeColor="text1" w:themeTint="F2"/>
          <w:lang w:val="en-IE"/>
        </w:rPr>
        <w:t xml:space="preserve">Strategy for </w:t>
      </w:r>
      <w:r w:rsidR="00807B84" w:rsidRPr="004A03EB">
        <w:rPr>
          <w:rFonts w:cs="Times New Roman"/>
          <w:color w:val="0D0D0D" w:themeColor="text1" w:themeTint="F2"/>
          <w:lang w:val="en-IE"/>
        </w:rPr>
        <w:t>Intellectual Property for 2022-2026 with Action plan.</w:t>
      </w:r>
      <w:r w:rsidR="00CA4A3A" w:rsidRPr="004A03EB">
        <w:rPr>
          <w:rFonts w:cs="Times New Roman"/>
          <w:color w:val="0D0D0D" w:themeColor="text1" w:themeTint="F2"/>
          <w:lang w:val="en-IE"/>
        </w:rPr>
        <w:t xml:space="preserve"> </w:t>
      </w:r>
      <w:r w:rsidR="00CA4A3A" w:rsidRPr="004A03EB">
        <w:t>The Draft National Strategy has been prepared and presented at the Conference that was held on December 16</w:t>
      </w:r>
      <w:r w:rsidR="00CA4A3A" w:rsidRPr="004A03EB">
        <w:rPr>
          <w:vertAlign w:val="superscript"/>
        </w:rPr>
        <w:t>th,</w:t>
      </w:r>
      <w:r w:rsidR="00CA4A3A" w:rsidRPr="004A03EB">
        <w:t>, 2022 n Skopje.</w:t>
      </w:r>
      <w:r w:rsidR="00480008" w:rsidRPr="004A03EB">
        <w:t xml:space="preserve"> Adoption is expected in 2023. </w:t>
      </w:r>
    </w:p>
    <w:p w14:paraId="7847EA6F" w14:textId="0F584B30" w:rsidR="00EB1F4B" w:rsidRPr="004A03EB" w:rsidRDefault="00EB1F4B" w:rsidP="00CA22CD">
      <w:pPr>
        <w:pStyle w:val="ListParagraph"/>
        <w:numPr>
          <w:ilvl w:val="0"/>
          <w:numId w:val="59"/>
        </w:numPr>
        <w:spacing w:before="120" w:after="120"/>
        <w:ind w:left="1434" w:hanging="357"/>
        <w:contextualSpacing w:val="0"/>
        <w:rPr>
          <w:lang w:val="en-IE"/>
        </w:rPr>
      </w:pPr>
      <w:r w:rsidRPr="004A03EB">
        <w:t xml:space="preserve">For </w:t>
      </w:r>
      <w:r w:rsidRPr="00CA22CD">
        <w:rPr>
          <w:bCs/>
        </w:rPr>
        <w:t>Output 2</w:t>
      </w:r>
      <w:r w:rsidR="004A03EB" w:rsidRPr="00CA22CD">
        <w:rPr>
          <w:bCs/>
        </w:rPr>
        <w:t>(3)</w:t>
      </w:r>
      <w:r w:rsidR="004A03EB">
        <w:t>, the FVA engages to</w:t>
      </w:r>
      <w:r>
        <w:t xml:space="preserve"> </w:t>
      </w:r>
      <w:r w:rsidR="00480008" w:rsidRPr="004A03EB">
        <w:rPr>
          <w:lang w:val="en-US"/>
        </w:rPr>
        <w:t xml:space="preserve">upgrade </w:t>
      </w:r>
      <w:r w:rsidR="004A03EB">
        <w:rPr>
          <w:lang w:val="en-US"/>
        </w:rPr>
        <w:t xml:space="preserve">the IT system with </w:t>
      </w:r>
      <w:r w:rsidR="00480008" w:rsidRPr="004A03EB">
        <w:rPr>
          <w:lang w:val="en-US"/>
        </w:rPr>
        <w:t xml:space="preserve"> modules and features</w:t>
      </w:r>
      <w:r w:rsidR="00480008">
        <w:t xml:space="preserve"> under FAO project </w:t>
      </w:r>
      <w:r w:rsidR="00480008" w:rsidRPr="004A03EB">
        <w:rPr>
          <w:lang w:val="en-US"/>
        </w:rPr>
        <w:t xml:space="preserve">“Technical Assistance for aligning of the National Animal Health and Food Safety system to the standards of the European Union”.    </w:t>
      </w:r>
    </w:p>
    <w:p w14:paraId="43117A76" w14:textId="77777777" w:rsidR="000827CD" w:rsidRPr="0006347F" w:rsidRDefault="001706D6" w:rsidP="00CA22CD">
      <w:pPr>
        <w:pStyle w:val="Heading1"/>
        <w:spacing w:before="240" w:after="240"/>
        <w:ind w:left="284"/>
      </w:pPr>
      <w:bookmarkStart w:id="315" w:name="_Toc73090777"/>
      <w:r w:rsidRPr="0006347F">
        <w:t>PERFORMANCE</w:t>
      </w:r>
      <w:bookmarkEnd w:id="212"/>
      <w:bookmarkEnd w:id="213"/>
      <w:bookmarkEnd w:id="214"/>
      <w:r w:rsidR="00D07ECD" w:rsidRPr="0006347F">
        <w:t xml:space="preserve"> MEASUREMENT</w:t>
      </w:r>
      <w:bookmarkEnd w:id="315"/>
      <w:r w:rsidR="00D23527" w:rsidRPr="0006347F">
        <w:t xml:space="preserve"> </w:t>
      </w:r>
      <w:bookmarkStart w:id="316" w:name="_Toc59023393"/>
      <w:bookmarkStart w:id="317" w:name="_Toc59029562"/>
      <w:bookmarkStart w:id="318" w:name="_Toc59030378"/>
      <w:bookmarkStart w:id="319" w:name="_Toc59031695"/>
      <w:bookmarkStart w:id="320" w:name="_Toc62247194"/>
      <w:bookmarkStart w:id="321" w:name="_Toc62247251"/>
      <w:bookmarkStart w:id="322" w:name="_Toc62459293"/>
      <w:bookmarkStart w:id="323" w:name="_Toc62476957"/>
      <w:bookmarkStart w:id="324" w:name="_Toc63235865"/>
      <w:bookmarkStart w:id="325" w:name="_Toc63248971"/>
      <w:bookmarkStart w:id="326" w:name="_Toc63263300"/>
      <w:bookmarkStart w:id="327" w:name="_Toc64043077"/>
      <w:bookmarkStart w:id="328" w:name="_Toc65663790"/>
      <w:bookmarkStart w:id="329" w:name="_Toc65665606"/>
      <w:bookmarkStart w:id="330" w:name="_Toc65665968"/>
      <w:bookmarkStart w:id="331" w:name="_Toc65666145"/>
      <w:bookmarkStart w:id="332" w:name="_Toc65671222"/>
      <w:bookmarkStart w:id="333" w:name="_Toc65671281"/>
      <w:bookmarkStart w:id="334" w:name="_Toc65671938"/>
      <w:bookmarkStart w:id="335" w:name="_Toc65674794"/>
      <w:bookmarkStart w:id="336" w:name="_Toc65676444"/>
      <w:bookmarkStart w:id="337" w:name="_Toc65688281"/>
      <w:bookmarkStart w:id="338" w:name="_Toc66465171"/>
      <w:bookmarkStart w:id="339" w:name="_Toc66465624"/>
      <w:bookmarkStart w:id="340" w:name="_Toc66465683"/>
      <w:bookmarkStart w:id="341" w:name="_Toc66696409"/>
      <w:bookmarkStart w:id="342" w:name="_Toc67665957"/>
      <w:bookmarkStart w:id="343" w:name="_Toc69384786"/>
      <w:bookmarkStart w:id="344" w:name="_Toc69384917"/>
      <w:bookmarkStart w:id="345" w:name="_Toc69385045"/>
      <w:bookmarkStart w:id="346" w:name="_Toc69385173"/>
      <w:bookmarkStart w:id="347" w:name="_Toc69460921"/>
      <w:bookmarkStart w:id="348" w:name="_Toc69461048"/>
      <w:bookmarkStart w:id="349" w:name="_Toc69469940"/>
      <w:bookmarkStart w:id="350" w:name="_Toc69485803"/>
      <w:bookmarkStart w:id="351" w:name="_Toc69487678"/>
      <w:bookmarkStart w:id="352" w:name="_Toc72142271"/>
      <w:bookmarkStart w:id="353" w:name="_Toc72142356"/>
      <w:bookmarkStart w:id="354" w:name="_Toc73090695"/>
      <w:bookmarkStart w:id="355" w:name="_Toc73090778"/>
      <w:bookmarkStart w:id="356" w:name="_Toc47101983"/>
      <w:bookmarkStart w:id="357" w:name="_Toc51270478"/>
      <w:bookmarkStart w:id="358" w:name="_Ref5835913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1093D371" w14:textId="77777777" w:rsidR="00811AA9" w:rsidRPr="003C0CD7" w:rsidRDefault="00811AA9" w:rsidP="00CA22CD">
      <w:pPr>
        <w:pStyle w:val="Heading1"/>
        <w:numPr>
          <w:ilvl w:val="1"/>
          <w:numId w:val="1"/>
        </w:numPr>
        <w:spacing w:before="240" w:after="240"/>
        <w:ind w:left="851"/>
        <w:rPr>
          <w:lang w:val="en-IE"/>
        </w:rPr>
      </w:pPr>
      <w:bookmarkStart w:id="359" w:name="_Toc73090779"/>
      <w:r w:rsidRPr="003C0CD7">
        <w:rPr>
          <w:lang w:val="en-IE"/>
        </w:rPr>
        <w:t>Monitoring</w:t>
      </w:r>
      <w:bookmarkEnd w:id="356"/>
      <w:bookmarkEnd w:id="357"/>
      <w:bookmarkEnd w:id="358"/>
      <w:r w:rsidRPr="003C0CD7">
        <w:rPr>
          <w:lang w:val="en-IE"/>
        </w:rPr>
        <w:t xml:space="preserve"> and Reporting</w:t>
      </w:r>
      <w:bookmarkEnd w:id="359"/>
    </w:p>
    <w:p w14:paraId="66E61346" w14:textId="58399CDF" w:rsidR="00635FD9" w:rsidRPr="003C0CD7" w:rsidRDefault="00635FD9" w:rsidP="00CA22CD">
      <w:pPr>
        <w:spacing w:before="120"/>
        <w:ind w:left="720"/>
        <w:rPr>
          <w:lang w:val="en-IE"/>
        </w:rPr>
      </w:pPr>
      <w:bookmarkStart w:id="360" w:name="_Toc391992329"/>
      <w:bookmarkStart w:id="361" w:name="_Toc391999079"/>
      <w:r w:rsidRPr="00C85643">
        <w:t xml:space="preserve">The day-to-day technical and financial monitoring of the implementation of this action will be a continuous process, and part of the implementing partner’s responsibilities. To this aim, the implementing partner shall establish a permanent internal, technical and financial monitoring system for the action and elaborate regular progress reports (not less than annual) and final reports. Every report shall provide an accurate account of implementation of the action, difficulties encountered, changes introduced, as well as the degree of achievement of its Outputs and </w:t>
      </w:r>
      <w:r>
        <w:t>contribution to the achievement of</w:t>
      </w:r>
      <w:r w:rsidRPr="005D6559">
        <w:t xml:space="preserve"> </w:t>
      </w:r>
      <w:r>
        <w:t>its</w:t>
      </w:r>
      <w:r w:rsidRPr="00C85643">
        <w:t xml:space="preserve"> Outcomes</w:t>
      </w:r>
      <w:r>
        <w:t xml:space="preserve">, and if possible at the time of reporting, contribution to the achievement of its Impacts, </w:t>
      </w:r>
      <w:r w:rsidRPr="00C85643">
        <w:t xml:space="preserve"> as measured by corresponding indicators, using as reference </w:t>
      </w:r>
      <w:r w:rsidRPr="00CF5450">
        <w:t xml:space="preserve">the logframe matrix </w:t>
      </w:r>
      <w:r w:rsidRPr="00CF5450" w:rsidDel="0008697A">
        <w:t>(</w:t>
      </w:r>
      <w:r w:rsidRPr="00CF5450">
        <w:t>for project modality</w:t>
      </w:r>
      <w:r w:rsidRPr="00CF5450" w:rsidDel="0008697A">
        <w:t>)</w:t>
      </w:r>
      <w:r w:rsidRPr="00CF5450" w:rsidDel="000C475F">
        <w:t xml:space="preserve"> </w:t>
      </w:r>
      <w:r w:rsidRPr="00CF5450">
        <w:t>and the partner’s strategy, policy or reform action plan</w:t>
      </w:r>
      <w:r w:rsidRPr="00CF5450" w:rsidDel="00E52AC2">
        <w:t xml:space="preserve"> </w:t>
      </w:r>
      <w:r w:rsidRPr="00CF5450">
        <w:t xml:space="preserve">list </w:t>
      </w:r>
      <w:r w:rsidRPr="00CF5450" w:rsidDel="0008697A">
        <w:t>(</w:t>
      </w:r>
      <w:r w:rsidRPr="00CF5450">
        <w:t>for budget support</w:t>
      </w:r>
      <w:r w:rsidRPr="00CF5450" w:rsidDel="0008697A">
        <w:t>)</w:t>
      </w:r>
      <w:r w:rsidRPr="00CF5450">
        <w:t>.</w:t>
      </w:r>
      <w:r w:rsidRPr="005D6559">
        <w:t xml:space="preserve"> </w:t>
      </w:r>
      <w:r w:rsidRPr="003C0CD7">
        <w:rPr>
          <w:lang w:val="en-IE"/>
        </w:rPr>
        <w:t xml:space="preserve">The Commission may undertake additional project monitoring visits both through its own staff and through independent consultants recruited directly by the Commission for independent monitoring reviews (or recruited by the responsible agent contracted by the Commission for implementing such reviews). </w:t>
      </w:r>
    </w:p>
    <w:p w14:paraId="237E654F" w14:textId="77777777" w:rsidR="00635FD9" w:rsidRDefault="00635FD9" w:rsidP="00635FD9">
      <w:pPr>
        <w:spacing w:before="120"/>
        <w:ind w:left="720"/>
        <w:rPr>
          <w:rFonts w:cs="Times New Roman"/>
        </w:rPr>
      </w:pPr>
      <w:r>
        <w:rPr>
          <w:rFonts w:cs="Times New Roman"/>
          <w:szCs w:val="24"/>
        </w:rPr>
        <w:t>Arrangements for monitoring and reporting, including r</w:t>
      </w:r>
      <w:r w:rsidRPr="003C0CD7">
        <w:rPr>
          <w:rFonts w:cs="Times New Roman"/>
          <w:lang w:val="en-IE"/>
        </w:rPr>
        <w:t>oles and responsibilities for data collection, analysis and monitoring:</w:t>
      </w:r>
      <w:r w:rsidRPr="003E42CF">
        <w:rPr>
          <w:rFonts w:cs="Times New Roman"/>
        </w:rPr>
        <w:t xml:space="preserve"> </w:t>
      </w:r>
      <w:r>
        <w:rPr>
          <w:rFonts w:cs="Times New Roman"/>
        </w:rPr>
        <w:t xml:space="preserve">the implementation of the Action will be monitored at the sector level through the established 2020 Performance Assessment Framework (PAF), which includes outcome and impact indicators, targets and baseline data. PAF has been established as a web-based application (backed up by a government decision on responsibilities and deadlines), allowing regular electronic data input, processing, and analytics. The PAF data will be used in the Sector Working Group on Health, which is also the inclusive platform for all stakeholders to monitor the implementation of the sector priorities. </w:t>
      </w:r>
    </w:p>
    <w:p w14:paraId="7280692C" w14:textId="0E0AE3E0" w:rsidR="00635FD9" w:rsidRPr="001E264E" w:rsidRDefault="00635FD9" w:rsidP="00CA22CD">
      <w:pPr>
        <w:spacing w:before="120"/>
        <w:ind w:left="720"/>
        <w:rPr>
          <w:rFonts w:eastAsia="Calibri" w:cs="Times New Roman"/>
        </w:rPr>
      </w:pPr>
      <w:r>
        <w:rPr>
          <w:rFonts w:cs="Times New Roman"/>
        </w:rPr>
        <w:t>At the output level, data about each project and contract implementation will be collected in OPSYS. They will be based on official reports, acceptance certificates or equivalent documents. The competent actors are expected to produce timely and meaningful data to monitor the results and impact of the Action.</w:t>
      </w:r>
    </w:p>
    <w:p w14:paraId="470BBD67" w14:textId="77777777" w:rsidR="00143C18" w:rsidRPr="003C0CD7" w:rsidRDefault="00FD7FCD" w:rsidP="004A03EB">
      <w:pPr>
        <w:pStyle w:val="Heading1"/>
        <w:numPr>
          <w:ilvl w:val="1"/>
          <w:numId w:val="1"/>
        </w:numPr>
        <w:ind w:left="851" w:hanging="425"/>
        <w:rPr>
          <w:lang w:val="en-IE"/>
        </w:rPr>
      </w:pPr>
      <w:bookmarkStart w:id="362" w:name="_Toc47101985"/>
      <w:bookmarkStart w:id="363" w:name="_Toc51270480"/>
      <w:bookmarkStart w:id="364" w:name="_Ref58841072"/>
      <w:bookmarkStart w:id="365" w:name="_Toc73090780"/>
      <w:bookmarkEnd w:id="360"/>
      <w:bookmarkEnd w:id="361"/>
      <w:r w:rsidRPr="003C0CD7">
        <w:rPr>
          <w:lang w:val="en-IE"/>
        </w:rPr>
        <w:lastRenderedPageBreak/>
        <w:t>Evaluation</w:t>
      </w:r>
      <w:bookmarkEnd w:id="362"/>
      <w:bookmarkEnd w:id="363"/>
      <w:bookmarkEnd w:id="364"/>
      <w:bookmarkEnd w:id="365"/>
    </w:p>
    <w:p w14:paraId="5D860E88" w14:textId="77777777" w:rsidR="00635FD9" w:rsidRPr="00C85643" w:rsidRDefault="00635FD9" w:rsidP="00CA22CD">
      <w:pPr>
        <w:spacing w:before="120"/>
        <w:ind w:left="720"/>
      </w:pPr>
      <w:r w:rsidRPr="00093D10">
        <w:t xml:space="preserve">Having regard to the importance of the Action, a final evaluation will be carried out for this Action or </w:t>
      </w:r>
      <w:r w:rsidRPr="00093D10">
        <w:rPr>
          <w:snapToGrid w:val="0"/>
          <w:szCs w:val="24"/>
        </w:rPr>
        <w:t>its components</w:t>
      </w:r>
      <w:r w:rsidRPr="00093D10">
        <w:t xml:space="preserve"> via independent consultants. It will be carried out for accountability and learning purposes at various levels (including for policy revision</w:t>
      </w:r>
      <w:r>
        <w:t>).</w:t>
      </w:r>
    </w:p>
    <w:p w14:paraId="3D033540" w14:textId="383EBE1D" w:rsidR="00635FD9" w:rsidRPr="00093D10" w:rsidRDefault="00635FD9" w:rsidP="00CA22CD">
      <w:pPr>
        <w:spacing w:before="120" w:line="280" w:lineRule="atLeast"/>
        <w:ind w:left="720"/>
        <w:rPr>
          <w:snapToGrid w:val="0"/>
          <w:szCs w:val="24"/>
        </w:rPr>
      </w:pPr>
      <w:r w:rsidRPr="00093D10">
        <w:rPr>
          <w:szCs w:val="24"/>
        </w:rPr>
        <w:t xml:space="preserve">The Commission shall form a Reference Group (RG) composed by representatives from the main stakeholders at both EU and national (representatives from the government, from civil society organisations (private sector, NGOs, etc.), etc.) levels. If deemed necessary, other donors will be invited to join. </w:t>
      </w:r>
      <w:r w:rsidRPr="00093D10" w:rsidDel="00046EBD">
        <w:rPr>
          <w:szCs w:val="24"/>
        </w:rPr>
        <w:t xml:space="preserve"> </w:t>
      </w:r>
      <w:r w:rsidRPr="00093D10">
        <w:t xml:space="preserve">The Commission shall inform the implementing partner at least 2 months in advance of the dates envisaged for the evaluation </w:t>
      </w:r>
      <w:r w:rsidRPr="00093D10">
        <w:rPr>
          <w:snapToGrid w:val="0"/>
          <w:szCs w:val="24"/>
        </w:rPr>
        <w:t xml:space="preserve">exercise and </w:t>
      </w:r>
      <w:r w:rsidRPr="00093D10">
        <w:t>missions. The implementing partner shall collaborate efficiently and effectively with the evaluation experts, and inter alia provide them with all necessary information and documentation, as well as access to the project premises and activities.</w:t>
      </w:r>
      <w:r w:rsidRPr="00093D10">
        <w:rPr>
          <w:snapToGrid w:val="0"/>
          <w:szCs w:val="24"/>
        </w:rPr>
        <w:t xml:space="preserve"> </w:t>
      </w:r>
    </w:p>
    <w:p w14:paraId="3FBFCB20" w14:textId="160500A7" w:rsidR="00D54B6E" w:rsidRPr="00C85643" w:rsidRDefault="00635FD9" w:rsidP="00CA22CD">
      <w:pPr>
        <w:spacing w:before="120"/>
        <w:ind w:left="720"/>
      </w:pPr>
      <w:r w:rsidRPr="00C85643">
        <w:t>The evaluation reports shall be shared with the partner country and other key stakeholders following the best practice of evaluation dissemination</w:t>
      </w:r>
      <w:r w:rsidRPr="00C85643">
        <w:rPr>
          <w:rStyle w:val="FootnoteReference"/>
        </w:rPr>
        <w:footnoteReference w:id="23"/>
      </w:r>
      <w:r w:rsidRPr="00C85643">
        <w:t>. The implementing partner and the Commission shall analyse the conclusions and recommendations of the evaluations and, where appropriate, in agreement with the partner country, jointly decide on the follow-up actions to be taken and any adjustments necessary, including, if indicated, the reorientation of the project</w:t>
      </w:r>
      <w:r w:rsidR="00B86410" w:rsidRPr="00B86410">
        <w:rPr>
          <w:rFonts w:eastAsia="Calibri" w:cs="Arial"/>
          <w:color w:val="000000"/>
        </w:rPr>
        <w:t>.</w:t>
      </w:r>
    </w:p>
    <w:p w14:paraId="3BE06045" w14:textId="77777777" w:rsidR="00143C18" w:rsidRPr="003C0CD7" w:rsidRDefault="00BA0E8A" w:rsidP="00CA22CD">
      <w:pPr>
        <w:pStyle w:val="Heading1"/>
        <w:numPr>
          <w:ilvl w:val="1"/>
          <w:numId w:val="1"/>
        </w:numPr>
        <w:spacing w:before="240" w:after="240"/>
        <w:ind w:left="851" w:hanging="431"/>
        <w:rPr>
          <w:lang w:val="en-IE"/>
        </w:rPr>
      </w:pPr>
      <w:bookmarkStart w:id="366" w:name="_Ref58841050"/>
      <w:bookmarkStart w:id="367" w:name="_Toc73090781"/>
      <w:r w:rsidRPr="003C0CD7">
        <w:rPr>
          <w:lang w:val="en-IE"/>
        </w:rPr>
        <w:t xml:space="preserve">Audit and </w:t>
      </w:r>
      <w:r w:rsidR="0079347D" w:rsidRPr="003C0CD7">
        <w:rPr>
          <w:lang w:val="en-IE"/>
        </w:rPr>
        <w:t>V</w:t>
      </w:r>
      <w:r w:rsidR="000F408A" w:rsidRPr="003C0CD7">
        <w:rPr>
          <w:lang w:val="en-IE"/>
        </w:rPr>
        <w:t>erifications</w:t>
      </w:r>
      <w:bookmarkEnd w:id="366"/>
      <w:bookmarkEnd w:id="367"/>
    </w:p>
    <w:p w14:paraId="29DA0225" w14:textId="77777777" w:rsidR="00E360A2" w:rsidRPr="006477D1" w:rsidRDefault="00E360A2" w:rsidP="00CA22CD">
      <w:pPr>
        <w:ind w:left="720"/>
        <w:rPr>
          <w:rFonts w:cs="Times New Roman"/>
          <w:lang w:val="en-IE"/>
        </w:rPr>
      </w:pPr>
      <w:r w:rsidRPr="003C0CD7">
        <w:rPr>
          <w:rFonts w:cs="Times New Roman"/>
          <w:lang w:val="en-IE"/>
        </w:rPr>
        <w:t>Without prejudice to the obligations applicable to contracts concluded for the implementation of this action, the Commission may, on the basis of a risk assessment, contract independent audit or verification assignments for one or s</w:t>
      </w:r>
      <w:r w:rsidR="006477D1">
        <w:rPr>
          <w:rFonts w:cs="Times New Roman"/>
          <w:lang w:val="en-IE"/>
        </w:rPr>
        <w:t>everal contracts or agreements.</w:t>
      </w:r>
    </w:p>
    <w:p w14:paraId="2B911F6F" w14:textId="77777777" w:rsidR="00143C18" w:rsidRDefault="00B85F70" w:rsidP="00CA22CD">
      <w:pPr>
        <w:pStyle w:val="Heading1"/>
        <w:spacing w:before="240" w:after="240"/>
        <w:ind w:left="425" w:hanging="357"/>
        <w:rPr>
          <w:lang w:val="en-IE"/>
        </w:rPr>
      </w:pPr>
      <w:bookmarkStart w:id="368" w:name="_Toc47101987"/>
      <w:bookmarkStart w:id="369" w:name="_Toc51270482"/>
      <w:bookmarkStart w:id="370" w:name="_Ref58359370"/>
      <w:bookmarkStart w:id="371" w:name="_Ref58841100"/>
      <w:bookmarkStart w:id="372" w:name="_Toc73090782"/>
      <w:r>
        <w:rPr>
          <w:lang w:val="en-IE"/>
        </w:rPr>
        <w:t xml:space="preserve">STRATEGIC </w:t>
      </w:r>
      <w:r w:rsidR="00BE77D6" w:rsidRPr="003C0CD7">
        <w:rPr>
          <w:lang w:val="en-IE"/>
        </w:rPr>
        <w:t xml:space="preserve">COMMUNICATION AND </w:t>
      </w:r>
      <w:bookmarkEnd w:id="368"/>
      <w:bookmarkEnd w:id="369"/>
      <w:bookmarkEnd w:id="370"/>
      <w:bookmarkEnd w:id="371"/>
      <w:bookmarkEnd w:id="372"/>
      <w:r>
        <w:rPr>
          <w:lang w:val="en-IE"/>
        </w:rPr>
        <w:t>PUBLIC DIPLOMACY</w:t>
      </w:r>
      <w:r w:rsidRPr="003C0CD7">
        <w:rPr>
          <w:lang w:val="en-IE"/>
        </w:rPr>
        <w:t xml:space="preserve"> </w:t>
      </w:r>
    </w:p>
    <w:p w14:paraId="25D668A4" w14:textId="255E1A6A" w:rsidR="00635FD9" w:rsidRDefault="00635FD9" w:rsidP="00CA22CD">
      <w:pPr>
        <w:spacing w:before="120"/>
        <w:ind w:left="720"/>
        <w:rPr>
          <w:rFonts w:cs="Times New Roman"/>
          <w:color w:val="0D0D0D" w:themeColor="text1" w:themeTint="F2"/>
          <w:szCs w:val="24"/>
        </w:rPr>
      </w:pPr>
      <w:r w:rsidRPr="00076DCC">
        <w:rPr>
          <w:szCs w:val="24"/>
        </w:rPr>
        <w:t>A</w:t>
      </w:r>
      <w:r w:rsidRPr="00076DCC">
        <w:rPr>
          <w:szCs w:val="24"/>
          <w:lang w:val="en-US"/>
        </w:rPr>
        <w:t xml:space="preserve">ll entities implementing EU-funded external actions have the contractual obligation to inform the relevant audiences of the Union’s support for their work by displaying the EU emblem and a short funding statement as appropriate on all communication materials related to the actions concerned. </w:t>
      </w:r>
      <w:r w:rsidRPr="00076DCC">
        <w:rPr>
          <w:rFonts w:cs="Times New Roman"/>
          <w:color w:val="0D0D0D" w:themeColor="text1" w:themeTint="F2"/>
          <w:szCs w:val="24"/>
        </w:rPr>
        <w:t xml:space="preserve">To that end they must comply with the instructions given in the </w:t>
      </w:r>
      <w:r>
        <w:rPr>
          <w:rFonts w:cs="Times New Roman"/>
          <w:color w:val="0D0D0D" w:themeColor="text1" w:themeTint="F2"/>
          <w:szCs w:val="24"/>
        </w:rPr>
        <w:t xml:space="preserve">2022 guidance document </w:t>
      </w:r>
      <w:hyperlink r:id="rId25" w:history="1">
        <w:r w:rsidRPr="00FC5D8D">
          <w:rPr>
            <w:rStyle w:val="Hyperlink"/>
            <w:rFonts w:cs="Times New Roman"/>
            <w:i/>
            <w:szCs w:val="24"/>
          </w:rPr>
          <w:t>Communicating and raising EU visibility: Guidance for external actions</w:t>
        </w:r>
      </w:hyperlink>
      <w:r w:rsidRPr="008C7B9F">
        <w:rPr>
          <w:rFonts w:cs="Times New Roman"/>
          <w:color w:val="0D0D0D" w:themeColor="text1" w:themeTint="F2"/>
          <w:szCs w:val="24"/>
        </w:rPr>
        <w:t xml:space="preserve"> </w:t>
      </w:r>
      <w:r w:rsidRPr="00076DCC">
        <w:rPr>
          <w:rFonts w:cs="Times New Roman"/>
          <w:color w:val="0D0D0D" w:themeColor="text1" w:themeTint="F2"/>
          <w:szCs w:val="24"/>
        </w:rPr>
        <w:t xml:space="preserve">(or any successor document).  </w:t>
      </w:r>
    </w:p>
    <w:p w14:paraId="18AAD91B" w14:textId="77777777" w:rsidR="00635FD9" w:rsidRPr="00C85643" w:rsidRDefault="00635FD9" w:rsidP="00CA22CD">
      <w:pPr>
        <w:spacing w:before="120"/>
        <w:ind w:left="720"/>
        <w:rPr>
          <w:color w:val="0D0D0D" w:themeColor="text1" w:themeTint="F2"/>
        </w:rPr>
      </w:pPr>
      <w:r w:rsidRPr="00076DCC">
        <w:rPr>
          <w:rFonts w:cs="Times New Roman"/>
          <w:color w:val="0D0D0D" w:themeColor="text1" w:themeTint="F2"/>
          <w:szCs w:val="24"/>
        </w:rPr>
        <w:t>This obligation will apply equally, regardless of whether</w:t>
      </w:r>
      <w:r w:rsidRPr="00C85643">
        <w:rPr>
          <w:color w:val="0D0D0D" w:themeColor="text1" w:themeTint="F2"/>
        </w:rPr>
        <w:t xml:space="preserve"> the </w:t>
      </w:r>
      <w:r w:rsidRPr="00076DCC">
        <w:rPr>
          <w:rFonts w:cs="Times New Roman"/>
          <w:color w:val="0D0D0D" w:themeColor="text1" w:themeTint="F2"/>
          <w:szCs w:val="24"/>
        </w:rPr>
        <w:t>actions concerned are</w:t>
      </w:r>
      <w:r w:rsidRPr="00C85643">
        <w:rPr>
          <w:color w:val="0D0D0D" w:themeColor="text1" w:themeTint="F2"/>
        </w:rPr>
        <w:t xml:space="preserve"> implemented by the </w:t>
      </w:r>
      <w:r w:rsidRPr="00076DCC">
        <w:rPr>
          <w:rFonts w:cs="Times New Roman"/>
          <w:color w:val="0D0D0D" w:themeColor="text1" w:themeTint="F2"/>
          <w:szCs w:val="24"/>
        </w:rPr>
        <w:t>Commission,</w:t>
      </w:r>
      <w:r w:rsidRPr="00C85643">
        <w:rPr>
          <w:color w:val="0D0D0D" w:themeColor="text1" w:themeTint="F2"/>
        </w:rPr>
        <w:t xml:space="preserve"> the </w:t>
      </w:r>
      <w:r w:rsidRPr="00076DCC">
        <w:rPr>
          <w:rFonts w:cs="Times New Roman"/>
          <w:color w:val="0D0D0D" w:themeColor="text1" w:themeTint="F2"/>
          <w:szCs w:val="24"/>
        </w:rPr>
        <w:t xml:space="preserve">partner country, service providers, </w:t>
      </w:r>
      <w:r w:rsidRPr="00C85643">
        <w:rPr>
          <w:color w:val="0D0D0D" w:themeColor="text1" w:themeTint="F2"/>
        </w:rPr>
        <w:t>grant beneficiaries</w:t>
      </w:r>
      <w:r w:rsidRPr="00076DCC">
        <w:rPr>
          <w:rFonts w:cs="Times New Roman"/>
          <w:color w:val="0D0D0D" w:themeColor="text1" w:themeTint="F2"/>
          <w:szCs w:val="24"/>
        </w:rPr>
        <w:t xml:space="preserve"> or entrusted or delegated entities such as UN agencies, international financial institutions and agencies of EU Member States. In each case, a reference to the relevant </w:t>
      </w:r>
      <w:r w:rsidRPr="00C85643">
        <w:rPr>
          <w:color w:val="0D0D0D" w:themeColor="text1" w:themeTint="F2"/>
        </w:rPr>
        <w:t xml:space="preserve">contractual obligations </w:t>
      </w:r>
      <w:r w:rsidRPr="00076DCC">
        <w:rPr>
          <w:rFonts w:cs="Times New Roman"/>
          <w:color w:val="0D0D0D" w:themeColor="text1" w:themeTint="F2"/>
          <w:szCs w:val="24"/>
        </w:rPr>
        <w:t>must</w:t>
      </w:r>
      <w:r w:rsidRPr="00C85643">
        <w:rPr>
          <w:color w:val="0D0D0D" w:themeColor="text1" w:themeTint="F2"/>
        </w:rPr>
        <w:t xml:space="preserve"> be included in </w:t>
      </w:r>
      <w:r w:rsidRPr="00076DCC">
        <w:rPr>
          <w:rFonts w:cs="Times New Roman"/>
          <w:color w:val="0D0D0D" w:themeColor="text1" w:themeTint="F2"/>
          <w:szCs w:val="24"/>
        </w:rPr>
        <w:t xml:space="preserve">the respective </w:t>
      </w:r>
      <w:r w:rsidRPr="00C85643">
        <w:rPr>
          <w:color w:val="0D0D0D" w:themeColor="text1" w:themeTint="F2"/>
        </w:rPr>
        <w:t xml:space="preserve">financing </w:t>
      </w:r>
      <w:r w:rsidRPr="00076DCC">
        <w:rPr>
          <w:rFonts w:cs="Times New Roman"/>
          <w:color w:val="0D0D0D" w:themeColor="text1" w:themeTint="F2"/>
          <w:szCs w:val="24"/>
        </w:rPr>
        <w:t>agreement,</w:t>
      </w:r>
      <w:r w:rsidRPr="00C85643">
        <w:rPr>
          <w:color w:val="0D0D0D" w:themeColor="text1" w:themeTint="F2"/>
        </w:rPr>
        <w:t xml:space="preserve"> procurement and grant contracts</w:t>
      </w:r>
      <w:r w:rsidRPr="00076DCC">
        <w:rPr>
          <w:rFonts w:cs="Times New Roman"/>
          <w:color w:val="0D0D0D" w:themeColor="text1" w:themeTint="F2"/>
          <w:szCs w:val="24"/>
        </w:rPr>
        <w:t xml:space="preserve">, and </w:t>
      </w:r>
      <w:r>
        <w:rPr>
          <w:rFonts w:cs="Times New Roman"/>
          <w:color w:val="0D0D0D" w:themeColor="text1" w:themeTint="F2"/>
          <w:szCs w:val="24"/>
        </w:rPr>
        <w:t>contribution</w:t>
      </w:r>
      <w:r w:rsidRPr="00076DCC">
        <w:rPr>
          <w:rFonts w:cs="Times New Roman"/>
          <w:color w:val="0D0D0D" w:themeColor="text1" w:themeTint="F2"/>
          <w:szCs w:val="24"/>
        </w:rPr>
        <w:t xml:space="preserve"> agreements</w:t>
      </w:r>
      <w:r w:rsidRPr="00C85643">
        <w:rPr>
          <w:color w:val="0D0D0D" w:themeColor="text1" w:themeTint="F2"/>
        </w:rPr>
        <w:t>.</w:t>
      </w:r>
    </w:p>
    <w:p w14:paraId="6071410D" w14:textId="1A83E608" w:rsidR="0099058C" w:rsidRPr="003C0CD7" w:rsidRDefault="0099058C" w:rsidP="00CA22CD">
      <w:pPr>
        <w:pStyle w:val="Heading1"/>
        <w:spacing w:before="240" w:after="240"/>
        <w:ind w:left="426" w:hanging="357"/>
        <w:rPr>
          <w:sz w:val="32"/>
          <w:lang w:val="en-IE"/>
        </w:rPr>
      </w:pPr>
      <w:bookmarkStart w:id="373" w:name="_Toc72142276"/>
      <w:bookmarkStart w:id="374" w:name="_Toc72142361"/>
      <w:bookmarkStart w:id="375" w:name="_Toc73090700"/>
      <w:bookmarkStart w:id="376" w:name="_Toc73090783"/>
      <w:bookmarkStart w:id="377" w:name="_Toc72142277"/>
      <w:bookmarkStart w:id="378" w:name="_Toc72142362"/>
      <w:bookmarkStart w:id="379" w:name="_Toc73090701"/>
      <w:bookmarkStart w:id="380" w:name="_Toc73090784"/>
      <w:bookmarkStart w:id="381" w:name="_Toc72142278"/>
      <w:bookmarkStart w:id="382" w:name="_Toc72142363"/>
      <w:bookmarkStart w:id="383" w:name="_Toc73090702"/>
      <w:bookmarkStart w:id="384" w:name="_Toc73090785"/>
      <w:bookmarkStart w:id="385" w:name="_Toc72142279"/>
      <w:bookmarkStart w:id="386" w:name="_Toc72142364"/>
      <w:bookmarkStart w:id="387" w:name="_Toc73090703"/>
      <w:bookmarkStart w:id="388" w:name="_Toc73090786"/>
      <w:bookmarkStart w:id="389" w:name="_Toc72142280"/>
      <w:bookmarkStart w:id="390" w:name="_Toc72142365"/>
      <w:bookmarkStart w:id="391" w:name="_Toc73090704"/>
      <w:bookmarkStart w:id="392" w:name="_Toc73090787"/>
      <w:bookmarkStart w:id="393" w:name="_Toc72142281"/>
      <w:bookmarkStart w:id="394" w:name="_Toc72142366"/>
      <w:bookmarkStart w:id="395" w:name="_Toc73090705"/>
      <w:bookmarkStart w:id="396" w:name="_Toc73090788"/>
      <w:bookmarkStart w:id="397" w:name="_Toc72142285"/>
      <w:bookmarkStart w:id="398" w:name="_Toc72142370"/>
      <w:bookmarkStart w:id="399" w:name="_Toc73090709"/>
      <w:bookmarkStart w:id="400" w:name="_Toc73090792"/>
      <w:bookmarkStart w:id="401" w:name="_Toc72142286"/>
      <w:bookmarkStart w:id="402" w:name="_Toc72142371"/>
      <w:bookmarkStart w:id="403" w:name="_Toc73090710"/>
      <w:bookmarkStart w:id="404" w:name="_Toc73090793"/>
      <w:bookmarkStart w:id="405" w:name="_Toc72142287"/>
      <w:bookmarkStart w:id="406" w:name="_Toc72142372"/>
      <w:bookmarkStart w:id="407" w:name="_Toc73090711"/>
      <w:bookmarkStart w:id="408" w:name="_Toc73090794"/>
      <w:bookmarkStart w:id="409" w:name="_Toc72142291"/>
      <w:bookmarkStart w:id="410" w:name="_Toc72142376"/>
      <w:bookmarkStart w:id="411" w:name="_Toc73090715"/>
      <w:bookmarkStart w:id="412" w:name="_Toc73090798"/>
      <w:bookmarkStart w:id="413" w:name="_Toc72142292"/>
      <w:bookmarkStart w:id="414" w:name="_Toc72142377"/>
      <w:bookmarkStart w:id="415" w:name="_Toc73090716"/>
      <w:bookmarkStart w:id="416" w:name="_Toc73090799"/>
      <w:bookmarkStart w:id="417" w:name="_Toc72142293"/>
      <w:bookmarkStart w:id="418" w:name="_Toc72142378"/>
      <w:bookmarkStart w:id="419" w:name="_Toc73090717"/>
      <w:bookmarkStart w:id="420" w:name="_Toc73090800"/>
      <w:bookmarkStart w:id="421" w:name="_Toc72142297"/>
      <w:bookmarkStart w:id="422" w:name="_Toc72142382"/>
      <w:bookmarkStart w:id="423" w:name="_Toc73090721"/>
      <w:bookmarkStart w:id="424" w:name="_Toc73090804"/>
      <w:bookmarkStart w:id="425" w:name="_Toc72142298"/>
      <w:bookmarkStart w:id="426" w:name="_Toc72142383"/>
      <w:bookmarkStart w:id="427" w:name="_Toc73090722"/>
      <w:bookmarkStart w:id="428" w:name="_Toc73090805"/>
      <w:bookmarkStart w:id="429" w:name="_Toc72142299"/>
      <w:bookmarkStart w:id="430" w:name="_Toc72142384"/>
      <w:bookmarkStart w:id="431" w:name="_Toc73090723"/>
      <w:bookmarkStart w:id="432" w:name="_Toc73090806"/>
      <w:bookmarkStart w:id="433" w:name="_Toc57195485"/>
      <w:bookmarkStart w:id="434" w:name="_Toc57203809"/>
      <w:bookmarkStart w:id="435" w:name="_Toc57204007"/>
      <w:bookmarkStart w:id="436" w:name="_Toc57205822"/>
      <w:bookmarkStart w:id="437" w:name="_Toc73090807"/>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3C0CD7">
        <w:rPr>
          <w:lang w:val="en-IE"/>
        </w:rPr>
        <w:t>SUSTAINABILITY</w:t>
      </w:r>
      <w:bookmarkEnd w:id="433"/>
      <w:bookmarkEnd w:id="434"/>
      <w:bookmarkEnd w:id="435"/>
      <w:bookmarkEnd w:id="436"/>
      <w:bookmarkEnd w:id="437"/>
    </w:p>
    <w:p w14:paraId="58A15CFF" w14:textId="26281A7E" w:rsidR="00973DC1" w:rsidRDefault="00973DC1" w:rsidP="00CA22CD">
      <w:pPr>
        <w:ind w:left="426"/>
        <w:rPr>
          <w:lang w:val="en-IE"/>
        </w:rPr>
      </w:pPr>
      <w:r>
        <w:rPr>
          <w:lang w:val="en-IE"/>
        </w:rPr>
        <w:t>The sustainability potential of the Action is high</w:t>
      </w:r>
      <w:r w:rsidR="009B1C94">
        <w:rPr>
          <w:lang w:val="en-IE"/>
        </w:rPr>
        <w:t xml:space="preserve"> at </w:t>
      </w:r>
      <w:r w:rsidR="009B1C94" w:rsidRPr="00534902">
        <w:rPr>
          <w:rFonts w:cs="Times New Roman"/>
          <w:lang w:val="en-IE"/>
        </w:rPr>
        <w:t>institutional, regula</w:t>
      </w:r>
      <w:r w:rsidR="009B1C94">
        <w:rPr>
          <w:rFonts w:cs="Times New Roman"/>
          <w:lang w:val="en-IE"/>
        </w:rPr>
        <w:t xml:space="preserve">tory, </w:t>
      </w:r>
      <w:r w:rsidR="009B1C94" w:rsidRPr="00534902">
        <w:rPr>
          <w:rFonts w:cs="Times New Roman"/>
          <w:lang w:val="en-IE"/>
        </w:rPr>
        <w:t xml:space="preserve">financial </w:t>
      </w:r>
      <w:r w:rsidR="009B1C94">
        <w:rPr>
          <w:rFonts w:cs="Times New Roman"/>
          <w:lang w:val="en-IE"/>
        </w:rPr>
        <w:t xml:space="preserve">and cultural </w:t>
      </w:r>
      <w:r w:rsidR="009B1C94" w:rsidRPr="00534902">
        <w:rPr>
          <w:rFonts w:cs="Times New Roman"/>
          <w:lang w:val="en-IE"/>
        </w:rPr>
        <w:t xml:space="preserve">levels. It is defined by the cross-pollination of </w:t>
      </w:r>
      <w:r w:rsidR="009B1C94">
        <w:rPr>
          <w:rFonts w:cs="Times New Roman"/>
          <w:lang w:val="en-IE"/>
        </w:rPr>
        <w:t xml:space="preserve">legislative harmonisation, regulative and methodological upgrades, digitalisation, </w:t>
      </w:r>
      <w:r w:rsidR="009B1C94" w:rsidRPr="00534902">
        <w:rPr>
          <w:rFonts w:cs="Times New Roman"/>
          <w:lang w:val="en-IE"/>
        </w:rPr>
        <w:t>capacity building, and awareness raising measures</w:t>
      </w:r>
    </w:p>
    <w:p w14:paraId="712F91DF" w14:textId="6EFFC034" w:rsidR="00973DC1" w:rsidRPr="00AA05FA" w:rsidRDefault="00973DC1" w:rsidP="00CA22CD">
      <w:pPr>
        <w:spacing w:before="120"/>
        <w:ind w:left="426"/>
        <w:rPr>
          <w:lang w:val="en-IE"/>
        </w:rPr>
      </w:pPr>
      <w:r w:rsidRPr="00AA05FA">
        <w:rPr>
          <w:lang w:val="en-IE"/>
        </w:rPr>
        <w:t xml:space="preserve">The Action includes a significant component </w:t>
      </w:r>
      <w:r w:rsidR="009B1C94">
        <w:rPr>
          <w:lang w:val="en-IE"/>
        </w:rPr>
        <w:t>targeting the</w:t>
      </w:r>
      <w:r w:rsidR="009B1C94" w:rsidRPr="00AA05FA">
        <w:rPr>
          <w:lang w:val="en-IE"/>
        </w:rPr>
        <w:t xml:space="preserve"> </w:t>
      </w:r>
      <w:r w:rsidRPr="00AA05FA">
        <w:rPr>
          <w:lang w:val="en-IE"/>
        </w:rPr>
        <w:t xml:space="preserve">aligning with the </w:t>
      </w:r>
      <w:r w:rsidRPr="00761107">
        <w:rPr>
          <w:i/>
          <w:iCs/>
          <w:lang w:val="en-IE"/>
        </w:rPr>
        <w:t>acquis</w:t>
      </w:r>
      <w:r w:rsidR="003478F7">
        <w:rPr>
          <w:i/>
          <w:iCs/>
          <w:lang w:val="en-IE"/>
        </w:rPr>
        <w:t xml:space="preserve"> </w:t>
      </w:r>
      <w:r w:rsidR="003478F7">
        <w:rPr>
          <w:iCs/>
          <w:lang w:val="en-IE"/>
        </w:rPr>
        <w:t>in the areas of internal market, agriculture and food safety</w:t>
      </w:r>
      <w:r w:rsidRPr="00AA05FA">
        <w:rPr>
          <w:lang w:val="en-IE"/>
        </w:rPr>
        <w:t xml:space="preserve">. </w:t>
      </w:r>
      <w:r w:rsidR="009B1C94">
        <w:rPr>
          <w:lang w:val="en-IE"/>
        </w:rPr>
        <w:t>T</w:t>
      </w:r>
      <w:r w:rsidRPr="00AA05FA">
        <w:rPr>
          <w:lang w:val="en-IE"/>
        </w:rPr>
        <w:t xml:space="preserve">he investment in </w:t>
      </w:r>
      <w:r w:rsidR="009B1C94">
        <w:rPr>
          <w:lang w:val="en-IE"/>
        </w:rPr>
        <w:t xml:space="preserve">legal </w:t>
      </w:r>
      <w:r w:rsidRPr="00AA05FA">
        <w:rPr>
          <w:lang w:val="en-IE"/>
        </w:rPr>
        <w:t xml:space="preserve">harmonisation </w:t>
      </w:r>
      <w:r w:rsidRPr="00901F60">
        <w:rPr>
          <w:lang w:val="en-IE"/>
        </w:rPr>
        <w:t xml:space="preserve">provides a </w:t>
      </w:r>
      <w:r w:rsidRPr="00901F60">
        <w:rPr>
          <w:lang w:val="en-IE"/>
        </w:rPr>
        <w:lastRenderedPageBreak/>
        <w:t xml:space="preserve">positive outlook for sustainability, as it </w:t>
      </w:r>
      <w:r w:rsidR="003478F7">
        <w:rPr>
          <w:lang w:val="en-IE"/>
        </w:rPr>
        <w:t>facilitate</w:t>
      </w:r>
      <w:r w:rsidR="00375F62">
        <w:rPr>
          <w:lang w:val="en-IE"/>
        </w:rPr>
        <w:t>s</w:t>
      </w:r>
      <w:r w:rsidR="003478F7">
        <w:rPr>
          <w:lang w:val="en-IE"/>
        </w:rPr>
        <w:t xml:space="preserve"> the economic partnerships and exchanges, supports the early integration conceps and advances the country’s accession</w:t>
      </w:r>
      <w:r w:rsidRPr="00AA05FA">
        <w:rPr>
          <w:lang w:val="en-IE"/>
        </w:rPr>
        <w:t xml:space="preserve">. Furthermore, the </w:t>
      </w:r>
      <w:r w:rsidR="003478F7">
        <w:rPr>
          <w:lang w:val="en-IE"/>
        </w:rPr>
        <w:t xml:space="preserve">early alignment provides the country with sufficient </w:t>
      </w:r>
      <w:r w:rsidRPr="00AA05FA">
        <w:rPr>
          <w:lang w:val="en-IE"/>
        </w:rPr>
        <w:t xml:space="preserve">time for </w:t>
      </w:r>
      <w:r w:rsidR="003478F7">
        <w:rPr>
          <w:lang w:val="en-IE"/>
        </w:rPr>
        <w:t>prepare the systems and economy for</w:t>
      </w:r>
      <w:r w:rsidRPr="00AA05FA">
        <w:rPr>
          <w:lang w:val="en-IE"/>
        </w:rPr>
        <w:t xml:space="preserve"> accession</w:t>
      </w:r>
      <w:r w:rsidR="00375F62">
        <w:rPr>
          <w:lang w:val="en-IE"/>
        </w:rPr>
        <w:t xml:space="preserve"> and for the competitive pressures of the EU market.</w:t>
      </w:r>
    </w:p>
    <w:p w14:paraId="7F042A7C" w14:textId="2010FC30" w:rsidR="00901F60" w:rsidRPr="00B215D0" w:rsidRDefault="00973DC1" w:rsidP="00CA22CD">
      <w:pPr>
        <w:spacing w:before="120"/>
        <w:ind w:left="426"/>
        <w:rPr>
          <w:rFonts w:cs="Times New Roman"/>
          <w:lang w:val="en-IE"/>
        </w:rPr>
      </w:pPr>
      <w:r w:rsidRPr="00761107">
        <w:rPr>
          <w:lang w:val="en-IE"/>
        </w:rPr>
        <w:t xml:space="preserve">This Action </w:t>
      </w:r>
      <w:r w:rsidR="00375F62">
        <w:rPr>
          <w:lang w:val="en-IE"/>
        </w:rPr>
        <w:t>invests in</w:t>
      </w:r>
      <w:r w:rsidRPr="00AA05FA">
        <w:rPr>
          <w:lang w:val="en-IE"/>
        </w:rPr>
        <w:t xml:space="preserve"> administrative capacities in relevant areas (market surveillance and consumer protection, intellectual rights, quality of food, phytosanitary and fishing)</w:t>
      </w:r>
      <w:r w:rsidR="00375F62">
        <w:rPr>
          <w:lang w:val="en-IE"/>
        </w:rPr>
        <w:t xml:space="preserve">, which is a game changer for any economy. </w:t>
      </w:r>
      <w:r w:rsidRPr="00AA05FA">
        <w:rPr>
          <w:lang w:val="en-IE"/>
        </w:rPr>
        <w:t xml:space="preserve">The improved quality of administrative and business services has the potential to push forward </w:t>
      </w:r>
      <w:r w:rsidR="00375F62">
        <w:rPr>
          <w:lang w:val="en-IE"/>
        </w:rPr>
        <w:t>the</w:t>
      </w:r>
      <w:r w:rsidR="00375F62" w:rsidRPr="00AA05FA">
        <w:rPr>
          <w:lang w:val="en-IE"/>
        </w:rPr>
        <w:t xml:space="preserve"> </w:t>
      </w:r>
      <w:r w:rsidRPr="00AA05FA">
        <w:rPr>
          <w:lang w:val="en-IE"/>
        </w:rPr>
        <w:t>business development</w:t>
      </w:r>
      <w:r w:rsidR="00375F62">
        <w:rPr>
          <w:lang w:val="en-IE"/>
        </w:rPr>
        <w:t xml:space="preserve"> and act as a multiplier of the action results. </w:t>
      </w:r>
      <w:r w:rsidR="00901F60" w:rsidRPr="00B215D0">
        <w:rPr>
          <w:lang w:val="en-IE"/>
        </w:rPr>
        <w:t>The capacity building approach for both public administration and business operators</w:t>
      </w:r>
      <w:r w:rsidR="003A72F2">
        <w:rPr>
          <w:lang w:val="en-IE"/>
        </w:rPr>
        <w:t xml:space="preserve"> is expected to u</w:t>
      </w:r>
      <w:r w:rsidR="00901F60" w:rsidRPr="00B215D0">
        <w:rPr>
          <w:lang w:val="en-IE"/>
        </w:rPr>
        <w:t>pgrad</w:t>
      </w:r>
      <w:r w:rsidR="003A72F2">
        <w:rPr>
          <w:lang w:val="en-IE"/>
        </w:rPr>
        <w:t>e</w:t>
      </w:r>
      <w:r w:rsidR="00901F60" w:rsidRPr="00B215D0">
        <w:rPr>
          <w:lang w:val="en-IE"/>
        </w:rPr>
        <w:t xml:space="preserve"> the </w:t>
      </w:r>
      <w:r w:rsidR="003A72F2">
        <w:rPr>
          <w:lang w:val="en-IE"/>
        </w:rPr>
        <w:t xml:space="preserve">body of knowledge and the </w:t>
      </w:r>
      <w:r w:rsidR="00901F60" w:rsidRPr="00B215D0">
        <w:rPr>
          <w:lang w:val="en-IE"/>
        </w:rPr>
        <w:t>skills</w:t>
      </w:r>
      <w:r w:rsidR="003A72F2">
        <w:rPr>
          <w:lang w:val="en-IE"/>
        </w:rPr>
        <w:t xml:space="preserve">, which </w:t>
      </w:r>
      <w:r w:rsidR="00901F60" w:rsidRPr="00B215D0">
        <w:rPr>
          <w:lang w:val="en-IE"/>
        </w:rPr>
        <w:t>is an investment in the social capital in the country and is a guarantee for sustainability.</w:t>
      </w:r>
    </w:p>
    <w:p w14:paraId="40251D3F" w14:textId="4E9AE764" w:rsidR="00973DC1" w:rsidRPr="004C5CF8" w:rsidRDefault="00973DC1" w:rsidP="00CA22CD">
      <w:pPr>
        <w:spacing w:before="120"/>
        <w:ind w:left="426"/>
        <w:rPr>
          <w:lang w:val="en-IE"/>
        </w:rPr>
      </w:pPr>
      <w:r w:rsidRPr="004C5CF8">
        <w:rPr>
          <w:lang w:val="en-IE"/>
        </w:rPr>
        <w:t xml:space="preserve">The Action also includes a relevant activity </w:t>
      </w:r>
      <w:r w:rsidR="000A23FF" w:rsidRPr="00901F60">
        <w:rPr>
          <w:lang w:val="en-IE"/>
        </w:rPr>
        <w:t>on</w:t>
      </w:r>
      <w:r w:rsidRPr="00901F60">
        <w:rPr>
          <w:lang w:val="en-IE"/>
        </w:rPr>
        <w:t xml:space="preserve"> innovation </w:t>
      </w:r>
      <w:r w:rsidR="000A23FF" w:rsidRPr="00901F60">
        <w:rPr>
          <w:lang w:val="en-IE"/>
        </w:rPr>
        <w:t xml:space="preserve">climate </w:t>
      </w:r>
      <w:r w:rsidRPr="00901F60">
        <w:rPr>
          <w:lang w:val="en-IE"/>
        </w:rPr>
        <w:t xml:space="preserve">which is a key driver </w:t>
      </w:r>
      <w:r w:rsidR="000A23FF" w:rsidRPr="00901F60">
        <w:rPr>
          <w:lang w:val="en-IE"/>
        </w:rPr>
        <w:t xml:space="preserve">of the </w:t>
      </w:r>
      <w:r w:rsidRPr="00901F60">
        <w:rPr>
          <w:lang w:val="en-IE"/>
        </w:rPr>
        <w:t xml:space="preserve">sustainable development </w:t>
      </w:r>
      <w:r w:rsidR="000A23FF" w:rsidRPr="00901F60">
        <w:rPr>
          <w:lang w:val="en-IE"/>
        </w:rPr>
        <w:t>with high</w:t>
      </w:r>
      <w:r w:rsidRPr="00901F60">
        <w:rPr>
          <w:lang w:val="en-IE"/>
        </w:rPr>
        <w:t xml:space="preserve"> potential to support economic growth, create new jobs and contribute to a more sustainable future. </w:t>
      </w:r>
      <w:r w:rsidR="000A23FF" w:rsidRPr="00901F60">
        <w:rPr>
          <w:lang w:val="en-IE"/>
        </w:rPr>
        <w:t xml:space="preserve">The </w:t>
      </w:r>
      <w:r w:rsidRPr="00901F60">
        <w:rPr>
          <w:lang w:val="en-IE"/>
        </w:rPr>
        <w:t>increas</w:t>
      </w:r>
      <w:r w:rsidR="000A23FF" w:rsidRPr="00901F60">
        <w:rPr>
          <w:lang w:val="en-IE"/>
        </w:rPr>
        <w:t>ed</w:t>
      </w:r>
      <w:r w:rsidRPr="00901F60">
        <w:rPr>
          <w:lang w:val="en-IE"/>
        </w:rPr>
        <w:t xml:space="preserve"> investment in research and development</w:t>
      </w:r>
      <w:r w:rsidR="000A23FF" w:rsidRPr="00901F60">
        <w:rPr>
          <w:lang w:val="en-IE"/>
        </w:rPr>
        <w:t xml:space="preserve"> and the measures to facilitate the links between </w:t>
      </w:r>
      <w:r w:rsidRPr="00901F60">
        <w:rPr>
          <w:lang w:val="en-IE"/>
        </w:rPr>
        <w:t xml:space="preserve">researchers and businesses </w:t>
      </w:r>
      <w:r w:rsidR="003A72F2">
        <w:rPr>
          <w:lang w:val="en-IE"/>
        </w:rPr>
        <w:t xml:space="preserve">significantly </w:t>
      </w:r>
      <w:r w:rsidR="009B1C94" w:rsidRPr="00AA05FA">
        <w:rPr>
          <w:lang w:val="en-IE"/>
        </w:rPr>
        <w:t>enhance</w:t>
      </w:r>
      <w:r w:rsidR="000A23FF" w:rsidRPr="00761107">
        <w:rPr>
          <w:lang w:val="en-IE"/>
        </w:rPr>
        <w:t xml:space="preserve"> </w:t>
      </w:r>
      <w:r w:rsidR="00901F60">
        <w:rPr>
          <w:lang w:val="en-IE"/>
        </w:rPr>
        <w:t xml:space="preserve">the </w:t>
      </w:r>
      <w:r w:rsidR="000A23FF" w:rsidRPr="00AA05FA">
        <w:rPr>
          <w:lang w:val="en-IE"/>
        </w:rPr>
        <w:t xml:space="preserve">sustainability </w:t>
      </w:r>
      <w:r w:rsidR="009B1C94" w:rsidRPr="00AA05FA">
        <w:rPr>
          <w:lang w:val="en-IE"/>
        </w:rPr>
        <w:t xml:space="preserve">potential. </w:t>
      </w:r>
    </w:p>
    <w:p w14:paraId="6C1BF10A" w14:textId="0EACDD0E" w:rsidR="00C10A17" w:rsidRPr="00901F60" w:rsidRDefault="00973DC1" w:rsidP="00CA22CD">
      <w:pPr>
        <w:spacing w:before="120"/>
        <w:ind w:left="426"/>
        <w:rPr>
          <w:rFonts w:cs="Times New Roman"/>
          <w:lang w:val="en-IE"/>
        </w:rPr>
      </w:pPr>
      <w:r w:rsidRPr="00901F60">
        <w:rPr>
          <w:lang w:val="en-IE"/>
        </w:rPr>
        <w:t>The improvements in the business process (services, market surveillance and consumer protection, alternative dispute resolution system on consumers’ matters) will contribute to a more rationalised, sustainable and cost-effective management of the public administration and public sources, which is also a factor of sustainability.</w:t>
      </w:r>
    </w:p>
    <w:p w14:paraId="06FB1049" w14:textId="77777777" w:rsidR="00C10A17" w:rsidRPr="003C0CD7" w:rsidRDefault="00C10A17" w:rsidP="00EA2398">
      <w:pPr>
        <w:rPr>
          <w:lang w:val="en-IE"/>
        </w:rPr>
      </w:pPr>
    </w:p>
    <w:p w14:paraId="68AC798A" w14:textId="77777777" w:rsidR="006B5FFC" w:rsidRDefault="00AA1275" w:rsidP="00EA2398">
      <w:pPr>
        <w:rPr>
          <w:lang w:val="en-IE"/>
        </w:rPr>
      </w:pPr>
      <w:r w:rsidRPr="003C0CD7">
        <w:rPr>
          <w:lang w:val="en-IE"/>
        </w:rPr>
        <w:br w:type="page"/>
      </w:r>
      <w:bookmarkStart w:id="438" w:name="_Ref58428013"/>
    </w:p>
    <w:bookmarkEnd w:id="438"/>
    <w:p w14:paraId="52F10DE4" w14:textId="77777777" w:rsidR="00901F60" w:rsidRPr="00C85643" w:rsidRDefault="00901F60" w:rsidP="00901F60">
      <w:pPr>
        <w:rPr>
          <w:b/>
        </w:rPr>
      </w:pPr>
      <w:r w:rsidRPr="00C85643">
        <w:rPr>
          <w:b/>
        </w:rPr>
        <w:lastRenderedPageBreak/>
        <w:t xml:space="preserve">Appendix </w:t>
      </w:r>
      <w:r w:rsidRPr="00C85643">
        <w:rPr>
          <w:b/>
        </w:rPr>
        <w:fldChar w:fldCharType="begin"/>
      </w:r>
      <w:r w:rsidRPr="00C85643">
        <w:rPr>
          <w:b/>
        </w:rPr>
        <w:instrText xml:space="preserve"> SEQ Appendix \* ARABIC </w:instrText>
      </w:r>
      <w:r w:rsidRPr="00C85643">
        <w:rPr>
          <w:b/>
        </w:rPr>
        <w:fldChar w:fldCharType="separate"/>
      </w:r>
      <w:r w:rsidRPr="00C85643">
        <w:rPr>
          <w:b/>
        </w:rPr>
        <w:t>1</w:t>
      </w:r>
      <w:r w:rsidRPr="00C85643">
        <w:rPr>
          <w:b/>
        </w:rPr>
        <w:fldChar w:fldCharType="end"/>
      </w:r>
      <w:r w:rsidRPr="00C85643">
        <w:rPr>
          <w:b/>
        </w:rPr>
        <w:t xml:space="preserve">: </w:t>
      </w:r>
      <w:r>
        <w:rPr>
          <w:b/>
          <w:szCs w:val="24"/>
        </w:rPr>
        <w:t xml:space="preserve">IDENTIFICATION OF THE PRIMARY INTERVENTION LEVEL FOR </w:t>
      </w:r>
      <w:r w:rsidRPr="00C85643">
        <w:rPr>
          <w:b/>
        </w:rPr>
        <w:t>REPORTING IN OPSYS</w:t>
      </w:r>
    </w:p>
    <w:p w14:paraId="04AEC8FC" w14:textId="77777777" w:rsidR="00901F60" w:rsidRPr="00C85643" w:rsidRDefault="00901F60" w:rsidP="00901F60">
      <w:pPr>
        <w:rPr>
          <w:b/>
          <w:i/>
        </w:rPr>
      </w:pPr>
    </w:p>
    <w:p w14:paraId="40612744" w14:textId="77777777" w:rsidR="00901F60" w:rsidRPr="00C85643" w:rsidRDefault="00901F60" w:rsidP="00901F60">
      <w:r w:rsidRPr="005F1DC7">
        <w:rPr>
          <w:rFonts w:cs="Times New Roman"/>
          <w:szCs w:val="24"/>
        </w:rPr>
        <w:t>A Primary intervention</w:t>
      </w:r>
      <w:r w:rsidRPr="000A76A6">
        <w:rPr>
          <w:rStyle w:val="FootnoteReference"/>
          <w:szCs w:val="24"/>
          <w:lang w:val="en-US"/>
        </w:rPr>
        <w:footnoteReference w:id="24"/>
      </w:r>
      <w:r w:rsidRPr="00AA3E2A">
        <w:rPr>
          <w:rFonts w:cs="Times New Roman"/>
          <w:szCs w:val="24"/>
        </w:rPr>
        <w:t xml:space="preserve"> </w:t>
      </w:r>
      <w:r w:rsidRPr="005F1DC7">
        <w:rPr>
          <w:rFonts w:cs="Times New Roman"/>
          <w:szCs w:val="24"/>
        </w:rPr>
        <w:t>(</w:t>
      </w:r>
      <w:r w:rsidRPr="00C85643">
        <w:t xml:space="preserve">project/programme) is a coherent set of results structured in a logical framework aiming at delivering development change or progress. </w:t>
      </w:r>
      <w:r w:rsidRPr="005F1DC7">
        <w:rPr>
          <w:rFonts w:cs="Times New Roman"/>
          <w:szCs w:val="24"/>
        </w:rPr>
        <w:t xml:space="preserve">Identifying the level of </w:t>
      </w:r>
      <w:r w:rsidRPr="00C85643">
        <w:t xml:space="preserve">the primary intervention </w:t>
      </w:r>
      <w:r w:rsidRPr="005F1DC7">
        <w:rPr>
          <w:rFonts w:cs="Times New Roman"/>
          <w:szCs w:val="24"/>
        </w:rPr>
        <w:t>will allow for:</w:t>
      </w:r>
      <w:r w:rsidRPr="005F1DC7" w:rsidDel="00B247CF">
        <w:rPr>
          <w:rFonts w:cs="Times New Roman"/>
          <w:szCs w:val="24"/>
        </w:rPr>
        <w:t xml:space="preserve"> </w:t>
      </w:r>
    </w:p>
    <w:p w14:paraId="6A2C2CA0" w14:textId="77777777" w:rsidR="00901F60" w:rsidRPr="00541660" w:rsidRDefault="00901F60" w:rsidP="00901F60">
      <w:pPr>
        <w:autoSpaceDE w:val="0"/>
        <w:autoSpaceDN w:val="0"/>
        <w:adjustRightInd w:val="0"/>
        <w:jc w:val="left"/>
        <w:rPr>
          <w:rFonts w:cs="Times New Roman"/>
          <w:color w:val="000000"/>
          <w:szCs w:val="23"/>
          <w:lang w:val="en-US"/>
        </w:rPr>
      </w:pPr>
    </w:p>
    <w:p w14:paraId="3BB8D68F" w14:textId="77777777" w:rsidR="00901F60" w:rsidRPr="00541660" w:rsidRDefault="00901F60" w:rsidP="00901F60">
      <w:pPr>
        <w:pStyle w:val="ListParagraph"/>
        <w:numPr>
          <w:ilvl w:val="0"/>
          <w:numId w:val="8"/>
        </w:numPr>
        <w:autoSpaceDE w:val="0"/>
        <w:autoSpaceDN w:val="0"/>
        <w:adjustRightInd w:val="0"/>
        <w:spacing w:after="169"/>
        <w:jc w:val="left"/>
        <w:rPr>
          <w:rFonts w:cs="Times New Roman"/>
          <w:color w:val="000000"/>
          <w:szCs w:val="23"/>
          <w:lang w:val="en-US"/>
        </w:rPr>
      </w:pPr>
      <w:r w:rsidRPr="00541660">
        <w:rPr>
          <w:rFonts w:cs="Times New Roman"/>
          <w:color w:val="000000"/>
          <w:szCs w:val="23"/>
          <w:lang w:val="en-US"/>
        </w:rPr>
        <w:t xml:space="preserve">Differentiating these Actions or Contracts from those that do not produce direct reportable development results, defined as support entities (i.e. audits, evaluations); </w:t>
      </w:r>
    </w:p>
    <w:p w14:paraId="3D0BFD06" w14:textId="77777777" w:rsidR="00901F60" w:rsidRPr="00541660" w:rsidRDefault="00901F60" w:rsidP="00901F60">
      <w:pPr>
        <w:pStyle w:val="ListParagraph"/>
        <w:numPr>
          <w:ilvl w:val="0"/>
          <w:numId w:val="8"/>
        </w:numPr>
        <w:autoSpaceDE w:val="0"/>
        <w:autoSpaceDN w:val="0"/>
        <w:adjustRightInd w:val="0"/>
        <w:spacing w:after="169"/>
        <w:jc w:val="left"/>
        <w:rPr>
          <w:rFonts w:cs="Times New Roman"/>
          <w:color w:val="000000"/>
          <w:szCs w:val="23"/>
          <w:lang w:val="en-US"/>
        </w:rPr>
      </w:pPr>
      <w:r w:rsidRPr="00541660">
        <w:rPr>
          <w:rFonts w:cs="Times New Roman"/>
          <w:color w:val="000000"/>
          <w:szCs w:val="23"/>
          <w:lang w:val="en-US"/>
        </w:rPr>
        <w:t xml:space="preserve">Articulating Actions and/or Contracts according to an expected common chain of results and therefore allowing them to ensure a more efficient and aggregated monitoring and reporting of performance; </w:t>
      </w:r>
    </w:p>
    <w:p w14:paraId="0FF69730" w14:textId="77777777" w:rsidR="00901F60" w:rsidRPr="00541660" w:rsidRDefault="00901F60" w:rsidP="00901F60">
      <w:pPr>
        <w:pStyle w:val="ListParagraph"/>
        <w:numPr>
          <w:ilvl w:val="0"/>
          <w:numId w:val="8"/>
        </w:numPr>
        <w:rPr>
          <w:rFonts w:cs="Times New Roman"/>
          <w:color w:val="000000"/>
          <w:szCs w:val="23"/>
          <w:lang w:val="en-US"/>
        </w:rPr>
      </w:pPr>
      <w:r w:rsidRPr="00541660">
        <w:rPr>
          <w:rFonts w:cs="Times New Roman"/>
          <w:color w:val="000000"/>
          <w:szCs w:val="23"/>
          <w:lang w:val="en-US"/>
        </w:rPr>
        <w:t>Having a complete and exhaustive mapping of all results-bearing Actions and Contracts.</w:t>
      </w:r>
    </w:p>
    <w:p w14:paraId="0212D546" w14:textId="77777777" w:rsidR="00901F60" w:rsidRPr="003C0CD7" w:rsidRDefault="00901F60" w:rsidP="00901F60">
      <w:pPr>
        <w:rPr>
          <w:lang w:val="en-IE"/>
        </w:rPr>
      </w:pPr>
    </w:p>
    <w:p w14:paraId="278C80D3" w14:textId="77777777" w:rsidR="00901F60" w:rsidRPr="00A372C8" w:rsidRDefault="00901F60" w:rsidP="00901F60">
      <w:r>
        <w:rPr>
          <w:lang w:val="en-US"/>
        </w:rPr>
        <w:t>The present Action identifies as</w:t>
      </w:r>
    </w:p>
    <w:p w14:paraId="5436E071" w14:textId="77777777" w:rsidR="00901F60" w:rsidRPr="003C0CD7" w:rsidRDefault="00901F60" w:rsidP="00901F60">
      <w:pPr>
        <w:rPr>
          <w:rFonts w:cs="Calibri"/>
          <w:i/>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116"/>
        <w:gridCol w:w="7186"/>
      </w:tblGrid>
      <w:tr w:rsidR="00901F60" w:rsidRPr="008704EA" w14:paraId="40FCF168" w14:textId="77777777" w:rsidTr="007935F2">
        <w:trPr>
          <w:trHeight w:val="422"/>
        </w:trPr>
        <w:tc>
          <w:tcPr>
            <w:tcW w:w="10230" w:type="dxa"/>
            <w:gridSpan w:val="3"/>
            <w:tcBorders>
              <w:top w:val="single" w:sz="4" w:space="0" w:color="auto"/>
              <w:left w:val="single" w:sz="4" w:space="0" w:color="auto"/>
              <w:bottom w:val="single" w:sz="4" w:space="0" w:color="auto"/>
              <w:right w:val="single" w:sz="4" w:space="0" w:color="auto"/>
            </w:tcBorders>
          </w:tcPr>
          <w:p w14:paraId="584D2BF6" w14:textId="77777777" w:rsidR="00901F60" w:rsidRDefault="00901F60" w:rsidP="007935F2">
            <w:r w:rsidRPr="003C0CD7">
              <w:rPr>
                <w:b/>
                <w:bCs/>
                <w:lang w:val="en-IE"/>
              </w:rPr>
              <w:t>Action level</w:t>
            </w:r>
            <w:r>
              <w:rPr>
                <w:b/>
                <w:bCs/>
                <w:lang w:val="en-IE"/>
              </w:rPr>
              <w:t xml:space="preserve"> </w:t>
            </w:r>
            <w:r w:rsidRPr="003775F2">
              <w:rPr>
                <w:bCs/>
              </w:rPr>
              <w:t>(i.e. Budget support, Blending)</w:t>
            </w:r>
          </w:p>
          <w:p w14:paraId="239C5F33" w14:textId="77777777" w:rsidR="00901F60" w:rsidRPr="00C85643" w:rsidRDefault="00901F60" w:rsidP="007935F2">
            <w:pPr>
              <w:pStyle w:val="Text1"/>
              <w:spacing w:before="60" w:after="60" w:line="254" w:lineRule="auto"/>
              <w:ind w:left="0" w:right="-25"/>
              <w:jc w:val="left"/>
              <w:rPr>
                <w:b/>
              </w:rPr>
            </w:pPr>
          </w:p>
        </w:tc>
      </w:tr>
      <w:tr w:rsidR="00901F60" w:rsidRPr="008704EA" w14:paraId="215C0CD9" w14:textId="77777777" w:rsidTr="007935F2">
        <w:trPr>
          <w:trHeight w:val="547"/>
        </w:trPr>
        <w:tc>
          <w:tcPr>
            <w:tcW w:w="456" w:type="dxa"/>
            <w:tcBorders>
              <w:top w:val="single" w:sz="4" w:space="0" w:color="auto"/>
              <w:left w:val="single" w:sz="4" w:space="0" w:color="auto"/>
              <w:bottom w:val="single" w:sz="4" w:space="0" w:color="auto"/>
              <w:right w:val="single" w:sz="4" w:space="0" w:color="auto"/>
            </w:tcBorders>
          </w:tcPr>
          <w:p w14:paraId="42C6005E" w14:textId="77777777" w:rsidR="00901F60" w:rsidRPr="003C0CD7" w:rsidRDefault="00874D53" w:rsidP="007935F2">
            <w:pPr>
              <w:pStyle w:val="Text1"/>
              <w:spacing w:before="60" w:after="60" w:line="254" w:lineRule="auto"/>
              <w:ind w:left="0" w:right="-25"/>
              <w:jc w:val="left"/>
              <w:rPr>
                <w:lang w:val="en-IE"/>
              </w:rPr>
            </w:pPr>
            <w:sdt>
              <w:sdtPr>
                <w:rPr>
                  <w:rFonts w:ascii="Segoe UI Symbol" w:eastAsia="MS Gothic" w:hAnsi="Segoe UI Symbol" w:cs="Segoe UI Symbol"/>
                  <w:color w:val="0D0D0D" w:themeColor="text1" w:themeTint="F2"/>
                  <w:lang w:val="en-IE"/>
                </w:rPr>
                <w:id w:val="-1994871952"/>
                <w14:checkbox>
                  <w14:checked w14:val="1"/>
                  <w14:checkedState w14:val="2612" w14:font="MS Gothic"/>
                  <w14:uncheckedState w14:val="2610" w14:font="MS Gothic"/>
                </w14:checkbox>
              </w:sdtPr>
              <w:sdtEndPr/>
              <w:sdtContent>
                <w:r w:rsidR="00901F60">
                  <w:rPr>
                    <w:rFonts w:ascii="MS Gothic" w:eastAsia="MS Gothic" w:hAnsi="MS Gothic" w:cs="Segoe UI Symbol" w:hint="eastAsia"/>
                    <w:color w:val="0D0D0D" w:themeColor="text1" w:themeTint="F2"/>
                    <w:lang w:val="en-IE"/>
                  </w:rPr>
                  <w:t>☒</w:t>
                </w:r>
              </w:sdtContent>
            </w:sdt>
          </w:p>
        </w:tc>
        <w:tc>
          <w:tcPr>
            <w:tcW w:w="2195" w:type="dxa"/>
            <w:tcBorders>
              <w:top w:val="single" w:sz="4" w:space="0" w:color="auto"/>
              <w:left w:val="single" w:sz="4" w:space="0" w:color="auto"/>
              <w:bottom w:val="single" w:sz="4" w:space="0" w:color="auto"/>
              <w:right w:val="single" w:sz="4" w:space="0" w:color="auto"/>
            </w:tcBorders>
          </w:tcPr>
          <w:p w14:paraId="4108EAF8" w14:textId="77777777" w:rsidR="00901F60" w:rsidRPr="003C0CD7" w:rsidRDefault="00901F60" w:rsidP="007935F2">
            <w:pPr>
              <w:pStyle w:val="Text1"/>
              <w:spacing w:before="60" w:after="60" w:line="254" w:lineRule="auto"/>
              <w:ind w:left="0" w:right="-25"/>
              <w:jc w:val="left"/>
              <w:rPr>
                <w:lang w:val="en-IE"/>
              </w:rPr>
            </w:pPr>
            <w:r w:rsidRPr="003C0CD7">
              <w:rPr>
                <w:lang w:val="en-IE"/>
              </w:rPr>
              <w:t>Single action</w:t>
            </w:r>
          </w:p>
        </w:tc>
        <w:tc>
          <w:tcPr>
            <w:tcW w:w="7579" w:type="dxa"/>
            <w:tcBorders>
              <w:top w:val="single" w:sz="4" w:space="0" w:color="auto"/>
              <w:left w:val="single" w:sz="4" w:space="0" w:color="auto"/>
              <w:bottom w:val="single" w:sz="4" w:space="0" w:color="auto"/>
              <w:right w:val="single" w:sz="4" w:space="0" w:color="auto"/>
            </w:tcBorders>
          </w:tcPr>
          <w:p w14:paraId="0E2AF740" w14:textId="77777777" w:rsidR="00901F60" w:rsidRPr="003C0CD7" w:rsidRDefault="00901F60" w:rsidP="007935F2">
            <w:pPr>
              <w:pStyle w:val="Text1"/>
              <w:spacing w:before="60" w:after="60" w:line="254" w:lineRule="auto"/>
              <w:ind w:left="0" w:right="-25"/>
              <w:jc w:val="left"/>
              <w:rPr>
                <w:lang w:val="en-IE"/>
              </w:rPr>
            </w:pPr>
            <w:r w:rsidRPr="003C0CD7">
              <w:rPr>
                <w:lang w:val="en-IE"/>
              </w:rPr>
              <w:t>Present action: all contracts in the present action</w:t>
            </w:r>
          </w:p>
        </w:tc>
      </w:tr>
      <w:tr w:rsidR="00901F60" w:rsidRPr="008704EA" w14:paraId="4B36A987" w14:textId="77777777" w:rsidTr="007935F2">
        <w:trPr>
          <w:trHeight w:val="408"/>
        </w:trPr>
        <w:tc>
          <w:tcPr>
            <w:tcW w:w="10230" w:type="dxa"/>
            <w:gridSpan w:val="3"/>
            <w:tcBorders>
              <w:top w:val="single" w:sz="4" w:space="0" w:color="auto"/>
              <w:left w:val="single" w:sz="4" w:space="0" w:color="auto"/>
              <w:bottom w:val="single" w:sz="4" w:space="0" w:color="auto"/>
              <w:right w:val="single" w:sz="4" w:space="0" w:color="auto"/>
            </w:tcBorders>
          </w:tcPr>
          <w:p w14:paraId="636595F4" w14:textId="77777777" w:rsidR="00901F60" w:rsidRPr="00C85643" w:rsidRDefault="00901F60" w:rsidP="007935F2">
            <w:r w:rsidRPr="003C0CD7">
              <w:rPr>
                <w:b/>
                <w:bCs/>
                <w:lang w:val="en-IE"/>
              </w:rPr>
              <w:t>Group of actions level</w:t>
            </w:r>
            <w:r>
              <w:rPr>
                <w:b/>
                <w:bCs/>
                <w:lang w:val="en-IE"/>
              </w:rPr>
              <w:t xml:space="preserve"> </w:t>
            </w:r>
            <w:r>
              <w:rPr>
                <w:bCs/>
              </w:rPr>
              <w:t>(i.e:</w:t>
            </w:r>
            <w:r w:rsidRPr="003775F2">
              <w:rPr>
                <w:bCs/>
              </w:rPr>
              <w:t xml:space="preserve"> i) top-up cases, ii) second, third, etc. phases of a programme)</w:t>
            </w:r>
          </w:p>
        </w:tc>
      </w:tr>
      <w:tr w:rsidR="00901F60" w:rsidRPr="008704EA" w14:paraId="10CC0616" w14:textId="77777777" w:rsidTr="007935F2">
        <w:trPr>
          <w:trHeight w:val="444"/>
        </w:trPr>
        <w:tc>
          <w:tcPr>
            <w:tcW w:w="456" w:type="dxa"/>
            <w:tcBorders>
              <w:top w:val="single" w:sz="4" w:space="0" w:color="auto"/>
              <w:left w:val="single" w:sz="4" w:space="0" w:color="auto"/>
              <w:bottom w:val="single" w:sz="4" w:space="0" w:color="auto"/>
              <w:right w:val="single" w:sz="4" w:space="0" w:color="auto"/>
            </w:tcBorders>
          </w:tcPr>
          <w:p w14:paraId="0B126B80" w14:textId="77777777" w:rsidR="00901F60" w:rsidRPr="003C0CD7" w:rsidRDefault="00874D53" w:rsidP="007935F2">
            <w:pPr>
              <w:pStyle w:val="Text1"/>
              <w:spacing w:before="60" w:after="60" w:line="254" w:lineRule="auto"/>
              <w:ind w:left="0" w:right="-25"/>
              <w:jc w:val="left"/>
              <w:rPr>
                <w:lang w:val="en-IE"/>
              </w:rPr>
            </w:pPr>
            <w:sdt>
              <w:sdtPr>
                <w:rPr>
                  <w:rFonts w:ascii="Segoe UI Symbol" w:eastAsia="MS Gothic" w:hAnsi="Segoe UI Symbol" w:cs="Segoe UI Symbol"/>
                  <w:color w:val="0D0D0D" w:themeColor="text1" w:themeTint="F2"/>
                  <w:lang w:val="en-IE"/>
                </w:rPr>
                <w:id w:val="1483426051"/>
                <w14:checkbox>
                  <w14:checked w14:val="0"/>
                  <w14:checkedState w14:val="2612" w14:font="MS Gothic"/>
                  <w14:uncheckedState w14:val="2610" w14:font="MS Gothic"/>
                </w14:checkbox>
              </w:sdtPr>
              <w:sdtEndPr/>
              <w:sdtContent>
                <w:r w:rsidR="00901F60">
                  <w:rPr>
                    <w:rFonts w:ascii="MS Gothic" w:eastAsia="MS Gothic" w:hAnsi="MS Gothic" w:cs="Segoe UI Symbol" w:hint="eastAsia"/>
                    <w:color w:val="0D0D0D" w:themeColor="text1" w:themeTint="F2"/>
                    <w:lang w:val="en-IE"/>
                  </w:rPr>
                  <w:t>☐</w:t>
                </w:r>
              </w:sdtContent>
            </w:sdt>
          </w:p>
        </w:tc>
        <w:tc>
          <w:tcPr>
            <w:tcW w:w="2195" w:type="dxa"/>
            <w:tcBorders>
              <w:top w:val="single" w:sz="4" w:space="0" w:color="auto"/>
              <w:left w:val="single" w:sz="4" w:space="0" w:color="auto"/>
              <w:bottom w:val="single" w:sz="4" w:space="0" w:color="auto"/>
              <w:right w:val="single" w:sz="4" w:space="0" w:color="auto"/>
            </w:tcBorders>
          </w:tcPr>
          <w:p w14:paraId="5CB2BD9A" w14:textId="77777777" w:rsidR="00901F60" w:rsidRPr="003C0CD7" w:rsidRDefault="00901F60" w:rsidP="007935F2">
            <w:pPr>
              <w:pStyle w:val="Text1"/>
              <w:spacing w:before="60" w:after="60" w:line="254" w:lineRule="auto"/>
              <w:ind w:left="0" w:right="-25"/>
              <w:jc w:val="left"/>
              <w:rPr>
                <w:color w:val="0D0D0D" w:themeColor="text1" w:themeTint="F2"/>
                <w:highlight w:val="yellow"/>
                <w:lang w:val="en-IE"/>
              </w:rPr>
            </w:pPr>
            <w:r w:rsidRPr="003C0CD7">
              <w:rPr>
                <w:lang w:val="en-IE"/>
              </w:rPr>
              <w:t>Group of actions</w:t>
            </w:r>
          </w:p>
        </w:tc>
        <w:tc>
          <w:tcPr>
            <w:tcW w:w="7579" w:type="dxa"/>
            <w:tcBorders>
              <w:top w:val="single" w:sz="4" w:space="0" w:color="auto"/>
              <w:left w:val="single" w:sz="4" w:space="0" w:color="auto"/>
              <w:bottom w:val="single" w:sz="4" w:space="0" w:color="auto"/>
              <w:right w:val="single" w:sz="4" w:space="0" w:color="auto"/>
            </w:tcBorders>
          </w:tcPr>
          <w:p w14:paraId="5020AE50" w14:textId="77777777" w:rsidR="00901F60" w:rsidRPr="003C0CD7" w:rsidRDefault="00901F60" w:rsidP="007935F2">
            <w:pPr>
              <w:pStyle w:val="Text1"/>
              <w:spacing w:before="60" w:after="60" w:line="254" w:lineRule="auto"/>
              <w:ind w:left="0" w:right="-25"/>
              <w:jc w:val="left"/>
              <w:rPr>
                <w:lang w:val="en-IE"/>
              </w:rPr>
            </w:pPr>
            <w:r w:rsidRPr="003C0CD7">
              <w:rPr>
                <w:lang w:val="en-IE"/>
              </w:rPr>
              <w:t>Ac</w:t>
            </w:r>
            <w:r>
              <w:rPr>
                <w:lang w:val="en-IE"/>
              </w:rPr>
              <w:t>tions reference (CRIS#/OPSYS#):</w:t>
            </w:r>
          </w:p>
        </w:tc>
      </w:tr>
      <w:tr w:rsidR="00901F60" w:rsidRPr="008704EA" w14:paraId="1BE29532" w14:textId="77777777" w:rsidTr="007935F2">
        <w:trPr>
          <w:trHeight w:val="483"/>
        </w:trPr>
        <w:tc>
          <w:tcPr>
            <w:tcW w:w="10230" w:type="dxa"/>
            <w:gridSpan w:val="3"/>
            <w:tcBorders>
              <w:top w:val="single" w:sz="4" w:space="0" w:color="auto"/>
              <w:left w:val="single" w:sz="4" w:space="0" w:color="auto"/>
              <w:bottom w:val="single" w:sz="4" w:space="0" w:color="auto"/>
              <w:right w:val="single" w:sz="4" w:space="0" w:color="auto"/>
            </w:tcBorders>
          </w:tcPr>
          <w:p w14:paraId="7E12375B" w14:textId="77777777" w:rsidR="00901F60" w:rsidRPr="00A372C8" w:rsidRDefault="00901F60" w:rsidP="007935F2">
            <w:r w:rsidRPr="00A372C8">
              <w:rPr>
                <w:b/>
                <w:bCs/>
                <w:color w:val="0D0D0D" w:themeColor="text1" w:themeTint="F2"/>
                <w:lang w:val="en-IE"/>
              </w:rPr>
              <w:t xml:space="preserve">Contract level </w:t>
            </w:r>
            <w:r w:rsidRPr="00A372C8">
              <w:rPr>
                <w:bCs/>
                <w:color w:val="0D0D0D" w:themeColor="text1" w:themeTint="F2"/>
              </w:rPr>
              <w:t>(i.e. Grants, Contribution Agreements, any case in which foreseen individual legal commitments identified in the budget will have different log frames, even if part of the same Action Document)</w:t>
            </w:r>
          </w:p>
        </w:tc>
      </w:tr>
      <w:tr w:rsidR="00901F60" w:rsidRPr="008704EA" w14:paraId="28774D28" w14:textId="77777777" w:rsidTr="007935F2">
        <w:trPr>
          <w:trHeight w:val="466"/>
        </w:trPr>
        <w:tc>
          <w:tcPr>
            <w:tcW w:w="456" w:type="dxa"/>
            <w:tcBorders>
              <w:top w:val="single" w:sz="4" w:space="0" w:color="auto"/>
              <w:left w:val="single" w:sz="4" w:space="0" w:color="auto"/>
              <w:bottom w:val="single" w:sz="4" w:space="0" w:color="auto"/>
              <w:right w:val="single" w:sz="4" w:space="0" w:color="auto"/>
            </w:tcBorders>
          </w:tcPr>
          <w:p w14:paraId="5E8271CF" w14:textId="77777777" w:rsidR="00901F60" w:rsidRPr="003C0CD7" w:rsidRDefault="00874D53" w:rsidP="007935F2">
            <w:pPr>
              <w:pStyle w:val="Text1"/>
              <w:spacing w:before="60" w:after="60" w:line="254" w:lineRule="auto"/>
              <w:ind w:left="0" w:right="-25"/>
              <w:jc w:val="left"/>
              <w:rPr>
                <w:lang w:val="en-IE"/>
              </w:rPr>
            </w:pPr>
            <w:sdt>
              <w:sdtPr>
                <w:rPr>
                  <w:rFonts w:ascii="Segoe UI Symbol" w:eastAsia="MS Gothic" w:hAnsi="Segoe UI Symbol" w:cs="Segoe UI Symbol"/>
                  <w:color w:val="0D0D0D" w:themeColor="text1" w:themeTint="F2"/>
                  <w:lang w:val="en-IE"/>
                </w:rPr>
                <w:id w:val="1064839647"/>
                <w14:checkbox>
                  <w14:checked w14:val="0"/>
                  <w14:checkedState w14:val="2612" w14:font="MS Gothic"/>
                  <w14:uncheckedState w14:val="2610" w14:font="MS Gothic"/>
                </w14:checkbox>
              </w:sdtPr>
              <w:sdtEndPr/>
              <w:sdtContent>
                <w:r w:rsidR="00901F60" w:rsidRPr="003C0CD7">
                  <w:rPr>
                    <w:rFonts w:ascii="MS Gothic" w:eastAsia="MS Gothic" w:hAnsi="MS Gothic" w:cs="Segoe UI Symbol"/>
                    <w:color w:val="0D0D0D" w:themeColor="text1" w:themeTint="F2"/>
                    <w:lang w:val="en-IE"/>
                  </w:rPr>
                  <w:t>☐</w:t>
                </w:r>
              </w:sdtContent>
            </w:sdt>
          </w:p>
        </w:tc>
        <w:tc>
          <w:tcPr>
            <w:tcW w:w="2195" w:type="dxa"/>
            <w:tcBorders>
              <w:top w:val="single" w:sz="4" w:space="0" w:color="auto"/>
              <w:left w:val="single" w:sz="4" w:space="0" w:color="auto"/>
              <w:bottom w:val="single" w:sz="4" w:space="0" w:color="auto"/>
              <w:right w:val="single" w:sz="4" w:space="0" w:color="auto"/>
            </w:tcBorders>
          </w:tcPr>
          <w:p w14:paraId="4D54F973" w14:textId="77777777" w:rsidR="00901F60" w:rsidRPr="003C0CD7" w:rsidRDefault="00901F60" w:rsidP="007935F2">
            <w:pPr>
              <w:pStyle w:val="Text1"/>
              <w:spacing w:before="60" w:after="60" w:line="254" w:lineRule="auto"/>
              <w:ind w:left="0" w:right="-25"/>
              <w:jc w:val="left"/>
              <w:rPr>
                <w:lang w:val="en-IE"/>
              </w:rPr>
            </w:pPr>
            <w:r w:rsidRPr="003C0CD7">
              <w:rPr>
                <w:lang w:val="en-IE"/>
              </w:rPr>
              <w:t>Single Contract 1</w:t>
            </w:r>
          </w:p>
        </w:tc>
        <w:tc>
          <w:tcPr>
            <w:tcW w:w="7579" w:type="dxa"/>
            <w:tcBorders>
              <w:top w:val="single" w:sz="4" w:space="0" w:color="auto"/>
              <w:left w:val="single" w:sz="4" w:space="0" w:color="auto"/>
              <w:bottom w:val="single" w:sz="4" w:space="0" w:color="auto"/>
              <w:right w:val="single" w:sz="4" w:space="0" w:color="auto"/>
            </w:tcBorders>
          </w:tcPr>
          <w:p w14:paraId="4FF29628" w14:textId="77777777" w:rsidR="00901F60" w:rsidRPr="00A372C8" w:rsidRDefault="00901F60" w:rsidP="007935F2">
            <w:pPr>
              <w:pStyle w:val="Text1"/>
              <w:spacing w:before="60" w:after="60" w:line="254" w:lineRule="auto"/>
              <w:ind w:left="0" w:right="-25"/>
              <w:jc w:val="left"/>
              <w:rPr>
                <w:lang w:val="en-IE"/>
              </w:rPr>
            </w:pPr>
            <w:r w:rsidRPr="00A372C8">
              <w:rPr>
                <w:lang w:val="en-IE"/>
              </w:rPr>
              <w:t>N/A</w:t>
            </w:r>
          </w:p>
        </w:tc>
      </w:tr>
      <w:tr w:rsidR="00901F60" w:rsidRPr="008704EA" w14:paraId="06579FEA" w14:textId="77777777" w:rsidTr="007935F2">
        <w:trPr>
          <w:trHeight w:val="466"/>
        </w:trPr>
        <w:tc>
          <w:tcPr>
            <w:tcW w:w="10230" w:type="dxa"/>
            <w:gridSpan w:val="3"/>
            <w:tcBorders>
              <w:top w:val="single" w:sz="4" w:space="0" w:color="auto"/>
              <w:left w:val="single" w:sz="4" w:space="0" w:color="auto"/>
              <w:bottom w:val="single" w:sz="4" w:space="0" w:color="auto"/>
              <w:right w:val="single" w:sz="4" w:space="0" w:color="auto"/>
            </w:tcBorders>
          </w:tcPr>
          <w:p w14:paraId="03D7BC18" w14:textId="77777777" w:rsidR="00901F60" w:rsidRPr="00A372C8" w:rsidRDefault="00901F60" w:rsidP="007935F2">
            <w:r w:rsidRPr="00A372C8">
              <w:rPr>
                <w:b/>
                <w:bCs/>
              </w:rPr>
              <w:t xml:space="preserve">Group of contracts level </w:t>
            </w:r>
            <w:r w:rsidRPr="00A372C8">
              <w:rPr>
                <w:bCs/>
              </w:rPr>
              <w:t>(i.e: i) series of programme estimates, ii) cases in which an Action Document foresees many foreseen individual legal commitments (for instance four contracts and one of them being a Technical Assistance) and two of them, a technical assistance contract and a contribution agreement, aim at the same objectives and complement each other, iii) follow up contracts that share the same log frame of the original contract)</w:t>
            </w:r>
          </w:p>
        </w:tc>
      </w:tr>
      <w:tr w:rsidR="00901F60" w:rsidRPr="008704EA" w14:paraId="060A5487" w14:textId="77777777" w:rsidTr="007935F2">
        <w:trPr>
          <w:trHeight w:val="466"/>
        </w:trPr>
        <w:tc>
          <w:tcPr>
            <w:tcW w:w="456" w:type="dxa"/>
            <w:tcBorders>
              <w:top w:val="single" w:sz="4" w:space="0" w:color="auto"/>
              <w:left w:val="single" w:sz="4" w:space="0" w:color="auto"/>
              <w:bottom w:val="single" w:sz="4" w:space="0" w:color="auto"/>
              <w:right w:val="single" w:sz="4" w:space="0" w:color="auto"/>
            </w:tcBorders>
          </w:tcPr>
          <w:p w14:paraId="6A9E9A83" w14:textId="77777777" w:rsidR="00901F60" w:rsidRDefault="00874D53" w:rsidP="007935F2">
            <w:pPr>
              <w:pStyle w:val="Text1"/>
              <w:spacing w:before="60" w:after="60" w:line="254" w:lineRule="auto"/>
              <w:ind w:left="0" w:right="-25"/>
              <w:jc w:val="left"/>
              <w:rPr>
                <w:rFonts w:ascii="Segoe UI Symbol" w:eastAsia="MS Gothic" w:hAnsi="Segoe UI Symbol" w:cs="Segoe UI Symbol"/>
                <w:color w:val="0D0D0D" w:themeColor="text1" w:themeTint="F2"/>
                <w:lang w:val="en-IE"/>
              </w:rPr>
            </w:pPr>
            <w:sdt>
              <w:sdtPr>
                <w:rPr>
                  <w:rFonts w:ascii="Segoe UI Symbol" w:eastAsia="MS Gothic" w:hAnsi="Segoe UI Symbol" w:cs="Segoe UI Symbol"/>
                  <w:color w:val="0D0D0D" w:themeColor="text1" w:themeTint="F2"/>
                </w:rPr>
                <w:id w:val="-1919002955"/>
                <w14:checkbox>
                  <w14:checked w14:val="0"/>
                  <w14:checkedState w14:val="2612" w14:font="MS Gothic"/>
                  <w14:uncheckedState w14:val="2610" w14:font="MS Gothic"/>
                </w14:checkbox>
              </w:sdtPr>
              <w:sdtEndPr/>
              <w:sdtContent>
                <w:r w:rsidR="00901F60" w:rsidRPr="00AA3E2A">
                  <w:rPr>
                    <w:rFonts w:ascii="MS Gothic" w:eastAsia="MS Gothic" w:hAnsi="MS Gothic" w:cs="Segoe UI Symbol"/>
                    <w:color w:val="0D0D0D" w:themeColor="text1" w:themeTint="F2"/>
                  </w:rPr>
                  <w:t>☐</w:t>
                </w:r>
              </w:sdtContent>
            </w:sdt>
          </w:p>
        </w:tc>
        <w:tc>
          <w:tcPr>
            <w:tcW w:w="2195" w:type="dxa"/>
            <w:tcBorders>
              <w:top w:val="single" w:sz="4" w:space="0" w:color="auto"/>
              <w:left w:val="single" w:sz="4" w:space="0" w:color="auto"/>
              <w:bottom w:val="single" w:sz="4" w:space="0" w:color="auto"/>
              <w:right w:val="single" w:sz="4" w:space="0" w:color="auto"/>
            </w:tcBorders>
          </w:tcPr>
          <w:p w14:paraId="619A90DE" w14:textId="77777777" w:rsidR="00901F60" w:rsidRPr="003C0CD7" w:rsidRDefault="00901F60" w:rsidP="007935F2">
            <w:pPr>
              <w:pStyle w:val="Text1"/>
              <w:spacing w:before="60" w:after="60" w:line="254" w:lineRule="auto"/>
              <w:ind w:left="0" w:right="-25"/>
              <w:jc w:val="left"/>
              <w:rPr>
                <w:lang w:val="en-IE"/>
              </w:rPr>
            </w:pPr>
            <w:r w:rsidRPr="00E17AB0">
              <w:t>Group of contracts</w:t>
            </w:r>
          </w:p>
        </w:tc>
        <w:tc>
          <w:tcPr>
            <w:tcW w:w="7579" w:type="dxa"/>
            <w:tcBorders>
              <w:top w:val="single" w:sz="4" w:space="0" w:color="auto"/>
              <w:left w:val="single" w:sz="4" w:space="0" w:color="auto"/>
              <w:bottom w:val="single" w:sz="4" w:space="0" w:color="auto"/>
              <w:right w:val="single" w:sz="4" w:space="0" w:color="auto"/>
            </w:tcBorders>
          </w:tcPr>
          <w:p w14:paraId="01B48977" w14:textId="77777777" w:rsidR="00901F60" w:rsidRPr="00A372C8" w:rsidRDefault="00901F60" w:rsidP="007935F2">
            <w:pPr>
              <w:pStyle w:val="Text1"/>
              <w:spacing w:before="60" w:after="60" w:line="254" w:lineRule="auto"/>
              <w:ind w:left="0" w:right="-25"/>
              <w:jc w:val="left"/>
              <w:rPr>
                <w:lang w:val="en-IE"/>
              </w:rPr>
            </w:pPr>
            <w:r w:rsidRPr="00A372C8">
              <w:rPr>
                <w:lang w:val="en-IE"/>
              </w:rPr>
              <w:t>N/A</w:t>
            </w:r>
          </w:p>
        </w:tc>
      </w:tr>
    </w:tbl>
    <w:p w14:paraId="55597EA9" w14:textId="77777777" w:rsidR="00901F60" w:rsidRPr="00C85643" w:rsidRDefault="00901F60" w:rsidP="00901F60">
      <w:pPr>
        <w:rPr>
          <w:b/>
          <w:sz w:val="22"/>
          <w:lang w:val="en-IE"/>
        </w:rPr>
      </w:pPr>
    </w:p>
    <w:p w14:paraId="33DB0448" w14:textId="77777777" w:rsidR="00C43D26" w:rsidRPr="00C85643" w:rsidRDefault="00C43D26" w:rsidP="00AA05FA">
      <w:pPr>
        <w:rPr>
          <w:b/>
          <w:sz w:val="22"/>
          <w:lang w:val="en-IE"/>
        </w:rPr>
      </w:pPr>
    </w:p>
    <w:sectPr w:rsidR="00C43D26" w:rsidRPr="00C85643" w:rsidSect="00CA22CD">
      <w:pgSz w:w="11906" w:h="16838"/>
      <w:pgMar w:top="1135" w:right="720" w:bottom="567" w:left="1418" w:header="708" w:footer="51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052F3C" w16cid:durableId="27C57FF2"/>
  <w16cid:commentId w16cid:paraId="0381E2F9" w16cid:durableId="27C58345"/>
  <w16cid:commentId w16cid:paraId="59B7F62F" w16cid:durableId="27C5800C"/>
  <w16cid:commentId w16cid:paraId="5D711DF0" w16cid:durableId="27C5801F"/>
  <w16cid:commentId w16cid:paraId="6EF8FCAF" w16cid:durableId="27C5803F"/>
  <w16cid:commentId w16cid:paraId="2D5CF9F2" w16cid:durableId="27BD710E"/>
  <w16cid:commentId w16cid:paraId="5309735B" w16cid:durableId="27C56931"/>
  <w16cid:commentId w16cid:paraId="13A41728" w16cid:durableId="27C589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B312C" w14:textId="77777777" w:rsidR="00874D53" w:rsidRDefault="00874D53" w:rsidP="0022259C">
      <w:r>
        <w:separator/>
      </w:r>
    </w:p>
    <w:p w14:paraId="2C9A42CC" w14:textId="77777777" w:rsidR="00874D53" w:rsidRDefault="00874D53"/>
    <w:p w14:paraId="35014F79" w14:textId="77777777" w:rsidR="00874D53" w:rsidRDefault="00874D53"/>
  </w:endnote>
  <w:endnote w:type="continuationSeparator" w:id="0">
    <w:p w14:paraId="10FAE879" w14:textId="77777777" w:rsidR="00874D53" w:rsidRDefault="00874D53" w:rsidP="0022259C">
      <w:r>
        <w:continuationSeparator/>
      </w:r>
    </w:p>
    <w:p w14:paraId="04B51485" w14:textId="77777777" w:rsidR="00874D53" w:rsidRDefault="00874D53"/>
    <w:p w14:paraId="31E0EC63" w14:textId="77777777" w:rsidR="00874D53" w:rsidRDefault="00874D53"/>
  </w:endnote>
  <w:endnote w:type="continuationNotice" w:id="1">
    <w:p w14:paraId="5AB93EA3" w14:textId="77777777" w:rsidR="00874D53" w:rsidRDefault="00874D53"/>
    <w:p w14:paraId="0FA4E269" w14:textId="77777777" w:rsidR="00874D53" w:rsidRDefault="00874D53"/>
    <w:p w14:paraId="438E9EE6" w14:textId="77777777" w:rsidR="00874D53" w:rsidRDefault="00874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 w:name="EC Square Sans Pro Thin">
    <w:altName w:val="Calibri"/>
    <w:charset w:val="00"/>
    <w:family w:val="swiss"/>
    <w:pitch w:val="variable"/>
    <w:sig w:usb0="A00002B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472689"/>
      <w:docPartObj>
        <w:docPartGallery w:val="Page Numbers (Bottom of Page)"/>
        <w:docPartUnique/>
      </w:docPartObj>
    </w:sdtPr>
    <w:sdtEndPr>
      <w:rPr>
        <w:noProof/>
        <w:sz w:val="22"/>
      </w:rPr>
    </w:sdtEndPr>
    <w:sdtContent>
      <w:p w14:paraId="7AABFF9E" w14:textId="0CF95AD7" w:rsidR="00A40470" w:rsidRPr="00A958DB" w:rsidRDefault="00A40470">
        <w:pPr>
          <w:pStyle w:val="Footer"/>
          <w:jc w:val="right"/>
          <w:rPr>
            <w:sz w:val="22"/>
          </w:rPr>
        </w:pPr>
        <w:r w:rsidRPr="00A958DB">
          <w:rPr>
            <w:sz w:val="22"/>
          </w:rPr>
          <w:fldChar w:fldCharType="begin"/>
        </w:r>
        <w:r w:rsidRPr="00A958DB">
          <w:rPr>
            <w:sz w:val="22"/>
          </w:rPr>
          <w:instrText xml:space="preserve"> PAGE   \* MERGEFORMAT </w:instrText>
        </w:r>
        <w:r w:rsidRPr="00A958DB">
          <w:rPr>
            <w:sz w:val="22"/>
          </w:rPr>
          <w:fldChar w:fldCharType="separate"/>
        </w:r>
        <w:r w:rsidR="00CA22CD">
          <w:rPr>
            <w:noProof/>
            <w:sz w:val="22"/>
          </w:rPr>
          <w:t>38</w:t>
        </w:r>
        <w:r w:rsidRPr="00A958DB">
          <w:rPr>
            <w:noProof/>
            <w:sz w:val="22"/>
          </w:rPr>
          <w:fldChar w:fldCharType="end"/>
        </w:r>
      </w:p>
    </w:sdtContent>
  </w:sdt>
  <w:p w14:paraId="337A5266" w14:textId="77777777" w:rsidR="00A40470" w:rsidRDefault="00A404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B774D" w14:textId="77777777" w:rsidR="00874D53" w:rsidRDefault="00874D53" w:rsidP="0022259C">
      <w:r>
        <w:separator/>
      </w:r>
    </w:p>
    <w:p w14:paraId="6DBCA76D" w14:textId="77777777" w:rsidR="00874D53" w:rsidRDefault="00874D53"/>
    <w:p w14:paraId="796FF45C" w14:textId="77777777" w:rsidR="00874D53" w:rsidRDefault="00874D53"/>
  </w:footnote>
  <w:footnote w:type="continuationSeparator" w:id="0">
    <w:p w14:paraId="77A9BCEC" w14:textId="77777777" w:rsidR="00874D53" w:rsidRDefault="00874D53" w:rsidP="0022259C">
      <w:r>
        <w:continuationSeparator/>
      </w:r>
    </w:p>
    <w:p w14:paraId="45C1AFB5" w14:textId="77777777" w:rsidR="00874D53" w:rsidRDefault="00874D53"/>
    <w:p w14:paraId="327E83E7" w14:textId="77777777" w:rsidR="00874D53" w:rsidRDefault="00874D53"/>
  </w:footnote>
  <w:footnote w:type="continuationNotice" w:id="1">
    <w:p w14:paraId="4E7D2CE6" w14:textId="77777777" w:rsidR="00874D53" w:rsidRDefault="00874D53"/>
    <w:p w14:paraId="3330630D" w14:textId="77777777" w:rsidR="00874D53" w:rsidRDefault="00874D53"/>
    <w:p w14:paraId="6254A7FC" w14:textId="77777777" w:rsidR="00874D53" w:rsidRDefault="00874D53"/>
  </w:footnote>
  <w:footnote w:id="2">
    <w:p w14:paraId="0FF2B164" w14:textId="77777777" w:rsidR="00A40470" w:rsidRPr="00AE4250" w:rsidRDefault="00A40470" w:rsidP="00CA22CD">
      <w:pPr>
        <w:pStyle w:val="Style2"/>
        <w:shd w:val="clear" w:color="auto" w:fill="auto"/>
      </w:pPr>
      <w:r w:rsidRPr="00AE4250">
        <w:rPr>
          <w:rStyle w:val="FootnoteReference"/>
        </w:rPr>
        <w:footnoteRef/>
      </w:r>
      <w:r w:rsidRPr="00AE4250">
        <w:t xml:space="preserve"> Depending on the availability of OPSYS at the time of encoding, a provisional CRIS number may need to be provided.</w:t>
      </w:r>
    </w:p>
  </w:footnote>
  <w:footnote w:id="3">
    <w:p w14:paraId="52E10BD3" w14:textId="77777777" w:rsidR="00A40470" w:rsidRPr="00A50028" w:rsidRDefault="00A40470" w:rsidP="00CA22CD">
      <w:pPr>
        <w:pStyle w:val="Style2"/>
        <w:shd w:val="clear" w:color="auto" w:fill="auto"/>
      </w:pPr>
      <w:r>
        <w:rPr>
          <w:rStyle w:val="FootnoteReference"/>
        </w:rPr>
        <w:footnoteRef/>
      </w:r>
      <w:r>
        <w:t xml:space="preserve"> The share of the priority areas should be linked to the NEAR EIP sub-tags: Transport, Energy, Environment and climate resilience, Digital, Economic development (incl. private sector, trade, and macroeconomic support), Human Development (incl. human capital and youth), Health resilience, Migration and mobility, Agriculture, food security and rural development, Rule of law, governance and public administration reform, Other.</w:t>
      </w:r>
    </w:p>
  </w:footnote>
  <w:footnote w:id="4">
    <w:p w14:paraId="01AB65A8" w14:textId="77777777" w:rsidR="00A40470" w:rsidRPr="003662EA" w:rsidRDefault="00A40470" w:rsidP="00CA22CD">
      <w:pPr>
        <w:pStyle w:val="Style2"/>
        <w:shd w:val="clear" w:color="auto" w:fill="auto"/>
      </w:pPr>
      <w:r w:rsidRPr="003662EA">
        <w:rPr>
          <w:rStyle w:val="FootnoteReference"/>
        </w:rPr>
        <w:footnoteRef/>
      </w:r>
      <w:r w:rsidRPr="003662EA">
        <w:t xml:space="preserve"> Indicate </w:t>
      </w:r>
      <w:r w:rsidRPr="009C1827">
        <w:t>the l</w:t>
      </w:r>
      <w:r w:rsidRPr="00CA22CD">
        <w:t>ead window and thematic priority as identified in the relevant programming document. Please indicate for each thematic priority the approximate share (%) of the window budget it represents.</w:t>
      </w:r>
    </w:p>
  </w:footnote>
  <w:footnote w:id="5">
    <w:p w14:paraId="2767855F" w14:textId="77777777" w:rsidR="00A40470" w:rsidRPr="003662EA" w:rsidRDefault="00A40470" w:rsidP="00CA22CD">
      <w:pPr>
        <w:pStyle w:val="Style2"/>
        <w:shd w:val="clear" w:color="auto" w:fill="auto"/>
      </w:pPr>
      <w:r w:rsidRPr="003662EA">
        <w:rPr>
          <w:rStyle w:val="FootnoteReference"/>
        </w:rPr>
        <w:footnoteRef/>
      </w:r>
      <w:r w:rsidRPr="003662EA">
        <w:t xml:space="preserve"> </w:t>
      </w:r>
      <w:bookmarkStart w:id="10" w:name="_Hlk115183886"/>
      <w:r w:rsidRPr="003662EA">
        <w:t xml:space="preserve">Development Assistance Committee (DAC) sectors (codes and descriptions) are indicated in the first and fourth columns of the tab ‘purpose codes’ in the following document: </w:t>
      </w:r>
      <w:hyperlink r:id="rId1" w:history="1">
        <w:r w:rsidRPr="003662EA">
          <w:rPr>
            <w:rStyle w:val="Hyperlink"/>
            <w:rFonts w:eastAsiaTheme="majorEastAsia"/>
          </w:rPr>
          <w:t>DAC and CRS code lists - OECD</w:t>
        </w:r>
      </w:hyperlink>
      <w:r w:rsidRPr="003662EA">
        <w:t xml:space="preserve"> </w:t>
      </w:r>
    </w:p>
    <w:bookmarkEnd w:id="10"/>
  </w:footnote>
  <w:footnote w:id="6">
    <w:p w14:paraId="49744EDA" w14:textId="77777777" w:rsidR="00A40470" w:rsidRPr="00E16935" w:rsidRDefault="00A40470" w:rsidP="00CA22CD">
      <w:pPr>
        <w:pStyle w:val="Style2"/>
        <w:shd w:val="clear" w:color="auto" w:fill="auto"/>
        <w:ind w:left="142" w:hanging="142"/>
      </w:pPr>
      <w:r w:rsidRPr="003662EA">
        <w:rPr>
          <w:rFonts w:eastAsia="Times New Roman"/>
          <w:vertAlign w:val="superscript"/>
        </w:rPr>
        <w:footnoteRef/>
      </w:r>
      <w:r w:rsidRPr="003662EA">
        <w:rPr>
          <w:rFonts w:eastAsia="Times New Roman"/>
        </w:rPr>
        <w:t xml:space="preserve"> For guidance, see </w:t>
      </w:r>
      <w:hyperlink r:id="rId2" w:history="1">
        <w:r w:rsidRPr="003662EA">
          <w:rPr>
            <w:rStyle w:val="Hyperlink"/>
          </w:rPr>
          <w:t>Development finance standards - OECD</w:t>
        </w:r>
      </w:hyperlink>
      <w:r w:rsidRPr="003662EA">
        <w:rPr>
          <w:color w:val="1F497D"/>
        </w:rPr>
        <w:t xml:space="preserve"> (</w:t>
      </w:r>
      <w:r w:rsidRPr="003662EA">
        <w:t xml:space="preserve">Go to “Data collection and resources for reporters”, select Addendum 2, annexes 18 (policy) and 19 (Rio) of the reporting directive. </w:t>
      </w:r>
      <w:r w:rsidRPr="003662EA">
        <w:rPr>
          <w:rFonts w:eastAsia="Times New Roman"/>
        </w:rPr>
        <w:t>If an action is marked in the DAC form as contributing to one of the general policy objectives or to RIO principles as a principal objective or a significant objective, then this should be reflected in the logframe matrix (in the results chain and indicators).</w:t>
      </w:r>
    </w:p>
  </w:footnote>
  <w:footnote w:id="7">
    <w:p w14:paraId="0E01DAAA" w14:textId="77777777" w:rsidR="00A40470" w:rsidRPr="003662EA" w:rsidRDefault="00A40470" w:rsidP="00CA22CD">
      <w:pPr>
        <w:pStyle w:val="FootnoteText"/>
        <w:jc w:val="left"/>
      </w:pPr>
      <w:r w:rsidRPr="003662EA">
        <w:rPr>
          <w:rStyle w:val="FootnoteReference"/>
        </w:rPr>
        <w:footnoteRef/>
      </w:r>
      <w:r w:rsidRPr="003662EA">
        <w:t xml:space="preserve"> Please check the </w:t>
      </w:r>
      <w:hyperlink r:id="rId3" w:history="1">
        <w:r w:rsidRPr="003662EA">
          <w:rPr>
            <w:rStyle w:val="Hyperlink"/>
          </w:rPr>
          <w:t>Handbook on the OECD-DAC Nutrition Policy Marker</w:t>
        </w:r>
      </w:hyperlink>
      <w:r w:rsidRPr="003662EA">
        <w:rPr>
          <w:rStyle w:val="Hyperlink"/>
        </w:rPr>
        <w:t>.</w:t>
      </w:r>
    </w:p>
  </w:footnote>
  <w:footnote w:id="8">
    <w:p w14:paraId="782E5A96" w14:textId="77777777" w:rsidR="00A40470" w:rsidRPr="003662EA" w:rsidRDefault="00A40470" w:rsidP="00CA22CD">
      <w:pPr>
        <w:pStyle w:val="CommentText"/>
        <w:ind w:left="142" w:hanging="142"/>
      </w:pPr>
      <w:r w:rsidRPr="003662EA">
        <w:rPr>
          <w:rStyle w:val="FootnoteReference"/>
        </w:rPr>
        <w:footnoteRef/>
      </w:r>
      <w:r w:rsidRPr="003662EA">
        <w:t xml:space="preserve"> These markers </w:t>
      </w:r>
      <w:r w:rsidRPr="00CA22CD">
        <w:rPr>
          <w:rStyle w:val="Style1Char"/>
          <w:shd w:val="clear" w:color="auto" w:fill="auto"/>
        </w:rPr>
        <w:t>have a different scope/rationale than the DAC codes. They are drawn from the level of budget allocation and emphasise the action in terms of main objective(s) selected. The definition of objectives and outputs in the description of the action should be in line with this section.</w:t>
      </w:r>
    </w:p>
  </w:footnote>
  <w:footnote w:id="9">
    <w:p w14:paraId="25561A7D" w14:textId="77777777" w:rsidR="00A40470" w:rsidRDefault="00A40470" w:rsidP="00CA22CD">
      <w:pPr>
        <w:pStyle w:val="Style2"/>
        <w:shd w:val="clear" w:color="auto" w:fill="auto"/>
      </w:pPr>
      <w:r w:rsidRPr="003662EA">
        <w:rPr>
          <w:rStyle w:val="FootnoteReference"/>
        </w:rPr>
        <w:footnoteRef/>
      </w:r>
      <w:r w:rsidRPr="003662EA">
        <w:t xml:space="preserve"> When a marker is Significant or Principal Objective, please indicate the relevant tags by selecting</w:t>
      </w:r>
      <w:r>
        <w:t xml:space="preserve"> “YES” or “NO”.</w:t>
      </w:r>
    </w:p>
  </w:footnote>
  <w:footnote w:id="10">
    <w:p w14:paraId="7342F9C2" w14:textId="77777777" w:rsidR="00A40470" w:rsidRPr="0082062A" w:rsidRDefault="00A40470" w:rsidP="00CA22CD">
      <w:pPr>
        <w:pStyle w:val="Style1"/>
        <w:shd w:val="clear" w:color="auto" w:fill="auto"/>
        <w:rPr>
          <w:lang w:val="en-IE"/>
        </w:rPr>
      </w:pPr>
      <w:r>
        <w:rPr>
          <w:rStyle w:val="FootnoteReference"/>
        </w:rPr>
        <w:footnoteRef/>
      </w:r>
      <w:r>
        <w:t xml:space="preserve"> </w:t>
      </w:r>
      <w:r w:rsidRPr="00411D72">
        <w:t>Please address the digitalisation marker in line with the note ARES(2019)7611708, which provides internal guidelines on the criteria to be used to assess the degree of relevance of the marker for the action (not targeted, significant or main objective).</w:t>
      </w:r>
    </w:p>
  </w:footnote>
  <w:footnote w:id="11">
    <w:p w14:paraId="6B748B33" w14:textId="77777777" w:rsidR="00A40470" w:rsidRPr="002548F3" w:rsidRDefault="00A40470" w:rsidP="00CA22CD">
      <w:pPr>
        <w:pStyle w:val="Style1"/>
        <w:shd w:val="clear" w:color="auto" w:fill="auto"/>
      </w:pPr>
      <w:r w:rsidRPr="00E204C7">
        <w:rPr>
          <w:vertAlign w:val="superscript"/>
          <w:lang w:val="en-IE"/>
        </w:rPr>
        <w:footnoteRef/>
      </w:r>
      <w:r w:rsidRPr="00E204C7">
        <w:rPr>
          <w:lang w:val="en-IE"/>
        </w:rPr>
        <w:t xml:space="preserve"> </w:t>
      </w:r>
      <w:bookmarkStart w:id="11" w:name="_Hlk115174995"/>
      <w:r w:rsidRPr="00E204C7">
        <w:rPr>
          <w:lang w:val="en-IE"/>
        </w:rPr>
        <w:t xml:space="preserve">When a marker is </w:t>
      </w:r>
      <w:r>
        <w:rPr>
          <w:lang w:val="en-IE"/>
        </w:rPr>
        <w:t>“</w:t>
      </w:r>
      <w:r w:rsidRPr="00E204C7">
        <w:rPr>
          <w:lang w:val="en-IE"/>
        </w:rPr>
        <w:t xml:space="preserve">Significant </w:t>
      </w:r>
      <w:r>
        <w:rPr>
          <w:lang w:val="en-IE"/>
        </w:rPr>
        <w:t xml:space="preserve">Objective“ </w:t>
      </w:r>
      <w:r w:rsidRPr="00E204C7">
        <w:rPr>
          <w:lang w:val="en-IE"/>
        </w:rPr>
        <w:t xml:space="preserve">or </w:t>
      </w:r>
      <w:r>
        <w:rPr>
          <w:lang w:val="en-IE"/>
        </w:rPr>
        <w:t>“</w:t>
      </w:r>
      <w:r w:rsidRPr="00E204C7">
        <w:rPr>
          <w:lang w:val="en-IE"/>
        </w:rPr>
        <w:t>Principal Objective</w:t>
      </w:r>
      <w:r>
        <w:rPr>
          <w:lang w:val="en-IE"/>
        </w:rPr>
        <w:t>”</w:t>
      </w:r>
      <w:r w:rsidRPr="00E204C7">
        <w:rPr>
          <w:lang w:val="en-IE"/>
        </w:rPr>
        <w:t>, please indicate the relevant tags by selecting “YES” or “NO</w:t>
      </w:r>
      <w:r>
        <w:t>”</w:t>
      </w:r>
      <w:bookmarkEnd w:id="11"/>
      <w:r w:rsidRPr="00BA237E">
        <w:t>.</w:t>
      </w:r>
    </w:p>
  </w:footnote>
  <w:footnote w:id="12">
    <w:p w14:paraId="710D09F4" w14:textId="77777777" w:rsidR="00A40470" w:rsidRDefault="00A40470" w:rsidP="00CA22CD">
      <w:pPr>
        <w:pStyle w:val="Style2"/>
        <w:shd w:val="clear" w:color="auto" w:fill="auto"/>
      </w:pPr>
      <w:r>
        <w:rPr>
          <w:rStyle w:val="FootnoteReference"/>
        </w:rPr>
        <w:footnoteRef/>
      </w:r>
      <w:r>
        <w:t xml:space="preserve"> Please address the migration marker in line with the note Ares(2021)6077013. </w:t>
      </w:r>
    </w:p>
  </w:footnote>
  <w:footnote w:id="13">
    <w:p w14:paraId="6D703F41" w14:textId="77777777" w:rsidR="00A40470" w:rsidRPr="00B85F70" w:rsidRDefault="00A40470" w:rsidP="00951416">
      <w:pPr>
        <w:pStyle w:val="FootnoteText"/>
      </w:pPr>
      <w:r w:rsidRPr="00951416">
        <w:rPr>
          <w:rStyle w:val="FootnoteReference"/>
        </w:rPr>
        <w:footnoteRef/>
      </w:r>
      <w:r w:rsidRPr="00951416">
        <w:t xml:space="preserve"> Number of months should not exceed 72 months.</w:t>
      </w:r>
      <w:r w:rsidRPr="00B85F70">
        <w:t xml:space="preserve"> </w:t>
      </w:r>
    </w:p>
  </w:footnote>
  <w:footnote w:id="14">
    <w:p w14:paraId="602FF425" w14:textId="1123C200" w:rsidR="00A40470" w:rsidRDefault="00A40470">
      <w:pPr>
        <w:pStyle w:val="FootnoteText"/>
      </w:pPr>
      <w:r>
        <w:rPr>
          <w:rStyle w:val="FootnoteReference"/>
        </w:rPr>
        <w:footnoteRef/>
      </w:r>
      <w:r>
        <w:t xml:space="preserve"> </w:t>
      </w:r>
      <w:hyperlink r:id="rId4" w:history="1">
        <w:r w:rsidRPr="00267D2A">
          <w:rPr>
            <w:rStyle w:val="Hyperlink"/>
          </w:rPr>
          <w:t>Statistics | Eurostat (europa.eu)</w:t>
        </w:r>
      </w:hyperlink>
    </w:p>
  </w:footnote>
  <w:footnote w:id="15">
    <w:p w14:paraId="2B2B8270" w14:textId="71734C7E" w:rsidR="00A40470" w:rsidRDefault="00A40470">
      <w:pPr>
        <w:pStyle w:val="FootnoteText"/>
      </w:pPr>
      <w:r>
        <w:rPr>
          <w:rStyle w:val="FootnoteReference"/>
        </w:rPr>
        <w:footnoteRef/>
      </w:r>
      <w:r>
        <w:t xml:space="preserve"> </w:t>
      </w:r>
      <w:hyperlink r:id="rId5" w:history="1">
        <w:r w:rsidRPr="00895CE8">
          <w:rPr>
            <w:rStyle w:val="Hyperlink"/>
          </w:rPr>
          <w:t>North Macedonia Report 2022.pdf (europa.eu)</w:t>
        </w:r>
      </w:hyperlink>
    </w:p>
  </w:footnote>
  <w:footnote w:id="16">
    <w:p w14:paraId="663C810D" w14:textId="77777777" w:rsidR="00A40470" w:rsidRDefault="00A40470" w:rsidP="00F37D15">
      <w:pPr>
        <w:pStyle w:val="FootnoteText"/>
      </w:pPr>
      <w:r>
        <w:rPr>
          <w:rStyle w:val="FootnoteReference"/>
        </w:rPr>
        <w:footnoteRef/>
      </w:r>
      <w:r>
        <w:t xml:space="preserve"> </w:t>
      </w:r>
      <w:hyperlink r:id="rId6" w:history="1">
        <w:r w:rsidRPr="00F37D15">
          <w:rPr>
            <w:rStyle w:val="Hyperlink"/>
          </w:rPr>
          <w:t>north_macedonia_report_2020.pdf (europa.eu)</w:t>
        </w:r>
      </w:hyperlink>
    </w:p>
  </w:footnote>
  <w:footnote w:id="17">
    <w:p w14:paraId="3A2FCB6E" w14:textId="77777777" w:rsidR="00A40470" w:rsidRDefault="00A40470" w:rsidP="00F37D15">
      <w:pPr>
        <w:pStyle w:val="FootnoteText"/>
      </w:pPr>
      <w:r>
        <w:rPr>
          <w:rStyle w:val="FootnoteReference"/>
        </w:rPr>
        <w:footnoteRef/>
      </w:r>
      <w:r>
        <w:t xml:space="preserve"> </w:t>
      </w:r>
      <w:hyperlink r:id="rId7" w:history="1">
        <w:r w:rsidRPr="00F37D15">
          <w:rPr>
            <w:rStyle w:val="Hyperlink"/>
          </w:rPr>
          <w:t>North Macedonia - United States Department of State</w:t>
        </w:r>
      </w:hyperlink>
    </w:p>
  </w:footnote>
  <w:footnote w:id="18">
    <w:p w14:paraId="6B64F25F" w14:textId="4DB0F66B" w:rsidR="00A40470" w:rsidRDefault="00A40470">
      <w:pPr>
        <w:pStyle w:val="FootnoteText"/>
      </w:pPr>
      <w:r>
        <w:rPr>
          <w:rStyle w:val="FootnoteReference"/>
        </w:rPr>
        <w:footnoteRef/>
      </w:r>
      <w:r>
        <w:t xml:space="preserve"> </w:t>
      </w:r>
      <w:hyperlink r:id="rId8" w:history="1">
        <w:r w:rsidRPr="00267D2A">
          <w:rPr>
            <w:rStyle w:val="Hyperlink"/>
          </w:rPr>
          <w:t>North Macedonia Report 2022.pdf (europa.eu)</w:t>
        </w:r>
      </w:hyperlink>
    </w:p>
  </w:footnote>
  <w:footnote w:id="19">
    <w:p w14:paraId="586E492B" w14:textId="0CAA6574" w:rsidR="00A40470" w:rsidRDefault="00A40470">
      <w:pPr>
        <w:pStyle w:val="FootnoteText"/>
      </w:pPr>
      <w:r>
        <w:rPr>
          <w:rStyle w:val="FootnoteReference"/>
        </w:rPr>
        <w:footnoteRef/>
      </w:r>
      <w:r>
        <w:t xml:space="preserve"> Ibid.</w:t>
      </w:r>
    </w:p>
  </w:footnote>
  <w:footnote w:id="20">
    <w:p w14:paraId="76E90192" w14:textId="77777777" w:rsidR="00A40470" w:rsidRDefault="00A40470">
      <w:pPr>
        <w:pStyle w:val="FootnoteText"/>
      </w:pPr>
      <w:r>
        <w:rPr>
          <w:rStyle w:val="FootnoteReference"/>
        </w:rPr>
        <w:footnoteRef/>
      </w:r>
      <w:r>
        <w:t xml:space="preserve"> </w:t>
      </w:r>
      <w:hyperlink r:id="rId9" w:tgtFrame="_blank" w:history="1">
        <w:r>
          <w:rPr>
            <w:rStyle w:val="Hyperlink"/>
            <w:rFonts w:eastAsiaTheme="majorEastAsia"/>
          </w:rPr>
          <w:t>http://makstat.stat.gov.mk/PXWeb/pxweb/en/MakStat/MakStat__StrukturniStat/225_StrDel_Mk_03byactivity_en.px/?rxid=46ee0f64-2992-4b45-a2d9-cb4e5f7ec5ef</w:t>
        </w:r>
      </w:hyperlink>
    </w:p>
  </w:footnote>
  <w:footnote w:id="21">
    <w:p w14:paraId="636CFB47" w14:textId="7E239294" w:rsidR="00A40470" w:rsidRDefault="00A40470">
      <w:pPr>
        <w:pStyle w:val="FootnoteText"/>
      </w:pPr>
      <w:r>
        <w:rPr>
          <w:rStyle w:val="FootnoteReference"/>
        </w:rPr>
        <w:footnoteRef/>
      </w:r>
      <w:r>
        <w:t xml:space="preserve"> Proportion of SMEs in business economy, active in the fourth year of life, compared to the total number of new SMEs in the year of reference.</w:t>
      </w:r>
    </w:p>
  </w:footnote>
  <w:footnote w:id="22">
    <w:p w14:paraId="518BE05F" w14:textId="0D5E317A" w:rsidR="00A40470" w:rsidRDefault="00A40470">
      <w:pPr>
        <w:pStyle w:val="FootnoteText"/>
      </w:pPr>
      <w:r>
        <w:rPr>
          <w:rStyle w:val="FootnoteReference"/>
        </w:rPr>
        <w:footnoteRef/>
      </w:r>
      <w:r>
        <w:t xml:space="preserve"> </w:t>
      </w:r>
      <w:hyperlink r:id="rId10" w:tgtFrame="_blank" w:history="1">
        <w:r>
          <w:rPr>
            <w:rStyle w:val="Hyperlink"/>
            <w:rFonts w:eastAsiaTheme="majorEastAsia"/>
          </w:rPr>
          <w:t>http://makstat.stat.gov.mk/PXWeb/pxweb/en/MakStat/MakStat__DelovniSubj__DemografijaNaPretprijatija/275_DelSub_Mk_04AN_en.px/?rxid=2d7f8742-3410-4731-ae76-1c3793fbb500</w:t>
        </w:r>
      </w:hyperlink>
      <w:r>
        <w:t xml:space="preserve"> (Select: Column 1: B-N_X_K642 Business economy, except group 64.2 - Activities of holding companies; Column 2: relevant years; Column 3: 4-year survival rate (%))</w:t>
      </w:r>
    </w:p>
  </w:footnote>
  <w:footnote w:id="23">
    <w:p w14:paraId="58F6CBAD" w14:textId="77777777" w:rsidR="00A40470" w:rsidRPr="0089490C" w:rsidRDefault="00A40470" w:rsidP="00635FD9">
      <w:pPr>
        <w:pStyle w:val="Style2"/>
      </w:pPr>
      <w:r w:rsidRPr="0089490C">
        <w:rPr>
          <w:rStyle w:val="FootnoteReference"/>
        </w:rPr>
        <w:footnoteRef/>
      </w:r>
      <w:r w:rsidRPr="0089490C">
        <w:t xml:space="preserve"> See </w:t>
      </w:r>
      <w:r w:rsidRPr="0089490C">
        <w:rPr>
          <w:rFonts w:cs="Calibri"/>
        </w:rPr>
        <w:t xml:space="preserve">best </w:t>
      </w:r>
      <w:hyperlink r:id="rId11" w:history="1">
        <w:r w:rsidRPr="0089490C">
          <w:rPr>
            <w:rStyle w:val="Hyperlink"/>
            <w:rFonts w:cs="Calibri"/>
          </w:rPr>
          <w:t>practice of evaluation dissemination</w:t>
        </w:r>
      </w:hyperlink>
      <w:r w:rsidRPr="0089490C">
        <w:rPr>
          <w:rFonts w:cs="Calibri"/>
        </w:rPr>
        <w:t xml:space="preserve"> </w:t>
      </w:r>
    </w:p>
  </w:footnote>
  <w:footnote w:id="24">
    <w:p w14:paraId="655CEC07" w14:textId="77777777" w:rsidR="00A40470" w:rsidRPr="0089490C" w:rsidRDefault="00A40470" w:rsidP="00901F60">
      <w:pPr>
        <w:pStyle w:val="Style2"/>
      </w:pPr>
      <w:r w:rsidRPr="0089490C">
        <w:rPr>
          <w:rStyle w:val="FootnoteReference"/>
        </w:rPr>
        <w:footnoteRef/>
      </w:r>
      <w:r w:rsidRPr="0089490C">
        <w:t xml:space="preserve"> For the purpose of consistency between terms in OPSYS, DG INTPA, DG NEAR and FPI have harmonised 5 key terms, including ‘Action’ and ‘Intervention’ where an ‘Action’ is the content (or part of the content) of a Commission </w:t>
      </w:r>
      <w:r>
        <w:t>f</w:t>
      </w:r>
      <w:r w:rsidRPr="0089490C">
        <w:t xml:space="preserve">inancing Decision and ‘Intervention’ is a coherent set of activities and results which constitutes an effective level for the operational follow-up by the EC of its operations on the ground. See more on the </w:t>
      </w:r>
      <w:hyperlink r:id="rId12" w:history="1">
        <w:r w:rsidRPr="0089490C">
          <w:rPr>
            <w:rStyle w:val="Hyperlink"/>
          </w:rPr>
          <w:t>concept of intervention</w:t>
        </w:r>
      </w:hyperlink>
      <w:r>
        <w:rPr>
          <w:rStyle w:val="Hyperlink"/>
        </w:rPr>
        <w:t xml:space="preserve"> </w:t>
      </w:r>
      <w:r w:rsidRPr="0073170D">
        <w:rPr>
          <w:rStyle w:val="Hyperlink"/>
          <w:i/>
          <w:lang w:val="en-IE"/>
        </w:rPr>
        <w:t>[</w:t>
      </w:r>
      <w:r>
        <w:rPr>
          <w:rStyle w:val="Hyperlink"/>
          <w:i/>
          <w:lang w:val="en-IE"/>
        </w:rPr>
        <w:t xml:space="preserve">to access the link an </w:t>
      </w:r>
      <w:r w:rsidRPr="0073170D">
        <w:rPr>
          <w:rStyle w:val="Hyperlink"/>
          <w:i/>
          <w:lang w:val="en-IE"/>
        </w:rPr>
        <w:t>EU Login is needed]</w:t>
      </w:r>
      <w:r>
        <w:rPr>
          <w:rStyle w:val="Hyperlin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5168E" w14:textId="2D852688" w:rsidR="00A40470" w:rsidRPr="004257C0" w:rsidRDefault="00A40470">
    <w:pPr>
      <w:pStyle w:val="Header"/>
      <w:rPr>
        <w:lang w:val="en-IE"/>
      </w:rPr>
    </w:pPr>
    <w:r w:rsidRPr="004257C0">
      <w:rPr>
        <w:lang w:val="en-IE"/>
      </w:rPr>
      <w:t xml:space="preserve">IPA III Action Document template </w:t>
    </w:r>
    <w:r>
      <w:rPr>
        <w:lang w:val="en-IE"/>
      </w:rPr>
      <w:t xml:space="preserve">of January 2023 – For </w:t>
    </w:r>
    <w:r w:rsidRPr="004257C0">
      <w:rPr>
        <w:lang w:val="en-IE"/>
      </w:rPr>
      <w:t>202</w:t>
    </w:r>
    <w:r>
      <w:rPr>
        <w:lang w:val="en-IE"/>
      </w:rPr>
      <w:t>4</w:t>
    </w:r>
    <w:r w:rsidRPr="004257C0">
      <w:rPr>
        <w:lang w:val="en-IE"/>
      </w:rPr>
      <w:t xml:space="preserve"> and </w:t>
    </w:r>
    <w:r w:rsidRPr="00C85643">
      <w:rPr>
        <w:lang w:val="en-IE"/>
      </w:rPr>
      <w:t>subsequent</w:t>
    </w:r>
    <w:r w:rsidRPr="004257C0">
      <w:rPr>
        <w:lang w:val="en-IE"/>
      </w:rPr>
      <w:t xml:space="preserve"> years</w:t>
    </w:r>
    <w:r>
      <w:rPr>
        <w:lang w:val="en-IE"/>
      </w:rPr>
      <w:t xml:space="preserve"> (Western Balkans)</w:t>
    </w:r>
  </w:p>
  <w:p w14:paraId="359F39F3" w14:textId="77777777" w:rsidR="00A40470" w:rsidRPr="004257C0" w:rsidRDefault="00A40470">
    <w:pPr>
      <w:pStyle w:val="Header"/>
      <w:rPr>
        <w:lang w:val="en-I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329B2"/>
    <w:multiLevelType w:val="multilevel"/>
    <w:tmpl w:val="0D389334"/>
    <w:lvl w:ilvl="0">
      <w:start w:val="1"/>
      <w:numFmt w:val="bullet"/>
      <w:lvlText w:val=""/>
      <w:lvlJc w:val="left"/>
      <w:pPr>
        <w:ind w:left="540" w:hanging="540"/>
      </w:pPr>
      <w:rPr>
        <w:rFonts w:ascii="Symbol" w:hAnsi="Symbol" w:hint="default"/>
      </w:rPr>
    </w:lvl>
    <w:lvl w:ilvl="1">
      <w:start w:val="1"/>
      <w:numFmt w:val="decimal"/>
      <w:lvlText w:val="%1.%2."/>
      <w:lvlJc w:val="left"/>
      <w:pPr>
        <w:ind w:left="540" w:hanging="54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8F6FBB"/>
    <w:multiLevelType w:val="multilevel"/>
    <w:tmpl w:val="3ACE6358"/>
    <w:lvl w:ilvl="0">
      <w:start w:val="1"/>
      <w:numFmt w:val="bullet"/>
      <w:lvlText w:val=""/>
      <w:lvlJc w:val="left"/>
      <w:pPr>
        <w:ind w:left="2640" w:hanging="480"/>
      </w:pPr>
      <w:rPr>
        <w:rFonts w:ascii="Symbol" w:hAnsi="Symbol" w:hint="default"/>
        <w:i w:val="0"/>
      </w:rPr>
    </w:lvl>
    <w:lvl w:ilvl="1">
      <w:start w:val="1"/>
      <w:numFmt w:val="decimal"/>
      <w:lvlText w:val="%1.%2"/>
      <w:lvlJc w:val="left"/>
      <w:pPr>
        <w:ind w:left="2640" w:hanging="48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24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600" w:hanging="1440"/>
      </w:pPr>
      <w:rPr>
        <w:rFonts w:hint="default"/>
        <w:i w:val="0"/>
      </w:rPr>
    </w:lvl>
    <w:lvl w:ilvl="8">
      <w:start w:val="1"/>
      <w:numFmt w:val="decimal"/>
      <w:lvlText w:val="%1.%2.%3.%4.%5.%6.%7.%8.%9"/>
      <w:lvlJc w:val="left"/>
      <w:pPr>
        <w:ind w:left="3960" w:hanging="1800"/>
      </w:pPr>
      <w:rPr>
        <w:rFonts w:hint="default"/>
        <w:i w:val="0"/>
      </w:rPr>
    </w:lvl>
  </w:abstractNum>
  <w:abstractNum w:abstractNumId="2">
    <w:nsid w:val="06CF715B"/>
    <w:multiLevelType w:val="multilevel"/>
    <w:tmpl w:val="41CEC786"/>
    <w:lvl w:ilvl="0">
      <w:start w:val="1"/>
      <w:numFmt w:val="decimal"/>
      <w:lvlText w:val="%1."/>
      <w:lvlJc w:val="left"/>
      <w:pPr>
        <w:ind w:left="360" w:hanging="360"/>
      </w:pPr>
      <w:rPr>
        <w:rFonts w:ascii="Times New Roman" w:hAnsi="Times New Roman" w:cs="Times New Roman" w:hint="default"/>
        <w:color w:val="auto"/>
      </w:rPr>
    </w:lvl>
    <w:lvl w:ilvl="1">
      <w:start w:val="1"/>
      <w:numFmt w:val="decimal"/>
      <w:pStyle w:val="Heading2"/>
      <w:lvlText w:val="%1.%2."/>
      <w:lvlJc w:val="left"/>
      <w:pPr>
        <w:ind w:left="2417" w:hanging="432"/>
      </w:pPr>
      <w:rPr>
        <w:rFonts w:ascii="Times New Roman" w:hAnsi="Times New Roman" w:cs="Times New Roman" w:hint="default"/>
        <w:color w:val="auto"/>
      </w:rPr>
    </w:lvl>
    <w:lvl w:ilvl="2">
      <w:start w:val="1"/>
      <w:numFmt w:val="decimal"/>
      <w:pStyle w:val="Heading3"/>
      <w:lvlText w:val="%1.%2.%3."/>
      <w:lvlJc w:val="left"/>
      <w:pPr>
        <w:ind w:left="1214" w:hanging="504"/>
      </w:pPr>
      <w:rPr>
        <w:rFonts w:hint="default"/>
        <w:i w:val="0"/>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A603B5"/>
    <w:multiLevelType w:val="hybridMultilevel"/>
    <w:tmpl w:val="C08AF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89387E"/>
    <w:multiLevelType w:val="multilevel"/>
    <w:tmpl w:val="0016B16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F2018A"/>
    <w:multiLevelType w:val="hybridMultilevel"/>
    <w:tmpl w:val="6BA0671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0CB65DEE"/>
    <w:multiLevelType w:val="hybridMultilevel"/>
    <w:tmpl w:val="9072D396"/>
    <w:lvl w:ilvl="0" w:tplc="FFFFFFFF">
      <w:start w:val="1"/>
      <w:numFmt w:val="bullet"/>
      <w:lvlText w:val=""/>
      <w:lvlJc w:val="left"/>
      <w:pPr>
        <w:ind w:left="720" w:hanging="360"/>
      </w:pPr>
      <w:rPr>
        <w:rFonts w:ascii="Symbol" w:hAnsi="Symbol" w:hint="default"/>
      </w:rPr>
    </w:lvl>
    <w:lvl w:ilvl="1" w:tplc="241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12C96D3D"/>
    <w:multiLevelType w:val="hybridMultilevel"/>
    <w:tmpl w:val="23EEAA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6003B88"/>
    <w:multiLevelType w:val="hybridMultilevel"/>
    <w:tmpl w:val="1DF838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16CB28A1"/>
    <w:multiLevelType w:val="multilevel"/>
    <w:tmpl w:val="29A0699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7F41313"/>
    <w:multiLevelType w:val="hybridMultilevel"/>
    <w:tmpl w:val="EC7AB58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9CE33A6"/>
    <w:multiLevelType w:val="hybridMultilevel"/>
    <w:tmpl w:val="36BC3B8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1CA10F39"/>
    <w:multiLevelType w:val="hybridMultilevel"/>
    <w:tmpl w:val="721C2A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1D795F02"/>
    <w:multiLevelType w:val="multilevel"/>
    <w:tmpl w:val="0D389334"/>
    <w:lvl w:ilvl="0">
      <w:start w:val="1"/>
      <w:numFmt w:val="bullet"/>
      <w:lvlText w:val=""/>
      <w:lvlJc w:val="left"/>
      <w:pPr>
        <w:ind w:left="540" w:hanging="540"/>
      </w:pPr>
      <w:rPr>
        <w:rFonts w:ascii="Symbol" w:hAnsi="Symbol" w:hint="default"/>
      </w:rPr>
    </w:lvl>
    <w:lvl w:ilvl="1">
      <w:start w:val="1"/>
      <w:numFmt w:val="decimal"/>
      <w:lvlText w:val="%1.%2."/>
      <w:lvlJc w:val="left"/>
      <w:pPr>
        <w:ind w:left="540" w:hanging="54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1531961"/>
    <w:multiLevelType w:val="multilevel"/>
    <w:tmpl w:val="BCF6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CB2A7F"/>
    <w:multiLevelType w:val="multilevel"/>
    <w:tmpl w:val="3ACE6358"/>
    <w:lvl w:ilvl="0">
      <w:start w:val="1"/>
      <w:numFmt w:val="bullet"/>
      <w:lvlText w:val=""/>
      <w:lvlJc w:val="left"/>
      <w:pPr>
        <w:ind w:left="2640" w:hanging="480"/>
      </w:pPr>
      <w:rPr>
        <w:rFonts w:ascii="Symbol" w:hAnsi="Symbol" w:hint="default"/>
        <w:i w:val="0"/>
      </w:rPr>
    </w:lvl>
    <w:lvl w:ilvl="1">
      <w:start w:val="1"/>
      <w:numFmt w:val="decimal"/>
      <w:lvlText w:val="%1.%2"/>
      <w:lvlJc w:val="left"/>
      <w:pPr>
        <w:ind w:left="2640" w:hanging="48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24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600" w:hanging="1440"/>
      </w:pPr>
      <w:rPr>
        <w:rFonts w:hint="default"/>
        <w:i w:val="0"/>
      </w:rPr>
    </w:lvl>
    <w:lvl w:ilvl="8">
      <w:start w:val="1"/>
      <w:numFmt w:val="decimal"/>
      <w:lvlText w:val="%1.%2.%3.%4.%5.%6.%7.%8.%9"/>
      <w:lvlJc w:val="left"/>
      <w:pPr>
        <w:ind w:left="3960" w:hanging="1800"/>
      </w:pPr>
      <w:rPr>
        <w:rFonts w:hint="default"/>
        <w:i w:val="0"/>
      </w:rPr>
    </w:lvl>
  </w:abstractNum>
  <w:abstractNum w:abstractNumId="16">
    <w:nsid w:val="2AC16E60"/>
    <w:multiLevelType w:val="hybridMultilevel"/>
    <w:tmpl w:val="5D2E0B7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2B9C2C6A"/>
    <w:multiLevelType w:val="hybridMultilevel"/>
    <w:tmpl w:val="BC802B56"/>
    <w:lvl w:ilvl="0" w:tplc="3B50B9C6">
      <w:start w:val="2"/>
      <w:numFmt w:val="bullet"/>
      <w:lvlText w:val="→"/>
      <w:lvlJc w:val="left"/>
      <w:pPr>
        <w:ind w:left="720" w:hanging="360"/>
      </w:pPr>
      <w:rPr>
        <w:rFonts w:ascii="Arial" w:eastAsia="Arial Unicode MS"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E36779B"/>
    <w:multiLevelType w:val="multilevel"/>
    <w:tmpl w:val="0D389334"/>
    <w:lvl w:ilvl="0">
      <w:start w:val="1"/>
      <w:numFmt w:val="bullet"/>
      <w:lvlText w:val=""/>
      <w:lvlJc w:val="left"/>
      <w:pPr>
        <w:ind w:left="540" w:hanging="540"/>
      </w:pPr>
      <w:rPr>
        <w:rFonts w:ascii="Symbol" w:hAnsi="Symbol" w:hint="default"/>
      </w:rPr>
    </w:lvl>
    <w:lvl w:ilvl="1">
      <w:start w:val="1"/>
      <w:numFmt w:val="decimal"/>
      <w:lvlText w:val="%1.%2."/>
      <w:lvlJc w:val="left"/>
      <w:pPr>
        <w:ind w:left="540" w:hanging="54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16D5278"/>
    <w:multiLevelType w:val="hybridMultilevel"/>
    <w:tmpl w:val="D45AFC5E"/>
    <w:name w:val="List Number 2__1"/>
    <w:lvl w:ilvl="0" w:tplc="1096906E">
      <w:start w:val="1"/>
      <w:numFmt w:val="decimal"/>
      <w:pStyle w:val="ListNumber2"/>
      <w:lvlText w:val="(%1)"/>
      <w:lvlJc w:val="left"/>
      <w:pPr>
        <w:tabs>
          <w:tab w:val="num" w:pos="1560"/>
        </w:tabs>
        <w:ind w:left="1560" w:hanging="709"/>
      </w:pPr>
      <w:rPr>
        <w:rFonts w:cs="Times New Roman"/>
      </w:rPr>
    </w:lvl>
    <w:lvl w:ilvl="1" w:tplc="5AA4D41A">
      <w:start w:val="1"/>
      <w:numFmt w:val="lowerLetter"/>
      <w:pStyle w:val="ListNumber2Level2"/>
      <w:lvlText w:val="(%2)"/>
      <w:lvlJc w:val="left"/>
      <w:pPr>
        <w:tabs>
          <w:tab w:val="num" w:pos="2268"/>
        </w:tabs>
        <w:ind w:left="2268" w:hanging="708"/>
      </w:pPr>
      <w:rPr>
        <w:rFonts w:cs="Times New Roman"/>
      </w:rPr>
    </w:lvl>
    <w:lvl w:ilvl="2" w:tplc="95986C5C">
      <w:start w:val="1"/>
      <w:numFmt w:val="bullet"/>
      <w:pStyle w:val="ListNumber2Level3"/>
      <w:lvlText w:val="–"/>
      <w:lvlJc w:val="left"/>
      <w:pPr>
        <w:tabs>
          <w:tab w:val="num" w:pos="2977"/>
        </w:tabs>
        <w:ind w:left="2977" w:hanging="709"/>
      </w:pPr>
      <w:rPr>
        <w:rFonts w:ascii="Times New Roman" w:hAnsi="Times New Roman"/>
      </w:rPr>
    </w:lvl>
    <w:lvl w:ilvl="3" w:tplc="8D743EC2">
      <w:start w:val="1"/>
      <w:numFmt w:val="bullet"/>
      <w:pStyle w:val="ListNumber2Level4"/>
      <w:lvlText w:val=""/>
      <w:lvlJc w:val="left"/>
      <w:pPr>
        <w:tabs>
          <w:tab w:val="num" w:pos="3686"/>
        </w:tabs>
        <w:ind w:left="3686" w:hanging="709"/>
      </w:pPr>
      <w:rPr>
        <w:rFonts w:ascii="Symbol" w:hAnsi="Symbol" w:hint="default"/>
      </w:rPr>
    </w:lvl>
    <w:lvl w:ilvl="4" w:tplc="EC366EE4">
      <w:start w:val="1"/>
      <w:numFmt w:val="lowerLetter"/>
      <w:lvlText w:val="(%5)"/>
      <w:lvlJc w:val="left"/>
      <w:pPr>
        <w:tabs>
          <w:tab w:val="num" w:pos="1800"/>
        </w:tabs>
        <w:ind w:left="1800" w:hanging="360"/>
      </w:pPr>
      <w:rPr>
        <w:rFonts w:cs="Times New Roman"/>
      </w:rPr>
    </w:lvl>
    <w:lvl w:ilvl="5" w:tplc="AE208EFE">
      <w:start w:val="1"/>
      <w:numFmt w:val="lowerRoman"/>
      <w:lvlText w:val="(%6)"/>
      <w:lvlJc w:val="left"/>
      <w:pPr>
        <w:tabs>
          <w:tab w:val="num" w:pos="2160"/>
        </w:tabs>
        <w:ind w:left="2160" w:hanging="360"/>
      </w:pPr>
      <w:rPr>
        <w:rFonts w:cs="Times New Roman"/>
      </w:rPr>
    </w:lvl>
    <w:lvl w:ilvl="6" w:tplc="1AFA425A">
      <w:start w:val="1"/>
      <w:numFmt w:val="decimal"/>
      <w:lvlText w:val="%7."/>
      <w:lvlJc w:val="left"/>
      <w:pPr>
        <w:tabs>
          <w:tab w:val="num" w:pos="2520"/>
        </w:tabs>
        <w:ind w:left="2520" w:hanging="360"/>
      </w:pPr>
      <w:rPr>
        <w:rFonts w:cs="Times New Roman"/>
      </w:rPr>
    </w:lvl>
    <w:lvl w:ilvl="7" w:tplc="06320F60">
      <w:start w:val="1"/>
      <w:numFmt w:val="lowerLetter"/>
      <w:lvlText w:val="%8."/>
      <w:lvlJc w:val="left"/>
      <w:pPr>
        <w:tabs>
          <w:tab w:val="num" w:pos="2880"/>
        </w:tabs>
        <w:ind w:left="2880" w:hanging="360"/>
      </w:pPr>
      <w:rPr>
        <w:rFonts w:cs="Times New Roman"/>
      </w:rPr>
    </w:lvl>
    <w:lvl w:ilvl="8" w:tplc="34EA71AE">
      <w:start w:val="1"/>
      <w:numFmt w:val="lowerRoman"/>
      <w:lvlText w:val="%9."/>
      <w:lvlJc w:val="left"/>
      <w:pPr>
        <w:tabs>
          <w:tab w:val="num" w:pos="3240"/>
        </w:tabs>
        <w:ind w:left="3240" w:hanging="360"/>
      </w:pPr>
      <w:rPr>
        <w:rFonts w:cs="Times New Roman"/>
      </w:rPr>
    </w:lvl>
  </w:abstractNum>
  <w:abstractNum w:abstractNumId="20">
    <w:nsid w:val="33306EFE"/>
    <w:multiLevelType w:val="hybridMultilevel"/>
    <w:tmpl w:val="9EB4F9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369060DA"/>
    <w:multiLevelType w:val="multilevel"/>
    <w:tmpl w:val="B02E74A6"/>
    <w:lvl w:ilvl="0">
      <w:start w:val="2"/>
      <w:numFmt w:val="decimal"/>
      <w:lvlText w:val="%1"/>
      <w:lvlJc w:val="left"/>
      <w:pPr>
        <w:ind w:left="480" w:hanging="480"/>
      </w:pPr>
      <w:rPr>
        <w:rFonts w:hint="default"/>
        <w:i w:val="0"/>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2">
    <w:nsid w:val="39E3751E"/>
    <w:multiLevelType w:val="hybridMultilevel"/>
    <w:tmpl w:val="7FB6E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8D6E13"/>
    <w:multiLevelType w:val="hybridMultilevel"/>
    <w:tmpl w:val="9CF25C82"/>
    <w:lvl w:ilvl="0" w:tplc="93F6BA3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4">
    <w:nsid w:val="428B7E23"/>
    <w:multiLevelType w:val="hybridMultilevel"/>
    <w:tmpl w:val="8AE4B8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470E3353"/>
    <w:multiLevelType w:val="hybridMultilevel"/>
    <w:tmpl w:val="8C5AE356"/>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6">
    <w:nsid w:val="4DCE2834"/>
    <w:multiLevelType w:val="hybridMultilevel"/>
    <w:tmpl w:val="026E767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4E7100BB"/>
    <w:multiLevelType w:val="hybridMultilevel"/>
    <w:tmpl w:val="7D443C5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4F7C18F8"/>
    <w:multiLevelType w:val="hybridMultilevel"/>
    <w:tmpl w:val="39087B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nsid w:val="51DE78D2"/>
    <w:multiLevelType w:val="multilevel"/>
    <w:tmpl w:val="0D389334"/>
    <w:lvl w:ilvl="0">
      <w:start w:val="1"/>
      <w:numFmt w:val="bullet"/>
      <w:lvlText w:val=""/>
      <w:lvlJc w:val="left"/>
      <w:pPr>
        <w:ind w:left="540" w:hanging="540"/>
      </w:pPr>
      <w:rPr>
        <w:rFonts w:ascii="Symbol" w:hAnsi="Symbol" w:hint="default"/>
      </w:rPr>
    </w:lvl>
    <w:lvl w:ilvl="1">
      <w:start w:val="1"/>
      <w:numFmt w:val="decimal"/>
      <w:lvlText w:val="%1.%2."/>
      <w:lvlJc w:val="left"/>
      <w:pPr>
        <w:ind w:left="540" w:hanging="54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20676CE"/>
    <w:multiLevelType w:val="hybridMultilevel"/>
    <w:tmpl w:val="EC1C848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23A3EF5"/>
    <w:multiLevelType w:val="multilevel"/>
    <w:tmpl w:val="1E12E8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528169A3"/>
    <w:multiLevelType w:val="multilevel"/>
    <w:tmpl w:val="0D389334"/>
    <w:lvl w:ilvl="0">
      <w:start w:val="1"/>
      <w:numFmt w:val="bullet"/>
      <w:lvlText w:val=""/>
      <w:lvlJc w:val="left"/>
      <w:pPr>
        <w:ind w:left="540" w:hanging="540"/>
      </w:pPr>
      <w:rPr>
        <w:rFonts w:ascii="Symbol" w:hAnsi="Symbol" w:hint="default"/>
      </w:rPr>
    </w:lvl>
    <w:lvl w:ilvl="1">
      <w:start w:val="1"/>
      <w:numFmt w:val="decimal"/>
      <w:lvlText w:val="%1.%2."/>
      <w:lvlJc w:val="left"/>
      <w:pPr>
        <w:ind w:left="540" w:hanging="54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29850A5"/>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48D70C8"/>
    <w:multiLevelType w:val="hybridMultilevel"/>
    <w:tmpl w:val="DF9A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5266CF"/>
    <w:multiLevelType w:val="multilevel"/>
    <w:tmpl w:val="37B0D8BE"/>
    <w:lvl w:ilvl="0">
      <w:start w:val="2"/>
      <w:numFmt w:val="decimal"/>
      <w:lvlText w:val="%1"/>
      <w:lvlJc w:val="left"/>
      <w:pPr>
        <w:ind w:left="480" w:hanging="480"/>
      </w:pPr>
      <w:rPr>
        <w:rFonts w:hint="default"/>
        <w:i w:val="0"/>
      </w:rPr>
    </w:lvl>
    <w:lvl w:ilvl="1">
      <w:start w:val="1"/>
      <w:numFmt w:val="decimal"/>
      <w:lvlText w:val="%1.%2"/>
      <w:lvlJc w:val="left"/>
      <w:pPr>
        <w:ind w:left="480" w:hanging="480"/>
      </w:pPr>
      <w:rPr>
        <w:rFonts w:hint="default"/>
        <w:i w: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6">
    <w:nsid w:val="55AB47FD"/>
    <w:multiLevelType w:val="multilevel"/>
    <w:tmpl w:val="0D389334"/>
    <w:lvl w:ilvl="0">
      <w:start w:val="1"/>
      <w:numFmt w:val="bullet"/>
      <w:lvlText w:val=""/>
      <w:lvlJc w:val="left"/>
      <w:pPr>
        <w:ind w:left="540" w:hanging="540"/>
      </w:pPr>
      <w:rPr>
        <w:rFonts w:ascii="Symbol" w:hAnsi="Symbol" w:hint="default"/>
      </w:rPr>
    </w:lvl>
    <w:lvl w:ilvl="1">
      <w:start w:val="1"/>
      <w:numFmt w:val="decimal"/>
      <w:lvlText w:val="%1.%2."/>
      <w:lvlJc w:val="left"/>
      <w:pPr>
        <w:ind w:left="540" w:hanging="54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64C7396"/>
    <w:multiLevelType w:val="hybridMultilevel"/>
    <w:tmpl w:val="C4EC49D4"/>
    <w:lvl w:ilvl="0" w:tplc="A606DEB8">
      <w:start w:val="1"/>
      <w:numFmt w:val="lowerLetter"/>
      <w:lvlText w:val="(%1)"/>
      <w:lvlJc w:val="left"/>
      <w:pPr>
        <w:ind w:left="2098" w:hanging="360"/>
      </w:pPr>
      <w:rPr>
        <w:rFonts w:hint="default"/>
      </w:rPr>
    </w:lvl>
    <w:lvl w:ilvl="1" w:tplc="08090019" w:tentative="1">
      <w:start w:val="1"/>
      <w:numFmt w:val="lowerLetter"/>
      <w:lvlText w:val="%2."/>
      <w:lvlJc w:val="left"/>
      <w:pPr>
        <w:ind w:left="2818" w:hanging="360"/>
      </w:pPr>
    </w:lvl>
    <w:lvl w:ilvl="2" w:tplc="0809001B" w:tentative="1">
      <w:start w:val="1"/>
      <w:numFmt w:val="lowerRoman"/>
      <w:lvlText w:val="%3."/>
      <w:lvlJc w:val="right"/>
      <w:pPr>
        <w:ind w:left="3538" w:hanging="180"/>
      </w:pPr>
    </w:lvl>
    <w:lvl w:ilvl="3" w:tplc="0809000F" w:tentative="1">
      <w:start w:val="1"/>
      <w:numFmt w:val="decimal"/>
      <w:lvlText w:val="%4."/>
      <w:lvlJc w:val="left"/>
      <w:pPr>
        <w:ind w:left="4258" w:hanging="360"/>
      </w:pPr>
    </w:lvl>
    <w:lvl w:ilvl="4" w:tplc="08090019" w:tentative="1">
      <w:start w:val="1"/>
      <w:numFmt w:val="lowerLetter"/>
      <w:lvlText w:val="%5."/>
      <w:lvlJc w:val="left"/>
      <w:pPr>
        <w:ind w:left="4978" w:hanging="360"/>
      </w:pPr>
    </w:lvl>
    <w:lvl w:ilvl="5" w:tplc="0809001B" w:tentative="1">
      <w:start w:val="1"/>
      <w:numFmt w:val="lowerRoman"/>
      <w:lvlText w:val="%6."/>
      <w:lvlJc w:val="right"/>
      <w:pPr>
        <w:ind w:left="5698" w:hanging="180"/>
      </w:pPr>
    </w:lvl>
    <w:lvl w:ilvl="6" w:tplc="0809000F" w:tentative="1">
      <w:start w:val="1"/>
      <w:numFmt w:val="decimal"/>
      <w:lvlText w:val="%7."/>
      <w:lvlJc w:val="left"/>
      <w:pPr>
        <w:ind w:left="6418" w:hanging="360"/>
      </w:pPr>
    </w:lvl>
    <w:lvl w:ilvl="7" w:tplc="08090019" w:tentative="1">
      <w:start w:val="1"/>
      <w:numFmt w:val="lowerLetter"/>
      <w:lvlText w:val="%8."/>
      <w:lvlJc w:val="left"/>
      <w:pPr>
        <w:ind w:left="7138" w:hanging="360"/>
      </w:pPr>
    </w:lvl>
    <w:lvl w:ilvl="8" w:tplc="0809001B" w:tentative="1">
      <w:start w:val="1"/>
      <w:numFmt w:val="lowerRoman"/>
      <w:lvlText w:val="%9."/>
      <w:lvlJc w:val="right"/>
      <w:pPr>
        <w:ind w:left="7858" w:hanging="180"/>
      </w:pPr>
    </w:lvl>
  </w:abstractNum>
  <w:abstractNum w:abstractNumId="38">
    <w:nsid w:val="56BE7116"/>
    <w:multiLevelType w:val="hybridMultilevel"/>
    <w:tmpl w:val="71203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AD147EE"/>
    <w:multiLevelType w:val="multilevel"/>
    <w:tmpl w:val="7E00571C"/>
    <w:lvl w:ilvl="0">
      <w:numFmt w:val="bullet"/>
      <w:lvlText w:val="-"/>
      <w:lvlJc w:val="left"/>
      <w:pPr>
        <w:ind w:left="1440" w:hanging="360"/>
      </w:pPr>
      <w:rPr>
        <w:rFonts w:ascii="Calibri" w:eastAsia="Calibri" w:hAnsi="Calibri" w:cs="Times New Roman" w:hint="default"/>
        <w:color w:val="000000" w:themeColor="text1"/>
        <w:sz w:val="24"/>
      </w:rPr>
    </w:lvl>
    <w:lvl w:ilvl="1">
      <w:start w:val="1"/>
      <w:numFmt w:val="decimal"/>
      <w:lvlText w:val="%1.%2."/>
      <w:lvlJc w:val="left"/>
      <w:pPr>
        <w:ind w:left="1872" w:hanging="432"/>
      </w:pPr>
    </w:lvl>
    <w:lvl w:ilvl="2">
      <w:start w:val="1"/>
      <w:numFmt w:val="decimal"/>
      <w:lvlText w:val="%1.%2.%3."/>
      <w:lvlJc w:val="left"/>
      <w:pPr>
        <w:ind w:left="2304" w:hanging="504"/>
      </w:pPr>
      <w:rPr>
        <w:i w:val="0"/>
        <w:color w:val="auto"/>
      </w:rPr>
    </w:lvl>
    <w:lvl w:ilvl="3">
      <w:start w:val="1"/>
      <w:numFmt w:val="decimal"/>
      <w:lvlText w:val="%1.%2.%3.%4."/>
      <w:lvlJc w:val="left"/>
      <w:pPr>
        <w:ind w:left="3855"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40">
    <w:nsid w:val="5BB90B7B"/>
    <w:multiLevelType w:val="hybridMultilevel"/>
    <w:tmpl w:val="9C5AC674"/>
    <w:lvl w:ilvl="0" w:tplc="ACEECB3E">
      <w:start w:val="1"/>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1">
    <w:nsid w:val="5D9725E8"/>
    <w:multiLevelType w:val="multilevel"/>
    <w:tmpl w:val="1E065536"/>
    <w:lvl w:ilvl="0">
      <w:start w:val="1"/>
      <w:numFmt w:val="decimal"/>
      <w:pStyle w:val="Heading1"/>
      <w:lvlText w:val="%1."/>
      <w:lvlJc w:val="left"/>
      <w:pPr>
        <w:ind w:left="1440" w:hanging="360"/>
      </w:pPr>
      <w:rPr>
        <w:color w:val="auto"/>
        <w:sz w:val="24"/>
      </w:rPr>
    </w:lvl>
    <w:lvl w:ilvl="1">
      <w:start w:val="1"/>
      <w:numFmt w:val="decimal"/>
      <w:lvlText w:val="%1.%2."/>
      <w:lvlJc w:val="left"/>
      <w:pPr>
        <w:ind w:left="1283" w:hanging="432"/>
      </w:pPr>
    </w:lvl>
    <w:lvl w:ilvl="2">
      <w:start w:val="1"/>
      <w:numFmt w:val="decimal"/>
      <w:lvlText w:val="%1.%2.%3."/>
      <w:lvlJc w:val="left"/>
      <w:pPr>
        <w:ind w:left="2304" w:hanging="504"/>
      </w:pPr>
      <w:rPr>
        <w:i w:val="0"/>
        <w:color w:val="auto"/>
      </w:rPr>
    </w:lvl>
    <w:lvl w:ilvl="3">
      <w:start w:val="1"/>
      <w:numFmt w:val="decimal"/>
      <w:lvlText w:val="%1.%2.%3.%4."/>
      <w:lvlJc w:val="left"/>
      <w:pPr>
        <w:ind w:left="3855"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42">
    <w:nsid w:val="5DCC3554"/>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11539AB"/>
    <w:multiLevelType w:val="multilevel"/>
    <w:tmpl w:val="B02E74A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16D6FFE"/>
    <w:multiLevelType w:val="hybridMultilevel"/>
    <w:tmpl w:val="3BD6E954"/>
    <w:lvl w:ilvl="0" w:tplc="0E8EACEA">
      <w:start w:val="1"/>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53C0669"/>
    <w:multiLevelType w:val="multilevel"/>
    <w:tmpl w:val="3ACE6358"/>
    <w:lvl w:ilvl="0">
      <w:start w:val="1"/>
      <w:numFmt w:val="bullet"/>
      <w:lvlText w:val=""/>
      <w:lvlJc w:val="left"/>
      <w:pPr>
        <w:ind w:left="2640" w:hanging="480"/>
      </w:pPr>
      <w:rPr>
        <w:rFonts w:ascii="Symbol" w:hAnsi="Symbol" w:hint="default"/>
        <w:i w:val="0"/>
      </w:rPr>
    </w:lvl>
    <w:lvl w:ilvl="1">
      <w:start w:val="1"/>
      <w:numFmt w:val="decimal"/>
      <w:lvlText w:val="%1.%2"/>
      <w:lvlJc w:val="left"/>
      <w:pPr>
        <w:ind w:left="2640" w:hanging="48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24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600" w:hanging="1440"/>
      </w:pPr>
      <w:rPr>
        <w:rFonts w:hint="default"/>
        <w:i w:val="0"/>
      </w:rPr>
    </w:lvl>
    <w:lvl w:ilvl="8">
      <w:start w:val="1"/>
      <w:numFmt w:val="decimal"/>
      <w:lvlText w:val="%1.%2.%3.%4.%5.%6.%7.%8.%9"/>
      <w:lvlJc w:val="left"/>
      <w:pPr>
        <w:ind w:left="3960" w:hanging="1800"/>
      </w:pPr>
      <w:rPr>
        <w:rFonts w:hint="default"/>
        <w:i w:val="0"/>
      </w:rPr>
    </w:lvl>
  </w:abstractNum>
  <w:abstractNum w:abstractNumId="46">
    <w:nsid w:val="6675658F"/>
    <w:multiLevelType w:val="multilevel"/>
    <w:tmpl w:val="D2CEE95C"/>
    <w:lvl w:ilvl="0">
      <w:start w:val="1"/>
      <w:numFmt w:val="bullet"/>
      <w:lvlText w:val=""/>
      <w:lvlJc w:val="left"/>
      <w:pPr>
        <w:ind w:left="1440" w:hanging="360"/>
      </w:pPr>
      <w:rPr>
        <w:rFonts w:ascii="Symbol" w:hAnsi="Symbol" w:hint="default"/>
        <w:color w:val="000000" w:themeColor="text1"/>
        <w:sz w:val="24"/>
      </w:rPr>
    </w:lvl>
    <w:lvl w:ilvl="1">
      <w:start w:val="1"/>
      <w:numFmt w:val="decimal"/>
      <w:lvlText w:val="%1.%2."/>
      <w:lvlJc w:val="left"/>
      <w:pPr>
        <w:ind w:left="1872" w:hanging="432"/>
      </w:pPr>
    </w:lvl>
    <w:lvl w:ilvl="2">
      <w:start w:val="1"/>
      <w:numFmt w:val="decimal"/>
      <w:lvlText w:val="%1.%2.%3."/>
      <w:lvlJc w:val="left"/>
      <w:pPr>
        <w:ind w:left="2304" w:hanging="504"/>
      </w:pPr>
      <w:rPr>
        <w:i w:val="0"/>
        <w:color w:val="auto"/>
      </w:rPr>
    </w:lvl>
    <w:lvl w:ilvl="3">
      <w:start w:val="1"/>
      <w:numFmt w:val="decimal"/>
      <w:lvlText w:val="%1.%2.%3.%4."/>
      <w:lvlJc w:val="left"/>
      <w:pPr>
        <w:ind w:left="3855"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47">
    <w:nsid w:val="6B1F56D0"/>
    <w:multiLevelType w:val="multilevel"/>
    <w:tmpl w:val="0D389334"/>
    <w:lvl w:ilvl="0">
      <w:start w:val="1"/>
      <w:numFmt w:val="bullet"/>
      <w:lvlText w:val=""/>
      <w:lvlJc w:val="left"/>
      <w:pPr>
        <w:ind w:left="1358" w:hanging="540"/>
      </w:pPr>
      <w:rPr>
        <w:rFonts w:ascii="Symbol" w:hAnsi="Symbol" w:hint="default"/>
      </w:rPr>
    </w:lvl>
    <w:lvl w:ilvl="1">
      <w:start w:val="1"/>
      <w:numFmt w:val="decimal"/>
      <w:lvlText w:val="%1.%2."/>
      <w:lvlJc w:val="left"/>
      <w:pPr>
        <w:ind w:left="1358" w:hanging="540"/>
      </w:pPr>
      <w:rPr>
        <w:rFonts w:hint="default"/>
      </w:rPr>
    </w:lvl>
    <w:lvl w:ilvl="2">
      <w:start w:val="1"/>
      <w:numFmt w:val="bullet"/>
      <w:lvlText w:val=""/>
      <w:lvlJc w:val="left"/>
      <w:pPr>
        <w:ind w:left="1178" w:hanging="360"/>
      </w:pPr>
      <w:rPr>
        <w:rFonts w:ascii="Symbol" w:hAnsi="Symbol" w:hint="default"/>
      </w:rPr>
    </w:lvl>
    <w:lvl w:ilvl="3">
      <w:start w:val="1"/>
      <w:numFmt w:val="decimal"/>
      <w:lvlText w:val="%1.%2.%3.%4."/>
      <w:lvlJc w:val="left"/>
      <w:pPr>
        <w:ind w:left="1538" w:hanging="720"/>
      </w:pPr>
      <w:rPr>
        <w:rFonts w:hint="default"/>
      </w:rPr>
    </w:lvl>
    <w:lvl w:ilvl="4">
      <w:start w:val="1"/>
      <w:numFmt w:val="decimal"/>
      <w:lvlText w:val="%1.%2.%3.%4.%5."/>
      <w:lvlJc w:val="left"/>
      <w:pPr>
        <w:ind w:left="1898" w:hanging="1080"/>
      </w:pPr>
      <w:rPr>
        <w:rFonts w:hint="default"/>
      </w:rPr>
    </w:lvl>
    <w:lvl w:ilvl="5">
      <w:start w:val="1"/>
      <w:numFmt w:val="decimal"/>
      <w:lvlText w:val="%1.%2.%3.%4.%5.%6."/>
      <w:lvlJc w:val="left"/>
      <w:pPr>
        <w:ind w:left="1898" w:hanging="1080"/>
      </w:pPr>
      <w:rPr>
        <w:rFonts w:hint="default"/>
      </w:rPr>
    </w:lvl>
    <w:lvl w:ilvl="6">
      <w:start w:val="1"/>
      <w:numFmt w:val="decimal"/>
      <w:lvlText w:val="%1.%2.%3.%4.%5.%6.%7."/>
      <w:lvlJc w:val="left"/>
      <w:pPr>
        <w:ind w:left="2258" w:hanging="1440"/>
      </w:pPr>
      <w:rPr>
        <w:rFonts w:hint="default"/>
      </w:rPr>
    </w:lvl>
    <w:lvl w:ilvl="7">
      <w:start w:val="1"/>
      <w:numFmt w:val="decimal"/>
      <w:lvlText w:val="%1.%2.%3.%4.%5.%6.%7.%8."/>
      <w:lvlJc w:val="left"/>
      <w:pPr>
        <w:ind w:left="2258" w:hanging="1440"/>
      </w:pPr>
      <w:rPr>
        <w:rFonts w:hint="default"/>
      </w:rPr>
    </w:lvl>
    <w:lvl w:ilvl="8">
      <w:start w:val="1"/>
      <w:numFmt w:val="decimal"/>
      <w:lvlText w:val="%1.%2.%3.%4.%5.%6.%7.%8.%9."/>
      <w:lvlJc w:val="left"/>
      <w:pPr>
        <w:ind w:left="2618" w:hanging="1800"/>
      </w:pPr>
      <w:rPr>
        <w:rFonts w:hint="default"/>
      </w:rPr>
    </w:lvl>
  </w:abstractNum>
  <w:abstractNum w:abstractNumId="48">
    <w:nsid w:val="6B2D6284"/>
    <w:multiLevelType w:val="hybridMultilevel"/>
    <w:tmpl w:val="4C7CB7FC"/>
    <w:lvl w:ilvl="0" w:tplc="040A0001">
      <w:start w:val="1"/>
      <w:numFmt w:val="bullet"/>
      <w:lvlText w:val=""/>
      <w:lvlJc w:val="left"/>
      <w:pPr>
        <w:ind w:left="720" w:hanging="360"/>
      </w:pPr>
      <w:rPr>
        <w:rFonts w:ascii="Symbol" w:hAnsi="Symbol" w:hint="default"/>
      </w:rPr>
    </w:lvl>
    <w:lvl w:ilvl="1" w:tplc="C8560310">
      <w:start w:val="1"/>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9">
    <w:nsid w:val="71D54FD9"/>
    <w:multiLevelType w:val="hybridMultilevel"/>
    <w:tmpl w:val="D752FCF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nsid w:val="73990DE0"/>
    <w:multiLevelType w:val="multilevel"/>
    <w:tmpl w:val="0D389334"/>
    <w:lvl w:ilvl="0">
      <w:start w:val="1"/>
      <w:numFmt w:val="bullet"/>
      <w:lvlText w:val=""/>
      <w:lvlJc w:val="left"/>
      <w:pPr>
        <w:ind w:left="540" w:hanging="540"/>
      </w:pPr>
      <w:rPr>
        <w:rFonts w:ascii="Symbol" w:hAnsi="Symbol" w:hint="default"/>
      </w:rPr>
    </w:lvl>
    <w:lvl w:ilvl="1">
      <w:start w:val="1"/>
      <w:numFmt w:val="decimal"/>
      <w:lvlText w:val="%1.%2."/>
      <w:lvlJc w:val="left"/>
      <w:pPr>
        <w:ind w:left="540" w:hanging="54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55D4CB5"/>
    <w:multiLevelType w:val="hybridMultilevel"/>
    <w:tmpl w:val="0636C00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2">
    <w:nsid w:val="756F68AF"/>
    <w:multiLevelType w:val="hybridMultilevel"/>
    <w:tmpl w:val="AB10F818"/>
    <w:lvl w:ilvl="0" w:tplc="99141F5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6573A73"/>
    <w:multiLevelType w:val="hybridMultilevel"/>
    <w:tmpl w:val="0D1E8B7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4">
    <w:nsid w:val="76A15306"/>
    <w:multiLevelType w:val="hybridMultilevel"/>
    <w:tmpl w:val="32E2759E"/>
    <w:name w:val="List Number 1__1"/>
    <w:lvl w:ilvl="0" w:tplc="341C9CE0">
      <w:start w:val="1"/>
      <w:numFmt w:val="decimal"/>
      <w:lvlRestart w:val="0"/>
      <w:pStyle w:val="ListNumber1"/>
      <w:lvlText w:val="(%1)"/>
      <w:lvlJc w:val="left"/>
      <w:pPr>
        <w:tabs>
          <w:tab w:val="num" w:pos="1560"/>
        </w:tabs>
        <w:ind w:left="1560" w:hanging="709"/>
      </w:pPr>
    </w:lvl>
    <w:lvl w:ilvl="1" w:tplc="EA6AA808">
      <w:start w:val="1"/>
      <w:numFmt w:val="lowerLetter"/>
      <w:pStyle w:val="ListNumber1Level2"/>
      <w:lvlText w:val="(%2)"/>
      <w:lvlJc w:val="left"/>
      <w:pPr>
        <w:tabs>
          <w:tab w:val="num" w:pos="2268"/>
        </w:tabs>
        <w:ind w:left="2268" w:hanging="708"/>
      </w:pPr>
    </w:lvl>
    <w:lvl w:ilvl="2" w:tplc="E45C5DB0">
      <w:start w:val="1"/>
      <w:numFmt w:val="bullet"/>
      <w:pStyle w:val="ListNumber1Level3"/>
      <w:lvlText w:val="–"/>
      <w:lvlJc w:val="left"/>
      <w:pPr>
        <w:tabs>
          <w:tab w:val="num" w:pos="2977"/>
        </w:tabs>
        <w:ind w:left="2977" w:hanging="709"/>
      </w:pPr>
      <w:rPr>
        <w:rFonts w:ascii="Times New Roman" w:hAnsi="Times New Roman" w:cs="Times New Roman"/>
      </w:rPr>
    </w:lvl>
    <w:lvl w:ilvl="3" w:tplc="805473E0">
      <w:start w:val="1"/>
      <w:numFmt w:val="bullet"/>
      <w:pStyle w:val="ListNumber1Level4"/>
      <w:lvlText w:val=""/>
      <w:lvlJc w:val="left"/>
      <w:pPr>
        <w:tabs>
          <w:tab w:val="num" w:pos="3686"/>
        </w:tabs>
        <w:ind w:left="3686" w:hanging="709"/>
      </w:pPr>
      <w:rPr>
        <w:rFonts w:ascii="Symbol" w:hAnsi="Symbol" w:hint="default"/>
      </w:rPr>
    </w:lvl>
    <w:lvl w:ilvl="4" w:tplc="EF683302">
      <w:start w:val="1"/>
      <w:numFmt w:val="lowerLetter"/>
      <w:lvlText w:val="(%5)"/>
      <w:lvlJc w:val="left"/>
      <w:pPr>
        <w:tabs>
          <w:tab w:val="num" w:pos="1800"/>
        </w:tabs>
        <w:ind w:left="1800" w:hanging="360"/>
      </w:pPr>
    </w:lvl>
    <w:lvl w:ilvl="5" w:tplc="38604306">
      <w:start w:val="1"/>
      <w:numFmt w:val="lowerRoman"/>
      <w:lvlText w:val="(%6)"/>
      <w:lvlJc w:val="left"/>
      <w:pPr>
        <w:tabs>
          <w:tab w:val="num" w:pos="2160"/>
        </w:tabs>
        <w:ind w:left="2160" w:hanging="360"/>
      </w:pPr>
    </w:lvl>
    <w:lvl w:ilvl="6" w:tplc="AFA84112">
      <w:start w:val="1"/>
      <w:numFmt w:val="decimal"/>
      <w:lvlText w:val="%7."/>
      <w:lvlJc w:val="left"/>
      <w:pPr>
        <w:tabs>
          <w:tab w:val="num" w:pos="2520"/>
        </w:tabs>
        <w:ind w:left="2520" w:hanging="360"/>
      </w:pPr>
    </w:lvl>
    <w:lvl w:ilvl="7" w:tplc="BA340A8A">
      <w:start w:val="1"/>
      <w:numFmt w:val="lowerLetter"/>
      <w:lvlText w:val="%8."/>
      <w:lvlJc w:val="left"/>
      <w:pPr>
        <w:tabs>
          <w:tab w:val="num" w:pos="2880"/>
        </w:tabs>
        <w:ind w:left="2880" w:hanging="360"/>
      </w:pPr>
    </w:lvl>
    <w:lvl w:ilvl="8" w:tplc="A6FEF9AE">
      <w:start w:val="1"/>
      <w:numFmt w:val="lowerRoman"/>
      <w:lvlText w:val="%9."/>
      <w:lvlJc w:val="left"/>
      <w:pPr>
        <w:tabs>
          <w:tab w:val="num" w:pos="3240"/>
        </w:tabs>
        <w:ind w:left="3240" w:hanging="360"/>
      </w:pPr>
    </w:lvl>
  </w:abstractNum>
  <w:abstractNum w:abstractNumId="55">
    <w:nsid w:val="78856538"/>
    <w:multiLevelType w:val="hybridMultilevel"/>
    <w:tmpl w:val="B546F4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nsid w:val="7B274F4B"/>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FC8023B"/>
    <w:multiLevelType w:val="hybridMultilevel"/>
    <w:tmpl w:val="B210C2AE"/>
    <w:lvl w:ilvl="0" w:tplc="5EA2F1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1"/>
  </w:num>
  <w:num w:numId="2">
    <w:abstractNumId w:val="2"/>
  </w:num>
  <w:num w:numId="3">
    <w:abstractNumId w:val="1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4"/>
  </w:num>
  <w:num w:numId="5">
    <w:abstractNumId w:val="52"/>
  </w:num>
  <w:num w:numId="6">
    <w:abstractNumId w:val="31"/>
  </w:num>
  <w:num w:numId="7">
    <w:abstractNumId w:val="41"/>
  </w:num>
  <w:num w:numId="8">
    <w:abstractNumId w:val="16"/>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32"/>
  </w:num>
  <w:num w:numId="13">
    <w:abstractNumId w:val="36"/>
  </w:num>
  <w:num w:numId="14">
    <w:abstractNumId w:val="50"/>
  </w:num>
  <w:num w:numId="15">
    <w:abstractNumId w:val="21"/>
  </w:num>
  <w:num w:numId="16">
    <w:abstractNumId w:val="43"/>
  </w:num>
  <w:num w:numId="17">
    <w:abstractNumId w:val="42"/>
  </w:num>
  <w:num w:numId="18">
    <w:abstractNumId w:val="33"/>
  </w:num>
  <w:num w:numId="19">
    <w:abstractNumId w:val="13"/>
  </w:num>
  <w:num w:numId="20">
    <w:abstractNumId w:val="29"/>
  </w:num>
  <w:num w:numId="21">
    <w:abstractNumId w:val="0"/>
  </w:num>
  <w:num w:numId="22">
    <w:abstractNumId w:val="47"/>
  </w:num>
  <w:num w:numId="23">
    <w:abstractNumId w:val="18"/>
  </w:num>
  <w:num w:numId="24">
    <w:abstractNumId w:val="35"/>
  </w:num>
  <w:num w:numId="25">
    <w:abstractNumId w:val="27"/>
  </w:num>
  <w:num w:numId="26">
    <w:abstractNumId w:val="11"/>
  </w:num>
  <w:num w:numId="27">
    <w:abstractNumId w:val="6"/>
  </w:num>
  <w:num w:numId="28">
    <w:abstractNumId w:val="51"/>
  </w:num>
  <w:num w:numId="29">
    <w:abstractNumId w:val="48"/>
  </w:num>
  <w:num w:numId="30">
    <w:abstractNumId w:val="14"/>
  </w:num>
  <w:num w:numId="31">
    <w:abstractNumId w:val="20"/>
  </w:num>
  <w:num w:numId="32">
    <w:abstractNumId w:val="56"/>
  </w:num>
  <w:num w:numId="33">
    <w:abstractNumId w:val="26"/>
  </w:num>
  <w:num w:numId="34">
    <w:abstractNumId w:val="34"/>
  </w:num>
  <w:num w:numId="35">
    <w:abstractNumId w:val="49"/>
  </w:num>
  <w:num w:numId="36">
    <w:abstractNumId w:val="53"/>
  </w:num>
  <w:num w:numId="37">
    <w:abstractNumId w:val="10"/>
  </w:num>
  <w:num w:numId="38">
    <w:abstractNumId w:val="40"/>
  </w:num>
  <w:num w:numId="39">
    <w:abstractNumId w:val="5"/>
  </w:num>
  <w:num w:numId="40">
    <w:abstractNumId w:val="7"/>
  </w:num>
  <w:num w:numId="41">
    <w:abstractNumId w:val="12"/>
  </w:num>
  <w:num w:numId="42">
    <w:abstractNumId w:val="39"/>
  </w:num>
  <w:num w:numId="43">
    <w:abstractNumId w:val="46"/>
  </w:num>
  <w:num w:numId="44">
    <w:abstractNumId w:val="8"/>
  </w:num>
  <w:num w:numId="45">
    <w:abstractNumId w:val="28"/>
  </w:num>
  <w:num w:numId="46">
    <w:abstractNumId w:val="37"/>
  </w:num>
  <w:num w:numId="47">
    <w:abstractNumId w:val="44"/>
  </w:num>
  <w:num w:numId="48">
    <w:abstractNumId w:val="57"/>
  </w:num>
  <w:num w:numId="49">
    <w:abstractNumId w:val="30"/>
  </w:num>
  <w:num w:numId="50">
    <w:abstractNumId w:val="1"/>
  </w:num>
  <w:num w:numId="51">
    <w:abstractNumId w:val="15"/>
  </w:num>
  <w:num w:numId="52">
    <w:abstractNumId w:val="45"/>
  </w:num>
  <w:num w:numId="53">
    <w:abstractNumId w:val="3"/>
  </w:num>
  <w:num w:numId="54">
    <w:abstractNumId w:val="22"/>
  </w:num>
  <w:num w:numId="55">
    <w:abstractNumId w:val="24"/>
  </w:num>
  <w:num w:numId="56">
    <w:abstractNumId w:val="38"/>
  </w:num>
  <w:num w:numId="57">
    <w:abstractNumId w:val="25"/>
  </w:num>
  <w:num w:numId="58">
    <w:abstractNumId w:val="23"/>
  </w:num>
  <w:num w:numId="59">
    <w:abstractNumId w:val="55"/>
  </w:num>
  <w:num w:numId="60">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en-US"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wNjE3NzW2NDUzMzNQ0lEKTi0uzszPAykwrAUAj6izdiwAAAA="/>
    <w:docVar w:name="LW_DocType" w:val="NORMAL"/>
  </w:docVars>
  <w:rsids>
    <w:rsidRoot w:val="00A86256"/>
    <w:rsid w:val="0000019A"/>
    <w:rsid w:val="00001C85"/>
    <w:rsid w:val="000021DC"/>
    <w:rsid w:val="0000303F"/>
    <w:rsid w:val="00004F47"/>
    <w:rsid w:val="000052CA"/>
    <w:rsid w:val="000057DC"/>
    <w:rsid w:val="00005D65"/>
    <w:rsid w:val="00006556"/>
    <w:rsid w:val="00006C1E"/>
    <w:rsid w:val="00007345"/>
    <w:rsid w:val="000103E7"/>
    <w:rsid w:val="000113D1"/>
    <w:rsid w:val="00011B68"/>
    <w:rsid w:val="00012BFC"/>
    <w:rsid w:val="000132E5"/>
    <w:rsid w:val="00013440"/>
    <w:rsid w:val="0001347C"/>
    <w:rsid w:val="000141C3"/>
    <w:rsid w:val="00014B0D"/>
    <w:rsid w:val="000154BA"/>
    <w:rsid w:val="000158DC"/>
    <w:rsid w:val="00015AC9"/>
    <w:rsid w:val="00015CF3"/>
    <w:rsid w:val="00016A00"/>
    <w:rsid w:val="000178A4"/>
    <w:rsid w:val="00017F02"/>
    <w:rsid w:val="000204A8"/>
    <w:rsid w:val="000216AB"/>
    <w:rsid w:val="00021A09"/>
    <w:rsid w:val="00022B19"/>
    <w:rsid w:val="0002366B"/>
    <w:rsid w:val="00023BD3"/>
    <w:rsid w:val="00025242"/>
    <w:rsid w:val="0002592B"/>
    <w:rsid w:val="000270B6"/>
    <w:rsid w:val="0002729C"/>
    <w:rsid w:val="00030C23"/>
    <w:rsid w:val="00030FF8"/>
    <w:rsid w:val="0003129E"/>
    <w:rsid w:val="00031765"/>
    <w:rsid w:val="00032C27"/>
    <w:rsid w:val="00033C82"/>
    <w:rsid w:val="000342BE"/>
    <w:rsid w:val="00034502"/>
    <w:rsid w:val="000345C8"/>
    <w:rsid w:val="00035135"/>
    <w:rsid w:val="000368A6"/>
    <w:rsid w:val="00036BE9"/>
    <w:rsid w:val="00037227"/>
    <w:rsid w:val="00040E35"/>
    <w:rsid w:val="00041452"/>
    <w:rsid w:val="00041660"/>
    <w:rsid w:val="000416DC"/>
    <w:rsid w:val="000418A1"/>
    <w:rsid w:val="000422FC"/>
    <w:rsid w:val="00042AA5"/>
    <w:rsid w:val="00042F66"/>
    <w:rsid w:val="000434F1"/>
    <w:rsid w:val="000436E8"/>
    <w:rsid w:val="00043C0F"/>
    <w:rsid w:val="00043EFD"/>
    <w:rsid w:val="00044310"/>
    <w:rsid w:val="000451E7"/>
    <w:rsid w:val="0004548E"/>
    <w:rsid w:val="00046EC5"/>
    <w:rsid w:val="0005032F"/>
    <w:rsid w:val="00050ADF"/>
    <w:rsid w:val="00050BFD"/>
    <w:rsid w:val="00051ACD"/>
    <w:rsid w:val="000531F1"/>
    <w:rsid w:val="000536CF"/>
    <w:rsid w:val="00053C4A"/>
    <w:rsid w:val="000540F7"/>
    <w:rsid w:val="00054E58"/>
    <w:rsid w:val="00055152"/>
    <w:rsid w:val="00055A04"/>
    <w:rsid w:val="00055BB2"/>
    <w:rsid w:val="00055CC4"/>
    <w:rsid w:val="00055FE3"/>
    <w:rsid w:val="00056B72"/>
    <w:rsid w:val="00057858"/>
    <w:rsid w:val="000578E7"/>
    <w:rsid w:val="000616ED"/>
    <w:rsid w:val="00061F96"/>
    <w:rsid w:val="00062893"/>
    <w:rsid w:val="00063135"/>
    <w:rsid w:val="00063372"/>
    <w:rsid w:val="0006347F"/>
    <w:rsid w:val="000635E9"/>
    <w:rsid w:val="0006455D"/>
    <w:rsid w:val="000648C4"/>
    <w:rsid w:val="00064911"/>
    <w:rsid w:val="00064A87"/>
    <w:rsid w:val="000662EC"/>
    <w:rsid w:val="0006685B"/>
    <w:rsid w:val="00066F68"/>
    <w:rsid w:val="0007074E"/>
    <w:rsid w:val="000714D2"/>
    <w:rsid w:val="00071637"/>
    <w:rsid w:val="00071D1E"/>
    <w:rsid w:val="0007227F"/>
    <w:rsid w:val="00073FCE"/>
    <w:rsid w:val="000777FA"/>
    <w:rsid w:val="00077A3A"/>
    <w:rsid w:val="00077FDB"/>
    <w:rsid w:val="000807D6"/>
    <w:rsid w:val="00080DFD"/>
    <w:rsid w:val="000810D6"/>
    <w:rsid w:val="000813C3"/>
    <w:rsid w:val="00081731"/>
    <w:rsid w:val="00081ECB"/>
    <w:rsid w:val="000826E9"/>
    <w:rsid w:val="000827CD"/>
    <w:rsid w:val="00083BC4"/>
    <w:rsid w:val="00083E7B"/>
    <w:rsid w:val="000848FD"/>
    <w:rsid w:val="00084972"/>
    <w:rsid w:val="00085DBE"/>
    <w:rsid w:val="000870C0"/>
    <w:rsid w:val="0008748D"/>
    <w:rsid w:val="00087B5D"/>
    <w:rsid w:val="0009069F"/>
    <w:rsid w:val="00091845"/>
    <w:rsid w:val="00091F48"/>
    <w:rsid w:val="00093977"/>
    <w:rsid w:val="0009581E"/>
    <w:rsid w:val="00095EDA"/>
    <w:rsid w:val="00097767"/>
    <w:rsid w:val="00097773"/>
    <w:rsid w:val="0009789C"/>
    <w:rsid w:val="000A22C9"/>
    <w:rsid w:val="000A23FF"/>
    <w:rsid w:val="000A4275"/>
    <w:rsid w:val="000A480B"/>
    <w:rsid w:val="000A4DBF"/>
    <w:rsid w:val="000A5256"/>
    <w:rsid w:val="000A5F92"/>
    <w:rsid w:val="000A61EE"/>
    <w:rsid w:val="000A639B"/>
    <w:rsid w:val="000A7A06"/>
    <w:rsid w:val="000B0D82"/>
    <w:rsid w:val="000B11ED"/>
    <w:rsid w:val="000B2EE3"/>
    <w:rsid w:val="000B3212"/>
    <w:rsid w:val="000B384F"/>
    <w:rsid w:val="000B38B1"/>
    <w:rsid w:val="000B45DC"/>
    <w:rsid w:val="000B4FF6"/>
    <w:rsid w:val="000B53E8"/>
    <w:rsid w:val="000B5F2B"/>
    <w:rsid w:val="000B7060"/>
    <w:rsid w:val="000B7371"/>
    <w:rsid w:val="000B796D"/>
    <w:rsid w:val="000C16B2"/>
    <w:rsid w:val="000C2A0F"/>
    <w:rsid w:val="000C381D"/>
    <w:rsid w:val="000C3F44"/>
    <w:rsid w:val="000C41E2"/>
    <w:rsid w:val="000C45F3"/>
    <w:rsid w:val="000C4977"/>
    <w:rsid w:val="000C4B0E"/>
    <w:rsid w:val="000C52D3"/>
    <w:rsid w:val="000C5758"/>
    <w:rsid w:val="000C5767"/>
    <w:rsid w:val="000C743D"/>
    <w:rsid w:val="000C763F"/>
    <w:rsid w:val="000D0B6F"/>
    <w:rsid w:val="000D1439"/>
    <w:rsid w:val="000D1DE1"/>
    <w:rsid w:val="000D2E50"/>
    <w:rsid w:val="000D30EC"/>
    <w:rsid w:val="000D38C0"/>
    <w:rsid w:val="000D3D83"/>
    <w:rsid w:val="000D596E"/>
    <w:rsid w:val="000D5FD0"/>
    <w:rsid w:val="000D69D1"/>
    <w:rsid w:val="000D7D78"/>
    <w:rsid w:val="000E093C"/>
    <w:rsid w:val="000E11DD"/>
    <w:rsid w:val="000E1D5D"/>
    <w:rsid w:val="000E239E"/>
    <w:rsid w:val="000E278F"/>
    <w:rsid w:val="000E3120"/>
    <w:rsid w:val="000E3B69"/>
    <w:rsid w:val="000E3FC9"/>
    <w:rsid w:val="000E5C39"/>
    <w:rsid w:val="000E675E"/>
    <w:rsid w:val="000E6992"/>
    <w:rsid w:val="000E748E"/>
    <w:rsid w:val="000E79AD"/>
    <w:rsid w:val="000E7AB5"/>
    <w:rsid w:val="000F01BF"/>
    <w:rsid w:val="000F12D9"/>
    <w:rsid w:val="000F1636"/>
    <w:rsid w:val="000F2E7A"/>
    <w:rsid w:val="000F329E"/>
    <w:rsid w:val="000F3DA3"/>
    <w:rsid w:val="000F408A"/>
    <w:rsid w:val="000F63B5"/>
    <w:rsid w:val="000F68AF"/>
    <w:rsid w:val="001002B2"/>
    <w:rsid w:val="0010038C"/>
    <w:rsid w:val="00100BAF"/>
    <w:rsid w:val="00101B76"/>
    <w:rsid w:val="001020CC"/>
    <w:rsid w:val="001033DE"/>
    <w:rsid w:val="00104963"/>
    <w:rsid w:val="001052F7"/>
    <w:rsid w:val="00105AB4"/>
    <w:rsid w:val="00105D53"/>
    <w:rsid w:val="00105FD8"/>
    <w:rsid w:val="0010620D"/>
    <w:rsid w:val="00106254"/>
    <w:rsid w:val="00106E35"/>
    <w:rsid w:val="0010779E"/>
    <w:rsid w:val="00111498"/>
    <w:rsid w:val="00111B40"/>
    <w:rsid w:val="001140DA"/>
    <w:rsid w:val="00114E6A"/>
    <w:rsid w:val="00115432"/>
    <w:rsid w:val="00115653"/>
    <w:rsid w:val="00115A9D"/>
    <w:rsid w:val="0011656B"/>
    <w:rsid w:val="001174D7"/>
    <w:rsid w:val="00120FC3"/>
    <w:rsid w:val="001213DB"/>
    <w:rsid w:val="00121842"/>
    <w:rsid w:val="001218E0"/>
    <w:rsid w:val="00121B65"/>
    <w:rsid w:val="00121DE9"/>
    <w:rsid w:val="00122150"/>
    <w:rsid w:val="00122503"/>
    <w:rsid w:val="00122B47"/>
    <w:rsid w:val="00124A01"/>
    <w:rsid w:val="00124FAB"/>
    <w:rsid w:val="0012558E"/>
    <w:rsid w:val="001260D7"/>
    <w:rsid w:val="00126B51"/>
    <w:rsid w:val="00131036"/>
    <w:rsid w:val="00133B61"/>
    <w:rsid w:val="00134AF5"/>
    <w:rsid w:val="0013501D"/>
    <w:rsid w:val="001356DF"/>
    <w:rsid w:val="0013744C"/>
    <w:rsid w:val="00140835"/>
    <w:rsid w:val="00141967"/>
    <w:rsid w:val="00141E29"/>
    <w:rsid w:val="00142768"/>
    <w:rsid w:val="00142EC1"/>
    <w:rsid w:val="00143C18"/>
    <w:rsid w:val="00143D0C"/>
    <w:rsid w:val="00143E77"/>
    <w:rsid w:val="001441BB"/>
    <w:rsid w:val="001442E3"/>
    <w:rsid w:val="001445B3"/>
    <w:rsid w:val="001455C9"/>
    <w:rsid w:val="001456D1"/>
    <w:rsid w:val="00145BCE"/>
    <w:rsid w:val="00145F6F"/>
    <w:rsid w:val="001463B0"/>
    <w:rsid w:val="001477BA"/>
    <w:rsid w:val="00147CFF"/>
    <w:rsid w:val="0015034D"/>
    <w:rsid w:val="00151047"/>
    <w:rsid w:val="00151C9F"/>
    <w:rsid w:val="00151E79"/>
    <w:rsid w:val="00151F85"/>
    <w:rsid w:val="001521BE"/>
    <w:rsid w:val="0015269C"/>
    <w:rsid w:val="00152B1D"/>
    <w:rsid w:val="00152CAE"/>
    <w:rsid w:val="00154703"/>
    <w:rsid w:val="00155378"/>
    <w:rsid w:val="00155AA9"/>
    <w:rsid w:val="00156199"/>
    <w:rsid w:val="001562D8"/>
    <w:rsid w:val="00156748"/>
    <w:rsid w:val="00156CEA"/>
    <w:rsid w:val="00156E41"/>
    <w:rsid w:val="001577C0"/>
    <w:rsid w:val="001614B1"/>
    <w:rsid w:val="00161F90"/>
    <w:rsid w:val="001620A4"/>
    <w:rsid w:val="00162278"/>
    <w:rsid w:val="00162BE9"/>
    <w:rsid w:val="00162F5A"/>
    <w:rsid w:val="00163DD6"/>
    <w:rsid w:val="001649E8"/>
    <w:rsid w:val="00165243"/>
    <w:rsid w:val="00165C5C"/>
    <w:rsid w:val="001669B6"/>
    <w:rsid w:val="001669DF"/>
    <w:rsid w:val="00166C20"/>
    <w:rsid w:val="00166F2A"/>
    <w:rsid w:val="00167092"/>
    <w:rsid w:val="00167422"/>
    <w:rsid w:val="001706D6"/>
    <w:rsid w:val="00170D38"/>
    <w:rsid w:val="00170DDA"/>
    <w:rsid w:val="00170FB2"/>
    <w:rsid w:val="00171393"/>
    <w:rsid w:val="001716EE"/>
    <w:rsid w:val="001722F0"/>
    <w:rsid w:val="00172B02"/>
    <w:rsid w:val="00172C88"/>
    <w:rsid w:val="00173BB8"/>
    <w:rsid w:val="00173CA2"/>
    <w:rsid w:val="00174E00"/>
    <w:rsid w:val="00174F0B"/>
    <w:rsid w:val="00175983"/>
    <w:rsid w:val="00175AB6"/>
    <w:rsid w:val="0017625D"/>
    <w:rsid w:val="00177439"/>
    <w:rsid w:val="00177D88"/>
    <w:rsid w:val="00182C3B"/>
    <w:rsid w:val="0018436A"/>
    <w:rsid w:val="001845C5"/>
    <w:rsid w:val="00184874"/>
    <w:rsid w:val="0018579B"/>
    <w:rsid w:val="0018608C"/>
    <w:rsid w:val="00186278"/>
    <w:rsid w:val="0018689C"/>
    <w:rsid w:val="001873E1"/>
    <w:rsid w:val="00190D5A"/>
    <w:rsid w:val="00191072"/>
    <w:rsid w:val="00191A30"/>
    <w:rsid w:val="001930C7"/>
    <w:rsid w:val="0019325D"/>
    <w:rsid w:val="0019347F"/>
    <w:rsid w:val="001935E9"/>
    <w:rsid w:val="00193CC2"/>
    <w:rsid w:val="00193E63"/>
    <w:rsid w:val="00195D17"/>
    <w:rsid w:val="00196921"/>
    <w:rsid w:val="00196D6B"/>
    <w:rsid w:val="001A0995"/>
    <w:rsid w:val="001A0D81"/>
    <w:rsid w:val="001A182B"/>
    <w:rsid w:val="001A1B4C"/>
    <w:rsid w:val="001A1FE6"/>
    <w:rsid w:val="001A2578"/>
    <w:rsid w:val="001A25DD"/>
    <w:rsid w:val="001A3404"/>
    <w:rsid w:val="001A3E76"/>
    <w:rsid w:val="001A459D"/>
    <w:rsid w:val="001A46C5"/>
    <w:rsid w:val="001A561D"/>
    <w:rsid w:val="001A5F20"/>
    <w:rsid w:val="001A78EF"/>
    <w:rsid w:val="001B258E"/>
    <w:rsid w:val="001B2E35"/>
    <w:rsid w:val="001B2E73"/>
    <w:rsid w:val="001B3D6F"/>
    <w:rsid w:val="001B4574"/>
    <w:rsid w:val="001B5A4C"/>
    <w:rsid w:val="001C01BB"/>
    <w:rsid w:val="001C05CA"/>
    <w:rsid w:val="001C1796"/>
    <w:rsid w:val="001C2269"/>
    <w:rsid w:val="001C241D"/>
    <w:rsid w:val="001C3485"/>
    <w:rsid w:val="001C3CCE"/>
    <w:rsid w:val="001C43B9"/>
    <w:rsid w:val="001C5239"/>
    <w:rsid w:val="001C5528"/>
    <w:rsid w:val="001C5CEF"/>
    <w:rsid w:val="001C66F5"/>
    <w:rsid w:val="001C7B21"/>
    <w:rsid w:val="001C7EB4"/>
    <w:rsid w:val="001D0FFE"/>
    <w:rsid w:val="001D20D6"/>
    <w:rsid w:val="001D3BD6"/>
    <w:rsid w:val="001D3FC9"/>
    <w:rsid w:val="001D4187"/>
    <w:rsid w:val="001D442B"/>
    <w:rsid w:val="001D527B"/>
    <w:rsid w:val="001D52A1"/>
    <w:rsid w:val="001D6165"/>
    <w:rsid w:val="001D618D"/>
    <w:rsid w:val="001D61AF"/>
    <w:rsid w:val="001D6990"/>
    <w:rsid w:val="001D7106"/>
    <w:rsid w:val="001E0154"/>
    <w:rsid w:val="001E0AEF"/>
    <w:rsid w:val="001E0B54"/>
    <w:rsid w:val="001E1198"/>
    <w:rsid w:val="001E1F3F"/>
    <w:rsid w:val="001E264E"/>
    <w:rsid w:val="001E2B40"/>
    <w:rsid w:val="001E3362"/>
    <w:rsid w:val="001E3CF3"/>
    <w:rsid w:val="001E3DCB"/>
    <w:rsid w:val="001E3F35"/>
    <w:rsid w:val="001E3FBF"/>
    <w:rsid w:val="001E4707"/>
    <w:rsid w:val="001E5413"/>
    <w:rsid w:val="001E5709"/>
    <w:rsid w:val="001E683C"/>
    <w:rsid w:val="001E6ADE"/>
    <w:rsid w:val="001E704E"/>
    <w:rsid w:val="001F110E"/>
    <w:rsid w:val="001F1797"/>
    <w:rsid w:val="001F200C"/>
    <w:rsid w:val="001F256F"/>
    <w:rsid w:val="001F2792"/>
    <w:rsid w:val="001F3A7D"/>
    <w:rsid w:val="001F3BC4"/>
    <w:rsid w:val="001F40FF"/>
    <w:rsid w:val="001F5386"/>
    <w:rsid w:val="001F58ED"/>
    <w:rsid w:val="001F5F32"/>
    <w:rsid w:val="001F6AFF"/>
    <w:rsid w:val="001F7538"/>
    <w:rsid w:val="0020000F"/>
    <w:rsid w:val="0020052C"/>
    <w:rsid w:val="00202644"/>
    <w:rsid w:val="002037E1"/>
    <w:rsid w:val="00204357"/>
    <w:rsid w:val="002046A8"/>
    <w:rsid w:val="00204DC6"/>
    <w:rsid w:val="00206EE4"/>
    <w:rsid w:val="00207114"/>
    <w:rsid w:val="002076E0"/>
    <w:rsid w:val="00207C78"/>
    <w:rsid w:val="00207D7E"/>
    <w:rsid w:val="00211314"/>
    <w:rsid w:val="00211EE8"/>
    <w:rsid w:val="0021200B"/>
    <w:rsid w:val="00212B20"/>
    <w:rsid w:val="0021321A"/>
    <w:rsid w:val="002134C7"/>
    <w:rsid w:val="00213AC4"/>
    <w:rsid w:val="00214EB1"/>
    <w:rsid w:val="00215D7D"/>
    <w:rsid w:val="002163BE"/>
    <w:rsid w:val="00216924"/>
    <w:rsid w:val="00217532"/>
    <w:rsid w:val="00217680"/>
    <w:rsid w:val="00217C64"/>
    <w:rsid w:val="00221329"/>
    <w:rsid w:val="0022163F"/>
    <w:rsid w:val="002216C9"/>
    <w:rsid w:val="00221903"/>
    <w:rsid w:val="0022259C"/>
    <w:rsid w:val="00222D5C"/>
    <w:rsid w:val="00222F0F"/>
    <w:rsid w:val="002245DE"/>
    <w:rsid w:val="0022521F"/>
    <w:rsid w:val="00225914"/>
    <w:rsid w:val="002260F1"/>
    <w:rsid w:val="00226F03"/>
    <w:rsid w:val="002271E1"/>
    <w:rsid w:val="0022770E"/>
    <w:rsid w:val="00227737"/>
    <w:rsid w:val="00227B49"/>
    <w:rsid w:val="00227BCD"/>
    <w:rsid w:val="002309D1"/>
    <w:rsid w:val="00230BC4"/>
    <w:rsid w:val="00230F8A"/>
    <w:rsid w:val="00232B04"/>
    <w:rsid w:val="002331D5"/>
    <w:rsid w:val="0023328F"/>
    <w:rsid w:val="00233D5D"/>
    <w:rsid w:val="002346A2"/>
    <w:rsid w:val="00235867"/>
    <w:rsid w:val="00235999"/>
    <w:rsid w:val="00236889"/>
    <w:rsid w:val="00236B9F"/>
    <w:rsid w:val="00236D8D"/>
    <w:rsid w:val="00237FB8"/>
    <w:rsid w:val="00240180"/>
    <w:rsid w:val="002408E3"/>
    <w:rsid w:val="00240ECF"/>
    <w:rsid w:val="00240FEB"/>
    <w:rsid w:val="00243206"/>
    <w:rsid w:val="00243728"/>
    <w:rsid w:val="00244D99"/>
    <w:rsid w:val="00245697"/>
    <w:rsid w:val="00246473"/>
    <w:rsid w:val="00246684"/>
    <w:rsid w:val="00247759"/>
    <w:rsid w:val="00247809"/>
    <w:rsid w:val="00251636"/>
    <w:rsid w:val="0025299A"/>
    <w:rsid w:val="00252EA0"/>
    <w:rsid w:val="002531D5"/>
    <w:rsid w:val="00253E32"/>
    <w:rsid w:val="002548F3"/>
    <w:rsid w:val="00254C35"/>
    <w:rsid w:val="002555C3"/>
    <w:rsid w:val="002559ED"/>
    <w:rsid w:val="00256293"/>
    <w:rsid w:val="00257261"/>
    <w:rsid w:val="0025735B"/>
    <w:rsid w:val="002601E1"/>
    <w:rsid w:val="00260EB6"/>
    <w:rsid w:val="00261420"/>
    <w:rsid w:val="00261827"/>
    <w:rsid w:val="002629C0"/>
    <w:rsid w:val="00263832"/>
    <w:rsid w:val="00263E9C"/>
    <w:rsid w:val="002642F5"/>
    <w:rsid w:val="00264450"/>
    <w:rsid w:val="0026682D"/>
    <w:rsid w:val="00267088"/>
    <w:rsid w:val="00267725"/>
    <w:rsid w:val="00267D2A"/>
    <w:rsid w:val="00267FC5"/>
    <w:rsid w:val="0027028A"/>
    <w:rsid w:val="002702E7"/>
    <w:rsid w:val="00270B53"/>
    <w:rsid w:val="0027110D"/>
    <w:rsid w:val="00271FE8"/>
    <w:rsid w:val="002722C5"/>
    <w:rsid w:val="00272418"/>
    <w:rsid w:val="002727D9"/>
    <w:rsid w:val="00272C00"/>
    <w:rsid w:val="00272FE4"/>
    <w:rsid w:val="002730D2"/>
    <w:rsid w:val="00274A75"/>
    <w:rsid w:val="00275713"/>
    <w:rsid w:val="00275F4C"/>
    <w:rsid w:val="00276DC9"/>
    <w:rsid w:val="0027704C"/>
    <w:rsid w:val="00277B23"/>
    <w:rsid w:val="00280976"/>
    <w:rsid w:val="002809C9"/>
    <w:rsid w:val="00280AD8"/>
    <w:rsid w:val="00281092"/>
    <w:rsid w:val="00282ADD"/>
    <w:rsid w:val="00282B67"/>
    <w:rsid w:val="002836BA"/>
    <w:rsid w:val="00283CB4"/>
    <w:rsid w:val="0028457E"/>
    <w:rsid w:val="002846BD"/>
    <w:rsid w:val="002853BE"/>
    <w:rsid w:val="00285B6F"/>
    <w:rsid w:val="002861D0"/>
    <w:rsid w:val="0028675E"/>
    <w:rsid w:val="00286B0A"/>
    <w:rsid w:val="00286B48"/>
    <w:rsid w:val="00287490"/>
    <w:rsid w:val="002874F0"/>
    <w:rsid w:val="00287C7C"/>
    <w:rsid w:val="00290A4F"/>
    <w:rsid w:val="00291413"/>
    <w:rsid w:val="0029161E"/>
    <w:rsid w:val="0029323A"/>
    <w:rsid w:val="002933A2"/>
    <w:rsid w:val="00294445"/>
    <w:rsid w:val="00294694"/>
    <w:rsid w:val="00294728"/>
    <w:rsid w:val="002951A6"/>
    <w:rsid w:val="002955A0"/>
    <w:rsid w:val="002957F5"/>
    <w:rsid w:val="00295D68"/>
    <w:rsid w:val="00296064"/>
    <w:rsid w:val="002960AD"/>
    <w:rsid w:val="00296A26"/>
    <w:rsid w:val="00296A63"/>
    <w:rsid w:val="0029784F"/>
    <w:rsid w:val="002A11F2"/>
    <w:rsid w:val="002A15C3"/>
    <w:rsid w:val="002A17B6"/>
    <w:rsid w:val="002A1B45"/>
    <w:rsid w:val="002A1CE8"/>
    <w:rsid w:val="002A2B60"/>
    <w:rsid w:val="002A2C32"/>
    <w:rsid w:val="002A3DBD"/>
    <w:rsid w:val="002A4D87"/>
    <w:rsid w:val="002A555E"/>
    <w:rsid w:val="002A583B"/>
    <w:rsid w:val="002A687A"/>
    <w:rsid w:val="002B378B"/>
    <w:rsid w:val="002B3971"/>
    <w:rsid w:val="002B4B2A"/>
    <w:rsid w:val="002B5918"/>
    <w:rsid w:val="002B6204"/>
    <w:rsid w:val="002B72E5"/>
    <w:rsid w:val="002B7FCA"/>
    <w:rsid w:val="002C17E8"/>
    <w:rsid w:val="002C1847"/>
    <w:rsid w:val="002C191F"/>
    <w:rsid w:val="002C1DAC"/>
    <w:rsid w:val="002C1F04"/>
    <w:rsid w:val="002C1F1B"/>
    <w:rsid w:val="002C2B3A"/>
    <w:rsid w:val="002C2B9F"/>
    <w:rsid w:val="002C2BED"/>
    <w:rsid w:val="002C3041"/>
    <w:rsid w:val="002C3B57"/>
    <w:rsid w:val="002C48D5"/>
    <w:rsid w:val="002C4FF5"/>
    <w:rsid w:val="002C60EB"/>
    <w:rsid w:val="002C6583"/>
    <w:rsid w:val="002C671F"/>
    <w:rsid w:val="002C7371"/>
    <w:rsid w:val="002D0776"/>
    <w:rsid w:val="002D14D4"/>
    <w:rsid w:val="002D240B"/>
    <w:rsid w:val="002D2908"/>
    <w:rsid w:val="002D2B77"/>
    <w:rsid w:val="002D3AA3"/>
    <w:rsid w:val="002D45B2"/>
    <w:rsid w:val="002D50C3"/>
    <w:rsid w:val="002D50DF"/>
    <w:rsid w:val="002D5B4D"/>
    <w:rsid w:val="002D6BBF"/>
    <w:rsid w:val="002D6EFA"/>
    <w:rsid w:val="002D7485"/>
    <w:rsid w:val="002E076F"/>
    <w:rsid w:val="002E14D3"/>
    <w:rsid w:val="002E1C3C"/>
    <w:rsid w:val="002E1E22"/>
    <w:rsid w:val="002E24C3"/>
    <w:rsid w:val="002E25A7"/>
    <w:rsid w:val="002E2DE4"/>
    <w:rsid w:val="002E2E9E"/>
    <w:rsid w:val="002E4011"/>
    <w:rsid w:val="002E40C7"/>
    <w:rsid w:val="002E530B"/>
    <w:rsid w:val="002E59B6"/>
    <w:rsid w:val="002E5AE9"/>
    <w:rsid w:val="002E6403"/>
    <w:rsid w:val="002E65AB"/>
    <w:rsid w:val="002E6C67"/>
    <w:rsid w:val="002E6CF7"/>
    <w:rsid w:val="002E7160"/>
    <w:rsid w:val="002E76A8"/>
    <w:rsid w:val="002F0850"/>
    <w:rsid w:val="002F0E4A"/>
    <w:rsid w:val="002F0E62"/>
    <w:rsid w:val="002F1D1B"/>
    <w:rsid w:val="002F2C3D"/>
    <w:rsid w:val="002F445B"/>
    <w:rsid w:val="002F5932"/>
    <w:rsid w:val="002F5D6D"/>
    <w:rsid w:val="002F6ADE"/>
    <w:rsid w:val="002F71AC"/>
    <w:rsid w:val="002F745A"/>
    <w:rsid w:val="00301975"/>
    <w:rsid w:val="0030343A"/>
    <w:rsid w:val="00303A81"/>
    <w:rsid w:val="003048AE"/>
    <w:rsid w:val="00304FCE"/>
    <w:rsid w:val="0030521A"/>
    <w:rsid w:val="00305B86"/>
    <w:rsid w:val="00307011"/>
    <w:rsid w:val="00310B02"/>
    <w:rsid w:val="00310D26"/>
    <w:rsid w:val="00311C99"/>
    <w:rsid w:val="00311F4D"/>
    <w:rsid w:val="00313272"/>
    <w:rsid w:val="0031415F"/>
    <w:rsid w:val="00314C78"/>
    <w:rsid w:val="00314DA5"/>
    <w:rsid w:val="00316940"/>
    <w:rsid w:val="00316B81"/>
    <w:rsid w:val="0031767D"/>
    <w:rsid w:val="003176E8"/>
    <w:rsid w:val="00320033"/>
    <w:rsid w:val="00320468"/>
    <w:rsid w:val="00320691"/>
    <w:rsid w:val="00321A53"/>
    <w:rsid w:val="00321ECD"/>
    <w:rsid w:val="00321F5A"/>
    <w:rsid w:val="003221ED"/>
    <w:rsid w:val="0032250A"/>
    <w:rsid w:val="0032253E"/>
    <w:rsid w:val="00322575"/>
    <w:rsid w:val="0032271C"/>
    <w:rsid w:val="00323A14"/>
    <w:rsid w:val="00323F88"/>
    <w:rsid w:val="00324389"/>
    <w:rsid w:val="003243AF"/>
    <w:rsid w:val="0032510A"/>
    <w:rsid w:val="00326E7A"/>
    <w:rsid w:val="00327F12"/>
    <w:rsid w:val="00330A58"/>
    <w:rsid w:val="003317A0"/>
    <w:rsid w:val="00331C5A"/>
    <w:rsid w:val="00331D0F"/>
    <w:rsid w:val="00332AFA"/>
    <w:rsid w:val="00332C76"/>
    <w:rsid w:val="00333E6E"/>
    <w:rsid w:val="003351CA"/>
    <w:rsid w:val="00335516"/>
    <w:rsid w:val="00335B4D"/>
    <w:rsid w:val="00335DC3"/>
    <w:rsid w:val="00336481"/>
    <w:rsid w:val="00337C7E"/>
    <w:rsid w:val="0033C93B"/>
    <w:rsid w:val="003417B9"/>
    <w:rsid w:val="00341EF7"/>
    <w:rsid w:val="00341FDC"/>
    <w:rsid w:val="00342595"/>
    <w:rsid w:val="003425B6"/>
    <w:rsid w:val="003432CF"/>
    <w:rsid w:val="00344490"/>
    <w:rsid w:val="00344EF1"/>
    <w:rsid w:val="003466A4"/>
    <w:rsid w:val="0034769F"/>
    <w:rsid w:val="003478F7"/>
    <w:rsid w:val="00350326"/>
    <w:rsid w:val="00350C9E"/>
    <w:rsid w:val="003514A8"/>
    <w:rsid w:val="00351F6B"/>
    <w:rsid w:val="0035261A"/>
    <w:rsid w:val="003529B8"/>
    <w:rsid w:val="00353320"/>
    <w:rsid w:val="003536F2"/>
    <w:rsid w:val="003536F8"/>
    <w:rsid w:val="00354CA7"/>
    <w:rsid w:val="00354E35"/>
    <w:rsid w:val="00354F89"/>
    <w:rsid w:val="00354F90"/>
    <w:rsid w:val="00356580"/>
    <w:rsid w:val="003565D4"/>
    <w:rsid w:val="00357DC0"/>
    <w:rsid w:val="003610CD"/>
    <w:rsid w:val="003616A2"/>
    <w:rsid w:val="00361A74"/>
    <w:rsid w:val="00361F52"/>
    <w:rsid w:val="003625F9"/>
    <w:rsid w:val="0036280B"/>
    <w:rsid w:val="003637A7"/>
    <w:rsid w:val="00364D0D"/>
    <w:rsid w:val="00365150"/>
    <w:rsid w:val="003655B3"/>
    <w:rsid w:val="0036593B"/>
    <w:rsid w:val="003662EA"/>
    <w:rsid w:val="00366618"/>
    <w:rsid w:val="00366E5F"/>
    <w:rsid w:val="00367403"/>
    <w:rsid w:val="00367B20"/>
    <w:rsid w:val="00371650"/>
    <w:rsid w:val="00371D30"/>
    <w:rsid w:val="003723C1"/>
    <w:rsid w:val="00372B55"/>
    <w:rsid w:val="0037389E"/>
    <w:rsid w:val="00373914"/>
    <w:rsid w:val="00374530"/>
    <w:rsid w:val="00374746"/>
    <w:rsid w:val="00375354"/>
    <w:rsid w:val="00375632"/>
    <w:rsid w:val="00375F62"/>
    <w:rsid w:val="0037642C"/>
    <w:rsid w:val="003775F2"/>
    <w:rsid w:val="003778EE"/>
    <w:rsid w:val="0037790F"/>
    <w:rsid w:val="00377C7F"/>
    <w:rsid w:val="0038181F"/>
    <w:rsid w:val="00382CE8"/>
    <w:rsid w:val="003840A8"/>
    <w:rsid w:val="00384709"/>
    <w:rsid w:val="00384CB0"/>
    <w:rsid w:val="003854D2"/>
    <w:rsid w:val="00386218"/>
    <w:rsid w:val="0038654C"/>
    <w:rsid w:val="00386870"/>
    <w:rsid w:val="00387D22"/>
    <w:rsid w:val="003909BD"/>
    <w:rsid w:val="00390EBD"/>
    <w:rsid w:val="00390FD3"/>
    <w:rsid w:val="003911FE"/>
    <w:rsid w:val="00391790"/>
    <w:rsid w:val="00391C28"/>
    <w:rsid w:val="00391FED"/>
    <w:rsid w:val="00392543"/>
    <w:rsid w:val="00393F25"/>
    <w:rsid w:val="00395878"/>
    <w:rsid w:val="003966AA"/>
    <w:rsid w:val="003971AC"/>
    <w:rsid w:val="003A0048"/>
    <w:rsid w:val="003A0F6F"/>
    <w:rsid w:val="003A1E5E"/>
    <w:rsid w:val="003A30BE"/>
    <w:rsid w:val="003A31F8"/>
    <w:rsid w:val="003A33A9"/>
    <w:rsid w:val="003A41E3"/>
    <w:rsid w:val="003A426F"/>
    <w:rsid w:val="003A44D3"/>
    <w:rsid w:val="003A55C9"/>
    <w:rsid w:val="003A5803"/>
    <w:rsid w:val="003A72F2"/>
    <w:rsid w:val="003B1333"/>
    <w:rsid w:val="003B147D"/>
    <w:rsid w:val="003B1852"/>
    <w:rsid w:val="003B1A43"/>
    <w:rsid w:val="003B21AE"/>
    <w:rsid w:val="003B2C4A"/>
    <w:rsid w:val="003B3762"/>
    <w:rsid w:val="003B3950"/>
    <w:rsid w:val="003B4547"/>
    <w:rsid w:val="003B4F21"/>
    <w:rsid w:val="003B50D3"/>
    <w:rsid w:val="003B5419"/>
    <w:rsid w:val="003B564E"/>
    <w:rsid w:val="003B6047"/>
    <w:rsid w:val="003B6089"/>
    <w:rsid w:val="003B6560"/>
    <w:rsid w:val="003B7431"/>
    <w:rsid w:val="003B79A5"/>
    <w:rsid w:val="003B7C3D"/>
    <w:rsid w:val="003B7FBF"/>
    <w:rsid w:val="003C0CD7"/>
    <w:rsid w:val="003C142E"/>
    <w:rsid w:val="003C1B5B"/>
    <w:rsid w:val="003C32D9"/>
    <w:rsid w:val="003C3445"/>
    <w:rsid w:val="003C4495"/>
    <w:rsid w:val="003C488B"/>
    <w:rsid w:val="003C547B"/>
    <w:rsid w:val="003C567D"/>
    <w:rsid w:val="003C5C45"/>
    <w:rsid w:val="003C684F"/>
    <w:rsid w:val="003C7748"/>
    <w:rsid w:val="003C78F4"/>
    <w:rsid w:val="003D0612"/>
    <w:rsid w:val="003D17FC"/>
    <w:rsid w:val="003D42EA"/>
    <w:rsid w:val="003D7A92"/>
    <w:rsid w:val="003E12B9"/>
    <w:rsid w:val="003E2F35"/>
    <w:rsid w:val="003E347F"/>
    <w:rsid w:val="003E36CC"/>
    <w:rsid w:val="003E3B6F"/>
    <w:rsid w:val="003E3C67"/>
    <w:rsid w:val="003E48EB"/>
    <w:rsid w:val="003E5176"/>
    <w:rsid w:val="003E5202"/>
    <w:rsid w:val="003E53FD"/>
    <w:rsid w:val="003E5A9C"/>
    <w:rsid w:val="003E6366"/>
    <w:rsid w:val="003E6D62"/>
    <w:rsid w:val="003E79E3"/>
    <w:rsid w:val="003F05B8"/>
    <w:rsid w:val="003F0738"/>
    <w:rsid w:val="003F0B53"/>
    <w:rsid w:val="003F0B77"/>
    <w:rsid w:val="003F2666"/>
    <w:rsid w:val="003F31D4"/>
    <w:rsid w:val="003F3700"/>
    <w:rsid w:val="003F47E0"/>
    <w:rsid w:val="003F49A2"/>
    <w:rsid w:val="003F4B2B"/>
    <w:rsid w:val="003F5ECF"/>
    <w:rsid w:val="003F6474"/>
    <w:rsid w:val="003F6730"/>
    <w:rsid w:val="003F6D49"/>
    <w:rsid w:val="003F710F"/>
    <w:rsid w:val="003F73A5"/>
    <w:rsid w:val="003F7DAA"/>
    <w:rsid w:val="0040056A"/>
    <w:rsid w:val="00400797"/>
    <w:rsid w:val="00400849"/>
    <w:rsid w:val="00401382"/>
    <w:rsid w:val="00402042"/>
    <w:rsid w:val="00402262"/>
    <w:rsid w:val="004022AA"/>
    <w:rsid w:val="0040265B"/>
    <w:rsid w:val="00402A30"/>
    <w:rsid w:val="00402A74"/>
    <w:rsid w:val="0040307C"/>
    <w:rsid w:val="0040358D"/>
    <w:rsid w:val="00404253"/>
    <w:rsid w:val="00404592"/>
    <w:rsid w:val="00404B2A"/>
    <w:rsid w:val="00404DF1"/>
    <w:rsid w:val="00405AFD"/>
    <w:rsid w:val="00405BCF"/>
    <w:rsid w:val="00405D2C"/>
    <w:rsid w:val="00406782"/>
    <w:rsid w:val="00407048"/>
    <w:rsid w:val="004079BF"/>
    <w:rsid w:val="00407B27"/>
    <w:rsid w:val="00407EC3"/>
    <w:rsid w:val="0041044D"/>
    <w:rsid w:val="00410ABA"/>
    <w:rsid w:val="00411121"/>
    <w:rsid w:val="0041133E"/>
    <w:rsid w:val="00411D72"/>
    <w:rsid w:val="0041329C"/>
    <w:rsid w:val="00414674"/>
    <w:rsid w:val="00414678"/>
    <w:rsid w:val="00414FA7"/>
    <w:rsid w:val="004173AB"/>
    <w:rsid w:val="00417A74"/>
    <w:rsid w:val="00417A80"/>
    <w:rsid w:val="00417B4C"/>
    <w:rsid w:val="00417D9E"/>
    <w:rsid w:val="0042010C"/>
    <w:rsid w:val="00420FBF"/>
    <w:rsid w:val="00422EAB"/>
    <w:rsid w:val="00422EF1"/>
    <w:rsid w:val="0042321C"/>
    <w:rsid w:val="0042330A"/>
    <w:rsid w:val="0042385A"/>
    <w:rsid w:val="00423BF3"/>
    <w:rsid w:val="00424CA5"/>
    <w:rsid w:val="00424FD8"/>
    <w:rsid w:val="004257C0"/>
    <w:rsid w:val="00426F77"/>
    <w:rsid w:val="00427AB1"/>
    <w:rsid w:val="00427C0A"/>
    <w:rsid w:val="004301BA"/>
    <w:rsid w:val="00430638"/>
    <w:rsid w:val="004306B5"/>
    <w:rsid w:val="00430D76"/>
    <w:rsid w:val="00431B97"/>
    <w:rsid w:val="00431F38"/>
    <w:rsid w:val="00432515"/>
    <w:rsid w:val="00432A28"/>
    <w:rsid w:val="00433309"/>
    <w:rsid w:val="00433A8C"/>
    <w:rsid w:val="00433C2C"/>
    <w:rsid w:val="00433FAE"/>
    <w:rsid w:val="00435155"/>
    <w:rsid w:val="004351C9"/>
    <w:rsid w:val="004354EF"/>
    <w:rsid w:val="004359DB"/>
    <w:rsid w:val="00437445"/>
    <w:rsid w:val="004378FA"/>
    <w:rsid w:val="00437D77"/>
    <w:rsid w:val="00440727"/>
    <w:rsid w:val="00440B81"/>
    <w:rsid w:val="0044183E"/>
    <w:rsid w:val="004432C1"/>
    <w:rsid w:val="004454D2"/>
    <w:rsid w:val="00445553"/>
    <w:rsid w:val="004459C2"/>
    <w:rsid w:val="00445D3B"/>
    <w:rsid w:val="0044713F"/>
    <w:rsid w:val="00447F2E"/>
    <w:rsid w:val="00451421"/>
    <w:rsid w:val="004518B4"/>
    <w:rsid w:val="00451B3B"/>
    <w:rsid w:val="004522C9"/>
    <w:rsid w:val="00453C7D"/>
    <w:rsid w:val="00454ABC"/>
    <w:rsid w:val="00457490"/>
    <w:rsid w:val="004578BF"/>
    <w:rsid w:val="004602CD"/>
    <w:rsid w:val="00461309"/>
    <w:rsid w:val="0046153E"/>
    <w:rsid w:val="00461A35"/>
    <w:rsid w:val="00461C15"/>
    <w:rsid w:val="004620C8"/>
    <w:rsid w:val="00462710"/>
    <w:rsid w:val="00463737"/>
    <w:rsid w:val="00464AE1"/>
    <w:rsid w:val="004652A0"/>
    <w:rsid w:val="004656D4"/>
    <w:rsid w:val="00465E7C"/>
    <w:rsid w:val="00465F30"/>
    <w:rsid w:val="00466A7A"/>
    <w:rsid w:val="004703F9"/>
    <w:rsid w:val="004707C4"/>
    <w:rsid w:val="004732D6"/>
    <w:rsid w:val="004734DF"/>
    <w:rsid w:val="00473A79"/>
    <w:rsid w:val="0047500C"/>
    <w:rsid w:val="0047526B"/>
    <w:rsid w:val="004757E8"/>
    <w:rsid w:val="00476024"/>
    <w:rsid w:val="0047637E"/>
    <w:rsid w:val="00477418"/>
    <w:rsid w:val="00477A71"/>
    <w:rsid w:val="00477AA9"/>
    <w:rsid w:val="00480008"/>
    <w:rsid w:val="00480037"/>
    <w:rsid w:val="0048058A"/>
    <w:rsid w:val="00481C3F"/>
    <w:rsid w:val="0048209D"/>
    <w:rsid w:val="004821F0"/>
    <w:rsid w:val="0048246B"/>
    <w:rsid w:val="00483983"/>
    <w:rsid w:val="00483A9D"/>
    <w:rsid w:val="00483C78"/>
    <w:rsid w:val="004844E0"/>
    <w:rsid w:val="004846ED"/>
    <w:rsid w:val="0048565F"/>
    <w:rsid w:val="004857DB"/>
    <w:rsid w:val="004863A2"/>
    <w:rsid w:val="00487333"/>
    <w:rsid w:val="004875D9"/>
    <w:rsid w:val="00487C82"/>
    <w:rsid w:val="00490124"/>
    <w:rsid w:val="00491D22"/>
    <w:rsid w:val="00492129"/>
    <w:rsid w:val="004922C8"/>
    <w:rsid w:val="00492B32"/>
    <w:rsid w:val="00492E30"/>
    <w:rsid w:val="004935FB"/>
    <w:rsid w:val="00493FBB"/>
    <w:rsid w:val="004940DB"/>
    <w:rsid w:val="00494135"/>
    <w:rsid w:val="004943B3"/>
    <w:rsid w:val="00494B1E"/>
    <w:rsid w:val="004954AF"/>
    <w:rsid w:val="00495863"/>
    <w:rsid w:val="00495A08"/>
    <w:rsid w:val="00495B0F"/>
    <w:rsid w:val="00495C18"/>
    <w:rsid w:val="00496DCC"/>
    <w:rsid w:val="004A03EB"/>
    <w:rsid w:val="004A08D0"/>
    <w:rsid w:val="004A178F"/>
    <w:rsid w:val="004A1A1F"/>
    <w:rsid w:val="004A258D"/>
    <w:rsid w:val="004A389D"/>
    <w:rsid w:val="004A390B"/>
    <w:rsid w:val="004A3BE2"/>
    <w:rsid w:val="004A3D71"/>
    <w:rsid w:val="004A3EFD"/>
    <w:rsid w:val="004A5150"/>
    <w:rsid w:val="004A64EB"/>
    <w:rsid w:val="004A6505"/>
    <w:rsid w:val="004A7CB2"/>
    <w:rsid w:val="004A7D0E"/>
    <w:rsid w:val="004B00C9"/>
    <w:rsid w:val="004B14A4"/>
    <w:rsid w:val="004B1FF4"/>
    <w:rsid w:val="004B2B1F"/>
    <w:rsid w:val="004B3573"/>
    <w:rsid w:val="004B4CF5"/>
    <w:rsid w:val="004B6190"/>
    <w:rsid w:val="004B6766"/>
    <w:rsid w:val="004BD306"/>
    <w:rsid w:val="004C0132"/>
    <w:rsid w:val="004C0EF3"/>
    <w:rsid w:val="004C1112"/>
    <w:rsid w:val="004C1498"/>
    <w:rsid w:val="004C2950"/>
    <w:rsid w:val="004C2B89"/>
    <w:rsid w:val="004C39E1"/>
    <w:rsid w:val="004C3DE9"/>
    <w:rsid w:val="004C51DD"/>
    <w:rsid w:val="004C57F3"/>
    <w:rsid w:val="004C5CF8"/>
    <w:rsid w:val="004C6762"/>
    <w:rsid w:val="004C6B38"/>
    <w:rsid w:val="004C6C5D"/>
    <w:rsid w:val="004C7433"/>
    <w:rsid w:val="004D2C15"/>
    <w:rsid w:val="004D30AC"/>
    <w:rsid w:val="004D48FC"/>
    <w:rsid w:val="004D4EF5"/>
    <w:rsid w:val="004D5813"/>
    <w:rsid w:val="004D664C"/>
    <w:rsid w:val="004D6B3A"/>
    <w:rsid w:val="004D70D3"/>
    <w:rsid w:val="004D7A89"/>
    <w:rsid w:val="004E0E93"/>
    <w:rsid w:val="004E10D3"/>
    <w:rsid w:val="004E1337"/>
    <w:rsid w:val="004E1FF8"/>
    <w:rsid w:val="004E2458"/>
    <w:rsid w:val="004E2D18"/>
    <w:rsid w:val="004E30F4"/>
    <w:rsid w:val="004E32C2"/>
    <w:rsid w:val="004E48AF"/>
    <w:rsid w:val="004E5809"/>
    <w:rsid w:val="004E5953"/>
    <w:rsid w:val="004E5BC0"/>
    <w:rsid w:val="004E6337"/>
    <w:rsid w:val="004E6BE2"/>
    <w:rsid w:val="004E73F6"/>
    <w:rsid w:val="004F1591"/>
    <w:rsid w:val="004F1638"/>
    <w:rsid w:val="004F2509"/>
    <w:rsid w:val="004F377D"/>
    <w:rsid w:val="004F39F2"/>
    <w:rsid w:val="004F3F2D"/>
    <w:rsid w:val="004F4AF0"/>
    <w:rsid w:val="004F5063"/>
    <w:rsid w:val="004F568C"/>
    <w:rsid w:val="004F5D0E"/>
    <w:rsid w:val="004F6C71"/>
    <w:rsid w:val="004F71E6"/>
    <w:rsid w:val="005013D0"/>
    <w:rsid w:val="00501AA7"/>
    <w:rsid w:val="00503E30"/>
    <w:rsid w:val="00504B65"/>
    <w:rsid w:val="00505E8F"/>
    <w:rsid w:val="00506814"/>
    <w:rsid w:val="00506B8C"/>
    <w:rsid w:val="00506C0A"/>
    <w:rsid w:val="00510206"/>
    <w:rsid w:val="005107BB"/>
    <w:rsid w:val="005115BE"/>
    <w:rsid w:val="00511928"/>
    <w:rsid w:val="00512127"/>
    <w:rsid w:val="005121B6"/>
    <w:rsid w:val="00512959"/>
    <w:rsid w:val="00512EBC"/>
    <w:rsid w:val="00513A36"/>
    <w:rsid w:val="00514639"/>
    <w:rsid w:val="0051477C"/>
    <w:rsid w:val="005165F1"/>
    <w:rsid w:val="00520531"/>
    <w:rsid w:val="00520DE7"/>
    <w:rsid w:val="00522223"/>
    <w:rsid w:val="00523560"/>
    <w:rsid w:val="00523EDE"/>
    <w:rsid w:val="005258A7"/>
    <w:rsid w:val="00526133"/>
    <w:rsid w:val="005262CF"/>
    <w:rsid w:val="005263F4"/>
    <w:rsid w:val="0052645C"/>
    <w:rsid w:val="005264FD"/>
    <w:rsid w:val="00526B75"/>
    <w:rsid w:val="00530245"/>
    <w:rsid w:val="0053055C"/>
    <w:rsid w:val="00530642"/>
    <w:rsid w:val="0053095E"/>
    <w:rsid w:val="00531110"/>
    <w:rsid w:val="00532695"/>
    <w:rsid w:val="00532F00"/>
    <w:rsid w:val="0053300B"/>
    <w:rsid w:val="005334A5"/>
    <w:rsid w:val="005336DA"/>
    <w:rsid w:val="00534EF1"/>
    <w:rsid w:val="0053554A"/>
    <w:rsid w:val="005359A3"/>
    <w:rsid w:val="00535A57"/>
    <w:rsid w:val="005364BC"/>
    <w:rsid w:val="00536F1E"/>
    <w:rsid w:val="00537261"/>
    <w:rsid w:val="00537308"/>
    <w:rsid w:val="00537556"/>
    <w:rsid w:val="0053763E"/>
    <w:rsid w:val="00540A68"/>
    <w:rsid w:val="0054144E"/>
    <w:rsid w:val="00541660"/>
    <w:rsid w:val="0054191B"/>
    <w:rsid w:val="00541BFC"/>
    <w:rsid w:val="00541D64"/>
    <w:rsid w:val="00541DAD"/>
    <w:rsid w:val="005431BF"/>
    <w:rsid w:val="005439A6"/>
    <w:rsid w:val="005447F9"/>
    <w:rsid w:val="00544BA2"/>
    <w:rsid w:val="00545017"/>
    <w:rsid w:val="00545C89"/>
    <w:rsid w:val="00546A42"/>
    <w:rsid w:val="005472AC"/>
    <w:rsid w:val="0054744F"/>
    <w:rsid w:val="0055035F"/>
    <w:rsid w:val="00552633"/>
    <w:rsid w:val="00554193"/>
    <w:rsid w:val="00554F79"/>
    <w:rsid w:val="005553DF"/>
    <w:rsid w:val="00556220"/>
    <w:rsid w:val="005564B8"/>
    <w:rsid w:val="00556A05"/>
    <w:rsid w:val="00557210"/>
    <w:rsid w:val="00557663"/>
    <w:rsid w:val="0055790A"/>
    <w:rsid w:val="00557A1C"/>
    <w:rsid w:val="00557EB8"/>
    <w:rsid w:val="0056017F"/>
    <w:rsid w:val="00560A26"/>
    <w:rsid w:val="00560A60"/>
    <w:rsid w:val="00561272"/>
    <w:rsid w:val="00561BFF"/>
    <w:rsid w:val="00563304"/>
    <w:rsid w:val="00563354"/>
    <w:rsid w:val="0056397C"/>
    <w:rsid w:val="00563E4B"/>
    <w:rsid w:val="00564123"/>
    <w:rsid w:val="00564199"/>
    <w:rsid w:val="00565F6C"/>
    <w:rsid w:val="00566D84"/>
    <w:rsid w:val="005670A7"/>
    <w:rsid w:val="00570047"/>
    <w:rsid w:val="00570448"/>
    <w:rsid w:val="00571763"/>
    <w:rsid w:val="00571B07"/>
    <w:rsid w:val="00571C20"/>
    <w:rsid w:val="00571D82"/>
    <w:rsid w:val="00571E65"/>
    <w:rsid w:val="00571F46"/>
    <w:rsid w:val="00572274"/>
    <w:rsid w:val="00572837"/>
    <w:rsid w:val="00573630"/>
    <w:rsid w:val="005750BA"/>
    <w:rsid w:val="0057596E"/>
    <w:rsid w:val="00575F71"/>
    <w:rsid w:val="00576E23"/>
    <w:rsid w:val="00577F85"/>
    <w:rsid w:val="00580DFD"/>
    <w:rsid w:val="00581A14"/>
    <w:rsid w:val="00581EF3"/>
    <w:rsid w:val="005836D3"/>
    <w:rsid w:val="0058392F"/>
    <w:rsid w:val="00583BC3"/>
    <w:rsid w:val="005842FC"/>
    <w:rsid w:val="0058534A"/>
    <w:rsid w:val="00585E9F"/>
    <w:rsid w:val="005867E9"/>
    <w:rsid w:val="00586C2A"/>
    <w:rsid w:val="00587B7D"/>
    <w:rsid w:val="005914A5"/>
    <w:rsid w:val="005914F3"/>
    <w:rsid w:val="00591E75"/>
    <w:rsid w:val="005925D7"/>
    <w:rsid w:val="005938B8"/>
    <w:rsid w:val="00594B0F"/>
    <w:rsid w:val="00594F47"/>
    <w:rsid w:val="00595998"/>
    <w:rsid w:val="005961B0"/>
    <w:rsid w:val="00596BE3"/>
    <w:rsid w:val="00597EE0"/>
    <w:rsid w:val="005A04F4"/>
    <w:rsid w:val="005A062F"/>
    <w:rsid w:val="005A0C92"/>
    <w:rsid w:val="005A0D43"/>
    <w:rsid w:val="005A1961"/>
    <w:rsid w:val="005A20A5"/>
    <w:rsid w:val="005A2502"/>
    <w:rsid w:val="005A3A67"/>
    <w:rsid w:val="005A3AD3"/>
    <w:rsid w:val="005A5409"/>
    <w:rsid w:val="005A6197"/>
    <w:rsid w:val="005A6223"/>
    <w:rsid w:val="005A6631"/>
    <w:rsid w:val="005A677F"/>
    <w:rsid w:val="005A7732"/>
    <w:rsid w:val="005A7973"/>
    <w:rsid w:val="005B0454"/>
    <w:rsid w:val="005B0C99"/>
    <w:rsid w:val="005B0E27"/>
    <w:rsid w:val="005B0E90"/>
    <w:rsid w:val="005B0EF3"/>
    <w:rsid w:val="005B0F6B"/>
    <w:rsid w:val="005B10B5"/>
    <w:rsid w:val="005B1A56"/>
    <w:rsid w:val="005B1C2D"/>
    <w:rsid w:val="005B2F62"/>
    <w:rsid w:val="005B55AD"/>
    <w:rsid w:val="005B5CB0"/>
    <w:rsid w:val="005B710E"/>
    <w:rsid w:val="005B71ED"/>
    <w:rsid w:val="005C0410"/>
    <w:rsid w:val="005C0776"/>
    <w:rsid w:val="005C0BE0"/>
    <w:rsid w:val="005C0F38"/>
    <w:rsid w:val="005C0F65"/>
    <w:rsid w:val="005C2008"/>
    <w:rsid w:val="005C2C9B"/>
    <w:rsid w:val="005C39E4"/>
    <w:rsid w:val="005C4260"/>
    <w:rsid w:val="005C5C73"/>
    <w:rsid w:val="005C5E09"/>
    <w:rsid w:val="005C6915"/>
    <w:rsid w:val="005C7E5D"/>
    <w:rsid w:val="005D02B5"/>
    <w:rsid w:val="005D1976"/>
    <w:rsid w:val="005D1B5D"/>
    <w:rsid w:val="005D2009"/>
    <w:rsid w:val="005D21BA"/>
    <w:rsid w:val="005D2687"/>
    <w:rsid w:val="005D2997"/>
    <w:rsid w:val="005D2A67"/>
    <w:rsid w:val="005D2D5B"/>
    <w:rsid w:val="005D41BD"/>
    <w:rsid w:val="005D4ED1"/>
    <w:rsid w:val="005D7854"/>
    <w:rsid w:val="005E040F"/>
    <w:rsid w:val="005E07FF"/>
    <w:rsid w:val="005E0917"/>
    <w:rsid w:val="005E106D"/>
    <w:rsid w:val="005E1A57"/>
    <w:rsid w:val="005E1D68"/>
    <w:rsid w:val="005E393F"/>
    <w:rsid w:val="005E3D1F"/>
    <w:rsid w:val="005E3DF9"/>
    <w:rsid w:val="005E439E"/>
    <w:rsid w:val="005E4A1A"/>
    <w:rsid w:val="005E4E6E"/>
    <w:rsid w:val="005E511E"/>
    <w:rsid w:val="005E5BBD"/>
    <w:rsid w:val="005F0211"/>
    <w:rsid w:val="005F0702"/>
    <w:rsid w:val="005F0B63"/>
    <w:rsid w:val="005F0B6D"/>
    <w:rsid w:val="005F0C97"/>
    <w:rsid w:val="005F1567"/>
    <w:rsid w:val="005F38C2"/>
    <w:rsid w:val="005F39C0"/>
    <w:rsid w:val="005F407C"/>
    <w:rsid w:val="005F5371"/>
    <w:rsid w:val="005F5D3D"/>
    <w:rsid w:val="005F6391"/>
    <w:rsid w:val="005F6437"/>
    <w:rsid w:val="005F67C7"/>
    <w:rsid w:val="005F6985"/>
    <w:rsid w:val="005F6F24"/>
    <w:rsid w:val="005F7649"/>
    <w:rsid w:val="006002C1"/>
    <w:rsid w:val="00601020"/>
    <w:rsid w:val="0060185D"/>
    <w:rsid w:val="00601A47"/>
    <w:rsid w:val="0060253D"/>
    <w:rsid w:val="006030C3"/>
    <w:rsid w:val="006031C9"/>
    <w:rsid w:val="006038F4"/>
    <w:rsid w:val="00603C62"/>
    <w:rsid w:val="00605813"/>
    <w:rsid w:val="00606A04"/>
    <w:rsid w:val="006107DF"/>
    <w:rsid w:val="00611D8B"/>
    <w:rsid w:val="00613836"/>
    <w:rsid w:val="00613AD4"/>
    <w:rsid w:val="0061401E"/>
    <w:rsid w:val="006151DC"/>
    <w:rsid w:val="00616524"/>
    <w:rsid w:val="006168C5"/>
    <w:rsid w:val="00616904"/>
    <w:rsid w:val="00616F38"/>
    <w:rsid w:val="00617172"/>
    <w:rsid w:val="00617EE9"/>
    <w:rsid w:val="00620453"/>
    <w:rsid w:val="00621C43"/>
    <w:rsid w:val="00621D19"/>
    <w:rsid w:val="0062270F"/>
    <w:rsid w:val="00622FAE"/>
    <w:rsid w:val="00623275"/>
    <w:rsid w:val="00623688"/>
    <w:rsid w:val="00623B54"/>
    <w:rsid w:val="00623D0C"/>
    <w:rsid w:val="00623EA0"/>
    <w:rsid w:val="00624AC0"/>
    <w:rsid w:val="00624CD6"/>
    <w:rsid w:val="006253D5"/>
    <w:rsid w:val="006256EF"/>
    <w:rsid w:val="006266C0"/>
    <w:rsid w:val="006309DD"/>
    <w:rsid w:val="00631DA7"/>
    <w:rsid w:val="006327AA"/>
    <w:rsid w:val="00632FBE"/>
    <w:rsid w:val="00633CA0"/>
    <w:rsid w:val="0063552B"/>
    <w:rsid w:val="00635A0A"/>
    <w:rsid w:val="00635FD9"/>
    <w:rsid w:val="006361CE"/>
    <w:rsid w:val="00636695"/>
    <w:rsid w:val="00637533"/>
    <w:rsid w:val="00637D55"/>
    <w:rsid w:val="006403E1"/>
    <w:rsid w:val="00640D51"/>
    <w:rsid w:val="00640DAF"/>
    <w:rsid w:val="00641818"/>
    <w:rsid w:val="00641AED"/>
    <w:rsid w:val="0064251A"/>
    <w:rsid w:val="006425A4"/>
    <w:rsid w:val="00643937"/>
    <w:rsid w:val="006447E4"/>
    <w:rsid w:val="00644C6C"/>
    <w:rsid w:val="006465A6"/>
    <w:rsid w:val="006465A9"/>
    <w:rsid w:val="006469D8"/>
    <w:rsid w:val="00646C98"/>
    <w:rsid w:val="006477D1"/>
    <w:rsid w:val="00647CE1"/>
    <w:rsid w:val="0065000D"/>
    <w:rsid w:val="00650024"/>
    <w:rsid w:val="00650329"/>
    <w:rsid w:val="00651251"/>
    <w:rsid w:val="00653095"/>
    <w:rsid w:val="00653A7A"/>
    <w:rsid w:val="00653B75"/>
    <w:rsid w:val="00653DDC"/>
    <w:rsid w:val="00654B07"/>
    <w:rsid w:val="00655C08"/>
    <w:rsid w:val="00655CE1"/>
    <w:rsid w:val="00656F6C"/>
    <w:rsid w:val="00657377"/>
    <w:rsid w:val="006575A0"/>
    <w:rsid w:val="00657EF8"/>
    <w:rsid w:val="00660C6E"/>
    <w:rsid w:val="0066262D"/>
    <w:rsid w:val="00663683"/>
    <w:rsid w:val="00663DFF"/>
    <w:rsid w:val="00663E79"/>
    <w:rsid w:val="0066515B"/>
    <w:rsid w:val="006651B3"/>
    <w:rsid w:val="0066555C"/>
    <w:rsid w:val="00665DE6"/>
    <w:rsid w:val="00666624"/>
    <w:rsid w:val="00666B2C"/>
    <w:rsid w:val="00670026"/>
    <w:rsid w:val="00670175"/>
    <w:rsid w:val="00670CD8"/>
    <w:rsid w:val="00671DA8"/>
    <w:rsid w:val="006745A4"/>
    <w:rsid w:val="00674FF5"/>
    <w:rsid w:val="0067513A"/>
    <w:rsid w:val="00675364"/>
    <w:rsid w:val="0067733C"/>
    <w:rsid w:val="00681F4E"/>
    <w:rsid w:val="0068475A"/>
    <w:rsid w:val="00684A41"/>
    <w:rsid w:val="00685109"/>
    <w:rsid w:val="00685FDE"/>
    <w:rsid w:val="006867CF"/>
    <w:rsid w:val="00686852"/>
    <w:rsid w:val="00687EC0"/>
    <w:rsid w:val="00690AC3"/>
    <w:rsid w:val="00691656"/>
    <w:rsid w:val="00692037"/>
    <w:rsid w:val="006924F4"/>
    <w:rsid w:val="006932B7"/>
    <w:rsid w:val="00693790"/>
    <w:rsid w:val="006944BD"/>
    <w:rsid w:val="00695296"/>
    <w:rsid w:val="00695346"/>
    <w:rsid w:val="00696520"/>
    <w:rsid w:val="0069699A"/>
    <w:rsid w:val="00696D22"/>
    <w:rsid w:val="006976B5"/>
    <w:rsid w:val="006A0076"/>
    <w:rsid w:val="006A0BDA"/>
    <w:rsid w:val="006A2771"/>
    <w:rsid w:val="006A3749"/>
    <w:rsid w:val="006A3781"/>
    <w:rsid w:val="006A4B89"/>
    <w:rsid w:val="006A4FDD"/>
    <w:rsid w:val="006A502F"/>
    <w:rsid w:val="006A56C2"/>
    <w:rsid w:val="006A625D"/>
    <w:rsid w:val="006A67FA"/>
    <w:rsid w:val="006A6F9B"/>
    <w:rsid w:val="006B0BD6"/>
    <w:rsid w:val="006B351C"/>
    <w:rsid w:val="006B35BC"/>
    <w:rsid w:val="006B4016"/>
    <w:rsid w:val="006B46A1"/>
    <w:rsid w:val="006B5FFC"/>
    <w:rsid w:val="006B6017"/>
    <w:rsid w:val="006B6B80"/>
    <w:rsid w:val="006C0938"/>
    <w:rsid w:val="006C1A80"/>
    <w:rsid w:val="006C2509"/>
    <w:rsid w:val="006C31F7"/>
    <w:rsid w:val="006C4F01"/>
    <w:rsid w:val="006C73D8"/>
    <w:rsid w:val="006C7BF7"/>
    <w:rsid w:val="006C7D22"/>
    <w:rsid w:val="006D0855"/>
    <w:rsid w:val="006D134D"/>
    <w:rsid w:val="006D1582"/>
    <w:rsid w:val="006D22DD"/>
    <w:rsid w:val="006D22EE"/>
    <w:rsid w:val="006D23FC"/>
    <w:rsid w:val="006D24F1"/>
    <w:rsid w:val="006D282E"/>
    <w:rsid w:val="006D294E"/>
    <w:rsid w:val="006D2AF7"/>
    <w:rsid w:val="006D2D0E"/>
    <w:rsid w:val="006D3728"/>
    <w:rsid w:val="006D431E"/>
    <w:rsid w:val="006D5136"/>
    <w:rsid w:val="006D51C5"/>
    <w:rsid w:val="006D60F7"/>
    <w:rsid w:val="006D70C4"/>
    <w:rsid w:val="006D7281"/>
    <w:rsid w:val="006E1E7C"/>
    <w:rsid w:val="006E22E2"/>
    <w:rsid w:val="006E237E"/>
    <w:rsid w:val="006E2C97"/>
    <w:rsid w:val="006E4950"/>
    <w:rsid w:val="006E4F2E"/>
    <w:rsid w:val="006E5252"/>
    <w:rsid w:val="006E5A46"/>
    <w:rsid w:val="006E658E"/>
    <w:rsid w:val="006E682C"/>
    <w:rsid w:val="006E71EC"/>
    <w:rsid w:val="006E7B23"/>
    <w:rsid w:val="006E7B3A"/>
    <w:rsid w:val="006F0700"/>
    <w:rsid w:val="006F1447"/>
    <w:rsid w:val="006F145D"/>
    <w:rsid w:val="006F14D3"/>
    <w:rsid w:val="006F2130"/>
    <w:rsid w:val="006F2143"/>
    <w:rsid w:val="006F28CF"/>
    <w:rsid w:val="006F29CC"/>
    <w:rsid w:val="006F3575"/>
    <w:rsid w:val="006F4A3A"/>
    <w:rsid w:val="006F5A97"/>
    <w:rsid w:val="006F5AC7"/>
    <w:rsid w:val="006F6092"/>
    <w:rsid w:val="006F7C9D"/>
    <w:rsid w:val="006F7D59"/>
    <w:rsid w:val="00701620"/>
    <w:rsid w:val="00702AF3"/>
    <w:rsid w:val="00702EB6"/>
    <w:rsid w:val="00703F89"/>
    <w:rsid w:val="00704B2E"/>
    <w:rsid w:val="007054D1"/>
    <w:rsid w:val="00705EDF"/>
    <w:rsid w:val="007103E9"/>
    <w:rsid w:val="0071078C"/>
    <w:rsid w:val="00711279"/>
    <w:rsid w:val="00711B83"/>
    <w:rsid w:val="007123E3"/>
    <w:rsid w:val="00712F7B"/>
    <w:rsid w:val="007135ED"/>
    <w:rsid w:val="0071370F"/>
    <w:rsid w:val="007147BF"/>
    <w:rsid w:val="0071498B"/>
    <w:rsid w:val="00714E27"/>
    <w:rsid w:val="007151E8"/>
    <w:rsid w:val="007152DC"/>
    <w:rsid w:val="00715453"/>
    <w:rsid w:val="00715580"/>
    <w:rsid w:val="00716EE8"/>
    <w:rsid w:val="00717FD8"/>
    <w:rsid w:val="00720086"/>
    <w:rsid w:val="00720337"/>
    <w:rsid w:val="007204BE"/>
    <w:rsid w:val="00720FAE"/>
    <w:rsid w:val="00721DC8"/>
    <w:rsid w:val="00722828"/>
    <w:rsid w:val="007230DA"/>
    <w:rsid w:val="00723CDC"/>
    <w:rsid w:val="0072544F"/>
    <w:rsid w:val="007269DE"/>
    <w:rsid w:val="00727233"/>
    <w:rsid w:val="007304D9"/>
    <w:rsid w:val="00730DD9"/>
    <w:rsid w:val="0073170D"/>
    <w:rsid w:val="00732B57"/>
    <w:rsid w:val="00733DBB"/>
    <w:rsid w:val="00733DEE"/>
    <w:rsid w:val="00734FE4"/>
    <w:rsid w:val="00735DE4"/>
    <w:rsid w:val="0073605A"/>
    <w:rsid w:val="00737409"/>
    <w:rsid w:val="0073798F"/>
    <w:rsid w:val="00737FD5"/>
    <w:rsid w:val="00740085"/>
    <w:rsid w:val="00740BAB"/>
    <w:rsid w:val="00740C08"/>
    <w:rsid w:val="007428C5"/>
    <w:rsid w:val="007429DC"/>
    <w:rsid w:val="00742DF6"/>
    <w:rsid w:val="00742FE0"/>
    <w:rsid w:val="0074357F"/>
    <w:rsid w:val="007442A8"/>
    <w:rsid w:val="00745E59"/>
    <w:rsid w:val="00746189"/>
    <w:rsid w:val="0074692C"/>
    <w:rsid w:val="007469C3"/>
    <w:rsid w:val="00746EBB"/>
    <w:rsid w:val="007471DF"/>
    <w:rsid w:val="00747321"/>
    <w:rsid w:val="00750281"/>
    <w:rsid w:val="00750569"/>
    <w:rsid w:val="00750C5F"/>
    <w:rsid w:val="00751388"/>
    <w:rsid w:val="00751469"/>
    <w:rsid w:val="00751B65"/>
    <w:rsid w:val="00751C72"/>
    <w:rsid w:val="0075220C"/>
    <w:rsid w:val="00752440"/>
    <w:rsid w:val="0075256D"/>
    <w:rsid w:val="007525A0"/>
    <w:rsid w:val="00752CCB"/>
    <w:rsid w:val="00753176"/>
    <w:rsid w:val="00753501"/>
    <w:rsid w:val="00753CAB"/>
    <w:rsid w:val="007540C6"/>
    <w:rsid w:val="0075492A"/>
    <w:rsid w:val="00754C59"/>
    <w:rsid w:val="00756303"/>
    <w:rsid w:val="00756329"/>
    <w:rsid w:val="00756C7E"/>
    <w:rsid w:val="00757077"/>
    <w:rsid w:val="00760B48"/>
    <w:rsid w:val="00760CC2"/>
    <w:rsid w:val="00761107"/>
    <w:rsid w:val="007612F8"/>
    <w:rsid w:val="0076143A"/>
    <w:rsid w:val="007627BB"/>
    <w:rsid w:val="00762BAC"/>
    <w:rsid w:val="0076499A"/>
    <w:rsid w:val="00765B6C"/>
    <w:rsid w:val="00765FA4"/>
    <w:rsid w:val="007669DF"/>
    <w:rsid w:val="007672C0"/>
    <w:rsid w:val="0076772C"/>
    <w:rsid w:val="00767AE4"/>
    <w:rsid w:val="00767C95"/>
    <w:rsid w:val="00770774"/>
    <w:rsid w:val="0077274A"/>
    <w:rsid w:val="00773097"/>
    <w:rsid w:val="00773C54"/>
    <w:rsid w:val="00773E98"/>
    <w:rsid w:val="0077538E"/>
    <w:rsid w:val="00775D24"/>
    <w:rsid w:val="00777221"/>
    <w:rsid w:val="00777603"/>
    <w:rsid w:val="00777E08"/>
    <w:rsid w:val="0078147D"/>
    <w:rsid w:val="00781A83"/>
    <w:rsid w:val="00781BA0"/>
    <w:rsid w:val="00782A5E"/>
    <w:rsid w:val="00783937"/>
    <w:rsid w:val="0078459C"/>
    <w:rsid w:val="00784BFB"/>
    <w:rsid w:val="00785247"/>
    <w:rsid w:val="00785D96"/>
    <w:rsid w:val="007864FC"/>
    <w:rsid w:val="007867DC"/>
    <w:rsid w:val="00786A3C"/>
    <w:rsid w:val="00786AE6"/>
    <w:rsid w:val="00787E27"/>
    <w:rsid w:val="0078A9FA"/>
    <w:rsid w:val="007902EF"/>
    <w:rsid w:val="0079056E"/>
    <w:rsid w:val="00791A4A"/>
    <w:rsid w:val="00791E02"/>
    <w:rsid w:val="0079347D"/>
    <w:rsid w:val="007935F2"/>
    <w:rsid w:val="00793974"/>
    <w:rsid w:val="00793CC9"/>
    <w:rsid w:val="007941D6"/>
    <w:rsid w:val="0079450A"/>
    <w:rsid w:val="0079461E"/>
    <w:rsid w:val="00795C40"/>
    <w:rsid w:val="00796284"/>
    <w:rsid w:val="00796C27"/>
    <w:rsid w:val="0079772C"/>
    <w:rsid w:val="00797FF4"/>
    <w:rsid w:val="007A0355"/>
    <w:rsid w:val="007A043C"/>
    <w:rsid w:val="007A10ED"/>
    <w:rsid w:val="007A16C9"/>
    <w:rsid w:val="007A331E"/>
    <w:rsid w:val="007A50DA"/>
    <w:rsid w:val="007A5B16"/>
    <w:rsid w:val="007A6311"/>
    <w:rsid w:val="007A6B41"/>
    <w:rsid w:val="007A6CBA"/>
    <w:rsid w:val="007B054D"/>
    <w:rsid w:val="007B117D"/>
    <w:rsid w:val="007B1257"/>
    <w:rsid w:val="007B133B"/>
    <w:rsid w:val="007B18A8"/>
    <w:rsid w:val="007B29E7"/>
    <w:rsid w:val="007B374D"/>
    <w:rsid w:val="007B3F25"/>
    <w:rsid w:val="007B3F9C"/>
    <w:rsid w:val="007B3FB7"/>
    <w:rsid w:val="007B408C"/>
    <w:rsid w:val="007B4793"/>
    <w:rsid w:val="007B4AB8"/>
    <w:rsid w:val="007B4D32"/>
    <w:rsid w:val="007B5AD9"/>
    <w:rsid w:val="007B5EF8"/>
    <w:rsid w:val="007B7549"/>
    <w:rsid w:val="007B757D"/>
    <w:rsid w:val="007B7A18"/>
    <w:rsid w:val="007C035B"/>
    <w:rsid w:val="007C0A40"/>
    <w:rsid w:val="007C22A0"/>
    <w:rsid w:val="007C3D11"/>
    <w:rsid w:val="007C3E5D"/>
    <w:rsid w:val="007C4B46"/>
    <w:rsid w:val="007C4C89"/>
    <w:rsid w:val="007C5095"/>
    <w:rsid w:val="007C5C4B"/>
    <w:rsid w:val="007C6E5B"/>
    <w:rsid w:val="007D0FC6"/>
    <w:rsid w:val="007D1BA8"/>
    <w:rsid w:val="007D2B46"/>
    <w:rsid w:val="007D2E89"/>
    <w:rsid w:val="007D2FA4"/>
    <w:rsid w:val="007D4225"/>
    <w:rsid w:val="007D4F56"/>
    <w:rsid w:val="007D5203"/>
    <w:rsid w:val="007D55A9"/>
    <w:rsid w:val="007D6EC5"/>
    <w:rsid w:val="007E00FD"/>
    <w:rsid w:val="007E0810"/>
    <w:rsid w:val="007E0A88"/>
    <w:rsid w:val="007E0F9F"/>
    <w:rsid w:val="007E1126"/>
    <w:rsid w:val="007E120E"/>
    <w:rsid w:val="007E14BB"/>
    <w:rsid w:val="007E2036"/>
    <w:rsid w:val="007E3B3B"/>
    <w:rsid w:val="007E5418"/>
    <w:rsid w:val="007E6740"/>
    <w:rsid w:val="007E6E72"/>
    <w:rsid w:val="007E700B"/>
    <w:rsid w:val="007E7E39"/>
    <w:rsid w:val="007E7F43"/>
    <w:rsid w:val="007F0B6B"/>
    <w:rsid w:val="007F335A"/>
    <w:rsid w:val="007F3829"/>
    <w:rsid w:val="007F3CCE"/>
    <w:rsid w:val="007F3D92"/>
    <w:rsid w:val="007F4064"/>
    <w:rsid w:val="007F45FF"/>
    <w:rsid w:val="007F4DD9"/>
    <w:rsid w:val="007F4E85"/>
    <w:rsid w:val="007F5998"/>
    <w:rsid w:val="007F5D34"/>
    <w:rsid w:val="007F6CCC"/>
    <w:rsid w:val="007F6D3D"/>
    <w:rsid w:val="007F6DD8"/>
    <w:rsid w:val="007F7560"/>
    <w:rsid w:val="007F7D8A"/>
    <w:rsid w:val="00800635"/>
    <w:rsid w:val="008008E5"/>
    <w:rsid w:val="00800BD7"/>
    <w:rsid w:val="008012B8"/>
    <w:rsid w:val="008028F0"/>
    <w:rsid w:val="00802FC7"/>
    <w:rsid w:val="00806ACF"/>
    <w:rsid w:val="00806BB8"/>
    <w:rsid w:val="00806D69"/>
    <w:rsid w:val="00806E91"/>
    <w:rsid w:val="008076CA"/>
    <w:rsid w:val="008077F2"/>
    <w:rsid w:val="0080791D"/>
    <w:rsid w:val="00807B84"/>
    <w:rsid w:val="008101FC"/>
    <w:rsid w:val="00810E94"/>
    <w:rsid w:val="00811027"/>
    <w:rsid w:val="00811470"/>
    <w:rsid w:val="00811AA9"/>
    <w:rsid w:val="0081212B"/>
    <w:rsid w:val="00812A64"/>
    <w:rsid w:val="008160B1"/>
    <w:rsid w:val="0081619C"/>
    <w:rsid w:val="00816597"/>
    <w:rsid w:val="00816D3F"/>
    <w:rsid w:val="00816E3E"/>
    <w:rsid w:val="008175C4"/>
    <w:rsid w:val="00820030"/>
    <w:rsid w:val="008201FA"/>
    <w:rsid w:val="0082062A"/>
    <w:rsid w:val="00820F94"/>
    <w:rsid w:val="008220EA"/>
    <w:rsid w:val="00822162"/>
    <w:rsid w:val="00822B2D"/>
    <w:rsid w:val="00823AB8"/>
    <w:rsid w:val="008241B2"/>
    <w:rsid w:val="0082469B"/>
    <w:rsid w:val="00826737"/>
    <w:rsid w:val="00827313"/>
    <w:rsid w:val="00827999"/>
    <w:rsid w:val="00827C91"/>
    <w:rsid w:val="00830304"/>
    <w:rsid w:val="00830B57"/>
    <w:rsid w:val="0083150E"/>
    <w:rsid w:val="00831B8B"/>
    <w:rsid w:val="00831FC2"/>
    <w:rsid w:val="00832712"/>
    <w:rsid w:val="00833133"/>
    <w:rsid w:val="00833459"/>
    <w:rsid w:val="008357FA"/>
    <w:rsid w:val="00835F85"/>
    <w:rsid w:val="008369E8"/>
    <w:rsid w:val="00836F3B"/>
    <w:rsid w:val="00836F9F"/>
    <w:rsid w:val="00837430"/>
    <w:rsid w:val="00840E8C"/>
    <w:rsid w:val="00840FDF"/>
    <w:rsid w:val="008412A3"/>
    <w:rsid w:val="00841758"/>
    <w:rsid w:val="00841C12"/>
    <w:rsid w:val="008421E8"/>
    <w:rsid w:val="0084220F"/>
    <w:rsid w:val="0084299D"/>
    <w:rsid w:val="00842D00"/>
    <w:rsid w:val="00843653"/>
    <w:rsid w:val="00844AB1"/>
    <w:rsid w:val="0084547B"/>
    <w:rsid w:val="0084561A"/>
    <w:rsid w:val="00845D0A"/>
    <w:rsid w:val="00846AF4"/>
    <w:rsid w:val="00847C15"/>
    <w:rsid w:val="00847F4A"/>
    <w:rsid w:val="0085207A"/>
    <w:rsid w:val="0085298B"/>
    <w:rsid w:val="008536FC"/>
    <w:rsid w:val="00854661"/>
    <w:rsid w:val="00854FF3"/>
    <w:rsid w:val="0085575A"/>
    <w:rsid w:val="00855B88"/>
    <w:rsid w:val="008561AE"/>
    <w:rsid w:val="008561B3"/>
    <w:rsid w:val="00856C5A"/>
    <w:rsid w:val="0086058A"/>
    <w:rsid w:val="00860C9E"/>
    <w:rsid w:val="00861CAF"/>
    <w:rsid w:val="008637E9"/>
    <w:rsid w:val="00863CE9"/>
    <w:rsid w:val="00863FC0"/>
    <w:rsid w:val="008640DB"/>
    <w:rsid w:val="00866698"/>
    <w:rsid w:val="008704EA"/>
    <w:rsid w:val="00870BE2"/>
    <w:rsid w:val="00870DDA"/>
    <w:rsid w:val="0087343D"/>
    <w:rsid w:val="00873FF8"/>
    <w:rsid w:val="00874639"/>
    <w:rsid w:val="00874D53"/>
    <w:rsid w:val="00875CC6"/>
    <w:rsid w:val="008760A2"/>
    <w:rsid w:val="0087708E"/>
    <w:rsid w:val="008770AF"/>
    <w:rsid w:val="00880BFE"/>
    <w:rsid w:val="00882253"/>
    <w:rsid w:val="00882341"/>
    <w:rsid w:val="00882845"/>
    <w:rsid w:val="008828F3"/>
    <w:rsid w:val="00884D27"/>
    <w:rsid w:val="0088544A"/>
    <w:rsid w:val="00885C16"/>
    <w:rsid w:val="00885CA8"/>
    <w:rsid w:val="00885D88"/>
    <w:rsid w:val="00886210"/>
    <w:rsid w:val="008865FE"/>
    <w:rsid w:val="0088679B"/>
    <w:rsid w:val="008869BA"/>
    <w:rsid w:val="008902A8"/>
    <w:rsid w:val="008906E0"/>
    <w:rsid w:val="00891450"/>
    <w:rsid w:val="008917CD"/>
    <w:rsid w:val="00891C36"/>
    <w:rsid w:val="00891D0A"/>
    <w:rsid w:val="00891F93"/>
    <w:rsid w:val="0089262B"/>
    <w:rsid w:val="00893578"/>
    <w:rsid w:val="00893BE9"/>
    <w:rsid w:val="00893F4F"/>
    <w:rsid w:val="008942A4"/>
    <w:rsid w:val="00894C0D"/>
    <w:rsid w:val="0089545F"/>
    <w:rsid w:val="008955BA"/>
    <w:rsid w:val="00895CE8"/>
    <w:rsid w:val="008961F5"/>
    <w:rsid w:val="00896980"/>
    <w:rsid w:val="00897554"/>
    <w:rsid w:val="008978FB"/>
    <w:rsid w:val="00897992"/>
    <w:rsid w:val="0089D356"/>
    <w:rsid w:val="008A00AD"/>
    <w:rsid w:val="008A060C"/>
    <w:rsid w:val="008A1532"/>
    <w:rsid w:val="008A1E1D"/>
    <w:rsid w:val="008A2AE5"/>
    <w:rsid w:val="008A2D9F"/>
    <w:rsid w:val="008A32D9"/>
    <w:rsid w:val="008A3969"/>
    <w:rsid w:val="008A3E35"/>
    <w:rsid w:val="008A5740"/>
    <w:rsid w:val="008A62C4"/>
    <w:rsid w:val="008A7382"/>
    <w:rsid w:val="008A7F83"/>
    <w:rsid w:val="008B04B1"/>
    <w:rsid w:val="008B0C3D"/>
    <w:rsid w:val="008B0EC7"/>
    <w:rsid w:val="008B15AE"/>
    <w:rsid w:val="008B3237"/>
    <w:rsid w:val="008B3A16"/>
    <w:rsid w:val="008B4880"/>
    <w:rsid w:val="008B5EC6"/>
    <w:rsid w:val="008B5FCE"/>
    <w:rsid w:val="008B60ED"/>
    <w:rsid w:val="008B654E"/>
    <w:rsid w:val="008B6A5B"/>
    <w:rsid w:val="008C00B8"/>
    <w:rsid w:val="008C014C"/>
    <w:rsid w:val="008C0401"/>
    <w:rsid w:val="008C0ADF"/>
    <w:rsid w:val="008C335F"/>
    <w:rsid w:val="008C3750"/>
    <w:rsid w:val="008C382F"/>
    <w:rsid w:val="008C3D72"/>
    <w:rsid w:val="008C3E20"/>
    <w:rsid w:val="008C4E16"/>
    <w:rsid w:val="008C4FA4"/>
    <w:rsid w:val="008C5435"/>
    <w:rsid w:val="008C7601"/>
    <w:rsid w:val="008D195E"/>
    <w:rsid w:val="008D1E13"/>
    <w:rsid w:val="008D31BE"/>
    <w:rsid w:val="008D340D"/>
    <w:rsid w:val="008D4A5B"/>
    <w:rsid w:val="008D531C"/>
    <w:rsid w:val="008D649C"/>
    <w:rsid w:val="008D72BB"/>
    <w:rsid w:val="008D766E"/>
    <w:rsid w:val="008E03C2"/>
    <w:rsid w:val="008E06F7"/>
    <w:rsid w:val="008E1D0E"/>
    <w:rsid w:val="008E2337"/>
    <w:rsid w:val="008E3833"/>
    <w:rsid w:val="008E5BE4"/>
    <w:rsid w:val="008E5E13"/>
    <w:rsid w:val="008E6AFF"/>
    <w:rsid w:val="008E6B5C"/>
    <w:rsid w:val="008F074C"/>
    <w:rsid w:val="008F2D50"/>
    <w:rsid w:val="008F4E2E"/>
    <w:rsid w:val="008F50B6"/>
    <w:rsid w:val="008F51B6"/>
    <w:rsid w:val="008F589E"/>
    <w:rsid w:val="008F5A7C"/>
    <w:rsid w:val="008F5FA6"/>
    <w:rsid w:val="008F64B9"/>
    <w:rsid w:val="008F7EB6"/>
    <w:rsid w:val="00900E20"/>
    <w:rsid w:val="00901442"/>
    <w:rsid w:val="009019DA"/>
    <w:rsid w:val="00901F60"/>
    <w:rsid w:val="00902FA2"/>
    <w:rsid w:val="009047AA"/>
    <w:rsid w:val="0090576A"/>
    <w:rsid w:val="0090619B"/>
    <w:rsid w:val="00906766"/>
    <w:rsid w:val="00906D6A"/>
    <w:rsid w:val="0090729C"/>
    <w:rsid w:val="009076E5"/>
    <w:rsid w:val="00907956"/>
    <w:rsid w:val="009105A1"/>
    <w:rsid w:val="009105D0"/>
    <w:rsid w:val="00910860"/>
    <w:rsid w:val="00911473"/>
    <w:rsid w:val="009115EC"/>
    <w:rsid w:val="0091328A"/>
    <w:rsid w:val="009139BA"/>
    <w:rsid w:val="00914316"/>
    <w:rsid w:val="00914D15"/>
    <w:rsid w:val="0091585F"/>
    <w:rsid w:val="0091798F"/>
    <w:rsid w:val="009217FD"/>
    <w:rsid w:val="0092182A"/>
    <w:rsid w:val="009224CB"/>
    <w:rsid w:val="009229BA"/>
    <w:rsid w:val="009229C7"/>
    <w:rsid w:val="00922BB5"/>
    <w:rsid w:val="00923278"/>
    <w:rsid w:val="0092389C"/>
    <w:rsid w:val="00923AD6"/>
    <w:rsid w:val="00923D24"/>
    <w:rsid w:val="00924B26"/>
    <w:rsid w:val="00924BA6"/>
    <w:rsid w:val="00924EA1"/>
    <w:rsid w:val="00925691"/>
    <w:rsid w:val="009272A9"/>
    <w:rsid w:val="00927C0E"/>
    <w:rsid w:val="009317E1"/>
    <w:rsid w:val="00932517"/>
    <w:rsid w:val="009327BA"/>
    <w:rsid w:val="00934B85"/>
    <w:rsid w:val="00934D0E"/>
    <w:rsid w:val="00935C62"/>
    <w:rsid w:val="0093639E"/>
    <w:rsid w:val="0093662A"/>
    <w:rsid w:val="009411EA"/>
    <w:rsid w:val="00942548"/>
    <w:rsid w:val="009428F7"/>
    <w:rsid w:val="00943198"/>
    <w:rsid w:val="00943FCD"/>
    <w:rsid w:val="0094420C"/>
    <w:rsid w:val="00945780"/>
    <w:rsid w:val="00945B8B"/>
    <w:rsid w:val="009465AC"/>
    <w:rsid w:val="009468DC"/>
    <w:rsid w:val="00946A63"/>
    <w:rsid w:val="0094751A"/>
    <w:rsid w:val="00947748"/>
    <w:rsid w:val="00947BA5"/>
    <w:rsid w:val="00951379"/>
    <w:rsid w:val="00951416"/>
    <w:rsid w:val="00952E71"/>
    <w:rsid w:val="00953081"/>
    <w:rsid w:val="00953631"/>
    <w:rsid w:val="00953D80"/>
    <w:rsid w:val="00954058"/>
    <w:rsid w:val="00954626"/>
    <w:rsid w:val="00954B63"/>
    <w:rsid w:val="00955173"/>
    <w:rsid w:val="00955545"/>
    <w:rsid w:val="0095657C"/>
    <w:rsid w:val="009566EB"/>
    <w:rsid w:val="009572AC"/>
    <w:rsid w:val="00957762"/>
    <w:rsid w:val="00960438"/>
    <w:rsid w:val="009615A7"/>
    <w:rsid w:val="00961BEC"/>
    <w:rsid w:val="00961E08"/>
    <w:rsid w:val="0096306B"/>
    <w:rsid w:val="00964E3B"/>
    <w:rsid w:val="00965D68"/>
    <w:rsid w:val="009662B6"/>
    <w:rsid w:val="00966983"/>
    <w:rsid w:val="00967247"/>
    <w:rsid w:val="009704DD"/>
    <w:rsid w:val="00970826"/>
    <w:rsid w:val="00970FCC"/>
    <w:rsid w:val="00972294"/>
    <w:rsid w:val="009722CC"/>
    <w:rsid w:val="00972DC4"/>
    <w:rsid w:val="00973120"/>
    <w:rsid w:val="00973494"/>
    <w:rsid w:val="00973A69"/>
    <w:rsid w:val="00973DC1"/>
    <w:rsid w:val="00974541"/>
    <w:rsid w:val="009747E0"/>
    <w:rsid w:val="00974A5F"/>
    <w:rsid w:val="00974FBE"/>
    <w:rsid w:val="00975BA2"/>
    <w:rsid w:val="00975BE7"/>
    <w:rsid w:val="009769C3"/>
    <w:rsid w:val="00976E72"/>
    <w:rsid w:val="00977797"/>
    <w:rsid w:val="009779DF"/>
    <w:rsid w:val="00977D5D"/>
    <w:rsid w:val="00980AC6"/>
    <w:rsid w:val="009810BF"/>
    <w:rsid w:val="00981C32"/>
    <w:rsid w:val="009824E7"/>
    <w:rsid w:val="009846BE"/>
    <w:rsid w:val="009846DD"/>
    <w:rsid w:val="00984B02"/>
    <w:rsid w:val="00984D73"/>
    <w:rsid w:val="00985614"/>
    <w:rsid w:val="0098679F"/>
    <w:rsid w:val="009876C2"/>
    <w:rsid w:val="009879C2"/>
    <w:rsid w:val="0099003A"/>
    <w:rsid w:val="009904B2"/>
    <w:rsid w:val="0099052A"/>
    <w:rsid w:val="0099058C"/>
    <w:rsid w:val="00990C6B"/>
    <w:rsid w:val="00990EC8"/>
    <w:rsid w:val="00993130"/>
    <w:rsid w:val="009931B4"/>
    <w:rsid w:val="009937DF"/>
    <w:rsid w:val="009945B7"/>
    <w:rsid w:val="00994EF3"/>
    <w:rsid w:val="00994F13"/>
    <w:rsid w:val="009A07A4"/>
    <w:rsid w:val="009A1D32"/>
    <w:rsid w:val="009A1F0C"/>
    <w:rsid w:val="009A23A6"/>
    <w:rsid w:val="009A2E98"/>
    <w:rsid w:val="009A4C52"/>
    <w:rsid w:val="009A5F7F"/>
    <w:rsid w:val="009A682F"/>
    <w:rsid w:val="009A6FBA"/>
    <w:rsid w:val="009A7C74"/>
    <w:rsid w:val="009B0510"/>
    <w:rsid w:val="009B0AA9"/>
    <w:rsid w:val="009B0B40"/>
    <w:rsid w:val="009B1C94"/>
    <w:rsid w:val="009B1EE5"/>
    <w:rsid w:val="009B1F38"/>
    <w:rsid w:val="009B333B"/>
    <w:rsid w:val="009B5E72"/>
    <w:rsid w:val="009B6298"/>
    <w:rsid w:val="009B63BD"/>
    <w:rsid w:val="009B6A00"/>
    <w:rsid w:val="009B6C2A"/>
    <w:rsid w:val="009B7308"/>
    <w:rsid w:val="009B7498"/>
    <w:rsid w:val="009C0822"/>
    <w:rsid w:val="009C1827"/>
    <w:rsid w:val="009C20E8"/>
    <w:rsid w:val="009C25EF"/>
    <w:rsid w:val="009C2639"/>
    <w:rsid w:val="009C2C07"/>
    <w:rsid w:val="009C4437"/>
    <w:rsid w:val="009C487F"/>
    <w:rsid w:val="009C4EE5"/>
    <w:rsid w:val="009C554A"/>
    <w:rsid w:val="009C6453"/>
    <w:rsid w:val="009C6C26"/>
    <w:rsid w:val="009C71A0"/>
    <w:rsid w:val="009C7C24"/>
    <w:rsid w:val="009D020B"/>
    <w:rsid w:val="009D0F1C"/>
    <w:rsid w:val="009D21BD"/>
    <w:rsid w:val="009D243C"/>
    <w:rsid w:val="009D2E6C"/>
    <w:rsid w:val="009D3C44"/>
    <w:rsid w:val="009D4D5E"/>
    <w:rsid w:val="009D4EF1"/>
    <w:rsid w:val="009D53DA"/>
    <w:rsid w:val="009D5677"/>
    <w:rsid w:val="009E0CEA"/>
    <w:rsid w:val="009E0D91"/>
    <w:rsid w:val="009E0EFF"/>
    <w:rsid w:val="009E2099"/>
    <w:rsid w:val="009E250D"/>
    <w:rsid w:val="009E2AE0"/>
    <w:rsid w:val="009E2C29"/>
    <w:rsid w:val="009E2F3F"/>
    <w:rsid w:val="009E43BB"/>
    <w:rsid w:val="009E4CA5"/>
    <w:rsid w:val="009E522F"/>
    <w:rsid w:val="009E539E"/>
    <w:rsid w:val="009E6424"/>
    <w:rsid w:val="009E65B6"/>
    <w:rsid w:val="009E6A27"/>
    <w:rsid w:val="009E6B61"/>
    <w:rsid w:val="009F1578"/>
    <w:rsid w:val="009F1C3C"/>
    <w:rsid w:val="009F2103"/>
    <w:rsid w:val="009F222C"/>
    <w:rsid w:val="009F256A"/>
    <w:rsid w:val="009F278F"/>
    <w:rsid w:val="009F3121"/>
    <w:rsid w:val="009F3F58"/>
    <w:rsid w:val="009F4924"/>
    <w:rsid w:val="009F4B35"/>
    <w:rsid w:val="009F5DD2"/>
    <w:rsid w:val="009F5E01"/>
    <w:rsid w:val="009F6355"/>
    <w:rsid w:val="009F63FB"/>
    <w:rsid w:val="009F6456"/>
    <w:rsid w:val="009F6B33"/>
    <w:rsid w:val="009F6BC6"/>
    <w:rsid w:val="009F78BC"/>
    <w:rsid w:val="00A00250"/>
    <w:rsid w:val="00A00958"/>
    <w:rsid w:val="00A009C0"/>
    <w:rsid w:val="00A010C6"/>
    <w:rsid w:val="00A01853"/>
    <w:rsid w:val="00A021D3"/>
    <w:rsid w:val="00A021D7"/>
    <w:rsid w:val="00A0251C"/>
    <w:rsid w:val="00A033C4"/>
    <w:rsid w:val="00A03C73"/>
    <w:rsid w:val="00A03FD7"/>
    <w:rsid w:val="00A04245"/>
    <w:rsid w:val="00A0436E"/>
    <w:rsid w:val="00A0598A"/>
    <w:rsid w:val="00A05D91"/>
    <w:rsid w:val="00A064E4"/>
    <w:rsid w:val="00A066B4"/>
    <w:rsid w:val="00A06964"/>
    <w:rsid w:val="00A074EA"/>
    <w:rsid w:val="00A0771E"/>
    <w:rsid w:val="00A106EB"/>
    <w:rsid w:val="00A107A4"/>
    <w:rsid w:val="00A10FAF"/>
    <w:rsid w:val="00A112B0"/>
    <w:rsid w:val="00A1309B"/>
    <w:rsid w:val="00A13451"/>
    <w:rsid w:val="00A139A5"/>
    <w:rsid w:val="00A1475A"/>
    <w:rsid w:val="00A15807"/>
    <w:rsid w:val="00A15C15"/>
    <w:rsid w:val="00A17150"/>
    <w:rsid w:val="00A20F18"/>
    <w:rsid w:val="00A215FA"/>
    <w:rsid w:val="00A21830"/>
    <w:rsid w:val="00A2189E"/>
    <w:rsid w:val="00A21B7C"/>
    <w:rsid w:val="00A2207A"/>
    <w:rsid w:val="00A22604"/>
    <w:rsid w:val="00A22BBD"/>
    <w:rsid w:val="00A273D6"/>
    <w:rsid w:val="00A278A3"/>
    <w:rsid w:val="00A27E49"/>
    <w:rsid w:val="00A32BB1"/>
    <w:rsid w:val="00A330AB"/>
    <w:rsid w:val="00A33B8F"/>
    <w:rsid w:val="00A34E0C"/>
    <w:rsid w:val="00A37196"/>
    <w:rsid w:val="00A374C5"/>
    <w:rsid w:val="00A40151"/>
    <w:rsid w:val="00A40470"/>
    <w:rsid w:val="00A41190"/>
    <w:rsid w:val="00A41257"/>
    <w:rsid w:val="00A41AED"/>
    <w:rsid w:val="00A4290D"/>
    <w:rsid w:val="00A429B4"/>
    <w:rsid w:val="00A4471E"/>
    <w:rsid w:val="00A44CD8"/>
    <w:rsid w:val="00A45437"/>
    <w:rsid w:val="00A46DCC"/>
    <w:rsid w:val="00A46F5B"/>
    <w:rsid w:val="00A479B4"/>
    <w:rsid w:val="00A50028"/>
    <w:rsid w:val="00A509C4"/>
    <w:rsid w:val="00A51D95"/>
    <w:rsid w:val="00A52587"/>
    <w:rsid w:val="00A53728"/>
    <w:rsid w:val="00A53A1B"/>
    <w:rsid w:val="00A53C6E"/>
    <w:rsid w:val="00A54195"/>
    <w:rsid w:val="00A5755E"/>
    <w:rsid w:val="00A607CB"/>
    <w:rsid w:val="00A61A96"/>
    <w:rsid w:val="00A62595"/>
    <w:rsid w:val="00A63C31"/>
    <w:rsid w:val="00A63DD8"/>
    <w:rsid w:val="00A65498"/>
    <w:rsid w:val="00A65AE5"/>
    <w:rsid w:val="00A669C0"/>
    <w:rsid w:val="00A67F53"/>
    <w:rsid w:val="00A70C36"/>
    <w:rsid w:val="00A726DD"/>
    <w:rsid w:val="00A72B38"/>
    <w:rsid w:val="00A7344E"/>
    <w:rsid w:val="00A73AD0"/>
    <w:rsid w:val="00A748A0"/>
    <w:rsid w:val="00A755C1"/>
    <w:rsid w:val="00A75AD4"/>
    <w:rsid w:val="00A762DB"/>
    <w:rsid w:val="00A76D2B"/>
    <w:rsid w:val="00A76E0B"/>
    <w:rsid w:val="00A76E37"/>
    <w:rsid w:val="00A77890"/>
    <w:rsid w:val="00A77B3C"/>
    <w:rsid w:val="00A77CEC"/>
    <w:rsid w:val="00A81641"/>
    <w:rsid w:val="00A8198D"/>
    <w:rsid w:val="00A81B57"/>
    <w:rsid w:val="00A82C60"/>
    <w:rsid w:val="00A82DC3"/>
    <w:rsid w:val="00A84852"/>
    <w:rsid w:val="00A8547B"/>
    <w:rsid w:val="00A8571E"/>
    <w:rsid w:val="00A86256"/>
    <w:rsid w:val="00A86AE2"/>
    <w:rsid w:val="00A87D4E"/>
    <w:rsid w:val="00A9008E"/>
    <w:rsid w:val="00A903A5"/>
    <w:rsid w:val="00A907E8"/>
    <w:rsid w:val="00A91CC1"/>
    <w:rsid w:val="00A91FF1"/>
    <w:rsid w:val="00A92333"/>
    <w:rsid w:val="00A925A3"/>
    <w:rsid w:val="00A92965"/>
    <w:rsid w:val="00A92FAE"/>
    <w:rsid w:val="00A9414C"/>
    <w:rsid w:val="00A954A5"/>
    <w:rsid w:val="00A958DB"/>
    <w:rsid w:val="00A960F1"/>
    <w:rsid w:val="00A96480"/>
    <w:rsid w:val="00A97985"/>
    <w:rsid w:val="00A97AEE"/>
    <w:rsid w:val="00AA0075"/>
    <w:rsid w:val="00AA05FA"/>
    <w:rsid w:val="00AA078D"/>
    <w:rsid w:val="00AA0E07"/>
    <w:rsid w:val="00AA1275"/>
    <w:rsid w:val="00AA1367"/>
    <w:rsid w:val="00AA16DA"/>
    <w:rsid w:val="00AA1C14"/>
    <w:rsid w:val="00AA2EC5"/>
    <w:rsid w:val="00AA503D"/>
    <w:rsid w:val="00AA5A48"/>
    <w:rsid w:val="00AA60D8"/>
    <w:rsid w:val="00AA6947"/>
    <w:rsid w:val="00AB0CBB"/>
    <w:rsid w:val="00AB109A"/>
    <w:rsid w:val="00AB1A09"/>
    <w:rsid w:val="00AB3860"/>
    <w:rsid w:val="00AB403E"/>
    <w:rsid w:val="00AB4920"/>
    <w:rsid w:val="00AB56A9"/>
    <w:rsid w:val="00AB57C7"/>
    <w:rsid w:val="00AB5B92"/>
    <w:rsid w:val="00AB5C86"/>
    <w:rsid w:val="00AB5CE8"/>
    <w:rsid w:val="00AB6AFE"/>
    <w:rsid w:val="00AB6C05"/>
    <w:rsid w:val="00AB6F8E"/>
    <w:rsid w:val="00AB7382"/>
    <w:rsid w:val="00AB750E"/>
    <w:rsid w:val="00AB7EEC"/>
    <w:rsid w:val="00AC1C88"/>
    <w:rsid w:val="00AC26AD"/>
    <w:rsid w:val="00AC2E01"/>
    <w:rsid w:val="00AC313C"/>
    <w:rsid w:val="00AC42C9"/>
    <w:rsid w:val="00AC44F4"/>
    <w:rsid w:val="00AC5B2D"/>
    <w:rsid w:val="00AC5EEA"/>
    <w:rsid w:val="00AC6677"/>
    <w:rsid w:val="00AC6FCD"/>
    <w:rsid w:val="00AC77C5"/>
    <w:rsid w:val="00AC77F4"/>
    <w:rsid w:val="00AD11DE"/>
    <w:rsid w:val="00AD1246"/>
    <w:rsid w:val="00AD1366"/>
    <w:rsid w:val="00AD18CF"/>
    <w:rsid w:val="00AD19DA"/>
    <w:rsid w:val="00AD316E"/>
    <w:rsid w:val="00AD3819"/>
    <w:rsid w:val="00AD3F44"/>
    <w:rsid w:val="00AD4B5E"/>
    <w:rsid w:val="00AD4C56"/>
    <w:rsid w:val="00AD570C"/>
    <w:rsid w:val="00AD66FE"/>
    <w:rsid w:val="00AD6F42"/>
    <w:rsid w:val="00AD72B7"/>
    <w:rsid w:val="00AD793C"/>
    <w:rsid w:val="00AD7F9C"/>
    <w:rsid w:val="00AE15F7"/>
    <w:rsid w:val="00AE1C07"/>
    <w:rsid w:val="00AE1CCF"/>
    <w:rsid w:val="00AE2B9E"/>
    <w:rsid w:val="00AE3526"/>
    <w:rsid w:val="00AE4250"/>
    <w:rsid w:val="00AE4312"/>
    <w:rsid w:val="00AE4D9E"/>
    <w:rsid w:val="00AE696A"/>
    <w:rsid w:val="00AE6F24"/>
    <w:rsid w:val="00AE7DC0"/>
    <w:rsid w:val="00AF1524"/>
    <w:rsid w:val="00AF441D"/>
    <w:rsid w:val="00AF4C20"/>
    <w:rsid w:val="00AF50AD"/>
    <w:rsid w:val="00AF5108"/>
    <w:rsid w:val="00AF578E"/>
    <w:rsid w:val="00AF5D78"/>
    <w:rsid w:val="00AF6513"/>
    <w:rsid w:val="00AF7386"/>
    <w:rsid w:val="00AF78C2"/>
    <w:rsid w:val="00AF79CF"/>
    <w:rsid w:val="00B00D1C"/>
    <w:rsid w:val="00B026F8"/>
    <w:rsid w:val="00B02C00"/>
    <w:rsid w:val="00B04166"/>
    <w:rsid w:val="00B0606C"/>
    <w:rsid w:val="00B06AF2"/>
    <w:rsid w:val="00B107D8"/>
    <w:rsid w:val="00B10DBF"/>
    <w:rsid w:val="00B116DF"/>
    <w:rsid w:val="00B12C8C"/>
    <w:rsid w:val="00B13103"/>
    <w:rsid w:val="00B13DB4"/>
    <w:rsid w:val="00B14414"/>
    <w:rsid w:val="00B14BE2"/>
    <w:rsid w:val="00B14F2A"/>
    <w:rsid w:val="00B15624"/>
    <w:rsid w:val="00B1637B"/>
    <w:rsid w:val="00B165E5"/>
    <w:rsid w:val="00B16F32"/>
    <w:rsid w:val="00B2067A"/>
    <w:rsid w:val="00B2165D"/>
    <w:rsid w:val="00B229E4"/>
    <w:rsid w:val="00B22B86"/>
    <w:rsid w:val="00B23017"/>
    <w:rsid w:val="00B23888"/>
    <w:rsid w:val="00B23F85"/>
    <w:rsid w:val="00B24946"/>
    <w:rsid w:val="00B2508D"/>
    <w:rsid w:val="00B2552D"/>
    <w:rsid w:val="00B25C5C"/>
    <w:rsid w:val="00B25D40"/>
    <w:rsid w:val="00B26447"/>
    <w:rsid w:val="00B26534"/>
    <w:rsid w:val="00B26539"/>
    <w:rsid w:val="00B2680B"/>
    <w:rsid w:val="00B269C5"/>
    <w:rsid w:val="00B27F72"/>
    <w:rsid w:val="00B31571"/>
    <w:rsid w:val="00B32287"/>
    <w:rsid w:val="00B340CF"/>
    <w:rsid w:val="00B3422F"/>
    <w:rsid w:val="00B353D0"/>
    <w:rsid w:val="00B35870"/>
    <w:rsid w:val="00B366DD"/>
    <w:rsid w:val="00B36FA3"/>
    <w:rsid w:val="00B379F1"/>
    <w:rsid w:val="00B4033E"/>
    <w:rsid w:val="00B40531"/>
    <w:rsid w:val="00B414CF"/>
    <w:rsid w:val="00B42A3F"/>
    <w:rsid w:val="00B4397F"/>
    <w:rsid w:val="00B43C55"/>
    <w:rsid w:val="00B44D07"/>
    <w:rsid w:val="00B46D50"/>
    <w:rsid w:val="00B474D8"/>
    <w:rsid w:val="00B4790B"/>
    <w:rsid w:val="00B500F2"/>
    <w:rsid w:val="00B51B4B"/>
    <w:rsid w:val="00B52589"/>
    <w:rsid w:val="00B52D14"/>
    <w:rsid w:val="00B55E1E"/>
    <w:rsid w:val="00B560CC"/>
    <w:rsid w:val="00B56153"/>
    <w:rsid w:val="00B56654"/>
    <w:rsid w:val="00B56951"/>
    <w:rsid w:val="00B60140"/>
    <w:rsid w:val="00B603A2"/>
    <w:rsid w:val="00B611F2"/>
    <w:rsid w:val="00B62325"/>
    <w:rsid w:val="00B63015"/>
    <w:rsid w:val="00B66551"/>
    <w:rsid w:val="00B666E5"/>
    <w:rsid w:val="00B66EAB"/>
    <w:rsid w:val="00B67449"/>
    <w:rsid w:val="00B6755D"/>
    <w:rsid w:val="00B708F4"/>
    <w:rsid w:val="00B71990"/>
    <w:rsid w:val="00B71EB9"/>
    <w:rsid w:val="00B723A4"/>
    <w:rsid w:val="00B72B03"/>
    <w:rsid w:val="00B7455C"/>
    <w:rsid w:val="00B74AF2"/>
    <w:rsid w:val="00B75299"/>
    <w:rsid w:val="00B75773"/>
    <w:rsid w:val="00B7649E"/>
    <w:rsid w:val="00B76992"/>
    <w:rsid w:val="00B76AC3"/>
    <w:rsid w:val="00B76EF8"/>
    <w:rsid w:val="00B77FB1"/>
    <w:rsid w:val="00B806E2"/>
    <w:rsid w:val="00B80A9C"/>
    <w:rsid w:val="00B8197E"/>
    <w:rsid w:val="00B81D62"/>
    <w:rsid w:val="00B81E8D"/>
    <w:rsid w:val="00B82937"/>
    <w:rsid w:val="00B84694"/>
    <w:rsid w:val="00B84701"/>
    <w:rsid w:val="00B8489C"/>
    <w:rsid w:val="00B85E02"/>
    <w:rsid w:val="00B85F70"/>
    <w:rsid w:val="00B86410"/>
    <w:rsid w:val="00B90113"/>
    <w:rsid w:val="00B90303"/>
    <w:rsid w:val="00B90BAA"/>
    <w:rsid w:val="00B90EB0"/>
    <w:rsid w:val="00B92103"/>
    <w:rsid w:val="00B940CB"/>
    <w:rsid w:val="00B9456E"/>
    <w:rsid w:val="00B94D9A"/>
    <w:rsid w:val="00B95E1C"/>
    <w:rsid w:val="00B963F2"/>
    <w:rsid w:val="00B96944"/>
    <w:rsid w:val="00B97C91"/>
    <w:rsid w:val="00BA000B"/>
    <w:rsid w:val="00BA086E"/>
    <w:rsid w:val="00BA0E57"/>
    <w:rsid w:val="00BA0E8A"/>
    <w:rsid w:val="00BA0EE4"/>
    <w:rsid w:val="00BA155D"/>
    <w:rsid w:val="00BA1D75"/>
    <w:rsid w:val="00BA20E9"/>
    <w:rsid w:val="00BA24DC"/>
    <w:rsid w:val="00BA4171"/>
    <w:rsid w:val="00BA4BE0"/>
    <w:rsid w:val="00BA5223"/>
    <w:rsid w:val="00BA5316"/>
    <w:rsid w:val="00BA54C8"/>
    <w:rsid w:val="00BA5990"/>
    <w:rsid w:val="00BA59CC"/>
    <w:rsid w:val="00BA5F3D"/>
    <w:rsid w:val="00BA6A45"/>
    <w:rsid w:val="00BA7970"/>
    <w:rsid w:val="00BA7B08"/>
    <w:rsid w:val="00BA7FAF"/>
    <w:rsid w:val="00BB1273"/>
    <w:rsid w:val="00BB37F9"/>
    <w:rsid w:val="00BB3C28"/>
    <w:rsid w:val="00BB4274"/>
    <w:rsid w:val="00BB44C0"/>
    <w:rsid w:val="00BB46D4"/>
    <w:rsid w:val="00BB4ECD"/>
    <w:rsid w:val="00BB54A0"/>
    <w:rsid w:val="00BB5DC9"/>
    <w:rsid w:val="00BB621D"/>
    <w:rsid w:val="00BB628F"/>
    <w:rsid w:val="00BB69B6"/>
    <w:rsid w:val="00BB6DEB"/>
    <w:rsid w:val="00BB7519"/>
    <w:rsid w:val="00BC065B"/>
    <w:rsid w:val="00BC0DCA"/>
    <w:rsid w:val="00BC10D4"/>
    <w:rsid w:val="00BC1A94"/>
    <w:rsid w:val="00BC4DB5"/>
    <w:rsid w:val="00BC4FE4"/>
    <w:rsid w:val="00BC51E5"/>
    <w:rsid w:val="00BC527E"/>
    <w:rsid w:val="00BC624C"/>
    <w:rsid w:val="00BC62B0"/>
    <w:rsid w:val="00BC731E"/>
    <w:rsid w:val="00BD3147"/>
    <w:rsid w:val="00BD4614"/>
    <w:rsid w:val="00BD56DC"/>
    <w:rsid w:val="00BD73D5"/>
    <w:rsid w:val="00BD7595"/>
    <w:rsid w:val="00BD7B3A"/>
    <w:rsid w:val="00BD7FDE"/>
    <w:rsid w:val="00BE05BA"/>
    <w:rsid w:val="00BE099B"/>
    <w:rsid w:val="00BE0DF9"/>
    <w:rsid w:val="00BE2BAD"/>
    <w:rsid w:val="00BE302E"/>
    <w:rsid w:val="00BE442E"/>
    <w:rsid w:val="00BE47C8"/>
    <w:rsid w:val="00BE48FB"/>
    <w:rsid w:val="00BE6DC9"/>
    <w:rsid w:val="00BE7382"/>
    <w:rsid w:val="00BE77D6"/>
    <w:rsid w:val="00BE7BFD"/>
    <w:rsid w:val="00BE7D49"/>
    <w:rsid w:val="00BF0259"/>
    <w:rsid w:val="00BF051C"/>
    <w:rsid w:val="00BF0E13"/>
    <w:rsid w:val="00BF0E27"/>
    <w:rsid w:val="00BF1249"/>
    <w:rsid w:val="00BF22FB"/>
    <w:rsid w:val="00BF2642"/>
    <w:rsid w:val="00BF2DBB"/>
    <w:rsid w:val="00BF5625"/>
    <w:rsid w:val="00BF6C08"/>
    <w:rsid w:val="00BF6D58"/>
    <w:rsid w:val="00BF6F3E"/>
    <w:rsid w:val="00C000C0"/>
    <w:rsid w:val="00C01188"/>
    <w:rsid w:val="00C01495"/>
    <w:rsid w:val="00C038A4"/>
    <w:rsid w:val="00C03E39"/>
    <w:rsid w:val="00C04581"/>
    <w:rsid w:val="00C0470E"/>
    <w:rsid w:val="00C04E65"/>
    <w:rsid w:val="00C053E0"/>
    <w:rsid w:val="00C05537"/>
    <w:rsid w:val="00C05587"/>
    <w:rsid w:val="00C05F60"/>
    <w:rsid w:val="00C06DB3"/>
    <w:rsid w:val="00C10A17"/>
    <w:rsid w:val="00C10C48"/>
    <w:rsid w:val="00C10DD8"/>
    <w:rsid w:val="00C1137E"/>
    <w:rsid w:val="00C11AE1"/>
    <w:rsid w:val="00C122F9"/>
    <w:rsid w:val="00C12322"/>
    <w:rsid w:val="00C136F6"/>
    <w:rsid w:val="00C13F93"/>
    <w:rsid w:val="00C144A6"/>
    <w:rsid w:val="00C146A2"/>
    <w:rsid w:val="00C14B95"/>
    <w:rsid w:val="00C14E14"/>
    <w:rsid w:val="00C14F61"/>
    <w:rsid w:val="00C15555"/>
    <w:rsid w:val="00C17414"/>
    <w:rsid w:val="00C174BE"/>
    <w:rsid w:val="00C1775D"/>
    <w:rsid w:val="00C17FD5"/>
    <w:rsid w:val="00C20A9E"/>
    <w:rsid w:val="00C21321"/>
    <w:rsid w:val="00C21BE9"/>
    <w:rsid w:val="00C23A7C"/>
    <w:rsid w:val="00C23BE6"/>
    <w:rsid w:val="00C23C84"/>
    <w:rsid w:val="00C242E3"/>
    <w:rsid w:val="00C24661"/>
    <w:rsid w:val="00C24D76"/>
    <w:rsid w:val="00C25EBB"/>
    <w:rsid w:val="00C2684F"/>
    <w:rsid w:val="00C26DF8"/>
    <w:rsid w:val="00C278E1"/>
    <w:rsid w:val="00C301B9"/>
    <w:rsid w:val="00C31066"/>
    <w:rsid w:val="00C3165E"/>
    <w:rsid w:val="00C32C5C"/>
    <w:rsid w:val="00C33493"/>
    <w:rsid w:val="00C34333"/>
    <w:rsid w:val="00C34F56"/>
    <w:rsid w:val="00C37418"/>
    <w:rsid w:val="00C40C5C"/>
    <w:rsid w:val="00C41264"/>
    <w:rsid w:val="00C41336"/>
    <w:rsid w:val="00C4149B"/>
    <w:rsid w:val="00C41E15"/>
    <w:rsid w:val="00C42166"/>
    <w:rsid w:val="00C43165"/>
    <w:rsid w:val="00C43C76"/>
    <w:rsid w:val="00C43D26"/>
    <w:rsid w:val="00C44A50"/>
    <w:rsid w:val="00C44E23"/>
    <w:rsid w:val="00C45C91"/>
    <w:rsid w:val="00C45D47"/>
    <w:rsid w:val="00C505C5"/>
    <w:rsid w:val="00C50D1C"/>
    <w:rsid w:val="00C52FF4"/>
    <w:rsid w:val="00C53411"/>
    <w:rsid w:val="00C53916"/>
    <w:rsid w:val="00C53949"/>
    <w:rsid w:val="00C5488E"/>
    <w:rsid w:val="00C548FA"/>
    <w:rsid w:val="00C549DE"/>
    <w:rsid w:val="00C54B79"/>
    <w:rsid w:val="00C555D6"/>
    <w:rsid w:val="00C55987"/>
    <w:rsid w:val="00C55EA6"/>
    <w:rsid w:val="00C55F6A"/>
    <w:rsid w:val="00C561A0"/>
    <w:rsid w:val="00C56CE4"/>
    <w:rsid w:val="00C579ED"/>
    <w:rsid w:val="00C60341"/>
    <w:rsid w:val="00C604E1"/>
    <w:rsid w:val="00C60BF9"/>
    <w:rsid w:val="00C6120B"/>
    <w:rsid w:val="00C61AF8"/>
    <w:rsid w:val="00C62F7F"/>
    <w:rsid w:val="00C63C38"/>
    <w:rsid w:val="00C65502"/>
    <w:rsid w:val="00C664B7"/>
    <w:rsid w:val="00C66865"/>
    <w:rsid w:val="00C66B3B"/>
    <w:rsid w:val="00C67090"/>
    <w:rsid w:val="00C67512"/>
    <w:rsid w:val="00C7185B"/>
    <w:rsid w:val="00C71AA0"/>
    <w:rsid w:val="00C71B27"/>
    <w:rsid w:val="00C72421"/>
    <w:rsid w:val="00C7359C"/>
    <w:rsid w:val="00C73AB6"/>
    <w:rsid w:val="00C73C34"/>
    <w:rsid w:val="00C747B1"/>
    <w:rsid w:val="00C751DC"/>
    <w:rsid w:val="00C75D67"/>
    <w:rsid w:val="00C75F0C"/>
    <w:rsid w:val="00C76A70"/>
    <w:rsid w:val="00C77702"/>
    <w:rsid w:val="00C80BB9"/>
    <w:rsid w:val="00C81739"/>
    <w:rsid w:val="00C819A5"/>
    <w:rsid w:val="00C827D4"/>
    <w:rsid w:val="00C855A9"/>
    <w:rsid w:val="00C85643"/>
    <w:rsid w:val="00C864C7"/>
    <w:rsid w:val="00C87049"/>
    <w:rsid w:val="00C87704"/>
    <w:rsid w:val="00C877A7"/>
    <w:rsid w:val="00C905A7"/>
    <w:rsid w:val="00C92C10"/>
    <w:rsid w:val="00C95833"/>
    <w:rsid w:val="00C959EB"/>
    <w:rsid w:val="00C976CB"/>
    <w:rsid w:val="00C97D79"/>
    <w:rsid w:val="00C97EBC"/>
    <w:rsid w:val="00CA078B"/>
    <w:rsid w:val="00CA22CD"/>
    <w:rsid w:val="00CA2647"/>
    <w:rsid w:val="00CA2AC1"/>
    <w:rsid w:val="00CA3C7F"/>
    <w:rsid w:val="00CA4024"/>
    <w:rsid w:val="00CA40E4"/>
    <w:rsid w:val="00CA4A3A"/>
    <w:rsid w:val="00CA50D4"/>
    <w:rsid w:val="00CA578B"/>
    <w:rsid w:val="00CA6227"/>
    <w:rsid w:val="00CA630A"/>
    <w:rsid w:val="00CA64FC"/>
    <w:rsid w:val="00CA6910"/>
    <w:rsid w:val="00CA6AB1"/>
    <w:rsid w:val="00CA7909"/>
    <w:rsid w:val="00CB0BCB"/>
    <w:rsid w:val="00CB0E8D"/>
    <w:rsid w:val="00CB1063"/>
    <w:rsid w:val="00CB3ACF"/>
    <w:rsid w:val="00CB4996"/>
    <w:rsid w:val="00CB6DF2"/>
    <w:rsid w:val="00CB6EDB"/>
    <w:rsid w:val="00CB7CA2"/>
    <w:rsid w:val="00CC01A5"/>
    <w:rsid w:val="00CC0798"/>
    <w:rsid w:val="00CC3B03"/>
    <w:rsid w:val="00CC4CA6"/>
    <w:rsid w:val="00CC53B7"/>
    <w:rsid w:val="00CC6D10"/>
    <w:rsid w:val="00CC72BD"/>
    <w:rsid w:val="00CC75FC"/>
    <w:rsid w:val="00CD0934"/>
    <w:rsid w:val="00CD3A66"/>
    <w:rsid w:val="00CD3C4A"/>
    <w:rsid w:val="00CD3F4A"/>
    <w:rsid w:val="00CD400C"/>
    <w:rsid w:val="00CD5A0E"/>
    <w:rsid w:val="00CD7A5C"/>
    <w:rsid w:val="00CD7D45"/>
    <w:rsid w:val="00CE0767"/>
    <w:rsid w:val="00CE0CCC"/>
    <w:rsid w:val="00CE0FCF"/>
    <w:rsid w:val="00CE27DD"/>
    <w:rsid w:val="00CE29AB"/>
    <w:rsid w:val="00CE2F01"/>
    <w:rsid w:val="00CE305F"/>
    <w:rsid w:val="00CE3245"/>
    <w:rsid w:val="00CE5191"/>
    <w:rsid w:val="00CE54DE"/>
    <w:rsid w:val="00CE5F41"/>
    <w:rsid w:val="00CE6E3F"/>
    <w:rsid w:val="00CF0443"/>
    <w:rsid w:val="00CF0C0F"/>
    <w:rsid w:val="00CF1980"/>
    <w:rsid w:val="00CF19E5"/>
    <w:rsid w:val="00CF254B"/>
    <w:rsid w:val="00CF2639"/>
    <w:rsid w:val="00CF3141"/>
    <w:rsid w:val="00CF3157"/>
    <w:rsid w:val="00CF326F"/>
    <w:rsid w:val="00CF3B7D"/>
    <w:rsid w:val="00CF4FF8"/>
    <w:rsid w:val="00CF5818"/>
    <w:rsid w:val="00CF5B26"/>
    <w:rsid w:val="00CF5DA1"/>
    <w:rsid w:val="00CF69B6"/>
    <w:rsid w:val="00CF6AD2"/>
    <w:rsid w:val="00CF6FCA"/>
    <w:rsid w:val="00CF7516"/>
    <w:rsid w:val="00D00F98"/>
    <w:rsid w:val="00D01458"/>
    <w:rsid w:val="00D01B52"/>
    <w:rsid w:val="00D029F3"/>
    <w:rsid w:val="00D02A59"/>
    <w:rsid w:val="00D046FE"/>
    <w:rsid w:val="00D04841"/>
    <w:rsid w:val="00D04CC6"/>
    <w:rsid w:val="00D0569A"/>
    <w:rsid w:val="00D068CB"/>
    <w:rsid w:val="00D06CA2"/>
    <w:rsid w:val="00D077AB"/>
    <w:rsid w:val="00D07ECD"/>
    <w:rsid w:val="00D10305"/>
    <w:rsid w:val="00D113BF"/>
    <w:rsid w:val="00D11438"/>
    <w:rsid w:val="00D124D1"/>
    <w:rsid w:val="00D12BC2"/>
    <w:rsid w:val="00D12CB1"/>
    <w:rsid w:val="00D153F5"/>
    <w:rsid w:val="00D15C7F"/>
    <w:rsid w:val="00D15CE0"/>
    <w:rsid w:val="00D16519"/>
    <w:rsid w:val="00D167EA"/>
    <w:rsid w:val="00D17111"/>
    <w:rsid w:val="00D20A77"/>
    <w:rsid w:val="00D23527"/>
    <w:rsid w:val="00D249CF"/>
    <w:rsid w:val="00D25B95"/>
    <w:rsid w:val="00D2651F"/>
    <w:rsid w:val="00D27977"/>
    <w:rsid w:val="00D310C3"/>
    <w:rsid w:val="00D31491"/>
    <w:rsid w:val="00D317A9"/>
    <w:rsid w:val="00D3189B"/>
    <w:rsid w:val="00D31D4B"/>
    <w:rsid w:val="00D321DC"/>
    <w:rsid w:val="00D338B6"/>
    <w:rsid w:val="00D33D05"/>
    <w:rsid w:val="00D340AB"/>
    <w:rsid w:val="00D34696"/>
    <w:rsid w:val="00D35C84"/>
    <w:rsid w:val="00D36154"/>
    <w:rsid w:val="00D3651E"/>
    <w:rsid w:val="00D36B4E"/>
    <w:rsid w:val="00D370B8"/>
    <w:rsid w:val="00D37CA7"/>
    <w:rsid w:val="00D417FE"/>
    <w:rsid w:val="00D42EB5"/>
    <w:rsid w:val="00D437F0"/>
    <w:rsid w:val="00D43A42"/>
    <w:rsid w:val="00D43B21"/>
    <w:rsid w:val="00D456D7"/>
    <w:rsid w:val="00D461D9"/>
    <w:rsid w:val="00D467DF"/>
    <w:rsid w:val="00D46E4D"/>
    <w:rsid w:val="00D47078"/>
    <w:rsid w:val="00D478CE"/>
    <w:rsid w:val="00D47A6E"/>
    <w:rsid w:val="00D5045F"/>
    <w:rsid w:val="00D5085D"/>
    <w:rsid w:val="00D50DF8"/>
    <w:rsid w:val="00D51EB6"/>
    <w:rsid w:val="00D5380A"/>
    <w:rsid w:val="00D54B6E"/>
    <w:rsid w:val="00D55866"/>
    <w:rsid w:val="00D5601E"/>
    <w:rsid w:val="00D57331"/>
    <w:rsid w:val="00D60499"/>
    <w:rsid w:val="00D621FF"/>
    <w:rsid w:val="00D62F00"/>
    <w:rsid w:val="00D6425B"/>
    <w:rsid w:val="00D642F2"/>
    <w:rsid w:val="00D64D17"/>
    <w:rsid w:val="00D652A8"/>
    <w:rsid w:val="00D654C7"/>
    <w:rsid w:val="00D66381"/>
    <w:rsid w:val="00D66751"/>
    <w:rsid w:val="00D67D90"/>
    <w:rsid w:val="00D702F3"/>
    <w:rsid w:val="00D70382"/>
    <w:rsid w:val="00D70F89"/>
    <w:rsid w:val="00D71E4F"/>
    <w:rsid w:val="00D72D33"/>
    <w:rsid w:val="00D73599"/>
    <w:rsid w:val="00D748C9"/>
    <w:rsid w:val="00D74BEE"/>
    <w:rsid w:val="00D7586C"/>
    <w:rsid w:val="00D76775"/>
    <w:rsid w:val="00D76990"/>
    <w:rsid w:val="00D771B5"/>
    <w:rsid w:val="00D77668"/>
    <w:rsid w:val="00D77720"/>
    <w:rsid w:val="00D813C6"/>
    <w:rsid w:val="00D828E3"/>
    <w:rsid w:val="00D82D2F"/>
    <w:rsid w:val="00D831B3"/>
    <w:rsid w:val="00D85545"/>
    <w:rsid w:val="00D85F27"/>
    <w:rsid w:val="00D866E0"/>
    <w:rsid w:val="00D8708A"/>
    <w:rsid w:val="00D87253"/>
    <w:rsid w:val="00D8749A"/>
    <w:rsid w:val="00D91D96"/>
    <w:rsid w:val="00D933B3"/>
    <w:rsid w:val="00D93F4D"/>
    <w:rsid w:val="00D9444A"/>
    <w:rsid w:val="00D94B85"/>
    <w:rsid w:val="00D95A37"/>
    <w:rsid w:val="00D95E0F"/>
    <w:rsid w:val="00D976E5"/>
    <w:rsid w:val="00D97E07"/>
    <w:rsid w:val="00DA02E7"/>
    <w:rsid w:val="00DA0860"/>
    <w:rsid w:val="00DA1E96"/>
    <w:rsid w:val="00DA278A"/>
    <w:rsid w:val="00DA2F3E"/>
    <w:rsid w:val="00DA3B78"/>
    <w:rsid w:val="00DA4192"/>
    <w:rsid w:val="00DA4A66"/>
    <w:rsid w:val="00DA4A97"/>
    <w:rsid w:val="00DA60AE"/>
    <w:rsid w:val="00DA7931"/>
    <w:rsid w:val="00DA7949"/>
    <w:rsid w:val="00DA79F4"/>
    <w:rsid w:val="00DB0150"/>
    <w:rsid w:val="00DB056D"/>
    <w:rsid w:val="00DB0F79"/>
    <w:rsid w:val="00DB13E9"/>
    <w:rsid w:val="00DB171C"/>
    <w:rsid w:val="00DB175C"/>
    <w:rsid w:val="00DB2148"/>
    <w:rsid w:val="00DB31AE"/>
    <w:rsid w:val="00DB349D"/>
    <w:rsid w:val="00DB4236"/>
    <w:rsid w:val="00DB4BBF"/>
    <w:rsid w:val="00DB5693"/>
    <w:rsid w:val="00DB5705"/>
    <w:rsid w:val="00DB57AB"/>
    <w:rsid w:val="00DB5858"/>
    <w:rsid w:val="00DB62A1"/>
    <w:rsid w:val="00DB65BC"/>
    <w:rsid w:val="00DB66D1"/>
    <w:rsid w:val="00DB737B"/>
    <w:rsid w:val="00DB77F7"/>
    <w:rsid w:val="00DB7901"/>
    <w:rsid w:val="00DB7FAB"/>
    <w:rsid w:val="00DB9F5A"/>
    <w:rsid w:val="00DC0610"/>
    <w:rsid w:val="00DC0AC4"/>
    <w:rsid w:val="00DC2372"/>
    <w:rsid w:val="00DC3212"/>
    <w:rsid w:val="00DC3C8C"/>
    <w:rsid w:val="00DC3DEB"/>
    <w:rsid w:val="00DC477B"/>
    <w:rsid w:val="00DC480D"/>
    <w:rsid w:val="00DC51C9"/>
    <w:rsid w:val="00DC5765"/>
    <w:rsid w:val="00DC6541"/>
    <w:rsid w:val="00DC6705"/>
    <w:rsid w:val="00DC75A9"/>
    <w:rsid w:val="00DC79B3"/>
    <w:rsid w:val="00DC7ECF"/>
    <w:rsid w:val="00DD036A"/>
    <w:rsid w:val="00DD0D42"/>
    <w:rsid w:val="00DD1350"/>
    <w:rsid w:val="00DD1A8B"/>
    <w:rsid w:val="00DD38D4"/>
    <w:rsid w:val="00DD5B4A"/>
    <w:rsid w:val="00DD611A"/>
    <w:rsid w:val="00DE0693"/>
    <w:rsid w:val="00DE0C51"/>
    <w:rsid w:val="00DE1602"/>
    <w:rsid w:val="00DE19D3"/>
    <w:rsid w:val="00DE1A36"/>
    <w:rsid w:val="00DE22F8"/>
    <w:rsid w:val="00DE71C5"/>
    <w:rsid w:val="00DE777A"/>
    <w:rsid w:val="00DE77E1"/>
    <w:rsid w:val="00DE7A22"/>
    <w:rsid w:val="00DF10B6"/>
    <w:rsid w:val="00DF214B"/>
    <w:rsid w:val="00DF3146"/>
    <w:rsid w:val="00DF49DE"/>
    <w:rsid w:val="00DF52C9"/>
    <w:rsid w:val="00DF5327"/>
    <w:rsid w:val="00DF681C"/>
    <w:rsid w:val="00DF70ED"/>
    <w:rsid w:val="00E0090F"/>
    <w:rsid w:val="00E0412B"/>
    <w:rsid w:val="00E05158"/>
    <w:rsid w:val="00E05969"/>
    <w:rsid w:val="00E06B0E"/>
    <w:rsid w:val="00E06F57"/>
    <w:rsid w:val="00E10DB2"/>
    <w:rsid w:val="00E125FC"/>
    <w:rsid w:val="00E126AE"/>
    <w:rsid w:val="00E12818"/>
    <w:rsid w:val="00E128BA"/>
    <w:rsid w:val="00E12919"/>
    <w:rsid w:val="00E12F3E"/>
    <w:rsid w:val="00E1323F"/>
    <w:rsid w:val="00E15322"/>
    <w:rsid w:val="00E16935"/>
    <w:rsid w:val="00E20375"/>
    <w:rsid w:val="00E204C7"/>
    <w:rsid w:val="00E21885"/>
    <w:rsid w:val="00E225B6"/>
    <w:rsid w:val="00E23BBE"/>
    <w:rsid w:val="00E23BC8"/>
    <w:rsid w:val="00E241B1"/>
    <w:rsid w:val="00E24747"/>
    <w:rsid w:val="00E24A0A"/>
    <w:rsid w:val="00E25C4C"/>
    <w:rsid w:val="00E25CAA"/>
    <w:rsid w:val="00E27097"/>
    <w:rsid w:val="00E2713B"/>
    <w:rsid w:val="00E30022"/>
    <w:rsid w:val="00E30E52"/>
    <w:rsid w:val="00E31C75"/>
    <w:rsid w:val="00E33537"/>
    <w:rsid w:val="00E33772"/>
    <w:rsid w:val="00E3390F"/>
    <w:rsid w:val="00E33C46"/>
    <w:rsid w:val="00E33E04"/>
    <w:rsid w:val="00E346E3"/>
    <w:rsid w:val="00E351BE"/>
    <w:rsid w:val="00E353F8"/>
    <w:rsid w:val="00E35A6B"/>
    <w:rsid w:val="00E35A8B"/>
    <w:rsid w:val="00E360A2"/>
    <w:rsid w:val="00E36C85"/>
    <w:rsid w:val="00E37539"/>
    <w:rsid w:val="00E37E44"/>
    <w:rsid w:val="00E37EA5"/>
    <w:rsid w:val="00E414CF"/>
    <w:rsid w:val="00E41B48"/>
    <w:rsid w:val="00E41C39"/>
    <w:rsid w:val="00E426C3"/>
    <w:rsid w:val="00E42C5F"/>
    <w:rsid w:val="00E4436B"/>
    <w:rsid w:val="00E44F28"/>
    <w:rsid w:val="00E468C4"/>
    <w:rsid w:val="00E469CD"/>
    <w:rsid w:val="00E470F6"/>
    <w:rsid w:val="00E5171F"/>
    <w:rsid w:val="00E54AFC"/>
    <w:rsid w:val="00E5539D"/>
    <w:rsid w:val="00E55E60"/>
    <w:rsid w:val="00E56180"/>
    <w:rsid w:val="00E561C6"/>
    <w:rsid w:val="00E56998"/>
    <w:rsid w:val="00E5779C"/>
    <w:rsid w:val="00E606E5"/>
    <w:rsid w:val="00E60CCF"/>
    <w:rsid w:val="00E647FF"/>
    <w:rsid w:val="00E655AA"/>
    <w:rsid w:val="00E6579D"/>
    <w:rsid w:val="00E660ED"/>
    <w:rsid w:val="00E66410"/>
    <w:rsid w:val="00E664F9"/>
    <w:rsid w:val="00E66524"/>
    <w:rsid w:val="00E66845"/>
    <w:rsid w:val="00E66EDD"/>
    <w:rsid w:val="00E6EC7D"/>
    <w:rsid w:val="00E7140D"/>
    <w:rsid w:val="00E728D8"/>
    <w:rsid w:val="00E74329"/>
    <w:rsid w:val="00E747A9"/>
    <w:rsid w:val="00E74917"/>
    <w:rsid w:val="00E74A40"/>
    <w:rsid w:val="00E75346"/>
    <w:rsid w:val="00E76169"/>
    <w:rsid w:val="00E769CF"/>
    <w:rsid w:val="00E77256"/>
    <w:rsid w:val="00E80041"/>
    <w:rsid w:val="00E8036E"/>
    <w:rsid w:val="00E80A50"/>
    <w:rsid w:val="00E80FAD"/>
    <w:rsid w:val="00E826E5"/>
    <w:rsid w:val="00E82822"/>
    <w:rsid w:val="00E8371E"/>
    <w:rsid w:val="00E838A3"/>
    <w:rsid w:val="00E84042"/>
    <w:rsid w:val="00E84A58"/>
    <w:rsid w:val="00E84D50"/>
    <w:rsid w:val="00E85126"/>
    <w:rsid w:val="00E8539E"/>
    <w:rsid w:val="00E85A3E"/>
    <w:rsid w:val="00E876F1"/>
    <w:rsid w:val="00E87F3B"/>
    <w:rsid w:val="00E904B4"/>
    <w:rsid w:val="00E910AF"/>
    <w:rsid w:val="00E91398"/>
    <w:rsid w:val="00E91821"/>
    <w:rsid w:val="00E91BD4"/>
    <w:rsid w:val="00E91F22"/>
    <w:rsid w:val="00E9580A"/>
    <w:rsid w:val="00E965B5"/>
    <w:rsid w:val="00E97EC5"/>
    <w:rsid w:val="00EA007C"/>
    <w:rsid w:val="00EA066B"/>
    <w:rsid w:val="00EA0DC2"/>
    <w:rsid w:val="00EA2398"/>
    <w:rsid w:val="00EA28A2"/>
    <w:rsid w:val="00EA3307"/>
    <w:rsid w:val="00EA3FDC"/>
    <w:rsid w:val="00EA4222"/>
    <w:rsid w:val="00EA43C1"/>
    <w:rsid w:val="00EA4CB7"/>
    <w:rsid w:val="00EA525A"/>
    <w:rsid w:val="00EA5674"/>
    <w:rsid w:val="00EA59C2"/>
    <w:rsid w:val="00EA62B3"/>
    <w:rsid w:val="00EA62D3"/>
    <w:rsid w:val="00EA6332"/>
    <w:rsid w:val="00EA69F6"/>
    <w:rsid w:val="00EB0D4C"/>
    <w:rsid w:val="00EB12C4"/>
    <w:rsid w:val="00EB1F4B"/>
    <w:rsid w:val="00EB2322"/>
    <w:rsid w:val="00EB2355"/>
    <w:rsid w:val="00EB2D00"/>
    <w:rsid w:val="00EB33F4"/>
    <w:rsid w:val="00EB3BDF"/>
    <w:rsid w:val="00EB3FC7"/>
    <w:rsid w:val="00EB4046"/>
    <w:rsid w:val="00EB4D21"/>
    <w:rsid w:val="00EB652F"/>
    <w:rsid w:val="00EB701D"/>
    <w:rsid w:val="00EB7D51"/>
    <w:rsid w:val="00EC035F"/>
    <w:rsid w:val="00EC0745"/>
    <w:rsid w:val="00EC419D"/>
    <w:rsid w:val="00EC4DCB"/>
    <w:rsid w:val="00EC5305"/>
    <w:rsid w:val="00EC5CB4"/>
    <w:rsid w:val="00EC6C62"/>
    <w:rsid w:val="00EC70CD"/>
    <w:rsid w:val="00EC7815"/>
    <w:rsid w:val="00ED0D3A"/>
    <w:rsid w:val="00ED0E99"/>
    <w:rsid w:val="00ED1242"/>
    <w:rsid w:val="00ED1628"/>
    <w:rsid w:val="00ED1A34"/>
    <w:rsid w:val="00ED1DFE"/>
    <w:rsid w:val="00ED266C"/>
    <w:rsid w:val="00ED2A58"/>
    <w:rsid w:val="00ED3151"/>
    <w:rsid w:val="00ED4A59"/>
    <w:rsid w:val="00ED4FA4"/>
    <w:rsid w:val="00ED51E7"/>
    <w:rsid w:val="00ED5B33"/>
    <w:rsid w:val="00ED6BC0"/>
    <w:rsid w:val="00ED73EA"/>
    <w:rsid w:val="00ED73FF"/>
    <w:rsid w:val="00ED77AA"/>
    <w:rsid w:val="00ED79D2"/>
    <w:rsid w:val="00EE03A2"/>
    <w:rsid w:val="00EE0614"/>
    <w:rsid w:val="00EE0684"/>
    <w:rsid w:val="00EE10A4"/>
    <w:rsid w:val="00EE1249"/>
    <w:rsid w:val="00EE1342"/>
    <w:rsid w:val="00EE20C1"/>
    <w:rsid w:val="00EE2F85"/>
    <w:rsid w:val="00EE37F3"/>
    <w:rsid w:val="00EE3ECD"/>
    <w:rsid w:val="00EE4F0A"/>
    <w:rsid w:val="00EE6110"/>
    <w:rsid w:val="00EE6DAC"/>
    <w:rsid w:val="00EE787D"/>
    <w:rsid w:val="00EE7957"/>
    <w:rsid w:val="00EE79F6"/>
    <w:rsid w:val="00EF0445"/>
    <w:rsid w:val="00EF0980"/>
    <w:rsid w:val="00EF0BDD"/>
    <w:rsid w:val="00EF1484"/>
    <w:rsid w:val="00EF1A3A"/>
    <w:rsid w:val="00EF1E46"/>
    <w:rsid w:val="00EF2674"/>
    <w:rsid w:val="00EF2718"/>
    <w:rsid w:val="00EF3C33"/>
    <w:rsid w:val="00EF3CC9"/>
    <w:rsid w:val="00EF3F0A"/>
    <w:rsid w:val="00EF51AA"/>
    <w:rsid w:val="00EF51FE"/>
    <w:rsid w:val="00EF5F30"/>
    <w:rsid w:val="00EF65D6"/>
    <w:rsid w:val="00EF6BFC"/>
    <w:rsid w:val="00EF6C41"/>
    <w:rsid w:val="00EF77C9"/>
    <w:rsid w:val="00EF7DC7"/>
    <w:rsid w:val="00F0056E"/>
    <w:rsid w:val="00F0258F"/>
    <w:rsid w:val="00F035C7"/>
    <w:rsid w:val="00F04A6D"/>
    <w:rsid w:val="00F05740"/>
    <w:rsid w:val="00F068C8"/>
    <w:rsid w:val="00F07A98"/>
    <w:rsid w:val="00F0C33C"/>
    <w:rsid w:val="00F1040F"/>
    <w:rsid w:val="00F11D1F"/>
    <w:rsid w:val="00F11ED0"/>
    <w:rsid w:val="00F129EC"/>
    <w:rsid w:val="00F12FA2"/>
    <w:rsid w:val="00F13034"/>
    <w:rsid w:val="00F13784"/>
    <w:rsid w:val="00F13CB9"/>
    <w:rsid w:val="00F160B2"/>
    <w:rsid w:val="00F160C3"/>
    <w:rsid w:val="00F16485"/>
    <w:rsid w:val="00F16D17"/>
    <w:rsid w:val="00F17FB6"/>
    <w:rsid w:val="00F204EF"/>
    <w:rsid w:val="00F20892"/>
    <w:rsid w:val="00F21ED1"/>
    <w:rsid w:val="00F22D30"/>
    <w:rsid w:val="00F23AC7"/>
    <w:rsid w:val="00F24E86"/>
    <w:rsid w:val="00F25AA0"/>
    <w:rsid w:val="00F2696D"/>
    <w:rsid w:val="00F30091"/>
    <w:rsid w:val="00F31E9E"/>
    <w:rsid w:val="00F31F8A"/>
    <w:rsid w:val="00F322A5"/>
    <w:rsid w:val="00F32C7C"/>
    <w:rsid w:val="00F34C2F"/>
    <w:rsid w:val="00F35A8D"/>
    <w:rsid w:val="00F37D15"/>
    <w:rsid w:val="00F40E33"/>
    <w:rsid w:val="00F43037"/>
    <w:rsid w:val="00F43BA8"/>
    <w:rsid w:val="00F43D46"/>
    <w:rsid w:val="00F43DCE"/>
    <w:rsid w:val="00F4420B"/>
    <w:rsid w:val="00F44D86"/>
    <w:rsid w:val="00F46A89"/>
    <w:rsid w:val="00F47276"/>
    <w:rsid w:val="00F50118"/>
    <w:rsid w:val="00F5014A"/>
    <w:rsid w:val="00F50662"/>
    <w:rsid w:val="00F506EE"/>
    <w:rsid w:val="00F506F1"/>
    <w:rsid w:val="00F50F75"/>
    <w:rsid w:val="00F511EA"/>
    <w:rsid w:val="00F518E8"/>
    <w:rsid w:val="00F5196D"/>
    <w:rsid w:val="00F51A36"/>
    <w:rsid w:val="00F51B6E"/>
    <w:rsid w:val="00F5207E"/>
    <w:rsid w:val="00F52367"/>
    <w:rsid w:val="00F526A1"/>
    <w:rsid w:val="00F54A1B"/>
    <w:rsid w:val="00F54DD9"/>
    <w:rsid w:val="00F54FD9"/>
    <w:rsid w:val="00F5525A"/>
    <w:rsid w:val="00F5586B"/>
    <w:rsid w:val="00F5659C"/>
    <w:rsid w:val="00F56635"/>
    <w:rsid w:val="00F56725"/>
    <w:rsid w:val="00F56BEA"/>
    <w:rsid w:val="00F56C76"/>
    <w:rsid w:val="00F5760C"/>
    <w:rsid w:val="00F57BC9"/>
    <w:rsid w:val="00F60D5B"/>
    <w:rsid w:val="00F615F8"/>
    <w:rsid w:val="00F62569"/>
    <w:rsid w:val="00F627A4"/>
    <w:rsid w:val="00F63085"/>
    <w:rsid w:val="00F6393D"/>
    <w:rsid w:val="00F644C2"/>
    <w:rsid w:val="00F65C33"/>
    <w:rsid w:val="00F65FD9"/>
    <w:rsid w:val="00F6668B"/>
    <w:rsid w:val="00F66BF9"/>
    <w:rsid w:val="00F66F8D"/>
    <w:rsid w:val="00F70AB9"/>
    <w:rsid w:val="00F70E5D"/>
    <w:rsid w:val="00F710E2"/>
    <w:rsid w:val="00F715AE"/>
    <w:rsid w:val="00F71E89"/>
    <w:rsid w:val="00F720A7"/>
    <w:rsid w:val="00F721F3"/>
    <w:rsid w:val="00F725B9"/>
    <w:rsid w:val="00F729FA"/>
    <w:rsid w:val="00F72CC6"/>
    <w:rsid w:val="00F73080"/>
    <w:rsid w:val="00F7348C"/>
    <w:rsid w:val="00F73C03"/>
    <w:rsid w:val="00F74FA8"/>
    <w:rsid w:val="00F75875"/>
    <w:rsid w:val="00F77C02"/>
    <w:rsid w:val="00F80380"/>
    <w:rsid w:val="00F80F1A"/>
    <w:rsid w:val="00F812F5"/>
    <w:rsid w:val="00F81760"/>
    <w:rsid w:val="00F81834"/>
    <w:rsid w:val="00F8250C"/>
    <w:rsid w:val="00F854B7"/>
    <w:rsid w:val="00F857AD"/>
    <w:rsid w:val="00F85D9A"/>
    <w:rsid w:val="00F85F0B"/>
    <w:rsid w:val="00F87F77"/>
    <w:rsid w:val="00F87FDF"/>
    <w:rsid w:val="00F90666"/>
    <w:rsid w:val="00F915B9"/>
    <w:rsid w:val="00F926D7"/>
    <w:rsid w:val="00F93A71"/>
    <w:rsid w:val="00F9440A"/>
    <w:rsid w:val="00F94F82"/>
    <w:rsid w:val="00F958B3"/>
    <w:rsid w:val="00F961D2"/>
    <w:rsid w:val="00F96680"/>
    <w:rsid w:val="00F96C57"/>
    <w:rsid w:val="00F97935"/>
    <w:rsid w:val="00FA0674"/>
    <w:rsid w:val="00FA0DB1"/>
    <w:rsid w:val="00FA16E7"/>
    <w:rsid w:val="00FA2AC7"/>
    <w:rsid w:val="00FA31F9"/>
    <w:rsid w:val="00FA6229"/>
    <w:rsid w:val="00FA6A3C"/>
    <w:rsid w:val="00FA72B4"/>
    <w:rsid w:val="00FA72C9"/>
    <w:rsid w:val="00FB0065"/>
    <w:rsid w:val="00FB016B"/>
    <w:rsid w:val="00FB0AC8"/>
    <w:rsid w:val="00FB0D86"/>
    <w:rsid w:val="00FB1EBC"/>
    <w:rsid w:val="00FB201C"/>
    <w:rsid w:val="00FB2586"/>
    <w:rsid w:val="00FB2916"/>
    <w:rsid w:val="00FB307B"/>
    <w:rsid w:val="00FB41D8"/>
    <w:rsid w:val="00FB438B"/>
    <w:rsid w:val="00FB44DA"/>
    <w:rsid w:val="00FB4700"/>
    <w:rsid w:val="00FB4A8B"/>
    <w:rsid w:val="00FB5323"/>
    <w:rsid w:val="00FB5360"/>
    <w:rsid w:val="00FB7889"/>
    <w:rsid w:val="00FC087C"/>
    <w:rsid w:val="00FC1D26"/>
    <w:rsid w:val="00FC1D51"/>
    <w:rsid w:val="00FC2103"/>
    <w:rsid w:val="00FC28DB"/>
    <w:rsid w:val="00FC2966"/>
    <w:rsid w:val="00FC29B1"/>
    <w:rsid w:val="00FC2C76"/>
    <w:rsid w:val="00FC2E70"/>
    <w:rsid w:val="00FC2F3A"/>
    <w:rsid w:val="00FC2FB9"/>
    <w:rsid w:val="00FC32A6"/>
    <w:rsid w:val="00FC38E3"/>
    <w:rsid w:val="00FC45C2"/>
    <w:rsid w:val="00FC49DA"/>
    <w:rsid w:val="00FC4B0B"/>
    <w:rsid w:val="00FC552F"/>
    <w:rsid w:val="00FC70A8"/>
    <w:rsid w:val="00FC7C91"/>
    <w:rsid w:val="00FC7EA6"/>
    <w:rsid w:val="00FC7EF3"/>
    <w:rsid w:val="00FD0D7B"/>
    <w:rsid w:val="00FD22B8"/>
    <w:rsid w:val="00FD2BFB"/>
    <w:rsid w:val="00FD30FA"/>
    <w:rsid w:val="00FD345B"/>
    <w:rsid w:val="00FD4CDD"/>
    <w:rsid w:val="00FD55E5"/>
    <w:rsid w:val="00FD647B"/>
    <w:rsid w:val="00FD668C"/>
    <w:rsid w:val="00FD7038"/>
    <w:rsid w:val="00FD71E4"/>
    <w:rsid w:val="00FD7FCD"/>
    <w:rsid w:val="00FE0B3A"/>
    <w:rsid w:val="00FE153E"/>
    <w:rsid w:val="00FE1C19"/>
    <w:rsid w:val="00FE2D67"/>
    <w:rsid w:val="00FE2E16"/>
    <w:rsid w:val="00FE3395"/>
    <w:rsid w:val="00FE356A"/>
    <w:rsid w:val="00FE3E71"/>
    <w:rsid w:val="00FE5722"/>
    <w:rsid w:val="00FE61CB"/>
    <w:rsid w:val="00FE62E6"/>
    <w:rsid w:val="00FE691B"/>
    <w:rsid w:val="00FE7C1D"/>
    <w:rsid w:val="00FF0475"/>
    <w:rsid w:val="00FF0761"/>
    <w:rsid w:val="00FF3A12"/>
    <w:rsid w:val="00FF3BB4"/>
    <w:rsid w:val="00FF3D12"/>
    <w:rsid w:val="00FF71A0"/>
    <w:rsid w:val="00FF7D0A"/>
    <w:rsid w:val="00FF7D4E"/>
    <w:rsid w:val="01011745"/>
    <w:rsid w:val="010A1FBC"/>
    <w:rsid w:val="0140E094"/>
    <w:rsid w:val="01459104"/>
    <w:rsid w:val="0151A3FE"/>
    <w:rsid w:val="01558BEE"/>
    <w:rsid w:val="017A124D"/>
    <w:rsid w:val="017CEED9"/>
    <w:rsid w:val="01AE8555"/>
    <w:rsid w:val="01B5B09B"/>
    <w:rsid w:val="01C7809C"/>
    <w:rsid w:val="01E663DB"/>
    <w:rsid w:val="01EAA2F8"/>
    <w:rsid w:val="01F32DB7"/>
    <w:rsid w:val="0230C54B"/>
    <w:rsid w:val="02434325"/>
    <w:rsid w:val="02662F50"/>
    <w:rsid w:val="026C6EB9"/>
    <w:rsid w:val="029DDEC6"/>
    <w:rsid w:val="02AFA98F"/>
    <w:rsid w:val="034B9FDD"/>
    <w:rsid w:val="0362B582"/>
    <w:rsid w:val="0372506A"/>
    <w:rsid w:val="03BA2D25"/>
    <w:rsid w:val="03BCA626"/>
    <w:rsid w:val="03CF4EE3"/>
    <w:rsid w:val="03E90767"/>
    <w:rsid w:val="03FFF4C3"/>
    <w:rsid w:val="0410FED1"/>
    <w:rsid w:val="04133BA4"/>
    <w:rsid w:val="044E1F1D"/>
    <w:rsid w:val="04565B5A"/>
    <w:rsid w:val="04B2168F"/>
    <w:rsid w:val="04BAE7A4"/>
    <w:rsid w:val="04F377AB"/>
    <w:rsid w:val="051F4429"/>
    <w:rsid w:val="0523A58F"/>
    <w:rsid w:val="055AAC02"/>
    <w:rsid w:val="057C90D5"/>
    <w:rsid w:val="057F5EDA"/>
    <w:rsid w:val="05840492"/>
    <w:rsid w:val="05AA92D6"/>
    <w:rsid w:val="05BCC894"/>
    <w:rsid w:val="05E9EF7E"/>
    <w:rsid w:val="06113CC6"/>
    <w:rsid w:val="06A39327"/>
    <w:rsid w:val="06C0CD6B"/>
    <w:rsid w:val="06DF957F"/>
    <w:rsid w:val="0702A868"/>
    <w:rsid w:val="0716D0DD"/>
    <w:rsid w:val="0731E756"/>
    <w:rsid w:val="07560E7F"/>
    <w:rsid w:val="079DEDB0"/>
    <w:rsid w:val="07A37FC7"/>
    <w:rsid w:val="07F3A2F2"/>
    <w:rsid w:val="08552187"/>
    <w:rsid w:val="086BFF12"/>
    <w:rsid w:val="08CCCBF3"/>
    <w:rsid w:val="08D15159"/>
    <w:rsid w:val="08E71EB9"/>
    <w:rsid w:val="090867E3"/>
    <w:rsid w:val="09142ABB"/>
    <w:rsid w:val="095DE82C"/>
    <w:rsid w:val="098800BE"/>
    <w:rsid w:val="09B39F9D"/>
    <w:rsid w:val="09E9E665"/>
    <w:rsid w:val="09F0D524"/>
    <w:rsid w:val="09F60510"/>
    <w:rsid w:val="0A179D7C"/>
    <w:rsid w:val="0A1DA396"/>
    <w:rsid w:val="0A40F470"/>
    <w:rsid w:val="0A5EE1AD"/>
    <w:rsid w:val="0A72AF61"/>
    <w:rsid w:val="0A7C4AFF"/>
    <w:rsid w:val="0AD34AED"/>
    <w:rsid w:val="0AE7430B"/>
    <w:rsid w:val="0AEC734A"/>
    <w:rsid w:val="0B23FD5C"/>
    <w:rsid w:val="0B4A9A5B"/>
    <w:rsid w:val="0B748242"/>
    <w:rsid w:val="0B7DE5E5"/>
    <w:rsid w:val="0BA3DF49"/>
    <w:rsid w:val="0BBFAAE2"/>
    <w:rsid w:val="0BCE491B"/>
    <w:rsid w:val="0BDE0925"/>
    <w:rsid w:val="0BF3AF94"/>
    <w:rsid w:val="0CFEBA34"/>
    <w:rsid w:val="0D040045"/>
    <w:rsid w:val="0D151636"/>
    <w:rsid w:val="0D2F390B"/>
    <w:rsid w:val="0D6FCBC0"/>
    <w:rsid w:val="0D9D9D1F"/>
    <w:rsid w:val="0DAC62FD"/>
    <w:rsid w:val="0DD1EFDC"/>
    <w:rsid w:val="0DFD5ABB"/>
    <w:rsid w:val="0E21A5A9"/>
    <w:rsid w:val="0E571BC3"/>
    <w:rsid w:val="0E6DD9C9"/>
    <w:rsid w:val="0E7CC13D"/>
    <w:rsid w:val="0E82734C"/>
    <w:rsid w:val="0E973BF7"/>
    <w:rsid w:val="0ED4A9B1"/>
    <w:rsid w:val="0ED68178"/>
    <w:rsid w:val="0EE8B3FD"/>
    <w:rsid w:val="0EF10538"/>
    <w:rsid w:val="0F1B9063"/>
    <w:rsid w:val="0F94CB19"/>
    <w:rsid w:val="0FD34008"/>
    <w:rsid w:val="0FDA3217"/>
    <w:rsid w:val="103158FB"/>
    <w:rsid w:val="10B3A760"/>
    <w:rsid w:val="10CE8D6B"/>
    <w:rsid w:val="10D8F3A9"/>
    <w:rsid w:val="10E12891"/>
    <w:rsid w:val="11726CFA"/>
    <w:rsid w:val="11938E69"/>
    <w:rsid w:val="11ACCAE9"/>
    <w:rsid w:val="11B8DAD5"/>
    <w:rsid w:val="11D6DAA2"/>
    <w:rsid w:val="11F71322"/>
    <w:rsid w:val="11F73D55"/>
    <w:rsid w:val="1205A7FE"/>
    <w:rsid w:val="123E8FB1"/>
    <w:rsid w:val="1249115A"/>
    <w:rsid w:val="1279A30C"/>
    <w:rsid w:val="1285D448"/>
    <w:rsid w:val="12B79C41"/>
    <w:rsid w:val="13B3430C"/>
    <w:rsid w:val="13B7BDE0"/>
    <w:rsid w:val="13D8449A"/>
    <w:rsid w:val="13E46772"/>
    <w:rsid w:val="141768E1"/>
    <w:rsid w:val="1425C121"/>
    <w:rsid w:val="14687E05"/>
    <w:rsid w:val="1490769D"/>
    <w:rsid w:val="14A1091C"/>
    <w:rsid w:val="14C56E61"/>
    <w:rsid w:val="150F7E14"/>
    <w:rsid w:val="154D9418"/>
    <w:rsid w:val="1577BBB5"/>
    <w:rsid w:val="15ADA00F"/>
    <w:rsid w:val="15BEFDA4"/>
    <w:rsid w:val="15C7A329"/>
    <w:rsid w:val="15D3A6FF"/>
    <w:rsid w:val="160097C2"/>
    <w:rsid w:val="165D82A9"/>
    <w:rsid w:val="170D79EB"/>
    <w:rsid w:val="171FE236"/>
    <w:rsid w:val="1781D920"/>
    <w:rsid w:val="179DDD8F"/>
    <w:rsid w:val="18028064"/>
    <w:rsid w:val="1806D705"/>
    <w:rsid w:val="181573DE"/>
    <w:rsid w:val="18C0F5DE"/>
    <w:rsid w:val="18C4E56A"/>
    <w:rsid w:val="194B7347"/>
    <w:rsid w:val="195FC702"/>
    <w:rsid w:val="196DFEDD"/>
    <w:rsid w:val="1985D3B8"/>
    <w:rsid w:val="19B65A63"/>
    <w:rsid w:val="19BC8EBA"/>
    <w:rsid w:val="1A289455"/>
    <w:rsid w:val="1A317864"/>
    <w:rsid w:val="1A7F92E4"/>
    <w:rsid w:val="1AB5FC3C"/>
    <w:rsid w:val="1AC97A0A"/>
    <w:rsid w:val="1ACE0C6C"/>
    <w:rsid w:val="1AEBCD81"/>
    <w:rsid w:val="1B0B9F6C"/>
    <w:rsid w:val="1B0E26F4"/>
    <w:rsid w:val="1B20E7DF"/>
    <w:rsid w:val="1B70597B"/>
    <w:rsid w:val="1BA63435"/>
    <w:rsid w:val="1BBEA73C"/>
    <w:rsid w:val="1BF272DF"/>
    <w:rsid w:val="1C02C133"/>
    <w:rsid w:val="1C1343E9"/>
    <w:rsid w:val="1C3EC576"/>
    <w:rsid w:val="1C497209"/>
    <w:rsid w:val="1C714F54"/>
    <w:rsid w:val="1CB4D41E"/>
    <w:rsid w:val="1CF81953"/>
    <w:rsid w:val="1D3932AC"/>
    <w:rsid w:val="1D58FF78"/>
    <w:rsid w:val="1D99AF68"/>
    <w:rsid w:val="1DC6B67A"/>
    <w:rsid w:val="1DDFB665"/>
    <w:rsid w:val="1DFAE675"/>
    <w:rsid w:val="1E1BBEB3"/>
    <w:rsid w:val="1E373EFE"/>
    <w:rsid w:val="1E5F570D"/>
    <w:rsid w:val="1EB0C337"/>
    <w:rsid w:val="1EBC5F35"/>
    <w:rsid w:val="1EFD2E6B"/>
    <w:rsid w:val="1F20121F"/>
    <w:rsid w:val="1F319A0F"/>
    <w:rsid w:val="1F34EFC1"/>
    <w:rsid w:val="1F407361"/>
    <w:rsid w:val="1F439BCC"/>
    <w:rsid w:val="1F55C73E"/>
    <w:rsid w:val="1FE4551E"/>
    <w:rsid w:val="20147B76"/>
    <w:rsid w:val="201E8063"/>
    <w:rsid w:val="20233F9F"/>
    <w:rsid w:val="20B33020"/>
    <w:rsid w:val="20C3C98B"/>
    <w:rsid w:val="20C434AD"/>
    <w:rsid w:val="20F23BA0"/>
    <w:rsid w:val="21416D8F"/>
    <w:rsid w:val="21698129"/>
    <w:rsid w:val="21903A4D"/>
    <w:rsid w:val="219CC5E0"/>
    <w:rsid w:val="219F3BFE"/>
    <w:rsid w:val="219F7C43"/>
    <w:rsid w:val="21B91D24"/>
    <w:rsid w:val="21DC5EB1"/>
    <w:rsid w:val="21E7038B"/>
    <w:rsid w:val="21E86FE4"/>
    <w:rsid w:val="21F33521"/>
    <w:rsid w:val="21FAE6BA"/>
    <w:rsid w:val="2208526C"/>
    <w:rsid w:val="220E76CE"/>
    <w:rsid w:val="224C732E"/>
    <w:rsid w:val="228D5E5E"/>
    <w:rsid w:val="228E9F5D"/>
    <w:rsid w:val="22BD8C00"/>
    <w:rsid w:val="22DA785A"/>
    <w:rsid w:val="22F8C0B8"/>
    <w:rsid w:val="22FC45B3"/>
    <w:rsid w:val="230E244C"/>
    <w:rsid w:val="231BBCA2"/>
    <w:rsid w:val="23202B80"/>
    <w:rsid w:val="2367D139"/>
    <w:rsid w:val="2374B76A"/>
    <w:rsid w:val="239C4771"/>
    <w:rsid w:val="23E46B30"/>
    <w:rsid w:val="23E92FB2"/>
    <w:rsid w:val="23F93F3E"/>
    <w:rsid w:val="241B363E"/>
    <w:rsid w:val="243E313E"/>
    <w:rsid w:val="24485C81"/>
    <w:rsid w:val="244AEAAA"/>
    <w:rsid w:val="245733F3"/>
    <w:rsid w:val="24B23DF0"/>
    <w:rsid w:val="24DF0DBA"/>
    <w:rsid w:val="24E77135"/>
    <w:rsid w:val="2526A241"/>
    <w:rsid w:val="252F47FA"/>
    <w:rsid w:val="253B4DED"/>
    <w:rsid w:val="25415946"/>
    <w:rsid w:val="255121EB"/>
    <w:rsid w:val="25C49E96"/>
    <w:rsid w:val="2671A1C2"/>
    <w:rsid w:val="268A0D89"/>
    <w:rsid w:val="2691E287"/>
    <w:rsid w:val="26B1A134"/>
    <w:rsid w:val="26BCB247"/>
    <w:rsid w:val="26CC1B86"/>
    <w:rsid w:val="26D41BD3"/>
    <w:rsid w:val="26D7A94B"/>
    <w:rsid w:val="26E59FAC"/>
    <w:rsid w:val="26FFF483"/>
    <w:rsid w:val="27048206"/>
    <w:rsid w:val="2728E719"/>
    <w:rsid w:val="27617D24"/>
    <w:rsid w:val="276248A4"/>
    <w:rsid w:val="277D2F01"/>
    <w:rsid w:val="28513C2F"/>
    <w:rsid w:val="285F1CD2"/>
    <w:rsid w:val="287F9EFD"/>
    <w:rsid w:val="28CA3371"/>
    <w:rsid w:val="28E2F0B8"/>
    <w:rsid w:val="2908BF3D"/>
    <w:rsid w:val="2972FF77"/>
    <w:rsid w:val="29B915D5"/>
    <w:rsid w:val="29BD3510"/>
    <w:rsid w:val="29C7AA78"/>
    <w:rsid w:val="29F7F911"/>
    <w:rsid w:val="2A2AC4FA"/>
    <w:rsid w:val="2A380AC1"/>
    <w:rsid w:val="2A5C56DC"/>
    <w:rsid w:val="2A7A883C"/>
    <w:rsid w:val="2A9926BF"/>
    <w:rsid w:val="2A9EAB6B"/>
    <w:rsid w:val="2ABEAE5E"/>
    <w:rsid w:val="2AE33F41"/>
    <w:rsid w:val="2AE550D7"/>
    <w:rsid w:val="2AFE0F07"/>
    <w:rsid w:val="2B2D710B"/>
    <w:rsid w:val="2B40269B"/>
    <w:rsid w:val="2B7EE1A3"/>
    <w:rsid w:val="2BD76F5C"/>
    <w:rsid w:val="2BDD4BE2"/>
    <w:rsid w:val="2BED7B34"/>
    <w:rsid w:val="2C15BECB"/>
    <w:rsid w:val="2C207F38"/>
    <w:rsid w:val="2C33E497"/>
    <w:rsid w:val="2CF557CA"/>
    <w:rsid w:val="2D07C5C4"/>
    <w:rsid w:val="2D174DC8"/>
    <w:rsid w:val="2D19167B"/>
    <w:rsid w:val="2D2F436E"/>
    <w:rsid w:val="2D3673CC"/>
    <w:rsid w:val="2D7A7077"/>
    <w:rsid w:val="2D7D43EE"/>
    <w:rsid w:val="2DA048C4"/>
    <w:rsid w:val="2DC8ACC5"/>
    <w:rsid w:val="2DCF1237"/>
    <w:rsid w:val="2DE2FA5B"/>
    <w:rsid w:val="2E0CF0B4"/>
    <w:rsid w:val="2E2DCD56"/>
    <w:rsid w:val="2E4D4BFE"/>
    <w:rsid w:val="2E654FDB"/>
    <w:rsid w:val="2E688EC5"/>
    <w:rsid w:val="2E96ADCA"/>
    <w:rsid w:val="2EBEF0D0"/>
    <w:rsid w:val="2EC699FB"/>
    <w:rsid w:val="2ECB43AC"/>
    <w:rsid w:val="2F0F93EB"/>
    <w:rsid w:val="2F1577F2"/>
    <w:rsid w:val="2F20533D"/>
    <w:rsid w:val="2F25BEE0"/>
    <w:rsid w:val="2F38525B"/>
    <w:rsid w:val="2F47FF50"/>
    <w:rsid w:val="2F52323C"/>
    <w:rsid w:val="2F5C38C6"/>
    <w:rsid w:val="2F7C6F13"/>
    <w:rsid w:val="2F86C6F6"/>
    <w:rsid w:val="2FA0EBA7"/>
    <w:rsid w:val="2FABFA6F"/>
    <w:rsid w:val="2FEDB5A8"/>
    <w:rsid w:val="2FF43FCF"/>
    <w:rsid w:val="300590CC"/>
    <w:rsid w:val="302AA94C"/>
    <w:rsid w:val="305BAD42"/>
    <w:rsid w:val="3086F05B"/>
    <w:rsid w:val="30C4B1BE"/>
    <w:rsid w:val="30EF9ED2"/>
    <w:rsid w:val="313FEE0C"/>
    <w:rsid w:val="315ED248"/>
    <w:rsid w:val="31D40FB7"/>
    <w:rsid w:val="31E40AA4"/>
    <w:rsid w:val="31FD0F56"/>
    <w:rsid w:val="32115751"/>
    <w:rsid w:val="32874C21"/>
    <w:rsid w:val="3290E40A"/>
    <w:rsid w:val="32D36DBA"/>
    <w:rsid w:val="330FF190"/>
    <w:rsid w:val="3319BCC9"/>
    <w:rsid w:val="3328E06F"/>
    <w:rsid w:val="333F55A3"/>
    <w:rsid w:val="335519EB"/>
    <w:rsid w:val="3399797C"/>
    <w:rsid w:val="33DB45D6"/>
    <w:rsid w:val="33E97827"/>
    <w:rsid w:val="3401C640"/>
    <w:rsid w:val="34288A6A"/>
    <w:rsid w:val="347A4E1B"/>
    <w:rsid w:val="34889ED1"/>
    <w:rsid w:val="3492AAAF"/>
    <w:rsid w:val="34987003"/>
    <w:rsid w:val="34B21B55"/>
    <w:rsid w:val="350AF2D3"/>
    <w:rsid w:val="351ABD0E"/>
    <w:rsid w:val="35238EE7"/>
    <w:rsid w:val="352A6392"/>
    <w:rsid w:val="352FF0AC"/>
    <w:rsid w:val="35352148"/>
    <w:rsid w:val="354A28F5"/>
    <w:rsid w:val="3565AD12"/>
    <w:rsid w:val="35AC0FE6"/>
    <w:rsid w:val="35AF788A"/>
    <w:rsid w:val="361DAFE5"/>
    <w:rsid w:val="36342C52"/>
    <w:rsid w:val="363D6156"/>
    <w:rsid w:val="363FF183"/>
    <w:rsid w:val="364261A4"/>
    <w:rsid w:val="366F83CC"/>
    <w:rsid w:val="3673CAE6"/>
    <w:rsid w:val="36DAC964"/>
    <w:rsid w:val="37338641"/>
    <w:rsid w:val="3733E5EB"/>
    <w:rsid w:val="375469D0"/>
    <w:rsid w:val="375E04C4"/>
    <w:rsid w:val="37625BD0"/>
    <w:rsid w:val="378A3CB7"/>
    <w:rsid w:val="37D06EC6"/>
    <w:rsid w:val="37F781F4"/>
    <w:rsid w:val="3815EB8D"/>
    <w:rsid w:val="3839636D"/>
    <w:rsid w:val="389288BF"/>
    <w:rsid w:val="389D4DD4"/>
    <w:rsid w:val="38AF1D9B"/>
    <w:rsid w:val="38B7A5DF"/>
    <w:rsid w:val="38C27318"/>
    <w:rsid w:val="38C87A0A"/>
    <w:rsid w:val="38D82C5D"/>
    <w:rsid w:val="394587C8"/>
    <w:rsid w:val="396C848E"/>
    <w:rsid w:val="3993DABB"/>
    <w:rsid w:val="39C5F93F"/>
    <w:rsid w:val="39E7D095"/>
    <w:rsid w:val="3A2D5B5D"/>
    <w:rsid w:val="3A311DC4"/>
    <w:rsid w:val="3A975FE6"/>
    <w:rsid w:val="3AA0F0AF"/>
    <w:rsid w:val="3AE4155F"/>
    <w:rsid w:val="3AF259A9"/>
    <w:rsid w:val="3AF5BD5B"/>
    <w:rsid w:val="3B24A72C"/>
    <w:rsid w:val="3B6019B0"/>
    <w:rsid w:val="3B97B190"/>
    <w:rsid w:val="3BD63836"/>
    <w:rsid w:val="3BE43A5F"/>
    <w:rsid w:val="3C3F7A20"/>
    <w:rsid w:val="3C3FBFCA"/>
    <w:rsid w:val="3C73643B"/>
    <w:rsid w:val="3C8C1789"/>
    <w:rsid w:val="3C98E18A"/>
    <w:rsid w:val="3CC4C7D5"/>
    <w:rsid w:val="3CE36F2B"/>
    <w:rsid w:val="3CEDC8DD"/>
    <w:rsid w:val="3CEE83BF"/>
    <w:rsid w:val="3D445DF2"/>
    <w:rsid w:val="3D5FC75E"/>
    <w:rsid w:val="3D6624B8"/>
    <w:rsid w:val="3D6B9B39"/>
    <w:rsid w:val="3D72F2D1"/>
    <w:rsid w:val="3D7A2ED0"/>
    <w:rsid w:val="3DB1622A"/>
    <w:rsid w:val="3E723AA0"/>
    <w:rsid w:val="3E788B05"/>
    <w:rsid w:val="3E97628B"/>
    <w:rsid w:val="3E9EC995"/>
    <w:rsid w:val="3EEE4817"/>
    <w:rsid w:val="3F55B551"/>
    <w:rsid w:val="3F6815E3"/>
    <w:rsid w:val="3F8F7BE8"/>
    <w:rsid w:val="3F93BC09"/>
    <w:rsid w:val="3F9D3DD6"/>
    <w:rsid w:val="3FB8C396"/>
    <w:rsid w:val="3FC1C3B5"/>
    <w:rsid w:val="3FC3B84B"/>
    <w:rsid w:val="40608C3E"/>
    <w:rsid w:val="40838236"/>
    <w:rsid w:val="40A14CD7"/>
    <w:rsid w:val="40A7FC0B"/>
    <w:rsid w:val="40E29806"/>
    <w:rsid w:val="40ED6BEB"/>
    <w:rsid w:val="40F33E19"/>
    <w:rsid w:val="411C492E"/>
    <w:rsid w:val="419BDEC8"/>
    <w:rsid w:val="41A943CF"/>
    <w:rsid w:val="41BF727D"/>
    <w:rsid w:val="41FB8B3F"/>
    <w:rsid w:val="422EC692"/>
    <w:rsid w:val="424D673C"/>
    <w:rsid w:val="428E0159"/>
    <w:rsid w:val="42C9D94B"/>
    <w:rsid w:val="4338B110"/>
    <w:rsid w:val="4351186A"/>
    <w:rsid w:val="43741812"/>
    <w:rsid w:val="43A8807D"/>
    <w:rsid w:val="43B5600D"/>
    <w:rsid w:val="43DBFA24"/>
    <w:rsid w:val="43EA070F"/>
    <w:rsid w:val="440EB756"/>
    <w:rsid w:val="441EA938"/>
    <w:rsid w:val="4421C241"/>
    <w:rsid w:val="4431D2DC"/>
    <w:rsid w:val="445AC473"/>
    <w:rsid w:val="4484431C"/>
    <w:rsid w:val="44C86C68"/>
    <w:rsid w:val="44E2EF14"/>
    <w:rsid w:val="44E6F19A"/>
    <w:rsid w:val="456132B3"/>
    <w:rsid w:val="45817221"/>
    <w:rsid w:val="459D8708"/>
    <w:rsid w:val="45C7F35C"/>
    <w:rsid w:val="45D69740"/>
    <w:rsid w:val="45E0B980"/>
    <w:rsid w:val="4624D9F8"/>
    <w:rsid w:val="464A8321"/>
    <w:rsid w:val="46B23220"/>
    <w:rsid w:val="46D8C0B6"/>
    <w:rsid w:val="46E58C8A"/>
    <w:rsid w:val="46E6C6DA"/>
    <w:rsid w:val="46F58F6A"/>
    <w:rsid w:val="46F78DC2"/>
    <w:rsid w:val="4728B4AD"/>
    <w:rsid w:val="472EB321"/>
    <w:rsid w:val="473E93D2"/>
    <w:rsid w:val="47418D45"/>
    <w:rsid w:val="47452FC4"/>
    <w:rsid w:val="4747AECC"/>
    <w:rsid w:val="475EE1B2"/>
    <w:rsid w:val="47B616E2"/>
    <w:rsid w:val="47C48CFB"/>
    <w:rsid w:val="47E4B021"/>
    <w:rsid w:val="48257642"/>
    <w:rsid w:val="482DF43E"/>
    <w:rsid w:val="48388D91"/>
    <w:rsid w:val="4898F279"/>
    <w:rsid w:val="48C85657"/>
    <w:rsid w:val="48C9DB64"/>
    <w:rsid w:val="48F77507"/>
    <w:rsid w:val="4977C0D8"/>
    <w:rsid w:val="49953E24"/>
    <w:rsid w:val="49B1F1C8"/>
    <w:rsid w:val="49C7AD8F"/>
    <w:rsid w:val="49EFD955"/>
    <w:rsid w:val="49F4AFAD"/>
    <w:rsid w:val="4A04EF5B"/>
    <w:rsid w:val="4A23D3A2"/>
    <w:rsid w:val="4A532D06"/>
    <w:rsid w:val="4A5FD31C"/>
    <w:rsid w:val="4A98B7E1"/>
    <w:rsid w:val="4AB73E03"/>
    <w:rsid w:val="4AB7C050"/>
    <w:rsid w:val="4ABF6087"/>
    <w:rsid w:val="4ADB4DDD"/>
    <w:rsid w:val="4B202192"/>
    <w:rsid w:val="4B34D9E8"/>
    <w:rsid w:val="4B3695D5"/>
    <w:rsid w:val="4B5A9C98"/>
    <w:rsid w:val="4B7983FE"/>
    <w:rsid w:val="4B7FDAF0"/>
    <w:rsid w:val="4B848A3B"/>
    <w:rsid w:val="4BBB4548"/>
    <w:rsid w:val="4BBEEAEE"/>
    <w:rsid w:val="4BC45FC2"/>
    <w:rsid w:val="4BCF581A"/>
    <w:rsid w:val="4BD0933B"/>
    <w:rsid w:val="4BD45E58"/>
    <w:rsid w:val="4BFA2DE5"/>
    <w:rsid w:val="4C054DCA"/>
    <w:rsid w:val="4C09D372"/>
    <w:rsid w:val="4C3532AB"/>
    <w:rsid w:val="4C618847"/>
    <w:rsid w:val="4C63F384"/>
    <w:rsid w:val="4C9CC5F2"/>
    <w:rsid w:val="4CCC32A6"/>
    <w:rsid w:val="4D2A1DBC"/>
    <w:rsid w:val="4D34F728"/>
    <w:rsid w:val="4D63EA0A"/>
    <w:rsid w:val="4D71F207"/>
    <w:rsid w:val="4D79886A"/>
    <w:rsid w:val="4D850601"/>
    <w:rsid w:val="4D96F11C"/>
    <w:rsid w:val="4DBF5B40"/>
    <w:rsid w:val="4DFD58A8"/>
    <w:rsid w:val="4E06F28F"/>
    <w:rsid w:val="4E19EEA2"/>
    <w:rsid w:val="4E22C208"/>
    <w:rsid w:val="4E37F59C"/>
    <w:rsid w:val="4E55BA7F"/>
    <w:rsid w:val="4E70329C"/>
    <w:rsid w:val="4E84CD28"/>
    <w:rsid w:val="4EA29CE2"/>
    <w:rsid w:val="4EA55563"/>
    <w:rsid w:val="4EC3CBAD"/>
    <w:rsid w:val="4EC4D16E"/>
    <w:rsid w:val="4EE3178C"/>
    <w:rsid w:val="4EED99A5"/>
    <w:rsid w:val="4EEE707F"/>
    <w:rsid w:val="4EFA1656"/>
    <w:rsid w:val="4F0E32FF"/>
    <w:rsid w:val="4F219F5C"/>
    <w:rsid w:val="4F58340D"/>
    <w:rsid w:val="4FC13CF5"/>
    <w:rsid w:val="4FCE619A"/>
    <w:rsid w:val="4FE1C99B"/>
    <w:rsid w:val="4FFA1B26"/>
    <w:rsid w:val="5011230C"/>
    <w:rsid w:val="504E26A4"/>
    <w:rsid w:val="5071A528"/>
    <w:rsid w:val="5076EEA8"/>
    <w:rsid w:val="507A508C"/>
    <w:rsid w:val="507B5EB9"/>
    <w:rsid w:val="50822062"/>
    <w:rsid w:val="50C15EA0"/>
    <w:rsid w:val="50D46993"/>
    <w:rsid w:val="5118FA17"/>
    <w:rsid w:val="51488390"/>
    <w:rsid w:val="514A3634"/>
    <w:rsid w:val="51C46971"/>
    <w:rsid w:val="51C4E4D1"/>
    <w:rsid w:val="51D1EDA2"/>
    <w:rsid w:val="51F3CBBF"/>
    <w:rsid w:val="524645B5"/>
    <w:rsid w:val="52567778"/>
    <w:rsid w:val="525F6C35"/>
    <w:rsid w:val="5260BA73"/>
    <w:rsid w:val="527C54A4"/>
    <w:rsid w:val="5376D895"/>
    <w:rsid w:val="53800AC5"/>
    <w:rsid w:val="53984291"/>
    <w:rsid w:val="53E31956"/>
    <w:rsid w:val="53E3C770"/>
    <w:rsid w:val="53E628C0"/>
    <w:rsid w:val="53F5B94D"/>
    <w:rsid w:val="5423EC79"/>
    <w:rsid w:val="54A17D9D"/>
    <w:rsid w:val="54C22A80"/>
    <w:rsid w:val="54EB8F65"/>
    <w:rsid w:val="54F2EBFD"/>
    <w:rsid w:val="556B635E"/>
    <w:rsid w:val="55B28937"/>
    <w:rsid w:val="55C9EC2A"/>
    <w:rsid w:val="560C669C"/>
    <w:rsid w:val="5626D842"/>
    <w:rsid w:val="5637C948"/>
    <w:rsid w:val="5640D794"/>
    <w:rsid w:val="56F3B9BA"/>
    <w:rsid w:val="570A2C67"/>
    <w:rsid w:val="5713B8F5"/>
    <w:rsid w:val="5718D33F"/>
    <w:rsid w:val="57355415"/>
    <w:rsid w:val="578CF097"/>
    <w:rsid w:val="57E37468"/>
    <w:rsid w:val="57E9CCE9"/>
    <w:rsid w:val="580F882F"/>
    <w:rsid w:val="581DD5AB"/>
    <w:rsid w:val="582BAF6E"/>
    <w:rsid w:val="5878D807"/>
    <w:rsid w:val="588121BF"/>
    <w:rsid w:val="58858A7A"/>
    <w:rsid w:val="5886709E"/>
    <w:rsid w:val="59187CE3"/>
    <w:rsid w:val="593C5422"/>
    <w:rsid w:val="594163FA"/>
    <w:rsid w:val="598851C0"/>
    <w:rsid w:val="59AD69DB"/>
    <w:rsid w:val="59F783EC"/>
    <w:rsid w:val="5A14E5FE"/>
    <w:rsid w:val="5A15E58A"/>
    <w:rsid w:val="5A329570"/>
    <w:rsid w:val="5A34F7CB"/>
    <w:rsid w:val="5A8D2981"/>
    <w:rsid w:val="5AA3C075"/>
    <w:rsid w:val="5AB663C3"/>
    <w:rsid w:val="5ADA4314"/>
    <w:rsid w:val="5AF1BA80"/>
    <w:rsid w:val="5B0B9623"/>
    <w:rsid w:val="5B0E3428"/>
    <w:rsid w:val="5B308BF0"/>
    <w:rsid w:val="5B48EFFE"/>
    <w:rsid w:val="5B4A3E9C"/>
    <w:rsid w:val="5B7DA682"/>
    <w:rsid w:val="5BDF1EE8"/>
    <w:rsid w:val="5C374D8C"/>
    <w:rsid w:val="5C86AFAF"/>
    <w:rsid w:val="5CBE68AB"/>
    <w:rsid w:val="5CE25BB9"/>
    <w:rsid w:val="5D0FBFDC"/>
    <w:rsid w:val="5D200726"/>
    <w:rsid w:val="5D6B6F04"/>
    <w:rsid w:val="5D7A1394"/>
    <w:rsid w:val="5D7A4665"/>
    <w:rsid w:val="5DAB7E78"/>
    <w:rsid w:val="5DDEFC0E"/>
    <w:rsid w:val="5E04E0F8"/>
    <w:rsid w:val="5E24CE7C"/>
    <w:rsid w:val="5E3D0C5A"/>
    <w:rsid w:val="5E5F5AFC"/>
    <w:rsid w:val="5E72A2DF"/>
    <w:rsid w:val="5E7DFA34"/>
    <w:rsid w:val="5EA412B8"/>
    <w:rsid w:val="5EE35134"/>
    <w:rsid w:val="5F15C354"/>
    <w:rsid w:val="5F326A5D"/>
    <w:rsid w:val="5F5680CD"/>
    <w:rsid w:val="5F61BE93"/>
    <w:rsid w:val="5F6262C8"/>
    <w:rsid w:val="5F73429F"/>
    <w:rsid w:val="5F7D0C88"/>
    <w:rsid w:val="5F7E9240"/>
    <w:rsid w:val="5F987CD2"/>
    <w:rsid w:val="5FC1B8CB"/>
    <w:rsid w:val="602F7F92"/>
    <w:rsid w:val="603CA67D"/>
    <w:rsid w:val="604B8BE9"/>
    <w:rsid w:val="6082BA36"/>
    <w:rsid w:val="60DE4964"/>
    <w:rsid w:val="60E4C7CA"/>
    <w:rsid w:val="60EF826F"/>
    <w:rsid w:val="60FD0ACA"/>
    <w:rsid w:val="6109C550"/>
    <w:rsid w:val="610D2995"/>
    <w:rsid w:val="616FA0B4"/>
    <w:rsid w:val="6223CB29"/>
    <w:rsid w:val="622FDFE0"/>
    <w:rsid w:val="62418218"/>
    <w:rsid w:val="62F90331"/>
    <w:rsid w:val="630228F3"/>
    <w:rsid w:val="63362F35"/>
    <w:rsid w:val="634F9A56"/>
    <w:rsid w:val="6354F3F4"/>
    <w:rsid w:val="635D6A9C"/>
    <w:rsid w:val="6383DC85"/>
    <w:rsid w:val="63959E1B"/>
    <w:rsid w:val="64040645"/>
    <w:rsid w:val="640B042B"/>
    <w:rsid w:val="641C688C"/>
    <w:rsid w:val="6422FBE8"/>
    <w:rsid w:val="64B1B97A"/>
    <w:rsid w:val="64B2F727"/>
    <w:rsid w:val="655E32E8"/>
    <w:rsid w:val="65C8E61A"/>
    <w:rsid w:val="65D3FDEB"/>
    <w:rsid w:val="666C77F1"/>
    <w:rsid w:val="666D945C"/>
    <w:rsid w:val="66834243"/>
    <w:rsid w:val="668E52A1"/>
    <w:rsid w:val="66C19F36"/>
    <w:rsid w:val="672154E8"/>
    <w:rsid w:val="6729F9E4"/>
    <w:rsid w:val="675706C4"/>
    <w:rsid w:val="678F9DCB"/>
    <w:rsid w:val="679CE337"/>
    <w:rsid w:val="679EF0A6"/>
    <w:rsid w:val="67B3AA3E"/>
    <w:rsid w:val="680330DA"/>
    <w:rsid w:val="68084852"/>
    <w:rsid w:val="680AA0FC"/>
    <w:rsid w:val="6823F173"/>
    <w:rsid w:val="6831388D"/>
    <w:rsid w:val="68734CCE"/>
    <w:rsid w:val="6884ADC3"/>
    <w:rsid w:val="689A201E"/>
    <w:rsid w:val="68AA3618"/>
    <w:rsid w:val="68C3467E"/>
    <w:rsid w:val="68C7340A"/>
    <w:rsid w:val="68EBD321"/>
    <w:rsid w:val="68F05292"/>
    <w:rsid w:val="690BF55A"/>
    <w:rsid w:val="694DE4AF"/>
    <w:rsid w:val="6953CBA3"/>
    <w:rsid w:val="695A099C"/>
    <w:rsid w:val="6993E032"/>
    <w:rsid w:val="69950CE6"/>
    <w:rsid w:val="69F37C8F"/>
    <w:rsid w:val="69FC054E"/>
    <w:rsid w:val="6A31A338"/>
    <w:rsid w:val="6A789E32"/>
    <w:rsid w:val="6A892B86"/>
    <w:rsid w:val="6AC40783"/>
    <w:rsid w:val="6ACFEC2D"/>
    <w:rsid w:val="6AF84275"/>
    <w:rsid w:val="6B12FF5F"/>
    <w:rsid w:val="6B1CA7BA"/>
    <w:rsid w:val="6B227CA7"/>
    <w:rsid w:val="6B2ADE13"/>
    <w:rsid w:val="6B47DD15"/>
    <w:rsid w:val="6B66DD07"/>
    <w:rsid w:val="6B76A297"/>
    <w:rsid w:val="6BA3A083"/>
    <w:rsid w:val="6BC084BC"/>
    <w:rsid w:val="6BEFE408"/>
    <w:rsid w:val="6BF7398B"/>
    <w:rsid w:val="6BFB53C3"/>
    <w:rsid w:val="6C012247"/>
    <w:rsid w:val="6C0C1751"/>
    <w:rsid w:val="6C5AC28E"/>
    <w:rsid w:val="6C734078"/>
    <w:rsid w:val="6D388ACD"/>
    <w:rsid w:val="6D399310"/>
    <w:rsid w:val="6D4DE1C2"/>
    <w:rsid w:val="6DA5DB11"/>
    <w:rsid w:val="6DBDC532"/>
    <w:rsid w:val="6DCD7158"/>
    <w:rsid w:val="6DCE857B"/>
    <w:rsid w:val="6DF692EF"/>
    <w:rsid w:val="6E22C5F0"/>
    <w:rsid w:val="6E2652F8"/>
    <w:rsid w:val="6E273CC6"/>
    <w:rsid w:val="6E2E8C65"/>
    <w:rsid w:val="6E73A09E"/>
    <w:rsid w:val="6E85CFE6"/>
    <w:rsid w:val="6E9A5B95"/>
    <w:rsid w:val="6EB7689D"/>
    <w:rsid w:val="6EB90242"/>
    <w:rsid w:val="6F0F57FA"/>
    <w:rsid w:val="6F433DEC"/>
    <w:rsid w:val="6F56613E"/>
    <w:rsid w:val="6F6D9676"/>
    <w:rsid w:val="6F9CFB4E"/>
    <w:rsid w:val="6FA93867"/>
    <w:rsid w:val="6FF1C898"/>
    <w:rsid w:val="701F1C59"/>
    <w:rsid w:val="70564B02"/>
    <w:rsid w:val="705AF8C6"/>
    <w:rsid w:val="7065BF12"/>
    <w:rsid w:val="709C5406"/>
    <w:rsid w:val="70A61365"/>
    <w:rsid w:val="70B94B85"/>
    <w:rsid w:val="70B9AF62"/>
    <w:rsid w:val="70C62A84"/>
    <w:rsid w:val="71027EFB"/>
    <w:rsid w:val="715206A5"/>
    <w:rsid w:val="715D2DAF"/>
    <w:rsid w:val="715EDD88"/>
    <w:rsid w:val="717CFE13"/>
    <w:rsid w:val="718B9EF1"/>
    <w:rsid w:val="71B279F6"/>
    <w:rsid w:val="71D3E673"/>
    <w:rsid w:val="71E6D5C9"/>
    <w:rsid w:val="72900222"/>
    <w:rsid w:val="72AE03D1"/>
    <w:rsid w:val="72B1A0E6"/>
    <w:rsid w:val="72BE3C31"/>
    <w:rsid w:val="72C333B7"/>
    <w:rsid w:val="72DF6CC1"/>
    <w:rsid w:val="7339C69D"/>
    <w:rsid w:val="7350890C"/>
    <w:rsid w:val="7350ED4A"/>
    <w:rsid w:val="73591C33"/>
    <w:rsid w:val="7361ABBB"/>
    <w:rsid w:val="7366BF17"/>
    <w:rsid w:val="73F6B1DD"/>
    <w:rsid w:val="74235A4E"/>
    <w:rsid w:val="74A57A01"/>
    <w:rsid w:val="75C19A30"/>
    <w:rsid w:val="75EFD89F"/>
    <w:rsid w:val="7605DDC6"/>
    <w:rsid w:val="76277688"/>
    <w:rsid w:val="763E3A83"/>
    <w:rsid w:val="7656C8F9"/>
    <w:rsid w:val="769CB8DA"/>
    <w:rsid w:val="76C1E918"/>
    <w:rsid w:val="76C27A82"/>
    <w:rsid w:val="775BE799"/>
    <w:rsid w:val="77721A9E"/>
    <w:rsid w:val="77727576"/>
    <w:rsid w:val="77746798"/>
    <w:rsid w:val="77CF54BA"/>
    <w:rsid w:val="78428838"/>
    <w:rsid w:val="784AD138"/>
    <w:rsid w:val="785E4AE3"/>
    <w:rsid w:val="788B0A41"/>
    <w:rsid w:val="7891D60F"/>
    <w:rsid w:val="78A61079"/>
    <w:rsid w:val="78C6A92B"/>
    <w:rsid w:val="795CBA19"/>
    <w:rsid w:val="79666FDB"/>
    <w:rsid w:val="79A664FA"/>
    <w:rsid w:val="79AFC84C"/>
    <w:rsid w:val="7A1A5E20"/>
    <w:rsid w:val="7A3D51D9"/>
    <w:rsid w:val="7A59D17B"/>
    <w:rsid w:val="7AA7A8A8"/>
    <w:rsid w:val="7AB79616"/>
    <w:rsid w:val="7ADD7CC3"/>
    <w:rsid w:val="7B0106D5"/>
    <w:rsid w:val="7B0DAD54"/>
    <w:rsid w:val="7B255595"/>
    <w:rsid w:val="7B36F93F"/>
    <w:rsid w:val="7B3F86FF"/>
    <w:rsid w:val="7B710272"/>
    <w:rsid w:val="7B79AF12"/>
    <w:rsid w:val="7B86B3A4"/>
    <w:rsid w:val="7BBF3F1A"/>
    <w:rsid w:val="7BF2552F"/>
    <w:rsid w:val="7BF47C98"/>
    <w:rsid w:val="7BF490D4"/>
    <w:rsid w:val="7C2867DD"/>
    <w:rsid w:val="7C3E07FE"/>
    <w:rsid w:val="7C648B9B"/>
    <w:rsid w:val="7CA0663E"/>
    <w:rsid w:val="7CCC336D"/>
    <w:rsid w:val="7CD0CED2"/>
    <w:rsid w:val="7CDF0FED"/>
    <w:rsid w:val="7D0FC411"/>
    <w:rsid w:val="7D3AE4BE"/>
    <w:rsid w:val="7D52C386"/>
    <w:rsid w:val="7D762381"/>
    <w:rsid w:val="7D8E6B9F"/>
    <w:rsid w:val="7D969C17"/>
    <w:rsid w:val="7D977E31"/>
    <w:rsid w:val="7DB40E28"/>
    <w:rsid w:val="7DB7FC0D"/>
    <w:rsid w:val="7DD7C8E2"/>
    <w:rsid w:val="7DE36099"/>
    <w:rsid w:val="7E10EA23"/>
    <w:rsid w:val="7E416723"/>
    <w:rsid w:val="7E44CE40"/>
    <w:rsid w:val="7E5BFB04"/>
    <w:rsid w:val="7E7CF5F5"/>
    <w:rsid w:val="7E9F5650"/>
    <w:rsid w:val="7EF7CD23"/>
    <w:rsid w:val="7F0733B4"/>
    <w:rsid w:val="7F0B5A35"/>
    <w:rsid w:val="7F5B2A0C"/>
    <w:rsid w:val="7FF4D4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687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DDC"/>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6D60F7"/>
    <w:pPr>
      <w:keepNext/>
      <w:keepLines/>
      <w:numPr>
        <w:numId w:val="1"/>
      </w:numPr>
      <w:spacing w:before="120" w:after="120"/>
      <w:outlineLvl w:val="0"/>
    </w:pPr>
    <w:rPr>
      <w:rFonts w:eastAsiaTheme="majorEastAsia" w:cs="Times New Roman"/>
      <w:b/>
      <w:color w:val="0D0D0D" w:themeColor="text1" w:themeTint="F2"/>
      <w:szCs w:val="32"/>
    </w:rPr>
  </w:style>
  <w:style w:type="paragraph" w:styleId="Heading2">
    <w:name w:val="heading 2"/>
    <w:basedOn w:val="Normal"/>
    <w:next w:val="Normal"/>
    <w:link w:val="Heading2Char"/>
    <w:uiPriority w:val="9"/>
    <w:unhideWhenUsed/>
    <w:qFormat/>
    <w:rsid w:val="00796C27"/>
    <w:pPr>
      <w:keepNext/>
      <w:keepLines/>
      <w:numPr>
        <w:ilvl w:val="1"/>
        <w:numId w:val="2"/>
      </w:numPr>
      <w:spacing w:before="160" w:after="120"/>
      <w:outlineLvl w:val="1"/>
    </w:pPr>
    <w:rPr>
      <w:rFonts w:eastAsiaTheme="majorEastAsia" w:cs="Times New Roman"/>
      <w:b/>
      <w:color w:val="0D0D0D" w:themeColor="text1" w:themeTint="F2"/>
      <w:szCs w:val="26"/>
    </w:rPr>
  </w:style>
  <w:style w:type="paragraph" w:styleId="Heading3">
    <w:name w:val="heading 3"/>
    <w:basedOn w:val="Normal"/>
    <w:next w:val="Normal"/>
    <w:link w:val="Heading3Char"/>
    <w:uiPriority w:val="9"/>
    <w:unhideWhenUsed/>
    <w:qFormat/>
    <w:rsid w:val="00796C27"/>
    <w:pPr>
      <w:keepNext/>
      <w:keepLines/>
      <w:numPr>
        <w:ilvl w:val="2"/>
        <w:numId w:val="2"/>
      </w:numPr>
      <w:spacing w:before="80" w:after="80"/>
      <w:ind w:left="1224"/>
      <w:outlineLvl w:val="2"/>
    </w:pPr>
    <w:rPr>
      <w:rFonts w:eastAsiaTheme="majorEastAsia" w:cs="Times New Roman"/>
      <w:b/>
      <w:color w:val="0D0D0D" w:themeColor="text1" w:themeTint="F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D60F7"/>
    <w:rPr>
      <w:rFonts w:ascii="Times New Roman" w:eastAsiaTheme="majorEastAsia" w:hAnsi="Times New Roman" w:cs="Times New Roman"/>
      <w:b/>
      <w:color w:val="0D0D0D" w:themeColor="text1" w:themeTint="F2"/>
      <w:sz w:val="24"/>
      <w:szCs w:val="32"/>
    </w:rPr>
  </w:style>
  <w:style w:type="character" w:customStyle="1" w:styleId="Heading2Char">
    <w:name w:val="Heading 2 Char"/>
    <w:basedOn w:val="DefaultParagraphFont"/>
    <w:link w:val="Heading2"/>
    <w:uiPriority w:val="9"/>
    <w:rsid w:val="00796C27"/>
    <w:rPr>
      <w:rFonts w:ascii="Times New Roman" w:eastAsiaTheme="majorEastAsia" w:hAnsi="Times New Roman" w:cs="Times New Roman"/>
      <w:b/>
      <w:color w:val="0D0D0D" w:themeColor="text1" w:themeTint="F2"/>
      <w:sz w:val="24"/>
      <w:szCs w:val="26"/>
    </w:rPr>
  </w:style>
  <w:style w:type="character" w:customStyle="1" w:styleId="Heading3Char">
    <w:name w:val="Heading 3 Char"/>
    <w:basedOn w:val="DefaultParagraphFont"/>
    <w:link w:val="Heading3"/>
    <w:uiPriority w:val="9"/>
    <w:rsid w:val="00796C27"/>
    <w:rPr>
      <w:rFonts w:ascii="Times New Roman" w:eastAsiaTheme="majorEastAsia" w:hAnsi="Times New Roman" w:cs="Times New Roman"/>
      <w:b/>
      <w:color w:val="0D0D0D" w:themeColor="text1" w:themeTint="F2"/>
      <w:sz w:val="24"/>
      <w:szCs w:val="24"/>
    </w:rPr>
  </w:style>
  <w:style w:type="paragraph" w:styleId="TOCHeading">
    <w:name w:val="TOC Heading"/>
    <w:basedOn w:val="Heading1"/>
    <w:next w:val="Normal"/>
    <w:uiPriority w:val="39"/>
    <w:unhideWhenUsed/>
    <w:qFormat/>
    <w:rsid w:val="007C5095"/>
    <w:pPr>
      <w:outlineLvl w:val="9"/>
    </w:pPr>
    <w:rPr>
      <w:lang w:val="en-US"/>
    </w:rPr>
  </w:style>
  <w:style w:type="paragraph" w:styleId="TOC1">
    <w:name w:val="toc 1"/>
    <w:basedOn w:val="Normal"/>
    <w:next w:val="Normal"/>
    <w:autoRedefine/>
    <w:uiPriority w:val="39"/>
    <w:unhideWhenUsed/>
    <w:rsid w:val="00796C27"/>
    <w:pPr>
      <w:tabs>
        <w:tab w:val="left" w:pos="440"/>
        <w:tab w:val="right" w:leader="dot" w:pos="10456"/>
      </w:tabs>
      <w:spacing w:after="100"/>
    </w:pPr>
  </w:style>
  <w:style w:type="paragraph" w:styleId="TOC2">
    <w:name w:val="toc 2"/>
    <w:basedOn w:val="Normal"/>
    <w:next w:val="Normal"/>
    <w:autoRedefine/>
    <w:uiPriority w:val="39"/>
    <w:unhideWhenUsed/>
    <w:rsid w:val="00CA40E4"/>
    <w:pPr>
      <w:tabs>
        <w:tab w:val="left" w:pos="880"/>
        <w:tab w:val="right" w:leader="dot" w:pos="10456"/>
      </w:tabs>
      <w:spacing w:after="100"/>
      <w:ind w:left="220"/>
    </w:pPr>
  </w:style>
  <w:style w:type="paragraph" w:styleId="TOC3">
    <w:name w:val="toc 3"/>
    <w:basedOn w:val="Normal"/>
    <w:next w:val="Normal"/>
    <w:autoRedefine/>
    <w:uiPriority w:val="39"/>
    <w:unhideWhenUsed/>
    <w:rsid w:val="00062893"/>
    <w:pPr>
      <w:tabs>
        <w:tab w:val="left" w:pos="1320"/>
        <w:tab w:val="right" w:leader="dot" w:pos="10456"/>
      </w:tabs>
      <w:spacing w:after="100"/>
      <w:ind w:left="440"/>
    </w:pPr>
  </w:style>
  <w:style w:type="character" w:styleId="Hyperlink">
    <w:name w:val="Hyperlink"/>
    <w:basedOn w:val="DefaultParagraphFont"/>
    <w:uiPriority w:val="99"/>
    <w:unhideWhenUsed/>
    <w:rsid w:val="007C5095"/>
    <w:rPr>
      <w:color w:val="0563C1" w:themeColor="hyperlink"/>
      <w:u w:val="single"/>
    </w:rPr>
  </w:style>
  <w:style w:type="paragraph" w:styleId="BalloonText">
    <w:name w:val="Balloon Text"/>
    <w:basedOn w:val="Normal"/>
    <w:link w:val="BalloonTextChar"/>
    <w:uiPriority w:val="99"/>
    <w:semiHidden/>
    <w:unhideWhenUsed/>
    <w:rsid w:val="007C50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095"/>
    <w:rPr>
      <w:rFonts w:ascii="Segoe UI" w:hAnsi="Segoe UI" w:cs="Segoe UI"/>
      <w:sz w:val="18"/>
      <w:szCs w:val="18"/>
    </w:rPr>
  </w:style>
  <w:style w:type="paragraph" w:styleId="ListParagraph">
    <w:name w:val="List Paragraph"/>
    <w:aliases w:val="References,List1,1st level - Bullet List Paragraph,Lettre d'introduction,Paragrafo elenco,Normal bullet 2,Medium Grid 1 - Accent 21,FooterText,Bullet list,Bullet List Paragraph,Normal numbered,OBC Bullet,EC,PROVERE 1,6,Liste Paragraf,L"/>
    <w:basedOn w:val="Normal"/>
    <w:link w:val="ListParagraphChar"/>
    <w:uiPriority w:val="34"/>
    <w:qFormat/>
    <w:rsid w:val="00FE2E16"/>
    <w:pPr>
      <w:ind w:left="720"/>
      <w:contextualSpacing/>
    </w:pPr>
  </w:style>
  <w:style w:type="character" w:styleId="SubtleReference">
    <w:name w:val="Subtle Reference"/>
    <w:basedOn w:val="DefaultParagraphFont"/>
    <w:uiPriority w:val="31"/>
    <w:qFormat/>
    <w:rsid w:val="00AF441D"/>
    <w:rPr>
      <w:smallCaps/>
      <w:color w:val="5A5A5A" w:themeColor="text1" w:themeTint="A5"/>
    </w:rPr>
  </w:style>
  <w:style w:type="paragraph" w:styleId="Header">
    <w:name w:val="header"/>
    <w:basedOn w:val="Normal"/>
    <w:link w:val="HeaderChar"/>
    <w:uiPriority w:val="99"/>
    <w:unhideWhenUsed/>
    <w:rsid w:val="0022259C"/>
    <w:pPr>
      <w:tabs>
        <w:tab w:val="center" w:pos="4513"/>
        <w:tab w:val="right" w:pos="9026"/>
      </w:tabs>
    </w:pPr>
  </w:style>
  <w:style w:type="character" w:customStyle="1" w:styleId="HeaderChar">
    <w:name w:val="Header Char"/>
    <w:basedOn w:val="DefaultParagraphFont"/>
    <w:link w:val="Header"/>
    <w:uiPriority w:val="99"/>
    <w:rsid w:val="0022259C"/>
  </w:style>
  <w:style w:type="paragraph" w:styleId="Footer">
    <w:name w:val="footer"/>
    <w:basedOn w:val="Normal"/>
    <w:link w:val="FooterChar"/>
    <w:uiPriority w:val="99"/>
    <w:unhideWhenUsed/>
    <w:rsid w:val="0022259C"/>
    <w:pPr>
      <w:tabs>
        <w:tab w:val="center" w:pos="4513"/>
        <w:tab w:val="right" w:pos="9026"/>
      </w:tabs>
    </w:pPr>
  </w:style>
  <w:style w:type="character" w:customStyle="1" w:styleId="FooterChar">
    <w:name w:val="Footer Char"/>
    <w:basedOn w:val="DefaultParagraphFont"/>
    <w:link w:val="Footer"/>
    <w:uiPriority w:val="99"/>
    <w:rsid w:val="0022259C"/>
  </w:style>
  <w:style w:type="paragraph" w:customStyle="1" w:styleId="Text1">
    <w:name w:val="Text 1"/>
    <w:basedOn w:val="Normal"/>
    <w:link w:val="Text1Car"/>
    <w:qFormat/>
    <w:rsid w:val="001E0154"/>
    <w:pPr>
      <w:spacing w:before="120" w:after="120"/>
      <w:ind w:left="850"/>
    </w:pPr>
    <w:rPr>
      <w:rFonts w:eastAsia="Times New Roman" w:cs="Times New Roman"/>
      <w:szCs w:val="24"/>
    </w:rPr>
  </w:style>
  <w:style w:type="paragraph" w:customStyle="1" w:styleId="Text2">
    <w:name w:val="Text 2"/>
    <w:basedOn w:val="Normal"/>
    <w:rsid w:val="001E0154"/>
    <w:pPr>
      <w:spacing w:before="120" w:after="120"/>
      <w:ind w:left="850"/>
    </w:pPr>
    <w:rPr>
      <w:rFonts w:eastAsia="Times New Roman" w:cs="Times New Roman"/>
      <w:szCs w:val="24"/>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qFormat/>
    <w:rsid w:val="001E0154"/>
    <w:rPr>
      <w:rFonts w:eastAsia="Times New Roman" w:cs="Times New Roman"/>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qFormat/>
    <w:rsid w:val="001E0154"/>
    <w:rPr>
      <w:rFonts w:ascii="Times New Roman" w:eastAsia="Times New Roman" w:hAnsi="Times New Roman" w:cs="Times New Roman"/>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BVI fnr Zchn"/>
    <w:link w:val="BVIfnrChar1"/>
    <w:uiPriority w:val="99"/>
    <w:qFormat/>
    <w:rsid w:val="001E0154"/>
    <w:rPr>
      <w:shd w:val="clear" w:color="auto" w:fill="auto"/>
      <w:vertAlign w:val="superscript"/>
    </w:rPr>
  </w:style>
  <w:style w:type="character" w:styleId="CommentReference">
    <w:name w:val="annotation reference"/>
    <w:uiPriority w:val="99"/>
    <w:rsid w:val="001E0154"/>
    <w:rPr>
      <w:sz w:val="16"/>
      <w:szCs w:val="16"/>
    </w:rPr>
  </w:style>
  <w:style w:type="paragraph" w:customStyle="1" w:styleId="BVIfnrChar1">
    <w:name w:val="BVI fnr Char1"/>
    <w:aliases w:val="Appel note de bas de p.;BVI fnr Car Car Car Car, BVI fnr Car Car,BVI fnr Car, BVI fnr Car Car Car Car, BVI fnr Car Car Car Car Char,Appel note de bas de p..BVI fnr Car Car Car Car, BVI fnr, BVI fnr Char,Appel note de bas de p."/>
    <w:basedOn w:val="Normal"/>
    <w:link w:val="FootnoteReference"/>
    <w:uiPriority w:val="99"/>
    <w:rsid w:val="001E0154"/>
    <w:pPr>
      <w:spacing w:line="240" w:lineRule="exact"/>
    </w:pPr>
    <w:rPr>
      <w:vertAlign w:val="superscript"/>
    </w:rPr>
  </w:style>
  <w:style w:type="paragraph" w:styleId="NormalWeb">
    <w:name w:val="Normal (Web)"/>
    <w:basedOn w:val="Normal"/>
    <w:uiPriority w:val="99"/>
    <w:unhideWhenUsed/>
    <w:rsid w:val="003514A8"/>
    <w:pPr>
      <w:spacing w:before="100" w:beforeAutospacing="1" w:after="100" w:afterAutospacing="1"/>
    </w:pPr>
    <w:rPr>
      <w:rFonts w:eastAsia="Times New Roman" w:cs="Times New Roman"/>
      <w:szCs w:val="24"/>
      <w:lang w:eastAsia="en-GB"/>
    </w:rPr>
  </w:style>
  <w:style w:type="paragraph" w:customStyle="1" w:styleId="Default">
    <w:name w:val="Default"/>
    <w:rsid w:val="00B12C8C"/>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Marker1">
    <w:name w:val="Marker1"/>
    <w:rsid w:val="003E3C67"/>
    <w:rPr>
      <w:color w:val="008000"/>
      <w:shd w:val="clear" w:color="auto" w:fill="auto"/>
    </w:rPr>
  </w:style>
  <w:style w:type="paragraph" w:styleId="Revision">
    <w:name w:val="Revision"/>
    <w:hidden/>
    <w:uiPriority w:val="99"/>
    <w:semiHidden/>
    <w:rsid w:val="003E3C67"/>
    <w:pPr>
      <w:spacing w:after="0" w:line="240" w:lineRule="auto"/>
    </w:pPr>
    <w:rPr>
      <w:rFonts w:ascii="Times New Roman" w:eastAsia="Times New Roman" w:hAnsi="Times New Roman" w:cs="Times New Roman"/>
      <w:sz w:val="24"/>
      <w:szCs w:val="24"/>
      <w:lang w:eastAsia="en-GB"/>
    </w:rPr>
  </w:style>
  <w:style w:type="paragraph" w:styleId="CommentText">
    <w:name w:val="annotation text"/>
    <w:aliases w:val="Char Char"/>
    <w:basedOn w:val="Normal"/>
    <w:link w:val="CommentTextChar"/>
    <w:rsid w:val="00D66381"/>
    <w:rPr>
      <w:rFonts w:eastAsia="Times New Roman" w:cs="Times New Roman"/>
      <w:sz w:val="20"/>
      <w:szCs w:val="20"/>
      <w:lang w:eastAsia="en-GB"/>
    </w:rPr>
  </w:style>
  <w:style w:type="character" w:customStyle="1" w:styleId="CommentTextChar">
    <w:name w:val="Comment Text Char"/>
    <w:aliases w:val="Char Char Char"/>
    <w:basedOn w:val="DefaultParagraphFont"/>
    <w:link w:val="CommentText"/>
    <w:rsid w:val="00D66381"/>
    <w:rPr>
      <w:rFonts w:ascii="Times New Roman" w:eastAsia="Times New Roman" w:hAnsi="Times New Roman" w:cs="Times New Roman"/>
      <w:sz w:val="20"/>
      <w:szCs w:val="20"/>
      <w:lang w:eastAsia="en-GB"/>
    </w:rPr>
  </w:style>
  <w:style w:type="paragraph" w:customStyle="1" w:styleId="ColorfulList-Accent11">
    <w:name w:val="Colorful List - Accent 11"/>
    <w:aliases w:val="Dot pt,F5 List Paragraph,List Paragraph1,No Spacing1,List Paragraph Char Char Char,Indicator Text,Colorful List - Accent 111,Numbered Para 1,Bullet 1,Bullet Points,MAIN CONTENT,List Paragraph11,List Paragraph12,List Paragraph2"/>
    <w:basedOn w:val="Normal"/>
    <w:link w:val="ColorfulList-Accent1Char"/>
    <w:uiPriority w:val="34"/>
    <w:qFormat/>
    <w:rsid w:val="00D66381"/>
    <w:pPr>
      <w:ind w:left="720"/>
    </w:pPr>
    <w:rPr>
      <w:rFonts w:ascii="Calibri" w:eastAsia="Calibri" w:hAnsi="Calibri" w:cs="Times New Roman"/>
    </w:rPr>
  </w:style>
  <w:style w:type="character" w:customStyle="1" w:styleId="ColorfulList-Accent1Char">
    <w:name w:val="Colorful List - Accent 1 Char"/>
    <w:aliases w:val="Dot pt Char,F5 List Paragraph Char,List Paragraph1 Char,No Spacing1 Char,List Paragraph Char Char Char Char,Indicator Text Char,Colorful List - Accent 11 Char,Numbered Para 1 Char,Bullet 1 Char,Bullet Points Char,L Char"/>
    <w:link w:val="ColorfulList-Accent11"/>
    <w:uiPriority w:val="34"/>
    <w:qFormat/>
    <w:locked/>
    <w:rsid w:val="00D66381"/>
    <w:rPr>
      <w:rFonts w:ascii="Calibri" w:eastAsia="Calibri" w:hAnsi="Calibri" w:cs="Times New Roman"/>
    </w:rPr>
  </w:style>
  <w:style w:type="paragraph" w:customStyle="1" w:styleId="CorpoA">
    <w:name w:val="Corpo A"/>
    <w:rsid w:val="00D6638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GB"/>
    </w:rPr>
  </w:style>
  <w:style w:type="paragraph" w:customStyle="1" w:styleId="Corpo">
    <w:name w:val="Corpo"/>
    <w:rsid w:val="00D66381"/>
    <w:pPr>
      <w:spacing w:after="0" w:line="240" w:lineRule="auto"/>
    </w:pPr>
    <w:rPr>
      <w:rFonts w:ascii="Times New Roman" w:eastAsia="Times New Roman" w:hAnsi="Times New Roman" w:cs="Times New Roman"/>
      <w:color w:val="000000"/>
      <w:sz w:val="24"/>
      <w:szCs w:val="24"/>
      <w:u w:color="000000"/>
      <w:lang w:eastAsia="en-GB"/>
    </w:rPr>
  </w:style>
  <w:style w:type="paragraph" w:styleId="CommentSubject">
    <w:name w:val="annotation subject"/>
    <w:basedOn w:val="CommentText"/>
    <w:next w:val="CommentText"/>
    <w:link w:val="CommentSubjectChar"/>
    <w:unhideWhenUsed/>
    <w:rsid w:val="00B06AF2"/>
    <w:rPr>
      <w:rFonts w:eastAsiaTheme="minorHAnsi" w:cstheme="minorBidi"/>
      <w:b/>
      <w:bCs/>
      <w:lang w:eastAsia="en-US"/>
    </w:rPr>
  </w:style>
  <w:style w:type="character" w:customStyle="1" w:styleId="CommentSubjectChar">
    <w:name w:val="Comment Subject Char"/>
    <w:basedOn w:val="CommentTextChar"/>
    <w:link w:val="CommentSubject"/>
    <w:rsid w:val="00B06AF2"/>
    <w:rPr>
      <w:rFonts w:ascii="Times New Roman" w:eastAsia="Times New Roman" w:hAnsi="Times New Roman" w:cs="Times New Roman"/>
      <w:b/>
      <w:bCs/>
      <w:sz w:val="20"/>
      <w:szCs w:val="20"/>
      <w:lang w:eastAsia="en-GB"/>
    </w:rPr>
  </w:style>
  <w:style w:type="table" w:styleId="GridTable1Light-Accent1">
    <w:name w:val="Grid Table 1 Light Accent 1"/>
    <w:basedOn w:val="TableNormal"/>
    <w:uiPriority w:val="46"/>
    <w:rsid w:val="00606A04"/>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6C31F7"/>
    <w:rPr>
      <w:color w:val="954F72" w:themeColor="followedHyperlink"/>
      <w:u w:val="single"/>
    </w:rPr>
  </w:style>
  <w:style w:type="paragraph" w:customStyle="1" w:styleId="paragraph">
    <w:name w:val="paragraph"/>
    <w:basedOn w:val="Normal"/>
    <w:rsid w:val="003E5202"/>
    <w:pPr>
      <w:spacing w:before="100" w:beforeAutospacing="1" w:after="100" w:afterAutospacing="1"/>
    </w:pPr>
    <w:rPr>
      <w:rFonts w:eastAsia="Times New Roman" w:cs="Times New Roman"/>
      <w:szCs w:val="24"/>
      <w:lang w:eastAsia="en-GB"/>
    </w:rPr>
  </w:style>
  <w:style w:type="character" w:customStyle="1" w:styleId="normaltextrun">
    <w:name w:val="normaltextrun"/>
    <w:basedOn w:val="DefaultParagraphFont"/>
    <w:rsid w:val="003E5202"/>
  </w:style>
  <w:style w:type="character" w:customStyle="1" w:styleId="eop">
    <w:name w:val="eop"/>
    <w:basedOn w:val="DefaultParagraphFont"/>
    <w:rsid w:val="003E5202"/>
  </w:style>
  <w:style w:type="paragraph" w:styleId="ListNumber2">
    <w:name w:val="List Number 2"/>
    <w:basedOn w:val="Normal"/>
    <w:unhideWhenUsed/>
    <w:rsid w:val="00A074EA"/>
    <w:pPr>
      <w:numPr>
        <w:numId w:val="3"/>
      </w:numPr>
      <w:spacing w:before="120" w:after="120"/>
    </w:pPr>
    <w:rPr>
      <w:rFonts w:eastAsia="Times New Roman" w:cs="Times New Roman"/>
      <w:szCs w:val="24"/>
      <w:lang w:eastAsia="de-DE"/>
    </w:rPr>
  </w:style>
  <w:style w:type="paragraph" w:customStyle="1" w:styleId="ListNumber2Level2">
    <w:name w:val="List Number 2 (Level 2)"/>
    <w:basedOn w:val="Normal"/>
    <w:rsid w:val="00A074EA"/>
    <w:pPr>
      <w:numPr>
        <w:ilvl w:val="1"/>
        <w:numId w:val="3"/>
      </w:numPr>
      <w:spacing w:before="120" w:after="120"/>
    </w:pPr>
    <w:rPr>
      <w:rFonts w:eastAsia="Times New Roman" w:cs="Times New Roman"/>
      <w:szCs w:val="24"/>
      <w:lang w:eastAsia="de-DE"/>
    </w:rPr>
  </w:style>
  <w:style w:type="paragraph" w:customStyle="1" w:styleId="ListNumber2Level3">
    <w:name w:val="List Number 2 (Level 3)"/>
    <w:basedOn w:val="Normal"/>
    <w:rsid w:val="00A074EA"/>
    <w:pPr>
      <w:numPr>
        <w:ilvl w:val="2"/>
        <w:numId w:val="3"/>
      </w:numPr>
      <w:spacing w:before="120" w:after="120"/>
    </w:pPr>
    <w:rPr>
      <w:rFonts w:eastAsia="Times New Roman" w:cs="Times New Roman"/>
      <w:szCs w:val="24"/>
      <w:lang w:eastAsia="de-DE"/>
    </w:rPr>
  </w:style>
  <w:style w:type="paragraph" w:customStyle="1" w:styleId="ListNumber2Level4">
    <w:name w:val="List Number 2 (Level 4)"/>
    <w:basedOn w:val="Normal"/>
    <w:rsid w:val="00A074EA"/>
    <w:pPr>
      <w:numPr>
        <w:ilvl w:val="3"/>
        <w:numId w:val="3"/>
      </w:numPr>
      <w:spacing w:before="120" w:after="120"/>
    </w:pPr>
    <w:rPr>
      <w:rFonts w:eastAsia="Times New Roman" w:cs="Times New Roman"/>
      <w:szCs w:val="24"/>
      <w:lang w:eastAsia="de-DE"/>
    </w:rPr>
  </w:style>
  <w:style w:type="paragraph" w:styleId="Caption">
    <w:name w:val="caption"/>
    <w:basedOn w:val="Normal"/>
    <w:next w:val="Normal"/>
    <w:uiPriority w:val="35"/>
    <w:unhideWhenUsed/>
    <w:qFormat/>
    <w:rsid w:val="00DC6541"/>
    <w:pPr>
      <w:spacing w:after="200"/>
    </w:pPr>
    <w:rPr>
      <w:rFonts w:asciiTheme="minorHAnsi" w:hAnsiTheme="minorHAnsi"/>
      <w:b/>
      <w:bCs/>
      <w:color w:val="5B9BD5" w:themeColor="accent1"/>
      <w:sz w:val="18"/>
      <w:szCs w:val="18"/>
    </w:rPr>
  </w:style>
  <w:style w:type="paragraph" w:customStyle="1" w:styleId="ListNumber1">
    <w:name w:val="List Number 1"/>
    <w:basedOn w:val="Text1"/>
    <w:rsid w:val="00897992"/>
    <w:pPr>
      <w:numPr>
        <w:numId w:val="4"/>
      </w:numPr>
    </w:pPr>
    <w:rPr>
      <w:szCs w:val="20"/>
      <w:lang w:eastAsia="zh-CN"/>
    </w:rPr>
  </w:style>
  <w:style w:type="paragraph" w:customStyle="1" w:styleId="ListNumber1Level2">
    <w:name w:val="List Number 1 (Level 2)"/>
    <w:basedOn w:val="Text1"/>
    <w:rsid w:val="00897992"/>
    <w:pPr>
      <w:numPr>
        <w:ilvl w:val="1"/>
        <w:numId w:val="4"/>
      </w:numPr>
    </w:pPr>
    <w:rPr>
      <w:lang w:eastAsia="de-DE"/>
    </w:rPr>
  </w:style>
  <w:style w:type="paragraph" w:customStyle="1" w:styleId="ListNumber1Level3">
    <w:name w:val="List Number 1 (Level 3)"/>
    <w:basedOn w:val="Text1"/>
    <w:rsid w:val="00897992"/>
    <w:pPr>
      <w:numPr>
        <w:ilvl w:val="2"/>
        <w:numId w:val="4"/>
      </w:numPr>
    </w:pPr>
    <w:rPr>
      <w:szCs w:val="20"/>
      <w:lang w:eastAsia="zh-CN"/>
    </w:rPr>
  </w:style>
  <w:style w:type="paragraph" w:customStyle="1" w:styleId="ListNumber1Level4">
    <w:name w:val="List Number 1 (Level 4)"/>
    <w:basedOn w:val="Text1"/>
    <w:rsid w:val="00897992"/>
    <w:pPr>
      <w:numPr>
        <w:ilvl w:val="3"/>
        <w:numId w:val="4"/>
      </w:numPr>
    </w:pPr>
    <w:rPr>
      <w:szCs w:val="20"/>
      <w:lang w:eastAsia="zh-CN"/>
    </w:rPr>
  </w:style>
  <w:style w:type="paragraph" w:styleId="EndnoteText">
    <w:name w:val="endnote text"/>
    <w:basedOn w:val="Normal"/>
    <w:link w:val="EndnoteTextChar"/>
    <w:uiPriority w:val="99"/>
    <w:semiHidden/>
    <w:unhideWhenUsed/>
    <w:rsid w:val="001C3CCE"/>
    <w:rPr>
      <w:sz w:val="20"/>
      <w:szCs w:val="20"/>
    </w:rPr>
  </w:style>
  <w:style w:type="character" w:customStyle="1" w:styleId="EndnoteTextChar">
    <w:name w:val="Endnote Text Char"/>
    <w:basedOn w:val="DefaultParagraphFont"/>
    <w:link w:val="EndnoteText"/>
    <w:uiPriority w:val="99"/>
    <w:semiHidden/>
    <w:rsid w:val="001C3CCE"/>
    <w:rPr>
      <w:rFonts w:ascii="Times New Roman" w:hAnsi="Times New Roman"/>
      <w:sz w:val="20"/>
      <w:szCs w:val="20"/>
    </w:rPr>
  </w:style>
  <w:style w:type="character" w:styleId="EndnoteReference">
    <w:name w:val="endnote reference"/>
    <w:basedOn w:val="DefaultParagraphFont"/>
    <w:uiPriority w:val="99"/>
    <w:semiHidden/>
    <w:unhideWhenUsed/>
    <w:rsid w:val="001C3CCE"/>
    <w:rPr>
      <w:vertAlign w:val="superscript"/>
    </w:rPr>
  </w:style>
  <w:style w:type="character" w:styleId="Emphasis">
    <w:name w:val="Emphasis"/>
    <w:qFormat/>
    <w:rsid w:val="007D1BA8"/>
    <w:rPr>
      <w:i/>
      <w:iCs/>
    </w:rPr>
  </w:style>
  <w:style w:type="character" w:customStyle="1" w:styleId="UnresolvedMention1">
    <w:name w:val="Unresolved Mention1"/>
    <w:basedOn w:val="DefaultParagraphFont"/>
    <w:uiPriority w:val="99"/>
    <w:semiHidden/>
    <w:unhideWhenUsed/>
    <w:rsid w:val="006A6F9B"/>
    <w:rPr>
      <w:color w:val="605E5C"/>
      <w:shd w:val="clear" w:color="auto" w:fill="E1DFDD"/>
    </w:rPr>
  </w:style>
  <w:style w:type="paragraph" w:customStyle="1" w:styleId="Fichedinformationtitre">
    <w:name w:val="Fiche d'information titre"/>
    <w:basedOn w:val="Normal"/>
    <w:next w:val="Normal"/>
    <w:rsid w:val="00AB6F8E"/>
    <w:pPr>
      <w:spacing w:before="120" w:after="120"/>
      <w:jc w:val="center"/>
    </w:pPr>
    <w:rPr>
      <w:rFonts w:eastAsia="Times New Roman" w:cs="Times New Roman"/>
      <w:b/>
      <w:szCs w:val="24"/>
      <w:u w:val="single"/>
    </w:rPr>
  </w:style>
  <w:style w:type="character" w:customStyle="1" w:styleId="Text1Car">
    <w:name w:val="Text 1 Car"/>
    <w:link w:val="Text1"/>
    <w:rsid w:val="00C000C0"/>
    <w:rPr>
      <w:rFonts w:ascii="Times New Roman" w:eastAsia="Times New Roman" w:hAnsi="Times New Roman" w:cs="Times New Roman"/>
      <w:sz w:val="24"/>
      <w:szCs w:val="24"/>
    </w:rPr>
  </w:style>
  <w:style w:type="character" w:styleId="Strong">
    <w:name w:val="Strong"/>
    <w:basedOn w:val="DefaultParagraphFont"/>
    <w:uiPriority w:val="22"/>
    <w:qFormat/>
    <w:rsid w:val="00DB0150"/>
    <w:rPr>
      <w:b/>
      <w:bCs/>
    </w:rPr>
  </w:style>
  <w:style w:type="paragraph" w:customStyle="1" w:styleId="AutoCorrect">
    <w:name w:val="AutoCorrect"/>
    <w:rsid w:val="000F68AF"/>
    <w:rPr>
      <w:rFonts w:eastAsiaTheme="minorEastAsia"/>
      <w:lang w:eastAsia="en-GB"/>
    </w:rPr>
  </w:style>
  <w:style w:type="paragraph" w:customStyle="1" w:styleId="Style1">
    <w:name w:val="Style1"/>
    <w:basedOn w:val="CommentText"/>
    <w:link w:val="Style1Char"/>
    <w:qFormat/>
    <w:rsid w:val="00E204C7"/>
    <w:pPr>
      <w:shd w:val="clear" w:color="auto" w:fill="B4C6E7" w:themeFill="accent5" w:themeFillTint="66"/>
    </w:pPr>
  </w:style>
  <w:style w:type="paragraph" w:customStyle="1" w:styleId="Style2">
    <w:name w:val="Style2"/>
    <w:basedOn w:val="Normal"/>
    <w:link w:val="Style2Char"/>
    <w:qFormat/>
    <w:rsid w:val="004522C9"/>
    <w:pPr>
      <w:shd w:val="clear" w:color="auto" w:fill="B4C6E7" w:themeFill="accent5" w:themeFillTint="66"/>
    </w:pPr>
    <w:rPr>
      <w:rFonts w:cs="Times New Roman"/>
      <w:sz w:val="20"/>
      <w:szCs w:val="20"/>
      <w:lang w:val="en-US"/>
    </w:rPr>
  </w:style>
  <w:style w:type="character" w:customStyle="1" w:styleId="Style1Char">
    <w:name w:val="Style1 Char"/>
    <w:basedOn w:val="CommentTextChar"/>
    <w:link w:val="Style1"/>
    <w:rsid w:val="00E204C7"/>
    <w:rPr>
      <w:rFonts w:ascii="Times New Roman" w:eastAsia="Times New Roman" w:hAnsi="Times New Roman" w:cs="Times New Roman"/>
      <w:sz w:val="20"/>
      <w:szCs w:val="20"/>
      <w:shd w:val="clear" w:color="auto" w:fill="B4C6E7" w:themeFill="accent5" w:themeFillTint="66"/>
      <w:lang w:eastAsia="en-GB"/>
    </w:rPr>
  </w:style>
  <w:style w:type="character" w:customStyle="1" w:styleId="Style2Char">
    <w:name w:val="Style2 Char"/>
    <w:basedOn w:val="DefaultParagraphFont"/>
    <w:link w:val="Style2"/>
    <w:rsid w:val="004522C9"/>
    <w:rPr>
      <w:rFonts w:ascii="Times New Roman" w:hAnsi="Times New Roman" w:cs="Times New Roman"/>
      <w:sz w:val="20"/>
      <w:szCs w:val="20"/>
      <w:shd w:val="clear" w:color="auto" w:fill="B4C6E7" w:themeFill="accent5" w:themeFillTint="66"/>
      <w:lang w:val="en-US"/>
    </w:rPr>
  </w:style>
  <w:style w:type="character" w:customStyle="1" w:styleId="UnresolvedMention2">
    <w:name w:val="Unresolved Mention2"/>
    <w:basedOn w:val="DefaultParagraphFont"/>
    <w:uiPriority w:val="99"/>
    <w:semiHidden/>
    <w:unhideWhenUsed/>
    <w:rsid w:val="00344490"/>
    <w:rPr>
      <w:color w:val="605E5C"/>
      <w:shd w:val="clear" w:color="auto" w:fill="E1DFDD"/>
    </w:rPr>
  </w:style>
  <w:style w:type="character" w:customStyle="1" w:styleId="UnresolvedMention3">
    <w:name w:val="Unresolved Mention3"/>
    <w:basedOn w:val="DefaultParagraphFont"/>
    <w:uiPriority w:val="99"/>
    <w:semiHidden/>
    <w:unhideWhenUsed/>
    <w:rsid w:val="00461C15"/>
    <w:rPr>
      <w:color w:val="605E5C"/>
      <w:shd w:val="clear" w:color="auto" w:fill="E1DFDD"/>
    </w:rPr>
  </w:style>
  <w:style w:type="character" w:customStyle="1" w:styleId="UnresolvedMention4">
    <w:name w:val="Unresolved Mention4"/>
    <w:basedOn w:val="DefaultParagraphFont"/>
    <w:uiPriority w:val="99"/>
    <w:semiHidden/>
    <w:unhideWhenUsed/>
    <w:rsid w:val="00A669C0"/>
    <w:rPr>
      <w:color w:val="605E5C"/>
      <w:shd w:val="clear" w:color="auto" w:fill="E1DFDD"/>
    </w:rPr>
  </w:style>
  <w:style w:type="character" w:customStyle="1" w:styleId="UnresolvedMention5">
    <w:name w:val="Unresolved Mention5"/>
    <w:basedOn w:val="DefaultParagraphFont"/>
    <w:uiPriority w:val="99"/>
    <w:semiHidden/>
    <w:unhideWhenUsed/>
    <w:rsid w:val="00374530"/>
    <w:rPr>
      <w:color w:val="605E5C"/>
      <w:shd w:val="clear" w:color="auto" w:fill="E1DFDD"/>
    </w:rPr>
  </w:style>
  <w:style w:type="character" w:customStyle="1" w:styleId="UnresolvedMention">
    <w:name w:val="Unresolved Mention"/>
    <w:basedOn w:val="DefaultParagraphFont"/>
    <w:uiPriority w:val="99"/>
    <w:semiHidden/>
    <w:unhideWhenUsed/>
    <w:rsid w:val="009F5DD2"/>
    <w:rPr>
      <w:color w:val="605E5C"/>
      <w:shd w:val="clear" w:color="auto" w:fill="E1DFDD"/>
    </w:rPr>
  </w:style>
  <w:style w:type="character" w:customStyle="1" w:styleId="ListParagraphChar">
    <w:name w:val="List Paragraph Char"/>
    <w:aliases w:val="References Char,List1 Char,1st level - Bullet List Paragraph Char,Lettre d'introduction Char,Paragrafo elenco Char,Normal bullet 2 Char,Medium Grid 1 - Accent 21 Char,FooterText Char,Bullet list Char,Bullet List Paragraph Char,6 Char"/>
    <w:link w:val="ListParagraph"/>
    <w:uiPriority w:val="34"/>
    <w:qFormat/>
    <w:locked/>
    <w:rsid w:val="00C17FD5"/>
    <w:rPr>
      <w:rFonts w:ascii="Times New Roman" w:hAnsi="Times New Roman"/>
      <w:sz w:val="24"/>
    </w:rPr>
  </w:style>
  <w:style w:type="paragraph" w:customStyle="1" w:styleId="yiv2591320583msonormal">
    <w:name w:val="yiv2591320583msonormal"/>
    <w:basedOn w:val="Normal"/>
    <w:rsid w:val="007F335A"/>
    <w:pPr>
      <w:spacing w:before="100" w:beforeAutospacing="1" w:after="100" w:afterAutospacing="1"/>
      <w:jc w:val="left"/>
    </w:pPr>
    <w:rPr>
      <w:rFonts w:eastAsia="Times New Roman" w:cs="Times New Roman"/>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178">
      <w:bodyDiv w:val="1"/>
      <w:marLeft w:val="0"/>
      <w:marRight w:val="0"/>
      <w:marTop w:val="0"/>
      <w:marBottom w:val="0"/>
      <w:divBdr>
        <w:top w:val="none" w:sz="0" w:space="0" w:color="auto"/>
        <w:left w:val="none" w:sz="0" w:space="0" w:color="auto"/>
        <w:bottom w:val="none" w:sz="0" w:space="0" w:color="auto"/>
        <w:right w:val="none" w:sz="0" w:space="0" w:color="auto"/>
      </w:divBdr>
    </w:div>
    <w:div w:id="2975622">
      <w:bodyDiv w:val="1"/>
      <w:marLeft w:val="0"/>
      <w:marRight w:val="0"/>
      <w:marTop w:val="0"/>
      <w:marBottom w:val="0"/>
      <w:divBdr>
        <w:top w:val="none" w:sz="0" w:space="0" w:color="auto"/>
        <w:left w:val="none" w:sz="0" w:space="0" w:color="auto"/>
        <w:bottom w:val="none" w:sz="0" w:space="0" w:color="auto"/>
        <w:right w:val="none" w:sz="0" w:space="0" w:color="auto"/>
      </w:divBdr>
    </w:div>
    <w:div w:id="19552744">
      <w:bodyDiv w:val="1"/>
      <w:marLeft w:val="0"/>
      <w:marRight w:val="0"/>
      <w:marTop w:val="0"/>
      <w:marBottom w:val="0"/>
      <w:divBdr>
        <w:top w:val="none" w:sz="0" w:space="0" w:color="auto"/>
        <w:left w:val="none" w:sz="0" w:space="0" w:color="auto"/>
        <w:bottom w:val="none" w:sz="0" w:space="0" w:color="auto"/>
        <w:right w:val="none" w:sz="0" w:space="0" w:color="auto"/>
      </w:divBdr>
    </w:div>
    <w:div w:id="39986761">
      <w:bodyDiv w:val="1"/>
      <w:marLeft w:val="0"/>
      <w:marRight w:val="0"/>
      <w:marTop w:val="0"/>
      <w:marBottom w:val="0"/>
      <w:divBdr>
        <w:top w:val="none" w:sz="0" w:space="0" w:color="auto"/>
        <w:left w:val="none" w:sz="0" w:space="0" w:color="auto"/>
        <w:bottom w:val="none" w:sz="0" w:space="0" w:color="auto"/>
        <w:right w:val="none" w:sz="0" w:space="0" w:color="auto"/>
      </w:divBdr>
    </w:div>
    <w:div w:id="40374120">
      <w:bodyDiv w:val="1"/>
      <w:marLeft w:val="0"/>
      <w:marRight w:val="0"/>
      <w:marTop w:val="0"/>
      <w:marBottom w:val="0"/>
      <w:divBdr>
        <w:top w:val="none" w:sz="0" w:space="0" w:color="auto"/>
        <w:left w:val="none" w:sz="0" w:space="0" w:color="auto"/>
        <w:bottom w:val="none" w:sz="0" w:space="0" w:color="auto"/>
        <w:right w:val="none" w:sz="0" w:space="0" w:color="auto"/>
      </w:divBdr>
    </w:div>
    <w:div w:id="51320841">
      <w:bodyDiv w:val="1"/>
      <w:marLeft w:val="0"/>
      <w:marRight w:val="0"/>
      <w:marTop w:val="0"/>
      <w:marBottom w:val="0"/>
      <w:divBdr>
        <w:top w:val="none" w:sz="0" w:space="0" w:color="auto"/>
        <w:left w:val="none" w:sz="0" w:space="0" w:color="auto"/>
        <w:bottom w:val="none" w:sz="0" w:space="0" w:color="auto"/>
        <w:right w:val="none" w:sz="0" w:space="0" w:color="auto"/>
      </w:divBdr>
    </w:div>
    <w:div w:id="58094741">
      <w:bodyDiv w:val="1"/>
      <w:marLeft w:val="0"/>
      <w:marRight w:val="0"/>
      <w:marTop w:val="0"/>
      <w:marBottom w:val="0"/>
      <w:divBdr>
        <w:top w:val="none" w:sz="0" w:space="0" w:color="auto"/>
        <w:left w:val="none" w:sz="0" w:space="0" w:color="auto"/>
        <w:bottom w:val="none" w:sz="0" w:space="0" w:color="auto"/>
        <w:right w:val="none" w:sz="0" w:space="0" w:color="auto"/>
      </w:divBdr>
    </w:div>
    <w:div w:id="59909407">
      <w:bodyDiv w:val="1"/>
      <w:marLeft w:val="0"/>
      <w:marRight w:val="0"/>
      <w:marTop w:val="0"/>
      <w:marBottom w:val="0"/>
      <w:divBdr>
        <w:top w:val="none" w:sz="0" w:space="0" w:color="auto"/>
        <w:left w:val="none" w:sz="0" w:space="0" w:color="auto"/>
        <w:bottom w:val="none" w:sz="0" w:space="0" w:color="auto"/>
        <w:right w:val="none" w:sz="0" w:space="0" w:color="auto"/>
      </w:divBdr>
    </w:div>
    <w:div w:id="83768374">
      <w:bodyDiv w:val="1"/>
      <w:marLeft w:val="0"/>
      <w:marRight w:val="0"/>
      <w:marTop w:val="0"/>
      <w:marBottom w:val="0"/>
      <w:divBdr>
        <w:top w:val="none" w:sz="0" w:space="0" w:color="auto"/>
        <w:left w:val="none" w:sz="0" w:space="0" w:color="auto"/>
        <w:bottom w:val="none" w:sz="0" w:space="0" w:color="auto"/>
        <w:right w:val="none" w:sz="0" w:space="0" w:color="auto"/>
      </w:divBdr>
    </w:div>
    <w:div w:id="110441638">
      <w:bodyDiv w:val="1"/>
      <w:marLeft w:val="0"/>
      <w:marRight w:val="0"/>
      <w:marTop w:val="0"/>
      <w:marBottom w:val="0"/>
      <w:divBdr>
        <w:top w:val="none" w:sz="0" w:space="0" w:color="auto"/>
        <w:left w:val="none" w:sz="0" w:space="0" w:color="auto"/>
        <w:bottom w:val="none" w:sz="0" w:space="0" w:color="auto"/>
        <w:right w:val="none" w:sz="0" w:space="0" w:color="auto"/>
      </w:divBdr>
    </w:div>
    <w:div w:id="144586882">
      <w:bodyDiv w:val="1"/>
      <w:marLeft w:val="0"/>
      <w:marRight w:val="0"/>
      <w:marTop w:val="0"/>
      <w:marBottom w:val="0"/>
      <w:divBdr>
        <w:top w:val="none" w:sz="0" w:space="0" w:color="auto"/>
        <w:left w:val="none" w:sz="0" w:space="0" w:color="auto"/>
        <w:bottom w:val="none" w:sz="0" w:space="0" w:color="auto"/>
        <w:right w:val="none" w:sz="0" w:space="0" w:color="auto"/>
      </w:divBdr>
      <w:divsChild>
        <w:div w:id="187792513">
          <w:marLeft w:val="274"/>
          <w:marRight w:val="0"/>
          <w:marTop w:val="0"/>
          <w:marBottom w:val="0"/>
          <w:divBdr>
            <w:top w:val="none" w:sz="0" w:space="0" w:color="auto"/>
            <w:left w:val="none" w:sz="0" w:space="0" w:color="auto"/>
            <w:bottom w:val="none" w:sz="0" w:space="0" w:color="auto"/>
            <w:right w:val="none" w:sz="0" w:space="0" w:color="auto"/>
          </w:divBdr>
        </w:div>
        <w:div w:id="539168363">
          <w:marLeft w:val="274"/>
          <w:marRight w:val="0"/>
          <w:marTop w:val="0"/>
          <w:marBottom w:val="0"/>
          <w:divBdr>
            <w:top w:val="none" w:sz="0" w:space="0" w:color="auto"/>
            <w:left w:val="none" w:sz="0" w:space="0" w:color="auto"/>
            <w:bottom w:val="none" w:sz="0" w:space="0" w:color="auto"/>
            <w:right w:val="none" w:sz="0" w:space="0" w:color="auto"/>
          </w:divBdr>
        </w:div>
        <w:div w:id="729233232">
          <w:marLeft w:val="274"/>
          <w:marRight w:val="0"/>
          <w:marTop w:val="20"/>
          <w:marBottom w:val="20"/>
          <w:divBdr>
            <w:top w:val="none" w:sz="0" w:space="0" w:color="auto"/>
            <w:left w:val="none" w:sz="0" w:space="0" w:color="auto"/>
            <w:bottom w:val="none" w:sz="0" w:space="0" w:color="auto"/>
            <w:right w:val="none" w:sz="0" w:space="0" w:color="auto"/>
          </w:divBdr>
        </w:div>
        <w:div w:id="1530678609">
          <w:marLeft w:val="274"/>
          <w:marRight w:val="0"/>
          <w:marTop w:val="0"/>
          <w:marBottom w:val="0"/>
          <w:divBdr>
            <w:top w:val="none" w:sz="0" w:space="0" w:color="auto"/>
            <w:left w:val="none" w:sz="0" w:space="0" w:color="auto"/>
            <w:bottom w:val="none" w:sz="0" w:space="0" w:color="auto"/>
            <w:right w:val="none" w:sz="0" w:space="0" w:color="auto"/>
          </w:divBdr>
        </w:div>
        <w:div w:id="1557935681">
          <w:marLeft w:val="274"/>
          <w:marRight w:val="0"/>
          <w:marTop w:val="0"/>
          <w:marBottom w:val="0"/>
          <w:divBdr>
            <w:top w:val="none" w:sz="0" w:space="0" w:color="auto"/>
            <w:left w:val="none" w:sz="0" w:space="0" w:color="auto"/>
            <w:bottom w:val="none" w:sz="0" w:space="0" w:color="auto"/>
            <w:right w:val="none" w:sz="0" w:space="0" w:color="auto"/>
          </w:divBdr>
        </w:div>
      </w:divsChild>
    </w:div>
    <w:div w:id="158204135">
      <w:bodyDiv w:val="1"/>
      <w:marLeft w:val="0"/>
      <w:marRight w:val="0"/>
      <w:marTop w:val="0"/>
      <w:marBottom w:val="0"/>
      <w:divBdr>
        <w:top w:val="none" w:sz="0" w:space="0" w:color="auto"/>
        <w:left w:val="none" w:sz="0" w:space="0" w:color="auto"/>
        <w:bottom w:val="none" w:sz="0" w:space="0" w:color="auto"/>
        <w:right w:val="none" w:sz="0" w:space="0" w:color="auto"/>
      </w:divBdr>
    </w:div>
    <w:div w:id="187185953">
      <w:bodyDiv w:val="1"/>
      <w:marLeft w:val="0"/>
      <w:marRight w:val="0"/>
      <w:marTop w:val="0"/>
      <w:marBottom w:val="0"/>
      <w:divBdr>
        <w:top w:val="none" w:sz="0" w:space="0" w:color="auto"/>
        <w:left w:val="none" w:sz="0" w:space="0" w:color="auto"/>
        <w:bottom w:val="none" w:sz="0" w:space="0" w:color="auto"/>
        <w:right w:val="none" w:sz="0" w:space="0" w:color="auto"/>
      </w:divBdr>
    </w:div>
    <w:div w:id="208810253">
      <w:bodyDiv w:val="1"/>
      <w:marLeft w:val="0"/>
      <w:marRight w:val="0"/>
      <w:marTop w:val="0"/>
      <w:marBottom w:val="0"/>
      <w:divBdr>
        <w:top w:val="none" w:sz="0" w:space="0" w:color="auto"/>
        <w:left w:val="none" w:sz="0" w:space="0" w:color="auto"/>
        <w:bottom w:val="none" w:sz="0" w:space="0" w:color="auto"/>
        <w:right w:val="none" w:sz="0" w:space="0" w:color="auto"/>
      </w:divBdr>
    </w:div>
    <w:div w:id="228616508">
      <w:bodyDiv w:val="1"/>
      <w:marLeft w:val="0"/>
      <w:marRight w:val="0"/>
      <w:marTop w:val="0"/>
      <w:marBottom w:val="0"/>
      <w:divBdr>
        <w:top w:val="none" w:sz="0" w:space="0" w:color="auto"/>
        <w:left w:val="none" w:sz="0" w:space="0" w:color="auto"/>
        <w:bottom w:val="none" w:sz="0" w:space="0" w:color="auto"/>
        <w:right w:val="none" w:sz="0" w:space="0" w:color="auto"/>
      </w:divBdr>
    </w:div>
    <w:div w:id="252200682">
      <w:bodyDiv w:val="1"/>
      <w:marLeft w:val="0"/>
      <w:marRight w:val="0"/>
      <w:marTop w:val="0"/>
      <w:marBottom w:val="0"/>
      <w:divBdr>
        <w:top w:val="none" w:sz="0" w:space="0" w:color="auto"/>
        <w:left w:val="none" w:sz="0" w:space="0" w:color="auto"/>
        <w:bottom w:val="none" w:sz="0" w:space="0" w:color="auto"/>
        <w:right w:val="none" w:sz="0" w:space="0" w:color="auto"/>
      </w:divBdr>
    </w:div>
    <w:div w:id="263223087">
      <w:bodyDiv w:val="1"/>
      <w:marLeft w:val="0"/>
      <w:marRight w:val="0"/>
      <w:marTop w:val="0"/>
      <w:marBottom w:val="0"/>
      <w:divBdr>
        <w:top w:val="none" w:sz="0" w:space="0" w:color="auto"/>
        <w:left w:val="none" w:sz="0" w:space="0" w:color="auto"/>
        <w:bottom w:val="none" w:sz="0" w:space="0" w:color="auto"/>
        <w:right w:val="none" w:sz="0" w:space="0" w:color="auto"/>
      </w:divBdr>
    </w:div>
    <w:div w:id="282418809">
      <w:bodyDiv w:val="1"/>
      <w:marLeft w:val="0"/>
      <w:marRight w:val="0"/>
      <w:marTop w:val="0"/>
      <w:marBottom w:val="0"/>
      <w:divBdr>
        <w:top w:val="none" w:sz="0" w:space="0" w:color="auto"/>
        <w:left w:val="none" w:sz="0" w:space="0" w:color="auto"/>
        <w:bottom w:val="none" w:sz="0" w:space="0" w:color="auto"/>
        <w:right w:val="none" w:sz="0" w:space="0" w:color="auto"/>
      </w:divBdr>
    </w:div>
    <w:div w:id="324935624">
      <w:bodyDiv w:val="1"/>
      <w:marLeft w:val="0"/>
      <w:marRight w:val="0"/>
      <w:marTop w:val="0"/>
      <w:marBottom w:val="0"/>
      <w:divBdr>
        <w:top w:val="none" w:sz="0" w:space="0" w:color="auto"/>
        <w:left w:val="none" w:sz="0" w:space="0" w:color="auto"/>
        <w:bottom w:val="none" w:sz="0" w:space="0" w:color="auto"/>
        <w:right w:val="none" w:sz="0" w:space="0" w:color="auto"/>
      </w:divBdr>
      <w:divsChild>
        <w:div w:id="764762985">
          <w:marLeft w:val="360"/>
          <w:marRight w:val="0"/>
          <w:marTop w:val="0"/>
          <w:marBottom w:val="360"/>
          <w:divBdr>
            <w:top w:val="none" w:sz="0" w:space="0" w:color="auto"/>
            <w:left w:val="none" w:sz="0" w:space="0" w:color="auto"/>
            <w:bottom w:val="none" w:sz="0" w:space="0" w:color="auto"/>
            <w:right w:val="none" w:sz="0" w:space="0" w:color="auto"/>
          </w:divBdr>
        </w:div>
        <w:div w:id="980840543">
          <w:marLeft w:val="360"/>
          <w:marRight w:val="0"/>
          <w:marTop w:val="0"/>
          <w:marBottom w:val="360"/>
          <w:divBdr>
            <w:top w:val="none" w:sz="0" w:space="0" w:color="auto"/>
            <w:left w:val="none" w:sz="0" w:space="0" w:color="auto"/>
            <w:bottom w:val="none" w:sz="0" w:space="0" w:color="auto"/>
            <w:right w:val="none" w:sz="0" w:space="0" w:color="auto"/>
          </w:divBdr>
        </w:div>
        <w:div w:id="1772045052">
          <w:marLeft w:val="360"/>
          <w:marRight w:val="0"/>
          <w:marTop w:val="0"/>
          <w:marBottom w:val="360"/>
          <w:divBdr>
            <w:top w:val="none" w:sz="0" w:space="0" w:color="auto"/>
            <w:left w:val="none" w:sz="0" w:space="0" w:color="auto"/>
            <w:bottom w:val="none" w:sz="0" w:space="0" w:color="auto"/>
            <w:right w:val="none" w:sz="0" w:space="0" w:color="auto"/>
          </w:divBdr>
        </w:div>
        <w:div w:id="1983582840">
          <w:marLeft w:val="360"/>
          <w:marRight w:val="0"/>
          <w:marTop w:val="0"/>
          <w:marBottom w:val="360"/>
          <w:divBdr>
            <w:top w:val="none" w:sz="0" w:space="0" w:color="auto"/>
            <w:left w:val="none" w:sz="0" w:space="0" w:color="auto"/>
            <w:bottom w:val="none" w:sz="0" w:space="0" w:color="auto"/>
            <w:right w:val="none" w:sz="0" w:space="0" w:color="auto"/>
          </w:divBdr>
        </w:div>
        <w:div w:id="2104522313">
          <w:marLeft w:val="360"/>
          <w:marRight w:val="0"/>
          <w:marTop w:val="0"/>
          <w:marBottom w:val="360"/>
          <w:divBdr>
            <w:top w:val="none" w:sz="0" w:space="0" w:color="auto"/>
            <w:left w:val="none" w:sz="0" w:space="0" w:color="auto"/>
            <w:bottom w:val="none" w:sz="0" w:space="0" w:color="auto"/>
            <w:right w:val="none" w:sz="0" w:space="0" w:color="auto"/>
          </w:divBdr>
        </w:div>
      </w:divsChild>
    </w:div>
    <w:div w:id="357779984">
      <w:bodyDiv w:val="1"/>
      <w:marLeft w:val="0"/>
      <w:marRight w:val="0"/>
      <w:marTop w:val="0"/>
      <w:marBottom w:val="0"/>
      <w:divBdr>
        <w:top w:val="none" w:sz="0" w:space="0" w:color="auto"/>
        <w:left w:val="none" w:sz="0" w:space="0" w:color="auto"/>
        <w:bottom w:val="none" w:sz="0" w:space="0" w:color="auto"/>
        <w:right w:val="none" w:sz="0" w:space="0" w:color="auto"/>
      </w:divBdr>
    </w:div>
    <w:div w:id="368796791">
      <w:bodyDiv w:val="1"/>
      <w:marLeft w:val="0"/>
      <w:marRight w:val="0"/>
      <w:marTop w:val="0"/>
      <w:marBottom w:val="0"/>
      <w:divBdr>
        <w:top w:val="none" w:sz="0" w:space="0" w:color="auto"/>
        <w:left w:val="none" w:sz="0" w:space="0" w:color="auto"/>
        <w:bottom w:val="none" w:sz="0" w:space="0" w:color="auto"/>
        <w:right w:val="none" w:sz="0" w:space="0" w:color="auto"/>
      </w:divBdr>
    </w:div>
    <w:div w:id="389810706">
      <w:bodyDiv w:val="1"/>
      <w:marLeft w:val="0"/>
      <w:marRight w:val="0"/>
      <w:marTop w:val="0"/>
      <w:marBottom w:val="0"/>
      <w:divBdr>
        <w:top w:val="none" w:sz="0" w:space="0" w:color="auto"/>
        <w:left w:val="none" w:sz="0" w:space="0" w:color="auto"/>
        <w:bottom w:val="none" w:sz="0" w:space="0" w:color="auto"/>
        <w:right w:val="none" w:sz="0" w:space="0" w:color="auto"/>
      </w:divBdr>
    </w:div>
    <w:div w:id="426269329">
      <w:bodyDiv w:val="1"/>
      <w:marLeft w:val="0"/>
      <w:marRight w:val="0"/>
      <w:marTop w:val="0"/>
      <w:marBottom w:val="0"/>
      <w:divBdr>
        <w:top w:val="none" w:sz="0" w:space="0" w:color="auto"/>
        <w:left w:val="none" w:sz="0" w:space="0" w:color="auto"/>
        <w:bottom w:val="none" w:sz="0" w:space="0" w:color="auto"/>
        <w:right w:val="none" w:sz="0" w:space="0" w:color="auto"/>
      </w:divBdr>
    </w:div>
    <w:div w:id="437214423">
      <w:bodyDiv w:val="1"/>
      <w:marLeft w:val="0"/>
      <w:marRight w:val="0"/>
      <w:marTop w:val="0"/>
      <w:marBottom w:val="0"/>
      <w:divBdr>
        <w:top w:val="none" w:sz="0" w:space="0" w:color="auto"/>
        <w:left w:val="none" w:sz="0" w:space="0" w:color="auto"/>
        <w:bottom w:val="none" w:sz="0" w:space="0" w:color="auto"/>
        <w:right w:val="none" w:sz="0" w:space="0" w:color="auto"/>
      </w:divBdr>
    </w:div>
    <w:div w:id="445000942">
      <w:bodyDiv w:val="1"/>
      <w:marLeft w:val="0"/>
      <w:marRight w:val="0"/>
      <w:marTop w:val="0"/>
      <w:marBottom w:val="0"/>
      <w:divBdr>
        <w:top w:val="none" w:sz="0" w:space="0" w:color="auto"/>
        <w:left w:val="none" w:sz="0" w:space="0" w:color="auto"/>
        <w:bottom w:val="none" w:sz="0" w:space="0" w:color="auto"/>
        <w:right w:val="none" w:sz="0" w:space="0" w:color="auto"/>
      </w:divBdr>
    </w:div>
    <w:div w:id="449858451">
      <w:bodyDiv w:val="1"/>
      <w:marLeft w:val="0"/>
      <w:marRight w:val="0"/>
      <w:marTop w:val="0"/>
      <w:marBottom w:val="0"/>
      <w:divBdr>
        <w:top w:val="none" w:sz="0" w:space="0" w:color="auto"/>
        <w:left w:val="none" w:sz="0" w:space="0" w:color="auto"/>
        <w:bottom w:val="none" w:sz="0" w:space="0" w:color="auto"/>
        <w:right w:val="none" w:sz="0" w:space="0" w:color="auto"/>
      </w:divBdr>
    </w:div>
    <w:div w:id="497188092">
      <w:bodyDiv w:val="1"/>
      <w:marLeft w:val="0"/>
      <w:marRight w:val="0"/>
      <w:marTop w:val="0"/>
      <w:marBottom w:val="0"/>
      <w:divBdr>
        <w:top w:val="none" w:sz="0" w:space="0" w:color="auto"/>
        <w:left w:val="none" w:sz="0" w:space="0" w:color="auto"/>
        <w:bottom w:val="none" w:sz="0" w:space="0" w:color="auto"/>
        <w:right w:val="none" w:sz="0" w:space="0" w:color="auto"/>
      </w:divBdr>
    </w:div>
    <w:div w:id="515580477">
      <w:bodyDiv w:val="1"/>
      <w:marLeft w:val="0"/>
      <w:marRight w:val="0"/>
      <w:marTop w:val="0"/>
      <w:marBottom w:val="0"/>
      <w:divBdr>
        <w:top w:val="none" w:sz="0" w:space="0" w:color="auto"/>
        <w:left w:val="none" w:sz="0" w:space="0" w:color="auto"/>
        <w:bottom w:val="none" w:sz="0" w:space="0" w:color="auto"/>
        <w:right w:val="none" w:sz="0" w:space="0" w:color="auto"/>
      </w:divBdr>
    </w:div>
    <w:div w:id="589892933">
      <w:bodyDiv w:val="1"/>
      <w:marLeft w:val="0"/>
      <w:marRight w:val="0"/>
      <w:marTop w:val="0"/>
      <w:marBottom w:val="0"/>
      <w:divBdr>
        <w:top w:val="none" w:sz="0" w:space="0" w:color="auto"/>
        <w:left w:val="none" w:sz="0" w:space="0" w:color="auto"/>
        <w:bottom w:val="none" w:sz="0" w:space="0" w:color="auto"/>
        <w:right w:val="none" w:sz="0" w:space="0" w:color="auto"/>
      </w:divBdr>
    </w:div>
    <w:div w:id="613634036">
      <w:bodyDiv w:val="1"/>
      <w:marLeft w:val="0"/>
      <w:marRight w:val="0"/>
      <w:marTop w:val="0"/>
      <w:marBottom w:val="0"/>
      <w:divBdr>
        <w:top w:val="none" w:sz="0" w:space="0" w:color="auto"/>
        <w:left w:val="none" w:sz="0" w:space="0" w:color="auto"/>
        <w:bottom w:val="none" w:sz="0" w:space="0" w:color="auto"/>
        <w:right w:val="none" w:sz="0" w:space="0" w:color="auto"/>
      </w:divBdr>
    </w:div>
    <w:div w:id="615597176">
      <w:bodyDiv w:val="1"/>
      <w:marLeft w:val="0"/>
      <w:marRight w:val="0"/>
      <w:marTop w:val="0"/>
      <w:marBottom w:val="0"/>
      <w:divBdr>
        <w:top w:val="none" w:sz="0" w:space="0" w:color="auto"/>
        <w:left w:val="none" w:sz="0" w:space="0" w:color="auto"/>
        <w:bottom w:val="none" w:sz="0" w:space="0" w:color="auto"/>
        <w:right w:val="none" w:sz="0" w:space="0" w:color="auto"/>
      </w:divBdr>
    </w:div>
    <w:div w:id="673066600">
      <w:bodyDiv w:val="1"/>
      <w:marLeft w:val="0"/>
      <w:marRight w:val="0"/>
      <w:marTop w:val="0"/>
      <w:marBottom w:val="0"/>
      <w:divBdr>
        <w:top w:val="none" w:sz="0" w:space="0" w:color="auto"/>
        <w:left w:val="none" w:sz="0" w:space="0" w:color="auto"/>
        <w:bottom w:val="none" w:sz="0" w:space="0" w:color="auto"/>
        <w:right w:val="none" w:sz="0" w:space="0" w:color="auto"/>
      </w:divBdr>
    </w:div>
    <w:div w:id="675960451">
      <w:bodyDiv w:val="1"/>
      <w:marLeft w:val="0"/>
      <w:marRight w:val="0"/>
      <w:marTop w:val="0"/>
      <w:marBottom w:val="0"/>
      <w:divBdr>
        <w:top w:val="none" w:sz="0" w:space="0" w:color="auto"/>
        <w:left w:val="none" w:sz="0" w:space="0" w:color="auto"/>
        <w:bottom w:val="none" w:sz="0" w:space="0" w:color="auto"/>
        <w:right w:val="none" w:sz="0" w:space="0" w:color="auto"/>
      </w:divBdr>
      <w:divsChild>
        <w:div w:id="75253819">
          <w:marLeft w:val="360"/>
          <w:marRight w:val="0"/>
          <w:marTop w:val="0"/>
          <w:marBottom w:val="360"/>
          <w:divBdr>
            <w:top w:val="none" w:sz="0" w:space="0" w:color="auto"/>
            <w:left w:val="none" w:sz="0" w:space="0" w:color="auto"/>
            <w:bottom w:val="none" w:sz="0" w:space="0" w:color="auto"/>
            <w:right w:val="none" w:sz="0" w:space="0" w:color="auto"/>
          </w:divBdr>
        </w:div>
        <w:div w:id="260721752">
          <w:marLeft w:val="360"/>
          <w:marRight w:val="0"/>
          <w:marTop w:val="0"/>
          <w:marBottom w:val="360"/>
          <w:divBdr>
            <w:top w:val="none" w:sz="0" w:space="0" w:color="auto"/>
            <w:left w:val="none" w:sz="0" w:space="0" w:color="auto"/>
            <w:bottom w:val="none" w:sz="0" w:space="0" w:color="auto"/>
            <w:right w:val="none" w:sz="0" w:space="0" w:color="auto"/>
          </w:divBdr>
        </w:div>
        <w:div w:id="826748981">
          <w:marLeft w:val="360"/>
          <w:marRight w:val="0"/>
          <w:marTop w:val="0"/>
          <w:marBottom w:val="360"/>
          <w:divBdr>
            <w:top w:val="none" w:sz="0" w:space="0" w:color="auto"/>
            <w:left w:val="none" w:sz="0" w:space="0" w:color="auto"/>
            <w:bottom w:val="none" w:sz="0" w:space="0" w:color="auto"/>
            <w:right w:val="none" w:sz="0" w:space="0" w:color="auto"/>
          </w:divBdr>
        </w:div>
        <w:div w:id="995304882">
          <w:marLeft w:val="360"/>
          <w:marRight w:val="0"/>
          <w:marTop w:val="0"/>
          <w:marBottom w:val="360"/>
          <w:divBdr>
            <w:top w:val="none" w:sz="0" w:space="0" w:color="auto"/>
            <w:left w:val="none" w:sz="0" w:space="0" w:color="auto"/>
            <w:bottom w:val="none" w:sz="0" w:space="0" w:color="auto"/>
            <w:right w:val="none" w:sz="0" w:space="0" w:color="auto"/>
          </w:divBdr>
        </w:div>
      </w:divsChild>
    </w:div>
    <w:div w:id="711151670">
      <w:bodyDiv w:val="1"/>
      <w:marLeft w:val="0"/>
      <w:marRight w:val="0"/>
      <w:marTop w:val="0"/>
      <w:marBottom w:val="0"/>
      <w:divBdr>
        <w:top w:val="none" w:sz="0" w:space="0" w:color="auto"/>
        <w:left w:val="none" w:sz="0" w:space="0" w:color="auto"/>
        <w:bottom w:val="none" w:sz="0" w:space="0" w:color="auto"/>
        <w:right w:val="none" w:sz="0" w:space="0" w:color="auto"/>
      </w:divBdr>
    </w:div>
    <w:div w:id="736712110">
      <w:bodyDiv w:val="1"/>
      <w:marLeft w:val="0"/>
      <w:marRight w:val="0"/>
      <w:marTop w:val="0"/>
      <w:marBottom w:val="0"/>
      <w:divBdr>
        <w:top w:val="none" w:sz="0" w:space="0" w:color="auto"/>
        <w:left w:val="none" w:sz="0" w:space="0" w:color="auto"/>
        <w:bottom w:val="none" w:sz="0" w:space="0" w:color="auto"/>
        <w:right w:val="none" w:sz="0" w:space="0" w:color="auto"/>
      </w:divBdr>
    </w:div>
    <w:div w:id="757366546">
      <w:bodyDiv w:val="1"/>
      <w:marLeft w:val="0"/>
      <w:marRight w:val="0"/>
      <w:marTop w:val="0"/>
      <w:marBottom w:val="0"/>
      <w:divBdr>
        <w:top w:val="none" w:sz="0" w:space="0" w:color="auto"/>
        <w:left w:val="none" w:sz="0" w:space="0" w:color="auto"/>
        <w:bottom w:val="none" w:sz="0" w:space="0" w:color="auto"/>
        <w:right w:val="none" w:sz="0" w:space="0" w:color="auto"/>
      </w:divBdr>
    </w:div>
    <w:div w:id="762147841">
      <w:bodyDiv w:val="1"/>
      <w:marLeft w:val="0"/>
      <w:marRight w:val="0"/>
      <w:marTop w:val="0"/>
      <w:marBottom w:val="0"/>
      <w:divBdr>
        <w:top w:val="none" w:sz="0" w:space="0" w:color="auto"/>
        <w:left w:val="none" w:sz="0" w:space="0" w:color="auto"/>
        <w:bottom w:val="none" w:sz="0" w:space="0" w:color="auto"/>
        <w:right w:val="none" w:sz="0" w:space="0" w:color="auto"/>
      </w:divBdr>
    </w:div>
    <w:div w:id="763110243">
      <w:bodyDiv w:val="1"/>
      <w:marLeft w:val="0"/>
      <w:marRight w:val="0"/>
      <w:marTop w:val="0"/>
      <w:marBottom w:val="0"/>
      <w:divBdr>
        <w:top w:val="none" w:sz="0" w:space="0" w:color="auto"/>
        <w:left w:val="none" w:sz="0" w:space="0" w:color="auto"/>
        <w:bottom w:val="none" w:sz="0" w:space="0" w:color="auto"/>
        <w:right w:val="none" w:sz="0" w:space="0" w:color="auto"/>
      </w:divBdr>
    </w:div>
    <w:div w:id="797333115">
      <w:bodyDiv w:val="1"/>
      <w:marLeft w:val="0"/>
      <w:marRight w:val="0"/>
      <w:marTop w:val="0"/>
      <w:marBottom w:val="0"/>
      <w:divBdr>
        <w:top w:val="none" w:sz="0" w:space="0" w:color="auto"/>
        <w:left w:val="none" w:sz="0" w:space="0" w:color="auto"/>
        <w:bottom w:val="none" w:sz="0" w:space="0" w:color="auto"/>
        <w:right w:val="none" w:sz="0" w:space="0" w:color="auto"/>
      </w:divBdr>
    </w:div>
    <w:div w:id="798377029">
      <w:bodyDiv w:val="1"/>
      <w:marLeft w:val="0"/>
      <w:marRight w:val="0"/>
      <w:marTop w:val="0"/>
      <w:marBottom w:val="0"/>
      <w:divBdr>
        <w:top w:val="none" w:sz="0" w:space="0" w:color="auto"/>
        <w:left w:val="none" w:sz="0" w:space="0" w:color="auto"/>
        <w:bottom w:val="none" w:sz="0" w:space="0" w:color="auto"/>
        <w:right w:val="none" w:sz="0" w:space="0" w:color="auto"/>
      </w:divBdr>
    </w:div>
    <w:div w:id="823355771">
      <w:bodyDiv w:val="1"/>
      <w:marLeft w:val="0"/>
      <w:marRight w:val="0"/>
      <w:marTop w:val="0"/>
      <w:marBottom w:val="0"/>
      <w:divBdr>
        <w:top w:val="none" w:sz="0" w:space="0" w:color="auto"/>
        <w:left w:val="none" w:sz="0" w:space="0" w:color="auto"/>
        <w:bottom w:val="none" w:sz="0" w:space="0" w:color="auto"/>
        <w:right w:val="none" w:sz="0" w:space="0" w:color="auto"/>
      </w:divBdr>
    </w:div>
    <w:div w:id="832572738">
      <w:bodyDiv w:val="1"/>
      <w:marLeft w:val="0"/>
      <w:marRight w:val="0"/>
      <w:marTop w:val="0"/>
      <w:marBottom w:val="0"/>
      <w:divBdr>
        <w:top w:val="none" w:sz="0" w:space="0" w:color="auto"/>
        <w:left w:val="none" w:sz="0" w:space="0" w:color="auto"/>
        <w:bottom w:val="none" w:sz="0" w:space="0" w:color="auto"/>
        <w:right w:val="none" w:sz="0" w:space="0" w:color="auto"/>
      </w:divBdr>
    </w:div>
    <w:div w:id="834345529">
      <w:bodyDiv w:val="1"/>
      <w:marLeft w:val="0"/>
      <w:marRight w:val="0"/>
      <w:marTop w:val="0"/>
      <w:marBottom w:val="0"/>
      <w:divBdr>
        <w:top w:val="none" w:sz="0" w:space="0" w:color="auto"/>
        <w:left w:val="none" w:sz="0" w:space="0" w:color="auto"/>
        <w:bottom w:val="none" w:sz="0" w:space="0" w:color="auto"/>
        <w:right w:val="none" w:sz="0" w:space="0" w:color="auto"/>
      </w:divBdr>
    </w:div>
    <w:div w:id="846560262">
      <w:bodyDiv w:val="1"/>
      <w:marLeft w:val="0"/>
      <w:marRight w:val="0"/>
      <w:marTop w:val="0"/>
      <w:marBottom w:val="0"/>
      <w:divBdr>
        <w:top w:val="none" w:sz="0" w:space="0" w:color="auto"/>
        <w:left w:val="none" w:sz="0" w:space="0" w:color="auto"/>
        <w:bottom w:val="none" w:sz="0" w:space="0" w:color="auto"/>
        <w:right w:val="none" w:sz="0" w:space="0" w:color="auto"/>
      </w:divBdr>
    </w:div>
    <w:div w:id="875048736">
      <w:bodyDiv w:val="1"/>
      <w:marLeft w:val="0"/>
      <w:marRight w:val="0"/>
      <w:marTop w:val="0"/>
      <w:marBottom w:val="0"/>
      <w:divBdr>
        <w:top w:val="none" w:sz="0" w:space="0" w:color="auto"/>
        <w:left w:val="none" w:sz="0" w:space="0" w:color="auto"/>
        <w:bottom w:val="none" w:sz="0" w:space="0" w:color="auto"/>
        <w:right w:val="none" w:sz="0" w:space="0" w:color="auto"/>
      </w:divBdr>
      <w:divsChild>
        <w:div w:id="601182835">
          <w:marLeft w:val="274"/>
          <w:marRight w:val="0"/>
          <w:marTop w:val="20"/>
          <w:marBottom w:val="20"/>
          <w:divBdr>
            <w:top w:val="none" w:sz="0" w:space="0" w:color="auto"/>
            <w:left w:val="none" w:sz="0" w:space="0" w:color="auto"/>
            <w:bottom w:val="none" w:sz="0" w:space="0" w:color="auto"/>
            <w:right w:val="none" w:sz="0" w:space="0" w:color="auto"/>
          </w:divBdr>
        </w:div>
        <w:div w:id="967513813">
          <w:marLeft w:val="274"/>
          <w:marRight w:val="0"/>
          <w:marTop w:val="20"/>
          <w:marBottom w:val="20"/>
          <w:divBdr>
            <w:top w:val="none" w:sz="0" w:space="0" w:color="auto"/>
            <w:left w:val="none" w:sz="0" w:space="0" w:color="auto"/>
            <w:bottom w:val="none" w:sz="0" w:space="0" w:color="auto"/>
            <w:right w:val="none" w:sz="0" w:space="0" w:color="auto"/>
          </w:divBdr>
        </w:div>
        <w:div w:id="1329284022">
          <w:marLeft w:val="274"/>
          <w:marRight w:val="0"/>
          <w:marTop w:val="20"/>
          <w:marBottom w:val="20"/>
          <w:divBdr>
            <w:top w:val="none" w:sz="0" w:space="0" w:color="auto"/>
            <w:left w:val="none" w:sz="0" w:space="0" w:color="auto"/>
            <w:bottom w:val="none" w:sz="0" w:space="0" w:color="auto"/>
            <w:right w:val="none" w:sz="0" w:space="0" w:color="auto"/>
          </w:divBdr>
        </w:div>
      </w:divsChild>
    </w:div>
    <w:div w:id="895237558">
      <w:bodyDiv w:val="1"/>
      <w:marLeft w:val="0"/>
      <w:marRight w:val="0"/>
      <w:marTop w:val="0"/>
      <w:marBottom w:val="0"/>
      <w:divBdr>
        <w:top w:val="none" w:sz="0" w:space="0" w:color="auto"/>
        <w:left w:val="none" w:sz="0" w:space="0" w:color="auto"/>
        <w:bottom w:val="none" w:sz="0" w:space="0" w:color="auto"/>
        <w:right w:val="none" w:sz="0" w:space="0" w:color="auto"/>
      </w:divBdr>
    </w:div>
    <w:div w:id="900406458">
      <w:bodyDiv w:val="1"/>
      <w:marLeft w:val="0"/>
      <w:marRight w:val="0"/>
      <w:marTop w:val="0"/>
      <w:marBottom w:val="0"/>
      <w:divBdr>
        <w:top w:val="none" w:sz="0" w:space="0" w:color="auto"/>
        <w:left w:val="none" w:sz="0" w:space="0" w:color="auto"/>
        <w:bottom w:val="none" w:sz="0" w:space="0" w:color="auto"/>
        <w:right w:val="none" w:sz="0" w:space="0" w:color="auto"/>
      </w:divBdr>
    </w:div>
    <w:div w:id="906257339">
      <w:bodyDiv w:val="1"/>
      <w:marLeft w:val="0"/>
      <w:marRight w:val="0"/>
      <w:marTop w:val="0"/>
      <w:marBottom w:val="0"/>
      <w:divBdr>
        <w:top w:val="none" w:sz="0" w:space="0" w:color="auto"/>
        <w:left w:val="none" w:sz="0" w:space="0" w:color="auto"/>
        <w:bottom w:val="none" w:sz="0" w:space="0" w:color="auto"/>
        <w:right w:val="none" w:sz="0" w:space="0" w:color="auto"/>
      </w:divBdr>
    </w:div>
    <w:div w:id="906307231">
      <w:bodyDiv w:val="1"/>
      <w:marLeft w:val="0"/>
      <w:marRight w:val="0"/>
      <w:marTop w:val="0"/>
      <w:marBottom w:val="0"/>
      <w:divBdr>
        <w:top w:val="none" w:sz="0" w:space="0" w:color="auto"/>
        <w:left w:val="none" w:sz="0" w:space="0" w:color="auto"/>
        <w:bottom w:val="none" w:sz="0" w:space="0" w:color="auto"/>
        <w:right w:val="none" w:sz="0" w:space="0" w:color="auto"/>
      </w:divBdr>
    </w:div>
    <w:div w:id="914052350">
      <w:bodyDiv w:val="1"/>
      <w:marLeft w:val="0"/>
      <w:marRight w:val="0"/>
      <w:marTop w:val="0"/>
      <w:marBottom w:val="0"/>
      <w:divBdr>
        <w:top w:val="none" w:sz="0" w:space="0" w:color="auto"/>
        <w:left w:val="none" w:sz="0" w:space="0" w:color="auto"/>
        <w:bottom w:val="none" w:sz="0" w:space="0" w:color="auto"/>
        <w:right w:val="none" w:sz="0" w:space="0" w:color="auto"/>
      </w:divBdr>
    </w:div>
    <w:div w:id="915549509">
      <w:bodyDiv w:val="1"/>
      <w:marLeft w:val="0"/>
      <w:marRight w:val="0"/>
      <w:marTop w:val="0"/>
      <w:marBottom w:val="0"/>
      <w:divBdr>
        <w:top w:val="none" w:sz="0" w:space="0" w:color="auto"/>
        <w:left w:val="none" w:sz="0" w:space="0" w:color="auto"/>
        <w:bottom w:val="none" w:sz="0" w:space="0" w:color="auto"/>
        <w:right w:val="none" w:sz="0" w:space="0" w:color="auto"/>
      </w:divBdr>
    </w:div>
    <w:div w:id="928387883">
      <w:bodyDiv w:val="1"/>
      <w:marLeft w:val="0"/>
      <w:marRight w:val="0"/>
      <w:marTop w:val="0"/>
      <w:marBottom w:val="0"/>
      <w:divBdr>
        <w:top w:val="none" w:sz="0" w:space="0" w:color="auto"/>
        <w:left w:val="none" w:sz="0" w:space="0" w:color="auto"/>
        <w:bottom w:val="none" w:sz="0" w:space="0" w:color="auto"/>
        <w:right w:val="none" w:sz="0" w:space="0" w:color="auto"/>
      </w:divBdr>
    </w:div>
    <w:div w:id="967665610">
      <w:bodyDiv w:val="1"/>
      <w:marLeft w:val="0"/>
      <w:marRight w:val="0"/>
      <w:marTop w:val="0"/>
      <w:marBottom w:val="0"/>
      <w:divBdr>
        <w:top w:val="none" w:sz="0" w:space="0" w:color="auto"/>
        <w:left w:val="none" w:sz="0" w:space="0" w:color="auto"/>
        <w:bottom w:val="none" w:sz="0" w:space="0" w:color="auto"/>
        <w:right w:val="none" w:sz="0" w:space="0" w:color="auto"/>
      </w:divBdr>
    </w:div>
    <w:div w:id="974680705">
      <w:bodyDiv w:val="1"/>
      <w:marLeft w:val="0"/>
      <w:marRight w:val="0"/>
      <w:marTop w:val="0"/>
      <w:marBottom w:val="0"/>
      <w:divBdr>
        <w:top w:val="none" w:sz="0" w:space="0" w:color="auto"/>
        <w:left w:val="none" w:sz="0" w:space="0" w:color="auto"/>
        <w:bottom w:val="none" w:sz="0" w:space="0" w:color="auto"/>
        <w:right w:val="none" w:sz="0" w:space="0" w:color="auto"/>
      </w:divBdr>
    </w:div>
    <w:div w:id="981274106">
      <w:bodyDiv w:val="1"/>
      <w:marLeft w:val="0"/>
      <w:marRight w:val="0"/>
      <w:marTop w:val="0"/>
      <w:marBottom w:val="0"/>
      <w:divBdr>
        <w:top w:val="none" w:sz="0" w:space="0" w:color="auto"/>
        <w:left w:val="none" w:sz="0" w:space="0" w:color="auto"/>
        <w:bottom w:val="none" w:sz="0" w:space="0" w:color="auto"/>
        <w:right w:val="none" w:sz="0" w:space="0" w:color="auto"/>
      </w:divBdr>
    </w:div>
    <w:div w:id="1061639584">
      <w:bodyDiv w:val="1"/>
      <w:marLeft w:val="0"/>
      <w:marRight w:val="0"/>
      <w:marTop w:val="0"/>
      <w:marBottom w:val="0"/>
      <w:divBdr>
        <w:top w:val="none" w:sz="0" w:space="0" w:color="auto"/>
        <w:left w:val="none" w:sz="0" w:space="0" w:color="auto"/>
        <w:bottom w:val="none" w:sz="0" w:space="0" w:color="auto"/>
        <w:right w:val="none" w:sz="0" w:space="0" w:color="auto"/>
      </w:divBdr>
    </w:div>
    <w:div w:id="1094548942">
      <w:bodyDiv w:val="1"/>
      <w:marLeft w:val="0"/>
      <w:marRight w:val="0"/>
      <w:marTop w:val="0"/>
      <w:marBottom w:val="0"/>
      <w:divBdr>
        <w:top w:val="none" w:sz="0" w:space="0" w:color="auto"/>
        <w:left w:val="none" w:sz="0" w:space="0" w:color="auto"/>
        <w:bottom w:val="none" w:sz="0" w:space="0" w:color="auto"/>
        <w:right w:val="none" w:sz="0" w:space="0" w:color="auto"/>
      </w:divBdr>
    </w:div>
    <w:div w:id="1139881186">
      <w:bodyDiv w:val="1"/>
      <w:marLeft w:val="0"/>
      <w:marRight w:val="0"/>
      <w:marTop w:val="0"/>
      <w:marBottom w:val="0"/>
      <w:divBdr>
        <w:top w:val="none" w:sz="0" w:space="0" w:color="auto"/>
        <w:left w:val="none" w:sz="0" w:space="0" w:color="auto"/>
        <w:bottom w:val="none" w:sz="0" w:space="0" w:color="auto"/>
        <w:right w:val="none" w:sz="0" w:space="0" w:color="auto"/>
      </w:divBdr>
    </w:div>
    <w:div w:id="1144935169">
      <w:bodyDiv w:val="1"/>
      <w:marLeft w:val="0"/>
      <w:marRight w:val="0"/>
      <w:marTop w:val="0"/>
      <w:marBottom w:val="0"/>
      <w:divBdr>
        <w:top w:val="none" w:sz="0" w:space="0" w:color="auto"/>
        <w:left w:val="none" w:sz="0" w:space="0" w:color="auto"/>
        <w:bottom w:val="none" w:sz="0" w:space="0" w:color="auto"/>
        <w:right w:val="none" w:sz="0" w:space="0" w:color="auto"/>
      </w:divBdr>
    </w:div>
    <w:div w:id="1150055603">
      <w:bodyDiv w:val="1"/>
      <w:marLeft w:val="0"/>
      <w:marRight w:val="0"/>
      <w:marTop w:val="0"/>
      <w:marBottom w:val="0"/>
      <w:divBdr>
        <w:top w:val="none" w:sz="0" w:space="0" w:color="auto"/>
        <w:left w:val="none" w:sz="0" w:space="0" w:color="auto"/>
        <w:bottom w:val="none" w:sz="0" w:space="0" w:color="auto"/>
        <w:right w:val="none" w:sz="0" w:space="0" w:color="auto"/>
      </w:divBdr>
    </w:div>
    <w:div w:id="1169834316">
      <w:bodyDiv w:val="1"/>
      <w:marLeft w:val="0"/>
      <w:marRight w:val="0"/>
      <w:marTop w:val="0"/>
      <w:marBottom w:val="0"/>
      <w:divBdr>
        <w:top w:val="none" w:sz="0" w:space="0" w:color="auto"/>
        <w:left w:val="none" w:sz="0" w:space="0" w:color="auto"/>
        <w:bottom w:val="none" w:sz="0" w:space="0" w:color="auto"/>
        <w:right w:val="none" w:sz="0" w:space="0" w:color="auto"/>
      </w:divBdr>
    </w:div>
    <w:div w:id="1173036716">
      <w:bodyDiv w:val="1"/>
      <w:marLeft w:val="0"/>
      <w:marRight w:val="0"/>
      <w:marTop w:val="0"/>
      <w:marBottom w:val="0"/>
      <w:divBdr>
        <w:top w:val="none" w:sz="0" w:space="0" w:color="auto"/>
        <w:left w:val="none" w:sz="0" w:space="0" w:color="auto"/>
        <w:bottom w:val="none" w:sz="0" w:space="0" w:color="auto"/>
        <w:right w:val="none" w:sz="0" w:space="0" w:color="auto"/>
      </w:divBdr>
    </w:div>
    <w:div w:id="1189179827">
      <w:bodyDiv w:val="1"/>
      <w:marLeft w:val="0"/>
      <w:marRight w:val="0"/>
      <w:marTop w:val="0"/>
      <w:marBottom w:val="0"/>
      <w:divBdr>
        <w:top w:val="none" w:sz="0" w:space="0" w:color="auto"/>
        <w:left w:val="none" w:sz="0" w:space="0" w:color="auto"/>
        <w:bottom w:val="none" w:sz="0" w:space="0" w:color="auto"/>
        <w:right w:val="none" w:sz="0" w:space="0" w:color="auto"/>
      </w:divBdr>
    </w:div>
    <w:div w:id="1193375743">
      <w:bodyDiv w:val="1"/>
      <w:marLeft w:val="0"/>
      <w:marRight w:val="0"/>
      <w:marTop w:val="0"/>
      <w:marBottom w:val="0"/>
      <w:divBdr>
        <w:top w:val="none" w:sz="0" w:space="0" w:color="auto"/>
        <w:left w:val="none" w:sz="0" w:space="0" w:color="auto"/>
        <w:bottom w:val="none" w:sz="0" w:space="0" w:color="auto"/>
        <w:right w:val="none" w:sz="0" w:space="0" w:color="auto"/>
      </w:divBdr>
    </w:div>
    <w:div w:id="1234927240">
      <w:bodyDiv w:val="1"/>
      <w:marLeft w:val="0"/>
      <w:marRight w:val="0"/>
      <w:marTop w:val="0"/>
      <w:marBottom w:val="0"/>
      <w:divBdr>
        <w:top w:val="none" w:sz="0" w:space="0" w:color="auto"/>
        <w:left w:val="none" w:sz="0" w:space="0" w:color="auto"/>
        <w:bottom w:val="none" w:sz="0" w:space="0" w:color="auto"/>
        <w:right w:val="none" w:sz="0" w:space="0" w:color="auto"/>
      </w:divBdr>
    </w:div>
    <w:div w:id="1260527784">
      <w:bodyDiv w:val="1"/>
      <w:marLeft w:val="0"/>
      <w:marRight w:val="0"/>
      <w:marTop w:val="0"/>
      <w:marBottom w:val="0"/>
      <w:divBdr>
        <w:top w:val="none" w:sz="0" w:space="0" w:color="auto"/>
        <w:left w:val="none" w:sz="0" w:space="0" w:color="auto"/>
        <w:bottom w:val="none" w:sz="0" w:space="0" w:color="auto"/>
        <w:right w:val="none" w:sz="0" w:space="0" w:color="auto"/>
      </w:divBdr>
    </w:div>
    <w:div w:id="1283415759">
      <w:bodyDiv w:val="1"/>
      <w:marLeft w:val="0"/>
      <w:marRight w:val="0"/>
      <w:marTop w:val="0"/>
      <w:marBottom w:val="0"/>
      <w:divBdr>
        <w:top w:val="none" w:sz="0" w:space="0" w:color="auto"/>
        <w:left w:val="none" w:sz="0" w:space="0" w:color="auto"/>
        <w:bottom w:val="none" w:sz="0" w:space="0" w:color="auto"/>
        <w:right w:val="none" w:sz="0" w:space="0" w:color="auto"/>
      </w:divBdr>
    </w:div>
    <w:div w:id="1288732524">
      <w:bodyDiv w:val="1"/>
      <w:marLeft w:val="0"/>
      <w:marRight w:val="0"/>
      <w:marTop w:val="0"/>
      <w:marBottom w:val="0"/>
      <w:divBdr>
        <w:top w:val="none" w:sz="0" w:space="0" w:color="auto"/>
        <w:left w:val="none" w:sz="0" w:space="0" w:color="auto"/>
        <w:bottom w:val="none" w:sz="0" w:space="0" w:color="auto"/>
        <w:right w:val="none" w:sz="0" w:space="0" w:color="auto"/>
      </w:divBdr>
    </w:div>
    <w:div w:id="1298490536">
      <w:bodyDiv w:val="1"/>
      <w:marLeft w:val="0"/>
      <w:marRight w:val="0"/>
      <w:marTop w:val="0"/>
      <w:marBottom w:val="0"/>
      <w:divBdr>
        <w:top w:val="none" w:sz="0" w:space="0" w:color="auto"/>
        <w:left w:val="none" w:sz="0" w:space="0" w:color="auto"/>
        <w:bottom w:val="none" w:sz="0" w:space="0" w:color="auto"/>
        <w:right w:val="none" w:sz="0" w:space="0" w:color="auto"/>
      </w:divBdr>
    </w:div>
    <w:div w:id="1301299133">
      <w:bodyDiv w:val="1"/>
      <w:marLeft w:val="0"/>
      <w:marRight w:val="0"/>
      <w:marTop w:val="0"/>
      <w:marBottom w:val="0"/>
      <w:divBdr>
        <w:top w:val="none" w:sz="0" w:space="0" w:color="auto"/>
        <w:left w:val="none" w:sz="0" w:space="0" w:color="auto"/>
        <w:bottom w:val="none" w:sz="0" w:space="0" w:color="auto"/>
        <w:right w:val="none" w:sz="0" w:space="0" w:color="auto"/>
      </w:divBdr>
    </w:div>
    <w:div w:id="1323702713">
      <w:bodyDiv w:val="1"/>
      <w:marLeft w:val="0"/>
      <w:marRight w:val="0"/>
      <w:marTop w:val="0"/>
      <w:marBottom w:val="0"/>
      <w:divBdr>
        <w:top w:val="none" w:sz="0" w:space="0" w:color="auto"/>
        <w:left w:val="none" w:sz="0" w:space="0" w:color="auto"/>
        <w:bottom w:val="none" w:sz="0" w:space="0" w:color="auto"/>
        <w:right w:val="none" w:sz="0" w:space="0" w:color="auto"/>
      </w:divBdr>
      <w:divsChild>
        <w:div w:id="145702814">
          <w:marLeft w:val="0"/>
          <w:marRight w:val="0"/>
          <w:marTop w:val="0"/>
          <w:marBottom w:val="0"/>
          <w:divBdr>
            <w:top w:val="none" w:sz="0" w:space="0" w:color="auto"/>
            <w:left w:val="none" w:sz="0" w:space="0" w:color="auto"/>
            <w:bottom w:val="none" w:sz="0" w:space="0" w:color="auto"/>
            <w:right w:val="none" w:sz="0" w:space="0" w:color="auto"/>
          </w:divBdr>
        </w:div>
        <w:div w:id="407309916">
          <w:marLeft w:val="0"/>
          <w:marRight w:val="0"/>
          <w:marTop w:val="0"/>
          <w:marBottom w:val="0"/>
          <w:divBdr>
            <w:top w:val="none" w:sz="0" w:space="0" w:color="auto"/>
            <w:left w:val="none" w:sz="0" w:space="0" w:color="auto"/>
            <w:bottom w:val="none" w:sz="0" w:space="0" w:color="auto"/>
            <w:right w:val="none" w:sz="0" w:space="0" w:color="auto"/>
          </w:divBdr>
        </w:div>
        <w:div w:id="859927235">
          <w:marLeft w:val="0"/>
          <w:marRight w:val="0"/>
          <w:marTop w:val="0"/>
          <w:marBottom w:val="0"/>
          <w:divBdr>
            <w:top w:val="none" w:sz="0" w:space="0" w:color="auto"/>
            <w:left w:val="none" w:sz="0" w:space="0" w:color="auto"/>
            <w:bottom w:val="none" w:sz="0" w:space="0" w:color="auto"/>
            <w:right w:val="none" w:sz="0" w:space="0" w:color="auto"/>
          </w:divBdr>
        </w:div>
        <w:div w:id="1207983020">
          <w:marLeft w:val="0"/>
          <w:marRight w:val="0"/>
          <w:marTop w:val="0"/>
          <w:marBottom w:val="0"/>
          <w:divBdr>
            <w:top w:val="none" w:sz="0" w:space="0" w:color="auto"/>
            <w:left w:val="none" w:sz="0" w:space="0" w:color="auto"/>
            <w:bottom w:val="none" w:sz="0" w:space="0" w:color="auto"/>
            <w:right w:val="none" w:sz="0" w:space="0" w:color="auto"/>
          </w:divBdr>
        </w:div>
        <w:div w:id="1806854967">
          <w:marLeft w:val="0"/>
          <w:marRight w:val="0"/>
          <w:marTop w:val="0"/>
          <w:marBottom w:val="0"/>
          <w:divBdr>
            <w:top w:val="none" w:sz="0" w:space="0" w:color="auto"/>
            <w:left w:val="none" w:sz="0" w:space="0" w:color="auto"/>
            <w:bottom w:val="none" w:sz="0" w:space="0" w:color="auto"/>
            <w:right w:val="none" w:sz="0" w:space="0" w:color="auto"/>
          </w:divBdr>
        </w:div>
      </w:divsChild>
    </w:div>
    <w:div w:id="1335112512">
      <w:bodyDiv w:val="1"/>
      <w:marLeft w:val="0"/>
      <w:marRight w:val="0"/>
      <w:marTop w:val="0"/>
      <w:marBottom w:val="0"/>
      <w:divBdr>
        <w:top w:val="none" w:sz="0" w:space="0" w:color="auto"/>
        <w:left w:val="none" w:sz="0" w:space="0" w:color="auto"/>
        <w:bottom w:val="none" w:sz="0" w:space="0" w:color="auto"/>
        <w:right w:val="none" w:sz="0" w:space="0" w:color="auto"/>
      </w:divBdr>
    </w:div>
    <w:div w:id="1350370090">
      <w:bodyDiv w:val="1"/>
      <w:marLeft w:val="0"/>
      <w:marRight w:val="0"/>
      <w:marTop w:val="0"/>
      <w:marBottom w:val="0"/>
      <w:divBdr>
        <w:top w:val="none" w:sz="0" w:space="0" w:color="auto"/>
        <w:left w:val="none" w:sz="0" w:space="0" w:color="auto"/>
        <w:bottom w:val="none" w:sz="0" w:space="0" w:color="auto"/>
        <w:right w:val="none" w:sz="0" w:space="0" w:color="auto"/>
      </w:divBdr>
    </w:div>
    <w:div w:id="1376662645">
      <w:bodyDiv w:val="1"/>
      <w:marLeft w:val="0"/>
      <w:marRight w:val="0"/>
      <w:marTop w:val="0"/>
      <w:marBottom w:val="0"/>
      <w:divBdr>
        <w:top w:val="none" w:sz="0" w:space="0" w:color="auto"/>
        <w:left w:val="none" w:sz="0" w:space="0" w:color="auto"/>
        <w:bottom w:val="none" w:sz="0" w:space="0" w:color="auto"/>
        <w:right w:val="none" w:sz="0" w:space="0" w:color="auto"/>
      </w:divBdr>
    </w:div>
    <w:div w:id="1381782729">
      <w:bodyDiv w:val="1"/>
      <w:marLeft w:val="0"/>
      <w:marRight w:val="0"/>
      <w:marTop w:val="0"/>
      <w:marBottom w:val="0"/>
      <w:divBdr>
        <w:top w:val="none" w:sz="0" w:space="0" w:color="auto"/>
        <w:left w:val="none" w:sz="0" w:space="0" w:color="auto"/>
        <w:bottom w:val="none" w:sz="0" w:space="0" w:color="auto"/>
        <w:right w:val="none" w:sz="0" w:space="0" w:color="auto"/>
      </w:divBdr>
    </w:div>
    <w:div w:id="1411073449">
      <w:bodyDiv w:val="1"/>
      <w:marLeft w:val="0"/>
      <w:marRight w:val="0"/>
      <w:marTop w:val="0"/>
      <w:marBottom w:val="0"/>
      <w:divBdr>
        <w:top w:val="none" w:sz="0" w:space="0" w:color="auto"/>
        <w:left w:val="none" w:sz="0" w:space="0" w:color="auto"/>
        <w:bottom w:val="none" w:sz="0" w:space="0" w:color="auto"/>
        <w:right w:val="none" w:sz="0" w:space="0" w:color="auto"/>
      </w:divBdr>
    </w:div>
    <w:div w:id="1418938339">
      <w:bodyDiv w:val="1"/>
      <w:marLeft w:val="0"/>
      <w:marRight w:val="0"/>
      <w:marTop w:val="0"/>
      <w:marBottom w:val="0"/>
      <w:divBdr>
        <w:top w:val="none" w:sz="0" w:space="0" w:color="auto"/>
        <w:left w:val="none" w:sz="0" w:space="0" w:color="auto"/>
        <w:bottom w:val="none" w:sz="0" w:space="0" w:color="auto"/>
        <w:right w:val="none" w:sz="0" w:space="0" w:color="auto"/>
      </w:divBdr>
    </w:div>
    <w:div w:id="1422026283">
      <w:bodyDiv w:val="1"/>
      <w:marLeft w:val="0"/>
      <w:marRight w:val="0"/>
      <w:marTop w:val="0"/>
      <w:marBottom w:val="0"/>
      <w:divBdr>
        <w:top w:val="none" w:sz="0" w:space="0" w:color="auto"/>
        <w:left w:val="none" w:sz="0" w:space="0" w:color="auto"/>
        <w:bottom w:val="none" w:sz="0" w:space="0" w:color="auto"/>
        <w:right w:val="none" w:sz="0" w:space="0" w:color="auto"/>
      </w:divBdr>
      <w:divsChild>
        <w:div w:id="425152935">
          <w:marLeft w:val="0"/>
          <w:marRight w:val="0"/>
          <w:marTop w:val="0"/>
          <w:marBottom w:val="0"/>
          <w:divBdr>
            <w:top w:val="none" w:sz="0" w:space="0" w:color="auto"/>
            <w:left w:val="none" w:sz="0" w:space="0" w:color="auto"/>
            <w:bottom w:val="none" w:sz="0" w:space="0" w:color="auto"/>
            <w:right w:val="none" w:sz="0" w:space="0" w:color="auto"/>
          </w:divBdr>
        </w:div>
        <w:div w:id="427123298">
          <w:marLeft w:val="0"/>
          <w:marRight w:val="0"/>
          <w:marTop w:val="0"/>
          <w:marBottom w:val="0"/>
          <w:divBdr>
            <w:top w:val="none" w:sz="0" w:space="0" w:color="auto"/>
            <w:left w:val="none" w:sz="0" w:space="0" w:color="auto"/>
            <w:bottom w:val="none" w:sz="0" w:space="0" w:color="auto"/>
            <w:right w:val="none" w:sz="0" w:space="0" w:color="auto"/>
          </w:divBdr>
        </w:div>
        <w:div w:id="854879317">
          <w:marLeft w:val="0"/>
          <w:marRight w:val="0"/>
          <w:marTop w:val="0"/>
          <w:marBottom w:val="0"/>
          <w:divBdr>
            <w:top w:val="none" w:sz="0" w:space="0" w:color="auto"/>
            <w:left w:val="none" w:sz="0" w:space="0" w:color="auto"/>
            <w:bottom w:val="none" w:sz="0" w:space="0" w:color="auto"/>
            <w:right w:val="none" w:sz="0" w:space="0" w:color="auto"/>
          </w:divBdr>
        </w:div>
        <w:div w:id="1642539844">
          <w:marLeft w:val="0"/>
          <w:marRight w:val="0"/>
          <w:marTop w:val="0"/>
          <w:marBottom w:val="0"/>
          <w:divBdr>
            <w:top w:val="none" w:sz="0" w:space="0" w:color="auto"/>
            <w:left w:val="none" w:sz="0" w:space="0" w:color="auto"/>
            <w:bottom w:val="none" w:sz="0" w:space="0" w:color="auto"/>
            <w:right w:val="none" w:sz="0" w:space="0" w:color="auto"/>
          </w:divBdr>
        </w:div>
        <w:div w:id="1847942028">
          <w:marLeft w:val="0"/>
          <w:marRight w:val="0"/>
          <w:marTop w:val="0"/>
          <w:marBottom w:val="0"/>
          <w:divBdr>
            <w:top w:val="none" w:sz="0" w:space="0" w:color="auto"/>
            <w:left w:val="none" w:sz="0" w:space="0" w:color="auto"/>
            <w:bottom w:val="none" w:sz="0" w:space="0" w:color="auto"/>
            <w:right w:val="none" w:sz="0" w:space="0" w:color="auto"/>
          </w:divBdr>
        </w:div>
        <w:div w:id="1910535492">
          <w:marLeft w:val="0"/>
          <w:marRight w:val="0"/>
          <w:marTop w:val="0"/>
          <w:marBottom w:val="0"/>
          <w:divBdr>
            <w:top w:val="none" w:sz="0" w:space="0" w:color="auto"/>
            <w:left w:val="none" w:sz="0" w:space="0" w:color="auto"/>
            <w:bottom w:val="none" w:sz="0" w:space="0" w:color="auto"/>
            <w:right w:val="none" w:sz="0" w:space="0" w:color="auto"/>
          </w:divBdr>
        </w:div>
      </w:divsChild>
    </w:div>
    <w:div w:id="1430614597">
      <w:bodyDiv w:val="1"/>
      <w:marLeft w:val="0"/>
      <w:marRight w:val="0"/>
      <w:marTop w:val="0"/>
      <w:marBottom w:val="0"/>
      <w:divBdr>
        <w:top w:val="none" w:sz="0" w:space="0" w:color="auto"/>
        <w:left w:val="none" w:sz="0" w:space="0" w:color="auto"/>
        <w:bottom w:val="none" w:sz="0" w:space="0" w:color="auto"/>
        <w:right w:val="none" w:sz="0" w:space="0" w:color="auto"/>
      </w:divBdr>
    </w:div>
    <w:div w:id="1432044012">
      <w:bodyDiv w:val="1"/>
      <w:marLeft w:val="0"/>
      <w:marRight w:val="0"/>
      <w:marTop w:val="0"/>
      <w:marBottom w:val="0"/>
      <w:divBdr>
        <w:top w:val="none" w:sz="0" w:space="0" w:color="auto"/>
        <w:left w:val="none" w:sz="0" w:space="0" w:color="auto"/>
        <w:bottom w:val="none" w:sz="0" w:space="0" w:color="auto"/>
        <w:right w:val="none" w:sz="0" w:space="0" w:color="auto"/>
      </w:divBdr>
    </w:div>
    <w:div w:id="1441877316">
      <w:bodyDiv w:val="1"/>
      <w:marLeft w:val="0"/>
      <w:marRight w:val="0"/>
      <w:marTop w:val="0"/>
      <w:marBottom w:val="0"/>
      <w:divBdr>
        <w:top w:val="none" w:sz="0" w:space="0" w:color="auto"/>
        <w:left w:val="none" w:sz="0" w:space="0" w:color="auto"/>
        <w:bottom w:val="none" w:sz="0" w:space="0" w:color="auto"/>
        <w:right w:val="none" w:sz="0" w:space="0" w:color="auto"/>
      </w:divBdr>
    </w:div>
    <w:div w:id="1447239599">
      <w:bodyDiv w:val="1"/>
      <w:marLeft w:val="0"/>
      <w:marRight w:val="0"/>
      <w:marTop w:val="0"/>
      <w:marBottom w:val="0"/>
      <w:divBdr>
        <w:top w:val="none" w:sz="0" w:space="0" w:color="auto"/>
        <w:left w:val="none" w:sz="0" w:space="0" w:color="auto"/>
        <w:bottom w:val="none" w:sz="0" w:space="0" w:color="auto"/>
        <w:right w:val="none" w:sz="0" w:space="0" w:color="auto"/>
      </w:divBdr>
    </w:div>
    <w:div w:id="1477186905">
      <w:bodyDiv w:val="1"/>
      <w:marLeft w:val="0"/>
      <w:marRight w:val="0"/>
      <w:marTop w:val="0"/>
      <w:marBottom w:val="0"/>
      <w:divBdr>
        <w:top w:val="none" w:sz="0" w:space="0" w:color="auto"/>
        <w:left w:val="none" w:sz="0" w:space="0" w:color="auto"/>
        <w:bottom w:val="none" w:sz="0" w:space="0" w:color="auto"/>
        <w:right w:val="none" w:sz="0" w:space="0" w:color="auto"/>
      </w:divBdr>
    </w:div>
    <w:div w:id="1508400751">
      <w:bodyDiv w:val="1"/>
      <w:marLeft w:val="0"/>
      <w:marRight w:val="0"/>
      <w:marTop w:val="0"/>
      <w:marBottom w:val="0"/>
      <w:divBdr>
        <w:top w:val="none" w:sz="0" w:space="0" w:color="auto"/>
        <w:left w:val="none" w:sz="0" w:space="0" w:color="auto"/>
        <w:bottom w:val="none" w:sz="0" w:space="0" w:color="auto"/>
        <w:right w:val="none" w:sz="0" w:space="0" w:color="auto"/>
      </w:divBdr>
    </w:div>
    <w:div w:id="1579751508">
      <w:bodyDiv w:val="1"/>
      <w:marLeft w:val="0"/>
      <w:marRight w:val="0"/>
      <w:marTop w:val="0"/>
      <w:marBottom w:val="0"/>
      <w:divBdr>
        <w:top w:val="none" w:sz="0" w:space="0" w:color="auto"/>
        <w:left w:val="none" w:sz="0" w:space="0" w:color="auto"/>
        <w:bottom w:val="none" w:sz="0" w:space="0" w:color="auto"/>
        <w:right w:val="none" w:sz="0" w:space="0" w:color="auto"/>
      </w:divBdr>
    </w:div>
    <w:div w:id="1582175460">
      <w:bodyDiv w:val="1"/>
      <w:marLeft w:val="0"/>
      <w:marRight w:val="0"/>
      <w:marTop w:val="0"/>
      <w:marBottom w:val="0"/>
      <w:divBdr>
        <w:top w:val="none" w:sz="0" w:space="0" w:color="auto"/>
        <w:left w:val="none" w:sz="0" w:space="0" w:color="auto"/>
        <w:bottom w:val="none" w:sz="0" w:space="0" w:color="auto"/>
        <w:right w:val="none" w:sz="0" w:space="0" w:color="auto"/>
      </w:divBdr>
    </w:div>
    <w:div w:id="1604530015">
      <w:bodyDiv w:val="1"/>
      <w:marLeft w:val="0"/>
      <w:marRight w:val="0"/>
      <w:marTop w:val="0"/>
      <w:marBottom w:val="0"/>
      <w:divBdr>
        <w:top w:val="none" w:sz="0" w:space="0" w:color="auto"/>
        <w:left w:val="none" w:sz="0" w:space="0" w:color="auto"/>
        <w:bottom w:val="none" w:sz="0" w:space="0" w:color="auto"/>
        <w:right w:val="none" w:sz="0" w:space="0" w:color="auto"/>
      </w:divBdr>
    </w:div>
    <w:div w:id="1631128821">
      <w:bodyDiv w:val="1"/>
      <w:marLeft w:val="0"/>
      <w:marRight w:val="0"/>
      <w:marTop w:val="0"/>
      <w:marBottom w:val="0"/>
      <w:divBdr>
        <w:top w:val="none" w:sz="0" w:space="0" w:color="auto"/>
        <w:left w:val="none" w:sz="0" w:space="0" w:color="auto"/>
        <w:bottom w:val="none" w:sz="0" w:space="0" w:color="auto"/>
        <w:right w:val="none" w:sz="0" w:space="0" w:color="auto"/>
      </w:divBdr>
    </w:div>
    <w:div w:id="1653948896">
      <w:bodyDiv w:val="1"/>
      <w:marLeft w:val="0"/>
      <w:marRight w:val="0"/>
      <w:marTop w:val="0"/>
      <w:marBottom w:val="0"/>
      <w:divBdr>
        <w:top w:val="none" w:sz="0" w:space="0" w:color="auto"/>
        <w:left w:val="none" w:sz="0" w:space="0" w:color="auto"/>
        <w:bottom w:val="none" w:sz="0" w:space="0" w:color="auto"/>
        <w:right w:val="none" w:sz="0" w:space="0" w:color="auto"/>
      </w:divBdr>
    </w:div>
    <w:div w:id="1673413275">
      <w:bodyDiv w:val="1"/>
      <w:marLeft w:val="0"/>
      <w:marRight w:val="0"/>
      <w:marTop w:val="0"/>
      <w:marBottom w:val="0"/>
      <w:divBdr>
        <w:top w:val="none" w:sz="0" w:space="0" w:color="auto"/>
        <w:left w:val="none" w:sz="0" w:space="0" w:color="auto"/>
        <w:bottom w:val="none" w:sz="0" w:space="0" w:color="auto"/>
        <w:right w:val="none" w:sz="0" w:space="0" w:color="auto"/>
      </w:divBdr>
    </w:div>
    <w:div w:id="1675914786">
      <w:bodyDiv w:val="1"/>
      <w:marLeft w:val="0"/>
      <w:marRight w:val="0"/>
      <w:marTop w:val="0"/>
      <w:marBottom w:val="0"/>
      <w:divBdr>
        <w:top w:val="none" w:sz="0" w:space="0" w:color="auto"/>
        <w:left w:val="none" w:sz="0" w:space="0" w:color="auto"/>
        <w:bottom w:val="none" w:sz="0" w:space="0" w:color="auto"/>
        <w:right w:val="none" w:sz="0" w:space="0" w:color="auto"/>
      </w:divBdr>
    </w:div>
    <w:div w:id="1697390897">
      <w:bodyDiv w:val="1"/>
      <w:marLeft w:val="0"/>
      <w:marRight w:val="0"/>
      <w:marTop w:val="0"/>
      <w:marBottom w:val="0"/>
      <w:divBdr>
        <w:top w:val="none" w:sz="0" w:space="0" w:color="auto"/>
        <w:left w:val="none" w:sz="0" w:space="0" w:color="auto"/>
        <w:bottom w:val="none" w:sz="0" w:space="0" w:color="auto"/>
        <w:right w:val="none" w:sz="0" w:space="0" w:color="auto"/>
      </w:divBdr>
    </w:div>
    <w:div w:id="1712994386">
      <w:bodyDiv w:val="1"/>
      <w:marLeft w:val="0"/>
      <w:marRight w:val="0"/>
      <w:marTop w:val="0"/>
      <w:marBottom w:val="0"/>
      <w:divBdr>
        <w:top w:val="none" w:sz="0" w:space="0" w:color="auto"/>
        <w:left w:val="none" w:sz="0" w:space="0" w:color="auto"/>
        <w:bottom w:val="none" w:sz="0" w:space="0" w:color="auto"/>
        <w:right w:val="none" w:sz="0" w:space="0" w:color="auto"/>
      </w:divBdr>
    </w:div>
    <w:div w:id="1717194204">
      <w:bodyDiv w:val="1"/>
      <w:marLeft w:val="0"/>
      <w:marRight w:val="0"/>
      <w:marTop w:val="0"/>
      <w:marBottom w:val="0"/>
      <w:divBdr>
        <w:top w:val="none" w:sz="0" w:space="0" w:color="auto"/>
        <w:left w:val="none" w:sz="0" w:space="0" w:color="auto"/>
        <w:bottom w:val="none" w:sz="0" w:space="0" w:color="auto"/>
        <w:right w:val="none" w:sz="0" w:space="0" w:color="auto"/>
      </w:divBdr>
    </w:div>
    <w:div w:id="1751270661">
      <w:bodyDiv w:val="1"/>
      <w:marLeft w:val="0"/>
      <w:marRight w:val="0"/>
      <w:marTop w:val="0"/>
      <w:marBottom w:val="0"/>
      <w:divBdr>
        <w:top w:val="none" w:sz="0" w:space="0" w:color="auto"/>
        <w:left w:val="none" w:sz="0" w:space="0" w:color="auto"/>
        <w:bottom w:val="none" w:sz="0" w:space="0" w:color="auto"/>
        <w:right w:val="none" w:sz="0" w:space="0" w:color="auto"/>
      </w:divBdr>
    </w:div>
    <w:div w:id="1789278215">
      <w:bodyDiv w:val="1"/>
      <w:marLeft w:val="0"/>
      <w:marRight w:val="0"/>
      <w:marTop w:val="0"/>
      <w:marBottom w:val="0"/>
      <w:divBdr>
        <w:top w:val="none" w:sz="0" w:space="0" w:color="auto"/>
        <w:left w:val="none" w:sz="0" w:space="0" w:color="auto"/>
        <w:bottom w:val="none" w:sz="0" w:space="0" w:color="auto"/>
        <w:right w:val="none" w:sz="0" w:space="0" w:color="auto"/>
      </w:divBdr>
    </w:div>
    <w:div w:id="1791432560">
      <w:bodyDiv w:val="1"/>
      <w:marLeft w:val="0"/>
      <w:marRight w:val="0"/>
      <w:marTop w:val="0"/>
      <w:marBottom w:val="0"/>
      <w:divBdr>
        <w:top w:val="none" w:sz="0" w:space="0" w:color="auto"/>
        <w:left w:val="none" w:sz="0" w:space="0" w:color="auto"/>
        <w:bottom w:val="none" w:sz="0" w:space="0" w:color="auto"/>
        <w:right w:val="none" w:sz="0" w:space="0" w:color="auto"/>
      </w:divBdr>
    </w:div>
    <w:div w:id="1835803235">
      <w:bodyDiv w:val="1"/>
      <w:marLeft w:val="0"/>
      <w:marRight w:val="0"/>
      <w:marTop w:val="0"/>
      <w:marBottom w:val="0"/>
      <w:divBdr>
        <w:top w:val="none" w:sz="0" w:space="0" w:color="auto"/>
        <w:left w:val="none" w:sz="0" w:space="0" w:color="auto"/>
        <w:bottom w:val="none" w:sz="0" w:space="0" w:color="auto"/>
        <w:right w:val="none" w:sz="0" w:space="0" w:color="auto"/>
      </w:divBdr>
    </w:div>
    <w:div w:id="1878618063">
      <w:bodyDiv w:val="1"/>
      <w:marLeft w:val="0"/>
      <w:marRight w:val="0"/>
      <w:marTop w:val="0"/>
      <w:marBottom w:val="0"/>
      <w:divBdr>
        <w:top w:val="none" w:sz="0" w:space="0" w:color="auto"/>
        <w:left w:val="none" w:sz="0" w:space="0" w:color="auto"/>
        <w:bottom w:val="none" w:sz="0" w:space="0" w:color="auto"/>
        <w:right w:val="none" w:sz="0" w:space="0" w:color="auto"/>
      </w:divBdr>
    </w:div>
    <w:div w:id="1892645640">
      <w:bodyDiv w:val="1"/>
      <w:marLeft w:val="0"/>
      <w:marRight w:val="0"/>
      <w:marTop w:val="0"/>
      <w:marBottom w:val="0"/>
      <w:divBdr>
        <w:top w:val="none" w:sz="0" w:space="0" w:color="auto"/>
        <w:left w:val="none" w:sz="0" w:space="0" w:color="auto"/>
        <w:bottom w:val="none" w:sz="0" w:space="0" w:color="auto"/>
        <w:right w:val="none" w:sz="0" w:space="0" w:color="auto"/>
      </w:divBdr>
      <w:divsChild>
        <w:div w:id="489753401">
          <w:marLeft w:val="0"/>
          <w:marRight w:val="0"/>
          <w:marTop w:val="0"/>
          <w:marBottom w:val="0"/>
          <w:divBdr>
            <w:top w:val="none" w:sz="0" w:space="0" w:color="auto"/>
            <w:left w:val="none" w:sz="0" w:space="0" w:color="auto"/>
            <w:bottom w:val="none" w:sz="0" w:space="0" w:color="auto"/>
            <w:right w:val="none" w:sz="0" w:space="0" w:color="auto"/>
          </w:divBdr>
        </w:div>
        <w:div w:id="491651830">
          <w:marLeft w:val="0"/>
          <w:marRight w:val="0"/>
          <w:marTop w:val="0"/>
          <w:marBottom w:val="0"/>
          <w:divBdr>
            <w:top w:val="none" w:sz="0" w:space="0" w:color="auto"/>
            <w:left w:val="none" w:sz="0" w:space="0" w:color="auto"/>
            <w:bottom w:val="none" w:sz="0" w:space="0" w:color="auto"/>
            <w:right w:val="none" w:sz="0" w:space="0" w:color="auto"/>
          </w:divBdr>
        </w:div>
        <w:div w:id="603728768">
          <w:marLeft w:val="0"/>
          <w:marRight w:val="0"/>
          <w:marTop w:val="0"/>
          <w:marBottom w:val="0"/>
          <w:divBdr>
            <w:top w:val="none" w:sz="0" w:space="0" w:color="auto"/>
            <w:left w:val="none" w:sz="0" w:space="0" w:color="auto"/>
            <w:bottom w:val="none" w:sz="0" w:space="0" w:color="auto"/>
            <w:right w:val="none" w:sz="0" w:space="0" w:color="auto"/>
          </w:divBdr>
        </w:div>
        <w:div w:id="867373614">
          <w:marLeft w:val="0"/>
          <w:marRight w:val="0"/>
          <w:marTop w:val="0"/>
          <w:marBottom w:val="0"/>
          <w:divBdr>
            <w:top w:val="none" w:sz="0" w:space="0" w:color="auto"/>
            <w:left w:val="none" w:sz="0" w:space="0" w:color="auto"/>
            <w:bottom w:val="none" w:sz="0" w:space="0" w:color="auto"/>
            <w:right w:val="none" w:sz="0" w:space="0" w:color="auto"/>
          </w:divBdr>
        </w:div>
        <w:div w:id="1592852665">
          <w:marLeft w:val="0"/>
          <w:marRight w:val="0"/>
          <w:marTop w:val="0"/>
          <w:marBottom w:val="0"/>
          <w:divBdr>
            <w:top w:val="none" w:sz="0" w:space="0" w:color="auto"/>
            <w:left w:val="none" w:sz="0" w:space="0" w:color="auto"/>
            <w:bottom w:val="none" w:sz="0" w:space="0" w:color="auto"/>
            <w:right w:val="none" w:sz="0" w:space="0" w:color="auto"/>
          </w:divBdr>
        </w:div>
      </w:divsChild>
    </w:div>
    <w:div w:id="1897859249">
      <w:bodyDiv w:val="1"/>
      <w:marLeft w:val="0"/>
      <w:marRight w:val="0"/>
      <w:marTop w:val="0"/>
      <w:marBottom w:val="0"/>
      <w:divBdr>
        <w:top w:val="none" w:sz="0" w:space="0" w:color="auto"/>
        <w:left w:val="none" w:sz="0" w:space="0" w:color="auto"/>
        <w:bottom w:val="none" w:sz="0" w:space="0" w:color="auto"/>
        <w:right w:val="none" w:sz="0" w:space="0" w:color="auto"/>
      </w:divBdr>
    </w:div>
    <w:div w:id="1918325348">
      <w:bodyDiv w:val="1"/>
      <w:marLeft w:val="0"/>
      <w:marRight w:val="0"/>
      <w:marTop w:val="0"/>
      <w:marBottom w:val="0"/>
      <w:divBdr>
        <w:top w:val="none" w:sz="0" w:space="0" w:color="auto"/>
        <w:left w:val="none" w:sz="0" w:space="0" w:color="auto"/>
        <w:bottom w:val="none" w:sz="0" w:space="0" w:color="auto"/>
        <w:right w:val="none" w:sz="0" w:space="0" w:color="auto"/>
      </w:divBdr>
    </w:div>
    <w:div w:id="1939874459">
      <w:bodyDiv w:val="1"/>
      <w:marLeft w:val="0"/>
      <w:marRight w:val="0"/>
      <w:marTop w:val="0"/>
      <w:marBottom w:val="0"/>
      <w:divBdr>
        <w:top w:val="none" w:sz="0" w:space="0" w:color="auto"/>
        <w:left w:val="none" w:sz="0" w:space="0" w:color="auto"/>
        <w:bottom w:val="none" w:sz="0" w:space="0" w:color="auto"/>
        <w:right w:val="none" w:sz="0" w:space="0" w:color="auto"/>
      </w:divBdr>
    </w:div>
    <w:div w:id="1946841620">
      <w:bodyDiv w:val="1"/>
      <w:marLeft w:val="0"/>
      <w:marRight w:val="0"/>
      <w:marTop w:val="0"/>
      <w:marBottom w:val="0"/>
      <w:divBdr>
        <w:top w:val="none" w:sz="0" w:space="0" w:color="auto"/>
        <w:left w:val="none" w:sz="0" w:space="0" w:color="auto"/>
        <w:bottom w:val="none" w:sz="0" w:space="0" w:color="auto"/>
        <w:right w:val="none" w:sz="0" w:space="0" w:color="auto"/>
      </w:divBdr>
    </w:div>
    <w:div w:id="2004702457">
      <w:bodyDiv w:val="1"/>
      <w:marLeft w:val="0"/>
      <w:marRight w:val="0"/>
      <w:marTop w:val="0"/>
      <w:marBottom w:val="0"/>
      <w:divBdr>
        <w:top w:val="none" w:sz="0" w:space="0" w:color="auto"/>
        <w:left w:val="none" w:sz="0" w:space="0" w:color="auto"/>
        <w:bottom w:val="none" w:sz="0" w:space="0" w:color="auto"/>
        <w:right w:val="none" w:sz="0" w:space="0" w:color="auto"/>
      </w:divBdr>
    </w:div>
    <w:div w:id="2008052751">
      <w:bodyDiv w:val="1"/>
      <w:marLeft w:val="0"/>
      <w:marRight w:val="0"/>
      <w:marTop w:val="0"/>
      <w:marBottom w:val="0"/>
      <w:divBdr>
        <w:top w:val="none" w:sz="0" w:space="0" w:color="auto"/>
        <w:left w:val="none" w:sz="0" w:space="0" w:color="auto"/>
        <w:bottom w:val="none" w:sz="0" w:space="0" w:color="auto"/>
        <w:right w:val="none" w:sz="0" w:space="0" w:color="auto"/>
      </w:divBdr>
    </w:div>
    <w:div w:id="2015381005">
      <w:bodyDiv w:val="1"/>
      <w:marLeft w:val="0"/>
      <w:marRight w:val="0"/>
      <w:marTop w:val="0"/>
      <w:marBottom w:val="0"/>
      <w:divBdr>
        <w:top w:val="none" w:sz="0" w:space="0" w:color="auto"/>
        <w:left w:val="none" w:sz="0" w:space="0" w:color="auto"/>
        <w:bottom w:val="none" w:sz="0" w:space="0" w:color="auto"/>
        <w:right w:val="none" w:sz="0" w:space="0" w:color="auto"/>
      </w:divBdr>
    </w:div>
    <w:div w:id="2023779213">
      <w:bodyDiv w:val="1"/>
      <w:marLeft w:val="0"/>
      <w:marRight w:val="0"/>
      <w:marTop w:val="0"/>
      <w:marBottom w:val="0"/>
      <w:divBdr>
        <w:top w:val="none" w:sz="0" w:space="0" w:color="auto"/>
        <w:left w:val="none" w:sz="0" w:space="0" w:color="auto"/>
        <w:bottom w:val="none" w:sz="0" w:space="0" w:color="auto"/>
        <w:right w:val="none" w:sz="0" w:space="0" w:color="auto"/>
      </w:divBdr>
      <w:divsChild>
        <w:div w:id="65763902">
          <w:marLeft w:val="0"/>
          <w:marRight w:val="0"/>
          <w:marTop w:val="0"/>
          <w:marBottom w:val="0"/>
          <w:divBdr>
            <w:top w:val="none" w:sz="0" w:space="0" w:color="auto"/>
            <w:left w:val="none" w:sz="0" w:space="0" w:color="auto"/>
            <w:bottom w:val="none" w:sz="0" w:space="0" w:color="auto"/>
            <w:right w:val="none" w:sz="0" w:space="0" w:color="auto"/>
          </w:divBdr>
        </w:div>
        <w:div w:id="196898327">
          <w:marLeft w:val="0"/>
          <w:marRight w:val="0"/>
          <w:marTop w:val="0"/>
          <w:marBottom w:val="0"/>
          <w:divBdr>
            <w:top w:val="none" w:sz="0" w:space="0" w:color="auto"/>
            <w:left w:val="none" w:sz="0" w:space="0" w:color="auto"/>
            <w:bottom w:val="none" w:sz="0" w:space="0" w:color="auto"/>
            <w:right w:val="none" w:sz="0" w:space="0" w:color="auto"/>
          </w:divBdr>
        </w:div>
        <w:div w:id="932980155">
          <w:marLeft w:val="0"/>
          <w:marRight w:val="0"/>
          <w:marTop w:val="0"/>
          <w:marBottom w:val="0"/>
          <w:divBdr>
            <w:top w:val="none" w:sz="0" w:space="0" w:color="auto"/>
            <w:left w:val="none" w:sz="0" w:space="0" w:color="auto"/>
            <w:bottom w:val="none" w:sz="0" w:space="0" w:color="auto"/>
            <w:right w:val="none" w:sz="0" w:space="0" w:color="auto"/>
          </w:divBdr>
        </w:div>
      </w:divsChild>
    </w:div>
    <w:div w:id="2068414025">
      <w:bodyDiv w:val="1"/>
      <w:marLeft w:val="0"/>
      <w:marRight w:val="0"/>
      <w:marTop w:val="0"/>
      <w:marBottom w:val="0"/>
      <w:divBdr>
        <w:top w:val="none" w:sz="0" w:space="0" w:color="auto"/>
        <w:left w:val="none" w:sz="0" w:space="0" w:color="auto"/>
        <w:bottom w:val="none" w:sz="0" w:space="0" w:color="auto"/>
        <w:right w:val="none" w:sz="0" w:space="0" w:color="auto"/>
      </w:divBdr>
    </w:div>
    <w:div w:id="2076049574">
      <w:bodyDiv w:val="1"/>
      <w:marLeft w:val="0"/>
      <w:marRight w:val="0"/>
      <w:marTop w:val="0"/>
      <w:marBottom w:val="0"/>
      <w:divBdr>
        <w:top w:val="none" w:sz="0" w:space="0" w:color="auto"/>
        <w:left w:val="none" w:sz="0" w:space="0" w:color="auto"/>
        <w:bottom w:val="none" w:sz="0" w:space="0" w:color="auto"/>
        <w:right w:val="none" w:sz="0" w:space="0" w:color="auto"/>
      </w:divBdr>
    </w:div>
    <w:div w:id="2089036871">
      <w:bodyDiv w:val="1"/>
      <w:marLeft w:val="0"/>
      <w:marRight w:val="0"/>
      <w:marTop w:val="0"/>
      <w:marBottom w:val="0"/>
      <w:divBdr>
        <w:top w:val="none" w:sz="0" w:space="0" w:color="auto"/>
        <w:left w:val="none" w:sz="0" w:space="0" w:color="auto"/>
        <w:bottom w:val="none" w:sz="0" w:space="0" w:color="auto"/>
        <w:right w:val="none" w:sz="0" w:space="0" w:color="auto"/>
      </w:divBdr>
    </w:div>
    <w:div w:id="2127920713">
      <w:bodyDiv w:val="1"/>
      <w:marLeft w:val="0"/>
      <w:marRight w:val="0"/>
      <w:marTop w:val="0"/>
      <w:marBottom w:val="0"/>
      <w:divBdr>
        <w:top w:val="none" w:sz="0" w:space="0" w:color="auto"/>
        <w:left w:val="none" w:sz="0" w:space="0" w:color="auto"/>
        <w:bottom w:val="none" w:sz="0" w:space="0" w:color="auto"/>
        <w:right w:val="none" w:sz="0" w:space="0" w:color="auto"/>
      </w:divBdr>
    </w:div>
    <w:div w:id="2128817188">
      <w:bodyDiv w:val="1"/>
      <w:marLeft w:val="0"/>
      <w:marRight w:val="0"/>
      <w:marTop w:val="0"/>
      <w:marBottom w:val="0"/>
      <w:divBdr>
        <w:top w:val="none" w:sz="0" w:space="0" w:color="auto"/>
        <w:left w:val="none" w:sz="0" w:space="0" w:color="auto"/>
        <w:bottom w:val="none" w:sz="0" w:space="0" w:color="auto"/>
        <w:right w:val="none" w:sz="0" w:space="0" w:color="auto"/>
      </w:divBdr>
    </w:div>
    <w:div w:id="2130663691">
      <w:bodyDiv w:val="1"/>
      <w:marLeft w:val="0"/>
      <w:marRight w:val="0"/>
      <w:marTop w:val="0"/>
      <w:marBottom w:val="0"/>
      <w:divBdr>
        <w:top w:val="none" w:sz="0" w:space="0" w:color="auto"/>
        <w:left w:val="none" w:sz="0" w:space="0" w:color="auto"/>
        <w:bottom w:val="none" w:sz="0" w:space="0" w:color="auto"/>
        <w:right w:val="none" w:sz="0" w:space="0" w:color="auto"/>
      </w:divBdr>
    </w:div>
    <w:div w:id="214357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calingupnutrition.org/wp-content/uploads/2020/12/OECD_PolicyMarkerNutrition.pdf" TargetMode="External"/><Relationship Id="rId18" Type="http://schemas.openxmlformats.org/officeDocument/2006/relationships/hyperlink" Target="https://www.oecd.org/dac/environment-development/Revised%20climate%20marker%20handbook_FINAL.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yintracomm.ec.europa.eu/DG/INTPA/devco-management/programming/Pages/index.aspx" TargetMode="External"/><Relationship Id="rId7" Type="http://schemas.openxmlformats.org/officeDocument/2006/relationships/endnotes" Target="endnotes.xml"/><Relationship Id="rId12" Type="http://schemas.openxmlformats.org/officeDocument/2006/relationships/hyperlink" Target="https://www.google.com/url?sa=t&amp;rct=j&amp;q=&amp;esrc=s&amp;source=web&amp;cd=&amp;ved=2ahUKEwib--aLwMPvAhUEmVwKHRuhChgQFjACegQIAhAD&amp;url=https%3A%2F%2Feuropa.eu%2Fcapacity4dev%2Ffile%2F108781%2Fdownload%3Ftoken%3DyYLReeC6&amp;usg=AOvVaw1Zs4QC6PHxpt_vhNwV13eZ" TargetMode="External"/><Relationship Id="rId17" Type="http://schemas.openxmlformats.org/officeDocument/2006/relationships/hyperlink" Target="https://www.oecd.org/dac/environment-development/Revised%20climate%20marker%20handbook_FINAL.pdf" TargetMode="External"/><Relationship Id="rId25" Type="http://schemas.openxmlformats.org/officeDocument/2006/relationships/hyperlink" Target="https://international-partnerships.ec.europa.eu/knowledge-hub/communicating-and-raising-eu-visibility-guidance-external-actions_en" TargetMode="External"/><Relationship Id="rId2" Type="http://schemas.openxmlformats.org/officeDocument/2006/relationships/numbering" Target="numbering.xml"/><Relationship Id="rId16" Type="http://schemas.openxmlformats.org/officeDocument/2006/relationships/hyperlink" Target="https://one.oecd.org/document/DCD/DAC/STAT(2018)9/ADD2/FINAL/en/pdf" TargetMode="External"/><Relationship Id="rId20" Type="http://schemas.openxmlformats.org/officeDocument/2006/relationships/hyperlink" Target="https://eeas.europa.eu/sites/default/files/eu-asian_connectivity_factsheet_september_2019.pdf_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oecd.org/document/DCD/DAC/STAT(2018)9/ADD2/FINAL/en/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ne.oecd.org/document/DCD/DAC/STAT(2018)9/ADD2/FINAL/en/pdf" TargetMode="External"/><Relationship Id="rId23" Type="http://schemas.openxmlformats.org/officeDocument/2006/relationships/header" Target="header1.xml"/><Relationship Id="rId10" Type="http://schemas.openxmlformats.org/officeDocument/2006/relationships/hyperlink" Target="http://www.oecd.org/dac/stats/addenda-converged-statistical-reporting-directives.htm" TargetMode="External"/><Relationship Id="rId19" Type="http://schemas.openxmlformats.org/officeDocument/2006/relationships/hyperlink" Target="http://www.cc.cec/wikis/display/crisknowledgebase/DAC+-+Chapter+3" TargetMode="External"/><Relationship Id="rId4" Type="http://schemas.openxmlformats.org/officeDocument/2006/relationships/settings" Target="settings.xml"/><Relationship Id="rId9" Type="http://schemas.openxmlformats.org/officeDocument/2006/relationships/hyperlink" Target="http://www.oecd.org/dac/financing-sustainable-development/development-finance-standards/annex2.htm" TargetMode="External"/><Relationship Id="rId14" Type="http://schemas.openxmlformats.org/officeDocument/2006/relationships/hyperlink" Target="https://www.oecd.org/dac/environment-development/Revised%20climate%20marker%20handbook_FINAL.pdf" TargetMode="External"/><Relationship Id="rId22" Type="http://schemas.openxmlformats.org/officeDocument/2006/relationships/hyperlink" Target="https://webgate.ec.europa.eu/fpfis/wikis/display/PCM/Guidelines+for+mainstreaming+the+reduction+of+inequality+in+interventions" TargetMode="External"/><Relationship Id="rId27" Type="http://schemas.openxmlformats.org/officeDocument/2006/relationships/theme" Target="theme/theme1.xml"/><Relationship Id="rId30"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neighbourhood-enlargement.ec.europa.eu/system/files/2022-10/North%20Macedonia%20Report%202022.pdf" TargetMode="External"/><Relationship Id="rId3" Type="http://schemas.openxmlformats.org/officeDocument/2006/relationships/hyperlink" Target="https://scalingupnutrition.org/wp-content/uploads/2020/12/OECD_PolicyMarkerNutrition.pdf" TargetMode="External"/><Relationship Id="rId7" Type="http://schemas.openxmlformats.org/officeDocument/2006/relationships/hyperlink" Target="https://www.state.gov/reports/2021-investment-climate-statements/north-macedonia/" TargetMode="External"/><Relationship Id="rId12" Type="http://schemas.openxmlformats.org/officeDocument/2006/relationships/hyperlink" Target="https://webgate.ec.europa.eu/fpfis/wikis/display/PCM/Concept+of+intervention" TargetMode="External"/><Relationship Id="rId2" Type="http://schemas.openxmlformats.org/officeDocument/2006/relationships/hyperlink" Target="https://www.oecd.org/development/financing-sustainable-development/development-finance-standards/" TargetMode="External"/><Relationship Id="rId1" Type="http://schemas.openxmlformats.org/officeDocument/2006/relationships/hyperlink" Target="https://www.oecd.org/development/financing-sustainable-development/development-finance-standards/dacandcrscodelists.htm" TargetMode="External"/><Relationship Id="rId6" Type="http://schemas.openxmlformats.org/officeDocument/2006/relationships/hyperlink" Target="https://neighbourhood-enlargement.ec.europa.eu/system/files/2020-10/north_macedonia_report_2020.pdf" TargetMode="External"/><Relationship Id="rId11" Type="http://schemas.openxmlformats.org/officeDocument/2006/relationships/hyperlink" Target="https://europa.eu/capacity4dev/evaluation_guidelines/wiki/disseminating-evaluations" TargetMode="External"/><Relationship Id="rId5" Type="http://schemas.openxmlformats.org/officeDocument/2006/relationships/hyperlink" Target="https://neighbourhood-enlargement.ec.europa.eu/system/files/2022-10/North%20Macedonia%20Report%202022.pdf" TargetMode="External"/><Relationship Id="rId10" Type="http://schemas.openxmlformats.org/officeDocument/2006/relationships/hyperlink" Target="http://makstat.stat.gov.mk/PXWeb/pxweb/en/MakStat/MakStat__DelovniSubj__DemografijaNaPretprijatija/275_DelSub_Mk_04AN_en.px/?rxid=2d7f8742-3410-4731-ae76-1c3793fbb500" TargetMode="External"/><Relationship Id="rId4" Type="http://schemas.openxmlformats.org/officeDocument/2006/relationships/hyperlink" Target="https://ec.europa.eu/eurostat/databrowser/view/tec00114/default/table?lang=en" TargetMode="External"/><Relationship Id="rId9" Type="http://schemas.openxmlformats.org/officeDocument/2006/relationships/hyperlink" Target="http://makstat.stat.gov.mk/PXWeb/pxweb/en/MakStat/MakStat__StrukturniStat/225_StrDel_Mk_03byactivity_en.px/?rxid=46ee0f64-2992-4b45-a2d9-cb4e5f7ec5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EBA1B-FD55-441A-A3FE-EEA58A92D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17579</Words>
  <Characters>100201</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2023-04-04T12:39:00Z</dcterms:created>
  <dcterms:modified xsi:type="dcterms:W3CDTF">2023-04-04T12:43:00Z</dcterms:modified>
</cp:coreProperties>
</file>