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5D54" w14:textId="77777777" w:rsidR="00742E0C" w:rsidRPr="00A56D50" w:rsidRDefault="009B723A" w:rsidP="00A56D50">
      <w:pPr>
        <w:pStyle w:val="AnnexHeading"/>
        <w:spacing w:before="120"/>
        <w:contextualSpacing/>
        <w:outlineLvl w:val="0"/>
        <w:rPr>
          <w:u w:val="single"/>
        </w:rPr>
      </w:pPr>
      <w:bookmarkStart w:id="0" w:name="_Toc393273221"/>
      <w:bookmarkStart w:id="1" w:name="_Toc379806627"/>
      <w:bookmarkEnd w:id="0"/>
      <w:bookmarkEnd w:id="1"/>
      <w:r w:rsidRPr="00A56D50">
        <w:rPr>
          <w:u w:val="single"/>
        </w:rPr>
        <w:t>IPA III Operation Identification Sheet</w:t>
      </w:r>
    </w:p>
    <w:p w14:paraId="2752C535" w14:textId="77777777" w:rsidR="00742E0C" w:rsidRPr="006D70C9" w:rsidRDefault="009B723A" w:rsidP="006D70C9">
      <w:pPr>
        <w:pStyle w:val="NumPar1"/>
        <w:tabs>
          <w:tab w:val="left" w:pos="480"/>
          <w:tab w:val="left" w:pos="1701"/>
        </w:tabs>
        <w:ind w:left="0"/>
        <w:outlineLvl w:val="0"/>
        <w:rPr>
          <w:b/>
          <w:bCs/>
          <w:sz w:val="22"/>
          <w:szCs w:val="22"/>
        </w:rPr>
      </w:pPr>
      <w:r w:rsidRPr="006D70C9">
        <w:rPr>
          <w:b/>
          <w:bCs/>
          <w:sz w:val="22"/>
          <w:szCs w:val="22"/>
        </w:rPr>
        <w:t xml:space="preserve">Title of the Operation: </w:t>
      </w:r>
    </w:p>
    <w:p w14:paraId="2D643E7F" w14:textId="77777777" w:rsidR="00742E0C" w:rsidRPr="006D70C9" w:rsidRDefault="009B723A" w:rsidP="006D70C9">
      <w:pPr>
        <w:pStyle w:val="NumPar1"/>
        <w:numPr>
          <w:ilvl w:val="0"/>
          <w:numId w:val="0"/>
        </w:numPr>
        <w:tabs>
          <w:tab w:val="left" w:pos="480"/>
        </w:tabs>
        <w:spacing w:after="0"/>
        <w:contextualSpacing/>
        <w:outlineLvl w:val="0"/>
        <w:rPr>
          <w:sz w:val="22"/>
          <w:szCs w:val="22"/>
        </w:rPr>
      </w:pPr>
      <w:r w:rsidRPr="006D70C9">
        <w:rPr>
          <w:sz w:val="22"/>
          <w:szCs w:val="22"/>
        </w:rPr>
        <w:t>“Enhancing Social Dialogue and Local Employment Partnerships”</w:t>
      </w:r>
    </w:p>
    <w:p w14:paraId="79BE6979" w14:textId="77777777" w:rsidR="00742E0C" w:rsidRPr="006D70C9" w:rsidRDefault="009B723A" w:rsidP="006D70C9">
      <w:pPr>
        <w:pStyle w:val="NumPar1"/>
        <w:tabs>
          <w:tab w:val="left" w:pos="480"/>
          <w:tab w:val="left" w:pos="1701"/>
        </w:tabs>
        <w:ind w:left="0"/>
        <w:outlineLvl w:val="0"/>
        <w:rPr>
          <w:b/>
          <w:bCs/>
          <w:sz w:val="22"/>
          <w:szCs w:val="22"/>
        </w:rPr>
      </w:pPr>
      <w:r w:rsidRPr="006D70C9">
        <w:rPr>
          <w:b/>
          <w:bCs/>
          <w:sz w:val="22"/>
          <w:szCs w:val="22"/>
        </w:rPr>
        <w:t xml:space="preserve">Managing Authority: </w:t>
      </w:r>
    </w:p>
    <w:p w14:paraId="18E130E9" w14:textId="63DFCBF9" w:rsidR="00742E0C" w:rsidRPr="006D70C9" w:rsidRDefault="009B723A" w:rsidP="006D70C9">
      <w:pPr>
        <w:pStyle w:val="NumPar1"/>
        <w:numPr>
          <w:ilvl w:val="0"/>
          <w:numId w:val="0"/>
        </w:numPr>
        <w:tabs>
          <w:tab w:val="left" w:pos="0"/>
        </w:tabs>
        <w:spacing w:after="0"/>
        <w:contextualSpacing/>
        <w:outlineLvl w:val="0"/>
        <w:rPr>
          <w:sz w:val="22"/>
          <w:szCs w:val="22"/>
        </w:rPr>
      </w:pPr>
      <w:r w:rsidRPr="006D70C9">
        <w:rPr>
          <w:sz w:val="22"/>
          <w:szCs w:val="22"/>
        </w:rPr>
        <w:t>Ministry of Labour and Social Policy (MLSP)</w:t>
      </w:r>
    </w:p>
    <w:p w14:paraId="121E0821" w14:textId="77777777" w:rsidR="00742E0C" w:rsidRPr="006D70C9" w:rsidRDefault="009B723A" w:rsidP="006D70C9">
      <w:pPr>
        <w:pStyle w:val="NumPar1"/>
        <w:tabs>
          <w:tab w:val="left" w:pos="480"/>
          <w:tab w:val="left" w:pos="1701"/>
        </w:tabs>
        <w:spacing w:after="0"/>
        <w:ind w:left="0"/>
        <w:outlineLvl w:val="0"/>
        <w:rPr>
          <w:b/>
          <w:bCs/>
          <w:sz w:val="22"/>
          <w:szCs w:val="22"/>
        </w:rPr>
      </w:pPr>
      <w:r w:rsidRPr="006D70C9">
        <w:rPr>
          <w:b/>
          <w:bCs/>
          <w:sz w:val="22"/>
          <w:szCs w:val="22"/>
        </w:rPr>
        <w:t>Intermediate bodies responsible for the Implementation of the Operation:</w:t>
      </w:r>
    </w:p>
    <w:p w14:paraId="252A9748" w14:textId="5AE3A9B1" w:rsidR="00742E0C" w:rsidRPr="006D70C9" w:rsidRDefault="009B723A" w:rsidP="006D70C9">
      <w:pPr>
        <w:contextualSpacing/>
        <w:outlineLvl w:val="0"/>
        <w:rPr>
          <w:sz w:val="22"/>
          <w:szCs w:val="22"/>
        </w:rPr>
      </w:pPr>
      <w:r w:rsidRPr="006D70C9">
        <w:rPr>
          <w:sz w:val="22"/>
          <w:szCs w:val="22"/>
        </w:rPr>
        <w:t>Ministry of Finance (MF), Central Financing and Contracting Department (CFCD) (Intermediate Body for Financial Management - IBFM)</w:t>
      </w:r>
    </w:p>
    <w:p w14:paraId="6DFA6EF5" w14:textId="77777777" w:rsidR="00742E0C" w:rsidRPr="006D70C9" w:rsidRDefault="009B723A" w:rsidP="006D70C9">
      <w:pPr>
        <w:pStyle w:val="NumPar1"/>
        <w:tabs>
          <w:tab w:val="left" w:pos="480"/>
          <w:tab w:val="left" w:pos="1701"/>
        </w:tabs>
        <w:spacing w:after="0"/>
        <w:ind w:left="0"/>
        <w:outlineLvl w:val="0"/>
        <w:rPr>
          <w:b/>
          <w:bCs/>
          <w:sz w:val="22"/>
          <w:szCs w:val="22"/>
        </w:rPr>
      </w:pPr>
      <w:r w:rsidRPr="006D70C9">
        <w:rPr>
          <w:b/>
          <w:bCs/>
          <w:sz w:val="22"/>
          <w:szCs w:val="22"/>
        </w:rPr>
        <w:t>Compatibility and coherence with the Operational Programme</w:t>
      </w:r>
    </w:p>
    <w:p w14:paraId="3B7FA9FC" w14:textId="77777777" w:rsidR="00742E0C" w:rsidRPr="006D70C9" w:rsidRDefault="009B723A" w:rsidP="006D70C9">
      <w:pPr>
        <w:outlineLvl w:val="0"/>
        <w:rPr>
          <w:b/>
          <w:bCs/>
          <w:sz w:val="22"/>
          <w:szCs w:val="22"/>
        </w:rPr>
      </w:pPr>
      <w:r w:rsidRPr="006D70C9">
        <w:rPr>
          <w:b/>
          <w:bCs/>
          <w:sz w:val="22"/>
          <w:szCs w:val="22"/>
        </w:rPr>
        <w:t>4.1 Title of the programme</w:t>
      </w:r>
    </w:p>
    <w:p w14:paraId="2BA9017D" w14:textId="77777777" w:rsidR="00742E0C" w:rsidRPr="006D70C9" w:rsidRDefault="009B723A" w:rsidP="006D70C9">
      <w:pPr>
        <w:pStyle w:val="Text3"/>
        <w:spacing w:after="0"/>
        <w:ind w:left="0"/>
        <w:contextualSpacing/>
        <w:rPr>
          <w:sz w:val="22"/>
          <w:szCs w:val="22"/>
        </w:rPr>
      </w:pPr>
      <w:r w:rsidRPr="006D70C9">
        <w:rPr>
          <w:sz w:val="22"/>
          <w:szCs w:val="22"/>
        </w:rPr>
        <w:t>Operational Programme “Jobs and opportunities” Multiannual Operational Programme on sector human capital in favour of the Republic of North Macedonia for 2024-2027</w:t>
      </w:r>
    </w:p>
    <w:p w14:paraId="0DAAE331" w14:textId="77777777" w:rsidR="00742E0C" w:rsidRPr="006D70C9" w:rsidRDefault="009B723A" w:rsidP="006D70C9">
      <w:pPr>
        <w:outlineLvl w:val="0"/>
        <w:rPr>
          <w:b/>
          <w:bCs/>
          <w:sz w:val="22"/>
          <w:szCs w:val="22"/>
        </w:rPr>
      </w:pPr>
      <w:r w:rsidRPr="006D70C9">
        <w:rPr>
          <w:b/>
          <w:bCs/>
          <w:sz w:val="22"/>
          <w:szCs w:val="22"/>
        </w:rPr>
        <w:t xml:space="preserve">4.2 Title of the relevant Area of support </w:t>
      </w:r>
    </w:p>
    <w:p w14:paraId="6FDA8CEA" w14:textId="77777777" w:rsidR="00742E0C" w:rsidRPr="006D70C9" w:rsidRDefault="009B723A" w:rsidP="006D70C9">
      <w:pPr>
        <w:pStyle w:val="Heading4"/>
        <w:numPr>
          <w:ilvl w:val="0"/>
          <w:numId w:val="0"/>
        </w:numPr>
        <w:tabs>
          <w:tab w:val="left" w:pos="5025"/>
        </w:tabs>
        <w:spacing w:before="120"/>
        <w:ind w:left="720" w:hanging="720"/>
        <w:contextualSpacing/>
        <w:rPr>
          <w:b w:val="0"/>
          <w:color w:val="000000"/>
        </w:rPr>
      </w:pPr>
      <w:r w:rsidRPr="006D70C9">
        <w:rPr>
          <w:b w:val="0"/>
          <w:color w:val="000000"/>
        </w:rPr>
        <w:t>Area of support 1: Employment and Labour Mobility.</w:t>
      </w:r>
    </w:p>
    <w:p w14:paraId="3B9AFE18" w14:textId="77777777" w:rsidR="00742E0C" w:rsidRPr="006D70C9" w:rsidRDefault="009B723A" w:rsidP="006D70C9">
      <w:pPr>
        <w:pStyle w:val="NumPar1"/>
        <w:tabs>
          <w:tab w:val="left" w:pos="480"/>
          <w:tab w:val="left" w:pos="1701"/>
        </w:tabs>
        <w:spacing w:after="0"/>
        <w:ind w:left="0"/>
        <w:outlineLvl w:val="0"/>
        <w:rPr>
          <w:b/>
          <w:bCs/>
          <w:sz w:val="22"/>
          <w:szCs w:val="22"/>
        </w:rPr>
      </w:pPr>
      <w:r w:rsidRPr="006D70C9">
        <w:rPr>
          <w:b/>
          <w:bCs/>
          <w:sz w:val="22"/>
          <w:szCs w:val="22"/>
        </w:rPr>
        <w:t xml:space="preserve">Description of the Operation </w:t>
      </w:r>
    </w:p>
    <w:p w14:paraId="4412BBC8" w14:textId="77777777" w:rsidR="00742E0C" w:rsidRPr="006D70C9" w:rsidRDefault="009B723A" w:rsidP="006D70C9">
      <w:pPr>
        <w:pStyle w:val="NumPar1"/>
        <w:numPr>
          <w:ilvl w:val="0"/>
          <w:numId w:val="0"/>
        </w:numPr>
        <w:tabs>
          <w:tab w:val="left" w:pos="480"/>
          <w:tab w:val="left" w:pos="1701"/>
        </w:tabs>
        <w:spacing w:after="0"/>
        <w:outlineLvl w:val="0"/>
        <w:rPr>
          <w:b/>
          <w:bCs/>
          <w:iCs/>
          <w:sz w:val="22"/>
          <w:szCs w:val="22"/>
        </w:rPr>
      </w:pPr>
      <w:r w:rsidRPr="006D70C9">
        <w:rPr>
          <w:b/>
          <w:bCs/>
          <w:iCs/>
          <w:sz w:val="22"/>
          <w:szCs w:val="22"/>
        </w:rPr>
        <w:t xml:space="preserve">5.1 Contribution to the achievement of the Operational Programme: </w:t>
      </w:r>
    </w:p>
    <w:p w14:paraId="1DBAB210" w14:textId="77777777" w:rsidR="00742E0C" w:rsidRPr="006D70C9" w:rsidRDefault="009B723A" w:rsidP="006D70C9">
      <w:pPr>
        <w:rPr>
          <w:rFonts w:eastAsia="Calibri"/>
          <w:bCs/>
          <w:sz w:val="22"/>
          <w:szCs w:val="22"/>
          <w:lang w:eastAsia="ja-JP"/>
        </w:rPr>
      </w:pPr>
      <w:r w:rsidRPr="006D70C9">
        <w:rPr>
          <w:rFonts w:eastAsia="Calibri"/>
          <w:bCs/>
          <w:sz w:val="22"/>
          <w:szCs w:val="22"/>
          <w:lang w:eastAsia="ja-JP"/>
        </w:rPr>
        <w:t xml:space="preserve">Social dialogue is crucial for promoting competitiveness, advancing equality, and enhancing economic prosperity. It is an essential element of the European Social Model and is included in the EU </w:t>
      </w:r>
      <w:r w:rsidRPr="006D70C9">
        <w:rPr>
          <w:rFonts w:eastAsia="Calibri"/>
          <w:bCs/>
          <w:i/>
          <w:iCs/>
          <w:sz w:val="22"/>
          <w:szCs w:val="22"/>
          <w:lang w:eastAsia="ja-JP"/>
        </w:rPr>
        <w:t xml:space="preserve">acquis </w:t>
      </w:r>
      <w:r w:rsidRPr="006D70C9">
        <w:rPr>
          <w:rFonts w:eastAsia="Calibri"/>
          <w:bCs/>
          <w:sz w:val="22"/>
          <w:szCs w:val="22"/>
          <w:lang w:eastAsia="ja-JP"/>
        </w:rPr>
        <w:t xml:space="preserve">under Chapter 19. </w:t>
      </w:r>
    </w:p>
    <w:p w14:paraId="1E4DD174" w14:textId="77777777" w:rsidR="00742E0C" w:rsidRPr="006D70C9" w:rsidRDefault="009B723A" w:rsidP="006D70C9">
      <w:pPr>
        <w:rPr>
          <w:rFonts w:eastAsia="Calibri"/>
          <w:bCs/>
          <w:sz w:val="22"/>
          <w:szCs w:val="22"/>
          <w:lang w:eastAsia="ja-JP"/>
        </w:rPr>
      </w:pPr>
      <w:r w:rsidRPr="006D70C9">
        <w:rPr>
          <w:rFonts w:eastAsia="Calibri"/>
          <w:bCs/>
          <w:sz w:val="22"/>
          <w:szCs w:val="22"/>
          <w:lang w:eastAsia="ja-JP"/>
        </w:rPr>
        <w:t xml:space="preserve">In the period 2010-2022, infrastructure was established for the national tripartite social dialogue through the Economic and Social Council, and its capacity was significantly enhanced. Previous IPA-funded projects implemented by the ILO laid the foundation for modernised organisations of workers and employers, which actively participate in the national tripartite and bipartite dialogue. Their contribution and influence over economic and social policies were pronounced during the COVID-19 pandemic and subsequent energy crisis and inflationary pressures, notably through the work of the Economic and Social Council (ESC). The ESC now plays a more prominent role in shaping economic and social policies, including the minimum wage, anti-crises relief packages, Youth Guarantee etc. However, the independent evaluation of the EU-funded and ILO-implemented social dialogue project recommended that continued support to the social dialogue is needed, </w:t>
      </w:r>
      <w:proofErr w:type="gramStart"/>
      <w:r w:rsidRPr="006D70C9">
        <w:rPr>
          <w:rFonts w:eastAsia="Calibri"/>
          <w:bCs/>
          <w:sz w:val="22"/>
          <w:szCs w:val="22"/>
          <w:lang w:eastAsia="ja-JP"/>
        </w:rPr>
        <w:t>in light of</w:t>
      </w:r>
      <w:proofErr w:type="gramEnd"/>
      <w:r w:rsidRPr="006D70C9">
        <w:rPr>
          <w:rFonts w:eastAsia="Calibri"/>
          <w:bCs/>
          <w:sz w:val="22"/>
          <w:szCs w:val="22"/>
          <w:lang w:eastAsia="ja-JP"/>
        </w:rPr>
        <w:t xml:space="preserve"> - utilize the ILO advantage to support the social partners; find modalities to support the functioning of the local Economic and Social Councils (LESCs); and promote LEP model to other LESCs.</w:t>
      </w:r>
    </w:p>
    <w:p w14:paraId="2A69071D" w14:textId="77777777" w:rsidR="00742E0C" w:rsidRPr="006D70C9" w:rsidRDefault="009B723A" w:rsidP="006D70C9">
      <w:pPr>
        <w:rPr>
          <w:rFonts w:eastAsia="Calibri"/>
          <w:bCs/>
          <w:sz w:val="22"/>
          <w:szCs w:val="22"/>
          <w:lang w:eastAsia="ja-JP"/>
        </w:rPr>
      </w:pPr>
      <w:r w:rsidRPr="006D70C9">
        <w:rPr>
          <w:rFonts w:eastAsia="Calibri"/>
          <w:bCs/>
          <w:sz w:val="22"/>
          <w:szCs w:val="22"/>
          <w:lang w:eastAsia="ja-JP"/>
        </w:rPr>
        <w:t xml:space="preserve">Challenges persist in utilizing the ESC for systematic consultations on labour, economic and social matters, for which strong organisations of workers and employers, as well as strong political commitment at all levels are needed. Therefore, the operation will continue to support the analytical and policy formulation capacity of the members of the ESC and strengthen the influence of the social partners by employing evidence-based approach to their advocacy actions. Additionally, support will be provided to the Government and the social partners in increasing awareness about the added value of collective bargaining at the sectoral and enterprise levels. It will also promote the use of Local Economic and Social Councils as a tool for local economic development through local tailored-made actions supported by local social partners. </w:t>
      </w:r>
    </w:p>
    <w:p w14:paraId="1A42B150" w14:textId="77777777" w:rsidR="00742E0C" w:rsidRPr="006D70C9" w:rsidRDefault="009B723A" w:rsidP="006D70C9">
      <w:pPr>
        <w:rPr>
          <w:rFonts w:eastAsia="Calibri"/>
          <w:bCs/>
          <w:sz w:val="22"/>
          <w:szCs w:val="22"/>
          <w:lang w:eastAsia="ja-JP"/>
        </w:rPr>
      </w:pPr>
      <w:r w:rsidRPr="006D70C9">
        <w:rPr>
          <w:rFonts w:eastAsia="Calibri"/>
          <w:bCs/>
          <w:sz w:val="22"/>
          <w:szCs w:val="22"/>
          <w:lang w:eastAsia="ja-JP"/>
        </w:rPr>
        <w:t xml:space="preserve">Bipartite social dialogue faces more serious challenges, and the government and the social partners need support to fully develop collective bargaining at all levels. Since the ratification of the ILO Convention No. 154 on Collective Bargaining in 2013, and the Direct Contact Mission undertaken by the ILO in 2023 regarding the application of Convention No. 98 on Right to Organize and Collective Bargaining, the Ministry of labour and social policy (MLSP) has the obligation to ensure their application in law and practice and hence promote collective bargaining. To this end, specific action to develop and encourage collective bargaining will be developed, including development and implementation of Action Plan on CB, training of negotiators, and developing of guidelines and tools. Collective agreements must better reflect workers’ and employers' interests and needs in certain sectors. The social partners should exploit the potential of collective agreements as a normative tool to introduce new and innovative content in employment relationships. Future </w:t>
      </w:r>
      <w:r w:rsidRPr="006D70C9">
        <w:rPr>
          <w:rFonts w:eastAsia="Calibri"/>
          <w:bCs/>
          <w:sz w:val="22"/>
          <w:szCs w:val="22"/>
          <w:lang w:eastAsia="ja-JP"/>
        </w:rPr>
        <w:lastRenderedPageBreak/>
        <w:t xml:space="preserve">agreements also need to include more substantial regulations of working conditions and terms of employment, including new forms of employment and gender aspects. </w:t>
      </w:r>
    </w:p>
    <w:p w14:paraId="0B99125F" w14:textId="77777777" w:rsidR="00742E0C" w:rsidRPr="006D70C9" w:rsidRDefault="009B723A" w:rsidP="006D70C9">
      <w:pPr>
        <w:rPr>
          <w:rFonts w:eastAsia="Calibri"/>
          <w:bCs/>
          <w:sz w:val="22"/>
          <w:szCs w:val="22"/>
          <w:lang w:eastAsia="ja-JP"/>
        </w:rPr>
      </w:pPr>
      <w:r w:rsidRPr="006D70C9">
        <w:rPr>
          <w:rFonts w:eastAsia="Calibri"/>
          <w:bCs/>
          <w:sz w:val="22"/>
          <w:szCs w:val="22"/>
          <w:lang w:eastAsia="ja-JP"/>
        </w:rPr>
        <w:t xml:space="preserve">In addition to promoting social dialogue, the government established the system for amicable settlement of labour disputes (ASLD). However, the outreach of ASLD is still limited. There are some encouraging results concerning the settlement of collective disputes (3 prominent cases of disputes or strikes were resolved in 2022). Still, the system has never been used to solve individual disputes. Macedonian MLSP, social partners, conciliators/arbiters, with ILO facilitation, in 2023 used the new ILO tool for self-assessment of the amicable settlement of labour disputes mechanisms. They identified the strengths and weaknesses of the ASLD mechanism and based on the findings of the assessment developed a draft Action Plan for reform and advancement of amicable settlement of labour disputes. The Intervention will support the implementation of the Action Plan entailing support to the legal reform of the system of ASLD, development of bylaws, delivery of training of conciliators/arbiters, operationalisation </w:t>
      </w:r>
      <w:proofErr w:type="gramStart"/>
      <w:r w:rsidRPr="006D70C9">
        <w:rPr>
          <w:rFonts w:eastAsia="Calibri"/>
          <w:bCs/>
          <w:sz w:val="22"/>
          <w:szCs w:val="22"/>
          <w:lang w:eastAsia="ja-JP"/>
        </w:rPr>
        <w:t>of  case</w:t>
      </w:r>
      <w:proofErr w:type="gramEnd"/>
      <w:r w:rsidRPr="006D70C9">
        <w:rPr>
          <w:rFonts w:eastAsia="Calibri"/>
          <w:bCs/>
          <w:sz w:val="22"/>
          <w:szCs w:val="22"/>
          <w:lang w:eastAsia="ja-JP"/>
        </w:rPr>
        <w:t xml:space="preserve"> management system for ASLD, and promotion of the advantages of using the mechanism for ASLD, etc. </w:t>
      </w:r>
    </w:p>
    <w:p w14:paraId="0A6284DB" w14:textId="77777777" w:rsidR="00742E0C" w:rsidRPr="006D70C9" w:rsidRDefault="009B723A" w:rsidP="006D70C9">
      <w:pPr>
        <w:rPr>
          <w:rFonts w:eastAsia="Calibri"/>
          <w:bCs/>
          <w:sz w:val="22"/>
          <w:szCs w:val="22"/>
          <w:lang w:eastAsia="ja-JP"/>
        </w:rPr>
      </w:pPr>
      <w:r w:rsidRPr="006D70C9">
        <w:rPr>
          <w:rFonts w:eastAsia="Calibri"/>
          <w:bCs/>
          <w:sz w:val="22"/>
          <w:szCs w:val="22"/>
          <w:lang w:eastAsia="ja-JP"/>
        </w:rPr>
        <w:t xml:space="preserve">A total of 16 LESCs have been established on the territory of N. Macedonia, out of which 13 LESCs have renewed membership. The LESCs serve as catalysts of economic development at the local levels, bringing together all the relevant stakeholders to deliver local solutions to local problems. The level of development and activity of the LESCs is significantly diverse, having cases of highly proactive councils that influence the local policy creation (Bitola, </w:t>
      </w:r>
      <w:proofErr w:type="spellStart"/>
      <w:r w:rsidRPr="006D70C9">
        <w:rPr>
          <w:rFonts w:eastAsia="Calibri"/>
          <w:bCs/>
          <w:sz w:val="22"/>
          <w:szCs w:val="22"/>
          <w:lang w:eastAsia="ja-JP"/>
        </w:rPr>
        <w:t>Strumica</w:t>
      </w:r>
      <w:proofErr w:type="spellEnd"/>
      <w:r w:rsidRPr="006D70C9">
        <w:rPr>
          <w:rFonts w:eastAsia="Calibri"/>
          <w:bCs/>
          <w:sz w:val="22"/>
          <w:szCs w:val="22"/>
          <w:lang w:eastAsia="ja-JP"/>
        </w:rPr>
        <w:t xml:space="preserve"> and </w:t>
      </w:r>
      <w:proofErr w:type="spellStart"/>
      <w:r w:rsidRPr="006D70C9">
        <w:rPr>
          <w:rFonts w:eastAsia="Calibri"/>
          <w:bCs/>
          <w:sz w:val="22"/>
          <w:szCs w:val="22"/>
          <w:lang w:eastAsia="ja-JP"/>
        </w:rPr>
        <w:t>Kumanovo</w:t>
      </w:r>
      <w:proofErr w:type="spellEnd"/>
      <w:r w:rsidRPr="006D70C9">
        <w:rPr>
          <w:rFonts w:eastAsia="Calibri"/>
          <w:bCs/>
          <w:sz w:val="22"/>
          <w:szCs w:val="22"/>
          <w:lang w:eastAsia="ja-JP"/>
        </w:rPr>
        <w:t xml:space="preserve">). Linkages between the national ESC and the Local Economic and Social Councils (LESCs) are still weak. In support of the objectives of National Employment Strategy 2027 (NES 2027), the development of Local Employment Partnerships (LEPs), as a decentralised implementation of employment policy, catalysed by the local ESCs, has the potential to complement active labour market policies or other policy interventions such as the Youth Guarantee (YG). Transfer of know-how and ILO specific methodology for creating, selection, </w:t>
      </w:r>
      <w:proofErr w:type="gramStart"/>
      <w:r w:rsidRPr="006D70C9">
        <w:rPr>
          <w:rFonts w:eastAsia="Calibri"/>
          <w:bCs/>
          <w:sz w:val="22"/>
          <w:szCs w:val="22"/>
          <w:lang w:eastAsia="ja-JP"/>
        </w:rPr>
        <w:t>implementation</w:t>
      </w:r>
      <w:proofErr w:type="gramEnd"/>
      <w:r w:rsidRPr="006D70C9">
        <w:rPr>
          <w:rFonts w:eastAsia="Calibri"/>
          <w:bCs/>
          <w:sz w:val="22"/>
          <w:szCs w:val="22"/>
          <w:lang w:eastAsia="ja-JP"/>
        </w:rPr>
        <w:t xml:space="preserve"> and M&amp;E of LEPs will be supported with the intervention. Team of trained MLSP staff, with support by the ILO project team, will be able to implement LEPs grant scheme in municipalities with Local Economic and Social Councils.</w:t>
      </w:r>
    </w:p>
    <w:p w14:paraId="008F7DD5" w14:textId="77777777" w:rsidR="00742E0C" w:rsidRPr="006D70C9" w:rsidRDefault="009B723A" w:rsidP="006D70C9">
      <w:pPr>
        <w:rPr>
          <w:rFonts w:eastAsia="Calibri"/>
          <w:bCs/>
          <w:i/>
          <w:iCs/>
          <w:sz w:val="22"/>
          <w:szCs w:val="22"/>
          <w:lang w:eastAsia="ja-JP"/>
        </w:rPr>
      </w:pPr>
      <w:r w:rsidRPr="006D70C9">
        <w:rPr>
          <w:rFonts w:eastAsia="Calibri"/>
          <w:bCs/>
          <w:sz w:val="22"/>
          <w:szCs w:val="22"/>
          <w:lang w:eastAsia="ja-JP"/>
        </w:rPr>
        <w:t>This Operation will be implemented through two activities: ‘Enhancing the Social Dialogue at National and Local Level’ and ‘Supporting Local Economic and Social Councils for Implementation of Local Employment Partnerships’ that will contribute towards accomplishment of IPA III OP Specific Objective Outcome for ‘</w:t>
      </w:r>
      <w:r w:rsidRPr="006D70C9">
        <w:rPr>
          <w:rFonts w:eastAsia="Calibri"/>
          <w:bCs/>
          <w:i/>
          <w:iCs/>
          <w:sz w:val="22"/>
          <w:szCs w:val="22"/>
          <w:lang w:eastAsia="ja-JP"/>
        </w:rPr>
        <w:t xml:space="preserve">Enhanced employment and employability of the labour force focusing on youth, women, and vulnerable </w:t>
      </w:r>
      <w:proofErr w:type="gramStart"/>
      <w:r w:rsidRPr="006D70C9">
        <w:rPr>
          <w:rFonts w:eastAsia="Calibri"/>
          <w:bCs/>
          <w:i/>
          <w:iCs/>
          <w:sz w:val="22"/>
          <w:szCs w:val="22"/>
          <w:lang w:eastAsia="ja-JP"/>
        </w:rPr>
        <w:t>groups’</w:t>
      </w:r>
      <w:proofErr w:type="gramEnd"/>
      <w:r w:rsidRPr="006D70C9">
        <w:rPr>
          <w:rFonts w:eastAsia="Calibri"/>
          <w:bCs/>
          <w:i/>
          <w:iCs/>
          <w:sz w:val="22"/>
          <w:szCs w:val="22"/>
          <w:lang w:eastAsia="ja-JP"/>
        </w:rPr>
        <w:t>.</w:t>
      </w:r>
    </w:p>
    <w:p w14:paraId="3F27B2F2" w14:textId="77777777" w:rsidR="00742E0C" w:rsidRPr="006D70C9" w:rsidRDefault="009B723A" w:rsidP="006D70C9">
      <w:pPr>
        <w:tabs>
          <w:tab w:val="left" w:pos="1701"/>
        </w:tabs>
        <w:outlineLvl w:val="0"/>
        <w:rPr>
          <w:b/>
          <w:bCs/>
          <w:sz w:val="22"/>
          <w:szCs w:val="22"/>
        </w:rPr>
      </w:pPr>
      <w:r w:rsidRPr="006D70C9">
        <w:rPr>
          <w:b/>
          <w:bCs/>
          <w:sz w:val="22"/>
          <w:szCs w:val="22"/>
        </w:rPr>
        <w:t xml:space="preserve">5.2 Overall Objective of the Operation: </w:t>
      </w:r>
    </w:p>
    <w:p w14:paraId="7108B940" w14:textId="77777777" w:rsidR="00742E0C" w:rsidRPr="006D70C9" w:rsidRDefault="009B723A" w:rsidP="006D70C9">
      <w:pPr>
        <w:tabs>
          <w:tab w:val="left" w:pos="993"/>
          <w:tab w:val="left" w:pos="1701"/>
        </w:tabs>
        <w:outlineLvl w:val="0"/>
        <w:rPr>
          <w:rFonts w:cs="Arial"/>
          <w:sz w:val="22"/>
          <w:szCs w:val="22"/>
          <w:lang w:eastAsia="ja-JP"/>
        </w:rPr>
      </w:pPr>
      <w:r w:rsidRPr="006D70C9">
        <w:rPr>
          <w:rFonts w:cs="Arial"/>
          <w:sz w:val="22"/>
          <w:szCs w:val="22"/>
          <w:lang w:eastAsia="ja-JP"/>
        </w:rPr>
        <w:t xml:space="preserve">To enhance employment and employability of the labour force focusing on youth, </w:t>
      </w:r>
      <w:proofErr w:type="gramStart"/>
      <w:r w:rsidRPr="006D70C9">
        <w:rPr>
          <w:rFonts w:cs="Arial"/>
          <w:sz w:val="22"/>
          <w:szCs w:val="22"/>
          <w:lang w:eastAsia="ja-JP"/>
        </w:rPr>
        <w:t>women</w:t>
      </w:r>
      <w:proofErr w:type="gramEnd"/>
      <w:r w:rsidRPr="006D70C9">
        <w:rPr>
          <w:rFonts w:cs="Arial"/>
          <w:sz w:val="22"/>
          <w:szCs w:val="22"/>
          <w:lang w:eastAsia="ja-JP"/>
        </w:rPr>
        <w:t xml:space="preserve"> and other vulnerable groups.</w:t>
      </w:r>
    </w:p>
    <w:p w14:paraId="04F766C9" w14:textId="77777777" w:rsidR="00742E0C" w:rsidRPr="006D70C9" w:rsidRDefault="009B723A" w:rsidP="006D70C9">
      <w:pPr>
        <w:tabs>
          <w:tab w:val="left" w:pos="1701"/>
        </w:tabs>
        <w:outlineLvl w:val="0"/>
        <w:rPr>
          <w:b/>
          <w:bCs/>
          <w:i/>
          <w:iCs/>
          <w:sz w:val="22"/>
          <w:szCs w:val="22"/>
        </w:rPr>
      </w:pPr>
      <w:r w:rsidRPr="006D70C9">
        <w:rPr>
          <w:b/>
          <w:bCs/>
          <w:sz w:val="22"/>
          <w:szCs w:val="22"/>
        </w:rPr>
        <w:t xml:space="preserve">5.3 Specific Objectives of the Operation: </w:t>
      </w:r>
      <w:r w:rsidRPr="006D70C9">
        <w:rPr>
          <w:b/>
          <w:bCs/>
          <w:i/>
          <w:iCs/>
          <w:sz w:val="22"/>
          <w:szCs w:val="22"/>
        </w:rPr>
        <w:t xml:space="preserve"> </w:t>
      </w:r>
    </w:p>
    <w:p w14:paraId="222ED602" w14:textId="77777777" w:rsidR="00742E0C" w:rsidRPr="006D70C9" w:rsidRDefault="009B723A" w:rsidP="006D70C9">
      <w:pPr>
        <w:rPr>
          <w:bCs/>
          <w:iCs/>
          <w:sz w:val="22"/>
          <w:szCs w:val="22"/>
        </w:rPr>
      </w:pPr>
      <w:r w:rsidRPr="006D70C9">
        <w:rPr>
          <w:bCs/>
          <w:iCs/>
          <w:sz w:val="22"/>
          <w:szCs w:val="22"/>
        </w:rPr>
        <w:t>To enhance social dialogue and local employment partnerships through inclusive process of economic and employment policy creation and implementation.</w:t>
      </w:r>
    </w:p>
    <w:p w14:paraId="739FAAE5" w14:textId="77777777" w:rsidR="00742E0C" w:rsidRPr="006D70C9" w:rsidRDefault="009B723A" w:rsidP="006D70C9">
      <w:pPr>
        <w:tabs>
          <w:tab w:val="left" w:pos="1701"/>
        </w:tabs>
        <w:outlineLvl w:val="0"/>
        <w:rPr>
          <w:b/>
          <w:bCs/>
          <w:sz w:val="22"/>
          <w:szCs w:val="22"/>
        </w:rPr>
      </w:pPr>
      <w:r w:rsidRPr="006D70C9">
        <w:rPr>
          <w:b/>
          <w:bCs/>
          <w:sz w:val="22"/>
          <w:szCs w:val="22"/>
        </w:rPr>
        <w:t xml:space="preserve">5.4 Outputs: </w:t>
      </w:r>
    </w:p>
    <w:p w14:paraId="4F6BF9C5" w14:textId="77777777" w:rsidR="00742E0C" w:rsidRPr="006D70C9" w:rsidRDefault="009B723A" w:rsidP="006D70C9">
      <w:pPr>
        <w:suppressAutoHyphens/>
        <w:rPr>
          <w:i/>
          <w:iCs/>
          <w:sz w:val="22"/>
          <w:szCs w:val="22"/>
          <w:u w:val="single"/>
          <w:lang w:eastAsia="ja-JP"/>
        </w:rPr>
      </w:pPr>
      <w:r w:rsidRPr="006D70C9">
        <w:rPr>
          <w:i/>
          <w:iCs/>
          <w:sz w:val="22"/>
          <w:szCs w:val="22"/>
          <w:u w:val="single"/>
          <w:lang w:eastAsia="ja-JP"/>
        </w:rPr>
        <w:t xml:space="preserve">Activity 1 - Enhancing the Social Dialogue </w:t>
      </w:r>
    </w:p>
    <w:p w14:paraId="7C59C7AA"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sz w:val="22"/>
          <w:szCs w:val="22"/>
          <w:lang w:eastAsia="ja-JP"/>
        </w:rPr>
        <w:t>Intensif</w:t>
      </w:r>
      <w:r w:rsidRPr="006D70C9">
        <w:rPr>
          <w:color w:val="000000"/>
          <w:sz w:val="22"/>
          <w:szCs w:val="22"/>
          <w:lang w:eastAsia="ja-JP"/>
        </w:rPr>
        <w:t>ied regular and constructive social dialogue between the Government and the social partners on national and local level.</w:t>
      </w:r>
    </w:p>
    <w:p w14:paraId="1B4DC171"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Dynamic collective bargaining system in place and enhanced industrial relations in the country.</w:t>
      </w:r>
    </w:p>
    <w:p w14:paraId="1102C91F" w14:textId="77777777" w:rsidR="00742E0C" w:rsidRPr="006D70C9" w:rsidRDefault="009B723A" w:rsidP="006D70C9">
      <w:pPr>
        <w:numPr>
          <w:ilvl w:val="0"/>
          <w:numId w:val="6"/>
        </w:numPr>
        <w:suppressAutoHyphens/>
        <w:ind w:left="360" w:hanging="360"/>
        <w:rPr>
          <w:sz w:val="22"/>
          <w:szCs w:val="22"/>
          <w:lang w:eastAsia="ja-JP"/>
        </w:rPr>
      </w:pPr>
      <w:r w:rsidRPr="006D70C9">
        <w:rPr>
          <w:color w:val="000000"/>
          <w:sz w:val="22"/>
          <w:szCs w:val="22"/>
          <w:lang w:eastAsia="ja-JP"/>
        </w:rPr>
        <w:t>Utilized mecha</w:t>
      </w:r>
      <w:r w:rsidRPr="006D70C9">
        <w:rPr>
          <w:sz w:val="22"/>
          <w:szCs w:val="22"/>
          <w:lang w:eastAsia="ja-JP"/>
        </w:rPr>
        <w:t xml:space="preserve">nism for amicable settlement of labour relation disputes. </w:t>
      </w:r>
    </w:p>
    <w:p w14:paraId="32EA5F2A" w14:textId="77777777" w:rsidR="00742E0C" w:rsidRPr="006D70C9" w:rsidRDefault="009B723A" w:rsidP="006D70C9">
      <w:pPr>
        <w:suppressAutoHyphens/>
        <w:rPr>
          <w:i/>
          <w:iCs/>
          <w:sz w:val="22"/>
          <w:szCs w:val="22"/>
          <w:u w:val="single"/>
          <w:lang w:eastAsia="ja-JP"/>
        </w:rPr>
      </w:pPr>
      <w:r w:rsidRPr="006D70C9">
        <w:rPr>
          <w:i/>
          <w:iCs/>
          <w:sz w:val="22"/>
          <w:szCs w:val="22"/>
          <w:u w:val="single"/>
          <w:lang w:eastAsia="ja-JP"/>
        </w:rPr>
        <w:t>Activity 2 - Supporting Local Economic and Social Councils in Developing and Implementing Local Employment Partnerships</w:t>
      </w:r>
    </w:p>
    <w:p w14:paraId="64518ADF" w14:textId="77777777" w:rsidR="00742E0C" w:rsidRPr="006D70C9" w:rsidRDefault="009B723A" w:rsidP="006D70C9">
      <w:pPr>
        <w:pStyle w:val="ListParagraph"/>
        <w:numPr>
          <w:ilvl w:val="0"/>
          <w:numId w:val="4"/>
        </w:numPr>
        <w:ind w:left="360" w:hanging="360"/>
        <w:rPr>
          <w:sz w:val="22"/>
          <w:szCs w:val="22"/>
          <w:lang w:eastAsia="ja-JP"/>
        </w:rPr>
      </w:pPr>
      <w:r w:rsidRPr="006D70C9">
        <w:rPr>
          <w:sz w:val="22"/>
          <w:szCs w:val="22"/>
          <w:lang w:eastAsia="ja-JP"/>
        </w:rPr>
        <w:t>Supported measures tailored to the needs identified through local employment partnerships for local economic development.</w:t>
      </w:r>
    </w:p>
    <w:p w14:paraId="27498B31" w14:textId="77777777" w:rsidR="00742E0C" w:rsidRPr="006D70C9" w:rsidRDefault="009B723A" w:rsidP="006D70C9">
      <w:pPr>
        <w:suppressAutoHyphens/>
        <w:rPr>
          <w:sz w:val="22"/>
          <w:szCs w:val="22"/>
        </w:rPr>
      </w:pPr>
      <w:r w:rsidRPr="006D70C9">
        <w:rPr>
          <w:sz w:val="22"/>
          <w:szCs w:val="22"/>
        </w:rPr>
        <w:t xml:space="preserve">The above-enlisted outputs will contribute to achievement of relevant output 1.4 </w:t>
      </w:r>
      <w:r w:rsidRPr="006D70C9">
        <w:rPr>
          <w:rFonts w:eastAsia="Calibri" w:cs="Arial"/>
          <w:sz w:val="22"/>
          <w:szCs w:val="22"/>
          <w:lang w:eastAsia="ja-JP"/>
        </w:rPr>
        <w:t>Promoted Social Dialogue and Local Employment Partnerships</w:t>
      </w:r>
      <w:r w:rsidRPr="006D70C9">
        <w:rPr>
          <w:sz w:val="22"/>
          <w:szCs w:val="22"/>
          <w:lang w:eastAsia="ja-JP"/>
        </w:rPr>
        <w:t xml:space="preserve"> as defined in IPA III 2024-2027 Operational Programme “Jobs and opportunities”</w:t>
      </w:r>
      <w:r w:rsidRPr="006D70C9">
        <w:rPr>
          <w:sz w:val="22"/>
          <w:szCs w:val="22"/>
        </w:rPr>
        <w:t>.</w:t>
      </w:r>
    </w:p>
    <w:p w14:paraId="4B6DAC25" w14:textId="77777777" w:rsidR="00742E0C" w:rsidRPr="006D70C9" w:rsidRDefault="00742E0C" w:rsidP="006D70C9">
      <w:pPr>
        <w:suppressAutoHyphens/>
        <w:rPr>
          <w:sz w:val="22"/>
          <w:szCs w:val="22"/>
        </w:rPr>
      </w:pPr>
    </w:p>
    <w:p w14:paraId="4971DD02" w14:textId="77777777" w:rsidR="00742E0C" w:rsidRPr="006D70C9" w:rsidRDefault="009B723A" w:rsidP="006D70C9">
      <w:pPr>
        <w:tabs>
          <w:tab w:val="left" w:pos="1701"/>
        </w:tabs>
        <w:outlineLvl w:val="0"/>
        <w:rPr>
          <w:b/>
          <w:bCs/>
          <w:sz w:val="22"/>
          <w:szCs w:val="22"/>
        </w:rPr>
      </w:pPr>
      <w:r w:rsidRPr="006D70C9">
        <w:rPr>
          <w:b/>
          <w:bCs/>
          <w:sz w:val="22"/>
          <w:szCs w:val="22"/>
        </w:rPr>
        <w:t>5.5 Indicative activities:</w:t>
      </w:r>
    </w:p>
    <w:p w14:paraId="30388033" w14:textId="77777777" w:rsidR="00742E0C" w:rsidRPr="006D70C9" w:rsidRDefault="009B723A" w:rsidP="006D70C9">
      <w:pPr>
        <w:rPr>
          <w:b/>
          <w:bCs/>
          <w:sz w:val="22"/>
          <w:szCs w:val="22"/>
        </w:rPr>
      </w:pPr>
      <w:r w:rsidRPr="006D70C9">
        <w:rPr>
          <w:sz w:val="22"/>
          <w:szCs w:val="22"/>
          <w:lang w:eastAsia="ja-JP"/>
        </w:rPr>
        <w:t>Non-exhaustive list of activities</w:t>
      </w:r>
    </w:p>
    <w:p w14:paraId="029B02A4" w14:textId="77777777" w:rsidR="00742E0C" w:rsidRPr="006D70C9" w:rsidRDefault="009B723A" w:rsidP="006D70C9">
      <w:pPr>
        <w:suppressAutoHyphens/>
        <w:rPr>
          <w:i/>
          <w:iCs/>
          <w:color w:val="000000"/>
          <w:sz w:val="22"/>
          <w:szCs w:val="22"/>
          <w:u w:val="single"/>
        </w:rPr>
      </w:pPr>
      <w:bookmarkStart w:id="2" w:name="_Hlk140484607"/>
      <w:bookmarkEnd w:id="2"/>
      <w:r w:rsidRPr="006D70C9">
        <w:rPr>
          <w:i/>
          <w:iCs/>
          <w:sz w:val="22"/>
          <w:szCs w:val="22"/>
          <w:u w:val="single"/>
        </w:rPr>
        <w:t>Activity 1 - Enhancing th</w:t>
      </w:r>
      <w:r w:rsidRPr="006D70C9">
        <w:rPr>
          <w:i/>
          <w:iCs/>
          <w:color w:val="000000"/>
          <w:sz w:val="22"/>
          <w:szCs w:val="22"/>
          <w:u w:val="single"/>
        </w:rPr>
        <w:t xml:space="preserve">e Social Dialogue </w:t>
      </w:r>
    </w:p>
    <w:p w14:paraId="0FC10674"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Further developing workers and employers’ organizations analytical capacity and skills (</w:t>
      </w:r>
      <w:proofErr w:type="gramStart"/>
      <w:r w:rsidRPr="006D70C9">
        <w:rPr>
          <w:color w:val="000000"/>
          <w:sz w:val="22"/>
          <w:szCs w:val="22"/>
          <w:lang w:eastAsia="ja-JP"/>
        </w:rPr>
        <w:t>e.g.</w:t>
      </w:r>
      <w:proofErr w:type="gramEnd"/>
      <w:r w:rsidRPr="006D70C9">
        <w:rPr>
          <w:color w:val="000000"/>
          <w:sz w:val="22"/>
          <w:szCs w:val="22"/>
          <w:lang w:eastAsia="ja-JP"/>
        </w:rPr>
        <w:t xml:space="preserve"> policy assessment; policy proposal development; policy implementation monitoring);</w:t>
      </w:r>
    </w:p>
    <w:p w14:paraId="7B213E72"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 xml:space="preserve">Developing ESC secretariat support services to ESC members and digitalisation of the ESC </w:t>
      </w:r>
      <w:proofErr w:type="gramStart"/>
      <w:r w:rsidRPr="006D70C9">
        <w:rPr>
          <w:color w:val="000000"/>
          <w:sz w:val="22"/>
          <w:szCs w:val="22"/>
          <w:lang w:eastAsia="ja-JP"/>
        </w:rPr>
        <w:t>operations;</w:t>
      </w:r>
      <w:proofErr w:type="gramEnd"/>
    </w:p>
    <w:p w14:paraId="456595FF" w14:textId="237F3A2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 xml:space="preserve">Establishing internal research units within the Trade Unions and Employers </w:t>
      </w:r>
      <w:proofErr w:type="gramStart"/>
      <w:r w:rsidR="00E7028E" w:rsidRPr="006D70C9">
        <w:rPr>
          <w:color w:val="000000"/>
          <w:sz w:val="22"/>
          <w:szCs w:val="22"/>
          <w:lang w:eastAsia="ja-JP"/>
        </w:rPr>
        <w:t>Organisations;</w:t>
      </w:r>
      <w:proofErr w:type="gramEnd"/>
    </w:p>
    <w:p w14:paraId="38C05C21"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 xml:space="preserve">Building a systematic and structured approach to service development and delivery by the Trade Unions and Employers </w:t>
      </w:r>
      <w:proofErr w:type="gramStart"/>
      <w:r w:rsidRPr="006D70C9">
        <w:rPr>
          <w:color w:val="000000"/>
          <w:sz w:val="22"/>
          <w:szCs w:val="22"/>
          <w:lang w:eastAsia="ja-JP"/>
        </w:rPr>
        <w:t>Organisation;</w:t>
      </w:r>
      <w:proofErr w:type="gramEnd"/>
    </w:p>
    <w:p w14:paraId="469B367B"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 xml:space="preserve">Assisting the TUs and EOs in developing and implementing innovative communication and membership </w:t>
      </w:r>
      <w:proofErr w:type="gramStart"/>
      <w:r w:rsidRPr="006D70C9">
        <w:rPr>
          <w:color w:val="000000"/>
          <w:sz w:val="22"/>
          <w:szCs w:val="22"/>
          <w:lang w:eastAsia="ja-JP"/>
        </w:rPr>
        <w:t>strategies;</w:t>
      </w:r>
      <w:proofErr w:type="gramEnd"/>
    </w:p>
    <w:p w14:paraId="4B85D404" w14:textId="77777777" w:rsidR="00742E0C" w:rsidRPr="006D70C9" w:rsidRDefault="009B723A" w:rsidP="006D70C9">
      <w:pPr>
        <w:numPr>
          <w:ilvl w:val="0"/>
          <w:numId w:val="6"/>
        </w:numPr>
        <w:suppressAutoHyphens/>
        <w:ind w:left="360" w:hanging="360"/>
        <w:rPr>
          <w:color w:val="000000"/>
          <w:sz w:val="22"/>
          <w:szCs w:val="22"/>
        </w:rPr>
      </w:pPr>
      <w:r w:rsidRPr="006D70C9">
        <w:rPr>
          <w:color w:val="000000"/>
          <w:sz w:val="22"/>
          <w:szCs w:val="22"/>
        </w:rPr>
        <w:t xml:space="preserve">Developing guidelines and tools on collective bargaining, labour disputes resolution and industrial relations, as well as their piloting in certain </w:t>
      </w:r>
      <w:proofErr w:type="gramStart"/>
      <w:r w:rsidRPr="006D70C9">
        <w:rPr>
          <w:color w:val="000000"/>
          <w:sz w:val="22"/>
          <w:szCs w:val="22"/>
        </w:rPr>
        <w:t>sectors;</w:t>
      </w:r>
      <w:proofErr w:type="gramEnd"/>
    </w:p>
    <w:p w14:paraId="6823744B" w14:textId="77777777" w:rsidR="00742E0C" w:rsidRPr="006D70C9" w:rsidRDefault="009B723A" w:rsidP="006D70C9">
      <w:pPr>
        <w:numPr>
          <w:ilvl w:val="0"/>
          <w:numId w:val="6"/>
        </w:numPr>
        <w:suppressAutoHyphens/>
        <w:ind w:left="360" w:hanging="360"/>
        <w:rPr>
          <w:color w:val="000000"/>
          <w:sz w:val="22"/>
          <w:szCs w:val="22"/>
        </w:rPr>
      </w:pPr>
      <w:r w:rsidRPr="006D70C9">
        <w:rPr>
          <w:color w:val="000000"/>
          <w:sz w:val="22"/>
          <w:szCs w:val="22"/>
        </w:rPr>
        <w:t xml:space="preserve">Promoting gender mainstreaming in collective </w:t>
      </w:r>
      <w:proofErr w:type="gramStart"/>
      <w:r w:rsidRPr="006D70C9">
        <w:rPr>
          <w:color w:val="000000"/>
          <w:sz w:val="22"/>
          <w:szCs w:val="22"/>
        </w:rPr>
        <w:t>agreements;</w:t>
      </w:r>
      <w:proofErr w:type="gramEnd"/>
    </w:p>
    <w:p w14:paraId="33314F18" w14:textId="77777777" w:rsidR="00742E0C" w:rsidRPr="006D70C9" w:rsidRDefault="009B723A" w:rsidP="006D70C9">
      <w:pPr>
        <w:numPr>
          <w:ilvl w:val="0"/>
          <w:numId w:val="6"/>
        </w:numPr>
        <w:suppressAutoHyphens/>
        <w:ind w:left="360" w:hanging="360"/>
        <w:rPr>
          <w:color w:val="000000"/>
          <w:sz w:val="22"/>
          <w:szCs w:val="22"/>
        </w:rPr>
      </w:pPr>
      <w:r w:rsidRPr="006D70C9">
        <w:rPr>
          <w:color w:val="000000"/>
          <w:sz w:val="22"/>
          <w:szCs w:val="22"/>
        </w:rPr>
        <w:t xml:space="preserve">Enhancing negotiations skills and techniques, through training and practical </w:t>
      </w:r>
      <w:proofErr w:type="gramStart"/>
      <w:r w:rsidRPr="006D70C9">
        <w:rPr>
          <w:color w:val="000000"/>
          <w:sz w:val="22"/>
          <w:szCs w:val="22"/>
        </w:rPr>
        <w:t>application;</w:t>
      </w:r>
      <w:proofErr w:type="gramEnd"/>
      <w:r w:rsidRPr="006D70C9">
        <w:rPr>
          <w:color w:val="000000"/>
          <w:sz w:val="22"/>
          <w:szCs w:val="22"/>
        </w:rPr>
        <w:t xml:space="preserve"> </w:t>
      </w:r>
    </w:p>
    <w:p w14:paraId="05B40A23" w14:textId="77777777" w:rsidR="00742E0C" w:rsidRPr="006D70C9" w:rsidRDefault="009B723A" w:rsidP="006D70C9">
      <w:pPr>
        <w:numPr>
          <w:ilvl w:val="0"/>
          <w:numId w:val="6"/>
        </w:numPr>
        <w:suppressAutoHyphens/>
        <w:ind w:left="360" w:hanging="360"/>
        <w:rPr>
          <w:color w:val="000000"/>
          <w:sz w:val="22"/>
          <w:szCs w:val="22"/>
        </w:rPr>
      </w:pPr>
      <w:r w:rsidRPr="006D70C9">
        <w:rPr>
          <w:color w:val="000000"/>
          <w:sz w:val="22"/>
          <w:szCs w:val="22"/>
        </w:rPr>
        <w:t xml:space="preserve">Developing tools to implement the new labour legislation </w:t>
      </w:r>
      <w:proofErr w:type="gramStart"/>
      <w:r w:rsidRPr="006D70C9">
        <w:rPr>
          <w:color w:val="000000"/>
          <w:sz w:val="22"/>
          <w:szCs w:val="22"/>
        </w:rPr>
        <w:t>properly;</w:t>
      </w:r>
      <w:proofErr w:type="gramEnd"/>
    </w:p>
    <w:p w14:paraId="66F59FF4" w14:textId="77777777" w:rsidR="00742E0C" w:rsidRPr="006D70C9" w:rsidRDefault="009B723A" w:rsidP="006D70C9">
      <w:pPr>
        <w:numPr>
          <w:ilvl w:val="0"/>
          <w:numId w:val="6"/>
        </w:numPr>
        <w:suppressAutoHyphens/>
        <w:ind w:left="360" w:hanging="360"/>
        <w:rPr>
          <w:color w:val="000000"/>
          <w:sz w:val="22"/>
          <w:szCs w:val="22"/>
        </w:rPr>
      </w:pPr>
      <w:r w:rsidRPr="006D70C9">
        <w:rPr>
          <w:color w:val="000000"/>
          <w:sz w:val="22"/>
          <w:szCs w:val="22"/>
        </w:rPr>
        <w:t xml:space="preserve">Devising policy responses to the challenges in the labour market linked to digitalisation and just transition to green </w:t>
      </w:r>
      <w:proofErr w:type="gramStart"/>
      <w:r w:rsidRPr="006D70C9">
        <w:rPr>
          <w:color w:val="000000"/>
          <w:sz w:val="22"/>
          <w:szCs w:val="22"/>
        </w:rPr>
        <w:t>economy;</w:t>
      </w:r>
      <w:proofErr w:type="gramEnd"/>
    </w:p>
    <w:p w14:paraId="7806392A"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 xml:space="preserve">Enhancing implementation of the mechanism for </w:t>
      </w:r>
      <w:r w:rsidRPr="006D70C9">
        <w:rPr>
          <w:color w:val="000000"/>
          <w:sz w:val="22"/>
          <w:szCs w:val="22"/>
        </w:rPr>
        <w:t xml:space="preserve">amicable settlement of labour relation disputes (ASLD), with reform of the legislation, licensing of new generation of conciliators/arbiters and exposing them to most advanced conciliation techniques and tools, promotion of ASLD among the workers and </w:t>
      </w:r>
      <w:proofErr w:type="gramStart"/>
      <w:r w:rsidRPr="006D70C9">
        <w:rPr>
          <w:color w:val="000000"/>
          <w:sz w:val="22"/>
          <w:szCs w:val="22"/>
        </w:rPr>
        <w:t>employers</w:t>
      </w:r>
      <w:r w:rsidRPr="006D70C9">
        <w:rPr>
          <w:color w:val="000000"/>
          <w:sz w:val="22"/>
          <w:szCs w:val="22"/>
          <w:lang w:eastAsia="ja-JP"/>
        </w:rPr>
        <w:t>;</w:t>
      </w:r>
      <w:proofErr w:type="gramEnd"/>
      <w:r w:rsidRPr="006D70C9">
        <w:rPr>
          <w:color w:val="000000"/>
          <w:sz w:val="22"/>
          <w:szCs w:val="22"/>
          <w:lang w:eastAsia="ja-JP"/>
        </w:rPr>
        <w:t xml:space="preserve"> </w:t>
      </w:r>
    </w:p>
    <w:p w14:paraId="21CC052F"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 xml:space="preserve">Upgrading of the ASLD case management </w:t>
      </w:r>
      <w:proofErr w:type="gramStart"/>
      <w:r w:rsidRPr="006D70C9">
        <w:rPr>
          <w:color w:val="000000"/>
          <w:sz w:val="22"/>
          <w:szCs w:val="22"/>
          <w:lang w:eastAsia="ja-JP"/>
        </w:rPr>
        <w:t>system;</w:t>
      </w:r>
      <w:proofErr w:type="gramEnd"/>
    </w:p>
    <w:p w14:paraId="2AEF988B" w14:textId="77777777" w:rsidR="00742E0C" w:rsidRPr="006D70C9" w:rsidRDefault="009B723A" w:rsidP="006D70C9">
      <w:pPr>
        <w:numPr>
          <w:ilvl w:val="0"/>
          <w:numId w:val="6"/>
        </w:numPr>
        <w:suppressAutoHyphens/>
        <w:ind w:left="360" w:hanging="360"/>
        <w:rPr>
          <w:color w:val="000000"/>
          <w:sz w:val="22"/>
          <w:szCs w:val="22"/>
          <w:lang w:eastAsia="ja-JP"/>
        </w:rPr>
      </w:pPr>
      <w:r w:rsidRPr="006D70C9">
        <w:rPr>
          <w:color w:val="000000"/>
          <w:sz w:val="22"/>
          <w:szCs w:val="22"/>
          <w:lang w:eastAsia="ja-JP"/>
        </w:rPr>
        <w:t>Technical support to MLSP and Local ESCs to establish and monitor functioning of the local employment partnerships.</w:t>
      </w:r>
    </w:p>
    <w:p w14:paraId="44BBD660" w14:textId="77777777" w:rsidR="00742E0C" w:rsidRPr="006D70C9" w:rsidRDefault="009B723A" w:rsidP="006D70C9">
      <w:pPr>
        <w:suppressAutoHyphens/>
        <w:rPr>
          <w:i/>
          <w:iCs/>
          <w:color w:val="000000"/>
          <w:sz w:val="22"/>
          <w:szCs w:val="22"/>
          <w:u w:val="single"/>
          <w:lang w:eastAsia="ja-JP"/>
        </w:rPr>
      </w:pPr>
      <w:r w:rsidRPr="006D70C9">
        <w:rPr>
          <w:i/>
          <w:iCs/>
          <w:color w:val="000000"/>
          <w:sz w:val="22"/>
          <w:szCs w:val="22"/>
          <w:u w:val="single"/>
          <w:lang w:eastAsia="ja-JP"/>
        </w:rPr>
        <w:t>Activity 2 - Supporting Local Economic and Social Councils in Developing and Implementing Local Employment Partnerships</w:t>
      </w:r>
    </w:p>
    <w:p w14:paraId="751BFE75" w14:textId="77777777" w:rsidR="00742E0C" w:rsidRPr="006D70C9" w:rsidRDefault="009B723A" w:rsidP="006D70C9">
      <w:pPr>
        <w:suppressAutoHyphens/>
        <w:rPr>
          <w:color w:val="000000"/>
          <w:sz w:val="22"/>
          <w:szCs w:val="22"/>
          <w:lang w:eastAsia="ja-JP"/>
        </w:rPr>
      </w:pPr>
      <w:r w:rsidRPr="006D70C9">
        <w:rPr>
          <w:color w:val="000000"/>
          <w:sz w:val="22"/>
          <w:szCs w:val="22"/>
          <w:lang w:eastAsia="ja-JP"/>
        </w:rPr>
        <w:t>Implementation of the grant scheme to support:</w:t>
      </w:r>
    </w:p>
    <w:p w14:paraId="4DFDC9AF" w14:textId="77777777" w:rsidR="00742E0C" w:rsidRPr="006D70C9" w:rsidRDefault="009B723A" w:rsidP="006D70C9">
      <w:pPr>
        <w:pStyle w:val="ListParagraph"/>
        <w:numPr>
          <w:ilvl w:val="0"/>
          <w:numId w:val="6"/>
        </w:numPr>
        <w:suppressAutoHyphens/>
        <w:ind w:left="360" w:hanging="360"/>
        <w:rPr>
          <w:color w:val="000000"/>
          <w:sz w:val="22"/>
          <w:szCs w:val="22"/>
          <w:lang w:eastAsia="ja-JP"/>
        </w:rPr>
      </w:pPr>
      <w:r w:rsidRPr="006D70C9">
        <w:rPr>
          <w:color w:val="000000"/>
          <w:sz w:val="22"/>
          <w:szCs w:val="22"/>
          <w:lang w:eastAsia="ja-JP"/>
        </w:rPr>
        <w:t xml:space="preserve">Establishment and implementation of local employment partnerships involving local employment centres, municipalities, local businesses, local branches of trade unions, employers’ organisations, civil society organisations, </w:t>
      </w:r>
      <w:proofErr w:type="gramStart"/>
      <w:r w:rsidRPr="006D70C9">
        <w:rPr>
          <w:color w:val="000000"/>
          <w:sz w:val="22"/>
          <w:szCs w:val="22"/>
          <w:lang w:eastAsia="ja-JP"/>
        </w:rPr>
        <w:t>etc.;</w:t>
      </w:r>
      <w:proofErr w:type="gramEnd"/>
      <w:r w:rsidRPr="006D70C9">
        <w:rPr>
          <w:color w:val="000000"/>
          <w:sz w:val="22"/>
          <w:szCs w:val="22"/>
          <w:lang w:eastAsia="ja-JP"/>
        </w:rPr>
        <w:t xml:space="preserve"> </w:t>
      </w:r>
    </w:p>
    <w:p w14:paraId="1C2F3018" w14:textId="77777777" w:rsidR="00742E0C" w:rsidRPr="006D70C9" w:rsidRDefault="009B723A" w:rsidP="006D70C9">
      <w:pPr>
        <w:pStyle w:val="ListParagraph"/>
        <w:numPr>
          <w:ilvl w:val="0"/>
          <w:numId w:val="6"/>
        </w:numPr>
        <w:suppressAutoHyphens/>
        <w:ind w:left="360" w:hanging="360"/>
        <w:rPr>
          <w:color w:val="000000"/>
          <w:sz w:val="22"/>
          <w:szCs w:val="22"/>
          <w:lang w:eastAsia="ja-JP"/>
        </w:rPr>
      </w:pPr>
      <w:r w:rsidRPr="006D70C9">
        <w:rPr>
          <w:bCs/>
          <w:color w:val="000000"/>
          <w:sz w:val="22"/>
          <w:szCs w:val="22"/>
        </w:rPr>
        <w:t xml:space="preserve">Capacity building of the local economic and social councils to formulate and implement policies and measures for creating decent work in the local economy, as well supporting of measures tailored to the needs identified </w:t>
      </w:r>
      <w:r w:rsidRPr="006D70C9">
        <w:rPr>
          <w:color w:val="000000"/>
          <w:sz w:val="22"/>
          <w:szCs w:val="22"/>
          <w:lang w:eastAsia="ja-JP"/>
        </w:rPr>
        <w:t>through local employment partnerships</w:t>
      </w:r>
      <w:r w:rsidRPr="006D70C9">
        <w:rPr>
          <w:color w:val="000000"/>
          <w:sz w:val="22"/>
          <w:szCs w:val="22"/>
        </w:rPr>
        <w:t xml:space="preserve"> for local economic development</w:t>
      </w:r>
      <w:r w:rsidRPr="006D70C9">
        <w:rPr>
          <w:color w:val="000000"/>
          <w:sz w:val="22"/>
          <w:szCs w:val="22"/>
          <w:lang w:eastAsia="ja-JP"/>
        </w:rPr>
        <w:t>.</w:t>
      </w:r>
    </w:p>
    <w:p w14:paraId="23D5AF8D" w14:textId="77777777" w:rsidR="00742E0C" w:rsidRPr="006D70C9" w:rsidRDefault="009B723A" w:rsidP="006D70C9">
      <w:pPr>
        <w:tabs>
          <w:tab w:val="left" w:pos="1701"/>
        </w:tabs>
        <w:spacing w:after="120"/>
        <w:outlineLvl w:val="0"/>
        <w:rPr>
          <w:b/>
          <w:bCs/>
          <w:sz w:val="22"/>
          <w:szCs w:val="22"/>
        </w:rPr>
      </w:pPr>
      <w:r w:rsidRPr="006D70C9">
        <w:rPr>
          <w:b/>
          <w:bCs/>
          <w:sz w:val="22"/>
          <w:szCs w:val="22"/>
        </w:rPr>
        <w:t>5.6 Indicators</w:t>
      </w:r>
      <w:r w:rsidRPr="006D70C9">
        <w:rPr>
          <w:rStyle w:val="FootnoteReference"/>
          <w:b/>
          <w:bCs/>
          <w:sz w:val="22"/>
          <w:szCs w:val="22"/>
        </w:rPr>
        <w:footnoteReference w:id="1"/>
      </w:r>
      <w:r w:rsidRPr="006D70C9">
        <w:rPr>
          <w:b/>
          <w:bCs/>
          <w:sz w:val="22"/>
          <w:szCs w:val="22"/>
        </w:rPr>
        <w:t>:</w:t>
      </w:r>
    </w:p>
    <w:tbl>
      <w:tblPr>
        <w:tblW w:w="9702" w:type="dxa"/>
        <w:jc w:val="center"/>
        <w:tblCellMar>
          <w:left w:w="10" w:type="dxa"/>
          <w:right w:w="10" w:type="dxa"/>
        </w:tblCellMar>
        <w:tblLook w:val="04A0" w:firstRow="1" w:lastRow="0" w:firstColumn="1" w:lastColumn="0" w:noHBand="0" w:noVBand="1"/>
      </w:tblPr>
      <w:tblGrid>
        <w:gridCol w:w="1355"/>
        <w:gridCol w:w="3355"/>
        <w:gridCol w:w="1559"/>
        <w:gridCol w:w="1788"/>
        <w:gridCol w:w="1645"/>
      </w:tblGrid>
      <w:tr w:rsidR="00742E0C" w:rsidRPr="006D70C9" w14:paraId="2657EADB" w14:textId="77777777">
        <w:trPr>
          <w:jc w:val="center"/>
        </w:trPr>
        <w:tc>
          <w:tcPr>
            <w:tcW w:w="1355"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57BC85BE" w14:textId="77777777" w:rsidR="00742E0C" w:rsidRPr="006D70C9" w:rsidRDefault="00742E0C" w:rsidP="006D70C9">
            <w:pPr>
              <w:contextualSpacing/>
              <w:jc w:val="center"/>
              <w:rPr>
                <w:b/>
                <w:color w:val="000000"/>
                <w:sz w:val="20"/>
                <w:szCs w:val="20"/>
                <w:lang w:eastAsia="ja-JP"/>
              </w:rPr>
            </w:pPr>
          </w:p>
        </w:tc>
        <w:tc>
          <w:tcPr>
            <w:tcW w:w="3355"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7663BBD6" w14:textId="77777777" w:rsidR="00742E0C" w:rsidRPr="006D70C9" w:rsidRDefault="009B723A" w:rsidP="006D70C9">
            <w:pPr>
              <w:contextualSpacing/>
              <w:jc w:val="center"/>
              <w:rPr>
                <w:b/>
                <w:color w:val="000000"/>
                <w:sz w:val="20"/>
                <w:szCs w:val="20"/>
                <w:lang w:eastAsia="ja-JP"/>
              </w:rPr>
            </w:pPr>
            <w:r w:rsidRPr="006D70C9">
              <w:rPr>
                <w:b/>
                <w:color w:val="000000"/>
                <w:sz w:val="20"/>
                <w:szCs w:val="20"/>
                <w:lang w:eastAsia="ja-JP"/>
              </w:rPr>
              <w:t>Indicator</w:t>
            </w:r>
          </w:p>
        </w:tc>
        <w:tc>
          <w:tcPr>
            <w:tcW w:w="1559"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6B29FD92" w14:textId="77777777" w:rsidR="00742E0C" w:rsidRPr="006D70C9" w:rsidRDefault="009B723A" w:rsidP="006D70C9">
            <w:pPr>
              <w:contextualSpacing/>
              <w:jc w:val="center"/>
              <w:rPr>
                <w:b/>
                <w:color w:val="000000"/>
                <w:sz w:val="20"/>
                <w:szCs w:val="20"/>
                <w:lang w:eastAsia="ja-JP"/>
              </w:rPr>
            </w:pPr>
            <w:r w:rsidRPr="006D70C9">
              <w:rPr>
                <w:b/>
                <w:color w:val="000000"/>
                <w:sz w:val="20"/>
                <w:szCs w:val="20"/>
                <w:lang w:eastAsia="ja-JP"/>
              </w:rPr>
              <w:t>Baseline (2022)</w:t>
            </w:r>
          </w:p>
        </w:tc>
        <w:tc>
          <w:tcPr>
            <w:tcW w:w="1788"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44F1BB8E" w14:textId="77777777" w:rsidR="00742E0C" w:rsidRPr="006D70C9" w:rsidRDefault="009B723A" w:rsidP="006D70C9">
            <w:pPr>
              <w:contextualSpacing/>
              <w:jc w:val="center"/>
              <w:rPr>
                <w:b/>
                <w:color w:val="000000"/>
                <w:sz w:val="20"/>
                <w:szCs w:val="20"/>
                <w:lang w:eastAsia="ja-JP"/>
              </w:rPr>
            </w:pPr>
            <w:r w:rsidRPr="006D70C9">
              <w:rPr>
                <w:b/>
                <w:color w:val="000000"/>
                <w:sz w:val="20"/>
                <w:szCs w:val="20"/>
                <w:lang w:eastAsia="ja-JP"/>
              </w:rPr>
              <w:t xml:space="preserve">Target </w:t>
            </w:r>
          </w:p>
        </w:tc>
        <w:tc>
          <w:tcPr>
            <w:tcW w:w="1645" w:type="dxa"/>
            <w:tcBorders>
              <w:top w:val="single" w:sz="4" w:space="0" w:color="000000"/>
              <w:left w:val="single" w:sz="4" w:space="0" w:color="000000"/>
              <w:bottom w:val="single" w:sz="4" w:space="0" w:color="000000"/>
              <w:right w:val="single" w:sz="4" w:space="0" w:color="000000"/>
              <w:tl2br w:val="nil"/>
              <w:tr2bl w:val="nil"/>
            </w:tcBorders>
            <w:shd w:val="solid" w:color="B8CCE4" w:fill="auto"/>
            <w:tcMar>
              <w:top w:w="0" w:type="dxa"/>
              <w:left w:w="108" w:type="dxa"/>
              <w:bottom w:w="0" w:type="dxa"/>
              <w:right w:w="108" w:type="dxa"/>
            </w:tcMar>
            <w:vAlign w:val="center"/>
          </w:tcPr>
          <w:p w14:paraId="08B5179F" w14:textId="77777777" w:rsidR="00742E0C" w:rsidRPr="006D70C9" w:rsidRDefault="009B723A" w:rsidP="006D70C9">
            <w:pPr>
              <w:contextualSpacing/>
              <w:jc w:val="center"/>
              <w:rPr>
                <w:b/>
                <w:color w:val="000000"/>
                <w:sz w:val="20"/>
                <w:szCs w:val="20"/>
                <w:lang w:eastAsia="ja-JP"/>
              </w:rPr>
            </w:pPr>
            <w:r w:rsidRPr="006D70C9">
              <w:rPr>
                <w:b/>
                <w:color w:val="000000"/>
                <w:sz w:val="20"/>
                <w:szCs w:val="20"/>
                <w:lang w:eastAsia="ja-JP"/>
              </w:rPr>
              <w:t>Source</w:t>
            </w:r>
          </w:p>
        </w:tc>
      </w:tr>
      <w:tr w:rsidR="00742E0C" w:rsidRPr="006D70C9" w14:paraId="65C784A7" w14:textId="77777777">
        <w:trPr>
          <w:cantSplit/>
          <w:trHeight w:val="550"/>
          <w:jc w:val="center"/>
        </w:trPr>
        <w:tc>
          <w:tcPr>
            <w:tcW w:w="13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5D9A0F6" w14:textId="77777777" w:rsidR="00742E0C" w:rsidRPr="006D70C9" w:rsidRDefault="009B723A" w:rsidP="006D70C9">
            <w:pPr>
              <w:ind w:left="113" w:right="113"/>
              <w:contextualSpacing/>
              <w:jc w:val="center"/>
              <w:rPr>
                <w:b/>
                <w:bCs/>
                <w:color w:val="000000"/>
                <w:sz w:val="20"/>
                <w:szCs w:val="20"/>
                <w:lang w:eastAsia="ja-JP"/>
              </w:rPr>
            </w:pPr>
            <w:r w:rsidRPr="006D70C9">
              <w:rPr>
                <w:b/>
                <w:bCs/>
                <w:color w:val="000000"/>
                <w:sz w:val="20"/>
                <w:szCs w:val="20"/>
                <w:lang w:eastAsia="ja-JP"/>
              </w:rPr>
              <w:lastRenderedPageBreak/>
              <w:t>Impact</w:t>
            </w:r>
          </w:p>
        </w:tc>
        <w:tc>
          <w:tcPr>
            <w:tcW w:w="33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900C932" w14:textId="77777777" w:rsidR="00742E0C" w:rsidRPr="006D70C9" w:rsidRDefault="009B723A" w:rsidP="006D70C9">
            <w:pPr>
              <w:contextualSpacing/>
              <w:jc w:val="left"/>
              <w:rPr>
                <w:b/>
                <w:bCs/>
                <w:color w:val="000000"/>
                <w:sz w:val="20"/>
                <w:szCs w:val="20"/>
                <w:lang w:val="en-US" w:eastAsia="ja-JP"/>
              </w:rPr>
            </w:pPr>
            <w:r w:rsidRPr="006D70C9">
              <w:rPr>
                <w:bCs/>
                <w:color w:val="000000"/>
                <w:sz w:val="20"/>
                <w:szCs w:val="20"/>
                <w:lang w:eastAsia="ja-JP"/>
              </w:rPr>
              <w:t>Employment rate (20-64) (%)</w:t>
            </w:r>
            <w:r w:rsidRPr="006D70C9">
              <w:rPr>
                <w:rStyle w:val="FootnoteReference"/>
                <w:bCs/>
                <w:color w:val="000000"/>
                <w:sz w:val="20"/>
                <w:szCs w:val="20"/>
                <w:lang w:eastAsia="ja-JP"/>
              </w:rPr>
              <w:footnoteReference w:id="2"/>
            </w:r>
          </w:p>
        </w:tc>
        <w:tc>
          <w:tcPr>
            <w:tcW w:w="1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E33561D" w14:textId="77777777" w:rsidR="00742E0C" w:rsidRPr="006D70C9" w:rsidRDefault="009B723A" w:rsidP="006D70C9">
            <w:pPr>
              <w:contextualSpacing/>
              <w:jc w:val="center"/>
              <w:rPr>
                <w:color w:val="000000"/>
                <w:sz w:val="20"/>
                <w:szCs w:val="20"/>
                <w:lang w:val="en-US" w:eastAsia="ja-JP"/>
              </w:rPr>
            </w:pPr>
            <w:r w:rsidRPr="006D70C9">
              <w:rPr>
                <w:color w:val="000000"/>
                <w:sz w:val="20"/>
                <w:szCs w:val="20"/>
                <w:lang w:val="en-US" w:eastAsia="ja-JP"/>
              </w:rPr>
              <w:t>Total: 61,2</w:t>
            </w:r>
            <w:proofErr w:type="gramStart"/>
            <w:r w:rsidRPr="006D70C9">
              <w:rPr>
                <w:color w:val="000000"/>
                <w:sz w:val="20"/>
                <w:szCs w:val="20"/>
                <w:lang w:val="en-US" w:eastAsia="ja-JP"/>
              </w:rPr>
              <w:t>%;</w:t>
            </w:r>
            <w:proofErr w:type="gramEnd"/>
          </w:p>
          <w:p w14:paraId="627B4CEE" w14:textId="77777777" w:rsidR="00742E0C" w:rsidRPr="006D70C9" w:rsidRDefault="009B723A" w:rsidP="006D70C9">
            <w:pPr>
              <w:contextualSpacing/>
              <w:jc w:val="center"/>
              <w:rPr>
                <w:color w:val="000000"/>
                <w:sz w:val="20"/>
                <w:szCs w:val="20"/>
                <w:lang w:val="en-US" w:eastAsia="ja-JP"/>
              </w:rPr>
            </w:pPr>
            <w:r w:rsidRPr="006D70C9">
              <w:rPr>
                <w:color w:val="000000"/>
                <w:sz w:val="20"/>
                <w:szCs w:val="20"/>
                <w:lang w:val="en-US" w:eastAsia="ja-JP"/>
              </w:rPr>
              <w:t>Male: 71,2</w:t>
            </w:r>
            <w:proofErr w:type="gramStart"/>
            <w:r w:rsidRPr="006D70C9">
              <w:rPr>
                <w:color w:val="000000"/>
                <w:sz w:val="20"/>
                <w:szCs w:val="20"/>
                <w:lang w:val="en-US" w:eastAsia="ja-JP"/>
              </w:rPr>
              <w:t>%;</w:t>
            </w:r>
            <w:proofErr w:type="gramEnd"/>
          </w:p>
          <w:p w14:paraId="2F4341B8" w14:textId="77777777" w:rsidR="00742E0C" w:rsidRPr="006D70C9" w:rsidRDefault="009B723A" w:rsidP="006D70C9">
            <w:pPr>
              <w:contextualSpacing/>
              <w:jc w:val="center"/>
              <w:rPr>
                <w:color w:val="000000"/>
                <w:sz w:val="20"/>
                <w:szCs w:val="20"/>
                <w:lang w:val="en-US" w:eastAsia="ja-JP"/>
              </w:rPr>
            </w:pPr>
            <w:r w:rsidRPr="006D70C9">
              <w:rPr>
                <w:color w:val="000000"/>
                <w:sz w:val="20"/>
                <w:szCs w:val="20"/>
                <w:lang w:val="en-US" w:eastAsia="ja-JP"/>
              </w:rPr>
              <w:t>Female: 51,3%</w:t>
            </w:r>
          </w:p>
        </w:tc>
        <w:tc>
          <w:tcPr>
            <w:tcW w:w="1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23D01F7" w14:textId="77777777" w:rsidR="00742E0C" w:rsidRPr="006D70C9" w:rsidRDefault="009B723A" w:rsidP="006D70C9">
            <w:pPr>
              <w:contextualSpacing/>
              <w:jc w:val="center"/>
              <w:rPr>
                <w:color w:val="000000"/>
                <w:sz w:val="20"/>
                <w:szCs w:val="20"/>
                <w:lang w:val="en-US" w:eastAsia="ja-JP"/>
              </w:rPr>
            </w:pPr>
            <w:r w:rsidRPr="006D70C9">
              <w:rPr>
                <w:color w:val="000000"/>
                <w:sz w:val="20"/>
                <w:szCs w:val="20"/>
                <w:lang w:val="en-US" w:eastAsia="ja-JP"/>
              </w:rPr>
              <w:t>Total: ≥64,5</w:t>
            </w:r>
            <w:proofErr w:type="gramStart"/>
            <w:r w:rsidRPr="006D70C9">
              <w:rPr>
                <w:color w:val="000000"/>
                <w:sz w:val="20"/>
                <w:szCs w:val="20"/>
                <w:lang w:val="en-US" w:eastAsia="ja-JP"/>
              </w:rPr>
              <w:t>%;</w:t>
            </w:r>
            <w:proofErr w:type="gramEnd"/>
          </w:p>
          <w:p w14:paraId="39813D91" w14:textId="77777777" w:rsidR="00742E0C" w:rsidRPr="006D70C9" w:rsidRDefault="009B723A" w:rsidP="006D70C9">
            <w:pPr>
              <w:contextualSpacing/>
              <w:jc w:val="center"/>
              <w:rPr>
                <w:color w:val="000000"/>
                <w:sz w:val="20"/>
                <w:szCs w:val="20"/>
                <w:lang w:val="en-US" w:eastAsia="ja-JP"/>
              </w:rPr>
            </w:pPr>
            <w:r w:rsidRPr="006D70C9">
              <w:rPr>
                <w:color w:val="000000"/>
                <w:sz w:val="20"/>
                <w:szCs w:val="20"/>
                <w:lang w:val="en-US" w:eastAsia="ja-JP"/>
              </w:rPr>
              <w:t>Male: ≥75,5</w:t>
            </w:r>
            <w:proofErr w:type="gramStart"/>
            <w:r w:rsidRPr="006D70C9">
              <w:rPr>
                <w:color w:val="000000"/>
                <w:sz w:val="20"/>
                <w:szCs w:val="20"/>
                <w:lang w:val="en-US" w:eastAsia="ja-JP"/>
              </w:rPr>
              <w:t>%;</w:t>
            </w:r>
            <w:proofErr w:type="gramEnd"/>
          </w:p>
          <w:p w14:paraId="2E23BF8A" w14:textId="77777777" w:rsidR="00742E0C" w:rsidRPr="006D70C9" w:rsidRDefault="009B723A" w:rsidP="006D70C9">
            <w:pPr>
              <w:contextualSpacing/>
              <w:jc w:val="center"/>
              <w:rPr>
                <w:color w:val="000000"/>
                <w:sz w:val="20"/>
                <w:szCs w:val="20"/>
                <w:lang w:val="en-US"/>
              </w:rPr>
            </w:pPr>
            <w:r w:rsidRPr="006D70C9">
              <w:rPr>
                <w:color w:val="000000"/>
                <w:sz w:val="20"/>
                <w:szCs w:val="20"/>
                <w:lang w:val="en-US" w:eastAsia="ja-JP"/>
              </w:rPr>
              <w:t>Female:</w:t>
            </w:r>
            <w:r w:rsidRPr="006D70C9">
              <w:rPr>
                <w:color w:val="000000"/>
                <w:sz w:val="20"/>
                <w:szCs w:val="20"/>
                <w:lang w:val="en-US"/>
              </w:rPr>
              <w:t xml:space="preserve"> </w:t>
            </w:r>
            <w:r w:rsidRPr="006D70C9">
              <w:rPr>
                <w:color w:val="000000"/>
                <w:sz w:val="20"/>
                <w:szCs w:val="20"/>
                <w:lang w:val="en-US" w:eastAsia="ja-JP"/>
              </w:rPr>
              <w:t>≥</w:t>
            </w:r>
            <w:r w:rsidRPr="006D70C9">
              <w:rPr>
                <w:color w:val="000000"/>
                <w:sz w:val="20"/>
                <w:szCs w:val="20"/>
                <w:lang w:val="en-US"/>
              </w:rPr>
              <w:t>52,5%</w:t>
            </w:r>
          </w:p>
          <w:p w14:paraId="2C77DF22" w14:textId="77777777" w:rsidR="00742E0C" w:rsidRPr="006D70C9" w:rsidRDefault="009B723A" w:rsidP="006D70C9">
            <w:pPr>
              <w:contextualSpacing/>
              <w:jc w:val="center"/>
              <w:rPr>
                <w:color w:val="000000"/>
                <w:sz w:val="20"/>
                <w:szCs w:val="20"/>
                <w:lang w:val="en-US"/>
              </w:rPr>
            </w:pPr>
            <w:r w:rsidRPr="006D70C9">
              <w:rPr>
                <w:color w:val="000000"/>
                <w:sz w:val="20"/>
                <w:szCs w:val="20"/>
                <w:lang w:val="en-US"/>
              </w:rPr>
              <w:t>(2032)</w:t>
            </w:r>
          </w:p>
        </w:tc>
        <w:tc>
          <w:tcPr>
            <w:tcW w:w="16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DB7F891" w14:textId="77777777" w:rsidR="00742E0C" w:rsidRPr="006D70C9" w:rsidRDefault="009B723A" w:rsidP="006D70C9">
            <w:pPr>
              <w:contextualSpacing/>
              <w:jc w:val="center"/>
              <w:rPr>
                <w:b/>
                <w:bCs/>
                <w:color w:val="000000"/>
                <w:sz w:val="20"/>
                <w:szCs w:val="20"/>
                <w:lang w:eastAsia="ja-JP"/>
              </w:rPr>
            </w:pPr>
            <w:r w:rsidRPr="006D70C9">
              <w:rPr>
                <w:bCs/>
                <w:color w:val="000000"/>
                <w:sz w:val="20"/>
                <w:szCs w:val="20"/>
                <w:lang w:eastAsia="ja-JP"/>
              </w:rPr>
              <w:t>LFS</w:t>
            </w:r>
          </w:p>
        </w:tc>
      </w:tr>
      <w:tr w:rsidR="00742E0C" w:rsidRPr="006D70C9" w14:paraId="3B0074E3" w14:textId="77777777">
        <w:trPr>
          <w:cantSplit/>
          <w:trHeight w:val="339"/>
          <w:jc w:val="center"/>
        </w:trPr>
        <w:tc>
          <w:tcPr>
            <w:tcW w:w="13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3238DA6D" w14:textId="77777777" w:rsidR="00742E0C" w:rsidRPr="006D70C9" w:rsidRDefault="009B723A" w:rsidP="006D70C9">
            <w:pPr>
              <w:ind w:left="113" w:right="113"/>
              <w:contextualSpacing/>
              <w:jc w:val="center"/>
              <w:rPr>
                <w:b/>
                <w:bCs/>
                <w:color w:val="000000"/>
                <w:sz w:val="20"/>
                <w:szCs w:val="20"/>
                <w:lang w:eastAsia="ja-JP"/>
              </w:rPr>
            </w:pPr>
            <w:r w:rsidRPr="006D70C9">
              <w:rPr>
                <w:b/>
                <w:bCs/>
                <w:color w:val="000000"/>
                <w:sz w:val="20"/>
                <w:szCs w:val="20"/>
                <w:lang w:eastAsia="ja-JP"/>
              </w:rPr>
              <w:t>Outcome</w:t>
            </w:r>
          </w:p>
        </w:tc>
        <w:tc>
          <w:tcPr>
            <w:tcW w:w="33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A2066AE" w14:textId="77777777" w:rsidR="00742E0C" w:rsidRPr="006D70C9" w:rsidRDefault="009B723A" w:rsidP="006D70C9">
            <w:pPr>
              <w:contextualSpacing/>
              <w:jc w:val="left"/>
              <w:rPr>
                <w:b/>
                <w:bCs/>
                <w:color w:val="000000"/>
                <w:sz w:val="20"/>
                <w:szCs w:val="20"/>
                <w:lang w:eastAsia="ja-JP"/>
              </w:rPr>
            </w:pPr>
            <w:r w:rsidRPr="006D70C9">
              <w:rPr>
                <w:color w:val="000000"/>
                <w:sz w:val="20"/>
                <w:szCs w:val="20"/>
                <w:lang w:eastAsia="ja-JP"/>
              </w:rPr>
              <w:t>Collective bargaining coverage rate</w:t>
            </w:r>
          </w:p>
        </w:tc>
        <w:tc>
          <w:tcPr>
            <w:tcW w:w="1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8100E4E" w14:textId="77777777" w:rsidR="00742E0C" w:rsidRPr="006D70C9" w:rsidRDefault="009B723A" w:rsidP="006D70C9">
            <w:pPr>
              <w:contextualSpacing/>
              <w:jc w:val="center"/>
              <w:rPr>
                <w:b/>
                <w:bCs/>
                <w:color w:val="000000"/>
                <w:sz w:val="20"/>
                <w:szCs w:val="20"/>
                <w:lang w:eastAsia="ja-JP"/>
              </w:rPr>
            </w:pPr>
            <w:r w:rsidRPr="006D70C9">
              <w:rPr>
                <w:color w:val="000000"/>
                <w:sz w:val="20"/>
                <w:szCs w:val="20"/>
                <w:lang w:eastAsia="ja-JP"/>
              </w:rPr>
              <w:t>49% (2022)</w:t>
            </w:r>
          </w:p>
        </w:tc>
        <w:tc>
          <w:tcPr>
            <w:tcW w:w="1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B01B228"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&gt;55%</w:t>
            </w:r>
          </w:p>
          <w:p w14:paraId="0B1C90FC"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(2028)</w:t>
            </w:r>
          </w:p>
        </w:tc>
        <w:tc>
          <w:tcPr>
            <w:tcW w:w="16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1F2CF1D" w14:textId="77777777" w:rsidR="00742E0C" w:rsidRPr="006D70C9" w:rsidRDefault="009B723A" w:rsidP="006D70C9">
            <w:pPr>
              <w:contextualSpacing/>
              <w:jc w:val="center"/>
              <w:rPr>
                <w:b/>
                <w:bCs/>
                <w:color w:val="000000"/>
                <w:sz w:val="20"/>
                <w:szCs w:val="20"/>
                <w:lang w:eastAsia="ja-JP"/>
              </w:rPr>
            </w:pPr>
            <w:r w:rsidRPr="006D70C9">
              <w:rPr>
                <w:color w:val="000000"/>
                <w:sz w:val="20"/>
                <w:szCs w:val="20"/>
                <w:lang w:eastAsia="ja-JP"/>
              </w:rPr>
              <w:t>MLSP/LFS</w:t>
            </w:r>
          </w:p>
        </w:tc>
      </w:tr>
      <w:tr w:rsidR="00742E0C" w:rsidRPr="006D70C9" w14:paraId="70515606" w14:textId="77777777">
        <w:trPr>
          <w:jc w:val="center"/>
        </w:trPr>
        <w:tc>
          <w:tcPr>
            <w:tcW w:w="1355" w:type="dxa"/>
            <w:vMerge w:val="restart"/>
            <w:tcBorders>
              <w:top w:val="single" w:sz="4" w:space="0" w:color="000000"/>
              <w:left w:val="single" w:sz="4" w:space="0" w:color="000000"/>
              <w:bottom w:val="nil"/>
              <w:right w:val="single" w:sz="4" w:space="0" w:color="000000"/>
              <w:tl2br w:val="nil"/>
              <w:tr2bl w:val="nil"/>
            </w:tcBorders>
            <w:tcMar>
              <w:top w:w="0" w:type="dxa"/>
              <w:left w:w="108" w:type="dxa"/>
              <w:bottom w:w="0" w:type="dxa"/>
              <w:right w:w="108" w:type="dxa"/>
            </w:tcMar>
            <w:vAlign w:val="center"/>
          </w:tcPr>
          <w:p w14:paraId="1B90EAC7" w14:textId="77777777" w:rsidR="00742E0C" w:rsidRPr="006D70C9" w:rsidRDefault="009B723A" w:rsidP="006D70C9">
            <w:pPr>
              <w:ind w:left="113" w:right="113"/>
              <w:contextualSpacing/>
              <w:jc w:val="center"/>
              <w:rPr>
                <w:b/>
                <w:bCs/>
                <w:color w:val="000000"/>
                <w:sz w:val="20"/>
                <w:szCs w:val="20"/>
                <w:lang w:eastAsia="ja-JP"/>
              </w:rPr>
            </w:pPr>
            <w:r w:rsidRPr="006D70C9">
              <w:rPr>
                <w:b/>
                <w:bCs/>
                <w:color w:val="000000"/>
                <w:sz w:val="20"/>
                <w:szCs w:val="20"/>
                <w:lang w:eastAsia="ja-JP"/>
              </w:rPr>
              <w:t>Outputs</w:t>
            </w:r>
          </w:p>
        </w:tc>
        <w:tc>
          <w:tcPr>
            <w:tcW w:w="33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18BA49E" w14:textId="77777777" w:rsidR="00742E0C" w:rsidRPr="006D70C9" w:rsidRDefault="009B723A" w:rsidP="006D70C9">
            <w:pPr>
              <w:contextualSpacing/>
              <w:jc w:val="left"/>
              <w:rPr>
                <w:color w:val="000000"/>
                <w:sz w:val="20"/>
                <w:szCs w:val="20"/>
                <w:lang w:eastAsia="ja-JP"/>
              </w:rPr>
            </w:pPr>
            <w:r w:rsidRPr="006D70C9">
              <w:rPr>
                <w:color w:val="000000"/>
                <w:sz w:val="20"/>
                <w:szCs w:val="20"/>
                <w:lang w:eastAsia="ja-JP"/>
              </w:rPr>
              <w:t>Number of meetings of the ESC per year</w:t>
            </w:r>
          </w:p>
        </w:tc>
        <w:tc>
          <w:tcPr>
            <w:tcW w:w="1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5371074"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0</w:t>
            </w:r>
          </w:p>
        </w:tc>
        <w:tc>
          <w:tcPr>
            <w:tcW w:w="1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C7ED775"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10</w:t>
            </w:r>
          </w:p>
          <w:p w14:paraId="191C6884"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(2028)</w:t>
            </w:r>
          </w:p>
        </w:tc>
        <w:tc>
          <w:tcPr>
            <w:tcW w:w="16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1E24E97"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MLSP/</w:t>
            </w:r>
          </w:p>
          <w:p w14:paraId="11EDF15E"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Project reports</w:t>
            </w:r>
          </w:p>
        </w:tc>
      </w:tr>
      <w:tr w:rsidR="00742E0C" w:rsidRPr="006D70C9" w14:paraId="59479E54" w14:textId="77777777">
        <w:trPr>
          <w:trHeight w:val="531"/>
          <w:jc w:val="center"/>
        </w:trPr>
        <w:tc>
          <w:tcPr>
            <w:tcW w:w="1355"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14:paraId="7B5E0AD4" w14:textId="77777777" w:rsidR="00742E0C" w:rsidRPr="006D70C9" w:rsidRDefault="00742E0C" w:rsidP="006D70C9">
            <w:pPr>
              <w:rPr>
                <w:sz w:val="20"/>
                <w:szCs w:val="20"/>
              </w:rPr>
            </w:pPr>
          </w:p>
        </w:tc>
        <w:tc>
          <w:tcPr>
            <w:tcW w:w="33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1D26186" w14:textId="77777777" w:rsidR="00742E0C" w:rsidRPr="006D70C9" w:rsidRDefault="009B723A" w:rsidP="006D70C9">
            <w:pPr>
              <w:contextualSpacing/>
              <w:jc w:val="left"/>
              <w:rPr>
                <w:b/>
                <w:bCs/>
                <w:color w:val="000000"/>
                <w:sz w:val="20"/>
                <w:szCs w:val="20"/>
                <w:lang w:eastAsia="ja-JP"/>
              </w:rPr>
            </w:pPr>
            <w:r w:rsidRPr="006D70C9">
              <w:rPr>
                <w:color w:val="000000"/>
                <w:sz w:val="20"/>
                <w:szCs w:val="20"/>
                <w:lang w:eastAsia="ja-JP"/>
              </w:rPr>
              <w:t>Number of new collective agreements signed</w:t>
            </w:r>
          </w:p>
        </w:tc>
        <w:tc>
          <w:tcPr>
            <w:tcW w:w="1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EF42AEB" w14:textId="77777777" w:rsidR="00742E0C" w:rsidRPr="006D70C9" w:rsidRDefault="009B723A" w:rsidP="006D70C9">
            <w:pPr>
              <w:contextualSpacing/>
              <w:jc w:val="center"/>
              <w:rPr>
                <w:b/>
                <w:bCs/>
                <w:color w:val="000000"/>
                <w:sz w:val="20"/>
                <w:szCs w:val="20"/>
                <w:lang w:eastAsia="ja-JP"/>
              </w:rPr>
            </w:pPr>
            <w:r w:rsidRPr="006D70C9">
              <w:rPr>
                <w:color w:val="000000"/>
                <w:sz w:val="20"/>
                <w:szCs w:val="20"/>
                <w:lang w:eastAsia="ja-JP"/>
              </w:rPr>
              <w:t>0</w:t>
            </w:r>
          </w:p>
        </w:tc>
        <w:tc>
          <w:tcPr>
            <w:tcW w:w="1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581F6006"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 xml:space="preserve">6 </w:t>
            </w:r>
          </w:p>
          <w:p w14:paraId="46B39A2D"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(2028)</w:t>
            </w:r>
          </w:p>
        </w:tc>
        <w:tc>
          <w:tcPr>
            <w:tcW w:w="16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732E7B93" w14:textId="77777777" w:rsidR="00742E0C" w:rsidRPr="006D70C9" w:rsidRDefault="009B723A" w:rsidP="006D70C9">
            <w:pPr>
              <w:contextualSpacing/>
              <w:jc w:val="center"/>
              <w:rPr>
                <w:b/>
                <w:bCs/>
                <w:color w:val="000000"/>
                <w:sz w:val="20"/>
                <w:szCs w:val="20"/>
                <w:lang w:eastAsia="ja-JP"/>
              </w:rPr>
            </w:pPr>
            <w:r w:rsidRPr="006D70C9">
              <w:rPr>
                <w:color w:val="000000"/>
                <w:sz w:val="20"/>
                <w:szCs w:val="20"/>
                <w:lang w:eastAsia="ja-JP"/>
              </w:rPr>
              <w:t>Project reports/ MLSP database</w:t>
            </w:r>
          </w:p>
        </w:tc>
      </w:tr>
      <w:tr w:rsidR="00742E0C" w:rsidRPr="006D70C9" w14:paraId="69E9E230" w14:textId="77777777">
        <w:trPr>
          <w:jc w:val="center"/>
        </w:trPr>
        <w:tc>
          <w:tcPr>
            <w:tcW w:w="1355" w:type="dxa"/>
            <w:vMerge/>
            <w:tcBorders>
              <w:top w:val="nil"/>
              <w:left w:val="single" w:sz="4" w:space="0" w:color="000000"/>
              <w:bottom w:val="nil"/>
              <w:right w:val="single" w:sz="4" w:space="0" w:color="000000"/>
              <w:tl2br w:val="nil"/>
              <w:tr2bl w:val="nil"/>
            </w:tcBorders>
            <w:tcMar>
              <w:top w:w="0" w:type="dxa"/>
              <w:left w:w="108" w:type="dxa"/>
              <w:bottom w:w="0" w:type="dxa"/>
              <w:right w:w="108" w:type="dxa"/>
            </w:tcMar>
            <w:vAlign w:val="center"/>
          </w:tcPr>
          <w:p w14:paraId="2B91D3F5" w14:textId="77777777" w:rsidR="00742E0C" w:rsidRPr="006D70C9" w:rsidRDefault="00742E0C" w:rsidP="006D70C9">
            <w:pPr>
              <w:rPr>
                <w:sz w:val="20"/>
                <w:szCs w:val="20"/>
              </w:rPr>
            </w:pPr>
          </w:p>
        </w:tc>
        <w:tc>
          <w:tcPr>
            <w:tcW w:w="33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47D36DF" w14:textId="77777777" w:rsidR="00742E0C" w:rsidRPr="006D70C9" w:rsidRDefault="009B723A" w:rsidP="006D70C9">
            <w:pPr>
              <w:contextualSpacing/>
              <w:jc w:val="left"/>
              <w:rPr>
                <w:rFonts w:eastAsia="Calibri"/>
                <w:color w:val="000000"/>
                <w:sz w:val="20"/>
                <w:szCs w:val="20"/>
                <w:lang w:eastAsia="ja-JP"/>
              </w:rPr>
            </w:pPr>
            <w:r w:rsidRPr="006D70C9">
              <w:rPr>
                <w:rFonts w:eastAsia="Calibri"/>
                <w:color w:val="000000"/>
                <w:sz w:val="20"/>
                <w:szCs w:val="20"/>
                <w:lang w:eastAsia="ja-JP"/>
              </w:rPr>
              <w:t>Number of labour disputes referred to system for amicable settlement of labour dispute</w:t>
            </w:r>
          </w:p>
        </w:tc>
        <w:tc>
          <w:tcPr>
            <w:tcW w:w="1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2AECCD3" w14:textId="77777777" w:rsidR="00742E0C" w:rsidRPr="006D70C9" w:rsidRDefault="009B723A" w:rsidP="006D70C9">
            <w:pPr>
              <w:contextualSpacing/>
              <w:jc w:val="center"/>
              <w:rPr>
                <w:b/>
                <w:bCs/>
                <w:color w:val="000000"/>
                <w:sz w:val="20"/>
                <w:szCs w:val="20"/>
                <w:lang w:eastAsia="ja-JP"/>
              </w:rPr>
            </w:pPr>
            <w:r w:rsidRPr="006D70C9">
              <w:rPr>
                <w:color w:val="000000"/>
                <w:sz w:val="20"/>
                <w:szCs w:val="20"/>
                <w:lang w:eastAsia="ja-JP"/>
              </w:rPr>
              <w:t>0</w:t>
            </w:r>
          </w:p>
        </w:tc>
        <w:tc>
          <w:tcPr>
            <w:tcW w:w="1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26F47CE4"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30</w:t>
            </w:r>
          </w:p>
          <w:p w14:paraId="0C680030"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(2028)</w:t>
            </w:r>
          </w:p>
        </w:tc>
        <w:tc>
          <w:tcPr>
            <w:tcW w:w="16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0CDBDE40" w14:textId="77777777" w:rsidR="00742E0C" w:rsidRPr="006D70C9" w:rsidRDefault="009B723A" w:rsidP="006D70C9">
            <w:pPr>
              <w:contextualSpacing/>
              <w:jc w:val="center"/>
              <w:rPr>
                <w:b/>
                <w:bCs/>
                <w:color w:val="000000"/>
                <w:sz w:val="20"/>
                <w:szCs w:val="20"/>
                <w:lang w:eastAsia="ja-JP"/>
              </w:rPr>
            </w:pPr>
            <w:r w:rsidRPr="006D70C9">
              <w:rPr>
                <w:color w:val="000000"/>
                <w:sz w:val="20"/>
                <w:szCs w:val="20"/>
                <w:lang w:eastAsia="ja-JP"/>
              </w:rPr>
              <w:t>Project reports</w:t>
            </w:r>
          </w:p>
        </w:tc>
      </w:tr>
      <w:tr w:rsidR="00742E0C" w:rsidRPr="006D70C9" w14:paraId="00894796" w14:textId="77777777">
        <w:trPr>
          <w:jc w:val="center"/>
        </w:trPr>
        <w:tc>
          <w:tcPr>
            <w:tcW w:w="1355" w:type="dxa"/>
            <w:vMerge/>
            <w:tcBorders>
              <w:top w:val="nil"/>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C973A55" w14:textId="77777777" w:rsidR="00742E0C" w:rsidRPr="006D70C9" w:rsidRDefault="00742E0C" w:rsidP="006D70C9">
            <w:pPr>
              <w:rPr>
                <w:sz w:val="20"/>
                <w:szCs w:val="20"/>
              </w:rPr>
            </w:pPr>
          </w:p>
        </w:tc>
        <w:tc>
          <w:tcPr>
            <w:tcW w:w="335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60A5A21F" w14:textId="77777777" w:rsidR="00742E0C" w:rsidRPr="006D70C9" w:rsidRDefault="009B723A" w:rsidP="006D70C9">
            <w:pPr>
              <w:contextualSpacing/>
              <w:jc w:val="left"/>
              <w:rPr>
                <w:rFonts w:eastAsia="Calibri"/>
                <w:color w:val="000000"/>
                <w:sz w:val="20"/>
                <w:szCs w:val="20"/>
                <w:lang w:eastAsia="ja-JP"/>
              </w:rPr>
            </w:pPr>
            <w:r w:rsidRPr="006D70C9">
              <w:rPr>
                <w:color w:val="000000"/>
                <w:sz w:val="20"/>
                <w:szCs w:val="20"/>
                <w:lang w:eastAsia="ja-JP"/>
              </w:rPr>
              <w:t>Number of supported Local Employment Partnerships</w:t>
            </w:r>
          </w:p>
        </w:tc>
        <w:tc>
          <w:tcPr>
            <w:tcW w:w="1559"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4D4977E5"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0</w:t>
            </w:r>
          </w:p>
        </w:tc>
        <w:tc>
          <w:tcPr>
            <w:tcW w:w="1788"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68976F8"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 xml:space="preserve">6 </w:t>
            </w:r>
          </w:p>
          <w:p w14:paraId="32A5B55A"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(2028)</w:t>
            </w:r>
          </w:p>
        </w:tc>
        <w:tc>
          <w:tcPr>
            <w:tcW w:w="1645"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A2B0C73" w14:textId="77777777" w:rsidR="00742E0C" w:rsidRPr="006D70C9" w:rsidRDefault="009B723A" w:rsidP="006D70C9">
            <w:pPr>
              <w:contextualSpacing/>
              <w:jc w:val="center"/>
              <w:rPr>
                <w:color w:val="000000"/>
                <w:sz w:val="20"/>
                <w:szCs w:val="20"/>
                <w:lang w:eastAsia="ja-JP"/>
              </w:rPr>
            </w:pPr>
            <w:r w:rsidRPr="006D70C9">
              <w:rPr>
                <w:color w:val="000000"/>
                <w:sz w:val="20"/>
                <w:szCs w:val="20"/>
                <w:lang w:eastAsia="ja-JP"/>
              </w:rPr>
              <w:t>Project reports</w:t>
            </w:r>
          </w:p>
        </w:tc>
      </w:tr>
    </w:tbl>
    <w:p w14:paraId="2D8BF4A0" w14:textId="77777777" w:rsidR="00742E0C" w:rsidRPr="006D70C9" w:rsidRDefault="00742E0C" w:rsidP="006D70C9">
      <w:pPr>
        <w:tabs>
          <w:tab w:val="left" w:pos="1701"/>
        </w:tabs>
        <w:contextualSpacing/>
        <w:outlineLvl w:val="0"/>
        <w:rPr>
          <w:i/>
          <w:iCs/>
          <w:sz w:val="22"/>
          <w:szCs w:val="22"/>
        </w:rPr>
      </w:pPr>
    </w:p>
    <w:p w14:paraId="6D345B44" w14:textId="77777777" w:rsidR="00742E0C" w:rsidRPr="006D70C9" w:rsidRDefault="009B723A" w:rsidP="006D70C9">
      <w:pPr>
        <w:tabs>
          <w:tab w:val="left" w:pos="1701"/>
        </w:tabs>
        <w:contextualSpacing/>
        <w:outlineLvl w:val="0"/>
        <w:rPr>
          <w:b/>
          <w:bCs/>
          <w:color w:val="000000"/>
          <w:sz w:val="22"/>
          <w:szCs w:val="22"/>
        </w:rPr>
      </w:pPr>
      <w:r w:rsidRPr="006D70C9">
        <w:rPr>
          <w:b/>
          <w:bCs/>
          <w:color w:val="000000"/>
          <w:sz w:val="22"/>
          <w:szCs w:val="22"/>
        </w:rPr>
        <w:t xml:space="preserve">5.7 Indicative location(s): </w:t>
      </w:r>
    </w:p>
    <w:p w14:paraId="0C9E2D70" w14:textId="77777777" w:rsidR="00742E0C" w:rsidRPr="006D70C9" w:rsidRDefault="009B723A" w:rsidP="006D70C9">
      <w:pPr>
        <w:rPr>
          <w:sz w:val="22"/>
          <w:szCs w:val="22"/>
        </w:rPr>
      </w:pPr>
      <w:r w:rsidRPr="006D70C9">
        <w:rPr>
          <w:sz w:val="22"/>
          <w:szCs w:val="22"/>
        </w:rPr>
        <w:t xml:space="preserve">Republic of North Macedonia, City of </w:t>
      </w:r>
      <w:proofErr w:type="gramStart"/>
      <w:r w:rsidRPr="006D70C9">
        <w:rPr>
          <w:sz w:val="22"/>
          <w:szCs w:val="22"/>
        </w:rPr>
        <w:t>Skopje</w:t>
      </w:r>
      <w:proofErr w:type="gramEnd"/>
      <w:r w:rsidRPr="006D70C9">
        <w:rPr>
          <w:sz w:val="22"/>
          <w:szCs w:val="22"/>
        </w:rPr>
        <w:t xml:space="preserve"> and municipalities with established local ESCs.</w:t>
      </w:r>
    </w:p>
    <w:p w14:paraId="1A925BCA" w14:textId="77777777" w:rsidR="00742E0C" w:rsidRPr="006D70C9" w:rsidRDefault="009B723A" w:rsidP="006D70C9">
      <w:pPr>
        <w:tabs>
          <w:tab w:val="left" w:pos="1701"/>
        </w:tabs>
        <w:outlineLvl w:val="0"/>
        <w:rPr>
          <w:b/>
          <w:bCs/>
          <w:sz w:val="22"/>
          <w:szCs w:val="22"/>
        </w:rPr>
      </w:pPr>
      <w:r w:rsidRPr="006D70C9">
        <w:rPr>
          <w:b/>
          <w:bCs/>
          <w:sz w:val="22"/>
          <w:szCs w:val="22"/>
        </w:rPr>
        <w:t xml:space="preserve">5.8 Duration: </w:t>
      </w:r>
    </w:p>
    <w:p w14:paraId="7BD81FFB" w14:textId="77777777" w:rsidR="00742E0C" w:rsidRPr="006D70C9" w:rsidRDefault="009B723A" w:rsidP="006D70C9">
      <w:pPr>
        <w:suppressAutoHyphens/>
        <w:rPr>
          <w:i/>
          <w:iCs/>
          <w:sz w:val="22"/>
          <w:szCs w:val="22"/>
          <w:u w:val="single"/>
        </w:rPr>
      </w:pPr>
      <w:r w:rsidRPr="006D70C9">
        <w:rPr>
          <w:i/>
          <w:iCs/>
          <w:sz w:val="22"/>
          <w:szCs w:val="22"/>
          <w:u w:val="single"/>
        </w:rPr>
        <w:t>Activity 1 - Enhancing the Social Dialogue at National and Local Level</w:t>
      </w:r>
      <w:r w:rsidRPr="006D70C9">
        <w:rPr>
          <w:sz w:val="22"/>
          <w:szCs w:val="22"/>
        </w:rPr>
        <w:t xml:space="preserve"> - 36 months (3 years)</w:t>
      </w:r>
    </w:p>
    <w:p w14:paraId="2D4FEAF4" w14:textId="4BD2E11C" w:rsidR="00742E0C" w:rsidRPr="006D70C9" w:rsidRDefault="009B723A" w:rsidP="006D70C9">
      <w:pPr>
        <w:suppressAutoHyphens/>
        <w:rPr>
          <w:i/>
          <w:iCs/>
          <w:sz w:val="22"/>
          <w:szCs w:val="22"/>
          <w:u w:val="single"/>
          <w:lang w:eastAsia="ja-JP"/>
        </w:rPr>
      </w:pPr>
      <w:r w:rsidRPr="006D70C9">
        <w:rPr>
          <w:i/>
          <w:iCs/>
          <w:sz w:val="22"/>
          <w:szCs w:val="22"/>
          <w:u w:val="single"/>
          <w:lang w:eastAsia="ja-JP"/>
        </w:rPr>
        <w:t>Activity 2 - Supporting Local Economic and Social Councils in Developing and Implementing Local Employment Partnerships</w:t>
      </w:r>
    </w:p>
    <w:p w14:paraId="6DF55566" w14:textId="77777777" w:rsidR="00742E0C" w:rsidRPr="006D70C9" w:rsidRDefault="009B723A" w:rsidP="006D70C9">
      <w:pPr>
        <w:tabs>
          <w:tab w:val="left" w:pos="0"/>
        </w:tabs>
        <w:contextualSpacing/>
        <w:outlineLvl w:val="0"/>
        <w:rPr>
          <w:sz w:val="22"/>
          <w:szCs w:val="22"/>
        </w:rPr>
      </w:pPr>
      <w:r w:rsidRPr="006D70C9">
        <w:rPr>
          <w:sz w:val="22"/>
          <w:szCs w:val="22"/>
        </w:rPr>
        <w:t>- 24 months (2 year)</w:t>
      </w:r>
    </w:p>
    <w:p w14:paraId="06AB2247" w14:textId="77777777" w:rsidR="00742E0C" w:rsidRPr="006D70C9" w:rsidRDefault="009B723A" w:rsidP="006D70C9">
      <w:pPr>
        <w:tabs>
          <w:tab w:val="left" w:pos="1701"/>
        </w:tabs>
        <w:outlineLvl w:val="0"/>
        <w:rPr>
          <w:b/>
          <w:bCs/>
          <w:sz w:val="22"/>
          <w:szCs w:val="22"/>
        </w:rPr>
      </w:pPr>
      <w:r w:rsidRPr="006D70C9">
        <w:rPr>
          <w:b/>
          <w:bCs/>
          <w:sz w:val="22"/>
          <w:szCs w:val="22"/>
        </w:rPr>
        <w:t xml:space="preserve">5.9 End recipients and target group(s): </w:t>
      </w:r>
    </w:p>
    <w:p w14:paraId="6E4EB35D" w14:textId="77777777" w:rsidR="00742E0C" w:rsidRPr="006D70C9" w:rsidRDefault="009B723A" w:rsidP="006D70C9">
      <w:pPr>
        <w:rPr>
          <w:rFonts w:eastAsia="Calibri"/>
          <w:sz w:val="22"/>
          <w:szCs w:val="22"/>
          <w:lang w:eastAsia="ja-JP"/>
        </w:rPr>
      </w:pPr>
      <w:r w:rsidRPr="006D70C9">
        <w:rPr>
          <w:rFonts w:eastAsia="Calibri"/>
          <w:i/>
          <w:iCs/>
          <w:sz w:val="22"/>
          <w:szCs w:val="22"/>
          <w:lang w:eastAsia="ja-JP"/>
        </w:rPr>
        <w:t>End recipients</w:t>
      </w:r>
      <w:r w:rsidRPr="006D70C9">
        <w:rPr>
          <w:rFonts w:eastAsia="Calibri"/>
          <w:sz w:val="22"/>
          <w:szCs w:val="22"/>
          <w:lang w:eastAsia="ja-JP"/>
        </w:rPr>
        <w:t>:</w:t>
      </w:r>
    </w:p>
    <w:p w14:paraId="5C43F21E" w14:textId="77777777" w:rsidR="00742E0C" w:rsidRPr="006D70C9" w:rsidRDefault="009B723A" w:rsidP="006D70C9">
      <w:pPr>
        <w:pStyle w:val="ListParagraph"/>
        <w:numPr>
          <w:ilvl w:val="0"/>
          <w:numId w:val="10"/>
        </w:numPr>
        <w:ind w:left="720" w:hanging="360"/>
        <w:rPr>
          <w:rFonts w:eastAsia="Calibri"/>
          <w:sz w:val="22"/>
          <w:szCs w:val="22"/>
          <w:lang w:eastAsia="ja-JP"/>
        </w:rPr>
      </w:pPr>
      <w:r w:rsidRPr="006D70C9">
        <w:rPr>
          <w:rFonts w:eastAsia="Calibri"/>
          <w:sz w:val="22"/>
          <w:szCs w:val="22"/>
          <w:lang w:eastAsia="ja-JP"/>
        </w:rPr>
        <w:t>Ministry of Labour and Social Policy (MLSP),</w:t>
      </w:r>
    </w:p>
    <w:p w14:paraId="35AC4224" w14:textId="77777777" w:rsidR="00742E0C" w:rsidRPr="006D70C9" w:rsidRDefault="009B723A" w:rsidP="006D70C9">
      <w:pPr>
        <w:pStyle w:val="ListParagraph"/>
        <w:numPr>
          <w:ilvl w:val="0"/>
          <w:numId w:val="10"/>
        </w:numPr>
        <w:ind w:left="720" w:hanging="360"/>
        <w:rPr>
          <w:rFonts w:eastAsia="Calibri"/>
          <w:sz w:val="22"/>
          <w:szCs w:val="22"/>
          <w:lang w:eastAsia="ja-JP"/>
        </w:rPr>
      </w:pPr>
      <w:r w:rsidRPr="006D70C9">
        <w:rPr>
          <w:rFonts w:eastAsia="Calibri"/>
          <w:sz w:val="22"/>
          <w:szCs w:val="22"/>
          <w:lang w:eastAsia="ja-JP"/>
        </w:rPr>
        <w:t>Ministry of Economy (ME),</w:t>
      </w:r>
    </w:p>
    <w:p w14:paraId="2C721F5E" w14:textId="77777777" w:rsidR="00742E0C" w:rsidRPr="006D70C9" w:rsidRDefault="009B723A" w:rsidP="006D70C9">
      <w:pPr>
        <w:pStyle w:val="ListParagraph"/>
        <w:numPr>
          <w:ilvl w:val="0"/>
          <w:numId w:val="10"/>
        </w:numPr>
        <w:ind w:left="720" w:hanging="360"/>
        <w:rPr>
          <w:rFonts w:eastAsia="Calibri"/>
          <w:sz w:val="22"/>
          <w:szCs w:val="22"/>
          <w:lang w:eastAsia="ja-JP"/>
        </w:rPr>
      </w:pPr>
      <w:r w:rsidRPr="006D70C9">
        <w:rPr>
          <w:rFonts w:eastAsia="Calibri"/>
          <w:sz w:val="22"/>
          <w:szCs w:val="22"/>
          <w:lang w:eastAsia="ja-JP"/>
        </w:rPr>
        <w:t>Ministry of Finance (MF),</w:t>
      </w:r>
    </w:p>
    <w:p w14:paraId="312A2D25" w14:textId="77777777" w:rsidR="00742E0C" w:rsidRPr="006D70C9" w:rsidRDefault="009B723A" w:rsidP="006D70C9">
      <w:pPr>
        <w:pStyle w:val="ListParagraph"/>
        <w:numPr>
          <w:ilvl w:val="0"/>
          <w:numId w:val="10"/>
        </w:numPr>
        <w:ind w:left="720" w:hanging="360"/>
        <w:rPr>
          <w:rFonts w:eastAsia="Calibri"/>
          <w:sz w:val="22"/>
          <w:szCs w:val="22"/>
          <w:lang w:eastAsia="ja-JP"/>
        </w:rPr>
      </w:pPr>
      <w:r w:rsidRPr="006D70C9">
        <w:rPr>
          <w:rFonts w:eastAsia="Calibri"/>
          <w:sz w:val="22"/>
          <w:szCs w:val="22"/>
          <w:lang w:eastAsia="ja-JP"/>
        </w:rPr>
        <w:t xml:space="preserve">Social partners (employers’ organisations and trade unions), </w:t>
      </w:r>
    </w:p>
    <w:p w14:paraId="3A12AFAC" w14:textId="77777777" w:rsidR="00742E0C" w:rsidRPr="006D70C9" w:rsidRDefault="009B723A" w:rsidP="006D70C9">
      <w:pPr>
        <w:pStyle w:val="ListParagraph"/>
        <w:numPr>
          <w:ilvl w:val="0"/>
          <w:numId w:val="10"/>
        </w:numPr>
        <w:rPr>
          <w:rFonts w:eastAsia="Calibri"/>
          <w:sz w:val="22"/>
          <w:szCs w:val="22"/>
          <w:lang w:eastAsia="ja-JP"/>
        </w:rPr>
      </w:pPr>
      <w:r w:rsidRPr="006D70C9">
        <w:rPr>
          <w:rFonts w:eastAsia="Calibri"/>
          <w:sz w:val="22"/>
          <w:szCs w:val="22"/>
          <w:lang w:eastAsia="ja-JP"/>
        </w:rPr>
        <w:t>Economic and Social Council,</w:t>
      </w:r>
    </w:p>
    <w:p w14:paraId="79EA1B0B" w14:textId="77777777" w:rsidR="00742E0C" w:rsidRPr="006D70C9" w:rsidRDefault="009B723A" w:rsidP="006D70C9">
      <w:pPr>
        <w:pStyle w:val="ListParagraph"/>
        <w:numPr>
          <w:ilvl w:val="0"/>
          <w:numId w:val="10"/>
        </w:numPr>
        <w:rPr>
          <w:rFonts w:eastAsia="Calibri"/>
          <w:sz w:val="22"/>
          <w:szCs w:val="22"/>
          <w:lang w:eastAsia="ja-JP"/>
        </w:rPr>
      </w:pPr>
      <w:r w:rsidRPr="006D70C9">
        <w:rPr>
          <w:rFonts w:eastAsia="Calibri"/>
          <w:sz w:val="22"/>
          <w:szCs w:val="22"/>
          <w:lang w:eastAsia="ja-JP"/>
        </w:rPr>
        <w:t>Local Economic and Social Councils,</w:t>
      </w:r>
    </w:p>
    <w:p w14:paraId="251C72BA" w14:textId="77777777" w:rsidR="00742E0C" w:rsidRPr="006D70C9" w:rsidRDefault="009B723A" w:rsidP="006D70C9">
      <w:pPr>
        <w:pStyle w:val="ListParagraph"/>
        <w:numPr>
          <w:ilvl w:val="0"/>
          <w:numId w:val="10"/>
        </w:numPr>
        <w:ind w:left="720" w:hanging="360"/>
        <w:rPr>
          <w:rFonts w:eastAsia="Calibri"/>
          <w:sz w:val="22"/>
          <w:szCs w:val="22"/>
          <w:lang w:eastAsia="ja-JP"/>
        </w:rPr>
      </w:pPr>
      <w:r w:rsidRPr="006D70C9">
        <w:rPr>
          <w:rFonts w:eastAsia="Calibri"/>
          <w:sz w:val="22"/>
          <w:szCs w:val="22"/>
          <w:lang w:eastAsia="ja-JP"/>
        </w:rPr>
        <w:t>Employment Service Agency (ESA),</w:t>
      </w:r>
    </w:p>
    <w:p w14:paraId="4F6A1B9E" w14:textId="77777777" w:rsidR="00742E0C" w:rsidRPr="006D70C9" w:rsidRDefault="009B723A" w:rsidP="006D70C9">
      <w:pPr>
        <w:pStyle w:val="ListParagraph"/>
        <w:numPr>
          <w:ilvl w:val="0"/>
          <w:numId w:val="10"/>
        </w:numPr>
        <w:ind w:left="720" w:hanging="360"/>
        <w:rPr>
          <w:rFonts w:eastAsia="Calibri"/>
          <w:sz w:val="22"/>
          <w:szCs w:val="22"/>
          <w:lang w:eastAsia="ja-JP"/>
        </w:rPr>
      </w:pPr>
      <w:r w:rsidRPr="006D70C9">
        <w:rPr>
          <w:rFonts w:eastAsia="Calibri"/>
          <w:sz w:val="22"/>
          <w:szCs w:val="22"/>
          <w:lang w:eastAsia="ja-JP"/>
        </w:rPr>
        <w:t>Local self-government units (LSGUs),</w:t>
      </w:r>
    </w:p>
    <w:p w14:paraId="34B25244" w14:textId="77777777" w:rsidR="00742E0C" w:rsidRPr="006D70C9" w:rsidRDefault="009B723A" w:rsidP="006D70C9">
      <w:pPr>
        <w:rPr>
          <w:rFonts w:eastAsia="Calibri"/>
          <w:sz w:val="22"/>
          <w:szCs w:val="22"/>
          <w:lang w:eastAsia="ja-JP"/>
        </w:rPr>
      </w:pPr>
      <w:r w:rsidRPr="006D70C9">
        <w:rPr>
          <w:rFonts w:eastAsia="Calibri"/>
          <w:i/>
          <w:iCs/>
          <w:sz w:val="22"/>
          <w:szCs w:val="22"/>
          <w:lang w:eastAsia="ja-JP"/>
        </w:rPr>
        <w:t>Target groups</w:t>
      </w:r>
      <w:r w:rsidRPr="006D70C9">
        <w:rPr>
          <w:rFonts w:eastAsia="Calibri"/>
          <w:sz w:val="22"/>
          <w:szCs w:val="22"/>
          <w:lang w:eastAsia="ja-JP"/>
        </w:rPr>
        <w:t>:</w:t>
      </w:r>
    </w:p>
    <w:p w14:paraId="380ADAB0" w14:textId="77777777" w:rsidR="00742E0C" w:rsidRPr="006D70C9" w:rsidRDefault="009B723A" w:rsidP="006D70C9">
      <w:pPr>
        <w:pStyle w:val="ListParagraph"/>
        <w:numPr>
          <w:ilvl w:val="0"/>
          <w:numId w:val="1"/>
        </w:numPr>
        <w:ind w:left="720" w:hanging="360"/>
        <w:rPr>
          <w:rFonts w:eastAsia="Calibri"/>
          <w:sz w:val="22"/>
          <w:szCs w:val="22"/>
          <w:lang w:eastAsia="ja-JP"/>
        </w:rPr>
      </w:pPr>
      <w:r w:rsidRPr="006D70C9">
        <w:rPr>
          <w:rFonts w:eastAsia="Calibri"/>
          <w:sz w:val="22"/>
          <w:szCs w:val="22"/>
          <w:lang w:eastAsia="ja-JP"/>
        </w:rPr>
        <w:t xml:space="preserve">MLSP, its Department for Policies </w:t>
      </w:r>
      <w:proofErr w:type="gramStart"/>
      <w:r w:rsidRPr="006D70C9">
        <w:rPr>
          <w:rFonts w:eastAsia="Calibri"/>
          <w:sz w:val="22"/>
          <w:szCs w:val="22"/>
          <w:lang w:eastAsia="ja-JP"/>
        </w:rPr>
        <w:t>in the area of</w:t>
      </w:r>
      <w:proofErr w:type="gramEnd"/>
      <w:r w:rsidRPr="006D70C9">
        <w:rPr>
          <w:rFonts w:eastAsia="Calibri"/>
          <w:sz w:val="22"/>
          <w:szCs w:val="22"/>
          <w:lang w:eastAsia="ja-JP"/>
        </w:rPr>
        <w:t xml:space="preserve"> Labour Legislation and Employment Policies,</w:t>
      </w:r>
    </w:p>
    <w:p w14:paraId="13745F91" w14:textId="77777777" w:rsidR="00742E0C" w:rsidRPr="006D70C9" w:rsidRDefault="009B723A" w:rsidP="006D70C9">
      <w:pPr>
        <w:pStyle w:val="ListParagraph"/>
        <w:numPr>
          <w:ilvl w:val="0"/>
          <w:numId w:val="1"/>
        </w:numPr>
        <w:ind w:left="720" w:hanging="360"/>
        <w:rPr>
          <w:rFonts w:eastAsia="Calibri"/>
          <w:sz w:val="22"/>
          <w:szCs w:val="22"/>
          <w:lang w:eastAsia="ja-JP"/>
        </w:rPr>
      </w:pPr>
      <w:r w:rsidRPr="006D70C9">
        <w:rPr>
          <w:rFonts w:eastAsia="Calibri"/>
          <w:sz w:val="22"/>
          <w:szCs w:val="22"/>
          <w:lang w:eastAsia="ja-JP"/>
        </w:rPr>
        <w:t>Economic and Social Council,</w:t>
      </w:r>
    </w:p>
    <w:p w14:paraId="7282F80B" w14:textId="77777777" w:rsidR="00742E0C" w:rsidRPr="006D70C9" w:rsidRDefault="009B723A" w:rsidP="006D70C9">
      <w:pPr>
        <w:pStyle w:val="ListParagraph"/>
        <w:numPr>
          <w:ilvl w:val="0"/>
          <w:numId w:val="1"/>
        </w:numPr>
        <w:ind w:left="720" w:hanging="360"/>
        <w:rPr>
          <w:rFonts w:eastAsia="Calibri"/>
          <w:sz w:val="22"/>
          <w:szCs w:val="22"/>
          <w:lang w:eastAsia="ja-JP"/>
        </w:rPr>
      </w:pPr>
      <w:r w:rsidRPr="006D70C9">
        <w:rPr>
          <w:rFonts w:eastAsia="Calibri"/>
          <w:sz w:val="22"/>
          <w:szCs w:val="22"/>
          <w:lang w:eastAsia="ja-JP"/>
        </w:rPr>
        <w:t>Local Economic and Social Councils,</w:t>
      </w:r>
    </w:p>
    <w:p w14:paraId="2572AAF2" w14:textId="77777777" w:rsidR="00742E0C" w:rsidRPr="006D70C9" w:rsidRDefault="009B723A" w:rsidP="006D70C9">
      <w:pPr>
        <w:pStyle w:val="ListParagraph"/>
        <w:numPr>
          <w:ilvl w:val="0"/>
          <w:numId w:val="1"/>
        </w:numPr>
        <w:ind w:left="720" w:hanging="360"/>
        <w:rPr>
          <w:rFonts w:eastAsia="Calibri"/>
          <w:sz w:val="22"/>
          <w:szCs w:val="22"/>
          <w:lang w:eastAsia="ja-JP"/>
        </w:rPr>
      </w:pPr>
      <w:r w:rsidRPr="006D70C9">
        <w:rPr>
          <w:rFonts w:eastAsia="Calibri"/>
          <w:sz w:val="22"/>
          <w:szCs w:val="22"/>
          <w:lang w:eastAsia="ja-JP"/>
        </w:rPr>
        <w:t>Social partners (employers’ organisations and trade unions).</w:t>
      </w:r>
    </w:p>
    <w:p w14:paraId="3B14BD96" w14:textId="77777777" w:rsidR="00742E0C" w:rsidRPr="006D70C9" w:rsidRDefault="00742E0C" w:rsidP="006D70C9">
      <w:pPr>
        <w:pStyle w:val="ListParagraph"/>
        <w:ind w:left="360" w:hanging="360"/>
        <w:rPr>
          <w:rFonts w:eastAsia="Calibri"/>
          <w:sz w:val="22"/>
          <w:szCs w:val="22"/>
          <w:lang w:eastAsia="ja-JP"/>
        </w:rPr>
      </w:pPr>
    </w:p>
    <w:p w14:paraId="25B9FBC2" w14:textId="77777777" w:rsidR="00742E0C" w:rsidRPr="006D70C9" w:rsidRDefault="009B723A" w:rsidP="006D70C9">
      <w:pPr>
        <w:pStyle w:val="NumPar1"/>
        <w:tabs>
          <w:tab w:val="left" w:pos="480"/>
        </w:tabs>
        <w:spacing w:after="0"/>
        <w:ind w:left="0"/>
        <w:outlineLvl w:val="0"/>
        <w:rPr>
          <w:b/>
          <w:bCs/>
          <w:sz w:val="22"/>
          <w:szCs w:val="22"/>
        </w:rPr>
      </w:pPr>
      <w:r w:rsidRPr="006D70C9">
        <w:rPr>
          <w:b/>
          <w:bCs/>
          <w:sz w:val="22"/>
          <w:szCs w:val="22"/>
        </w:rPr>
        <w:t>Implementation arrangements</w:t>
      </w:r>
    </w:p>
    <w:p w14:paraId="6AFC1A44" w14:textId="77777777" w:rsidR="00742E0C" w:rsidRPr="006D70C9" w:rsidRDefault="009B723A" w:rsidP="006D70C9">
      <w:pPr>
        <w:tabs>
          <w:tab w:val="left" w:pos="1701"/>
        </w:tabs>
        <w:spacing w:after="120"/>
        <w:outlineLvl w:val="0"/>
        <w:rPr>
          <w:b/>
          <w:bCs/>
          <w:sz w:val="22"/>
          <w:szCs w:val="22"/>
        </w:rPr>
      </w:pPr>
      <w:r w:rsidRPr="006D70C9">
        <w:rPr>
          <w:b/>
          <w:bCs/>
          <w:sz w:val="22"/>
          <w:szCs w:val="22"/>
        </w:rPr>
        <w:t xml:space="preserve">6.1 Institutional framework: </w:t>
      </w:r>
    </w:p>
    <w:p w14:paraId="648885E8" w14:textId="77777777" w:rsidR="00742E0C" w:rsidRPr="006D70C9" w:rsidRDefault="009B723A" w:rsidP="006D70C9">
      <w:pPr>
        <w:contextualSpacing/>
        <w:outlineLvl w:val="0"/>
        <w:rPr>
          <w:sz w:val="22"/>
          <w:szCs w:val="22"/>
        </w:rPr>
      </w:pPr>
      <w:r w:rsidRPr="006D70C9">
        <w:rPr>
          <w:sz w:val="22"/>
          <w:szCs w:val="22"/>
        </w:rPr>
        <w:t xml:space="preserve">The MF/CFCD shall act as a Contracting Authority (CA) and shall be responsible for launching the award procedure, organising negotiations/evaluation, preparing/ signing the contract, payments, accounting, and shall have overall responsibility and supervision of contract’s implementation. </w:t>
      </w:r>
    </w:p>
    <w:p w14:paraId="64860200" w14:textId="77777777" w:rsidR="00742E0C" w:rsidRPr="006D70C9" w:rsidRDefault="009B723A" w:rsidP="006D70C9">
      <w:pPr>
        <w:contextualSpacing/>
        <w:outlineLvl w:val="0"/>
        <w:rPr>
          <w:sz w:val="22"/>
          <w:szCs w:val="22"/>
        </w:rPr>
      </w:pPr>
      <w:bookmarkStart w:id="3" w:name="_Hlk140495014"/>
      <w:bookmarkEnd w:id="3"/>
      <w:r w:rsidRPr="006D70C9">
        <w:rPr>
          <w:sz w:val="22"/>
          <w:szCs w:val="22"/>
        </w:rPr>
        <w:lastRenderedPageBreak/>
        <w:t xml:space="preserve">The EUD in Skopje shall execute ex-post control over the whole procedure and shall be kept fully informed on the progress by means of regular briefings </w:t>
      </w:r>
      <w:proofErr w:type="gramStart"/>
      <w:r w:rsidRPr="006D70C9">
        <w:rPr>
          <w:sz w:val="22"/>
          <w:szCs w:val="22"/>
        </w:rPr>
        <w:t>during the course of</w:t>
      </w:r>
      <w:proofErr w:type="gramEnd"/>
      <w:r w:rsidRPr="006D70C9">
        <w:rPr>
          <w:sz w:val="22"/>
          <w:szCs w:val="22"/>
        </w:rPr>
        <w:t xml:space="preserve"> intervention.</w:t>
      </w:r>
    </w:p>
    <w:p w14:paraId="0407A959" w14:textId="77777777" w:rsidR="00742E0C" w:rsidRPr="006D70C9" w:rsidRDefault="009B723A" w:rsidP="006D70C9">
      <w:pPr>
        <w:contextualSpacing/>
        <w:outlineLvl w:val="0"/>
        <w:rPr>
          <w:sz w:val="22"/>
          <w:szCs w:val="22"/>
        </w:rPr>
      </w:pPr>
      <w:r w:rsidRPr="006D70C9">
        <w:rPr>
          <w:sz w:val="22"/>
          <w:szCs w:val="22"/>
        </w:rPr>
        <w:t xml:space="preserve">Project Steering Committee (PSC) shall be established. The role of the PSC shall entail provision of strategic, </w:t>
      </w:r>
      <w:proofErr w:type="gramStart"/>
      <w:r w:rsidRPr="006D70C9">
        <w:rPr>
          <w:sz w:val="22"/>
          <w:szCs w:val="22"/>
        </w:rPr>
        <w:t>political</w:t>
      </w:r>
      <w:proofErr w:type="gramEnd"/>
      <w:r w:rsidRPr="006D70C9">
        <w:rPr>
          <w:sz w:val="22"/>
          <w:szCs w:val="22"/>
        </w:rPr>
        <w:t xml:space="preserve"> and technical guidance to the project, monitoring progress and assistance where possible in overcoming any obstacles to progress in any aspect of the contract.</w:t>
      </w:r>
    </w:p>
    <w:p w14:paraId="34F86BA9" w14:textId="77777777" w:rsidR="00742E0C" w:rsidRPr="006D70C9" w:rsidRDefault="009B723A" w:rsidP="006D70C9">
      <w:pPr>
        <w:contextualSpacing/>
        <w:outlineLvl w:val="0"/>
        <w:rPr>
          <w:sz w:val="22"/>
          <w:szCs w:val="22"/>
        </w:rPr>
      </w:pPr>
      <w:r w:rsidRPr="006D70C9">
        <w:rPr>
          <w:sz w:val="22"/>
          <w:szCs w:val="22"/>
        </w:rPr>
        <w:t>The SC members will involve relevant stakeholders (as deemed appropriate), such as:</w:t>
      </w:r>
    </w:p>
    <w:p w14:paraId="3947124E" w14:textId="77777777" w:rsidR="00742E0C" w:rsidRPr="006D70C9" w:rsidRDefault="009B723A" w:rsidP="006D70C9">
      <w:pPr>
        <w:numPr>
          <w:ilvl w:val="0"/>
          <w:numId w:val="39"/>
        </w:numPr>
        <w:contextualSpacing/>
        <w:outlineLvl w:val="0"/>
        <w:rPr>
          <w:sz w:val="22"/>
          <w:szCs w:val="22"/>
        </w:rPr>
      </w:pPr>
      <w:r w:rsidRPr="006D70C9">
        <w:rPr>
          <w:sz w:val="22"/>
          <w:szCs w:val="22"/>
        </w:rPr>
        <w:t xml:space="preserve">The MLSP and other relevant </w:t>
      </w:r>
      <w:proofErr w:type="gramStart"/>
      <w:r w:rsidRPr="006D70C9">
        <w:rPr>
          <w:sz w:val="22"/>
          <w:szCs w:val="22"/>
        </w:rPr>
        <w:t>ministries;</w:t>
      </w:r>
      <w:proofErr w:type="gramEnd"/>
    </w:p>
    <w:p w14:paraId="769600FE" w14:textId="77777777" w:rsidR="00742E0C" w:rsidRPr="006D70C9" w:rsidRDefault="009B723A" w:rsidP="006D70C9">
      <w:pPr>
        <w:numPr>
          <w:ilvl w:val="0"/>
          <w:numId w:val="39"/>
        </w:numPr>
        <w:contextualSpacing/>
        <w:outlineLvl w:val="0"/>
        <w:rPr>
          <w:sz w:val="22"/>
          <w:szCs w:val="22"/>
        </w:rPr>
      </w:pPr>
      <w:r w:rsidRPr="006D70C9">
        <w:rPr>
          <w:sz w:val="22"/>
          <w:szCs w:val="22"/>
        </w:rPr>
        <w:t xml:space="preserve">Secretary of the Economic and Social </w:t>
      </w:r>
      <w:proofErr w:type="gramStart"/>
      <w:r w:rsidRPr="006D70C9">
        <w:rPr>
          <w:sz w:val="22"/>
          <w:szCs w:val="22"/>
        </w:rPr>
        <w:t>Council;</w:t>
      </w:r>
      <w:proofErr w:type="gramEnd"/>
    </w:p>
    <w:p w14:paraId="73B0F520" w14:textId="77777777" w:rsidR="00742E0C" w:rsidRPr="006D70C9" w:rsidRDefault="009B723A" w:rsidP="006D70C9">
      <w:pPr>
        <w:numPr>
          <w:ilvl w:val="0"/>
          <w:numId w:val="39"/>
        </w:numPr>
        <w:contextualSpacing/>
        <w:outlineLvl w:val="0"/>
        <w:rPr>
          <w:sz w:val="22"/>
          <w:szCs w:val="22"/>
        </w:rPr>
      </w:pPr>
      <w:r w:rsidRPr="006D70C9">
        <w:rPr>
          <w:sz w:val="22"/>
          <w:szCs w:val="22"/>
        </w:rPr>
        <w:t xml:space="preserve">Trade </w:t>
      </w:r>
      <w:proofErr w:type="gramStart"/>
      <w:r w:rsidRPr="006D70C9">
        <w:rPr>
          <w:sz w:val="22"/>
          <w:szCs w:val="22"/>
        </w:rPr>
        <w:t>Unions;</w:t>
      </w:r>
      <w:proofErr w:type="gramEnd"/>
    </w:p>
    <w:p w14:paraId="66B8B958" w14:textId="77777777" w:rsidR="00742E0C" w:rsidRPr="006D70C9" w:rsidRDefault="009B723A" w:rsidP="006D70C9">
      <w:pPr>
        <w:numPr>
          <w:ilvl w:val="0"/>
          <w:numId w:val="39"/>
        </w:numPr>
        <w:contextualSpacing/>
        <w:outlineLvl w:val="0"/>
        <w:rPr>
          <w:sz w:val="22"/>
          <w:szCs w:val="22"/>
        </w:rPr>
      </w:pPr>
      <w:r w:rsidRPr="006D70C9">
        <w:rPr>
          <w:sz w:val="22"/>
          <w:szCs w:val="22"/>
        </w:rPr>
        <w:t>Employers’ Organizations and</w:t>
      </w:r>
    </w:p>
    <w:p w14:paraId="57AB5463" w14:textId="77777777" w:rsidR="00742E0C" w:rsidRPr="006D70C9" w:rsidRDefault="009B723A" w:rsidP="006D70C9">
      <w:pPr>
        <w:numPr>
          <w:ilvl w:val="0"/>
          <w:numId w:val="39"/>
        </w:numPr>
        <w:contextualSpacing/>
        <w:outlineLvl w:val="0"/>
        <w:rPr>
          <w:sz w:val="22"/>
          <w:szCs w:val="22"/>
        </w:rPr>
      </w:pPr>
      <w:r w:rsidRPr="006D70C9">
        <w:rPr>
          <w:sz w:val="22"/>
          <w:szCs w:val="22"/>
        </w:rPr>
        <w:t>Other relevant bodies.</w:t>
      </w:r>
    </w:p>
    <w:p w14:paraId="62D137A0" w14:textId="77777777" w:rsidR="00742E0C" w:rsidRPr="006D70C9" w:rsidRDefault="009B723A" w:rsidP="006D70C9">
      <w:pPr>
        <w:outlineLvl w:val="0"/>
        <w:rPr>
          <w:sz w:val="22"/>
          <w:szCs w:val="22"/>
        </w:rPr>
      </w:pPr>
      <w:r w:rsidRPr="006D70C9">
        <w:rPr>
          <w:sz w:val="22"/>
          <w:szCs w:val="22"/>
        </w:rPr>
        <w:t>The MF/CFCD, NIPAC/SEA and EU Delegation will participate to the Project Steering Committee (PSC) as observers.</w:t>
      </w:r>
    </w:p>
    <w:p w14:paraId="040E680B" w14:textId="77777777" w:rsidR="00742E0C" w:rsidRPr="006D70C9" w:rsidRDefault="009B723A" w:rsidP="006D70C9">
      <w:pPr>
        <w:tabs>
          <w:tab w:val="left" w:pos="1701"/>
        </w:tabs>
        <w:spacing w:after="120"/>
        <w:outlineLvl w:val="0"/>
        <w:rPr>
          <w:b/>
          <w:bCs/>
          <w:sz w:val="22"/>
          <w:szCs w:val="22"/>
        </w:rPr>
      </w:pPr>
      <w:r w:rsidRPr="006D70C9">
        <w:rPr>
          <w:b/>
          <w:bCs/>
          <w:sz w:val="22"/>
          <w:szCs w:val="22"/>
        </w:rPr>
        <w:t xml:space="preserve">6.2 Proposed monitoring structure and methodology: </w:t>
      </w:r>
    </w:p>
    <w:p w14:paraId="37BA28F7" w14:textId="77777777" w:rsidR="00742E0C" w:rsidRPr="006D70C9" w:rsidRDefault="009B723A" w:rsidP="006D70C9">
      <w:pPr>
        <w:contextualSpacing/>
        <w:outlineLvl w:val="0"/>
        <w:rPr>
          <w:bCs/>
          <w:sz w:val="22"/>
          <w:szCs w:val="22"/>
        </w:rPr>
      </w:pPr>
      <w:r w:rsidRPr="006D70C9">
        <w:rPr>
          <w:bCs/>
          <w:sz w:val="22"/>
          <w:szCs w:val="22"/>
        </w:rPr>
        <w:t xml:space="preserve">The day-to-day technical and financial monitoring of the implementation of the OP and hence of this operation will be a continuous process, and a responsibility of the Department for European Integration and International Cooperation, which will transform into Department for EU Programmes and Funds in MLSP as the Managing Authority for the OP “Jobs and Opportunities”. To this aim, this department in the MLSP shall establish a permanent internal, technical, and financial monitoring system. </w:t>
      </w:r>
    </w:p>
    <w:p w14:paraId="7BC263B1" w14:textId="77777777" w:rsidR="00742E0C" w:rsidRPr="006D70C9" w:rsidRDefault="009B723A" w:rsidP="006D70C9">
      <w:pPr>
        <w:contextualSpacing/>
        <w:outlineLvl w:val="0"/>
        <w:rPr>
          <w:bCs/>
          <w:sz w:val="22"/>
          <w:szCs w:val="22"/>
        </w:rPr>
      </w:pPr>
      <w:r w:rsidRPr="006D70C9">
        <w:rPr>
          <w:bCs/>
          <w:sz w:val="22"/>
          <w:szCs w:val="22"/>
        </w:rPr>
        <w:t>Every report produced by the grant project(s) coordinator(s) shall provide an accurate account of implementation of the operation, difficulties encountered, changes introduced, as well as the degree of achievement of its Outputs and contribution to the achievement of its Outcomes, and if possible, at the time of reporting, contribution to the achievement of its Impacts, as measured by corresponding indicators. The progress reports shall be considered by the PSC and approved by the MA and CA.</w:t>
      </w:r>
    </w:p>
    <w:p w14:paraId="6B7786F1" w14:textId="77777777" w:rsidR="00742E0C" w:rsidRPr="006D70C9" w:rsidRDefault="009B723A" w:rsidP="006D70C9">
      <w:pPr>
        <w:contextualSpacing/>
        <w:outlineLvl w:val="0"/>
        <w:rPr>
          <w:sz w:val="22"/>
          <w:szCs w:val="22"/>
        </w:rPr>
      </w:pPr>
      <w:r w:rsidRPr="006D70C9">
        <w:rPr>
          <w:sz w:val="22"/>
          <w:szCs w:val="22"/>
        </w:rPr>
        <w:t xml:space="preserve">The overall progress will be monitored through participation of various stakeholders, such as European Commission/ EU Delegation, NIPAC, NAO, Management structure, MA, IB, Final Beneficiaries, AA, and other institutions and civil society organisations. </w:t>
      </w:r>
    </w:p>
    <w:p w14:paraId="5D385254" w14:textId="77777777" w:rsidR="00742E0C" w:rsidRPr="006D70C9" w:rsidRDefault="009B723A" w:rsidP="006D70C9">
      <w:pPr>
        <w:pStyle w:val="NumPar1"/>
        <w:tabs>
          <w:tab w:val="left" w:pos="480"/>
        </w:tabs>
        <w:spacing w:after="0"/>
        <w:ind w:left="0"/>
        <w:outlineLvl w:val="0"/>
        <w:rPr>
          <w:b/>
          <w:bCs/>
          <w:sz w:val="22"/>
          <w:szCs w:val="22"/>
        </w:rPr>
      </w:pPr>
      <w:r w:rsidRPr="006D70C9">
        <w:rPr>
          <w:b/>
          <w:bCs/>
          <w:sz w:val="22"/>
          <w:szCs w:val="22"/>
        </w:rPr>
        <w:t>Maturity</w:t>
      </w:r>
    </w:p>
    <w:p w14:paraId="54BB3A6E" w14:textId="77777777" w:rsidR="00742E0C" w:rsidRPr="006D70C9" w:rsidRDefault="009B723A" w:rsidP="00A56D50">
      <w:pPr>
        <w:pStyle w:val="NumPar1"/>
        <w:numPr>
          <w:ilvl w:val="1"/>
          <w:numId w:val="3"/>
        </w:numPr>
        <w:ind w:left="0"/>
        <w:outlineLvl w:val="0"/>
        <w:rPr>
          <w:b/>
          <w:bCs/>
          <w:sz w:val="22"/>
          <w:szCs w:val="22"/>
        </w:rPr>
      </w:pPr>
      <w:r w:rsidRPr="006D70C9">
        <w:rPr>
          <w:b/>
          <w:bCs/>
          <w:sz w:val="22"/>
          <w:szCs w:val="22"/>
        </w:rPr>
        <w:t xml:space="preserve">Required procedures and contracts for the implementation of the operation and their sequencing: </w:t>
      </w:r>
    </w:p>
    <w:tbl>
      <w:tblPr>
        <w:tblW w:w="9660" w:type="dxa"/>
        <w:jc w:val="center"/>
        <w:tblCellMar>
          <w:left w:w="10" w:type="dxa"/>
          <w:right w:w="10" w:type="dxa"/>
        </w:tblCellMar>
        <w:tblLook w:val="04A0" w:firstRow="1" w:lastRow="0" w:firstColumn="1" w:lastColumn="0" w:noHBand="0" w:noVBand="1"/>
      </w:tblPr>
      <w:tblGrid>
        <w:gridCol w:w="2081"/>
        <w:gridCol w:w="1103"/>
        <w:gridCol w:w="1709"/>
        <w:gridCol w:w="1274"/>
        <w:gridCol w:w="2005"/>
        <w:gridCol w:w="1488"/>
      </w:tblGrid>
      <w:tr w:rsidR="00742E0C" w:rsidRPr="006D70C9" w14:paraId="1FDDB8CC" w14:textId="77777777">
        <w:trPr>
          <w:trHeight w:val="270"/>
          <w:jc w:val="center"/>
        </w:trPr>
        <w:tc>
          <w:tcPr>
            <w:tcW w:w="2151"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2DBD669A" w14:textId="77777777" w:rsidR="00742E0C" w:rsidRPr="006D70C9" w:rsidRDefault="009B723A" w:rsidP="006D70C9">
            <w:pPr>
              <w:jc w:val="center"/>
              <w:rPr>
                <w:b/>
                <w:bCs/>
                <w:sz w:val="20"/>
                <w:szCs w:val="20"/>
              </w:rPr>
            </w:pPr>
            <w:bookmarkStart w:id="4" w:name="_Hlk146785160"/>
            <w:bookmarkEnd w:id="4"/>
            <w:r w:rsidRPr="006D70C9">
              <w:rPr>
                <w:b/>
                <w:bCs/>
                <w:sz w:val="20"/>
                <w:szCs w:val="20"/>
              </w:rPr>
              <w:t>Activity</w:t>
            </w:r>
          </w:p>
        </w:tc>
        <w:tc>
          <w:tcPr>
            <w:tcW w:w="1116"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5615F736" w14:textId="77777777" w:rsidR="00742E0C" w:rsidRPr="006D70C9" w:rsidRDefault="009B723A" w:rsidP="006D70C9">
            <w:pPr>
              <w:jc w:val="center"/>
              <w:rPr>
                <w:b/>
                <w:bCs/>
                <w:sz w:val="20"/>
                <w:szCs w:val="20"/>
              </w:rPr>
            </w:pPr>
            <w:r w:rsidRPr="006D70C9">
              <w:rPr>
                <w:b/>
                <w:bCs/>
                <w:sz w:val="20"/>
                <w:szCs w:val="20"/>
              </w:rPr>
              <w:t>Type of contract</w:t>
            </w:r>
          </w:p>
        </w:tc>
        <w:tc>
          <w:tcPr>
            <w:tcW w:w="1750"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23B9C795" w14:textId="77777777" w:rsidR="00742E0C" w:rsidRPr="006D70C9" w:rsidRDefault="009B723A" w:rsidP="006D70C9">
            <w:pPr>
              <w:jc w:val="center"/>
              <w:rPr>
                <w:b/>
                <w:bCs/>
                <w:sz w:val="20"/>
                <w:szCs w:val="20"/>
              </w:rPr>
            </w:pPr>
            <w:r w:rsidRPr="006D70C9">
              <w:rPr>
                <w:b/>
                <w:bCs/>
                <w:sz w:val="20"/>
                <w:szCs w:val="20"/>
              </w:rPr>
              <w:t>Type of procedure</w:t>
            </w:r>
          </w:p>
        </w:tc>
        <w:tc>
          <w:tcPr>
            <w:tcW w:w="1284" w:type="dxa"/>
            <w:tcBorders>
              <w:top w:val="single" w:sz="4" w:space="0" w:color="000000"/>
              <w:left w:val="single" w:sz="4" w:space="0" w:color="000000"/>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292A675D" w14:textId="77777777" w:rsidR="00742E0C" w:rsidRPr="006D70C9" w:rsidRDefault="009B723A" w:rsidP="006D70C9">
            <w:pPr>
              <w:jc w:val="center"/>
              <w:rPr>
                <w:b/>
                <w:bCs/>
                <w:sz w:val="20"/>
                <w:szCs w:val="20"/>
              </w:rPr>
            </w:pPr>
            <w:r w:rsidRPr="006D70C9">
              <w:rPr>
                <w:b/>
                <w:bCs/>
                <w:sz w:val="20"/>
                <w:szCs w:val="20"/>
              </w:rPr>
              <w:t>Launch of the procedure</w:t>
            </w:r>
            <w:r w:rsidRPr="006D70C9">
              <w:rPr>
                <w:rStyle w:val="FootnoteReference"/>
                <w:sz w:val="20"/>
                <w:szCs w:val="20"/>
              </w:rPr>
              <w:footnoteReference w:id="3"/>
            </w:r>
          </w:p>
        </w:tc>
        <w:tc>
          <w:tcPr>
            <w:tcW w:w="1826" w:type="dxa"/>
            <w:tcBorders>
              <w:top w:val="single" w:sz="4" w:space="0" w:color="000000"/>
              <w:left w:val="nil"/>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5ACC1228" w14:textId="77777777" w:rsidR="00742E0C" w:rsidRPr="006D70C9" w:rsidRDefault="009B723A" w:rsidP="006D70C9">
            <w:pPr>
              <w:jc w:val="center"/>
              <w:rPr>
                <w:b/>
                <w:bCs/>
                <w:sz w:val="20"/>
                <w:szCs w:val="20"/>
              </w:rPr>
            </w:pPr>
            <w:r w:rsidRPr="006D70C9">
              <w:rPr>
                <w:b/>
                <w:bCs/>
                <w:sz w:val="20"/>
                <w:szCs w:val="20"/>
              </w:rPr>
              <w:t>Contracted/Contract start</w:t>
            </w:r>
          </w:p>
        </w:tc>
        <w:tc>
          <w:tcPr>
            <w:tcW w:w="1533" w:type="dxa"/>
            <w:tcBorders>
              <w:top w:val="single" w:sz="4" w:space="0" w:color="000000"/>
              <w:left w:val="nil"/>
              <w:bottom w:val="single" w:sz="4" w:space="0" w:color="000000"/>
              <w:right w:val="single" w:sz="4" w:space="0" w:color="000000"/>
              <w:tl2br w:val="nil"/>
              <w:tr2bl w:val="nil"/>
            </w:tcBorders>
            <w:shd w:val="solid" w:color="C6D9F1" w:fill="auto"/>
            <w:tcMar>
              <w:top w:w="0" w:type="dxa"/>
              <w:left w:w="108" w:type="dxa"/>
              <w:bottom w:w="0" w:type="dxa"/>
              <w:right w:w="108" w:type="dxa"/>
            </w:tcMar>
            <w:vAlign w:val="center"/>
          </w:tcPr>
          <w:p w14:paraId="61E16B49" w14:textId="77777777" w:rsidR="00742E0C" w:rsidRPr="006D70C9" w:rsidRDefault="009B723A" w:rsidP="006D70C9">
            <w:pPr>
              <w:jc w:val="center"/>
              <w:rPr>
                <w:b/>
                <w:bCs/>
                <w:sz w:val="20"/>
                <w:szCs w:val="20"/>
              </w:rPr>
            </w:pPr>
            <w:r w:rsidRPr="006D70C9">
              <w:rPr>
                <w:b/>
                <w:bCs/>
                <w:sz w:val="20"/>
                <w:szCs w:val="20"/>
              </w:rPr>
              <w:t xml:space="preserve">Duration of the contract </w:t>
            </w:r>
          </w:p>
        </w:tc>
      </w:tr>
      <w:tr w:rsidR="00742E0C" w:rsidRPr="006D70C9" w14:paraId="2EFF9C1D" w14:textId="77777777">
        <w:trPr>
          <w:trHeight w:val="359"/>
          <w:jc w:val="center"/>
        </w:trPr>
        <w:tc>
          <w:tcPr>
            <w:tcW w:w="21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8072575" w14:textId="77777777" w:rsidR="00742E0C" w:rsidRPr="006D70C9" w:rsidRDefault="009B723A" w:rsidP="006D70C9">
            <w:pPr>
              <w:jc w:val="left"/>
              <w:rPr>
                <w:i/>
                <w:iCs/>
                <w:sz w:val="20"/>
                <w:szCs w:val="20"/>
              </w:rPr>
            </w:pPr>
            <w:r w:rsidRPr="006D70C9">
              <w:rPr>
                <w:b/>
                <w:bCs/>
                <w:i/>
                <w:iCs/>
                <w:sz w:val="20"/>
                <w:szCs w:val="20"/>
              </w:rPr>
              <w:t xml:space="preserve">Activity 1 - </w:t>
            </w:r>
            <w:r w:rsidRPr="006D70C9">
              <w:rPr>
                <w:i/>
                <w:iCs/>
                <w:sz w:val="20"/>
                <w:szCs w:val="20"/>
              </w:rPr>
              <w:t>Enhancing the Social Dialogue at National and Local Level</w:t>
            </w:r>
          </w:p>
        </w:tc>
        <w:tc>
          <w:tcPr>
            <w:tcW w:w="1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6534A795" w14:textId="77777777" w:rsidR="00742E0C" w:rsidRPr="006D70C9" w:rsidRDefault="009B723A" w:rsidP="006D70C9">
            <w:pPr>
              <w:jc w:val="center"/>
              <w:rPr>
                <w:i/>
                <w:iCs/>
                <w:sz w:val="20"/>
                <w:szCs w:val="20"/>
              </w:rPr>
            </w:pPr>
            <w:r w:rsidRPr="006D70C9">
              <w:rPr>
                <w:i/>
                <w:iCs/>
                <w:sz w:val="20"/>
                <w:szCs w:val="20"/>
              </w:rPr>
              <w:t>Action grant</w:t>
            </w:r>
          </w:p>
        </w:tc>
        <w:tc>
          <w:tcPr>
            <w:tcW w:w="1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00DF42B" w14:textId="77777777" w:rsidR="00742E0C" w:rsidRPr="006D70C9" w:rsidRDefault="009B723A" w:rsidP="006D70C9">
            <w:pPr>
              <w:jc w:val="center"/>
              <w:rPr>
                <w:i/>
                <w:iCs/>
                <w:sz w:val="20"/>
                <w:szCs w:val="20"/>
              </w:rPr>
            </w:pPr>
            <w:r w:rsidRPr="006D70C9">
              <w:rPr>
                <w:i/>
                <w:iCs/>
                <w:sz w:val="20"/>
                <w:szCs w:val="20"/>
              </w:rPr>
              <w:t>Direct award to international organisation</w:t>
            </w:r>
          </w:p>
        </w:tc>
        <w:tc>
          <w:tcPr>
            <w:tcW w:w="12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225CE4D3" w14:textId="77777777" w:rsidR="00742E0C" w:rsidRPr="006D70C9" w:rsidRDefault="009B723A" w:rsidP="006D70C9">
            <w:pPr>
              <w:jc w:val="center"/>
              <w:rPr>
                <w:sz w:val="20"/>
                <w:szCs w:val="20"/>
              </w:rPr>
            </w:pPr>
            <w:r w:rsidRPr="006D70C9">
              <w:rPr>
                <w:sz w:val="20"/>
                <w:szCs w:val="20"/>
                <w:lang w:val="en-US"/>
              </w:rPr>
              <w:t>N*</w:t>
            </w:r>
          </w:p>
        </w:tc>
        <w:tc>
          <w:tcPr>
            <w:tcW w:w="1826"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14:paraId="60C325E7" w14:textId="77777777" w:rsidR="00742E0C" w:rsidRPr="006D70C9" w:rsidRDefault="009B723A" w:rsidP="006D70C9">
            <w:pPr>
              <w:jc w:val="center"/>
              <w:rPr>
                <w:sz w:val="20"/>
                <w:szCs w:val="20"/>
              </w:rPr>
            </w:pPr>
            <w:r w:rsidRPr="006D70C9">
              <w:rPr>
                <w:sz w:val="20"/>
                <w:szCs w:val="20"/>
              </w:rPr>
              <w:t>N+1</w:t>
            </w:r>
          </w:p>
        </w:tc>
        <w:tc>
          <w:tcPr>
            <w:tcW w:w="153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14:paraId="3991F20C" w14:textId="77777777" w:rsidR="00742E0C" w:rsidRPr="006D70C9" w:rsidRDefault="009B723A" w:rsidP="006D70C9">
            <w:pPr>
              <w:jc w:val="center"/>
              <w:rPr>
                <w:sz w:val="20"/>
                <w:szCs w:val="20"/>
              </w:rPr>
            </w:pPr>
            <w:r w:rsidRPr="006D70C9">
              <w:rPr>
                <w:sz w:val="20"/>
                <w:szCs w:val="20"/>
              </w:rPr>
              <w:t xml:space="preserve">36 months  </w:t>
            </w:r>
          </w:p>
        </w:tc>
      </w:tr>
      <w:tr w:rsidR="00742E0C" w:rsidRPr="006D70C9" w14:paraId="78EF75A3" w14:textId="77777777">
        <w:trPr>
          <w:trHeight w:val="359"/>
          <w:jc w:val="center"/>
        </w:trPr>
        <w:tc>
          <w:tcPr>
            <w:tcW w:w="2151"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vAlign w:val="center"/>
          </w:tcPr>
          <w:p w14:paraId="1F14D1A4" w14:textId="77777777" w:rsidR="00742E0C" w:rsidRPr="006D70C9" w:rsidRDefault="009B723A" w:rsidP="006D70C9">
            <w:pPr>
              <w:jc w:val="left"/>
              <w:rPr>
                <w:b/>
                <w:bCs/>
                <w:i/>
                <w:iCs/>
                <w:sz w:val="20"/>
                <w:szCs w:val="20"/>
              </w:rPr>
            </w:pPr>
            <w:r w:rsidRPr="006D70C9">
              <w:rPr>
                <w:b/>
                <w:bCs/>
                <w:i/>
                <w:iCs/>
                <w:sz w:val="20"/>
                <w:szCs w:val="20"/>
              </w:rPr>
              <w:t xml:space="preserve">Activity 2 - </w:t>
            </w:r>
            <w:r w:rsidRPr="006D70C9">
              <w:rPr>
                <w:i/>
                <w:iCs/>
                <w:sz w:val="20"/>
                <w:szCs w:val="20"/>
              </w:rPr>
              <w:t xml:space="preserve">Supporting Local Economic and Social Councils </w:t>
            </w:r>
            <w:r w:rsidRPr="006D70C9">
              <w:rPr>
                <w:i/>
                <w:iCs/>
                <w:sz w:val="20"/>
                <w:szCs w:val="20"/>
                <w:lang w:eastAsia="ja-JP"/>
              </w:rPr>
              <w:t xml:space="preserve">in Developing and Implementing </w:t>
            </w:r>
            <w:r w:rsidRPr="006D70C9">
              <w:rPr>
                <w:i/>
                <w:iCs/>
                <w:sz w:val="20"/>
                <w:szCs w:val="20"/>
              </w:rPr>
              <w:t>Local Employment Partnerships</w:t>
            </w:r>
          </w:p>
        </w:tc>
        <w:tc>
          <w:tcPr>
            <w:tcW w:w="1116"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7CBB3087" w14:textId="77777777" w:rsidR="00742E0C" w:rsidRPr="006D70C9" w:rsidRDefault="009B723A" w:rsidP="006D70C9">
            <w:pPr>
              <w:jc w:val="center"/>
              <w:rPr>
                <w:i/>
                <w:iCs/>
                <w:sz w:val="20"/>
                <w:szCs w:val="20"/>
              </w:rPr>
            </w:pPr>
            <w:r w:rsidRPr="006D70C9">
              <w:rPr>
                <w:i/>
                <w:iCs/>
                <w:sz w:val="20"/>
                <w:szCs w:val="20"/>
              </w:rPr>
              <w:t>Grant contracts</w:t>
            </w:r>
          </w:p>
        </w:tc>
        <w:tc>
          <w:tcPr>
            <w:tcW w:w="1750"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3441B4D6" w14:textId="77777777" w:rsidR="00742E0C" w:rsidRPr="006D70C9" w:rsidRDefault="009B723A" w:rsidP="006D70C9">
            <w:pPr>
              <w:jc w:val="center"/>
              <w:rPr>
                <w:i/>
                <w:iCs/>
                <w:sz w:val="20"/>
                <w:szCs w:val="20"/>
              </w:rPr>
            </w:pPr>
            <w:r w:rsidRPr="006D70C9">
              <w:rPr>
                <w:i/>
                <w:iCs/>
                <w:sz w:val="20"/>
                <w:szCs w:val="20"/>
              </w:rPr>
              <w:t>Restricted Grant Scheme</w:t>
            </w:r>
          </w:p>
        </w:tc>
        <w:tc>
          <w:tcPr>
            <w:tcW w:w="1284" w:type="dxa"/>
            <w:tcBorders>
              <w:top w:val="single" w:sz="4" w:space="0" w:color="000000"/>
              <w:left w:val="single" w:sz="4" w:space="0" w:color="000000"/>
              <w:bottom w:val="single" w:sz="4" w:space="0" w:color="000000"/>
              <w:right w:val="single" w:sz="4" w:space="0" w:color="000000"/>
              <w:tl2br w:val="nil"/>
              <w:tr2bl w:val="nil"/>
            </w:tcBorders>
            <w:tcMar>
              <w:top w:w="0" w:type="dxa"/>
              <w:left w:w="108" w:type="dxa"/>
              <w:bottom w:w="0" w:type="dxa"/>
              <w:right w:w="108" w:type="dxa"/>
            </w:tcMar>
          </w:tcPr>
          <w:p w14:paraId="57C35114" w14:textId="77777777" w:rsidR="00742E0C" w:rsidRPr="006D70C9" w:rsidRDefault="009B723A" w:rsidP="006D70C9">
            <w:pPr>
              <w:jc w:val="center"/>
              <w:rPr>
                <w:sz w:val="20"/>
                <w:szCs w:val="20"/>
                <w:lang w:val="en-US"/>
              </w:rPr>
            </w:pPr>
            <w:r w:rsidRPr="006D70C9">
              <w:rPr>
                <w:sz w:val="20"/>
                <w:szCs w:val="20"/>
                <w:lang w:val="en-US"/>
              </w:rPr>
              <w:t>N+1</w:t>
            </w:r>
          </w:p>
        </w:tc>
        <w:tc>
          <w:tcPr>
            <w:tcW w:w="1826"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14:paraId="7B0A5636" w14:textId="77777777" w:rsidR="00742E0C" w:rsidRPr="006D70C9" w:rsidRDefault="009B723A" w:rsidP="006D70C9">
            <w:pPr>
              <w:jc w:val="center"/>
              <w:rPr>
                <w:sz w:val="20"/>
                <w:szCs w:val="20"/>
              </w:rPr>
            </w:pPr>
            <w:r w:rsidRPr="006D70C9">
              <w:rPr>
                <w:sz w:val="20"/>
                <w:szCs w:val="20"/>
              </w:rPr>
              <w:t>N+1</w:t>
            </w:r>
          </w:p>
        </w:tc>
        <w:tc>
          <w:tcPr>
            <w:tcW w:w="1533" w:type="dxa"/>
            <w:tcBorders>
              <w:top w:val="single" w:sz="4" w:space="0" w:color="000000"/>
              <w:left w:val="nil"/>
              <w:bottom w:val="single" w:sz="4" w:space="0" w:color="000000"/>
              <w:right w:val="single" w:sz="4" w:space="0" w:color="000000"/>
              <w:tl2br w:val="nil"/>
              <w:tr2bl w:val="nil"/>
            </w:tcBorders>
            <w:tcMar>
              <w:top w:w="0" w:type="dxa"/>
              <w:left w:w="108" w:type="dxa"/>
              <w:bottom w:w="0" w:type="dxa"/>
              <w:right w:w="108" w:type="dxa"/>
            </w:tcMar>
          </w:tcPr>
          <w:p w14:paraId="569A4FAD" w14:textId="77777777" w:rsidR="00742E0C" w:rsidRPr="006D70C9" w:rsidRDefault="009B723A" w:rsidP="006D70C9">
            <w:pPr>
              <w:jc w:val="center"/>
              <w:rPr>
                <w:sz w:val="20"/>
                <w:szCs w:val="20"/>
              </w:rPr>
            </w:pPr>
            <w:r w:rsidRPr="006D70C9">
              <w:rPr>
                <w:sz w:val="20"/>
                <w:szCs w:val="20"/>
              </w:rPr>
              <w:t xml:space="preserve">24 months </w:t>
            </w:r>
          </w:p>
        </w:tc>
      </w:tr>
    </w:tbl>
    <w:p w14:paraId="1580ED99" w14:textId="77777777" w:rsidR="00742E0C" w:rsidRPr="006D70C9" w:rsidRDefault="009B723A" w:rsidP="006D70C9">
      <w:pPr>
        <w:suppressAutoHyphens/>
        <w:contextualSpacing/>
        <w:rPr>
          <w:i/>
          <w:iCs/>
          <w:sz w:val="22"/>
          <w:szCs w:val="22"/>
          <w:lang w:val="en-GB" w:eastAsia="ja-JP"/>
        </w:rPr>
      </w:pPr>
      <w:r w:rsidRPr="006D70C9">
        <w:rPr>
          <w:i/>
          <w:iCs/>
          <w:sz w:val="22"/>
          <w:szCs w:val="22"/>
          <w:lang w:val="en-GB" w:eastAsia="ja-JP"/>
        </w:rPr>
        <w:t>*Launch of grant award procedure with suspensive clause.</w:t>
      </w:r>
    </w:p>
    <w:p w14:paraId="0E27B1F8" w14:textId="77777777" w:rsidR="00742E0C" w:rsidRPr="006D70C9" w:rsidRDefault="009B723A" w:rsidP="006D70C9">
      <w:pPr>
        <w:suppressAutoHyphens/>
        <w:rPr>
          <w:i/>
          <w:iCs/>
          <w:sz w:val="22"/>
          <w:szCs w:val="22"/>
          <w:u w:val="single"/>
        </w:rPr>
      </w:pPr>
      <w:r w:rsidRPr="006D70C9">
        <w:rPr>
          <w:i/>
          <w:iCs/>
          <w:sz w:val="22"/>
          <w:szCs w:val="22"/>
          <w:u w:val="single"/>
        </w:rPr>
        <w:t>Justification for Activity 1 - Enhancing the Social Dialogue at National and Local Level</w:t>
      </w:r>
    </w:p>
    <w:p w14:paraId="23E33117" w14:textId="77777777" w:rsidR="00742E0C" w:rsidRPr="006D70C9" w:rsidRDefault="009B723A" w:rsidP="006D70C9">
      <w:pPr>
        <w:suppressAutoHyphens/>
        <w:rPr>
          <w:sz w:val="22"/>
          <w:szCs w:val="22"/>
        </w:rPr>
      </w:pPr>
      <w:bookmarkStart w:id="5" w:name="_Hlk140495502"/>
      <w:bookmarkEnd w:id="5"/>
      <w:r w:rsidRPr="006D70C9">
        <w:rPr>
          <w:i/>
          <w:iCs/>
          <w:sz w:val="22"/>
          <w:szCs w:val="22"/>
        </w:rPr>
        <w:t>Type of procedure</w:t>
      </w:r>
      <w:r w:rsidRPr="006D70C9">
        <w:rPr>
          <w:sz w:val="22"/>
          <w:szCs w:val="22"/>
        </w:rPr>
        <w:t>: Award without competition to International Organisation (IO) by signing the Direct Award Contract with International Labour Organization (ILO) (1 Direct Award Contract).</w:t>
      </w:r>
    </w:p>
    <w:p w14:paraId="5DDF0975" w14:textId="77777777" w:rsidR="00742E0C" w:rsidRPr="006D70C9" w:rsidRDefault="009B723A" w:rsidP="006D70C9">
      <w:pPr>
        <w:suppressAutoHyphens/>
        <w:rPr>
          <w:sz w:val="22"/>
          <w:szCs w:val="22"/>
        </w:rPr>
      </w:pPr>
      <w:r w:rsidRPr="006D70C9">
        <w:rPr>
          <w:sz w:val="22"/>
          <w:szCs w:val="22"/>
        </w:rPr>
        <w:t xml:space="preserve">This part of the operation will be implemented by way of “direct award” to the ILO, without calls for proposals per under Articles 110, 154, 158 and 198 of the Council Regulation (EC, Euratom) Regulation (EU, Euratom) 2018/1046 of the European Parliament and of the Council of 18 July 2018 on the Financial </w:t>
      </w:r>
      <w:r w:rsidRPr="006D70C9">
        <w:rPr>
          <w:sz w:val="22"/>
          <w:szCs w:val="22"/>
        </w:rPr>
        <w:lastRenderedPageBreak/>
        <w:t>Regulation applicable to the general budget of the European Communities.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w:t>
      </w:r>
    </w:p>
    <w:p w14:paraId="507ABFFE" w14:textId="77777777" w:rsidR="00742E0C" w:rsidRPr="006D70C9" w:rsidRDefault="009B723A" w:rsidP="006D70C9">
      <w:pPr>
        <w:suppressAutoHyphens/>
        <w:rPr>
          <w:sz w:val="22"/>
          <w:szCs w:val="22"/>
        </w:rPr>
      </w:pPr>
      <w:r w:rsidRPr="006D70C9">
        <w:rPr>
          <w:sz w:val="22"/>
          <w:szCs w:val="22"/>
        </w:rPr>
        <w:t xml:space="preserve">More specifically, under point 6.4.2 of the “Practical Guide to Contract Procedures for EU External Actions”, the Contracting Authority (CA) must prepare a report (negotiation report) explaining how the Grant Beneficiary was identified, the Grant amounts established and the grounds for the award decision. The report will be included in the Contract dossier. The Contracting Authority must follow the steps in the negotiation report template and ensure that all the basic grant principles are respected (including eligibility and exclusion along the whole management cycle). The procedures for awarding the grant shall be implemented in compliance with point 6.5.10 of the Practical Guide. </w:t>
      </w:r>
    </w:p>
    <w:p w14:paraId="10246218" w14:textId="77777777" w:rsidR="00742E0C" w:rsidRPr="006D70C9" w:rsidRDefault="009B723A" w:rsidP="006D70C9">
      <w:pPr>
        <w:suppressAutoHyphens/>
        <w:rPr>
          <w:sz w:val="22"/>
          <w:szCs w:val="22"/>
        </w:rPr>
      </w:pPr>
      <w:r w:rsidRPr="006D70C9">
        <w:rPr>
          <w:sz w:val="22"/>
          <w:szCs w:val="22"/>
        </w:rPr>
        <w:t>The activity on social dialogue and industrial relations will be implemented with the support of the ILO to take advantage of the global expertise of ILO in these areas. ILO is the only specialized organization with a mandate to carry out this work, being a custodian of the international standards on tripartite social dialogue and collective bargaining.</w:t>
      </w:r>
    </w:p>
    <w:p w14:paraId="5ED3FEFF" w14:textId="77777777" w:rsidR="00742E0C" w:rsidRPr="006D70C9" w:rsidRDefault="009B723A" w:rsidP="006D70C9">
      <w:pPr>
        <w:suppressAutoHyphens/>
        <w:rPr>
          <w:sz w:val="22"/>
          <w:szCs w:val="22"/>
        </w:rPr>
      </w:pPr>
      <w:r w:rsidRPr="006D70C9">
        <w:rPr>
          <w:sz w:val="22"/>
          <w:szCs w:val="22"/>
        </w:rPr>
        <w:t>ILO’s fundamental conventions concerning freedom of association and the right to organize (C 87), the right to collective bargaining (C98 and C154), non-discrimination in the workplace (C100 and C111) and social dialogue (C144) have been ratified Europe-wide and constitute the foundation of fundamental rights at work as they are embedded in the European Union Treaty and European Social Model.</w:t>
      </w:r>
    </w:p>
    <w:p w14:paraId="05EA5308" w14:textId="77777777" w:rsidR="00742E0C" w:rsidRPr="006D70C9" w:rsidRDefault="009B723A" w:rsidP="006D70C9">
      <w:pPr>
        <w:suppressAutoHyphens/>
        <w:rPr>
          <w:sz w:val="22"/>
          <w:szCs w:val="22"/>
        </w:rPr>
      </w:pPr>
      <w:r w:rsidRPr="006D70C9">
        <w:rPr>
          <w:sz w:val="22"/>
          <w:szCs w:val="22"/>
        </w:rPr>
        <w:t xml:space="preserve">ILO has a unique in-house expertise and know-how regarding implementing effective and efficient tripartite and bipartite social dialogue at various levels (national, regional, sectoral and company levels) in both public and private sectors. ILO has developed a wide range of working tools on how best to conduct and manage social dialogue and collective bargaining, e.g., the ILO Guide on the national machinery of social dialogue, ILO Manual of Collective Bargaining and Dispute Resolution in the Public Service, ILO Practical Guide on collective bargaining; Labour Disputes Systems: guidelines for improved performance. </w:t>
      </w:r>
    </w:p>
    <w:p w14:paraId="13097DB2" w14:textId="77777777" w:rsidR="00742E0C" w:rsidRPr="006D70C9" w:rsidRDefault="009B723A" w:rsidP="006D70C9">
      <w:pPr>
        <w:pStyle w:val="NumPar1"/>
        <w:numPr>
          <w:ilvl w:val="1"/>
          <w:numId w:val="3"/>
        </w:numPr>
        <w:spacing w:after="0"/>
        <w:ind w:left="0"/>
        <w:outlineLvl w:val="0"/>
        <w:rPr>
          <w:b/>
          <w:bCs/>
          <w:sz w:val="22"/>
          <w:szCs w:val="22"/>
        </w:rPr>
      </w:pPr>
      <w:r w:rsidRPr="006D70C9">
        <w:rPr>
          <w:b/>
          <w:bCs/>
          <w:sz w:val="22"/>
          <w:szCs w:val="22"/>
        </w:rPr>
        <w:t>Supporting documents</w:t>
      </w:r>
    </w:p>
    <w:p w14:paraId="6E27D2A7" w14:textId="77777777" w:rsidR="00742E0C" w:rsidRPr="006D70C9" w:rsidRDefault="009B723A" w:rsidP="006D70C9">
      <w:pPr>
        <w:suppressAutoHyphens/>
        <w:rPr>
          <w:i/>
          <w:iCs/>
          <w:sz w:val="22"/>
          <w:szCs w:val="22"/>
          <w:u w:val="single"/>
        </w:rPr>
      </w:pPr>
      <w:bookmarkStart w:id="6" w:name="_Hlk140484669"/>
      <w:bookmarkEnd w:id="6"/>
      <w:r w:rsidRPr="006D70C9">
        <w:rPr>
          <w:i/>
          <w:iCs/>
          <w:sz w:val="22"/>
          <w:szCs w:val="22"/>
          <w:u w:val="single"/>
        </w:rPr>
        <w:t>Intervention 1 - Enhancing the Social Dialogue at National and Local Level</w:t>
      </w:r>
    </w:p>
    <w:p w14:paraId="08C94B54" w14:textId="77777777" w:rsidR="00742E0C" w:rsidRPr="006D70C9" w:rsidRDefault="009B723A" w:rsidP="006D70C9">
      <w:pPr>
        <w:suppressAutoHyphens/>
        <w:rPr>
          <w:sz w:val="22"/>
          <w:szCs w:val="22"/>
        </w:rPr>
      </w:pPr>
      <w:r w:rsidRPr="006D70C9">
        <w:rPr>
          <w:sz w:val="22"/>
          <w:szCs w:val="22"/>
        </w:rPr>
        <w:t>Direct Award Contract with International Labour Organization (ILO): The Invitation Letter to the Applicant to Submit a Proposal will be prepared in the third quarter of 2024.</w:t>
      </w:r>
    </w:p>
    <w:p w14:paraId="2D5B9654" w14:textId="77777777" w:rsidR="00742E0C" w:rsidRPr="006D70C9" w:rsidRDefault="009B723A" w:rsidP="006D70C9">
      <w:pPr>
        <w:suppressAutoHyphens/>
        <w:rPr>
          <w:i/>
          <w:iCs/>
          <w:sz w:val="22"/>
          <w:szCs w:val="22"/>
          <w:u w:val="single"/>
          <w:lang w:eastAsia="ja-JP"/>
        </w:rPr>
      </w:pPr>
      <w:bookmarkStart w:id="7" w:name="_Hlk146196139"/>
      <w:bookmarkEnd w:id="7"/>
      <w:r w:rsidRPr="006D70C9">
        <w:rPr>
          <w:i/>
          <w:iCs/>
          <w:sz w:val="22"/>
          <w:szCs w:val="22"/>
          <w:u w:val="single"/>
          <w:lang w:eastAsia="ja-JP"/>
        </w:rPr>
        <w:t xml:space="preserve">Intervention 2 - Supporting Local Economic and Social </w:t>
      </w:r>
      <w:proofErr w:type="gramStart"/>
      <w:r w:rsidRPr="006D70C9">
        <w:rPr>
          <w:i/>
          <w:iCs/>
          <w:sz w:val="22"/>
          <w:szCs w:val="22"/>
          <w:u w:val="single"/>
          <w:lang w:eastAsia="ja-JP"/>
        </w:rPr>
        <w:t>Councils  in</w:t>
      </w:r>
      <w:proofErr w:type="gramEnd"/>
      <w:r w:rsidRPr="006D70C9">
        <w:rPr>
          <w:i/>
          <w:iCs/>
          <w:sz w:val="22"/>
          <w:szCs w:val="22"/>
          <w:u w:val="single"/>
          <w:lang w:eastAsia="ja-JP"/>
        </w:rPr>
        <w:t xml:space="preserve"> Developing and Implementing Local Employment Partnerships</w:t>
      </w:r>
    </w:p>
    <w:p w14:paraId="2DA2F2ED" w14:textId="77777777" w:rsidR="00742E0C" w:rsidRPr="006D70C9" w:rsidRDefault="009B723A" w:rsidP="006D70C9">
      <w:pPr>
        <w:suppressAutoHyphens/>
        <w:rPr>
          <w:sz w:val="22"/>
          <w:szCs w:val="22"/>
          <w:lang w:eastAsia="ja-JP"/>
        </w:rPr>
      </w:pPr>
      <w:r w:rsidRPr="006D70C9">
        <w:rPr>
          <w:sz w:val="22"/>
          <w:szCs w:val="22"/>
          <w:lang w:eastAsia="ja-JP"/>
        </w:rPr>
        <w:t>Grant scheme: The Call for Proposals (CoP) will be prepared in 2025.</w:t>
      </w:r>
    </w:p>
    <w:p w14:paraId="58671CA7" w14:textId="77777777" w:rsidR="00742E0C" w:rsidRPr="006D70C9" w:rsidRDefault="009B723A" w:rsidP="006D70C9">
      <w:pPr>
        <w:pStyle w:val="NumPar1"/>
        <w:tabs>
          <w:tab w:val="left" w:pos="480"/>
        </w:tabs>
        <w:spacing w:after="0"/>
        <w:ind w:left="0"/>
        <w:outlineLvl w:val="0"/>
        <w:rPr>
          <w:b/>
          <w:bCs/>
          <w:sz w:val="22"/>
          <w:szCs w:val="22"/>
        </w:rPr>
      </w:pPr>
      <w:r w:rsidRPr="006D70C9">
        <w:rPr>
          <w:b/>
          <w:bCs/>
          <w:sz w:val="22"/>
          <w:szCs w:val="22"/>
        </w:rPr>
        <w:t>Risks and assumptions</w:t>
      </w:r>
    </w:p>
    <w:p w14:paraId="06C317C0" w14:textId="77777777" w:rsidR="00742E0C" w:rsidRPr="006D70C9" w:rsidRDefault="009B723A" w:rsidP="006D70C9">
      <w:pPr>
        <w:spacing w:after="120"/>
        <w:rPr>
          <w:sz w:val="22"/>
          <w:szCs w:val="22"/>
        </w:rPr>
      </w:pPr>
      <w:r w:rsidRPr="006D70C9">
        <w:rPr>
          <w:sz w:val="22"/>
          <w:szCs w:val="22"/>
        </w:rPr>
        <w:t>Risks encountered might be:</w:t>
      </w:r>
    </w:p>
    <w:p w14:paraId="0572D581" w14:textId="77777777" w:rsidR="00742E0C" w:rsidRPr="006D70C9" w:rsidRDefault="009B723A" w:rsidP="006D70C9">
      <w:pPr>
        <w:numPr>
          <w:ilvl w:val="0"/>
          <w:numId w:val="41"/>
        </w:numPr>
        <w:spacing w:before="0"/>
        <w:rPr>
          <w:sz w:val="22"/>
          <w:szCs w:val="22"/>
        </w:rPr>
      </w:pPr>
      <w:r w:rsidRPr="006D70C9">
        <w:rPr>
          <w:sz w:val="22"/>
          <w:szCs w:val="22"/>
        </w:rPr>
        <w:t xml:space="preserve">Insufficient commitment by all relevant stakeholders to guarantee and maintain the project </w:t>
      </w:r>
      <w:proofErr w:type="gramStart"/>
      <w:r w:rsidRPr="006D70C9">
        <w:rPr>
          <w:sz w:val="22"/>
          <w:szCs w:val="22"/>
        </w:rPr>
        <w:t>sustainability;</w:t>
      </w:r>
      <w:proofErr w:type="gramEnd"/>
    </w:p>
    <w:p w14:paraId="2175648C" w14:textId="77777777" w:rsidR="00742E0C" w:rsidRPr="006D70C9" w:rsidRDefault="009B723A" w:rsidP="006D70C9">
      <w:pPr>
        <w:numPr>
          <w:ilvl w:val="0"/>
          <w:numId w:val="41"/>
        </w:numPr>
        <w:spacing w:before="0"/>
        <w:rPr>
          <w:sz w:val="22"/>
          <w:szCs w:val="22"/>
        </w:rPr>
      </w:pPr>
      <w:r w:rsidRPr="006D70C9">
        <w:rPr>
          <w:sz w:val="22"/>
          <w:szCs w:val="22"/>
        </w:rPr>
        <w:t xml:space="preserve">Low interest for joint collaboration among all </w:t>
      </w:r>
      <w:proofErr w:type="gramStart"/>
      <w:r w:rsidRPr="006D70C9">
        <w:rPr>
          <w:sz w:val="22"/>
          <w:szCs w:val="22"/>
        </w:rPr>
        <w:t>stakeholders;</w:t>
      </w:r>
      <w:proofErr w:type="gramEnd"/>
    </w:p>
    <w:p w14:paraId="2F9F088E" w14:textId="77777777" w:rsidR="00742E0C" w:rsidRPr="006D70C9" w:rsidRDefault="009B723A" w:rsidP="006D70C9">
      <w:pPr>
        <w:numPr>
          <w:ilvl w:val="0"/>
          <w:numId w:val="41"/>
        </w:numPr>
        <w:spacing w:before="0"/>
        <w:rPr>
          <w:sz w:val="22"/>
          <w:szCs w:val="22"/>
        </w:rPr>
      </w:pPr>
      <w:r w:rsidRPr="006D70C9">
        <w:rPr>
          <w:sz w:val="22"/>
          <w:szCs w:val="22"/>
        </w:rPr>
        <w:t xml:space="preserve">Change in policy and legal environment that negatively impact the development of the social </w:t>
      </w:r>
      <w:proofErr w:type="gramStart"/>
      <w:r w:rsidRPr="006D70C9">
        <w:rPr>
          <w:sz w:val="22"/>
          <w:szCs w:val="22"/>
        </w:rPr>
        <w:t>dialogue;</w:t>
      </w:r>
      <w:proofErr w:type="gramEnd"/>
    </w:p>
    <w:p w14:paraId="0318042F" w14:textId="77777777" w:rsidR="00742E0C" w:rsidRPr="006D70C9" w:rsidRDefault="009B723A" w:rsidP="006D70C9">
      <w:pPr>
        <w:numPr>
          <w:ilvl w:val="0"/>
          <w:numId w:val="41"/>
        </w:numPr>
        <w:spacing w:before="0"/>
        <w:rPr>
          <w:sz w:val="22"/>
          <w:szCs w:val="22"/>
        </w:rPr>
      </w:pPr>
      <w:r w:rsidRPr="006D70C9">
        <w:rPr>
          <w:sz w:val="22"/>
          <w:szCs w:val="22"/>
        </w:rPr>
        <w:t xml:space="preserve">Insufficient commitment by the highest political level for legislative and policy changes </w:t>
      </w:r>
      <w:proofErr w:type="gramStart"/>
      <w:r w:rsidRPr="006D70C9">
        <w:rPr>
          <w:sz w:val="22"/>
          <w:szCs w:val="22"/>
        </w:rPr>
        <w:t>in regards to</w:t>
      </w:r>
      <w:proofErr w:type="gramEnd"/>
      <w:r w:rsidRPr="006D70C9">
        <w:rPr>
          <w:sz w:val="22"/>
          <w:szCs w:val="22"/>
        </w:rPr>
        <w:t xml:space="preserve"> social dialogue</w:t>
      </w:r>
    </w:p>
    <w:p w14:paraId="4B653552" w14:textId="77777777" w:rsidR="00742E0C" w:rsidRPr="006D70C9" w:rsidRDefault="009B723A" w:rsidP="006D70C9">
      <w:pPr>
        <w:numPr>
          <w:ilvl w:val="0"/>
          <w:numId w:val="41"/>
        </w:numPr>
        <w:spacing w:before="0"/>
        <w:rPr>
          <w:rFonts w:eastAsia="Calibri"/>
          <w:sz w:val="22"/>
          <w:szCs w:val="22"/>
          <w:lang w:eastAsia="ja-JP"/>
        </w:rPr>
      </w:pPr>
      <w:r w:rsidRPr="006D70C9">
        <w:rPr>
          <w:rFonts w:eastAsia="Calibri"/>
          <w:sz w:val="22"/>
          <w:szCs w:val="22"/>
          <w:lang w:eastAsia="ja-JP"/>
        </w:rPr>
        <w:t>Lack of tradition of trust among the social partners.</w:t>
      </w:r>
    </w:p>
    <w:p w14:paraId="04BB781E" w14:textId="77777777" w:rsidR="00742E0C" w:rsidRPr="006D70C9" w:rsidRDefault="009B723A" w:rsidP="006D70C9">
      <w:pPr>
        <w:spacing w:after="120"/>
        <w:rPr>
          <w:sz w:val="22"/>
          <w:szCs w:val="22"/>
        </w:rPr>
      </w:pPr>
      <w:r w:rsidRPr="006D70C9">
        <w:rPr>
          <w:sz w:val="22"/>
          <w:szCs w:val="22"/>
        </w:rPr>
        <w:t>Assumptions envisaged might be:</w:t>
      </w:r>
    </w:p>
    <w:p w14:paraId="26FBBB8A" w14:textId="77777777" w:rsidR="00742E0C" w:rsidRPr="006D70C9" w:rsidRDefault="009B723A" w:rsidP="006D70C9">
      <w:pPr>
        <w:numPr>
          <w:ilvl w:val="0"/>
          <w:numId w:val="9"/>
        </w:numPr>
        <w:spacing w:before="0"/>
        <w:ind w:left="360" w:hanging="360"/>
        <w:rPr>
          <w:sz w:val="22"/>
          <w:szCs w:val="22"/>
        </w:rPr>
      </w:pPr>
      <w:r w:rsidRPr="006D70C9">
        <w:rPr>
          <w:sz w:val="22"/>
          <w:szCs w:val="22"/>
        </w:rPr>
        <w:t xml:space="preserve">All stakeholders available and committed to the implementation of </w:t>
      </w:r>
      <w:proofErr w:type="gramStart"/>
      <w:r w:rsidRPr="006D70C9">
        <w:rPr>
          <w:sz w:val="22"/>
          <w:szCs w:val="22"/>
        </w:rPr>
        <w:t>interventions;</w:t>
      </w:r>
      <w:proofErr w:type="gramEnd"/>
    </w:p>
    <w:p w14:paraId="22567028" w14:textId="77777777" w:rsidR="00742E0C" w:rsidRPr="006D70C9" w:rsidRDefault="009B723A" w:rsidP="006D70C9">
      <w:pPr>
        <w:numPr>
          <w:ilvl w:val="0"/>
          <w:numId w:val="9"/>
        </w:numPr>
        <w:spacing w:before="0"/>
        <w:ind w:left="360" w:hanging="360"/>
        <w:rPr>
          <w:sz w:val="22"/>
          <w:szCs w:val="22"/>
        </w:rPr>
      </w:pPr>
      <w:r w:rsidRPr="006D70C9">
        <w:rPr>
          <w:sz w:val="22"/>
          <w:szCs w:val="22"/>
        </w:rPr>
        <w:t xml:space="preserve">All stakeholders demonstrate a real willingness and capacities to cooperation </w:t>
      </w:r>
      <w:proofErr w:type="gramStart"/>
      <w:r w:rsidRPr="006D70C9">
        <w:rPr>
          <w:sz w:val="22"/>
          <w:szCs w:val="22"/>
        </w:rPr>
        <w:t>together;</w:t>
      </w:r>
      <w:proofErr w:type="gramEnd"/>
    </w:p>
    <w:p w14:paraId="69196BE5" w14:textId="77777777" w:rsidR="00742E0C" w:rsidRPr="006D70C9" w:rsidRDefault="009B723A" w:rsidP="006D70C9">
      <w:pPr>
        <w:numPr>
          <w:ilvl w:val="0"/>
          <w:numId w:val="9"/>
        </w:numPr>
        <w:spacing w:before="0"/>
        <w:ind w:left="360" w:hanging="360"/>
        <w:rPr>
          <w:sz w:val="22"/>
          <w:szCs w:val="22"/>
        </w:rPr>
      </w:pPr>
      <w:r w:rsidRPr="006D70C9">
        <w:rPr>
          <w:sz w:val="22"/>
          <w:szCs w:val="22"/>
        </w:rPr>
        <w:t xml:space="preserve">Consistent policy and strong commitment by the highest political level to maintain stable social </w:t>
      </w:r>
      <w:proofErr w:type="gramStart"/>
      <w:r w:rsidRPr="006D70C9">
        <w:rPr>
          <w:sz w:val="22"/>
          <w:szCs w:val="22"/>
        </w:rPr>
        <w:t>dialogue;</w:t>
      </w:r>
      <w:proofErr w:type="gramEnd"/>
    </w:p>
    <w:p w14:paraId="0F4D2755" w14:textId="77777777" w:rsidR="00742E0C" w:rsidRPr="006D70C9" w:rsidRDefault="009B723A" w:rsidP="006D70C9">
      <w:pPr>
        <w:numPr>
          <w:ilvl w:val="0"/>
          <w:numId w:val="9"/>
        </w:numPr>
        <w:spacing w:before="0"/>
        <w:ind w:left="360" w:hanging="360"/>
        <w:rPr>
          <w:sz w:val="22"/>
          <w:szCs w:val="22"/>
        </w:rPr>
      </w:pPr>
      <w:r w:rsidRPr="006D70C9">
        <w:rPr>
          <w:sz w:val="22"/>
          <w:szCs w:val="22"/>
        </w:rPr>
        <w:t xml:space="preserve">Full coordination and transparency in the work of all key counterparts </w:t>
      </w:r>
      <w:proofErr w:type="gramStart"/>
      <w:r w:rsidRPr="006D70C9">
        <w:rPr>
          <w:sz w:val="22"/>
          <w:szCs w:val="22"/>
        </w:rPr>
        <w:t>involved;</w:t>
      </w:r>
      <w:proofErr w:type="gramEnd"/>
    </w:p>
    <w:p w14:paraId="1DEA9404" w14:textId="77777777" w:rsidR="00742E0C" w:rsidRDefault="009B723A" w:rsidP="006D70C9">
      <w:pPr>
        <w:numPr>
          <w:ilvl w:val="0"/>
          <w:numId w:val="9"/>
        </w:numPr>
        <w:spacing w:before="0"/>
        <w:ind w:left="360" w:hanging="360"/>
        <w:rPr>
          <w:rFonts w:eastAsia="Calibri"/>
          <w:sz w:val="22"/>
          <w:szCs w:val="22"/>
          <w:lang w:eastAsia="ja-JP"/>
        </w:rPr>
      </w:pPr>
      <w:r w:rsidRPr="006D70C9">
        <w:rPr>
          <w:rFonts w:eastAsia="Calibri"/>
          <w:sz w:val="22"/>
          <w:szCs w:val="22"/>
          <w:lang w:eastAsia="ja-JP"/>
        </w:rPr>
        <w:t>Tripartite Economic and social council serving as a functional platform to discuss and provide recommendations on the economic and employment policy in the country.</w:t>
      </w:r>
    </w:p>
    <w:p w14:paraId="671A8B3A" w14:textId="77777777" w:rsidR="006D70C9" w:rsidRDefault="006D70C9" w:rsidP="006D70C9">
      <w:pPr>
        <w:spacing w:before="0"/>
        <w:ind w:left="360"/>
        <w:rPr>
          <w:rFonts w:eastAsia="Calibri"/>
          <w:sz w:val="22"/>
          <w:szCs w:val="22"/>
          <w:lang w:eastAsia="ja-JP"/>
        </w:rPr>
      </w:pPr>
    </w:p>
    <w:p w14:paraId="6A4D6F44" w14:textId="77777777" w:rsidR="006D70C9" w:rsidRPr="006D70C9" w:rsidRDefault="006D70C9" w:rsidP="006D70C9">
      <w:pPr>
        <w:spacing w:before="0"/>
        <w:ind w:left="360"/>
        <w:rPr>
          <w:rFonts w:eastAsia="Calibri"/>
          <w:sz w:val="22"/>
          <w:szCs w:val="22"/>
          <w:lang w:eastAsia="ja-JP"/>
        </w:rPr>
      </w:pPr>
    </w:p>
    <w:p w14:paraId="00AB2D0B" w14:textId="77777777" w:rsidR="00742E0C" w:rsidRPr="006D70C9" w:rsidRDefault="009B723A" w:rsidP="006D70C9">
      <w:pPr>
        <w:pStyle w:val="NumPar1"/>
        <w:tabs>
          <w:tab w:val="left" w:pos="480"/>
        </w:tabs>
        <w:spacing w:after="0"/>
        <w:ind w:left="0"/>
        <w:outlineLvl w:val="0"/>
        <w:rPr>
          <w:b/>
          <w:bCs/>
          <w:sz w:val="22"/>
          <w:szCs w:val="22"/>
        </w:rPr>
      </w:pPr>
      <w:r w:rsidRPr="006D70C9">
        <w:rPr>
          <w:b/>
          <w:bCs/>
          <w:sz w:val="22"/>
          <w:szCs w:val="22"/>
        </w:rPr>
        <w:lastRenderedPageBreak/>
        <w:t>Sustainability:</w:t>
      </w:r>
    </w:p>
    <w:p w14:paraId="41EBA882" w14:textId="77777777" w:rsidR="00742E0C" w:rsidRPr="006D70C9" w:rsidRDefault="009B723A" w:rsidP="006D70C9">
      <w:pPr>
        <w:contextualSpacing/>
        <w:outlineLvl w:val="0"/>
        <w:rPr>
          <w:sz w:val="22"/>
          <w:szCs w:val="22"/>
        </w:rPr>
      </w:pPr>
      <w:r w:rsidRPr="006D70C9">
        <w:rPr>
          <w:sz w:val="22"/>
          <w:szCs w:val="22"/>
        </w:rPr>
        <w:t>Overall, the interventions will contribute through further support of tripartite consultation structures and deepening their work, as well the investment in bipartite social dialogue in the private sector for its improved functioning, to more sustainable effective social dialogue managed by relevant counterparts with their capacities enhanced in relevant technical areas to be active partners in the EU accession process and relevant national policy-making processes. Building the knowledge and skills of the Economic and Social Council (ESC) members and its secretariat will be core point for heightened social dialogue.</w:t>
      </w:r>
    </w:p>
    <w:p w14:paraId="08AC4ED6" w14:textId="77777777" w:rsidR="00742E0C" w:rsidRPr="006D70C9" w:rsidRDefault="009B723A" w:rsidP="006D70C9">
      <w:pPr>
        <w:contextualSpacing/>
        <w:outlineLvl w:val="0"/>
        <w:rPr>
          <w:sz w:val="22"/>
          <w:szCs w:val="22"/>
        </w:rPr>
      </w:pPr>
      <w:r w:rsidRPr="006D70C9">
        <w:rPr>
          <w:sz w:val="22"/>
          <w:szCs w:val="22"/>
        </w:rPr>
        <w:t>Thus, social partners will be more diligent to reinforce collective agreements and implement the new labour legislation properly as well as for devising policy responses to the formidable challenges in the labour market linked to digitalisation and transition to green economy.</w:t>
      </w:r>
    </w:p>
    <w:p w14:paraId="55590AE2" w14:textId="77777777" w:rsidR="00742E0C" w:rsidRPr="006D70C9" w:rsidRDefault="009B723A" w:rsidP="006D70C9">
      <w:pPr>
        <w:contextualSpacing/>
        <w:outlineLvl w:val="0"/>
        <w:rPr>
          <w:sz w:val="22"/>
          <w:szCs w:val="22"/>
        </w:rPr>
      </w:pPr>
      <w:r w:rsidRPr="006D70C9">
        <w:rPr>
          <w:sz w:val="22"/>
          <w:szCs w:val="22"/>
        </w:rPr>
        <w:t xml:space="preserve">Tackling the membership of the trade unions and employers’ organisations in many economic sectors will ensure their improved institutional ability to address working conditions and the needs of businesses through collective bargaining and other forms of social dialogue. </w:t>
      </w:r>
    </w:p>
    <w:p w14:paraId="54036135" w14:textId="77777777" w:rsidR="00742E0C" w:rsidRPr="006D70C9" w:rsidRDefault="009B723A" w:rsidP="006D70C9">
      <w:pPr>
        <w:contextualSpacing/>
        <w:outlineLvl w:val="0"/>
        <w:rPr>
          <w:sz w:val="22"/>
          <w:szCs w:val="22"/>
        </w:rPr>
      </w:pPr>
      <w:r w:rsidRPr="006D70C9">
        <w:rPr>
          <w:sz w:val="22"/>
          <w:szCs w:val="22"/>
        </w:rPr>
        <w:t xml:space="preserve">The upgraded system and its basic architecture for amicable settlement of labour relation disputes will ensure to be more widely known and used by workers and employers. </w:t>
      </w:r>
    </w:p>
    <w:p w14:paraId="20B517AE" w14:textId="77777777" w:rsidR="00742E0C" w:rsidRPr="006D70C9" w:rsidRDefault="009B723A" w:rsidP="006D70C9">
      <w:pPr>
        <w:contextualSpacing/>
        <w:outlineLvl w:val="0"/>
        <w:rPr>
          <w:sz w:val="22"/>
          <w:szCs w:val="22"/>
        </w:rPr>
      </w:pPr>
      <w:r w:rsidRPr="006D70C9">
        <w:rPr>
          <w:sz w:val="22"/>
          <w:szCs w:val="22"/>
        </w:rPr>
        <w:t xml:space="preserve">The capacities of local economic and social councils will be increased to formulate and implement policies and measures for creating decent work in the local economy by promotion of Local Employment Partnerships (LEPs) as a tool for improving the situation in local labour market. </w:t>
      </w:r>
    </w:p>
    <w:p w14:paraId="460FA8FA" w14:textId="77777777" w:rsidR="00742E0C" w:rsidRPr="006D70C9" w:rsidRDefault="009B723A" w:rsidP="006D70C9">
      <w:pPr>
        <w:pStyle w:val="NumPar1"/>
        <w:tabs>
          <w:tab w:val="left" w:pos="480"/>
        </w:tabs>
        <w:spacing w:after="0"/>
        <w:ind w:left="0"/>
        <w:outlineLvl w:val="0"/>
        <w:rPr>
          <w:b/>
          <w:bCs/>
          <w:sz w:val="22"/>
          <w:szCs w:val="22"/>
        </w:rPr>
      </w:pPr>
      <w:r w:rsidRPr="006D70C9">
        <w:rPr>
          <w:b/>
          <w:bCs/>
          <w:sz w:val="22"/>
          <w:szCs w:val="22"/>
        </w:rPr>
        <w:t xml:space="preserve"> Gender equality and empowerment of women and girls, equal opportunity, Roma, </w:t>
      </w:r>
      <w:proofErr w:type="gramStart"/>
      <w:r w:rsidRPr="006D70C9">
        <w:rPr>
          <w:b/>
          <w:bCs/>
          <w:sz w:val="22"/>
          <w:szCs w:val="22"/>
        </w:rPr>
        <w:t>minorities</w:t>
      </w:r>
      <w:proofErr w:type="gramEnd"/>
      <w:r w:rsidRPr="006D70C9">
        <w:rPr>
          <w:b/>
          <w:bCs/>
          <w:sz w:val="22"/>
          <w:szCs w:val="22"/>
        </w:rPr>
        <w:t xml:space="preserve"> and vulnerable groups (where relevant):</w:t>
      </w:r>
    </w:p>
    <w:p w14:paraId="61D24E3E" w14:textId="77777777" w:rsidR="00742E0C" w:rsidRPr="006D70C9" w:rsidRDefault="009B723A" w:rsidP="006D70C9">
      <w:pPr>
        <w:contextualSpacing/>
        <w:outlineLvl w:val="0"/>
        <w:rPr>
          <w:sz w:val="22"/>
          <w:szCs w:val="22"/>
        </w:rPr>
      </w:pPr>
      <w:r w:rsidRPr="006D70C9">
        <w:rPr>
          <w:sz w:val="22"/>
          <w:szCs w:val="22"/>
        </w:rPr>
        <w:t xml:space="preserve">The projects will contribute to the promotion of gender equality and women’s empowerment through promotion of their active participation in social dialogue, as well increasing the female membership and leadership. The projects will be G1 gender sensitive. </w:t>
      </w:r>
    </w:p>
    <w:p w14:paraId="5C108F0B" w14:textId="77777777" w:rsidR="00742E0C" w:rsidRPr="006D70C9" w:rsidRDefault="009B723A" w:rsidP="006D70C9">
      <w:pPr>
        <w:contextualSpacing/>
        <w:outlineLvl w:val="0"/>
        <w:rPr>
          <w:sz w:val="22"/>
          <w:szCs w:val="22"/>
        </w:rPr>
      </w:pPr>
      <w:r w:rsidRPr="006D70C9">
        <w:rPr>
          <w:sz w:val="22"/>
          <w:szCs w:val="22"/>
        </w:rPr>
        <w:t>The two interventions will put an attention on addressing the gender sensitive issues in social dialogue structures and processes, and thus, contributing to gender mainstreaming in societal flows.</w:t>
      </w:r>
    </w:p>
    <w:p w14:paraId="024C6FC4" w14:textId="77777777" w:rsidR="00742E0C" w:rsidRPr="006D70C9" w:rsidRDefault="009B723A" w:rsidP="006D70C9">
      <w:pPr>
        <w:contextualSpacing/>
        <w:outlineLvl w:val="0"/>
        <w:rPr>
          <w:sz w:val="22"/>
          <w:szCs w:val="22"/>
        </w:rPr>
      </w:pPr>
      <w:r w:rsidRPr="006D70C9">
        <w:rPr>
          <w:sz w:val="22"/>
          <w:szCs w:val="22"/>
        </w:rPr>
        <w:t>The project will mainstream gender aspects in the collective barraging processes and agreements.</w:t>
      </w:r>
    </w:p>
    <w:p w14:paraId="496872B7" w14:textId="77777777" w:rsidR="00742E0C" w:rsidRPr="006D70C9" w:rsidRDefault="009B723A" w:rsidP="006D70C9">
      <w:pPr>
        <w:contextualSpacing/>
        <w:outlineLvl w:val="0"/>
        <w:rPr>
          <w:sz w:val="22"/>
          <w:szCs w:val="22"/>
        </w:rPr>
      </w:pPr>
      <w:r w:rsidRPr="006D70C9">
        <w:rPr>
          <w:sz w:val="22"/>
          <w:szCs w:val="22"/>
        </w:rPr>
        <w:t xml:space="preserve">Relevant stakeholders (public and/or non-state actors) affected by the issues to be addressed by these interventions are enlisted under section 5.9 of this OIS. Their roles and mandates and any institutional, organisational and/or capacity issues to be covered by this action are defined with scope of legal provisions in Labour Relations Law </w:t>
      </w:r>
      <w:proofErr w:type="gramStart"/>
      <w:r w:rsidRPr="006D70C9">
        <w:rPr>
          <w:sz w:val="22"/>
          <w:szCs w:val="22"/>
        </w:rPr>
        <w:t>in regard to</w:t>
      </w:r>
      <w:proofErr w:type="gramEnd"/>
      <w:r w:rsidRPr="006D70C9">
        <w:rPr>
          <w:sz w:val="22"/>
          <w:szCs w:val="22"/>
        </w:rPr>
        <w:t xml:space="preserve"> rights of members and acting of organizations of employers and employees.</w:t>
      </w:r>
    </w:p>
    <w:p w14:paraId="4705BF62" w14:textId="77777777" w:rsidR="00742E0C" w:rsidRPr="006D70C9" w:rsidRDefault="009B723A" w:rsidP="006D70C9">
      <w:pPr>
        <w:contextualSpacing/>
        <w:outlineLvl w:val="0"/>
        <w:rPr>
          <w:sz w:val="22"/>
          <w:szCs w:val="22"/>
        </w:rPr>
      </w:pPr>
      <w:r w:rsidRPr="006D70C9">
        <w:rPr>
          <w:sz w:val="22"/>
          <w:szCs w:val="22"/>
        </w:rPr>
        <w:t>Specific attention, where feasible, will be paid to the most vulnerable groups, by applying the principle and avoiding the risks of “doing no harm”.</w:t>
      </w:r>
    </w:p>
    <w:p w14:paraId="0C622395" w14:textId="77777777" w:rsidR="00742E0C" w:rsidRPr="006D70C9" w:rsidRDefault="009B723A" w:rsidP="006D70C9">
      <w:pPr>
        <w:pStyle w:val="NumPar1"/>
        <w:tabs>
          <w:tab w:val="left" w:pos="480"/>
        </w:tabs>
        <w:spacing w:after="0"/>
        <w:ind w:left="0"/>
        <w:outlineLvl w:val="0"/>
        <w:rPr>
          <w:b/>
          <w:bCs/>
          <w:sz w:val="22"/>
          <w:szCs w:val="22"/>
        </w:rPr>
      </w:pPr>
      <w:r w:rsidRPr="006D70C9">
        <w:rPr>
          <w:b/>
          <w:bCs/>
          <w:sz w:val="22"/>
          <w:szCs w:val="22"/>
        </w:rPr>
        <w:t xml:space="preserve">Requested financing from the European Commission: </w:t>
      </w:r>
    </w:p>
    <w:p w14:paraId="2BFBB265" w14:textId="77777777" w:rsidR="00742E0C" w:rsidRPr="006D70C9" w:rsidRDefault="009B723A" w:rsidP="006D70C9">
      <w:pPr>
        <w:rPr>
          <w:sz w:val="22"/>
          <w:szCs w:val="22"/>
        </w:rPr>
      </w:pPr>
      <w:r w:rsidRPr="006D70C9">
        <w:rPr>
          <w:sz w:val="22"/>
          <w:szCs w:val="22"/>
        </w:rPr>
        <w:t>The requested financing for the Operation from the European Commission will be 2 000 000 EUR (or 75% of total operation budget).</w:t>
      </w:r>
    </w:p>
    <w:p w14:paraId="40053765" w14:textId="77777777" w:rsidR="00742E0C" w:rsidRPr="006D70C9" w:rsidRDefault="009B723A" w:rsidP="006D70C9">
      <w:pPr>
        <w:pStyle w:val="NumPar1"/>
        <w:tabs>
          <w:tab w:val="left" w:pos="480"/>
        </w:tabs>
        <w:spacing w:after="0"/>
        <w:ind w:left="0"/>
        <w:outlineLvl w:val="0"/>
        <w:rPr>
          <w:b/>
          <w:bCs/>
          <w:sz w:val="22"/>
          <w:szCs w:val="22"/>
        </w:rPr>
      </w:pPr>
      <w:r w:rsidRPr="006D70C9">
        <w:rPr>
          <w:b/>
          <w:bCs/>
          <w:sz w:val="22"/>
          <w:szCs w:val="22"/>
        </w:rPr>
        <w:t xml:space="preserve">Co-financing: </w:t>
      </w:r>
    </w:p>
    <w:p w14:paraId="232AFBBA" w14:textId="77777777" w:rsidR="00742E0C" w:rsidRPr="006D70C9" w:rsidRDefault="009B723A" w:rsidP="006D70C9">
      <w:pPr>
        <w:rPr>
          <w:sz w:val="22"/>
          <w:szCs w:val="22"/>
        </w:rPr>
      </w:pPr>
      <w:r w:rsidRPr="006D70C9">
        <w:rPr>
          <w:sz w:val="22"/>
          <w:szCs w:val="22"/>
        </w:rPr>
        <w:t xml:space="preserve">The co-financing of the </w:t>
      </w:r>
      <w:proofErr w:type="gramStart"/>
      <w:r w:rsidRPr="006D70C9">
        <w:rPr>
          <w:sz w:val="22"/>
          <w:szCs w:val="22"/>
        </w:rPr>
        <w:t>Operation</w:t>
      </w:r>
      <w:proofErr w:type="gramEnd"/>
      <w:r w:rsidRPr="006D70C9">
        <w:rPr>
          <w:sz w:val="22"/>
          <w:szCs w:val="22"/>
        </w:rPr>
        <w:t xml:space="preserve"> will be ensured by the national public contribution and third-party contribution in amount of 820 000 EUR (or 25% of total operation budget). </w:t>
      </w:r>
    </w:p>
    <w:p w14:paraId="212F7889" w14:textId="77777777" w:rsidR="00742E0C" w:rsidRPr="006D70C9" w:rsidRDefault="009B723A" w:rsidP="006D70C9">
      <w:pPr>
        <w:pStyle w:val="NumPar1"/>
        <w:tabs>
          <w:tab w:val="left" w:pos="480"/>
        </w:tabs>
        <w:ind w:left="0"/>
        <w:outlineLvl w:val="0"/>
        <w:rPr>
          <w:b/>
          <w:bCs/>
          <w:sz w:val="22"/>
          <w:szCs w:val="22"/>
        </w:rPr>
      </w:pPr>
      <w:r w:rsidRPr="006D70C9">
        <w:rPr>
          <w:b/>
          <w:bCs/>
          <w:sz w:val="22"/>
          <w:szCs w:val="22"/>
        </w:rPr>
        <w:t xml:space="preserve">Budget breakdown: </w:t>
      </w:r>
    </w:p>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987"/>
        <w:gridCol w:w="1850"/>
        <w:gridCol w:w="1548"/>
        <w:gridCol w:w="1495"/>
        <w:gridCol w:w="1405"/>
        <w:gridCol w:w="1413"/>
      </w:tblGrid>
      <w:tr w:rsidR="00742E0C" w:rsidRPr="006D70C9" w14:paraId="33E109D0" w14:textId="77777777" w:rsidTr="009F3930">
        <w:trPr>
          <w:trHeight w:val="442"/>
        </w:trPr>
        <w:tc>
          <w:tcPr>
            <w:tcW w:w="1987" w:type="dxa"/>
            <w:shd w:val="solid" w:color="C6D9F1" w:fill="auto"/>
            <w:tcMar>
              <w:top w:w="57" w:type="dxa"/>
              <w:left w:w="57" w:type="dxa"/>
              <w:bottom w:w="57" w:type="dxa"/>
              <w:right w:w="57" w:type="dxa"/>
            </w:tcMar>
            <w:vAlign w:val="center"/>
          </w:tcPr>
          <w:p w14:paraId="352FDC9D" w14:textId="77777777" w:rsidR="00742E0C" w:rsidRPr="006D70C9" w:rsidRDefault="009B723A" w:rsidP="006D70C9">
            <w:pPr>
              <w:contextualSpacing/>
              <w:jc w:val="center"/>
              <w:outlineLvl w:val="0"/>
              <w:rPr>
                <w:b/>
                <w:bCs/>
                <w:sz w:val="20"/>
                <w:szCs w:val="20"/>
              </w:rPr>
            </w:pPr>
            <w:bookmarkStart w:id="8" w:name="_Hlk140492167"/>
            <w:bookmarkEnd w:id="8"/>
            <w:r w:rsidRPr="006D70C9">
              <w:rPr>
                <w:b/>
                <w:bCs/>
                <w:sz w:val="20"/>
                <w:szCs w:val="20"/>
              </w:rPr>
              <w:t>Activity</w:t>
            </w:r>
          </w:p>
        </w:tc>
        <w:tc>
          <w:tcPr>
            <w:tcW w:w="1850" w:type="dxa"/>
            <w:shd w:val="solid" w:color="C6D9F1" w:fill="auto"/>
            <w:tcMar>
              <w:top w:w="0" w:type="dxa"/>
              <w:left w:w="10" w:type="dxa"/>
              <w:bottom w:w="0" w:type="dxa"/>
              <w:right w:w="10" w:type="dxa"/>
            </w:tcMar>
            <w:vAlign w:val="center"/>
          </w:tcPr>
          <w:p w14:paraId="082F3966" w14:textId="77777777" w:rsidR="00742E0C" w:rsidRPr="006D70C9" w:rsidRDefault="009B723A" w:rsidP="006D70C9">
            <w:pPr>
              <w:contextualSpacing/>
              <w:jc w:val="center"/>
              <w:outlineLvl w:val="0"/>
              <w:rPr>
                <w:b/>
                <w:bCs/>
                <w:sz w:val="20"/>
                <w:szCs w:val="20"/>
              </w:rPr>
            </w:pPr>
            <w:r w:rsidRPr="006D70C9">
              <w:rPr>
                <w:b/>
                <w:bCs/>
                <w:sz w:val="20"/>
                <w:szCs w:val="20"/>
              </w:rPr>
              <w:t>Contract / Procurement procedure</w:t>
            </w:r>
          </w:p>
        </w:tc>
        <w:tc>
          <w:tcPr>
            <w:tcW w:w="1548" w:type="dxa"/>
            <w:shd w:val="solid" w:color="C6D9F1" w:fill="auto"/>
            <w:tcMar>
              <w:top w:w="57" w:type="dxa"/>
              <w:left w:w="57" w:type="dxa"/>
              <w:bottom w:w="57" w:type="dxa"/>
              <w:right w:w="57" w:type="dxa"/>
            </w:tcMar>
            <w:vAlign w:val="center"/>
          </w:tcPr>
          <w:p w14:paraId="16B9A0AD" w14:textId="77777777" w:rsidR="00742E0C" w:rsidRPr="006D70C9" w:rsidRDefault="009B723A" w:rsidP="006D70C9">
            <w:pPr>
              <w:contextualSpacing/>
              <w:jc w:val="center"/>
              <w:outlineLvl w:val="0"/>
              <w:rPr>
                <w:b/>
                <w:bCs/>
                <w:sz w:val="20"/>
                <w:szCs w:val="20"/>
              </w:rPr>
            </w:pPr>
            <w:r w:rsidRPr="006D70C9">
              <w:rPr>
                <w:b/>
                <w:bCs/>
                <w:sz w:val="20"/>
                <w:szCs w:val="20"/>
              </w:rPr>
              <w:t>Total budget</w:t>
            </w:r>
          </w:p>
          <w:p w14:paraId="6A55BD2D" w14:textId="77777777" w:rsidR="00742E0C" w:rsidRPr="006D70C9" w:rsidRDefault="009B723A" w:rsidP="006D70C9">
            <w:pPr>
              <w:contextualSpacing/>
              <w:jc w:val="center"/>
              <w:outlineLvl w:val="0"/>
              <w:rPr>
                <w:b/>
                <w:bCs/>
                <w:sz w:val="20"/>
                <w:szCs w:val="20"/>
              </w:rPr>
            </w:pPr>
            <w:r w:rsidRPr="006D70C9">
              <w:rPr>
                <w:b/>
                <w:bCs/>
                <w:sz w:val="20"/>
                <w:szCs w:val="20"/>
              </w:rPr>
              <w:t xml:space="preserve"> in EUR</w:t>
            </w:r>
          </w:p>
        </w:tc>
        <w:tc>
          <w:tcPr>
            <w:tcW w:w="1495" w:type="dxa"/>
            <w:shd w:val="solid" w:color="C6D9F1" w:fill="auto"/>
            <w:tcMar>
              <w:top w:w="57" w:type="dxa"/>
              <w:left w:w="57" w:type="dxa"/>
              <w:bottom w:w="57" w:type="dxa"/>
              <w:right w:w="57" w:type="dxa"/>
            </w:tcMar>
            <w:vAlign w:val="center"/>
          </w:tcPr>
          <w:p w14:paraId="76474741" w14:textId="77777777" w:rsidR="00742E0C" w:rsidRPr="006D70C9" w:rsidRDefault="009B723A" w:rsidP="006D70C9">
            <w:pPr>
              <w:contextualSpacing/>
              <w:jc w:val="center"/>
              <w:outlineLvl w:val="0"/>
              <w:rPr>
                <w:b/>
                <w:bCs/>
                <w:sz w:val="20"/>
                <w:szCs w:val="20"/>
              </w:rPr>
            </w:pPr>
            <w:r w:rsidRPr="006D70C9">
              <w:rPr>
                <w:b/>
                <w:bCs/>
                <w:sz w:val="20"/>
                <w:szCs w:val="20"/>
              </w:rPr>
              <w:t xml:space="preserve">IPA contribution </w:t>
            </w:r>
          </w:p>
          <w:p w14:paraId="278575A3" w14:textId="77777777" w:rsidR="00742E0C" w:rsidRPr="006D70C9" w:rsidRDefault="009B723A" w:rsidP="006D70C9">
            <w:pPr>
              <w:contextualSpacing/>
              <w:jc w:val="center"/>
              <w:outlineLvl w:val="0"/>
              <w:rPr>
                <w:b/>
                <w:bCs/>
                <w:sz w:val="20"/>
                <w:szCs w:val="20"/>
              </w:rPr>
            </w:pPr>
            <w:r w:rsidRPr="006D70C9">
              <w:rPr>
                <w:b/>
                <w:bCs/>
                <w:sz w:val="20"/>
                <w:szCs w:val="20"/>
              </w:rPr>
              <w:t>in EUR</w:t>
            </w:r>
          </w:p>
        </w:tc>
        <w:tc>
          <w:tcPr>
            <w:tcW w:w="1405" w:type="dxa"/>
            <w:shd w:val="solid" w:color="C6D9F1" w:fill="auto"/>
            <w:tcMar>
              <w:top w:w="57" w:type="dxa"/>
              <w:left w:w="57" w:type="dxa"/>
              <w:bottom w:w="57" w:type="dxa"/>
              <w:right w:w="57" w:type="dxa"/>
            </w:tcMar>
            <w:vAlign w:val="center"/>
          </w:tcPr>
          <w:p w14:paraId="45FEACC8" w14:textId="77777777" w:rsidR="00742E0C" w:rsidRPr="006D70C9" w:rsidRDefault="009B723A" w:rsidP="006D70C9">
            <w:pPr>
              <w:contextualSpacing/>
              <w:jc w:val="center"/>
              <w:outlineLvl w:val="0"/>
              <w:rPr>
                <w:b/>
                <w:bCs/>
                <w:sz w:val="20"/>
                <w:szCs w:val="20"/>
              </w:rPr>
            </w:pPr>
            <w:r w:rsidRPr="006D70C9">
              <w:rPr>
                <w:b/>
                <w:bCs/>
                <w:sz w:val="20"/>
                <w:szCs w:val="20"/>
              </w:rPr>
              <w:t xml:space="preserve">National public contribution </w:t>
            </w:r>
          </w:p>
          <w:p w14:paraId="563741D5" w14:textId="77777777" w:rsidR="00742E0C" w:rsidRPr="006D70C9" w:rsidRDefault="009B723A" w:rsidP="006D70C9">
            <w:pPr>
              <w:contextualSpacing/>
              <w:jc w:val="center"/>
              <w:outlineLvl w:val="0"/>
              <w:rPr>
                <w:b/>
                <w:bCs/>
                <w:sz w:val="20"/>
                <w:szCs w:val="20"/>
              </w:rPr>
            </w:pPr>
            <w:r w:rsidRPr="006D70C9">
              <w:rPr>
                <w:b/>
                <w:bCs/>
                <w:sz w:val="20"/>
                <w:szCs w:val="20"/>
              </w:rPr>
              <w:t>in EUR</w:t>
            </w:r>
          </w:p>
        </w:tc>
        <w:tc>
          <w:tcPr>
            <w:tcW w:w="1413" w:type="dxa"/>
            <w:shd w:val="solid" w:color="C6D9F1" w:fill="auto"/>
            <w:tcMar>
              <w:top w:w="57" w:type="dxa"/>
              <w:left w:w="57" w:type="dxa"/>
              <w:bottom w:w="57" w:type="dxa"/>
              <w:right w:w="57" w:type="dxa"/>
            </w:tcMar>
            <w:vAlign w:val="center"/>
          </w:tcPr>
          <w:p w14:paraId="20E565AB" w14:textId="77777777" w:rsidR="00742E0C" w:rsidRPr="006D70C9" w:rsidRDefault="009B723A" w:rsidP="006D70C9">
            <w:pPr>
              <w:contextualSpacing/>
              <w:jc w:val="center"/>
              <w:outlineLvl w:val="0"/>
              <w:rPr>
                <w:b/>
                <w:bCs/>
                <w:sz w:val="20"/>
                <w:szCs w:val="20"/>
              </w:rPr>
            </w:pPr>
            <w:r w:rsidRPr="006D70C9">
              <w:rPr>
                <w:b/>
                <w:bCs/>
                <w:sz w:val="20"/>
                <w:szCs w:val="20"/>
              </w:rPr>
              <w:t xml:space="preserve">Third-party contribution </w:t>
            </w:r>
          </w:p>
          <w:p w14:paraId="1B7A0A12" w14:textId="77777777" w:rsidR="00742E0C" w:rsidRPr="006D70C9" w:rsidRDefault="009B723A" w:rsidP="006D70C9">
            <w:pPr>
              <w:contextualSpacing/>
              <w:jc w:val="center"/>
              <w:outlineLvl w:val="0"/>
              <w:rPr>
                <w:b/>
                <w:bCs/>
                <w:sz w:val="20"/>
                <w:szCs w:val="20"/>
              </w:rPr>
            </w:pPr>
            <w:r w:rsidRPr="006D70C9">
              <w:rPr>
                <w:b/>
                <w:bCs/>
                <w:sz w:val="20"/>
                <w:szCs w:val="20"/>
              </w:rPr>
              <w:t>in EUR</w:t>
            </w:r>
          </w:p>
        </w:tc>
      </w:tr>
      <w:tr w:rsidR="00742E0C" w:rsidRPr="006D70C9" w14:paraId="3C5747E4" w14:textId="77777777" w:rsidTr="009F3930">
        <w:tc>
          <w:tcPr>
            <w:tcW w:w="1987" w:type="dxa"/>
            <w:shd w:val="solid" w:color="FFFFFF" w:fill="auto"/>
            <w:tcMar>
              <w:top w:w="57" w:type="dxa"/>
              <w:left w:w="57" w:type="dxa"/>
              <w:bottom w:w="57" w:type="dxa"/>
              <w:right w:w="57" w:type="dxa"/>
            </w:tcMar>
            <w:vAlign w:val="center"/>
          </w:tcPr>
          <w:p w14:paraId="5B425005" w14:textId="77777777" w:rsidR="00742E0C" w:rsidRPr="006D70C9" w:rsidRDefault="009B723A" w:rsidP="006D70C9">
            <w:pPr>
              <w:suppressAutoHyphens/>
              <w:jc w:val="left"/>
              <w:rPr>
                <w:i/>
                <w:iCs/>
                <w:sz w:val="20"/>
                <w:szCs w:val="20"/>
              </w:rPr>
            </w:pPr>
            <w:r w:rsidRPr="006D70C9">
              <w:rPr>
                <w:b/>
                <w:bCs/>
                <w:i/>
                <w:iCs/>
                <w:sz w:val="20"/>
                <w:szCs w:val="20"/>
              </w:rPr>
              <w:t>Activity 1</w:t>
            </w:r>
            <w:r w:rsidRPr="006D70C9">
              <w:rPr>
                <w:i/>
                <w:iCs/>
                <w:sz w:val="20"/>
                <w:szCs w:val="20"/>
              </w:rPr>
              <w:t xml:space="preserve"> - Enhancing the Social Dialogue at National and Local Level</w:t>
            </w:r>
          </w:p>
        </w:tc>
        <w:tc>
          <w:tcPr>
            <w:tcW w:w="1850" w:type="dxa"/>
            <w:shd w:val="solid" w:color="FFFFFF" w:fill="auto"/>
            <w:tcMar>
              <w:top w:w="0" w:type="dxa"/>
              <w:left w:w="10" w:type="dxa"/>
              <w:bottom w:w="0" w:type="dxa"/>
              <w:right w:w="10" w:type="dxa"/>
            </w:tcMar>
            <w:vAlign w:val="center"/>
          </w:tcPr>
          <w:p w14:paraId="1A04B965" w14:textId="77777777" w:rsidR="00742E0C" w:rsidRPr="006D70C9" w:rsidRDefault="009B723A" w:rsidP="006D70C9">
            <w:pPr>
              <w:contextualSpacing/>
              <w:jc w:val="center"/>
              <w:outlineLvl w:val="0"/>
              <w:rPr>
                <w:sz w:val="20"/>
                <w:szCs w:val="20"/>
              </w:rPr>
            </w:pPr>
            <w:r w:rsidRPr="006D70C9">
              <w:rPr>
                <w:sz w:val="20"/>
                <w:szCs w:val="20"/>
              </w:rPr>
              <w:t>Action Grant/Direct Award to international organisation</w:t>
            </w:r>
          </w:p>
        </w:tc>
        <w:tc>
          <w:tcPr>
            <w:tcW w:w="1548" w:type="dxa"/>
            <w:shd w:val="solid" w:color="FFFFFF" w:fill="auto"/>
            <w:tcMar>
              <w:top w:w="57" w:type="dxa"/>
              <w:left w:w="57" w:type="dxa"/>
              <w:bottom w:w="57" w:type="dxa"/>
              <w:right w:w="57" w:type="dxa"/>
            </w:tcMar>
            <w:vAlign w:val="center"/>
          </w:tcPr>
          <w:p w14:paraId="4249088B" w14:textId="77777777" w:rsidR="00742E0C" w:rsidRPr="006D70C9" w:rsidRDefault="009B723A" w:rsidP="006D70C9">
            <w:pPr>
              <w:contextualSpacing/>
              <w:jc w:val="center"/>
              <w:outlineLvl w:val="0"/>
              <w:rPr>
                <w:sz w:val="20"/>
                <w:szCs w:val="20"/>
              </w:rPr>
            </w:pPr>
            <w:r w:rsidRPr="006D70C9">
              <w:rPr>
                <w:sz w:val="20"/>
                <w:szCs w:val="20"/>
              </w:rPr>
              <w:t>2 100 000</w:t>
            </w:r>
          </w:p>
        </w:tc>
        <w:tc>
          <w:tcPr>
            <w:tcW w:w="1495" w:type="dxa"/>
            <w:tcMar>
              <w:top w:w="57" w:type="dxa"/>
              <w:left w:w="57" w:type="dxa"/>
              <w:bottom w:w="57" w:type="dxa"/>
              <w:right w:w="57" w:type="dxa"/>
            </w:tcMar>
            <w:vAlign w:val="center"/>
          </w:tcPr>
          <w:p w14:paraId="06D9A6D3" w14:textId="77777777" w:rsidR="00742E0C" w:rsidRPr="006D70C9" w:rsidRDefault="009B723A" w:rsidP="006D70C9">
            <w:pPr>
              <w:contextualSpacing/>
              <w:jc w:val="center"/>
              <w:outlineLvl w:val="0"/>
              <w:rPr>
                <w:sz w:val="20"/>
                <w:szCs w:val="20"/>
              </w:rPr>
            </w:pPr>
            <w:r w:rsidRPr="006D70C9">
              <w:rPr>
                <w:sz w:val="20"/>
                <w:szCs w:val="20"/>
              </w:rPr>
              <w:t>1 400 000</w:t>
            </w:r>
          </w:p>
        </w:tc>
        <w:tc>
          <w:tcPr>
            <w:tcW w:w="1405" w:type="dxa"/>
            <w:tcMar>
              <w:top w:w="57" w:type="dxa"/>
              <w:left w:w="57" w:type="dxa"/>
              <w:bottom w:w="57" w:type="dxa"/>
              <w:right w:w="57" w:type="dxa"/>
            </w:tcMar>
            <w:vAlign w:val="center"/>
          </w:tcPr>
          <w:p w14:paraId="66E19676" w14:textId="77777777" w:rsidR="00742E0C" w:rsidRPr="006D70C9" w:rsidRDefault="009B723A" w:rsidP="006D70C9">
            <w:pPr>
              <w:contextualSpacing/>
              <w:jc w:val="center"/>
              <w:outlineLvl w:val="0"/>
              <w:rPr>
                <w:sz w:val="20"/>
                <w:szCs w:val="20"/>
              </w:rPr>
            </w:pPr>
            <w:r w:rsidRPr="006D70C9">
              <w:rPr>
                <w:sz w:val="20"/>
                <w:szCs w:val="20"/>
              </w:rPr>
              <w:t>300 000</w:t>
            </w:r>
          </w:p>
        </w:tc>
        <w:tc>
          <w:tcPr>
            <w:tcW w:w="1413" w:type="dxa"/>
            <w:tcMar>
              <w:top w:w="57" w:type="dxa"/>
              <w:left w:w="57" w:type="dxa"/>
              <w:bottom w:w="57" w:type="dxa"/>
              <w:right w:w="57" w:type="dxa"/>
            </w:tcMar>
            <w:vAlign w:val="center"/>
          </w:tcPr>
          <w:p w14:paraId="77561457" w14:textId="77777777" w:rsidR="00742E0C" w:rsidRPr="006D70C9" w:rsidRDefault="009B723A" w:rsidP="006D70C9">
            <w:pPr>
              <w:contextualSpacing/>
              <w:jc w:val="center"/>
              <w:outlineLvl w:val="0"/>
              <w:rPr>
                <w:sz w:val="20"/>
                <w:szCs w:val="20"/>
              </w:rPr>
            </w:pPr>
            <w:r w:rsidRPr="006D70C9">
              <w:rPr>
                <w:sz w:val="20"/>
                <w:szCs w:val="20"/>
              </w:rPr>
              <w:t>400 000</w:t>
            </w:r>
            <w:r w:rsidRPr="006D70C9">
              <w:rPr>
                <w:rStyle w:val="FootnoteReference"/>
                <w:sz w:val="20"/>
                <w:szCs w:val="20"/>
              </w:rPr>
              <w:footnoteReference w:id="4"/>
            </w:r>
          </w:p>
        </w:tc>
      </w:tr>
      <w:tr w:rsidR="00742E0C" w:rsidRPr="006D70C9" w14:paraId="3007D934" w14:textId="77777777" w:rsidTr="009F3930">
        <w:tc>
          <w:tcPr>
            <w:tcW w:w="1987" w:type="dxa"/>
            <w:shd w:val="solid" w:color="FFFFFF" w:fill="auto"/>
            <w:tcMar>
              <w:top w:w="57" w:type="dxa"/>
              <w:left w:w="57" w:type="dxa"/>
              <w:bottom w:w="57" w:type="dxa"/>
              <w:right w:w="57" w:type="dxa"/>
            </w:tcMar>
            <w:vAlign w:val="center"/>
          </w:tcPr>
          <w:p w14:paraId="7B6DBA16" w14:textId="77777777" w:rsidR="00742E0C" w:rsidRPr="006D70C9" w:rsidRDefault="009B723A" w:rsidP="006D70C9">
            <w:pPr>
              <w:suppressAutoHyphens/>
              <w:jc w:val="left"/>
              <w:rPr>
                <w:i/>
                <w:iCs/>
                <w:sz w:val="20"/>
                <w:szCs w:val="20"/>
                <w:lang w:eastAsia="ja-JP"/>
              </w:rPr>
            </w:pPr>
            <w:r w:rsidRPr="006D70C9">
              <w:rPr>
                <w:b/>
                <w:bCs/>
                <w:i/>
                <w:iCs/>
                <w:sz w:val="20"/>
                <w:szCs w:val="20"/>
                <w:lang w:eastAsia="ja-JP"/>
              </w:rPr>
              <w:t xml:space="preserve"> Activity 2</w:t>
            </w:r>
            <w:r w:rsidRPr="006D70C9">
              <w:rPr>
                <w:i/>
                <w:iCs/>
                <w:sz w:val="20"/>
                <w:szCs w:val="20"/>
                <w:lang w:eastAsia="ja-JP"/>
              </w:rPr>
              <w:t xml:space="preserve"> - </w:t>
            </w:r>
            <w:r w:rsidRPr="006D70C9">
              <w:rPr>
                <w:i/>
                <w:iCs/>
                <w:sz w:val="20"/>
                <w:szCs w:val="20"/>
                <w:lang w:eastAsia="ja-JP"/>
              </w:rPr>
              <w:lastRenderedPageBreak/>
              <w:t>Supporting Local Economic and Social Councils Develop and Implement Local Employment Partnerships</w:t>
            </w:r>
          </w:p>
        </w:tc>
        <w:tc>
          <w:tcPr>
            <w:tcW w:w="1850" w:type="dxa"/>
            <w:shd w:val="solid" w:color="FFFFFF" w:fill="auto"/>
            <w:tcMar>
              <w:top w:w="0" w:type="dxa"/>
              <w:left w:w="10" w:type="dxa"/>
              <w:bottom w:w="0" w:type="dxa"/>
              <w:right w:w="10" w:type="dxa"/>
            </w:tcMar>
            <w:vAlign w:val="center"/>
          </w:tcPr>
          <w:p w14:paraId="3B88CA0A" w14:textId="77777777" w:rsidR="00742E0C" w:rsidRPr="006D70C9" w:rsidRDefault="009B723A" w:rsidP="006D70C9">
            <w:pPr>
              <w:contextualSpacing/>
              <w:jc w:val="center"/>
              <w:outlineLvl w:val="0"/>
              <w:rPr>
                <w:sz w:val="20"/>
                <w:szCs w:val="20"/>
              </w:rPr>
            </w:pPr>
            <w:r w:rsidRPr="006D70C9">
              <w:rPr>
                <w:sz w:val="20"/>
                <w:szCs w:val="20"/>
              </w:rPr>
              <w:lastRenderedPageBreak/>
              <w:t xml:space="preserve">Grant contracts/ </w:t>
            </w:r>
            <w:r w:rsidRPr="006D70C9">
              <w:rPr>
                <w:sz w:val="20"/>
                <w:szCs w:val="20"/>
              </w:rPr>
              <w:lastRenderedPageBreak/>
              <w:t>Restricted Grant Scheme</w:t>
            </w:r>
          </w:p>
        </w:tc>
        <w:tc>
          <w:tcPr>
            <w:tcW w:w="1548" w:type="dxa"/>
            <w:shd w:val="solid" w:color="FFFFFF" w:fill="auto"/>
            <w:tcMar>
              <w:top w:w="57" w:type="dxa"/>
              <w:left w:w="57" w:type="dxa"/>
              <w:bottom w:w="57" w:type="dxa"/>
              <w:right w:w="57" w:type="dxa"/>
            </w:tcMar>
            <w:vAlign w:val="center"/>
          </w:tcPr>
          <w:p w14:paraId="09BBB8C7" w14:textId="77777777" w:rsidR="00742E0C" w:rsidRPr="006D70C9" w:rsidRDefault="009B723A" w:rsidP="006D70C9">
            <w:pPr>
              <w:contextualSpacing/>
              <w:jc w:val="center"/>
              <w:outlineLvl w:val="0"/>
              <w:rPr>
                <w:sz w:val="20"/>
                <w:szCs w:val="20"/>
              </w:rPr>
            </w:pPr>
            <w:r w:rsidRPr="006D70C9">
              <w:rPr>
                <w:sz w:val="20"/>
                <w:szCs w:val="20"/>
              </w:rPr>
              <w:lastRenderedPageBreak/>
              <w:t>720 000</w:t>
            </w:r>
          </w:p>
        </w:tc>
        <w:tc>
          <w:tcPr>
            <w:tcW w:w="1495" w:type="dxa"/>
            <w:tcMar>
              <w:top w:w="57" w:type="dxa"/>
              <w:left w:w="57" w:type="dxa"/>
              <w:bottom w:w="57" w:type="dxa"/>
              <w:right w:w="57" w:type="dxa"/>
            </w:tcMar>
            <w:vAlign w:val="center"/>
          </w:tcPr>
          <w:p w14:paraId="01AC674A" w14:textId="77777777" w:rsidR="00742E0C" w:rsidRPr="006D70C9" w:rsidRDefault="009B723A" w:rsidP="006D70C9">
            <w:pPr>
              <w:contextualSpacing/>
              <w:jc w:val="center"/>
              <w:outlineLvl w:val="0"/>
              <w:rPr>
                <w:sz w:val="20"/>
                <w:szCs w:val="20"/>
              </w:rPr>
            </w:pPr>
            <w:r w:rsidRPr="006D70C9">
              <w:rPr>
                <w:sz w:val="20"/>
                <w:szCs w:val="20"/>
              </w:rPr>
              <w:t>600 000</w:t>
            </w:r>
          </w:p>
        </w:tc>
        <w:tc>
          <w:tcPr>
            <w:tcW w:w="1405" w:type="dxa"/>
            <w:tcMar>
              <w:top w:w="57" w:type="dxa"/>
              <w:left w:w="57" w:type="dxa"/>
              <w:bottom w:w="57" w:type="dxa"/>
              <w:right w:w="57" w:type="dxa"/>
            </w:tcMar>
            <w:vAlign w:val="center"/>
          </w:tcPr>
          <w:p w14:paraId="4E032FD0" w14:textId="77777777" w:rsidR="00742E0C" w:rsidRPr="006D70C9" w:rsidRDefault="009B723A" w:rsidP="006D70C9">
            <w:pPr>
              <w:contextualSpacing/>
              <w:jc w:val="center"/>
              <w:outlineLvl w:val="0"/>
              <w:rPr>
                <w:sz w:val="20"/>
                <w:szCs w:val="20"/>
              </w:rPr>
            </w:pPr>
            <w:r w:rsidRPr="006D70C9">
              <w:rPr>
                <w:sz w:val="20"/>
                <w:szCs w:val="20"/>
              </w:rPr>
              <w:t>84 000</w:t>
            </w:r>
          </w:p>
        </w:tc>
        <w:tc>
          <w:tcPr>
            <w:tcW w:w="1413" w:type="dxa"/>
            <w:tcMar>
              <w:top w:w="57" w:type="dxa"/>
              <w:left w:w="57" w:type="dxa"/>
              <w:bottom w:w="57" w:type="dxa"/>
              <w:right w:w="57" w:type="dxa"/>
            </w:tcMar>
            <w:vAlign w:val="center"/>
          </w:tcPr>
          <w:p w14:paraId="6B4E25AA" w14:textId="77777777" w:rsidR="00742E0C" w:rsidRPr="006D70C9" w:rsidRDefault="009B723A" w:rsidP="006D70C9">
            <w:pPr>
              <w:contextualSpacing/>
              <w:jc w:val="center"/>
              <w:outlineLvl w:val="0"/>
              <w:rPr>
                <w:sz w:val="20"/>
                <w:szCs w:val="20"/>
              </w:rPr>
            </w:pPr>
            <w:r w:rsidRPr="006D70C9">
              <w:rPr>
                <w:sz w:val="20"/>
                <w:szCs w:val="20"/>
              </w:rPr>
              <w:t>36 000</w:t>
            </w:r>
            <w:r w:rsidRPr="006D70C9">
              <w:rPr>
                <w:rStyle w:val="FootnoteReference"/>
                <w:sz w:val="20"/>
                <w:szCs w:val="20"/>
              </w:rPr>
              <w:footnoteReference w:id="5"/>
            </w:r>
          </w:p>
        </w:tc>
      </w:tr>
    </w:tbl>
    <w:p w14:paraId="38246FD7" w14:textId="77777777" w:rsidR="00742E0C" w:rsidRPr="006D70C9" w:rsidRDefault="00742E0C" w:rsidP="006D70C9">
      <w:pPr>
        <w:contextualSpacing/>
        <w:outlineLvl w:val="0"/>
        <w:rPr>
          <w:i/>
          <w:iCs/>
          <w:sz w:val="22"/>
          <w:szCs w:val="22"/>
        </w:rPr>
      </w:pPr>
    </w:p>
    <w:sectPr w:rsidR="00742E0C" w:rsidRPr="006D70C9">
      <w:headerReference w:type="default" r:id="rId7"/>
      <w:footerReference w:type="default" r:id="rId8"/>
      <w:endnotePr>
        <w:numFmt w:val="decimal"/>
      </w:endnotePr>
      <w:pgSz w:w="11906" w:h="16838"/>
      <w:pgMar w:top="1134" w:right="1134" w:bottom="1134" w:left="1134" w:header="567"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F60A3" w14:textId="77777777" w:rsidR="00C6128F" w:rsidRDefault="00C6128F">
      <w:pPr>
        <w:spacing w:before="0"/>
      </w:pPr>
      <w:r>
        <w:separator/>
      </w:r>
    </w:p>
  </w:endnote>
  <w:endnote w:type="continuationSeparator" w:id="0">
    <w:p w14:paraId="0FB1FCD1" w14:textId="77777777" w:rsidR="00C6128F" w:rsidRDefault="00C6128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A6E50" w14:textId="77777777" w:rsidR="00742E0C" w:rsidRDefault="009B723A">
    <w:pPr>
      <w:pStyle w:val="Footer"/>
      <w:jc w:val="center"/>
      <w:rPr>
        <w:sz w:val="20"/>
        <w:szCs w:val="20"/>
      </w:rPr>
    </w:pPr>
    <w:r>
      <w:rPr>
        <w:sz w:val="20"/>
        <w:szCs w:val="20"/>
      </w:rPr>
      <w:t xml:space="preserve">- </w:t>
    </w:r>
    <w:r>
      <w:rPr>
        <w:sz w:val="20"/>
        <w:szCs w:val="20"/>
      </w:rPr>
      <w:fldChar w:fldCharType="begin"/>
    </w:r>
    <w:r>
      <w:rPr>
        <w:sz w:val="20"/>
        <w:szCs w:val="20"/>
      </w:rPr>
      <w:instrText xml:space="preserve"> PAGE \* Arabic </w:instrText>
    </w:r>
    <w:r>
      <w:rPr>
        <w:sz w:val="20"/>
        <w:szCs w:val="20"/>
      </w:rPr>
      <w:fldChar w:fldCharType="separate"/>
    </w:r>
    <w:r>
      <w:rPr>
        <w:sz w:val="20"/>
        <w:szCs w:val="20"/>
      </w:rPr>
      <w:t>3</w:t>
    </w:r>
    <w:r>
      <w:rPr>
        <w:sz w:val="20"/>
        <w:szCs w:val="20"/>
      </w:rPr>
      <w:fldChar w:fldCharType="end"/>
    </w:r>
    <w:r>
      <w:rPr>
        <w:sz w:val="20"/>
        <w:szCs w:val="20"/>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01CE3" w14:textId="77777777" w:rsidR="00C6128F" w:rsidRDefault="00C6128F">
      <w:pPr>
        <w:spacing w:before="0"/>
      </w:pPr>
      <w:r>
        <w:separator/>
      </w:r>
    </w:p>
  </w:footnote>
  <w:footnote w:type="continuationSeparator" w:id="0">
    <w:p w14:paraId="43A9A046" w14:textId="77777777" w:rsidR="00C6128F" w:rsidRDefault="00C6128F">
      <w:pPr>
        <w:spacing w:before="0"/>
      </w:pPr>
      <w:r>
        <w:continuationSeparator/>
      </w:r>
    </w:p>
  </w:footnote>
  <w:footnote w:id="1">
    <w:p w14:paraId="19B59D3E" w14:textId="77777777" w:rsidR="00742E0C" w:rsidRDefault="009B723A">
      <w:pPr>
        <w:pStyle w:val="FootnoteText"/>
        <w:spacing w:before="0"/>
        <w:ind w:left="57" w:hanging="57"/>
        <w:rPr>
          <w:sz w:val="16"/>
          <w:szCs w:val="16"/>
          <w:lang w:val="en-GB"/>
        </w:rPr>
      </w:pPr>
      <w:r>
        <w:rPr>
          <w:rStyle w:val="FootnoteReference"/>
          <w:sz w:val="16"/>
          <w:szCs w:val="16"/>
        </w:rPr>
        <w:footnoteRef/>
      </w:r>
      <w:r>
        <w:rPr>
          <w:sz w:val="16"/>
          <w:szCs w:val="16"/>
        </w:rPr>
        <w:t xml:space="preserve"> </w:t>
      </w:r>
      <w:r>
        <w:rPr>
          <w:i/>
          <w:iCs/>
          <w:sz w:val="16"/>
          <w:szCs w:val="16"/>
        </w:rPr>
        <w:t>Indicators checked for the action from the IPA III Results Framework</w:t>
      </w:r>
      <w:r>
        <w:rPr>
          <w:sz w:val="16"/>
          <w:szCs w:val="16"/>
        </w:rPr>
        <w:t xml:space="preserve"> </w:t>
      </w:r>
      <w:hyperlink r:id="rId1" w:history="1">
        <w:r>
          <w:rPr>
            <w:rStyle w:val="Hyperlink"/>
            <w:sz w:val="16"/>
            <w:szCs w:val="16"/>
          </w:rPr>
          <w:t>SWD_2022_445_1_EN_document_travail_service_part1_v2.pdf (europa.eu)</w:t>
        </w:r>
      </w:hyperlink>
    </w:p>
  </w:footnote>
  <w:footnote w:id="2">
    <w:p w14:paraId="675E232C" w14:textId="77777777" w:rsidR="00742E0C" w:rsidRDefault="009B723A">
      <w:pPr>
        <w:pStyle w:val="FootnoteText"/>
        <w:spacing w:before="0"/>
        <w:ind w:left="142" w:hanging="142"/>
        <w:rPr>
          <w:sz w:val="16"/>
          <w:szCs w:val="16"/>
        </w:rPr>
      </w:pPr>
      <w:r>
        <w:rPr>
          <w:rStyle w:val="FootnoteReference"/>
          <w:sz w:val="16"/>
          <w:szCs w:val="16"/>
        </w:rPr>
        <w:footnoteRef/>
      </w:r>
      <w:r>
        <w:rPr>
          <w:sz w:val="16"/>
          <w:szCs w:val="16"/>
        </w:rPr>
        <w:t xml:space="preserve"> </w:t>
      </w:r>
      <w:r>
        <w:rPr>
          <w:i/>
          <w:iCs/>
          <w:sz w:val="16"/>
          <w:szCs w:val="16"/>
        </w:rPr>
        <w:t xml:space="preserve">Since the second quarter of 2023, the State Statistical Office has started implementing the Labour Force Survey in line with the new Regulation (EU) no. 2019/1700 of the European Parliament and the Council for Social Statistics and the corresponding executive regulation of the Commission (EU) no. 2019/2240 for the area of the workforce, while the previous Regulation (EC) no. 577/98 has been repealed. The application of the new regulation caused changes in the survey, starting with changes in the design of the questionnaire, changes in the order of questions, </w:t>
      </w:r>
      <w:proofErr w:type="gramStart"/>
      <w:r>
        <w:rPr>
          <w:i/>
          <w:iCs/>
          <w:sz w:val="16"/>
          <w:szCs w:val="16"/>
        </w:rPr>
        <w:t>changes</w:t>
      </w:r>
      <w:proofErr w:type="gramEnd"/>
      <w:r>
        <w:rPr>
          <w:i/>
          <w:iCs/>
          <w:sz w:val="16"/>
          <w:szCs w:val="16"/>
        </w:rPr>
        <w:t xml:space="preserve"> and removal of existing and addition of new questions, changes in the scope and definition of employment and unemployment. The changes caused the interruption of the time series of data. A revised series of core employment and unemployment indicators are planned to be calculated for the period from the first quarter of 2009 to the fourth quarter of 2022 to allow comparability of data. Once those data become available, the MLSP will propose corresponding modification of the baseline values and targets of the impact and outcome indicator.</w:t>
      </w:r>
    </w:p>
  </w:footnote>
  <w:footnote w:id="3">
    <w:p w14:paraId="21782C0C" w14:textId="77777777" w:rsidR="00742E0C" w:rsidRDefault="009B723A">
      <w:pPr>
        <w:pStyle w:val="FootnoteText"/>
        <w:spacing w:before="0"/>
        <w:rPr>
          <w:sz w:val="16"/>
          <w:szCs w:val="16"/>
          <w:lang w:val="en-GB"/>
        </w:rPr>
      </w:pPr>
      <w:r>
        <w:rPr>
          <w:rStyle w:val="FootnoteReference"/>
          <w:sz w:val="16"/>
          <w:szCs w:val="16"/>
        </w:rPr>
        <w:footnoteRef/>
      </w:r>
      <w:r>
        <w:rPr>
          <w:sz w:val="16"/>
          <w:szCs w:val="16"/>
        </w:rPr>
        <w:t xml:space="preserve"> </w:t>
      </w:r>
      <w:r>
        <w:rPr>
          <w:sz w:val="16"/>
          <w:szCs w:val="16"/>
          <w:lang w:val="en-GB"/>
        </w:rPr>
        <w:t>‘N’ refers to the year of signature of Financing Agreement.</w:t>
      </w:r>
    </w:p>
  </w:footnote>
  <w:footnote w:id="4">
    <w:p w14:paraId="1A3E92C4" w14:textId="77777777" w:rsidR="00742E0C" w:rsidRDefault="009B723A">
      <w:pPr>
        <w:pStyle w:val="FootnoteText"/>
        <w:spacing w:before="0"/>
        <w:rPr>
          <w:sz w:val="16"/>
          <w:szCs w:val="16"/>
        </w:rPr>
      </w:pPr>
      <w:r>
        <w:rPr>
          <w:rStyle w:val="FootnoteReference"/>
          <w:sz w:val="16"/>
          <w:szCs w:val="16"/>
        </w:rPr>
        <w:footnoteRef/>
      </w:r>
      <w:r>
        <w:rPr>
          <w:sz w:val="16"/>
          <w:szCs w:val="16"/>
        </w:rPr>
        <w:t xml:space="preserve"> Third-party contribution by IO (ILO).</w:t>
      </w:r>
    </w:p>
  </w:footnote>
  <w:footnote w:id="5">
    <w:p w14:paraId="6D912AD6" w14:textId="77777777" w:rsidR="00742E0C" w:rsidRDefault="009B723A">
      <w:pPr>
        <w:pStyle w:val="FootnoteText"/>
        <w:spacing w:before="0"/>
        <w:rPr>
          <w:sz w:val="16"/>
          <w:szCs w:val="16"/>
        </w:rPr>
      </w:pPr>
      <w:r>
        <w:rPr>
          <w:rStyle w:val="FootnoteReference"/>
          <w:sz w:val="16"/>
          <w:szCs w:val="16"/>
        </w:rPr>
        <w:footnoteRef/>
      </w:r>
      <w:r>
        <w:rPr>
          <w:sz w:val="16"/>
          <w:szCs w:val="16"/>
        </w:rPr>
        <w:t xml:space="preserve"> Third-party contribution by Grant Contractors.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5E3A" w14:textId="4AC3925D" w:rsidR="00742E0C" w:rsidRDefault="009B723A">
    <w:pPr>
      <w:pStyle w:val="Header"/>
      <w:rPr>
        <w:i/>
        <w:iCs/>
        <w:sz w:val="20"/>
        <w:szCs w:val="20"/>
      </w:rPr>
    </w:pPr>
    <w:r>
      <w:rPr>
        <w:i/>
        <w:iCs/>
        <w:sz w:val="20"/>
        <w:szCs w:val="20"/>
      </w:rPr>
      <w:t>Final version – 2</w:t>
    </w:r>
    <w:r w:rsidR="009F3930">
      <w:rPr>
        <w:i/>
        <w:iCs/>
        <w:sz w:val="20"/>
        <w:szCs w:val="20"/>
      </w:rPr>
      <w:t>7</w:t>
    </w:r>
    <w:r>
      <w:rPr>
        <w:i/>
        <w:iCs/>
        <w:sz w:val="20"/>
        <w:szCs w:val="20"/>
      </w:rPr>
      <w:t>.10.2023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40E9"/>
    <w:multiLevelType w:val="singleLevel"/>
    <w:tmpl w:val="DEECA5A4"/>
    <w:name w:val="Bullet 14"/>
    <w:lvl w:ilvl="0">
      <w:numFmt w:val="bullet"/>
      <w:lvlText w:val=""/>
      <w:lvlJc w:val="left"/>
      <w:pPr>
        <w:tabs>
          <w:tab w:val="num" w:pos="0"/>
        </w:tabs>
        <w:ind w:left="0" w:firstLine="0"/>
      </w:pPr>
      <w:rPr>
        <w:rFonts w:ascii="Symbol" w:hAnsi="Symbol"/>
      </w:rPr>
    </w:lvl>
  </w:abstractNum>
  <w:abstractNum w:abstractNumId="1" w15:restartNumberingAfterBreak="0">
    <w:nsid w:val="04710027"/>
    <w:multiLevelType w:val="singleLevel"/>
    <w:tmpl w:val="28FCA592"/>
    <w:name w:val="Bullet 32"/>
    <w:lvl w:ilvl="0">
      <w:start w:val="1"/>
      <w:numFmt w:val="decimal"/>
      <w:lvlText w:val="%1"/>
      <w:lvlJc w:val="left"/>
      <w:pPr>
        <w:tabs>
          <w:tab w:val="num" w:pos="0"/>
        </w:tabs>
        <w:ind w:left="0" w:firstLine="0"/>
      </w:pPr>
      <w:rPr>
        <w:rFonts w:ascii="Times New Roman Bold" w:hAnsi="Times New Roman Bold"/>
        <w:b/>
        <w:sz w:val="24"/>
      </w:rPr>
    </w:lvl>
  </w:abstractNum>
  <w:abstractNum w:abstractNumId="2" w15:restartNumberingAfterBreak="0">
    <w:nsid w:val="0F167E85"/>
    <w:multiLevelType w:val="singleLevel"/>
    <w:tmpl w:val="1FDE1330"/>
    <w:name w:val="Bullet 11"/>
    <w:lvl w:ilvl="0">
      <w:start w:val="1"/>
      <w:numFmt w:val="lowerLetter"/>
      <w:lvlText w:val="%1"/>
      <w:lvlJc w:val="left"/>
      <w:pPr>
        <w:tabs>
          <w:tab w:val="num" w:pos="0"/>
        </w:tabs>
        <w:ind w:left="0" w:firstLine="0"/>
      </w:pPr>
    </w:lvl>
  </w:abstractNum>
  <w:abstractNum w:abstractNumId="3" w15:restartNumberingAfterBreak="0">
    <w:nsid w:val="11B9138E"/>
    <w:multiLevelType w:val="multilevel"/>
    <w:tmpl w:val="D3AAA1D4"/>
    <w:name w:val="Numbered list 3"/>
    <w:lvl w:ilvl="0">
      <w:start w:val="7"/>
      <w:numFmt w:val="decimal"/>
      <w:lvlText w:val="%1"/>
      <w:lvlJc w:val="left"/>
      <w:pPr>
        <w:ind w:left="0" w:firstLine="0"/>
      </w:p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4" w15:restartNumberingAfterBreak="0">
    <w:nsid w:val="12586AEB"/>
    <w:multiLevelType w:val="singleLevel"/>
    <w:tmpl w:val="15B08292"/>
    <w:name w:val="Bullet 35"/>
    <w:lvl w:ilvl="0">
      <w:numFmt w:val="bullet"/>
      <w:lvlText w:val=""/>
      <w:lvlJc w:val="left"/>
      <w:pPr>
        <w:tabs>
          <w:tab w:val="num" w:pos="0"/>
        </w:tabs>
        <w:ind w:left="0" w:firstLine="0"/>
      </w:pPr>
      <w:rPr>
        <w:rFonts w:ascii="Symbol" w:hAnsi="Symbol"/>
        <w:b w:val="0"/>
      </w:rPr>
    </w:lvl>
  </w:abstractNum>
  <w:abstractNum w:abstractNumId="5" w15:restartNumberingAfterBreak="0">
    <w:nsid w:val="1740274B"/>
    <w:multiLevelType w:val="singleLevel"/>
    <w:tmpl w:val="24124D56"/>
    <w:name w:val="Bullet 17"/>
    <w:lvl w:ilvl="0">
      <w:start w:val="1"/>
      <w:numFmt w:val="lowerRoman"/>
      <w:lvlText w:val="%1"/>
      <w:lvlJc w:val="left"/>
      <w:pPr>
        <w:tabs>
          <w:tab w:val="num" w:pos="0"/>
        </w:tabs>
        <w:ind w:left="0" w:firstLine="0"/>
      </w:pPr>
    </w:lvl>
  </w:abstractNum>
  <w:abstractNum w:abstractNumId="6" w15:restartNumberingAfterBreak="0">
    <w:nsid w:val="176C47E7"/>
    <w:multiLevelType w:val="singleLevel"/>
    <w:tmpl w:val="465A38D4"/>
    <w:name w:val="Bullet 23"/>
    <w:lvl w:ilvl="0">
      <w:start w:val="7"/>
      <w:numFmt w:val="decimal"/>
      <w:lvlText w:val="%1"/>
      <w:lvlJc w:val="left"/>
      <w:pPr>
        <w:tabs>
          <w:tab w:val="num" w:pos="0"/>
        </w:tabs>
        <w:ind w:left="0" w:firstLine="0"/>
      </w:pPr>
    </w:lvl>
  </w:abstractNum>
  <w:abstractNum w:abstractNumId="7" w15:restartNumberingAfterBreak="0">
    <w:nsid w:val="191B448D"/>
    <w:multiLevelType w:val="hybridMultilevel"/>
    <w:tmpl w:val="46DA9042"/>
    <w:name w:val="Numbered list 4"/>
    <w:lvl w:ilvl="0" w:tplc="C96A8C3E">
      <w:numFmt w:val="bullet"/>
      <w:lvlText w:val=""/>
      <w:lvlJc w:val="left"/>
      <w:pPr>
        <w:ind w:left="0" w:firstLine="0"/>
      </w:pPr>
      <w:rPr>
        <w:rFonts w:ascii="Symbol" w:hAnsi="Symbol"/>
      </w:rPr>
    </w:lvl>
    <w:lvl w:ilvl="1" w:tplc="87100402">
      <w:numFmt w:val="bullet"/>
      <w:lvlText w:val="o"/>
      <w:lvlJc w:val="left"/>
      <w:pPr>
        <w:ind w:left="720" w:firstLine="0"/>
      </w:pPr>
      <w:rPr>
        <w:rFonts w:ascii="Courier New" w:hAnsi="Courier New" w:cs="Courier New"/>
      </w:rPr>
    </w:lvl>
    <w:lvl w:ilvl="2" w:tplc="16704E9C">
      <w:numFmt w:val="bullet"/>
      <w:lvlText w:val=""/>
      <w:lvlJc w:val="left"/>
      <w:pPr>
        <w:ind w:left="1440" w:firstLine="0"/>
      </w:pPr>
      <w:rPr>
        <w:rFonts w:ascii="Wingdings" w:eastAsia="Wingdings" w:hAnsi="Wingdings" w:cs="Wingdings"/>
      </w:rPr>
    </w:lvl>
    <w:lvl w:ilvl="3" w:tplc="1E44A25E">
      <w:numFmt w:val="bullet"/>
      <w:lvlText w:val=""/>
      <w:lvlJc w:val="left"/>
      <w:pPr>
        <w:ind w:left="2160" w:firstLine="0"/>
      </w:pPr>
      <w:rPr>
        <w:rFonts w:ascii="Symbol" w:hAnsi="Symbol"/>
      </w:rPr>
    </w:lvl>
    <w:lvl w:ilvl="4" w:tplc="6194E338">
      <w:numFmt w:val="bullet"/>
      <w:lvlText w:val="o"/>
      <w:lvlJc w:val="left"/>
      <w:pPr>
        <w:ind w:left="2880" w:firstLine="0"/>
      </w:pPr>
      <w:rPr>
        <w:rFonts w:ascii="Courier New" w:hAnsi="Courier New" w:cs="Courier New"/>
      </w:rPr>
    </w:lvl>
    <w:lvl w:ilvl="5" w:tplc="828EE30A">
      <w:numFmt w:val="bullet"/>
      <w:lvlText w:val=""/>
      <w:lvlJc w:val="left"/>
      <w:pPr>
        <w:ind w:left="3600" w:firstLine="0"/>
      </w:pPr>
      <w:rPr>
        <w:rFonts w:ascii="Wingdings" w:eastAsia="Wingdings" w:hAnsi="Wingdings" w:cs="Wingdings"/>
      </w:rPr>
    </w:lvl>
    <w:lvl w:ilvl="6" w:tplc="87148F92">
      <w:numFmt w:val="bullet"/>
      <w:lvlText w:val=""/>
      <w:lvlJc w:val="left"/>
      <w:pPr>
        <w:ind w:left="4320" w:firstLine="0"/>
      </w:pPr>
      <w:rPr>
        <w:rFonts w:ascii="Symbol" w:hAnsi="Symbol"/>
      </w:rPr>
    </w:lvl>
    <w:lvl w:ilvl="7" w:tplc="5A7256F2">
      <w:numFmt w:val="bullet"/>
      <w:lvlText w:val="o"/>
      <w:lvlJc w:val="left"/>
      <w:pPr>
        <w:ind w:left="5040" w:firstLine="0"/>
      </w:pPr>
      <w:rPr>
        <w:rFonts w:ascii="Courier New" w:hAnsi="Courier New" w:cs="Courier New"/>
      </w:rPr>
    </w:lvl>
    <w:lvl w:ilvl="8" w:tplc="15A0E75E">
      <w:numFmt w:val="bullet"/>
      <w:lvlText w:val=""/>
      <w:lvlJc w:val="left"/>
      <w:pPr>
        <w:ind w:left="5760" w:firstLine="0"/>
      </w:pPr>
      <w:rPr>
        <w:rFonts w:ascii="Wingdings" w:eastAsia="Wingdings" w:hAnsi="Wingdings" w:cs="Wingdings"/>
      </w:rPr>
    </w:lvl>
  </w:abstractNum>
  <w:abstractNum w:abstractNumId="8" w15:restartNumberingAfterBreak="0">
    <w:nsid w:val="20D94DF5"/>
    <w:multiLevelType w:val="singleLevel"/>
    <w:tmpl w:val="070828AC"/>
    <w:name w:val="Bullet 18"/>
    <w:lvl w:ilvl="0">
      <w:start w:val="4"/>
      <w:numFmt w:val="decimal"/>
      <w:lvlText w:val="%1"/>
      <w:lvlJc w:val="left"/>
      <w:pPr>
        <w:tabs>
          <w:tab w:val="num" w:pos="0"/>
        </w:tabs>
        <w:ind w:left="0" w:firstLine="0"/>
      </w:pPr>
    </w:lvl>
  </w:abstractNum>
  <w:abstractNum w:abstractNumId="9" w15:restartNumberingAfterBreak="0">
    <w:nsid w:val="25E460D9"/>
    <w:multiLevelType w:val="singleLevel"/>
    <w:tmpl w:val="4650B8BA"/>
    <w:name w:val="Bullet 16"/>
    <w:lvl w:ilvl="0">
      <w:numFmt w:val="bullet"/>
      <w:lvlText w:val=""/>
      <w:lvlJc w:val="left"/>
      <w:pPr>
        <w:tabs>
          <w:tab w:val="num" w:pos="0"/>
        </w:tabs>
        <w:ind w:left="0" w:firstLine="0"/>
      </w:pPr>
      <w:rPr>
        <w:rFonts w:ascii="Wingdings" w:eastAsia="Wingdings" w:hAnsi="Wingdings" w:cs="Wingdings"/>
      </w:rPr>
    </w:lvl>
  </w:abstractNum>
  <w:abstractNum w:abstractNumId="10" w15:restartNumberingAfterBreak="0">
    <w:nsid w:val="26A71F27"/>
    <w:multiLevelType w:val="singleLevel"/>
    <w:tmpl w:val="8B025188"/>
    <w:name w:val="Bullet 33"/>
    <w:lvl w:ilvl="0">
      <w:start w:val="1"/>
      <w:numFmt w:val="decimal"/>
      <w:lvlText w:val="%1"/>
      <w:lvlJc w:val="left"/>
      <w:pPr>
        <w:tabs>
          <w:tab w:val="num" w:pos="0"/>
        </w:tabs>
        <w:ind w:left="0" w:firstLine="0"/>
      </w:pPr>
      <w:rPr>
        <w:rFonts w:ascii="Times New Roman Bold" w:hAnsi="Times New Roman Bold"/>
        <w:b/>
        <w:sz w:val="22"/>
        <w:szCs w:val="22"/>
      </w:rPr>
    </w:lvl>
  </w:abstractNum>
  <w:abstractNum w:abstractNumId="11" w15:restartNumberingAfterBreak="0">
    <w:nsid w:val="289E7342"/>
    <w:multiLevelType w:val="singleLevel"/>
    <w:tmpl w:val="15E42B94"/>
    <w:name w:val="Bullet 34"/>
    <w:lvl w:ilvl="0">
      <w:numFmt w:val="bullet"/>
      <w:lvlText w:val=""/>
      <w:lvlJc w:val="left"/>
      <w:pPr>
        <w:tabs>
          <w:tab w:val="num" w:pos="0"/>
        </w:tabs>
        <w:ind w:left="0" w:firstLine="0"/>
      </w:pPr>
      <w:rPr>
        <w:rFonts w:ascii="Symbol" w:hAnsi="Symbol"/>
        <w:b w:val="0"/>
        <w:sz w:val="20"/>
        <w:szCs w:val="20"/>
      </w:rPr>
    </w:lvl>
  </w:abstractNum>
  <w:abstractNum w:abstractNumId="12" w15:restartNumberingAfterBreak="0">
    <w:nsid w:val="2958576E"/>
    <w:multiLevelType w:val="hybridMultilevel"/>
    <w:tmpl w:val="A18014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B21BE5"/>
    <w:multiLevelType w:val="singleLevel"/>
    <w:tmpl w:val="87843E90"/>
    <w:name w:val="Bullet 12"/>
    <w:lvl w:ilvl="0">
      <w:numFmt w:val="bullet"/>
      <w:lvlText w:val="-"/>
      <w:lvlJc w:val="left"/>
      <w:pPr>
        <w:tabs>
          <w:tab w:val="num" w:pos="0"/>
        </w:tabs>
        <w:ind w:left="0" w:firstLine="0"/>
      </w:pPr>
      <w:rPr>
        <w:rFonts w:ascii="Times New Roman" w:eastAsia="Times New Roman" w:hAnsi="Times New Roman" w:cs="Times New Roman"/>
      </w:rPr>
    </w:lvl>
  </w:abstractNum>
  <w:abstractNum w:abstractNumId="14" w15:restartNumberingAfterBreak="0">
    <w:nsid w:val="2AB6304A"/>
    <w:multiLevelType w:val="hybridMultilevel"/>
    <w:tmpl w:val="A502D844"/>
    <w:name w:val="Numbered list 8"/>
    <w:lvl w:ilvl="0" w:tplc="4E3E204A">
      <w:numFmt w:val="bullet"/>
      <w:lvlText w:val=""/>
      <w:lvlJc w:val="left"/>
      <w:pPr>
        <w:ind w:left="360" w:firstLine="0"/>
      </w:pPr>
      <w:rPr>
        <w:rFonts w:ascii="Symbol" w:hAnsi="Symbol"/>
      </w:rPr>
    </w:lvl>
    <w:lvl w:ilvl="1" w:tplc="FEE43106">
      <w:numFmt w:val="bullet"/>
      <w:lvlText w:val="o"/>
      <w:lvlJc w:val="left"/>
      <w:pPr>
        <w:ind w:left="1080" w:firstLine="0"/>
      </w:pPr>
      <w:rPr>
        <w:rFonts w:ascii="Courier New" w:hAnsi="Courier New" w:cs="Courier New"/>
      </w:rPr>
    </w:lvl>
    <w:lvl w:ilvl="2" w:tplc="418282E4">
      <w:numFmt w:val="bullet"/>
      <w:lvlText w:val=""/>
      <w:lvlJc w:val="left"/>
      <w:pPr>
        <w:ind w:left="1800" w:firstLine="0"/>
      </w:pPr>
      <w:rPr>
        <w:rFonts w:ascii="Wingdings" w:eastAsia="Wingdings" w:hAnsi="Wingdings" w:cs="Wingdings"/>
      </w:rPr>
    </w:lvl>
    <w:lvl w:ilvl="3" w:tplc="E8D008BC">
      <w:numFmt w:val="bullet"/>
      <w:lvlText w:val=""/>
      <w:lvlJc w:val="left"/>
      <w:pPr>
        <w:ind w:left="2520" w:firstLine="0"/>
      </w:pPr>
      <w:rPr>
        <w:rFonts w:ascii="Symbol" w:hAnsi="Symbol"/>
      </w:rPr>
    </w:lvl>
    <w:lvl w:ilvl="4" w:tplc="992CA2B4">
      <w:numFmt w:val="bullet"/>
      <w:lvlText w:val="o"/>
      <w:lvlJc w:val="left"/>
      <w:pPr>
        <w:ind w:left="3240" w:firstLine="0"/>
      </w:pPr>
      <w:rPr>
        <w:rFonts w:ascii="Courier New" w:hAnsi="Courier New" w:cs="Courier New"/>
      </w:rPr>
    </w:lvl>
    <w:lvl w:ilvl="5" w:tplc="7A548B86">
      <w:numFmt w:val="bullet"/>
      <w:lvlText w:val=""/>
      <w:lvlJc w:val="left"/>
      <w:pPr>
        <w:ind w:left="3960" w:firstLine="0"/>
      </w:pPr>
      <w:rPr>
        <w:rFonts w:ascii="Wingdings" w:eastAsia="Wingdings" w:hAnsi="Wingdings" w:cs="Wingdings"/>
      </w:rPr>
    </w:lvl>
    <w:lvl w:ilvl="6" w:tplc="0BF4F5A6">
      <w:numFmt w:val="bullet"/>
      <w:lvlText w:val=""/>
      <w:lvlJc w:val="left"/>
      <w:pPr>
        <w:ind w:left="4680" w:firstLine="0"/>
      </w:pPr>
      <w:rPr>
        <w:rFonts w:ascii="Symbol" w:hAnsi="Symbol"/>
      </w:rPr>
    </w:lvl>
    <w:lvl w:ilvl="7" w:tplc="7F569076">
      <w:numFmt w:val="bullet"/>
      <w:lvlText w:val="o"/>
      <w:lvlJc w:val="left"/>
      <w:pPr>
        <w:ind w:left="5400" w:firstLine="0"/>
      </w:pPr>
      <w:rPr>
        <w:rFonts w:ascii="Courier New" w:hAnsi="Courier New" w:cs="Courier New"/>
      </w:rPr>
    </w:lvl>
    <w:lvl w:ilvl="8" w:tplc="AC444D40">
      <w:numFmt w:val="bullet"/>
      <w:lvlText w:val=""/>
      <w:lvlJc w:val="left"/>
      <w:pPr>
        <w:ind w:left="6120" w:firstLine="0"/>
      </w:pPr>
      <w:rPr>
        <w:rFonts w:ascii="Wingdings" w:eastAsia="Wingdings" w:hAnsi="Wingdings" w:cs="Wingdings"/>
      </w:rPr>
    </w:lvl>
  </w:abstractNum>
  <w:abstractNum w:abstractNumId="15" w15:restartNumberingAfterBreak="0">
    <w:nsid w:val="2B83075E"/>
    <w:multiLevelType w:val="singleLevel"/>
    <w:tmpl w:val="7EB0A35C"/>
    <w:name w:val="Bullet 28"/>
    <w:lvl w:ilvl="0">
      <w:numFmt w:val="bullet"/>
      <w:lvlText w:val=""/>
      <w:lvlJc w:val="left"/>
      <w:pPr>
        <w:tabs>
          <w:tab w:val="num" w:pos="0"/>
        </w:tabs>
        <w:ind w:left="0" w:firstLine="0"/>
      </w:pPr>
      <w:rPr>
        <w:rFonts w:ascii="Wingdings" w:eastAsia="Wingdings" w:hAnsi="Wingdings" w:cs="Wingdings"/>
      </w:rPr>
    </w:lvl>
  </w:abstractNum>
  <w:abstractNum w:abstractNumId="16" w15:restartNumberingAfterBreak="0">
    <w:nsid w:val="307E7CF5"/>
    <w:multiLevelType w:val="hybridMultilevel"/>
    <w:tmpl w:val="21C0262A"/>
    <w:lvl w:ilvl="0" w:tplc="A72CCE96">
      <w:numFmt w:val="none"/>
      <w:lvlText w:val=""/>
      <w:lvlJc w:val="left"/>
      <w:pPr>
        <w:tabs>
          <w:tab w:val="num" w:pos="360"/>
        </w:tabs>
        <w:ind w:left="360" w:hanging="360"/>
      </w:pPr>
    </w:lvl>
    <w:lvl w:ilvl="1" w:tplc="F03CAC4A">
      <w:numFmt w:val="none"/>
      <w:lvlText w:val=""/>
      <w:lvlJc w:val="left"/>
      <w:pPr>
        <w:tabs>
          <w:tab w:val="num" w:pos="360"/>
        </w:tabs>
        <w:ind w:left="360" w:hanging="360"/>
      </w:pPr>
    </w:lvl>
    <w:lvl w:ilvl="2" w:tplc="FEBCFB5A">
      <w:numFmt w:val="none"/>
      <w:lvlText w:val=""/>
      <w:lvlJc w:val="left"/>
      <w:pPr>
        <w:tabs>
          <w:tab w:val="num" w:pos="360"/>
        </w:tabs>
        <w:ind w:left="360" w:hanging="360"/>
      </w:pPr>
    </w:lvl>
    <w:lvl w:ilvl="3" w:tplc="39F02652">
      <w:numFmt w:val="none"/>
      <w:lvlText w:val=""/>
      <w:lvlJc w:val="left"/>
      <w:pPr>
        <w:tabs>
          <w:tab w:val="num" w:pos="360"/>
        </w:tabs>
        <w:ind w:left="360" w:hanging="360"/>
      </w:pPr>
    </w:lvl>
    <w:lvl w:ilvl="4" w:tplc="6CDA3FC0">
      <w:numFmt w:val="none"/>
      <w:lvlText w:val=""/>
      <w:lvlJc w:val="left"/>
      <w:pPr>
        <w:tabs>
          <w:tab w:val="num" w:pos="360"/>
        </w:tabs>
        <w:ind w:left="360" w:hanging="360"/>
      </w:pPr>
    </w:lvl>
    <w:lvl w:ilvl="5" w:tplc="1F8CAEE2">
      <w:numFmt w:val="none"/>
      <w:lvlText w:val=""/>
      <w:lvlJc w:val="left"/>
      <w:pPr>
        <w:tabs>
          <w:tab w:val="num" w:pos="360"/>
        </w:tabs>
        <w:ind w:left="360" w:hanging="360"/>
      </w:pPr>
    </w:lvl>
    <w:lvl w:ilvl="6" w:tplc="A5E2591C">
      <w:numFmt w:val="none"/>
      <w:lvlText w:val=""/>
      <w:lvlJc w:val="left"/>
      <w:pPr>
        <w:tabs>
          <w:tab w:val="num" w:pos="360"/>
        </w:tabs>
        <w:ind w:left="360" w:hanging="360"/>
      </w:pPr>
    </w:lvl>
    <w:lvl w:ilvl="7" w:tplc="FA460FB0">
      <w:numFmt w:val="none"/>
      <w:lvlText w:val=""/>
      <w:lvlJc w:val="left"/>
      <w:pPr>
        <w:tabs>
          <w:tab w:val="num" w:pos="360"/>
        </w:tabs>
        <w:ind w:left="360" w:hanging="360"/>
      </w:pPr>
    </w:lvl>
    <w:lvl w:ilvl="8" w:tplc="20B42250">
      <w:numFmt w:val="none"/>
      <w:lvlText w:val=""/>
      <w:lvlJc w:val="left"/>
      <w:pPr>
        <w:tabs>
          <w:tab w:val="num" w:pos="360"/>
        </w:tabs>
        <w:ind w:left="360" w:hanging="360"/>
      </w:pPr>
    </w:lvl>
  </w:abstractNum>
  <w:abstractNum w:abstractNumId="17" w15:restartNumberingAfterBreak="0">
    <w:nsid w:val="30E21670"/>
    <w:multiLevelType w:val="singleLevel"/>
    <w:tmpl w:val="0B10BAA6"/>
    <w:name w:val="Numbered list 2"/>
    <w:lvl w:ilvl="0">
      <w:numFmt w:val="bullet"/>
      <w:pStyle w:val="ListDash3"/>
      <w:lvlText w:val="–"/>
      <w:lvlJc w:val="left"/>
      <w:pPr>
        <w:ind w:left="1916" w:firstLine="0"/>
      </w:pPr>
      <w:rPr>
        <w:rFonts w:ascii="Times New Roman" w:hAnsi="Times New Roman"/>
      </w:rPr>
    </w:lvl>
  </w:abstractNum>
  <w:abstractNum w:abstractNumId="18" w15:restartNumberingAfterBreak="0">
    <w:nsid w:val="3FC5320F"/>
    <w:multiLevelType w:val="singleLevel"/>
    <w:tmpl w:val="5178BB68"/>
    <w:name w:val="Bullet 13"/>
    <w:lvl w:ilvl="0">
      <w:numFmt w:val="bullet"/>
      <w:lvlText w:val="-"/>
      <w:lvlJc w:val="left"/>
      <w:pPr>
        <w:tabs>
          <w:tab w:val="num" w:pos="0"/>
        </w:tabs>
        <w:ind w:left="0" w:firstLine="0"/>
      </w:pPr>
      <w:rPr>
        <w:rFonts w:ascii="Cambria" w:eastAsia="Cambria" w:hAnsi="Cambria"/>
      </w:rPr>
    </w:lvl>
  </w:abstractNum>
  <w:abstractNum w:abstractNumId="19" w15:restartNumberingAfterBreak="0">
    <w:nsid w:val="4026213C"/>
    <w:multiLevelType w:val="hybridMultilevel"/>
    <w:tmpl w:val="F4F61868"/>
    <w:lvl w:ilvl="0" w:tplc="04090001">
      <w:start w:val="1"/>
      <w:numFmt w:val="bullet"/>
      <w:lvlText w:val=""/>
      <w:lvlJc w:val="left"/>
      <w:pPr>
        <w:ind w:left="360" w:firstLine="0"/>
      </w:pPr>
      <w:rPr>
        <w:rFonts w:ascii="Symbol" w:hAnsi="Symbol" w:hint="default"/>
        <w:b/>
        <w:color w:val="auto"/>
      </w:rPr>
    </w:lvl>
    <w:lvl w:ilvl="1" w:tplc="FFFFFFFF">
      <w:numFmt w:val="bullet"/>
      <w:lvlText w:val="o"/>
      <w:lvlJc w:val="left"/>
      <w:pPr>
        <w:ind w:left="1080" w:firstLine="0"/>
      </w:pPr>
      <w:rPr>
        <w:rFonts w:ascii="Courier New" w:hAnsi="Courier New"/>
      </w:rPr>
    </w:lvl>
    <w:lvl w:ilvl="2" w:tplc="FFFFFFFF">
      <w:numFmt w:val="bullet"/>
      <w:lvlText w:val=""/>
      <w:lvlJc w:val="left"/>
      <w:pPr>
        <w:ind w:left="1800" w:firstLine="0"/>
      </w:pPr>
      <w:rPr>
        <w:rFonts w:ascii="Wingdings" w:eastAsia="Wingdings" w:hAnsi="Wingdings" w:cs="Wingdings"/>
      </w:rPr>
    </w:lvl>
    <w:lvl w:ilvl="3" w:tplc="FFFFFFFF">
      <w:numFmt w:val="bullet"/>
      <w:lvlText w:val=""/>
      <w:lvlJc w:val="left"/>
      <w:pPr>
        <w:ind w:left="2520" w:firstLine="0"/>
      </w:pPr>
      <w:rPr>
        <w:rFonts w:ascii="Symbol" w:hAnsi="Symbol"/>
      </w:rPr>
    </w:lvl>
    <w:lvl w:ilvl="4" w:tplc="FFFFFFFF">
      <w:numFmt w:val="bullet"/>
      <w:lvlText w:val="o"/>
      <w:lvlJc w:val="left"/>
      <w:pPr>
        <w:ind w:left="3240" w:firstLine="0"/>
      </w:pPr>
      <w:rPr>
        <w:rFonts w:ascii="Courier New" w:hAnsi="Courier New"/>
      </w:rPr>
    </w:lvl>
    <w:lvl w:ilvl="5" w:tplc="FFFFFFFF">
      <w:numFmt w:val="bullet"/>
      <w:lvlText w:val=""/>
      <w:lvlJc w:val="left"/>
      <w:pPr>
        <w:ind w:left="3960" w:firstLine="0"/>
      </w:pPr>
      <w:rPr>
        <w:rFonts w:ascii="Wingdings" w:eastAsia="Wingdings" w:hAnsi="Wingdings" w:cs="Wingdings"/>
      </w:rPr>
    </w:lvl>
    <w:lvl w:ilvl="6" w:tplc="FFFFFFFF">
      <w:numFmt w:val="bullet"/>
      <w:lvlText w:val=""/>
      <w:lvlJc w:val="left"/>
      <w:pPr>
        <w:ind w:left="4680" w:firstLine="0"/>
      </w:pPr>
      <w:rPr>
        <w:rFonts w:ascii="Symbol" w:hAnsi="Symbol"/>
      </w:rPr>
    </w:lvl>
    <w:lvl w:ilvl="7" w:tplc="FFFFFFFF">
      <w:numFmt w:val="bullet"/>
      <w:lvlText w:val="o"/>
      <w:lvlJc w:val="left"/>
      <w:pPr>
        <w:ind w:left="5400" w:firstLine="0"/>
      </w:pPr>
      <w:rPr>
        <w:rFonts w:ascii="Courier New" w:hAnsi="Courier New"/>
      </w:rPr>
    </w:lvl>
    <w:lvl w:ilvl="8" w:tplc="FFFFFFFF">
      <w:numFmt w:val="bullet"/>
      <w:lvlText w:val=""/>
      <w:lvlJc w:val="left"/>
      <w:pPr>
        <w:ind w:left="6120" w:firstLine="0"/>
      </w:pPr>
      <w:rPr>
        <w:rFonts w:ascii="Wingdings" w:eastAsia="Wingdings" w:hAnsi="Wingdings" w:cs="Wingdings"/>
      </w:rPr>
    </w:lvl>
  </w:abstractNum>
  <w:abstractNum w:abstractNumId="20" w15:restartNumberingAfterBreak="0">
    <w:nsid w:val="44437D9B"/>
    <w:multiLevelType w:val="singleLevel"/>
    <w:tmpl w:val="F1E8FC4A"/>
    <w:name w:val="Bullet 36"/>
    <w:lvl w:ilvl="0">
      <w:start w:val="1"/>
      <w:numFmt w:val="decimal"/>
      <w:lvlText w:val="%1"/>
      <w:lvlJc w:val="left"/>
      <w:pPr>
        <w:tabs>
          <w:tab w:val="num" w:pos="0"/>
        </w:tabs>
        <w:ind w:left="0" w:firstLine="0"/>
      </w:pPr>
      <w:rPr>
        <w:sz w:val="22"/>
      </w:rPr>
    </w:lvl>
  </w:abstractNum>
  <w:abstractNum w:abstractNumId="21" w15:restartNumberingAfterBreak="0">
    <w:nsid w:val="46184528"/>
    <w:multiLevelType w:val="hybridMultilevel"/>
    <w:tmpl w:val="43D48F0A"/>
    <w:lvl w:ilvl="0" w:tplc="480A35BC">
      <w:numFmt w:val="bullet"/>
      <w:lvlText w:val=""/>
      <w:lvlJc w:val="left"/>
      <w:pPr>
        <w:ind w:left="360" w:hanging="360"/>
      </w:pPr>
      <w:rPr>
        <w:rFonts w:ascii="Wingdings" w:eastAsia="Wingdings" w:hAnsi="Wingdings" w:cs="Wingding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6590E2D"/>
    <w:multiLevelType w:val="hybridMultilevel"/>
    <w:tmpl w:val="258E2DD6"/>
    <w:name w:val="Numbered list 5"/>
    <w:lvl w:ilvl="0" w:tplc="EBD83CE0">
      <w:start w:val="1"/>
      <w:numFmt w:val="decimal"/>
      <w:pStyle w:val="NumPar1"/>
      <w:lvlText w:val="%1)"/>
      <w:lvlJc w:val="left"/>
      <w:pPr>
        <w:ind w:left="2978" w:firstLine="0"/>
      </w:pPr>
      <w:rPr>
        <w:rFonts w:cs="Times New Roman"/>
      </w:rPr>
    </w:lvl>
    <w:lvl w:ilvl="1" w:tplc="A93E3ABC">
      <w:start w:val="2"/>
      <w:numFmt w:val="lowerLetter"/>
      <w:lvlText w:val="(%2)"/>
      <w:lvlJc w:val="left"/>
      <w:pPr>
        <w:ind w:left="720" w:firstLine="0"/>
      </w:pPr>
      <w:rPr>
        <w:rFonts w:cs="Times New Roman"/>
      </w:rPr>
    </w:lvl>
    <w:lvl w:ilvl="2" w:tplc="A088F132">
      <w:start w:val="1"/>
      <w:numFmt w:val="lowerRoman"/>
      <w:lvlText w:val="%3."/>
      <w:lvlJc w:val="left"/>
      <w:pPr>
        <w:ind w:left="1620" w:firstLine="0"/>
      </w:pPr>
      <w:rPr>
        <w:rFonts w:cs="Times New Roman"/>
      </w:rPr>
    </w:lvl>
    <w:lvl w:ilvl="3" w:tplc="AE021BF6">
      <w:start w:val="1"/>
      <w:numFmt w:val="decimal"/>
      <w:lvlText w:val="%4."/>
      <w:lvlJc w:val="left"/>
      <w:pPr>
        <w:ind w:left="2160" w:firstLine="0"/>
      </w:pPr>
      <w:rPr>
        <w:rFonts w:cs="Times New Roman"/>
      </w:rPr>
    </w:lvl>
    <w:lvl w:ilvl="4" w:tplc="F5F8D5C4">
      <w:start w:val="1"/>
      <w:numFmt w:val="lowerLetter"/>
      <w:lvlText w:val="%5."/>
      <w:lvlJc w:val="left"/>
      <w:pPr>
        <w:ind w:left="2880" w:firstLine="0"/>
      </w:pPr>
      <w:rPr>
        <w:rFonts w:cs="Times New Roman"/>
      </w:rPr>
    </w:lvl>
    <w:lvl w:ilvl="5" w:tplc="456A5088">
      <w:start w:val="1"/>
      <w:numFmt w:val="lowerRoman"/>
      <w:lvlText w:val="%6."/>
      <w:lvlJc w:val="left"/>
      <w:pPr>
        <w:ind w:left="3780" w:firstLine="0"/>
      </w:pPr>
      <w:rPr>
        <w:rFonts w:cs="Times New Roman"/>
      </w:rPr>
    </w:lvl>
    <w:lvl w:ilvl="6" w:tplc="F8BE1D90">
      <w:start w:val="1"/>
      <w:numFmt w:val="decimal"/>
      <w:lvlText w:val="%7."/>
      <w:lvlJc w:val="left"/>
      <w:pPr>
        <w:ind w:left="4320" w:firstLine="0"/>
      </w:pPr>
      <w:rPr>
        <w:rFonts w:cs="Times New Roman"/>
      </w:rPr>
    </w:lvl>
    <w:lvl w:ilvl="7" w:tplc="84D2F5F8">
      <w:start w:val="1"/>
      <w:numFmt w:val="lowerLetter"/>
      <w:lvlText w:val="%8."/>
      <w:lvlJc w:val="left"/>
      <w:pPr>
        <w:ind w:left="5040" w:firstLine="0"/>
      </w:pPr>
      <w:rPr>
        <w:rFonts w:cs="Times New Roman"/>
      </w:rPr>
    </w:lvl>
    <w:lvl w:ilvl="8" w:tplc="B0D8E452">
      <w:start w:val="1"/>
      <w:numFmt w:val="lowerRoman"/>
      <w:lvlText w:val="%9."/>
      <w:lvlJc w:val="left"/>
      <w:pPr>
        <w:ind w:left="5940" w:firstLine="0"/>
      </w:pPr>
      <w:rPr>
        <w:rFonts w:cs="Times New Roman"/>
      </w:rPr>
    </w:lvl>
  </w:abstractNum>
  <w:abstractNum w:abstractNumId="23" w15:restartNumberingAfterBreak="0">
    <w:nsid w:val="46A57B1F"/>
    <w:multiLevelType w:val="singleLevel"/>
    <w:tmpl w:val="5EECF54A"/>
    <w:name w:val="Bullet 25"/>
    <w:lvl w:ilvl="0">
      <w:start w:val="1"/>
      <w:numFmt w:val="decimal"/>
      <w:lvlText w:val="%1"/>
      <w:lvlJc w:val="left"/>
      <w:pPr>
        <w:tabs>
          <w:tab w:val="num" w:pos="0"/>
        </w:tabs>
        <w:ind w:left="0" w:firstLine="0"/>
      </w:pPr>
      <w:rPr>
        <w:rFonts w:cs="Times New Roman"/>
      </w:rPr>
    </w:lvl>
  </w:abstractNum>
  <w:abstractNum w:abstractNumId="24" w15:restartNumberingAfterBreak="0">
    <w:nsid w:val="492C5FF8"/>
    <w:multiLevelType w:val="singleLevel"/>
    <w:tmpl w:val="DA044316"/>
    <w:name w:val="Bullet 21"/>
    <w:lvl w:ilvl="0">
      <w:start w:val="1"/>
      <w:numFmt w:val="lowerRoman"/>
      <w:lvlText w:val="%1"/>
      <w:lvlJc w:val="left"/>
      <w:pPr>
        <w:tabs>
          <w:tab w:val="num" w:pos="0"/>
        </w:tabs>
        <w:ind w:left="0" w:firstLine="0"/>
      </w:pPr>
      <w:rPr>
        <w:rFonts w:cs="Times New Roman"/>
      </w:rPr>
    </w:lvl>
  </w:abstractNum>
  <w:abstractNum w:abstractNumId="25" w15:restartNumberingAfterBreak="0">
    <w:nsid w:val="4C9A083B"/>
    <w:multiLevelType w:val="singleLevel"/>
    <w:tmpl w:val="BCACCDD4"/>
    <w:name w:val="Bullet 26"/>
    <w:lvl w:ilvl="0">
      <w:start w:val="2"/>
      <w:numFmt w:val="lowerLetter"/>
      <w:lvlText w:val="%1"/>
      <w:lvlJc w:val="left"/>
      <w:pPr>
        <w:tabs>
          <w:tab w:val="num" w:pos="0"/>
        </w:tabs>
        <w:ind w:left="0" w:firstLine="0"/>
      </w:pPr>
      <w:rPr>
        <w:rFonts w:cs="Times New Roman"/>
      </w:rPr>
    </w:lvl>
  </w:abstractNum>
  <w:abstractNum w:abstractNumId="26" w15:restartNumberingAfterBreak="0">
    <w:nsid w:val="5078527A"/>
    <w:multiLevelType w:val="singleLevel"/>
    <w:tmpl w:val="C99CDD00"/>
    <w:name w:val="Bullet 31"/>
    <w:lvl w:ilvl="0">
      <w:start w:val="1"/>
      <w:numFmt w:val="decimal"/>
      <w:lvlText w:val="%1"/>
      <w:lvlJc w:val="left"/>
      <w:pPr>
        <w:tabs>
          <w:tab w:val="num" w:pos="0"/>
        </w:tabs>
        <w:ind w:left="0" w:firstLine="0"/>
      </w:pPr>
      <w:rPr>
        <w:rFonts w:ascii="Times New Roman Bold" w:hAnsi="Times New Roman Bold"/>
        <w:b/>
        <w:sz w:val="22"/>
      </w:rPr>
    </w:lvl>
  </w:abstractNum>
  <w:abstractNum w:abstractNumId="27" w15:restartNumberingAfterBreak="0">
    <w:nsid w:val="51527D14"/>
    <w:multiLevelType w:val="singleLevel"/>
    <w:tmpl w:val="54629F24"/>
    <w:name w:val="Bullet 19"/>
    <w:lvl w:ilvl="0">
      <w:numFmt w:val="none"/>
      <w:lvlText w:val="%1"/>
      <w:lvlJc w:val="left"/>
      <w:pPr>
        <w:tabs>
          <w:tab w:val="num" w:pos="0"/>
        </w:tabs>
        <w:ind w:left="0" w:firstLine="0"/>
      </w:pPr>
    </w:lvl>
  </w:abstractNum>
  <w:abstractNum w:abstractNumId="28" w15:restartNumberingAfterBreak="0">
    <w:nsid w:val="53275341"/>
    <w:multiLevelType w:val="singleLevel"/>
    <w:tmpl w:val="56127F28"/>
    <w:name w:val="Bullet 29"/>
    <w:lvl w:ilvl="0">
      <w:numFmt w:val="bullet"/>
      <w:lvlText w:val="–"/>
      <w:lvlJc w:val="left"/>
      <w:pPr>
        <w:tabs>
          <w:tab w:val="num" w:pos="0"/>
        </w:tabs>
        <w:ind w:left="0" w:firstLine="0"/>
      </w:pPr>
      <w:rPr>
        <w:rFonts w:ascii="Calibri" w:hAnsi="Calibri"/>
        <w:b/>
        <w:color w:val="auto"/>
      </w:rPr>
    </w:lvl>
  </w:abstractNum>
  <w:abstractNum w:abstractNumId="29" w15:restartNumberingAfterBreak="0">
    <w:nsid w:val="539543A7"/>
    <w:multiLevelType w:val="singleLevel"/>
    <w:tmpl w:val="42B46A90"/>
    <w:name w:val="Bullet 24"/>
    <w:lvl w:ilvl="0">
      <w:start w:val="1"/>
      <w:numFmt w:val="decimal"/>
      <w:lvlText w:val="%1"/>
      <w:lvlJc w:val="left"/>
      <w:pPr>
        <w:tabs>
          <w:tab w:val="num" w:pos="0"/>
        </w:tabs>
        <w:ind w:left="0" w:firstLine="0"/>
      </w:pPr>
    </w:lvl>
  </w:abstractNum>
  <w:abstractNum w:abstractNumId="30" w15:restartNumberingAfterBreak="0">
    <w:nsid w:val="57552E31"/>
    <w:multiLevelType w:val="singleLevel"/>
    <w:tmpl w:val="8392E13C"/>
    <w:name w:val="Bullet 52"/>
    <w:lvl w:ilvl="0">
      <w:numFmt w:val="bullet"/>
      <w:lvlText w:val=""/>
      <w:lvlJc w:val="left"/>
      <w:pPr>
        <w:ind w:left="0" w:firstLine="0"/>
      </w:pPr>
      <w:rPr>
        <w:rFonts w:ascii="Wingdings" w:eastAsia="Wingdings" w:hAnsi="Wingdings" w:cs="Wingdings"/>
      </w:rPr>
    </w:lvl>
  </w:abstractNum>
  <w:abstractNum w:abstractNumId="31" w15:restartNumberingAfterBreak="0">
    <w:nsid w:val="57786BCB"/>
    <w:multiLevelType w:val="singleLevel"/>
    <w:tmpl w:val="480A35BC"/>
    <w:name w:val="Bullet 223"/>
    <w:lvl w:ilvl="0">
      <w:numFmt w:val="bullet"/>
      <w:lvlText w:val=""/>
      <w:lvlJc w:val="left"/>
      <w:pPr>
        <w:ind w:left="0" w:firstLine="0"/>
      </w:pPr>
      <w:rPr>
        <w:rFonts w:ascii="Wingdings" w:eastAsia="Wingdings" w:hAnsi="Wingdings" w:cs="Wingdings"/>
      </w:rPr>
    </w:lvl>
  </w:abstractNum>
  <w:abstractNum w:abstractNumId="32" w15:restartNumberingAfterBreak="0">
    <w:nsid w:val="5C8D5DB7"/>
    <w:multiLevelType w:val="singleLevel"/>
    <w:tmpl w:val="DFA66ECA"/>
    <w:name w:val="Bullet 30"/>
    <w:lvl w:ilvl="0">
      <w:numFmt w:val="bullet"/>
      <w:lvlText w:val="o"/>
      <w:lvlJc w:val="left"/>
      <w:pPr>
        <w:tabs>
          <w:tab w:val="num" w:pos="0"/>
        </w:tabs>
        <w:ind w:left="0" w:firstLine="0"/>
      </w:pPr>
      <w:rPr>
        <w:rFonts w:ascii="Courier New" w:hAnsi="Courier New"/>
      </w:rPr>
    </w:lvl>
  </w:abstractNum>
  <w:abstractNum w:abstractNumId="33" w15:restartNumberingAfterBreak="0">
    <w:nsid w:val="604045F7"/>
    <w:multiLevelType w:val="hybridMultilevel"/>
    <w:tmpl w:val="8C1EF84A"/>
    <w:name w:val="Numbered list 6"/>
    <w:lvl w:ilvl="0" w:tplc="C9B4A4BA">
      <w:numFmt w:val="bullet"/>
      <w:lvlText w:val="–"/>
      <w:lvlJc w:val="left"/>
      <w:pPr>
        <w:ind w:left="360" w:firstLine="0"/>
      </w:pPr>
      <w:rPr>
        <w:rFonts w:ascii="Calibri" w:hAnsi="Calibri"/>
        <w:b/>
        <w:color w:val="auto"/>
      </w:rPr>
    </w:lvl>
    <w:lvl w:ilvl="1" w:tplc="DDFCCBC2">
      <w:numFmt w:val="bullet"/>
      <w:lvlText w:val="o"/>
      <w:lvlJc w:val="left"/>
      <w:pPr>
        <w:ind w:left="1080" w:firstLine="0"/>
      </w:pPr>
      <w:rPr>
        <w:rFonts w:ascii="Courier New" w:hAnsi="Courier New"/>
      </w:rPr>
    </w:lvl>
    <w:lvl w:ilvl="2" w:tplc="4BC40336">
      <w:numFmt w:val="bullet"/>
      <w:lvlText w:val=""/>
      <w:lvlJc w:val="left"/>
      <w:pPr>
        <w:ind w:left="1800" w:firstLine="0"/>
      </w:pPr>
      <w:rPr>
        <w:rFonts w:ascii="Wingdings" w:eastAsia="Wingdings" w:hAnsi="Wingdings" w:cs="Wingdings"/>
      </w:rPr>
    </w:lvl>
    <w:lvl w:ilvl="3" w:tplc="7D4EA0AA">
      <w:numFmt w:val="bullet"/>
      <w:lvlText w:val=""/>
      <w:lvlJc w:val="left"/>
      <w:pPr>
        <w:ind w:left="2520" w:firstLine="0"/>
      </w:pPr>
      <w:rPr>
        <w:rFonts w:ascii="Symbol" w:hAnsi="Symbol"/>
      </w:rPr>
    </w:lvl>
    <w:lvl w:ilvl="4" w:tplc="22961DA6">
      <w:numFmt w:val="bullet"/>
      <w:lvlText w:val="o"/>
      <w:lvlJc w:val="left"/>
      <w:pPr>
        <w:ind w:left="3240" w:firstLine="0"/>
      </w:pPr>
      <w:rPr>
        <w:rFonts w:ascii="Courier New" w:hAnsi="Courier New"/>
      </w:rPr>
    </w:lvl>
    <w:lvl w:ilvl="5" w:tplc="B22E23C8">
      <w:numFmt w:val="bullet"/>
      <w:lvlText w:val=""/>
      <w:lvlJc w:val="left"/>
      <w:pPr>
        <w:ind w:left="3960" w:firstLine="0"/>
      </w:pPr>
      <w:rPr>
        <w:rFonts w:ascii="Wingdings" w:eastAsia="Wingdings" w:hAnsi="Wingdings" w:cs="Wingdings"/>
      </w:rPr>
    </w:lvl>
    <w:lvl w:ilvl="6" w:tplc="FB989972">
      <w:numFmt w:val="bullet"/>
      <w:lvlText w:val=""/>
      <w:lvlJc w:val="left"/>
      <w:pPr>
        <w:ind w:left="4680" w:firstLine="0"/>
      </w:pPr>
      <w:rPr>
        <w:rFonts w:ascii="Symbol" w:hAnsi="Symbol"/>
      </w:rPr>
    </w:lvl>
    <w:lvl w:ilvl="7" w:tplc="36E8A90A">
      <w:numFmt w:val="bullet"/>
      <w:lvlText w:val="o"/>
      <w:lvlJc w:val="left"/>
      <w:pPr>
        <w:ind w:left="5400" w:firstLine="0"/>
      </w:pPr>
      <w:rPr>
        <w:rFonts w:ascii="Courier New" w:hAnsi="Courier New"/>
      </w:rPr>
    </w:lvl>
    <w:lvl w:ilvl="8" w:tplc="623AABF0">
      <w:numFmt w:val="bullet"/>
      <w:lvlText w:val=""/>
      <w:lvlJc w:val="left"/>
      <w:pPr>
        <w:ind w:left="6120" w:firstLine="0"/>
      </w:pPr>
      <w:rPr>
        <w:rFonts w:ascii="Wingdings" w:eastAsia="Wingdings" w:hAnsi="Wingdings" w:cs="Wingdings"/>
      </w:rPr>
    </w:lvl>
  </w:abstractNum>
  <w:abstractNum w:abstractNumId="34" w15:restartNumberingAfterBreak="0">
    <w:nsid w:val="612B7203"/>
    <w:multiLevelType w:val="singleLevel"/>
    <w:tmpl w:val="6FDA655A"/>
    <w:name w:val="Bullet 20"/>
    <w:lvl w:ilvl="0">
      <w:numFmt w:val="bullet"/>
      <w:lvlText w:val="–"/>
      <w:lvlJc w:val="left"/>
      <w:pPr>
        <w:tabs>
          <w:tab w:val="num" w:pos="0"/>
        </w:tabs>
        <w:ind w:left="0" w:firstLine="0"/>
      </w:pPr>
      <w:rPr>
        <w:rFonts w:ascii="Times New Roman" w:hAnsi="Times New Roman"/>
      </w:rPr>
    </w:lvl>
  </w:abstractNum>
  <w:abstractNum w:abstractNumId="35" w15:restartNumberingAfterBreak="0">
    <w:nsid w:val="61CF1FDB"/>
    <w:multiLevelType w:val="hybridMultilevel"/>
    <w:tmpl w:val="B9A698B0"/>
    <w:name w:val="Numbered list 1"/>
    <w:lvl w:ilvl="0" w:tplc="191CA3E4">
      <w:numFmt w:val="bullet"/>
      <w:lvlText w:val=""/>
      <w:lvlJc w:val="left"/>
      <w:pPr>
        <w:ind w:left="360" w:firstLine="0"/>
      </w:pPr>
      <w:rPr>
        <w:rFonts w:ascii="Symbol" w:hAnsi="Symbol"/>
      </w:rPr>
    </w:lvl>
    <w:lvl w:ilvl="1" w:tplc="DD5CAEA2">
      <w:numFmt w:val="bullet"/>
      <w:lvlText w:val="o"/>
      <w:lvlJc w:val="left"/>
      <w:pPr>
        <w:ind w:left="1080" w:firstLine="0"/>
      </w:pPr>
      <w:rPr>
        <w:rFonts w:ascii="Courier New" w:hAnsi="Courier New" w:cs="Courier New"/>
      </w:rPr>
    </w:lvl>
    <w:lvl w:ilvl="2" w:tplc="1E006E4E">
      <w:numFmt w:val="bullet"/>
      <w:lvlText w:val=""/>
      <w:lvlJc w:val="left"/>
      <w:pPr>
        <w:ind w:left="1800" w:firstLine="0"/>
      </w:pPr>
      <w:rPr>
        <w:rFonts w:ascii="Wingdings" w:eastAsia="Wingdings" w:hAnsi="Wingdings" w:cs="Wingdings"/>
      </w:rPr>
    </w:lvl>
    <w:lvl w:ilvl="3" w:tplc="1048020A">
      <w:numFmt w:val="bullet"/>
      <w:lvlText w:val=""/>
      <w:lvlJc w:val="left"/>
      <w:pPr>
        <w:ind w:left="2520" w:firstLine="0"/>
      </w:pPr>
      <w:rPr>
        <w:rFonts w:ascii="Symbol" w:hAnsi="Symbol"/>
      </w:rPr>
    </w:lvl>
    <w:lvl w:ilvl="4" w:tplc="72A6EA46">
      <w:numFmt w:val="bullet"/>
      <w:lvlText w:val="o"/>
      <w:lvlJc w:val="left"/>
      <w:pPr>
        <w:ind w:left="3240" w:firstLine="0"/>
      </w:pPr>
      <w:rPr>
        <w:rFonts w:ascii="Courier New" w:hAnsi="Courier New" w:cs="Courier New"/>
      </w:rPr>
    </w:lvl>
    <w:lvl w:ilvl="5" w:tplc="239EDB36">
      <w:numFmt w:val="bullet"/>
      <w:lvlText w:val=""/>
      <w:lvlJc w:val="left"/>
      <w:pPr>
        <w:ind w:left="3960" w:firstLine="0"/>
      </w:pPr>
      <w:rPr>
        <w:rFonts w:ascii="Wingdings" w:eastAsia="Wingdings" w:hAnsi="Wingdings" w:cs="Wingdings"/>
      </w:rPr>
    </w:lvl>
    <w:lvl w:ilvl="6" w:tplc="657A5EC4">
      <w:numFmt w:val="bullet"/>
      <w:lvlText w:val=""/>
      <w:lvlJc w:val="left"/>
      <w:pPr>
        <w:ind w:left="4680" w:firstLine="0"/>
      </w:pPr>
      <w:rPr>
        <w:rFonts w:ascii="Symbol" w:hAnsi="Symbol"/>
      </w:rPr>
    </w:lvl>
    <w:lvl w:ilvl="7" w:tplc="11A4015A">
      <w:numFmt w:val="bullet"/>
      <w:lvlText w:val="o"/>
      <w:lvlJc w:val="left"/>
      <w:pPr>
        <w:ind w:left="5400" w:firstLine="0"/>
      </w:pPr>
      <w:rPr>
        <w:rFonts w:ascii="Courier New" w:hAnsi="Courier New" w:cs="Courier New"/>
      </w:rPr>
    </w:lvl>
    <w:lvl w:ilvl="8" w:tplc="119AA60A">
      <w:numFmt w:val="bullet"/>
      <w:lvlText w:val=""/>
      <w:lvlJc w:val="left"/>
      <w:pPr>
        <w:ind w:left="6120" w:firstLine="0"/>
      </w:pPr>
      <w:rPr>
        <w:rFonts w:ascii="Wingdings" w:eastAsia="Wingdings" w:hAnsi="Wingdings" w:cs="Wingdings"/>
      </w:rPr>
    </w:lvl>
  </w:abstractNum>
  <w:abstractNum w:abstractNumId="36" w15:restartNumberingAfterBreak="0">
    <w:nsid w:val="622D2445"/>
    <w:multiLevelType w:val="hybridMultilevel"/>
    <w:tmpl w:val="D682BDB6"/>
    <w:lvl w:ilvl="0" w:tplc="480A35BC">
      <w:numFmt w:val="bullet"/>
      <w:lvlText w:val=""/>
      <w:lvlJc w:val="left"/>
      <w:pPr>
        <w:ind w:left="360" w:firstLine="0"/>
      </w:pPr>
      <w:rPr>
        <w:rFonts w:ascii="Wingdings" w:eastAsia="Wingdings" w:hAnsi="Wingdings" w:cs="Wingdings" w:hint="default"/>
        <w:b/>
        <w:color w:val="auto"/>
      </w:rPr>
    </w:lvl>
    <w:lvl w:ilvl="1" w:tplc="FFFFFFFF">
      <w:numFmt w:val="bullet"/>
      <w:lvlText w:val="o"/>
      <w:lvlJc w:val="left"/>
      <w:pPr>
        <w:ind w:left="1080" w:firstLine="0"/>
      </w:pPr>
      <w:rPr>
        <w:rFonts w:ascii="Courier New" w:hAnsi="Courier New"/>
      </w:rPr>
    </w:lvl>
    <w:lvl w:ilvl="2" w:tplc="FFFFFFFF">
      <w:numFmt w:val="bullet"/>
      <w:lvlText w:val=""/>
      <w:lvlJc w:val="left"/>
      <w:pPr>
        <w:ind w:left="1800" w:firstLine="0"/>
      </w:pPr>
      <w:rPr>
        <w:rFonts w:ascii="Wingdings" w:eastAsia="Wingdings" w:hAnsi="Wingdings" w:cs="Wingdings"/>
      </w:rPr>
    </w:lvl>
    <w:lvl w:ilvl="3" w:tplc="FFFFFFFF">
      <w:numFmt w:val="bullet"/>
      <w:lvlText w:val=""/>
      <w:lvlJc w:val="left"/>
      <w:pPr>
        <w:ind w:left="2520" w:firstLine="0"/>
      </w:pPr>
      <w:rPr>
        <w:rFonts w:ascii="Symbol" w:hAnsi="Symbol"/>
      </w:rPr>
    </w:lvl>
    <w:lvl w:ilvl="4" w:tplc="FFFFFFFF">
      <w:numFmt w:val="bullet"/>
      <w:lvlText w:val="o"/>
      <w:lvlJc w:val="left"/>
      <w:pPr>
        <w:ind w:left="3240" w:firstLine="0"/>
      </w:pPr>
      <w:rPr>
        <w:rFonts w:ascii="Courier New" w:hAnsi="Courier New"/>
      </w:rPr>
    </w:lvl>
    <w:lvl w:ilvl="5" w:tplc="FFFFFFFF">
      <w:numFmt w:val="bullet"/>
      <w:lvlText w:val=""/>
      <w:lvlJc w:val="left"/>
      <w:pPr>
        <w:ind w:left="3960" w:firstLine="0"/>
      </w:pPr>
      <w:rPr>
        <w:rFonts w:ascii="Wingdings" w:eastAsia="Wingdings" w:hAnsi="Wingdings" w:cs="Wingdings"/>
      </w:rPr>
    </w:lvl>
    <w:lvl w:ilvl="6" w:tplc="FFFFFFFF">
      <w:numFmt w:val="bullet"/>
      <w:lvlText w:val=""/>
      <w:lvlJc w:val="left"/>
      <w:pPr>
        <w:ind w:left="4680" w:firstLine="0"/>
      </w:pPr>
      <w:rPr>
        <w:rFonts w:ascii="Symbol" w:hAnsi="Symbol"/>
      </w:rPr>
    </w:lvl>
    <w:lvl w:ilvl="7" w:tplc="FFFFFFFF">
      <w:numFmt w:val="bullet"/>
      <w:lvlText w:val="o"/>
      <w:lvlJc w:val="left"/>
      <w:pPr>
        <w:ind w:left="5400" w:firstLine="0"/>
      </w:pPr>
      <w:rPr>
        <w:rFonts w:ascii="Courier New" w:hAnsi="Courier New"/>
      </w:rPr>
    </w:lvl>
    <w:lvl w:ilvl="8" w:tplc="FFFFFFFF">
      <w:numFmt w:val="bullet"/>
      <w:lvlText w:val=""/>
      <w:lvlJc w:val="left"/>
      <w:pPr>
        <w:ind w:left="6120" w:firstLine="0"/>
      </w:pPr>
      <w:rPr>
        <w:rFonts w:ascii="Wingdings" w:eastAsia="Wingdings" w:hAnsi="Wingdings" w:cs="Wingdings"/>
      </w:rPr>
    </w:lvl>
  </w:abstractNum>
  <w:abstractNum w:abstractNumId="37" w15:restartNumberingAfterBreak="0">
    <w:nsid w:val="62465650"/>
    <w:multiLevelType w:val="multilevel"/>
    <w:tmpl w:val="F94EB768"/>
    <w:name w:val="Numbered list 7"/>
    <w:lvl w:ilvl="0">
      <w:start w:val="1"/>
      <w:numFmt w:val="decimal"/>
      <w:lvlText w:val="%1"/>
      <w:lvlJc w:val="left"/>
      <w:pPr>
        <w:ind w:left="0" w:firstLine="0"/>
      </w:pPr>
      <w:rPr>
        <w:rFonts w:ascii="Times New Roman Bold" w:hAnsi="Times New Roman Bold"/>
        <w:b/>
        <w:sz w:val="24"/>
      </w:rPr>
    </w:lvl>
    <w:lvl w:ilvl="1">
      <w:start w:val="1"/>
      <w:numFmt w:val="decimal"/>
      <w:lvlText w:val="%1.%2"/>
      <w:lvlJc w:val="left"/>
      <w:pPr>
        <w:ind w:left="0" w:firstLine="0"/>
      </w:pPr>
      <w:rPr>
        <w:rFonts w:ascii="Times New Roman Bold" w:hAnsi="Times New Roman Bold"/>
        <w:b/>
        <w:sz w:val="22"/>
      </w:rPr>
    </w:lvl>
    <w:lvl w:ilvl="2">
      <w:start w:val="1"/>
      <w:numFmt w:val="decimal"/>
      <w:lvlText w:val="%1.%2.%3"/>
      <w:lvlJc w:val="left"/>
      <w:pPr>
        <w:ind w:left="0" w:firstLine="0"/>
      </w:pPr>
      <w:rPr>
        <w:rFonts w:ascii="Times New Roman Bold" w:hAnsi="Times New Roman Bold"/>
        <w:b/>
        <w:sz w:val="22"/>
        <w:szCs w:val="22"/>
      </w:rPr>
    </w:lvl>
    <w:lvl w:ilvl="3">
      <w:start w:val="1"/>
      <w:numFmt w:val="decimal"/>
      <w:pStyle w:val="Heading4"/>
      <w:lvlText w:val="%1.%2.%3.%4"/>
      <w:lvlJc w:val="left"/>
      <w:pPr>
        <w:ind w:left="0" w:firstLine="0"/>
      </w:pPr>
      <w:rPr>
        <w:rFonts w:ascii="Times New Roman Bold" w:hAnsi="Times New Roman Bold"/>
        <w:b/>
        <w:color w:val="C45911"/>
        <w:sz w:val="22"/>
        <w:vertAlign w:val="baseline"/>
      </w:r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8" w15:restartNumberingAfterBreak="0">
    <w:nsid w:val="701B0054"/>
    <w:multiLevelType w:val="singleLevel"/>
    <w:tmpl w:val="7662EB1C"/>
    <w:name w:val="Bullet 27"/>
    <w:lvl w:ilvl="0">
      <w:start w:val="1"/>
      <w:numFmt w:val="lowerLetter"/>
      <w:lvlText w:val="%1"/>
      <w:lvlJc w:val="left"/>
      <w:pPr>
        <w:tabs>
          <w:tab w:val="num" w:pos="0"/>
        </w:tabs>
        <w:ind w:left="0" w:firstLine="0"/>
      </w:pPr>
      <w:rPr>
        <w:rFonts w:cs="Times New Roman"/>
      </w:rPr>
    </w:lvl>
  </w:abstractNum>
  <w:abstractNum w:abstractNumId="39" w15:restartNumberingAfterBreak="0">
    <w:nsid w:val="77E54BD4"/>
    <w:multiLevelType w:val="singleLevel"/>
    <w:tmpl w:val="870A07CA"/>
    <w:name w:val="Bullet 22"/>
    <w:lvl w:ilvl="0">
      <w:start w:val="1"/>
      <w:numFmt w:val="decimal"/>
      <w:lvlText w:val="%1"/>
      <w:lvlJc w:val="left"/>
      <w:pPr>
        <w:tabs>
          <w:tab w:val="num" w:pos="0"/>
        </w:tabs>
        <w:ind w:left="0" w:firstLine="0"/>
      </w:pPr>
      <w:rPr>
        <w:rFonts w:ascii="Times New Roman Bold" w:hAnsi="Times New Roman Bold"/>
        <w:b/>
        <w:color w:val="C45911"/>
        <w:sz w:val="22"/>
        <w:vertAlign w:val="baseline"/>
      </w:rPr>
    </w:lvl>
  </w:abstractNum>
  <w:abstractNum w:abstractNumId="40" w15:restartNumberingAfterBreak="0">
    <w:nsid w:val="78FC2AC3"/>
    <w:multiLevelType w:val="singleLevel"/>
    <w:tmpl w:val="70980D22"/>
    <w:name w:val="Bullet 15"/>
    <w:lvl w:ilvl="0">
      <w:numFmt w:val="bullet"/>
      <w:lvlText w:val="o"/>
      <w:lvlJc w:val="left"/>
      <w:pPr>
        <w:tabs>
          <w:tab w:val="num" w:pos="0"/>
        </w:tabs>
        <w:ind w:left="0" w:firstLine="0"/>
      </w:pPr>
      <w:rPr>
        <w:rFonts w:ascii="Courier New" w:hAnsi="Courier New" w:cs="Courier New"/>
      </w:rPr>
    </w:lvl>
  </w:abstractNum>
  <w:num w:numId="1" w16cid:durableId="1105541038">
    <w:abstractNumId w:val="35"/>
  </w:num>
  <w:num w:numId="2" w16cid:durableId="379789923">
    <w:abstractNumId w:val="17"/>
  </w:num>
  <w:num w:numId="3" w16cid:durableId="459807884">
    <w:abstractNumId w:val="3"/>
  </w:num>
  <w:num w:numId="4" w16cid:durableId="559288585">
    <w:abstractNumId w:val="7"/>
  </w:num>
  <w:num w:numId="5" w16cid:durableId="248008110">
    <w:abstractNumId w:val="22"/>
  </w:num>
  <w:num w:numId="6" w16cid:durableId="102850268">
    <w:abstractNumId w:val="31"/>
  </w:num>
  <w:num w:numId="7" w16cid:durableId="1512722494">
    <w:abstractNumId w:val="33"/>
  </w:num>
  <w:num w:numId="8" w16cid:durableId="218129028">
    <w:abstractNumId w:val="37"/>
  </w:num>
  <w:num w:numId="9" w16cid:durableId="2030983727">
    <w:abstractNumId w:val="30"/>
  </w:num>
  <w:num w:numId="10" w16cid:durableId="380591333">
    <w:abstractNumId w:val="14"/>
  </w:num>
  <w:num w:numId="11" w16cid:durableId="1614752650">
    <w:abstractNumId w:val="2"/>
  </w:num>
  <w:num w:numId="12" w16cid:durableId="2108885568">
    <w:abstractNumId w:val="13"/>
  </w:num>
  <w:num w:numId="13" w16cid:durableId="1357467475">
    <w:abstractNumId w:val="18"/>
  </w:num>
  <w:num w:numId="14" w16cid:durableId="1755668276">
    <w:abstractNumId w:val="0"/>
  </w:num>
  <w:num w:numId="15" w16cid:durableId="1661301389">
    <w:abstractNumId w:val="40"/>
  </w:num>
  <w:num w:numId="16" w16cid:durableId="164319016">
    <w:abstractNumId w:val="9"/>
  </w:num>
  <w:num w:numId="17" w16cid:durableId="1742485356">
    <w:abstractNumId w:val="5"/>
  </w:num>
  <w:num w:numId="18" w16cid:durableId="853955878">
    <w:abstractNumId w:val="8"/>
  </w:num>
  <w:num w:numId="19" w16cid:durableId="734934988">
    <w:abstractNumId w:val="27"/>
  </w:num>
  <w:num w:numId="20" w16cid:durableId="1293750782">
    <w:abstractNumId w:val="34"/>
  </w:num>
  <w:num w:numId="21" w16cid:durableId="1029796979">
    <w:abstractNumId w:val="24"/>
  </w:num>
  <w:num w:numId="22" w16cid:durableId="1765296318">
    <w:abstractNumId w:val="39"/>
  </w:num>
  <w:num w:numId="23" w16cid:durableId="343292008">
    <w:abstractNumId w:val="6"/>
  </w:num>
  <w:num w:numId="24" w16cid:durableId="908615734">
    <w:abstractNumId w:val="29"/>
  </w:num>
  <w:num w:numId="25" w16cid:durableId="2129468802">
    <w:abstractNumId w:val="23"/>
  </w:num>
  <w:num w:numId="26" w16cid:durableId="743796668">
    <w:abstractNumId w:val="25"/>
  </w:num>
  <w:num w:numId="27" w16cid:durableId="608053033">
    <w:abstractNumId w:val="38"/>
  </w:num>
  <w:num w:numId="28" w16cid:durableId="1522546185">
    <w:abstractNumId w:val="15"/>
  </w:num>
  <w:num w:numId="29" w16cid:durableId="418217286">
    <w:abstractNumId w:val="28"/>
  </w:num>
  <w:num w:numId="30" w16cid:durableId="2041739121">
    <w:abstractNumId w:val="32"/>
  </w:num>
  <w:num w:numId="31" w16cid:durableId="388505944">
    <w:abstractNumId w:val="26"/>
  </w:num>
  <w:num w:numId="32" w16cid:durableId="1083844269">
    <w:abstractNumId w:val="1"/>
  </w:num>
  <w:num w:numId="33" w16cid:durableId="1522936155">
    <w:abstractNumId w:val="10"/>
  </w:num>
  <w:num w:numId="34" w16cid:durableId="1872112942">
    <w:abstractNumId w:val="11"/>
  </w:num>
  <w:num w:numId="35" w16cid:durableId="1181816963">
    <w:abstractNumId w:val="4"/>
  </w:num>
  <w:num w:numId="36" w16cid:durableId="1230076406">
    <w:abstractNumId w:val="20"/>
  </w:num>
  <w:num w:numId="37" w16cid:durableId="502550043">
    <w:abstractNumId w:val="16"/>
  </w:num>
  <w:num w:numId="38" w16cid:durableId="672025477">
    <w:abstractNumId w:val="19"/>
  </w:num>
  <w:num w:numId="39" w16cid:durableId="821040578">
    <w:abstractNumId w:val="36"/>
  </w:num>
  <w:num w:numId="40" w16cid:durableId="1124735702">
    <w:abstractNumId w:val="12"/>
  </w:num>
  <w:num w:numId="41" w16cid:durableId="14310020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283"/>
  <w:drawingGridVerticalSpacing w:val="283"/>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742E0C"/>
    <w:rsid w:val="00636B2F"/>
    <w:rsid w:val="006D70C9"/>
    <w:rsid w:val="00742E0C"/>
    <w:rsid w:val="009B723A"/>
    <w:rsid w:val="009F3930"/>
    <w:rsid w:val="00A56D50"/>
    <w:rsid w:val="00C6128F"/>
    <w:rsid w:val="00E7028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D145"/>
  <w15:docId w15:val="{A20C825C-5C19-4A40-869E-0DC8C641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E" w:eastAsia="zh-CN"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qFormat/>
    <w:pPr>
      <w:keepNext/>
      <w:tabs>
        <w:tab w:val="left" w:pos="850"/>
      </w:tabs>
      <w:spacing w:after="120"/>
      <w:ind w:left="850" w:hanging="850"/>
      <w:outlineLvl w:val="1"/>
    </w:pPr>
    <w:rPr>
      <w:b/>
    </w:rPr>
  </w:style>
  <w:style w:type="paragraph" w:styleId="Heading4">
    <w:name w:val="heading 4"/>
    <w:basedOn w:val="Normal"/>
    <w:next w:val="Normal"/>
    <w:qFormat/>
    <w:pPr>
      <w:numPr>
        <w:ilvl w:val="3"/>
        <w:numId w:val="8"/>
      </w:numPr>
      <w:spacing w:before="40"/>
      <w:ind w:left="720" w:hanging="720"/>
      <w:outlineLvl w:val="3"/>
    </w:pPr>
    <w:rPr>
      <w:rFonts w:eastAsia="Calibri Light"/>
      <w:b/>
      <w:color w:val="C45911"/>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qFormat/>
    <w:pPr>
      <w:ind w:left="720" w:hanging="720"/>
    </w:pPr>
    <w:rPr>
      <w:sz w:val="20"/>
    </w:rPr>
  </w:style>
  <w:style w:type="paragraph" w:customStyle="1" w:styleId="NumPar1">
    <w:name w:val="NumPar 1"/>
    <w:basedOn w:val="Normal"/>
    <w:next w:val="Normal"/>
    <w:qFormat/>
    <w:pPr>
      <w:numPr>
        <w:numId w:val="5"/>
      </w:numPr>
      <w:spacing w:after="120"/>
    </w:pPr>
    <w:rPr>
      <w:szCs w:val="20"/>
    </w:rPr>
  </w:style>
  <w:style w:type="paragraph" w:customStyle="1" w:styleId="AnnexHeading">
    <w:name w:val="Annex Heading"/>
    <w:basedOn w:val="Normal"/>
    <w:qFormat/>
    <w:pPr>
      <w:pageBreakBefore/>
      <w:tabs>
        <w:tab w:val="left" w:pos="8748"/>
      </w:tabs>
      <w:spacing w:before="0" w:after="240"/>
      <w:jc w:val="center"/>
      <w:outlineLvl w:val="8"/>
    </w:pPr>
    <w:rPr>
      <w:b/>
    </w:rPr>
  </w:style>
  <w:style w:type="paragraph" w:styleId="Header">
    <w:name w:val="header"/>
    <w:basedOn w:val="Normal"/>
    <w:qFormat/>
    <w:pPr>
      <w:tabs>
        <w:tab w:val="center" w:pos="4536"/>
        <w:tab w:val="right" w:pos="9072"/>
      </w:tabs>
      <w:spacing w:before="0"/>
    </w:pPr>
  </w:style>
  <w:style w:type="paragraph" w:styleId="Footer">
    <w:name w:val="footer"/>
    <w:basedOn w:val="Normal"/>
    <w:qFormat/>
    <w:pPr>
      <w:tabs>
        <w:tab w:val="center" w:pos="4536"/>
        <w:tab w:val="right" w:pos="9072"/>
      </w:tabs>
      <w:spacing w:before="0"/>
    </w:pPr>
  </w:style>
  <w:style w:type="paragraph" w:styleId="BalloonText">
    <w:name w:val="Balloon Text"/>
    <w:basedOn w:val="Normal"/>
    <w:qFormat/>
    <w:pPr>
      <w:spacing w:before="0"/>
    </w:pPr>
    <w:rPr>
      <w:rFonts w:ascii="Tahoma" w:hAnsi="Tahoma" w:cs="Tahoma"/>
      <w:sz w:val="16"/>
      <w:szCs w:val="16"/>
    </w:rPr>
  </w:style>
  <w:style w:type="paragraph" w:customStyle="1" w:styleId="Revision1">
    <w:name w:val="Revision1"/>
    <w:qFormat/>
    <w:pPr>
      <w:spacing w:before="0"/>
      <w:jc w:val="left"/>
    </w:pPr>
    <w:rPr>
      <w:lang w:val="en-GB"/>
    </w:rPr>
  </w:style>
  <w:style w:type="paragraph" w:customStyle="1" w:styleId="CommentText1">
    <w:name w:val="Comment Text1"/>
    <w:basedOn w:val="Normal"/>
    <w:qFormat/>
    <w:pPr>
      <w:spacing w:after="120"/>
    </w:pPr>
    <w:rPr>
      <w:sz w:val="20"/>
    </w:rPr>
  </w:style>
  <w:style w:type="paragraph" w:customStyle="1" w:styleId="BVIfnrCarCarCarCarCharCharCharChar">
    <w:name w:val="BVI fnr Car Car Car Car Char Char Char Char"/>
    <w:basedOn w:val="Normal"/>
    <w:qFormat/>
    <w:pPr>
      <w:spacing w:before="0" w:after="160" w:line="240" w:lineRule="exact"/>
      <w:jc w:val="left"/>
    </w:pPr>
    <w:rPr>
      <w:rFonts w:ascii="Calibri" w:eastAsia="Calibri" w:hAnsi="Calibri"/>
      <w:sz w:val="22"/>
      <w:szCs w:val="22"/>
      <w:vertAlign w:val="superscript"/>
    </w:rPr>
  </w:style>
  <w:style w:type="paragraph" w:customStyle="1" w:styleId="Text3">
    <w:name w:val="Text 3"/>
    <w:basedOn w:val="Normal"/>
    <w:qFormat/>
    <w:pPr>
      <w:spacing w:after="120"/>
      <w:ind w:left="850"/>
    </w:pPr>
  </w:style>
  <w:style w:type="paragraph" w:styleId="ListParagraph">
    <w:name w:val="List Paragraph"/>
    <w:basedOn w:val="Normal"/>
    <w:qFormat/>
    <w:pPr>
      <w:ind w:left="720"/>
      <w:contextualSpacing/>
    </w:pPr>
  </w:style>
  <w:style w:type="paragraph" w:customStyle="1" w:styleId="CommentSubject1">
    <w:name w:val="Comment Subject1"/>
    <w:basedOn w:val="CommentText1"/>
    <w:next w:val="CommentText1"/>
    <w:qFormat/>
    <w:pPr>
      <w:spacing w:after="0"/>
    </w:pPr>
    <w:rPr>
      <w:b/>
      <w:bCs/>
      <w:szCs w:val="20"/>
    </w:rPr>
  </w:style>
  <w:style w:type="paragraph" w:customStyle="1" w:styleId="ListDash3">
    <w:name w:val="List Dash 3"/>
    <w:basedOn w:val="Normal"/>
    <w:qFormat/>
    <w:pPr>
      <w:numPr>
        <w:numId w:val="2"/>
      </w:numPr>
      <w:spacing w:before="0" w:after="240"/>
      <w:ind w:left="2199" w:hanging="283"/>
    </w:pPr>
    <w:rPr>
      <w:szCs w:val="20"/>
    </w:rPr>
  </w:style>
  <w:style w:type="paragraph" w:customStyle="1" w:styleId="Revision2">
    <w:name w:val="Revision2"/>
    <w:qFormat/>
    <w:pPr>
      <w:spacing w:before="0"/>
      <w:jc w:val="left"/>
    </w:pPr>
    <w:rPr>
      <w:lang w:val="en-GB"/>
    </w:rPr>
  </w:style>
  <w:style w:type="paragraph" w:customStyle="1" w:styleId="CommentText2">
    <w:name w:val="Comment Text2"/>
    <w:basedOn w:val="Normal"/>
    <w:qFormat/>
    <w:rPr>
      <w:sz w:val="20"/>
      <w:szCs w:val="20"/>
    </w:rPr>
  </w:style>
  <w:style w:type="paragraph" w:customStyle="1" w:styleId="CommentSubject2">
    <w:name w:val="Comment Subject2"/>
    <w:basedOn w:val="CommentText2"/>
    <w:next w:val="CommentText2"/>
    <w:qFormat/>
    <w:rPr>
      <w:b/>
      <w:bCs/>
    </w:rPr>
  </w:style>
  <w:style w:type="paragraph" w:customStyle="1" w:styleId="CommentText3">
    <w:name w:val="Comment Text3"/>
    <w:basedOn w:val="Normal"/>
    <w:qFormat/>
    <w:rPr>
      <w:sz w:val="20"/>
      <w:szCs w:val="20"/>
    </w:rPr>
  </w:style>
  <w:style w:type="paragraph" w:customStyle="1" w:styleId="CommentSubject3">
    <w:name w:val="Comment Subject3"/>
    <w:basedOn w:val="CommentText3"/>
    <w:next w:val="CommentText3"/>
    <w:qFormat/>
    <w:rPr>
      <w:b/>
      <w:bCs/>
    </w:rPr>
  </w:style>
  <w:style w:type="paragraph" w:customStyle="1" w:styleId="CommentText4">
    <w:name w:val="Comment Text4"/>
    <w:basedOn w:val="Normal"/>
    <w:qFormat/>
    <w:pPr>
      <w:spacing w:before="0"/>
    </w:pPr>
    <w:rPr>
      <w:sz w:val="20"/>
      <w:szCs w:val="20"/>
    </w:rPr>
  </w:style>
  <w:style w:type="paragraph" w:customStyle="1" w:styleId="CommentSubject4">
    <w:name w:val="Comment Subject4"/>
    <w:basedOn w:val="CommentText4"/>
    <w:next w:val="CommentText4"/>
    <w:qFormat/>
    <w:rPr>
      <w:b/>
      <w:bCs/>
    </w:rPr>
  </w:style>
  <w:style w:type="paragraph" w:customStyle="1" w:styleId="CommentText5">
    <w:name w:val="Comment Text5"/>
    <w:basedOn w:val="Normal"/>
    <w:qFormat/>
    <w:pPr>
      <w:spacing w:before="0"/>
    </w:pPr>
    <w:rPr>
      <w:sz w:val="20"/>
      <w:szCs w:val="20"/>
    </w:rPr>
  </w:style>
  <w:style w:type="paragraph" w:customStyle="1" w:styleId="CommentSubject5">
    <w:name w:val="Comment Subject5"/>
    <w:basedOn w:val="CommentText5"/>
    <w:next w:val="CommentText5"/>
    <w:qFormat/>
    <w:rPr>
      <w:b/>
      <w:bCs/>
    </w:rPr>
  </w:style>
  <w:style w:type="paragraph" w:customStyle="1" w:styleId="Revision3">
    <w:name w:val="Revision3"/>
    <w:qFormat/>
    <w:pPr>
      <w:spacing w:before="0"/>
      <w:jc w:val="left"/>
    </w:pPr>
  </w:style>
  <w:style w:type="paragraph" w:styleId="CommentText">
    <w:name w:val="annotation text"/>
    <w:basedOn w:val="Normal"/>
    <w:qFormat/>
    <w:pPr>
      <w:spacing w:before="0"/>
    </w:pPr>
    <w:rPr>
      <w:sz w:val="20"/>
      <w:szCs w:val="20"/>
    </w:rPr>
  </w:style>
  <w:style w:type="paragraph" w:styleId="CommentSubject">
    <w:name w:val="annotation subject"/>
    <w:basedOn w:val="CommentText"/>
    <w:next w:val="CommentText"/>
    <w:qFormat/>
    <w:rPr>
      <w:b/>
      <w:bCs/>
    </w:rPr>
  </w:style>
  <w:style w:type="character" w:customStyle="1" w:styleId="FootnoteTextChar">
    <w:name w:val="Footnote Text Char"/>
    <w:basedOn w:val="DefaultParagraphFont"/>
    <w:rPr>
      <w:rFonts w:ascii="Times New Roman" w:eastAsia="Times New Roman" w:hAnsi="Times New Roman" w:cs="Times New Roman"/>
      <w:sz w:val="20"/>
      <w:szCs w:val="24"/>
    </w:rPr>
  </w:style>
  <w:style w:type="character" w:customStyle="1" w:styleId="HeaderChar">
    <w:name w:val="Header Char"/>
    <w:basedOn w:val="DefaultParagraphFont"/>
    <w:rPr>
      <w:rFonts w:ascii="Times New Roman" w:eastAsia="Times New Roman" w:hAnsi="Times New Roman" w:cs="Times New Roman"/>
      <w:sz w:val="24"/>
      <w:szCs w:val="24"/>
    </w:rPr>
  </w:style>
  <w:style w:type="character" w:customStyle="1" w:styleId="FooterChar">
    <w:name w:val="Footer Char"/>
    <w:basedOn w:val="DefaultParagraphFont"/>
    <w:rPr>
      <w:rFonts w:ascii="Times New Roman" w:eastAsia="Times New Roman" w:hAnsi="Times New Roman" w:cs="Times New Roman"/>
      <w:sz w:val="24"/>
      <w:szCs w:val="24"/>
    </w:rPr>
  </w:style>
  <w:style w:type="character" w:customStyle="1" w:styleId="BalloonTextChar">
    <w:name w:val="Balloon Text Char"/>
    <w:basedOn w:val="DefaultParagraphFont"/>
    <w:rPr>
      <w:rFonts w:ascii="Tahoma" w:eastAsia="Times New Roman" w:hAnsi="Tahoma" w:cs="Tahoma"/>
      <w:sz w:val="16"/>
      <w:szCs w:val="16"/>
    </w:rPr>
  </w:style>
  <w:style w:type="character" w:styleId="FootnoteReference">
    <w:name w:val="footnote reference"/>
    <w:basedOn w:val="DefaultParagraphFont"/>
    <w:rPr>
      <w:vertAlign w:val="superscript"/>
    </w:rPr>
  </w:style>
  <w:style w:type="character" w:customStyle="1" w:styleId="CommentReference1">
    <w:name w:val="Comment Reference1"/>
    <w:basedOn w:val="DefaultParagraphFont"/>
    <w:rPr>
      <w:rFonts w:cs="Times New Roman"/>
      <w:sz w:val="16"/>
      <w:szCs w:val="16"/>
    </w:rPr>
  </w:style>
  <w:style w:type="character" w:customStyle="1" w:styleId="CommentTextChar">
    <w:name w:val="Comment Text Char"/>
    <w:basedOn w:val="DefaultParagraphFont"/>
    <w:rPr>
      <w:rFonts w:ascii="Times New Roman" w:eastAsia="Times New Roman" w:hAnsi="Times New Roman" w:cs="Times New Roman"/>
      <w:sz w:val="20"/>
      <w:szCs w:val="24"/>
    </w:rPr>
  </w:style>
  <w:style w:type="character" w:customStyle="1" w:styleId="Heading2Char">
    <w:name w:val="Heading 2 Char"/>
    <w:basedOn w:val="DefaultParagraphFont"/>
    <w:rPr>
      <w:rFonts w:ascii="Times New Roman" w:eastAsia="Times New Roman" w:hAnsi="Times New Roman" w:cs="Times New Roman"/>
      <w:b/>
      <w:sz w:val="24"/>
      <w:szCs w:val="24"/>
    </w:rPr>
  </w:style>
  <w:style w:type="character" w:styleId="Hyperlink">
    <w:name w:val="Hyperlink"/>
    <w:basedOn w:val="DefaultParagraphFont"/>
    <w:rPr>
      <w:rFonts w:cs="Times New Roman"/>
      <w:color w:val="0000FF"/>
      <w:u w:val="single"/>
    </w:rPr>
  </w:style>
  <w:style w:type="character" w:customStyle="1" w:styleId="CommentSubjectChar">
    <w:name w:val="Comment Subject Char"/>
    <w:basedOn w:val="CommentTextChar"/>
    <w:rPr>
      <w:rFonts w:ascii="Times New Roman" w:eastAsia="Times New Roman" w:hAnsi="Times New Roman" w:cs="Times New Roman"/>
      <w:b/>
      <w:bCs w:val="0"/>
      <w:sz w:val="20"/>
      <w:szCs w:val="20"/>
    </w:rPr>
  </w:style>
  <w:style w:type="character" w:customStyle="1" w:styleId="CommentReference2">
    <w:name w:val="Comment Reference2"/>
    <w:basedOn w:val="DefaultParagraphFont"/>
    <w:rPr>
      <w:sz w:val="16"/>
      <w:szCs w:val="16"/>
    </w:rPr>
  </w:style>
  <w:style w:type="character" w:customStyle="1" w:styleId="CommentTextChar1">
    <w:name w:val="Comment Text Char1"/>
    <w:basedOn w:val="DefaultParagraphFont"/>
    <w:rPr>
      <w:sz w:val="20"/>
      <w:szCs w:val="20"/>
    </w:rPr>
  </w:style>
  <w:style w:type="character" w:customStyle="1" w:styleId="CommentSubjectChar1">
    <w:name w:val="Comment Subject Char1"/>
    <w:basedOn w:val="CommentTextChar1"/>
    <w:rPr>
      <w:b/>
      <w:bCs w:val="0"/>
      <w:sz w:val="20"/>
      <w:szCs w:val="20"/>
    </w:rPr>
  </w:style>
  <w:style w:type="character" w:customStyle="1" w:styleId="CommentReference3">
    <w:name w:val="Comment Reference3"/>
    <w:basedOn w:val="DefaultParagraphFont"/>
    <w:rPr>
      <w:sz w:val="16"/>
      <w:szCs w:val="16"/>
    </w:rPr>
  </w:style>
  <w:style w:type="character" w:customStyle="1" w:styleId="CommentTextChar2">
    <w:name w:val="Comment Text Char2"/>
    <w:basedOn w:val="DefaultParagraphFont"/>
    <w:rPr>
      <w:sz w:val="20"/>
      <w:szCs w:val="20"/>
    </w:rPr>
  </w:style>
  <w:style w:type="character" w:customStyle="1" w:styleId="CommentSubjectChar2">
    <w:name w:val="Comment Subject Char2"/>
    <w:basedOn w:val="CommentTextChar2"/>
    <w:rPr>
      <w:b/>
      <w:bCs w:val="0"/>
      <w:sz w:val="20"/>
      <w:szCs w:val="20"/>
    </w:rPr>
  </w:style>
  <w:style w:type="character" w:customStyle="1" w:styleId="CommentReference4">
    <w:name w:val="Comment Reference4"/>
    <w:basedOn w:val="DefaultParagraphFont"/>
    <w:rPr>
      <w:sz w:val="16"/>
      <w:szCs w:val="16"/>
    </w:rPr>
  </w:style>
  <w:style w:type="character" w:customStyle="1" w:styleId="CommentReference5">
    <w:name w:val="Comment Reference5"/>
    <w:basedOn w:val="DefaultParagraphFont"/>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neighbourhood-enlargement.ec.europa.eu/system/files/2022-12/SWD_2022_445_1_EN_document_travail_service_part1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3528</Words>
  <Characters>20114</Characters>
  <Application>Microsoft Office Word</Application>
  <DocSecurity>0</DocSecurity>
  <Lines>167</Lines>
  <Paragraphs>47</Paragraphs>
  <ScaleCrop>false</ScaleCrop>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PEZELJ Miha (EEAS-SKOPJE)</dc:creator>
  <cp:keywords/>
  <dc:description/>
  <cp:lastModifiedBy>Kalina Markovic Ilic</cp:lastModifiedBy>
  <cp:revision>10</cp:revision>
  <cp:lastPrinted>2023-10-30T06:55:00Z</cp:lastPrinted>
  <dcterms:created xsi:type="dcterms:W3CDTF">2023-10-26T08:11:00Z</dcterms:created>
  <dcterms:modified xsi:type="dcterms:W3CDTF">2023-11-09T14:02:00Z</dcterms:modified>
</cp:coreProperties>
</file>